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Children’s Court of Western Australia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Children’s Court (Fees) Regulations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Children’s Court (Fees)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_Toc201305295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_Toc201305296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_Toc201305297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Fees to be charged (Act s. 53)</w:t>
      </w:r>
      <w:r>
        <w:tab/>
      </w:r>
      <w:r>
        <w:fldChar w:fldCharType="begin"/>
      </w:r>
      <w:r>
        <w:instrText xml:space="preserve"> PAGEREF _Toc201305298 \h </w:instrText>
      </w:r>
      <w:r>
        <w:fldChar w:fldCharType="separate"/>
      </w:r>
      <w:r>
        <w:t>2</w:t>
      </w:r>
      <w:r>
        <w:fldChar w:fldCharType="end"/>
      </w:r>
    </w:p>
    <w:p>
      <w:pPr>
        <w:pStyle w:val="TOC8"/>
        <w:rPr>
          <w:rFonts w:asciiTheme="minorHAnsi" w:eastAsiaTheme="minorEastAsia" w:hAnsiTheme="minorHAnsi" w:cstheme="minorBidi"/>
          <w:szCs w:val="22"/>
        </w:rPr>
      </w:pPr>
      <w:r>
        <w:t>5.</w:t>
      </w:r>
      <w:r>
        <w:tab/>
        <w:t>Exemptions</w:t>
      </w:r>
      <w:r>
        <w:tab/>
      </w:r>
      <w:r>
        <w:fldChar w:fldCharType="begin"/>
      </w:r>
      <w:r>
        <w:instrText xml:space="preserve"> PAGEREF _Toc201305299 \h </w:instrText>
      </w:r>
      <w:r>
        <w:fldChar w:fldCharType="separate"/>
      </w:r>
      <w:r>
        <w:t>2</w:t>
      </w:r>
      <w:r>
        <w:fldChar w:fldCharType="end"/>
      </w:r>
    </w:p>
    <w:p>
      <w:pPr>
        <w:pStyle w:val="TOC8"/>
        <w:rPr>
          <w:rFonts w:asciiTheme="minorHAnsi" w:eastAsiaTheme="minorEastAsia" w:hAnsiTheme="minorHAnsi" w:cstheme="minorBidi"/>
          <w:szCs w:val="22"/>
        </w:rPr>
      </w:pPr>
      <w:r>
        <w:t>6.</w:t>
      </w:r>
      <w:r>
        <w:tab/>
        <w:t>Certain fees subject to conditions</w:t>
      </w:r>
      <w:r>
        <w:tab/>
      </w:r>
      <w:r>
        <w:fldChar w:fldCharType="begin"/>
      </w:r>
      <w:r>
        <w:instrText xml:space="preserve"> PAGEREF _Toc201305300 \h </w:instrText>
      </w:r>
      <w:r>
        <w:fldChar w:fldCharType="separate"/>
      </w:r>
      <w:r>
        <w:t>3</w:t>
      </w:r>
      <w:r>
        <w:fldChar w:fldCharType="end"/>
      </w:r>
    </w:p>
    <w:p>
      <w:pPr>
        <w:pStyle w:val="TOC8"/>
        <w:rPr>
          <w:rFonts w:asciiTheme="minorHAnsi" w:eastAsiaTheme="minorEastAsia" w:hAnsiTheme="minorHAnsi" w:cstheme="minorBidi"/>
          <w:szCs w:val="22"/>
        </w:rPr>
      </w:pPr>
      <w:r>
        <w:t>6AA.</w:t>
      </w:r>
      <w:r>
        <w:tab/>
        <w:t>Certain application and transcript fees must be waived</w:t>
      </w:r>
      <w:r>
        <w:tab/>
      </w:r>
      <w:r>
        <w:fldChar w:fldCharType="begin"/>
      </w:r>
      <w:r>
        <w:instrText xml:space="preserve"> PAGEREF _Toc201305301 \h </w:instrText>
      </w:r>
      <w:r>
        <w:fldChar w:fldCharType="separate"/>
      </w:r>
      <w:r>
        <w:t>4</w:t>
      </w:r>
      <w:r>
        <w:fldChar w:fldCharType="end"/>
      </w:r>
    </w:p>
    <w:p>
      <w:pPr>
        <w:pStyle w:val="TOC8"/>
        <w:rPr>
          <w:rFonts w:asciiTheme="minorHAnsi" w:eastAsiaTheme="minorEastAsia" w:hAnsiTheme="minorHAnsi" w:cstheme="minorBidi"/>
          <w:szCs w:val="22"/>
        </w:rPr>
      </w:pPr>
      <w:r>
        <w:t>6A.</w:t>
      </w:r>
      <w:r>
        <w:tab/>
        <w:t>Certain application fees may be waived</w:t>
      </w:r>
      <w:r>
        <w:tab/>
      </w:r>
      <w:r>
        <w:fldChar w:fldCharType="begin"/>
      </w:r>
      <w:r>
        <w:instrText xml:space="preserve"> PAGEREF _Toc201305302 \h </w:instrText>
      </w:r>
      <w:r>
        <w:fldChar w:fldCharType="separate"/>
      </w:r>
      <w:r>
        <w:t>5</w:t>
      </w:r>
      <w:r>
        <w:fldChar w:fldCharType="end"/>
      </w:r>
    </w:p>
    <w:p>
      <w:pPr>
        <w:pStyle w:val="TOC8"/>
        <w:rPr>
          <w:rFonts w:asciiTheme="minorHAnsi" w:eastAsiaTheme="minorEastAsia" w:hAnsiTheme="minorHAnsi" w:cstheme="minorBidi"/>
          <w:szCs w:val="22"/>
        </w:rPr>
      </w:pPr>
      <w:r>
        <w:t>7.</w:t>
      </w:r>
      <w:r>
        <w:tab/>
        <w:t>F</w:t>
      </w:r>
      <w:r>
        <w:rPr>
          <w:snapToGrid w:val="0"/>
        </w:rPr>
        <w:t>ees to be paid before documents etc. filed in civil cases</w:t>
      </w:r>
      <w:r>
        <w:tab/>
      </w:r>
      <w:r>
        <w:fldChar w:fldCharType="begin"/>
      </w:r>
      <w:r>
        <w:instrText xml:space="preserve"> PAGEREF _Toc201305303 \h </w:instrText>
      </w:r>
      <w:r>
        <w:fldChar w:fldCharType="separate"/>
      </w:r>
      <w:r>
        <w:t>5</w:t>
      </w:r>
      <w:r>
        <w:fldChar w:fldCharType="end"/>
      </w:r>
    </w:p>
    <w:p>
      <w:pPr>
        <w:pStyle w:val="TOC8"/>
        <w:rPr>
          <w:rFonts w:asciiTheme="minorHAnsi" w:eastAsiaTheme="minorEastAsia" w:hAnsiTheme="minorHAnsi" w:cstheme="minorBidi"/>
          <w:szCs w:val="22"/>
        </w:rPr>
      </w:pPr>
      <w:r>
        <w:t>8.</w:t>
      </w:r>
      <w:r>
        <w:tab/>
        <w:t>Who is an eligible individual</w:t>
      </w:r>
      <w:r>
        <w:tab/>
      </w:r>
      <w:r>
        <w:fldChar w:fldCharType="begin"/>
      </w:r>
      <w:r>
        <w:instrText xml:space="preserve"> PAGEREF _Toc201305304 \h </w:instrText>
      </w:r>
      <w:r>
        <w:fldChar w:fldCharType="separate"/>
      </w:r>
      <w:r>
        <w:t>6</w:t>
      </w:r>
      <w:r>
        <w:fldChar w:fldCharType="end"/>
      </w:r>
    </w:p>
    <w:p>
      <w:pPr>
        <w:pStyle w:val="TOC8"/>
        <w:rPr>
          <w:rFonts w:asciiTheme="minorHAnsi" w:eastAsiaTheme="minorEastAsia" w:hAnsiTheme="minorHAnsi" w:cstheme="minorBidi"/>
          <w:szCs w:val="22"/>
        </w:rPr>
      </w:pPr>
      <w:r>
        <w:t>9A.</w:t>
      </w:r>
      <w:r>
        <w:tab/>
        <w:t>Application to be recognised as eligible individual</w:t>
      </w:r>
      <w:r>
        <w:tab/>
      </w:r>
      <w:r>
        <w:fldChar w:fldCharType="begin"/>
      </w:r>
      <w:r>
        <w:instrText xml:space="preserve"> PAGEREF _Toc201305305 \h </w:instrText>
      </w:r>
      <w:r>
        <w:fldChar w:fldCharType="separate"/>
      </w:r>
      <w:r>
        <w:t>7</w:t>
      </w:r>
      <w:r>
        <w:fldChar w:fldCharType="end"/>
      </w:r>
    </w:p>
    <w:p>
      <w:pPr>
        <w:pStyle w:val="TOC8"/>
        <w:rPr>
          <w:rFonts w:asciiTheme="minorHAnsi" w:eastAsiaTheme="minorEastAsia" w:hAnsiTheme="minorHAnsi" w:cstheme="minorBidi"/>
          <w:szCs w:val="22"/>
        </w:rPr>
      </w:pPr>
      <w:r>
        <w:t>9B.</w:t>
      </w:r>
      <w:r>
        <w:tab/>
        <w:t>Recognition as eligible individual</w:t>
      </w:r>
      <w:r>
        <w:tab/>
      </w:r>
      <w:r>
        <w:fldChar w:fldCharType="begin"/>
      </w:r>
      <w:r>
        <w:instrText xml:space="preserve"> PAGEREF _Toc201305306 \h </w:instrText>
      </w:r>
      <w:r>
        <w:fldChar w:fldCharType="separate"/>
      </w:r>
      <w:r>
        <w:t>7</w:t>
      </w:r>
      <w:r>
        <w:fldChar w:fldCharType="end"/>
      </w:r>
    </w:p>
    <w:p>
      <w:pPr>
        <w:pStyle w:val="TOC8"/>
        <w:rPr>
          <w:rFonts w:asciiTheme="minorHAnsi" w:eastAsiaTheme="minorEastAsia" w:hAnsiTheme="minorHAnsi" w:cstheme="minorBidi"/>
          <w:szCs w:val="22"/>
        </w:rPr>
      </w:pPr>
      <w:r>
        <w:t>9C.</w:t>
      </w:r>
      <w:r>
        <w:tab/>
        <w:t>False or misleading statements</w:t>
      </w:r>
      <w:r>
        <w:tab/>
      </w:r>
      <w:r>
        <w:fldChar w:fldCharType="begin"/>
      </w:r>
      <w:r>
        <w:instrText xml:space="preserve"> PAGEREF _Toc201305307 \h </w:instrText>
      </w:r>
      <w:r>
        <w:fldChar w:fldCharType="separate"/>
      </w:r>
      <w:r>
        <w:t>8</w:t>
      </w:r>
      <w:r>
        <w:fldChar w:fldCharType="end"/>
      </w:r>
    </w:p>
    <w:p>
      <w:pPr>
        <w:pStyle w:val="TOC8"/>
        <w:rPr>
          <w:rFonts w:asciiTheme="minorHAnsi" w:eastAsiaTheme="minorEastAsia" w:hAnsiTheme="minorHAnsi" w:cstheme="minorBidi"/>
          <w:szCs w:val="22"/>
        </w:rPr>
      </w:pPr>
      <w:r>
        <w:t>9D.</w:t>
      </w:r>
      <w:r>
        <w:tab/>
        <w:t>Refunds</w:t>
      </w:r>
      <w:r>
        <w:tab/>
      </w:r>
      <w:r>
        <w:fldChar w:fldCharType="begin"/>
      </w:r>
      <w:r>
        <w:instrText xml:space="preserve"> PAGEREF _Toc201305308 \h </w:instrText>
      </w:r>
      <w:r>
        <w:fldChar w:fldCharType="separate"/>
      </w:r>
      <w:r>
        <w:t>8</w:t>
      </w:r>
      <w:r>
        <w:fldChar w:fldCharType="end"/>
      </w:r>
    </w:p>
    <w:p>
      <w:pPr>
        <w:pStyle w:val="TOC8"/>
        <w:rPr>
          <w:rFonts w:asciiTheme="minorHAnsi" w:eastAsiaTheme="minorEastAsia" w:hAnsiTheme="minorHAnsi" w:cstheme="minorBidi"/>
          <w:szCs w:val="22"/>
        </w:rPr>
      </w:pPr>
      <w:r>
        <w:t>9.</w:t>
      </w:r>
      <w:r>
        <w:tab/>
        <w:t>Waiving fee for copy of document or transcript</w:t>
      </w:r>
      <w:r>
        <w:tab/>
      </w:r>
      <w:r>
        <w:fldChar w:fldCharType="begin"/>
      </w:r>
      <w:r>
        <w:instrText xml:space="preserve"> PAGEREF _Toc201305309 \h </w:instrText>
      </w:r>
      <w:r>
        <w:fldChar w:fldCharType="separate"/>
      </w:r>
      <w:r>
        <w:t>9</w:t>
      </w:r>
      <w:r>
        <w:fldChar w:fldCharType="end"/>
      </w:r>
    </w:p>
    <w:p>
      <w:pPr>
        <w:pStyle w:val="TOC8"/>
        <w:rPr>
          <w:rFonts w:asciiTheme="minorHAnsi" w:eastAsiaTheme="minorEastAsia" w:hAnsiTheme="minorHAnsi" w:cstheme="minorBidi"/>
          <w:szCs w:val="22"/>
        </w:rPr>
      </w:pPr>
      <w:r>
        <w:t>10.</w:t>
      </w:r>
      <w:r>
        <w:tab/>
        <w:t>Disputes as to fees, determination of</w:t>
      </w:r>
      <w:r>
        <w:tab/>
      </w:r>
      <w:r>
        <w:fldChar w:fldCharType="begin"/>
      </w:r>
      <w:r>
        <w:instrText xml:space="preserve"> PAGEREF _Toc201305310 \h </w:instrText>
      </w:r>
      <w:r>
        <w:fldChar w:fldCharType="separate"/>
      </w:r>
      <w:r>
        <w:t>9</w:t>
      </w:r>
      <w:r>
        <w:fldChar w:fldCharType="end"/>
      </w:r>
    </w:p>
    <w:p>
      <w:pPr>
        <w:pStyle w:val="TOC8"/>
        <w:rPr>
          <w:rFonts w:asciiTheme="minorHAnsi" w:eastAsiaTheme="minorEastAsia" w:hAnsiTheme="minorHAnsi" w:cstheme="minorBidi"/>
          <w:szCs w:val="22"/>
        </w:rPr>
      </w:pPr>
      <w:r>
        <w:t>11.</w:t>
      </w:r>
      <w:r>
        <w:tab/>
        <w:t>Unpaid fees, recovery of</w:t>
      </w:r>
      <w:r>
        <w:tab/>
      </w:r>
      <w:r>
        <w:fldChar w:fldCharType="begin"/>
      </w:r>
      <w:r>
        <w:instrText xml:space="preserve"> PAGEREF _Toc201305311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2 — Civil jurisdiction</w:t>
      </w:r>
    </w:p>
    <w:p>
      <w:pPr>
        <w:pStyle w:val="TOC4"/>
        <w:tabs>
          <w:tab w:val="right" w:leader="dot" w:pos="7077"/>
        </w:tabs>
        <w:rPr>
          <w:rFonts w:asciiTheme="minorHAnsi" w:eastAsiaTheme="minorEastAsia" w:hAnsiTheme="minorHAnsi" w:cstheme="minorBidi"/>
          <w:b w:val="0"/>
          <w:szCs w:val="22"/>
        </w:rPr>
      </w:pPr>
      <w:r>
        <w:t>Division 3 — Criminal jurisdiction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_Toc201305316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after="360"/>
      </w:pPr>
      <w:r>
        <w:lastRenderedPageBreak/>
        <w:t>Children’s Court of Western Australia Act 1988</w:t>
      </w:r>
    </w:p>
    <w:p>
      <w:pPr>
        <w:pStyle w:val="NameofActReg"/>
        <w:spacing w:after="480"/>
      </w:pPr>
      <w:r>
        <w:t>Children’s Court (Fees) Regulations 2005</w:t>
      </w:r>
    </w:p>
    <w:p>
      <w:pPr>
        <w:pStyle w:val="Heading5"/>
      </w:pPr>
      <w:bookmarkStart w:id="2" w:name="_Toc201305295"/>
      <w:r>
        <w:rPr>
          <w:rStyle w:val="CharSectno"/>
        </w:rPr>
        <w:t>1</w:t>
      </w:r>
      <w:r>
        <w:t>.</w:t>
      </w:r>
      <w:r>
        <w:tab/>
        <w:t>Citation</w:t>
      </w:r>
      <w:bookmarkEnd w:id="2"/>
    </w:p>
    <w:p>
      <w:pPr>
        <w:pStyle w:val="Subsection"/>
        <w:rPr>
          <w:i/>
        </w:rPr>
      </w:pPr>
      <w:r>
        <w:tab/>
      </w:r>
      <w:r>
        <w:tab/>
      </w:r>
      <w:r>
        <w:rPr>
          <w:spacing w:val="-2"/>
        </w:rPr>
        <w:t>These</w:t>
      </w:r>
      <w:r>
        <w:t> </w:t>
      </w:r>
      <w:r>
        <w:rPr>
          <w:spacing w:val="-2"/>
        </w:rPr>
        <w:t>regulations</w:t>
      </w:r>
      <w:r>
        <w:t xml:space="preserve"> are the </w:t>
      </w:r>
      <w:r>
        <w:rPr>
          <w:i/>
        </w:rPr>
        <w:t>Children’s Court (Fees) Regulations 2005</w:t>
      </w:r>
      <w:r>
        <w:t>.</w:t>
      </w:r>
    </w:p>
    <w:p>
      <w:pPr>
        <w:pStyle w:val="Heading5"/>
        <w:rPr>
          <w:spacing w:val="-2"/>
        </w:rPr>
      </w:pPr>
      <w:bookmarkStart w:id="3" w:name="_Toc201305296"/>
      <w:r>
        <w:rPr>
          <w:rStyle w:val="CharSectno"/>
        </w:rPr>
        <w:t>2</w:t>
      </w:r>
      <w:r>
        <w:rPr>
          <w:spacing w:val="-2"/>
        </w:rPr>
        <w:t>.</w:t>
      </w:r>
      <w:r>
        <w:rPr>
          <w:spacing w:val="-2"/>
        </w:rPr>
        <w:tab/>
        <w:t>Commencement</w:t>
      </w:r>
      <w:bookmarkEnd w:id="3"/>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p>
    <w:p>
      <w:pPr>
        <w:pStyle w:val="Heading5"/>
      </w:pPr>
      <w:bookmarkStart w:id="4" w:name="_Toc201305297"/>
      <w:r>
        <w:rPr>
          <w:rStyle w:val="CharSectno"/>
        </w:rPr>
        <w:t>3</w:t>
      </w:r>
      <w:r>
        <w:t>.</w:t>
      </w:r>
      <w:r>
        <w:tab/>
        <w:t>Terms used</w:t>
      </w:r>
      <w:bookmarkEnd w:id="4"/>
    </w:p>
    <w:p>
      <w:pPr>
        <w:pStyle w:val="Subsection"/>
      </w:pPr>
      <w:r>
        <w:tab/>
      </w:r>
      <w:r>
        <w:tab/>
        <w:t xml:space="preserve">In these regulations unless the contrary intention appears — </w:t>
      </w:r>
    </w:p>
    <w:p>
      <w:pPr>
        <w:pStyle w:val="Defstart"/>
      </w:pPr>
      <w:r>
        <w:tab/>
      </w:r>
      <w:r>
        <w:rPr>
          <w:rStyle w:val="CharDefText"/>
        </w:rPr>
        <w:t>approved form</w:t>
      </w:r>
      <w:r>
        <w:t xml:space="preserve"> means a form approved by the President;</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if any, shown in column B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lastRenderedPageBreak/>
        <w:tab/>
      </w:r>
      <w:r>
        <w:rPr>
          <w:rStyle w:val="CharDefText"/>
        </w:rPr>
        <w:t>prosecution notice</w:t>
      </w:r>
      <w:r>
        <w:t xml:space="preserve"> has the meaning given to that term in the </w:t>
      </w:r>
      <w:r>
        <w:rPr>
          <w:i/>
        </w:rPr>
        <w:t>Criminal Procedure Act 2004</w:t>
      </w:r>
      <w:r>
        <w:t xml:space="preserve"> section 3(1).</w:t>
      </w:r>
    </w:p>
    <w:p>
      <w:pPr>
        <w:pStyle w:val="Footnotesection"/>
        <w:spacing w:before="100"/>
        <w:ind w:left="890" w:hanging="890"/>
      </w:pPr>
      <w:r>
        <w:tab/>
        <w:t>[Regulation 3 amended: Gazette 23 Jun 2006 p. 2182; 14 Jun 2016 p. 1856.]</w:t>
      </w:r>
    </w:p>
    <w:p>
      <w:pPr>
        <w:pStyle w:val="Heading5"/>
        <w:spacing w:before="200"/>
        <w:rPr>
          <w:snapToGrid w:val="0"/>
        </w:rPr>
      </w:pPr>
      <w:bookmarkStart w:id="5" w:name="_Toc201305298"/>
      <w:r>
        <w:rPr>
          <w:rStyle w:val="CharSectno"/>
        </w:rPr>
        <w:t>4</w:t>
      </w:r>
      <w:r>
        <w:t>.</w:t>
      </w:r>
      <w:r>
        <w:tab/>
      </w:r>
      <w:r>
        <w:rPr>
          <w:snapToGrid w:val="0"/>
        </w:rPr>
        <w:t>Fees to be charged (Act s. 53)</w:t>
      </w:r>
      <w:bookmarkEnd w:id="5"/>
    </w:p>
    <w:p>
      <w:pPr>
        <w:pStyle w:val="Subsection"/>
        <w:spacing w:before="130"/>
        <w:rPr>
          <w:snapToGrid w:val="0"/>
        </w:rPr>
      </w:pPr>
      <w:r>
        <w:rPr>
          <w:snapToGrid w:val="0"/>
        </w:rPr>
        <w:tab/>
        <w:t>(1)</w:t>
      </w:r>
      <w:r>
        <w:rPr>
          <w:snapToGrid w:val="0"/>
        </w:rPr>
        <w:tab/>
        <w:t>Subject to the provisions of these regulations, the fees specified in Schedule 1 are to be charged in respect of the matters referred to in the Act section 53 in relation to which they are applicable.</w:t>
      </w:r>
    </w:p>
    <w:p>
      <w:pPr>
        <w:pStyle w:val="Subsection"/>
      </w:pPr>
      <w:r>
        <w:tab/>
        <w:t>(2A)</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rPr>
          <w:snapToGrid w:val="0"/>
        </w:rPr>
      </w:pPr>
      <w:r>
        <w:tab/>
        <w:t>(b)</w:t>
      </w:r>
      <w:r>
        <w:tab/>
        <w:t>the fee payable by an eligible individual is the eligible individual fee for that item.</w:t>
      </w:r>
    </w:p>
    <w:p>
      <w:pPr>
        <w:pStyle w:val="Subsection"/>
        <w:spacing w:before="130"/>
        <w:rPr>
          <w:snapToGrid w:val="0"/>
        </w:rPr>
      </w:pPr>
      <w:r>
        <w:rPr>
          <w:snapToGrid w:val="0"/>
        </w:rPr>
        <w:tab/>
        <w:t>(2)</w:t>
      </w:r>
      <w:r>
        <w:rPr>
          <w:snapToGrid w:val="0"/>
        </w:rPr>
        <w:tab/>
        <w:t>A note to an item in Schedule 1 has effect according to its tenor as if it were a provision of these regulations.</w:t>
      </w:r>
    </w:p>
    <w:p>
      <w:pPr>
        <w:pStyle w:val="Footnotesection"/>
        <w:spacing w:before="100"/>
        <w:ind w:left="890" w:hanging="890"/>
      </w:pPr>
      <w:r>
        <w:tab/>
        <w:t>[Regulation 4 amended: Gazette 14 Jun 2016 p. 1856.]</w:t>
      </w:r>
    </w:p>
    <w:p>
      <w:pPr>
        <w:pStyle w:val="Heading5"/>
      </w:pPr>
      <w:bookmarkStart w:id="6" w:name="_Toc201305299"/>
      <w:r>
        <w:rPr>
          <w:rStyle w:val="CharSectno"/>
        </w:rPr>
        <w:t>5</w:t>
      </w:r>
      <w:r>
        <w:t>.</w:t>
      </w:r>
      <w:r>
        <w:tab/>
        <w:t>Exemptions</w:t>
      </w:r>
      <w:bookmarkEnd w:id="6"/>
    </w:p>
    <w:p>
      <w:pPr>
        <w:pStyle w:val="Subsection"/>
      </w:pPr>
      <w:r>
        <w:tab/>
      </w:r>
      <w:r>
        <w:tab/>
        <w:t>A person is not required to pay a fee in respect of the following —</w:t>
      </w:r>
    </w:p>
    <w:p>
      <w:pPr>
        <w:pStyle w:val="Indenta"/>
      </w:pPr>
      <w:r>
        <w:tab/>
        <w:t>(a)</w:t>
      </w:r>
      <w:r>
        <w:tab/>
        <w:t xml:space="preserve">an application under the </w:t>
      </w:r>
      <w:r>
        <w:rPr>
          <w:i/>
          <w:iCs/>
        </w:rPr>
        <w:t xml:space="preserve">Restraining Orders Act 1997 </w:t>
      </w:r>
      <w:r>
        <w:t>for a family violence restraining order or violence restraining order or to vary or cancel a family violence restraining order or violence restraining order;</w:t>
      </w:r>
    </w:p>
    <w:p>
      <w:pPr>
        <w:pStyle w:val="Indenta"/>
      </w:pPr>
      <w:r>
        <w:tab/>
        <w:t>(b)</w:t>
      </w:r>
      <w:r>
        <w:tab/>
        <w:t xml:space="preserve">an application under the </w:t>
      </w:r>
      <w:r>
        <w:rPr>
          <w:i/>
          <w:iCs/>
        </w:rPr>
        <w:t xml:space="preserve">Prohibited Behaviour Orders Act 2010 </w:t>
      </w:r>
      <w:r>
        <w:t>for a prohibited behaviour order or to vary or cancel a prohibited behaviour order;</w:t>
      </w:r>
    </w:p>
    <w:p>
      <w:pPr>
        <w:pStyle w:val="Indenta"/>
      </w:pPr>
      <w:r>
        <w:tab/>
        <w:t>(c)</w:t>
      </w:r>
      <w:r>
        <w:tab/>
        <w:t xml:space="preserve">civil proceedings under the </w:t>
      </w:r>
      <w:r>
        <w:rPr>
          <w:i/>
        </w:rPr>
        <w:t>Criminal Law (Mental Impairment) Act 2023</w:t>
      </w:r>
      <w:r>
        <w:t>;</w:t>
      </w:r>
    </w:p>
    <w:p>
      <w:pPr>
        <w:pStyle w:val="Indenta"/>
        <w:keepNext/>
      </w:pPr>
      <w:r>
        <w:lastRenderedPageBreak/>
        <w:tab/>
        <w:t>(d)</w:t>
      </w:r>
      <w:r>
        <w:tab/>
        <w:t>a matter if —</w:t>
      </w:r>
    </w:p>
    <w:p>
      <w:pPr>
        <w:pStyle w:val="Indenti"/>
      </w:pPr>
      <w:r>
        <w:tab/>
        <w:t>(i)</w:t>
      </w:r>
      <w:r>
        <w:tab/>
        <w:t>a written law provides that the person is not required to pay a fee in respect of a matter of that type; or</w:t>
      </w:r>
    </w:p>
    <w:p>
      <w:pPr>
        <w:pStyle w:val="Indenti"/>
      </w:pPr>
      <w:r>
        <w:tab/>
        <w:t>(ii)</w:t>
      </w:r>
      <w:r>
        <w:tab/>
        <w:t>the person has not reached 18 years of age on the day the fee would otherwise be payable.</w:t>
      </w:r>
    </w:p>
    <w:p>
      <w:pPr>
        <w:pStyle w:val="Footnotesection"/>
      </w:pPr>
      <w:r>
        <w:tab/>
        <w:t>[Regulation 5 inserted: SL 2024/174 r. 4.]</w:t>
      </w:r>
    </w:p>
    <w:p>
      <w:pPr>
        <w:pStyle w:val="Heading5"/>
        <w:spacing w:before="200"/>
      </w:pPr>
      <w:bookmarkStart w:id="7" w:name="_Toc201305300"/>
      <w:r>
        <w:rPr>
          <w:rStyle w:val="CharSectno"/>
        </w:rPr>
        <w:t>6</w:t>
      </w:r>
      <w:r>
        <w:t>.</w:t>
      </w:r>
      <w:r>
        <w:tab/>
        <w:t>Certain fees subject to conditions</w:t>
      </w:r>
      <w:bookmarkEnd w:id="7"/>
    </w:p>
    <w:p>
      <w:pPr>
        <w:pStyle w:val="Subsection"/>
        <w:spacing w:before="130"/>
      </w:pPr>
      <w:r>
        <w:tab/>
        <w:t>(1)</w:t>
      </w:r>
      <w:r>
        <w:tab/>
        <w:t xml:space="preserve">This regulation applies to — </w:t>
      </w:r>
    </w:p>
    <w:p>
      <w:pPr>
        <w:pStyle w:val="Indenta"/>
        <w:spacing w:before="60"/>
      </w:pPr>
      <w:r>
        <w:tab/>
        <w:t>(a)</w:t>
      </w:r>
      <w:r>
        <w:tab/>
        <w:t>proceedings in the Court’s criminal jurisdiction; and</w:t>
      </w:r>
    </w:p>
    <w:p>
      <w:pPr>
        <w:pStyle w:val="Indenta"/>
        <w:spacing w:before="60"/>
        <w:rPr>
          <w:iCs/>
        </w:rPr>
      </w:pPr>
      <w:r>
        <w:tab/>
        <w:t>(b)</w:t>
      </w:r>
      <w:r>
        <w:tab/>
        <w:t xml:space="preserve">proceedings under the </w:t>
      </w:r>
      <w:r>
        <w:rPr>
          <w:i/>
        </w:rPr>
        <w:t>Restraining Orders Act 1997</w:t>
      </w:r>
      <w:r>
        <w:rPr>
          <w:iCs/>
        </w:rPr>
        <w:t>.</w:t>
      </w:r>
    </w:p>
    <w:p>
      <w:pPr>
        <w:pStyle w:val="Subsection"/>
        <w:spacing w:before="130"/>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spacing w:before="120"/>
      </w:pPr>
      <w:r>
        <w:tab/>
        <w:t>(3)</w:t>
      </w:r>
      <w:r>
        <w:tab/>
        <w:t>If —</w:t>
      </w:r>
    </w:p>
    <w:p>
      <w:pPr>
        <w:pStyle w:val="Indenta"/>
        <w:spacing w:before="60"/>
      </w:pPr>
      <w:r>
        <w:tab/>
        <w:t>(a)</w:t>
      </w:r>
      <w:r>
        <w:tab/>
        <w:t xml:space="preserve">proceedings are instituted or taken — </w:t>
      </w:r>
    </w:p>
    <w:p>
      <w:pPr>
        <w:pStyle w:val="Indenti"/>
        <w:spacing w:before="60"/>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Ednotesubsection"/>
      </w:pPr>
      <w:r>
        <w:tab/>
        <w:t>[(4)</w:t>
      </w:r>
      <w:r>
        <w:tab/>
        <w:t>deleted]</w:t>
      </w:r>
    </w:p>
    <w:p>
      <w:pPr>
        <w:pStyle w:val="Footnotesection"/>
      </w:pPr>
      <w:r>
        <w:tab/>
        <w:t>[Regulation 6 amended: SL 2024/254 r. 4.]</w:t>
      </w:r>
    </w:p>
    <w:p>
      <w:pPr>
        <w:pStyle w:val="Heading5"/>
      </w:pPr>
      <w:bookmarkStart w:id="8" w:name="_Toc201305301"/>
      <w:r>
        <w:rPr>
          <w:rStyle w:val="CharSectno"/>
        </w:rPr>
        <w:lastRenderedPageBreak/>
        <w:t>6AA</w:t>
      </w:r>
      <w:r>
        <w:t>.</w:t>
      </w:r>
      <w:r>
        <w:tab/>
        <w:t>Certain application and transcript fees must be waived</w:t>
      </w:r>
      <w:bookmarkEnd w:id="8"/>
    </w:p>
    <w:p>
      <w:pPr>
        <w:pStyle w:val="Subsection"/>
      </w:pPr>
      <w:r>
        <w:tab/>
        <w:t>(1)</w:t>
      </w:r>
      <w:r>
        <w:tab/>
        <w:t xml:space="preserve">In this regulation — </w:t>
      </w:r>
    </w:p>
    <w:p>
      <w:pPr>
        <w:pStyle w:val="Defstart"/>
      </w:pPr>
      <w:r>
        <w:tab/>
      </w:r>
      <w:r>
        <w:rPr>
          <w:rStyle w:val="CharDefText"/>
        </w:rPr>
        <w:t>applicant</w:t>
      </w:r>
      <w:r>
        <w:t xml:space="preserve">, in relation to an application for an FVRO or a VRO — </w:t>
      </w:r>
    </w:p>
    <w:p>
      <w:pPr>
        <w:pStyle w:val="Defpara"/>
      </w:pPr>
      <w:r>
        <w:tab/>
        <w:t>(a)</w:t>
      </w:r>
      <w:r>
        <w:tab/>
        <w:t>means the person who made the application; and</w:t>
      </w:r>
    </w:p>
    <w:p>
      <w:pPr>
        <w:pStyle w:val="Defpara"/>
      </w:pPr>
      <w:r>
        <w:tab/>
        <w:t>(b)</w:t>
      </w:r>
      <w:r>
        <w:tab/>
        <w:t>if the application was made on behalf of another person — includes that person;</w:t>
      </w:r>
    </w:p>
    <w:p>
      <w:pPr>
        <w:pStyle w:val="Defstart"/>
      </w:pPr>
      <w:r>
        <w:tab/>
      </w:r>
      <w:r>
        <w:rPr>
          <w:rStyle w:val="CharDefText"/>
        </w:rPr>
        <w:t>FVRO</w:t>
      </w:r>
      <w:r>
        <w:t xml:space="preserve"> means a family violence restraining order made under the </w:t>
      </w:r>
      <w:r>
        <w:rPr>
          <w:i/>
        </w:rPr>
        <w:t>Restraining Orders Act 1997</w:t>
      </w:r>
      <w:r>
        <w:t>;</w:t>
      </w:r>
    </w:p>
    <w:p>
      <w:pPr>
        <w:pStyle w:val="Defstart"/>
      </w:pPr>
      <w:r>
        <w:tab/>
      </w:r>
      <w:r>
        <w:rPr>
          <w:rStyle w:val="CharDefText"/>
        </w:rPr>
        <w:t>interim order</w:t>
      </w:r>
      <w:r>
        <w:t xml:space="preserve"> means an FVRO or a VRO made under the </w:t>
      </w:r>
      <w:r>
        <w:rPr>
          <w:i/>
        </w:rPr>
        <w:t>Restraining Orders Act 1997</w:t>
      </w:r>
      <w:r>
        <w:t xml:space="preserve"> section 29(1)(a), the duration of which is more than 72 hours;</w:t>
      </w:r>
    </w:p>
    <w:p>
      <w:pPr>
        <w:pStyle w:val="Defstart"/>
      </w:pPr>
      <w:r>
        <w:tab/>
      </w:r>
      <w:r>
        <w:rPr>
          <w:rStyle w:val="CharDefText"/>
        </w:rPr>
        <w:t>respondent</w:t>
      </w:r>
      <w:r>
        <w:t xml:space="preserve">, in relation to an application for an FVRO or a VRO, has the meaning given in the </w:t>
      </w:r>
      <w:r>
        <w:rPr>
          <w:i/>
        </w:rPr>
        <w:t>Restraining Orders Act 1997</w:t>
      </w:r>
      <w:r>
        <w:t xml:space="preserve"> section 3(1);</w:t>
      </w:r>
    </w:p>
    <w:p>
      <w:pPr>
        <w:pStyle w:val="Defstart"/>
      </w:pPr>
      <w:r>
        <w:tab/>
      </w:r>
      <w:r>
        <w:rPr>
          <w:rStyle w:val="CharDefText"/>
        </w:rPr>
        <w:t>VRO</w:t>
      </w:r>
      <w:r>
        <w:t xml:space="preserve"> means a violence restraining order under the </w:t>
      </w:r>
      <w:r>
        <w:rPr>
          <w:i/>
        </w:rPr>
        <w:t>Restraining Orders Act 1997</w:t>
      </w:r>
      <w:r>
        <w:t>.</w:t>
      </w:r>
    </w:p>
    <w:p>
      <w:pPr>
        <w:pStyle w:val="Subsection"/>
      </w:pPr>
      <w:r>
        <w:tab/>
        <w:t>(2)</w:t>
      </w:r>
      <w:r>
        <w:tab/>
        <w:t xml:space="preserve">Subregulation (3) applies in relation to an application for an FVRO or a VRO </w:t>
      </w:r>
      <w:r>
        <w:rPr>
          <w:iCs/>
          <w:szCs w:val="24"/>
        </w:rPr>
        <w:t xml:space="preserve">if — </w:t>
      </w:r>
    </w:p>
    <w:p>
      <w:pPr>
        <w:pStyle w:val="Indenta"/>
      </w:pPr>
      <w:r>
        <w:tab/>
        <w:t>(a)</w:t>
      </w:r>
      <w:r>
        <w:tab/>
        <w:t>no decision has been made on the application; or</w:t>
      </w:r>
    </w:p>
    <w:p>
      <w:pPr>
        <w:pStyle w:val="Indenta"/>
      </w:pPr>
      <w:r>
        <w:tab/>
        <w:t>(b)</w:t>
      </w:r>
      <w:r>
        <w:tab/>
        <w:t>the application was dismissed; or</w:t>
      </w:r>
    </w:p>
    <w:p>
      <w:pPr>
        <w:pStyle w:val="Indenta"/>
      </w:pPr>
      <w:r>
        <w:tab/>
        <w:t>(c)</w:t>
      </w:r>
      <w:r>
        <w:tab/>
        <w:t>an interim order was made and the order is still in force.</w:t>
      </w:r>
    </w:p>
    <w:p>
      <w:pPr>
        <w:pStyle w:val="Subsection"/>
      </w:pPr>
      <w:r>
        <w:tab/>
        <w:t>(3)</w:t>
      </w:r>
      <w:r>
        <w:tab/>
        <w:t>A registrar must waive the fee under Schedule 1 Division 1 item 6(a) for a copy of the application when requested by the applicant or the respondent if the applicant or respondent (as is relevant) has not previously obtained a copy of the application.</w:t>
      </w:r>
    </w:p>
    <w:p>
      <w:pPr>
        <w:pStyle w:val="Subsection"/>
        <w:rPr>
          <w:iCs/>
          <w:szCs w:val="24"/>
        </w:rPr>
      </w:pPr>
      <w:r>
        <w:tab/>
        <w:t>(4)</w:t>
      </w:r>
      <w:r>
        <w:tab/>
        <w:t xml:space="preserve">Subregulation (5) applies in relation to the hearing of an application for an FVRO or a VRO </w:t>
      </w:r>
      <w:r>
        <w:rPr>
          <w:iCs/>
          <w:szCs w:val="24"/>
        </w:rPr>
        <w:t xml:space="preserve">at which — </w:t>
      </w:r>
    </w:p>
    <w:p>
      <w:pPr>
        <w:pStyle w:val="Indenta"/>
      </w:pPr>
      <w:r>
        <w:tab/>
        <w:t>(a)</w:t>
      </w:r>
      <w:r>
        <w:tab/>
        <w:t>the application was dismissed; or</w:t>
      </w:r>
    </w:p>
    <w:p>
      <w:pPr>
        <w:pStyle w:val="Indenta"/>
        <w:rPr>
          <w:iCs/>
          <w:szCs w:val="24"/>
        </w:rPr>
      </w:pPr>
      <w:r>
        <w:tab/>
        <w:t>(b)</w:t>
      </w:r>
      <w:r>
        <w:tab/>
      </w:r>
      <w:r>
        <w:rPr>
          <w:iCs/>
          <w:szCs w:val="24"/>
        </w:rPr>
        <w:t>an interim order was made and the order —</w:t>
      </w:r>
    </w:p>
    <w:p>
      <w:pPr>
        <w:pStyle w:val="Indenti"/>
      </w:pPr>
      <w:r>
        <w:tab/>
        <w:t>(i)</w:t>
      </w:r>
      <w:r>
        <w:tab/>
        <w:t>is still in force; or</w:t>
      </w:r>
    </w:p>
    <w:p>
      <w:pPr>
        <w:pStyle w:val="Indenti"/>
      </w:pPr>
      <w:r>
        <w:lastRenderedPageBreak/>
        <w:tab/>
        <w:t>(ii)</w:t>
      </w:r>
      <w:r>
        <w:tab/>
        <w:t xml:space="preserve">has become a final order under the </w:t>
      </w:r>
      <w:r>
        <w:rPr>
          <w:i/>
        </w:rPr>
        <w:t>Restraining Orders Act 1997</w:t>
      </w:r>
      <w:r>
        <w:rPr>
          <w:iCs/>
        </w:rPr>
        <w:t xml:space="preserve"> </w:t>
      </w:r>
      <w:r>
        <w:t>section 32(2).</w:t>
      </w:r>
    </w:p>
    <w:p>
      <w:pPr>
        <w:pStyle w:val="Subsection"/>
      </w:pPr>
      <w:r>
        <w:tab/>
        <w:t>(5)</w:t>
      </w:r>
      <w:r>
        <w:tab/>
        <w:t>A registrar must waive the fee under Schedule 1 Division 1 item 7(a) for a copy of the transcript of the hearing, or a part of the transcript, when requested by the applicant or the respondent if the applicant or respondent (as is relevant) has not previously obtained a copy of the transcript or part.</w:t>
      </w:r>
    </w:p>
    <w:p>
      <w:pPr>
        <w:pStyle w:val="Footnotesection"/>
      </w:pPr>
      <w:r>
        <w:tab/>
        <w:t>[Regulation 6AA inserted: SL 2024/254 r. 5.]</w:t>
      </w:r>
    </w:p>
    <w:p>
      <w:pPr>
        <w:pStyle w:val="Heading5"/>
      </w:pPr>
      <w:bookmarkStart w:id="9" w:name="_Toc201305302"/>
      <w:r>
        <w:rPr>
          <w:rStyle w:val="CharSectno"/>
        </w:rPr>
        <w:t>6A</w:t>
      </w:r>
      <w:r>
        <w:t>.</w:t>
      </w:r>
      <w:r>
        <w:tab/>
        <w:t>Certain application fees may be waived</w:t>
      </w:r>
      <w:bookmarkEnd w:id="9"/>
    </w:p>
    <w:p>
      <w:pPr>
        <w:pStyle w:val="Subsection"/>
      </w:pPr>
      <w:r>
        <w:tab/>
      </w:r>
      <w:r>
        <w:tab/>
        <w:t xml:space="preserve">A registrar may waive the fee for an application under the </w:t>
      </w:r>
      <w:r>
        <w:rPr>
          <w:i/>
        </w:rPr>
        <w:t>Criminal Procedure Act 2004</w:t>
      </w:r>
      <w:r>
        <w:t xml:space="preserve"> section 71(2)(a) or (b) for an order to set aside a decision if the registrar is satisfied that the reason for the failure to appear is a clerical error by the Court.</w:t>
      </w:r>
    </w:p>
    <w:p>
      <w:pPr>
        <w:pStyle w:val="Footnotesection"/>
      </w:pPr>
      <w:r>
        <w:tab/>
        <w:t>[Regulation 6A inserted: SL 2022/145 r. 4.]</w:t>
      </w:r>
    </w:p>
    <w:p>
      <w:pPr>
        <w:pStyle w:val="Heading5"/>
        <w:spacing w:before="240"/>
        <w:rPr>
          <w:snapToGrid w:val="0"/>
        </w:rPr>
      </w:pPr>
      <w:bookmarkStart w:id="10" w:name="_Toc201305303"/>
      <w:r>
        <w:rPr>
          <w:rStyle w:val="CharSectno"/>
        </w:rPr>
        <w:t>7</w:t>
      </w:r>
      <w:r>
        <w:t>.</w:t>
      </w:r>
      <w:r>
        <w:tab/>
      </w:r>
      <w:r>
        <w:rPr>
          <w:rStyle w:val="CharSectno"/>
        </w:rPr>
        <w:t>F</w:t>
      </w:r>
      <w:r>
        <w:rPr>
          <w:snapToGrid w:val="0"/>
        </w:rPr>
        <w:t>ees to be paid before documents etc. filed in civil cases</w:t>
      </w:r>
      <w:bookmarkEnd w:id="10"/>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pPr>
      <w:bookmarkStart w:id="11" w:name="_Toc201305304"/>
      <w:r>
        <w:rPr>
          <w:rStyle w:val="CharSectno"/>
        </w:rPr>
        <w:lastRenderedPageBreak/>
        <w:t>8</w:t>
      </w:r>
      <w:r>
        <w:t>.</w:t>
      </w:r>
      <w:r>
        <w:tab/>
        <w:t>Who is an eligible individual</w:t>
      </w:r>
      <w:bookmarkEnd w:id="11"/>
      <w:r>
        <w:t xml:space="preserve"> </w:t>
      </w:r>
    </w:p>
    <w:p>
      <w:pPr>
        <w:pStyle w:val="Subsection"/>
        <w:keepNext/>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keepNext/>
      </w:pPr>
      <w:r>
        <w:tab/>
        <w:t>(2)</w:t>
      </w:r>
      <w:r>
        <w:tab/>
        <w:t xml:space="preserve">An eligible individual is — </w:t>
      </w:r>
    </w:p>
    <w:p>
      <w:pPr>
        <w:pStyle w:val="Indenta"/>
        <w:keepNext/>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w:t>
      </w:r>
    </w:p>
    <w:p>
      <w:pPr>
        <w:pStyle w:val="Footnotesection"/>
        <w:spacing w:before="100"/>
        <w:ind w:left="890" w:hanging="890"/>
      </w:pPr>
      <w:r>
        <w:tab/>
        <w:t>[Regulation 8 inserted: Gazette 14 Jun 2016 p. 1857</w:t>
      </w:r>
      <w:r>
        <w:noBreakHyphen/>
        <w:t>8; amended: Gazette 20 Jul 2018 p. 2621.]</w:t>
      </w:r>
    </w:p>
    <w:p>
      <w:pPr>
        <w:pStyle w:val="Heading5"/>
      </w:pPr>
      <w:bookmarkStart w:id="12" w:name="_Toc201305305"/>
      <w:r>
        <w:rPr>
          <w:rStyle w:val="CharSectno"/>
        </w:rPr>
        <w:lastRenderedPageBreak/>
        <w:t>9A</w:t>
      </w:r>
      <w:r>
        <w:t>.</w:t>
      </w:r>
      <w:r>
        <w:tab/>
        <w:t>Application to be recognised as eligible individual</w:t>
      </w:r>
      <w:bookmarkEnd w:id="12"/>
      <w:r>
        <w:t xml:space="preserve"> </w:t>
      </w:r>
    </w:p>
    <w:p>
      <w:pPr>
        <w:pStyle w:val="Subsection"/>
      </w:pPr>
      <w:r>
        <w:tab/>
        <w:t>(1)</w:t>
      </w:r>
      <w:r>
        <w:tab/>
        <w:t>A person may apply for a direction under regulation 9B(1) that, in respect of a matter specified in Schedule 1, the person is an eligible individual described in regulation 8(2)(f).</w:t>
      </w:r>
    </w:p>
    <w:p>
      <w:pPr>
        <w:pStyle w:val="Subsection"/>
      </w:pPr>
      <w:r>
        <w:tab/>
        <w:t>(2)</w:t>
      </w:r>
      <w:r>
        <w:tab/>
        <w:t>An application is to be in the approved form and is to specify the matter in respect of which the individual is seeking to pay the eligible individual fee.</w:t>
      </w:r>
    </w:p>
    <w:p>
      <w:pPr>
        <w:pStyle w:val="Subsection"/>
        <w:keepNext/>
      </w:pPr>
      <w:r>
        <w:tab/>
        <w:t>(3)</w:t>
      </w:r>
      <w:r>
        <w:tab/>
        <w:t>Despite anything else in these regulations, a fee is not to be charged in respect of an application under subregulation (1).</w:t>
      </w:r>
    </w:p>
    <w:p>
      <w:pPr>
        <w:pStyle w:val="Footnotesection"/>
        <w:spacing w:before="100"/>
        <w:ind w:left="890" w:hanging="890"/>
      </w:pPr>
      <w:r>
        <w:tab/>
        <w:t>[Regulation 9A inserted: Gazette 14 Jun 2016 p. 1858</w:t>
      </w:r>
      <w:r>
        <w:noBreakHyphen/>
        <w:t>9; amended: Gazette 20 Jul 2018 p. 2622.]</w:t>
      </w:r>
    </w:p>
    <w:p>
      <w:pPr>
        <w:pStyle w:val="Heading5"/>
        <w:keepNext w:val="0"/>
      </w:pPr>
      <w:bookmarkStart w:id="13" w:name="_Toc201305306"/>
      <w:r>
        <w:rPr>
          <w:rStyle w:val="CharSectno"/>
        </w:rPr>
        <w:t>9B</w:t>
      </w:r>
      <w:r>
        <w:t>.</w:t>
      </w:r>
      <w:r>
        <w:tab/>
        <w:t>Recognition as eligible individual</w:t>
      </w:r>
      <w:bookmarkEnd w:id="13"/>
    </w:p>
    <w:p>
      <w:pPr>
        <w:pStyle w:val="Subsection"/>
      </w:pPr>
      <w:r>
        <w:tab/>
        <w:t>(1)</w:t>
      </w:r>
      <w:r>
        <w:tab/>
        <w:t xml:space="preserve">On an application under regulation 9A(1) the Court or a registrar may direct that a person is an eligible individual described in regulation 8(2)(f)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The Court or a registrar may, before an application is determined, direct the applicant to provide to the registrar or the Court further information relating to the application.</w:t>
      </w:r>
    </w:p>
    <w:p>
      <w:pPr>
        <w:pStyle w:val="Subsection"/>
      </w:pPr>
      <w:r>
        <w:tab/>
        <w:t>(3)</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spacing w:before="100"/>
        <w:ind w:left="890" w:hanging="890"/>
      </w:pPr>
      <w:r>
        <w:tab/>
        <w:t>[Regulation 9B inserted: Gazette 14 Jun 2016 p. 1859; amended: Gazette 20 Jul 2018 p. 2622.]</w:t>
      </w:r>
    </w:p>
    <w:p>
      <w:pPr>
        <w:pStyle w:val="Heading5"/>
      </w:pPr>
      <w:bookmarkStart w:id="14" w:name="_Toc201305307"/>
      <w:r>
        <w:rPr>
          <w:rStyle w:val="CharSectno"/>
        </w:rPr>
        <w:lastRenderedPageBreak/>
        <w:t>9C</w:t>
      </w:r>
      <w:r>
        <w:t>.</w:t>
      </w:r>
      <w:r>
        <w:tab/>
        <w:t>False or misleading statements</w:t>
      </w:r>
      <w:bookmarkEnd w:id="14"/>
    </w:p>
    <w:p>
      <w:pPr>
        <w:pStyle w:val="Subsection"/>
        <w:keepNext/>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revoke a direction made under regulation 9B(1) if satisfied, having given the person an opportunity to make a written submission, that the person has contravened subregulation (1).</w:t>
      </w:r>
    </w:p>
    <w:p>
      <w:pPr>
        <w:pStyle w:val="Subsection"/>
        <w:keepNext/>
      </w:pPr>
      <w:r>
        <w:tab/>
        <w:t>(3)</w:t>
      </w:r>
      <w:r>
        <w:tab/>
        <w:t xml:space="preserve">If a direction is revoked under subregulation (2), the Court or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100"/>
        <w:ind w:left="890" w:hanging="890"/>
      </w:pPr>
      <w:r>
        <w:tab/>
        <w:t>[Regulation 9C inserted: Gazette 14 Jun 2016 p. 1860.]</w:t>
      </w:r>
    </w:p>
    <w:p>
      <w:pPr>
        <w:pStyle w:val="Heading5"/>
      </w:pPr>
      <w:bookmarkStart w:id="15" w:name="_Toc201305308"/>
      <w:r>
        <w:rPr>
          <w:rStyle w:val="CharSectno"/>
        </w:rPr>
        <w:t>9D</w:t>
      </w:r>
      <w:r>
        <w:t>.</w:t>
      </w:r>
      <w:r>
        <w:tab/>
        <w:t>Refunds</w:t>
      </w:r>
      <w:bookmarkEnd w:id="15"/>
    </w:p>
    <w:p>
      <w:pPr>
        <w:pStyle w:val="Subsection"/>
      </w:pPr>
      <w:r>
        <w:tab/>
        <w:t>(1)</w:t>
      </w:r>
      <w:r>
        <w:tab/>
        <w:t>A judge or magistrate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keepNext/>
      </w:pPr>
      <w:r>
        <w:lastRenderedPageBreak/>
        <w:tab/>
        <w:t>(2)</w:t>
      </w:r>
      <w:r>
        <w:tab/>
        <w:t>A registrar may refund to a person the amount of a fee, or part of a fee, paid by the person if the amount was paid in error.</w:t>
      </w:r>
    </w:p>
    <w:p>
      <w:pPr>
        <w:pStyle w:val="Footnotesection"/>
        <w:spacing w:before="100"/>
        <w:ind w:left="890" w:hanging="890"/>
      </w:pPr>
      <w:r>
        <w:tab/>
        <w:t>[Regulation 9D inserted: Gazette 14 Jun 2016 p. 1860</w:t>
      </w:r>
      <w:r>
        <w:noBreakHyphen/>
        <w:t>1.]</w:t>
      </w:r>
    </w:p>
    <w:p>
      <w:pPr>
        <w:pStyle w:val="Heading5"/>
      </w:pPr>
      <w:bookmarkStart w:id="16" w:name="_Toc201305309"/>
      <w:r>
        <w:rPr>
          <w:rStyle w:val="CharSectno"/>
        </w:rPr>
        <w:t>9</w:t>
      </w:r>
      <w:r>
        <w:t>.</w:t>
      </w:r>
      <w:r>
        <w:tab/>
        <w:t>Waiving fee for copy of document or transcript</w:t>
      </w:r>
      <w:bookmarkEnd w:id="16"/>
      <w:r>
        <w:t xml:space="preserve"> </w:t>
      </w:r>
    </w:p>
    <w:p>
      <w:pPr>
        <w:pStyle w:val="Subsection"/>
      </w:pPr>
      <w:r>
        <w:tab/>
      </w:r>
      <w:r>
        <w:tab/>
        <w:t>The Court or a registrar may waive a fee referred to in Schedule 1 Division 1 item 6(a) or 7 if the Court or registrar is satisfied that the waiving of the fee would assist in the efficient operation of the Court.</w:t>
      </w:r>
    </w:p>
    <w:p>
      <w:pPr>
        <w:pStyle w:val="Footnotesection"/>
        <w:spacing w:before="100"/>
        <w:ind w:left="890" w:hanging="890"/>
      </w:pPr>
      <w:r>
        <w:tab/>
        <w:t>[Regulation 9 inserted: Gazette 14 Jun 2016 p. 1861.]</w:t>
      </w:r>
    </w:p>
    <w:p>
      <w:pPr>
        <w:pStyle w:val="Heading5"/>
      </w:pPr>
      <w:bookmarkStart w:id="17" w:name="_Toc201305310"/>
      <w:r>
        <w:rPr>
          <w:rStyle w:val="CharSectno"/>
        </w:rPr>
        <w:t>10</w:t>
      </w:r>
      <w:r>
        <w:t>.</w:t>
      </w:r>
      <w:r>
        <w:tab/>
        <w:t>Disputes as to fees, determination of</w:t>
      </w:r>
      <w:bookmarkEnd w:id="17"/>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approved form.</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Footnotesection"/>
        <w:spacing w:before="100"/>
        <w:ind w:left="890" w:hanging="890"/>
      </w:pPr>
      <w:r>
        <w:tab/>
        <w:t>[Regulation 10 amended: Gazette 14 Jun 2016 p. 1861.]</w:t>
      </w:r>
    </w:p>
    <w:p>
      <w:pPr>
        <w:pStyle w:val="Heading5"/>
      </w:pPr>
      <w:bookmarkStart w:id="18" w:name="_Toc201305311"/>
      <w:r>
        <w:rPr>
          <w:rStyle w:val="CharSectno"/>
        </w:rPr>
        <w:t>11</w:t>
      </w:r>
      <w:r>
        <w:t>.</w:t>
      </w:r>
      <w:r>
        <w:tab/>
        <w:t>Unpaid fees, recovery of</w:t>
      </w:r>
      <w:bookmarkEnd w:id="18"/>
    </w:p>
    <w:p>
      <w:pPr>
        <w:pStyle w:val="Subsection"/>
      </w:pPr>
      <w:r>
        <w:tab/>
      </w:r>
      <w:r>
        <w:tab/>
        <w:t>Any unpaid fee is a debt due to the State and may be recovered by action in a court of competent jurisdiction.</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9" w:name="_Toc201239133"/>
      <w:bookmarkStart w:id="20" w:name="_Toc201239210"/>
      <w:bookmarkStart w:id="21" w:name="_Toc201239481"/>
      <w:bookmarkStart w:id="22" w:name="_Toc201302888"/>
      <w:bookmarkStart w:id="23" w:name="_Toc201303011"/>
      <w:bookmarkStart w:id="24" w:name="_Toc201305312"/>
      <w:bookmarkStart w:id="25" w:name="_Toc201300732"/>
      <w:r>
        <w:rPr>
          <w:rStyle w:val="CharSchNo"/>
        </w:rPr>
        <w:lastRenderedPageBreak/>
        <w:t>Schedule 1</w:t>
      </w:r>
      <w:r>
        <w:t> —</w:t>
      </w:r>
      <w:r>
        <w:rPr>
          <w:rStyle w:val="CharSchText"/>
        </w:rPr>
        <w:t> Fees</w:t>
      </w:r>
      <w:bookmarkEnd w:id="19"/>
      <w:bookmarkEnd w:id="20"/>
      <w:bookmarkEnd w:id="21"/>
      <w:bookmarkEnd w:id="22"/>
      <w:bookmarkEnd w:id="23"/>
      <w:bookmarkEnd w:id="24"/>
    </w:p>
    <w:p>
      <w:pPr>
        <w:pStyle w:val="yShoulderClause"/>
      </w:pPr>
      <w:r>
        <w:t>[r. 4]</w:t>
      </w:r>
    </w:p>
    <w:p>
      <w:pPr>
        <w:pStyle w:val="yFootnoteheading"/>
      </w:pPr>
      <w:bookmarkStart w:id="26" w:name="_Toc201239134"/>
      <w:bookmarkStart w:id="27" w:name="_Toc201239211"/>
      <w:bookmarkStart w:id="28" w:name="_Toc201239482"/>
      <w:r>
        <w:tab/>
        <w:t>[Heading inserted: SL 2025/111 r. 6.]</w:t>
      </w:r>
    </w:p>
    <w:p>
      <w:pPr>
        <w:pStyle w:val="CharzDivNo"/>
        <w:rPr>
          <w:rStyle w:val="CharDivText"/>
        </w:rPr>
      </w:pPr>
      <w:bookmarkStart w:id="29" w:name="_Toc201302889"/>
      <w:bookmarkStart w:id="30" w:name="_Toc201303012"/>
      <w:r>
        <w:rPr>
          <w:rStyle w:val="CharSDivNo"/>
        </w:rPr>
        <w:t>Division 1</w:t>
      </w:r>
      <w:r>
        <w:t> —</w:t>
      </w:r>
      <w:r>
        <w:rPr>
          <w:rStyle w:val="CharDivText"/>
        </w:rPr>
        <w:t> </w:t>
      </w:r>
      <w:r>
        <w:rPr>
          <w:rStyle w:val="CharSDivText"/>
        </w:rPr>
        <w:t>General</w:t>
      </w:r>
      <w:bookmarkEnd w:id="26"/>
      <w:bookmarkEnd w:id="27"/>
      <w:bookmarkEnd w:id="28"/>
      <w:bookmarkEnd w:id="29"/>
      <w:bookmarkEnd w:id="30"/>
    </w:p>
    <w:p>
      <w:pPr>
        <w:pStyle w:val="yFootnoteheading"/>
      </w:pPr>
      <w:r>
        <w:tab/>
        <w:t>[Heading inserted: SL 2025/111 r. 6.]</w:t>
      </w:r>
    </w:p>
    <w:tbl>
      <w:tblPr>
        <w:tblW w:w="6980" w:type="dxa"/>
        <w:tblInd w:w="108" w:type="dxa"/>
        <w:tblLayout w:type="fixed"/>
        <w:tblLook w:val="0000" w:firstRow="0" w:lastRow="0" w:firstColumn="0" w:lastColumn="0" w:noHBand="0" w:noVBand="0"/>
      </w:tblPr>
      <w:tblGrid>
        <w:gridCol w:w="709"/>
        <w:gridCol w:w="3544"/>
        <w:gridCol w:w="1417"/>
        <w:gridCol w:w="1310"/>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3544" w:type="dxa"/>
            <w:tcBorders>
              <w:top w:val="single" w:sz="4" w:space="0" w:color="auto"/>
              <w:bottom w:val="single" w:sz="4" w:space="0" w:color="auto"/>
            </w:tcBorders>
            <w:noWrap/>
          </w:tcPr>
          <w:p>
            <w:pPr>
              <w:pStyle w:val="yTableNAm"/>
              <w:jc w:val="center"/>
              <w:rPr>
                <w:rStyle w:val="DraftersNotes"/>
                <w:b w:val="0"/>
                <w:i w:val="0"/>
                <w:sz w:val="22"/>
              </w:rPr>
            </w:pPr>
            <w:r>
              <w:rPr>
                <w:b/>
              </w:rPr>
              <w:t>Matter</w:t>
            </w:r>
          </w:p>
        </w:tc>
        <w:tc>
          <w:tcPr>
            <w:tcW w:w="1417"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i/>
                <w:sz w:val="20"/>
              </w:rPr>
            </w:pPr>
            <w:r>
              <w:rPr>
                <w:b/>
              </w:rPr>
              <w:t>Fee for individual</w:t>
            </w:r>
            <w:r>
              <w:rPr>
                <w:b/>
              </w:rPr>
              <w:br/>
              <w:t>$</w:t>
            </w:r>
          </w:p>
        </w:tc>
        <w:tc>
          <w:tcPr>
            <w:tcW w:w="1310"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eligible individual</w:t>
            </w:r>
            <w:r>
              <w:rPr>
                <w:b/>
              </w:rPr>
              <w:br/>
              <w:t>$</w:t>
            </w:r>
          </w:p>
        </w:tc>
      </w:tr>
      <w:tr>
        <w:trPr>
          <w:cantSplit/>
        </w:trPr>
        <w:tc>
          <w:tcPr>
            <w:tcW w:w="709" w:type="dxa"/>
            <w:tcBorders>
              <w:top w:val="single" w:sz="4" w:space="0" w:color="auto"/>
            </w:tcBorders>
            <w:noWrap/>
          </w:tcPr>
          <w:p>
            <w:pPr>
              <w:pStyle w:val="yTableNAm"/>
            </w:pPr>
            <w:r>
              <w:t>1.</w:t>
            </w:r>
          </w:p>
        </w:tc>
        <w:tc>
          <w:tcPr>
            <w:tcW w:w="3544" w:type="dxa"/>
            <w:tcBorders>
              <w:top w:val="single" w:sz="4" w:space="0" w:color="auto"/>
            </w:tcBorders>
            <w:noWrap/>
          </w:tcPr>
          <w:p>
            <w:pPr>
              <w:pStyle w:val="yTableNAm"/>
              <w:tabs>
                <w:tab w:val="clear" w:pos="567"/>
              </w:tabs>
              <w:ind w:left="491" w:hanging="491"/>
            </w:pPr>
            <w:r>
              <w:t>(a)</w:t>
            </w:r>
            <w:r>
              <w:tab/>
              <w:t>For every order or conviction drawn up in the Court’s criminal jurisdiction</w:t>
            </w:r>
          </w:p>
        </w:tc>
        <w:tc>
          <w:tcPr>
            <w:tcW w:w="1417" w:type="dxa"/>
            <w:tcBorders>
              <w:top w:val="single" w:sz="4" w:space="0" w:color="auto"/>
            </w:tcBorders>
            <w:noWrap/>
            <w:vAlign w:val="bottom"/>
          </w:tcPr>
          <w:p>
            <w:pPr>
              <w:pStyle w:val="yTableNAm"/>
              <w:tabs>
                <w:tab w:val="clear" w:pos="567"/>
              </w:tabs>
              <w:ind w:right="382"/>
              <w:jc w:val="right"/>
            </w:pPr>
            <w:r>
              <w:t>26.10</w:t>
            </w:r>
          </w:p>
        </w:tc>
        <w:tc>
          <w:tcPr>
            <w:tcW w:w="1310" w:type="dxa"/>
            <w:tcBorders>
              <w:top w:val="single" w:sz="4" w:space="0" w:color="auto"/>
            </w:tcBorders>
            <w:noWrap/>
            <w:vAlign w:val="bottom"/>
          </w:tcPr>
          <w:p>
            <w:pPr>
              <w:pStyle w:val="yTableNAm"/>
              <w:tabs>
                <w:tab w:val="clear" w:pos="567"/>
              </w:tabs>
              <w:ind w:right="268"/>
              <w:jc w:val="right"/>
            </w:pPr>
            <w:r>
              <w:t>7.85</w:t>
            </w:r>
          </w:p>
        </w:tc>
      </w:tr>
      <w:tr>
        <w:trPr>
          <w:cantSplit/>
        </w:trPr>
        <w:tc>
          <w:tcPr>
            <w:tcW w:w="709" w:type="dxa"/>
            <w:noWrap/>
          </w:tcPr>
          <w:p>
            <w:pPr>
              <w:pStyle w:val="yTableNAm"/>
            </w:pPr>
          </w:p>
        </w:tc>
        <w:tc>
          <w:tcPr>
            <w:tcW w:w="3544" w:type="dxa"/>
            <w:noWrap/>
          </w:tcPr>
          <w:p>
            <w:pPr>
              <w:pStyle w:val="yTableNAm"/>
              <w:tabs>
                <w:tab w:val="clear" w:pos="567"/>
              </w:tabs>
              <w:ind w:left="491" w:hanging="491"/>
            </w:pPr>
            <w:r>
              <w:t>(b)</w:t>
            </w:r>
            <w:r>
              <w:tab/>
              <w:t>Issue of a duplicate document or order</w:t>
            </w:r>
          </w:p>
        </w:tc>
        <w:tc>
          <w:tcPr>
            <w:tcW w:w="1417" w:type="dxa"/>
            <w:noWrap/>
            <w:vAlign w:val="bottom"/>
          </w:tcPr>
          <w:p>
            <w:pPr>
              <w:pStyle w:val="yTableNAm"/>
              <w:tabs>
                <w:tab w:val="clear" w:pos="567"/>
              </w:tabs>
              <w:ind w:right="382"/>
              <w:jc w:val="right"/>
            </w:pPr>
            <w:r>
              <w:t>26.10</w:t>
            </w:r>
          </w:p>
        </w:tc>
        <w:tc>
          <w:tcPr>
            <w:tcW w:w="1310" w:type="dxa"/>
            <w:noWrap/>
            <w:vAlign w:val="bottom"/>
          </w:tcPr>
          <w:p>
            <w:pPr>
              <w:pStyle w:val="yTableNAm"/>
              <w:tabs>
                <w:tab w:val="clear" w:pos="567"/>
              </w:tabs>
              <w:ind w:right="268"/>
              <w:jc w:val="right"/>
            </w:pPr>
            <w:r>
              <w:t>7.85</w:t>
            </w:r>
          </w:p>
        </w:tc>
      </w:tr>
      <w:tr>
        <w:trPr>
          <w:cantSplit/>
        </w:trPr>
        <w:tc>
          <w:tcPr>
            <w:tcW w:w="709" w:type="dxa"/>
            <w:noWrap/>
          </w:tcPr>
          <w:p>
            <w:pPr>
              <w:pStyle w:val="yTableNAm"/>
            </w:pPr>
            <w:r>
              <w:t>2.</w:t>
            </w:r>
          </w:p>
        </w:tc>
        <w:tc>
          <w:tcPr>
            <w:tcW w:w="3544" w:type="dxa"/>
            <w:noWrap/>
          </w:tcPr>
          <w:p>
            <w:pPr>
              <w:pStyle w:val="yTableNAm"/>
            </w:pPr>
            <w:r>
              <w:t>For the service of an application, summons, originating process, notice or order of the Court or another process requiring service</w:t>
            </w:r>
          </w:p>
        </w:tc>
        <w:tc>
          <w:tcPr>
            <w:tcW w:w="1417" w:type="dxa"/>
            <w:noWrap/>
            <w:vAlign w:val="bottom"/>
          </w:tcPr>
          <w:p>
            <w:pPr>
              <w:pStyle w:val="yTableNAm"/>
              <w:tabs>
                <w:tab w:val="clear" w:pos="567"/>
              </w:tabs>
              <w:ind w:right="382"/>
              <w:jc w:val="right"/>
            </w:pPr>
            <w:r>
              <w:t>114.50</w:t>
            </w:r>
          </w:p>
        </w:tc>
        <w:tc>
          <w:tcPr>
            <w:tcW w:w="1310" w:type="dxa"/>
            <w:noWrap/>
            <w:vAlign w:val="bottom"/>
          </w:tcPr>
          <w:p>
            <w:pPr>
              <w:pStyle w:val="yTableNAm"/>
              <w:tabs>
                <w:tab w:val="clear" w:pos="567"/>
              </w:tabs>
              <w:ind w:right="268"/>
              <w:jc w:val="right"/>
            </w:pPr>
            <w:r>
              <w:t>114.50</w:t>
            </w:r>
          </w:p>
        </w:tc>
      </w:tr>
      <w:tr>
        <w:trPr>
          <w:cantSplit/>
        </w:trPr>
        <w:tc>
          <w:tcPr>
            <w:tcW w:w="709" w:type="dxa"/>
            <w:noWrap/>
          </w:tcPr>
          <w:p>
            <w:pPr>
              <w:pStyle w:val="yTableNAm"/>
            </w:pPr>
          </w:p>
        </w:tc>
        <w:tc>
          <w:tcPr>
            <w:tcW w:w="6271" w:type="dxa"/>
            <w:gridSpan w:val="3"/>
            <w:noWrap/>
          </w:tcPr>
          <w:p>
            <w:pPr>
              <w:pStyle w:val="yTableNAm"/>
              <w:rPr>
                <w:rFonts w:ascii="Arial" w:hAnsi="Arial" w:cs="Arial"/>
                <w:sz w:val="18"/>
                <w:szCs w:val="18"/>
              </w:rPr>
            </w:pPr>
            <w:r>
              <w:rPr>
                <w:rFonts w:ascii="Arial" w:hAnsi="Arial" w:cs="Arial"/>
                <w:sz w:val="18"/>
                <w:szCs w:val="18"/>
              </w:rPr>
              <w:t>Note for this item:</w:t>
            </w:r>
          </w:p>
          <w:p>
            <w:pPr>
              <w:pStyle w:val="yTableNAm"/>
              <w:ind w:left="493"/>
              <w:rPr>
                <w:rFonts w:ascii="Arial" w:hAnsi="Arial" w:cs="Arial"/>
                <w:sz w:val="18"/>
                <w:szCs w:val="18"/>
              </w:rPr>
            </w:pPr>
            <w:r>
              <w:rPr>
                <w:rFonts w:ascii="Arial" w:hAnsi="Arial" w:cs="Arial"/>
                <w:sz w:val="18"/>
                <w:szCs w:val="18"/>
              </w:rPr>
              <w:t>The fee is payable whether or not the service is successful and covers up to 3 attempts at service at the same address.</w:t>
            </w:r>
          </w:p>
        </w:tc>
      </w:tr>
      <w:tr>
        <w:trPr>
          <w:cantSplit/>
        </w:trPr>
        <w:tc>
          <w:tcPr>
            <w:tcW w:w="709" w:type="dxa"/>
            <w:noWrap/>
          </w:tcPr>
          <w:p>
            <w:pPr>
              <w:pStyle w:val="yTableNAm"/>
            </w:pPr>
            <w:r>
              <w:t>3.</w:t>
            </w:r>
          </w:p>
        </w:tc>
        <w:tc>
          <w:tcPr>
            <w:tcW w:w="3544" w:type="dxa"/>
            <w:noWrap/>
          </w:tcPr>
          <w:p>
            <w:pPr>
              <w:pStyle w:val="yTableNAm"/>
            </w:pPr>
            <w:r>
              <w:t xml:space="preserve">If it is necessary to travel to execute a warrant or other process, or serve a summons, order of the Court, other process or document, or make an arrest or for all attempts, attendances and inspections, from the enforcement officer’s office or nearest police station — </w:t>
            </w:r>
          </w:p>
        </w:tc>
        <w:tc>
          <w:tcPr>
            <w:tcW w:w="1417" w:type="dxa"/>
            <w:noWrap/>
          </w:tcPr>
          <w:p>
            <w:pPr>
              <w:pStyle w:val="yTableNAm"/>
            </w:pPr>
          </w:p>
        </w:tc>
        <w:tc>
          <w:tcPr>
            <w:tcW w:w="1310" w:type="dxa"/>
            <w:noWrap/>
          </w:tcPr>
          <w:p>
            <w:pPr>
              <w:pStyle w:val="yTableNAm"/>
            </w:pPr>
          </w:p>
        </w:tc>
      </w:tr>
      <w:tr>
        <w:trPr>
          <w:cantSplit/>
        </w:trPr>
        <w:tc>
          <w:tcPr>
            <w:tcW w:w="709" w:type="dxa"/>
            <w:noWrap/>
          </w:tcPr>
          <w:p>
            <w:pPr>
              <w:pStyle w:val="yTableNAm"/>
            </w:pPr>
          </w:p>
        </w:tc>
        <w:tc>
          <w:tcPr>
            <w:tcW w:w="3544" w:type="dxa"/>
            <w:noWrap/>
          </w:tcPr>
          <w:p>
            <w:pPr>
              <w:pStyle w:val="yTableNAm"/>
              <w:tabs>
                <w:tab w:val="clear" w:pos="567"/>
              </w:tabs>
              <w:ind w:left="491" w:hanging="491"/>
            </w:pPr>
            <w:r>
              <w:t>(a)</w:t>
            </w:r>
            <w:r>
              <w:tab/>
              <w:t>for each kilometre travelled (1 way) in a metropolitan area</w:t>
            </w:r>
          </w:p>
        </w:tc>
        <w:tc>
          <w:tcPr>
            <w:tcW w:w="1417" w:type="dxa"/>
            <w:noWrap/>
            <w:vAlign w:val="bottom"/>
          </w:tcPr>
          <w:p>
            <w:pPr>
              <w:pStyle w:val="yTableNAm"/>
              <w:tabs>
                <w:tab w:val="clear" w:pos="567"/>
              </w:tabs>
              <w:ind w:right="382"/>
              <w:jc w:val="right"/>
            </w:pPr>
            <w:r>
              <w:t>2.65</w:t>
            </w:r>
          </w:p>
        </w:tc>
        <w:tc>
          <w:tcPr>
            <w:tcW w:w="1310" w:type="dxa"/>
            <w:noWrap/>
            <w:vAlign w:val="bottom"/>
          </w:tcPr>
          <w:p>
            <w:pPr>
              <w:pStyle w:val="yTableNAm"/>
              <w:tabs>
                <w:tab w:val="clear" w:pos="567"/>
              </w:tabs>
              <w:ind w:right="382"/>
              <w:jc w:val="right"/>
            </w:pPr>
            <w:r>
              <w:t>2.65</w:t>
            </w:r>
          </w:p>
        </w:tc>
      </w:tr>
      <w:tr>
        <w:trPr>
          <w:cantSplit/>
        </w:trPr>
        <w:tc>
          <w:tcPr>
            <w:tcW w:w="709" w:type="dxa"/>
            <w:noWrap/>
          </w:tcPr>
          <w:p>
            <w:pPr>
              <w:pStyle w:val="yTableNAm"/>
            </w:pPr>
          </w:p>
        </w:tc>
        <w:tc>
          <w:tcPr>
            <w:tcW w:w="3544" w:type="dxa"/>
            <w:noWrap/>
          </w:tcPr>
          <w:p>
            <w:pPr>
              <w:pStyle w:val="yTableNAm"/>
              <w:tabs>
                <w:tab w:val="clear" w:pos="567"/>
              </w:tabs>
              <w:ind w:left="491" w:hanging="491"/>
            </w:pPr>
            <w:r>
              <w:t>(b)</w:t>
            </w:r>
            <w:r>
              <w:tab/>
              <w:t>for each kilometre travelled (1 way) outside a metropolitan area</w:t>
            </w:r>
          </w:p>
        </w:tc>
        <w:tc>
          <w:tcPr>
            <w:tcW w:w="1417" w:type="dxa"/>
            <w:noWrap/>
            <w:vAlign w:val="bottom"/>
          </w:tcPr>
          <w:p>
            <w:pPr>
              <w:pStyle w:val="yTableNAm"/>
              <w:tabs>
                <w:tab w:val="clear" w:pos="567"/>
              </w:tabs>
              <w:ind w:right="382"/>
              <w:jc w:val="right"/>
            </w:pPr>
            <w:r>
              <w:t>3.00</w:t>
            </w:r>
          </w:p>
        </w:tc>
        <w:tc>
          <w:tcPr>
            <w:tcW w:w="1310" w:type="dxa"/>
            <w:noWrap/>
            <w:vAlign w:val="bottom"/>
          </w:tcPr>
          <w:p>
            <w:pPr>
              <w:pStyle w:val="yTableNAm"/>
              <w:tabs>
                <w:tab w:val="clear" w:pos="567"/>
              </w:tabs>
              <w:ind w:right="382"/>
              <w:jc w:val="right"/>
            </w:pPr>
            <w:r>
              <w:t>3.00</w:t>
            </w:r>
          </w:p>
        </w:tc>
      </w:tr>
      <w:tr>
        <w:trPr>
          <w:cantSplit/>
        </w:trPr>
        <w:tc>
          <w:tcPr>
            <w:tcW w:w="709" w:type="dxa"/>
            <w:noWrap/>
          </w:tcPr>
          <w:p>
            <w:pPr>
              <w:pStyle w:val="yTableNAm"/>
            </w:pPr>
          </w:p>
        </w:tc>
        <w:tc>
          <w:tcPr>
            <w:tcW w:w="6271" w:type="dxa"/>
            <w:gridSpan w:val="3"/>
            <w:noWrap/>
          </w:tcPr>
          <w:p>
            <w:pPr>
              <w:pStyle w:val="yTableNAm"/>
              <w:rPr>
                <w:rFonts w:ascii="Arial" w:hAnsi="Arial" w:cs="Arial"/>
                <w:sz w:val="18"/>
                <w:szCs w:val="18"/>
              </w:rPr>
            </w:pPr>
            <w:r>
              <w:rPr>
                <w:rFonts w:ascii="Arial" w:hAnsi="Arial" w:cs="Arial"/>
                <w:sz w:val="18"/>
                <w:szCs w:val="18"/>
              </w:rPr>
              <w:t>Note for this item:</w:t>
            </w:r>
          </w:p>
          <w:p>
            <w:pPr>
              <w:pStyle w:val="yTableNAm"/>
              <w:ind w:left="493"/>
              <w:rPr>
                <w:rFonts w:ascii="Arial" w:hAnsi="Arial" w:cs="Arial"/>
                <w:sz w:val="18"/>
                <w:szCs w:val="18"/>
              </w:rPr>
            </w:pPr>
            <w:r>
              <w:rPr>
                <w:rFonts w:ascii="Arial" w:hAnsi="Arial" w:cs="Arial"/>
                <w:sz w:val="18"/>
                <w:szCs w:val="18"/>
              </w:rPr>
              <w:t>If more than 1 process or document is executed or served by an enforcement officer at the same time on the same person, or on different persons at the same address, only 1 fee for kilometres travelled is chargeable.</w:t>
            </w:r>
          </w:p>
        </w:tc>
      </w:tr>
      <w:tr>
        <w:trPr>
          <w:cantSplit/>
        </w:trPr>
        <w:tc>
          <w:tcPr>
            <w:tcW w:w="709" w:type="dxa"/>
            <w:noWrap/>
          </w:tcPr>
          <w:p>
            <w:pPr>
              <w:pStyle w:val="yTableNAm"/>
            </w:pPr>
            <w:r>
              <w:t>4.</w:t>
            </w:r>
          </w:p>
        </w:tc>
        <w:tc>
          <w:tcPr>
            <w:tcW w:w="3544" w:type="dxa"/>
            <w:noWrap/>
          </w:tcPr>
          <w:p>
            <w:pPr>
              <w:pStyle w:val="yTableNAm"/>
              <w:tabs>
                <w:tab w:val="clear" w:pos="567"/>
              </w:tabs>
              <w:ind w:left="491" w:hanging="491"/>
            </w:pPr>
            <w:r>
              <w:t>(a)</w:t>
            </w:r>
            <w:r>
              <w:tab/>
              <w:t>For searching a record or proceeding (other than a search by or on behalf of a party to the proceedings in the Court’s civil jurisdiction)</w:t>
            </w:r>
          </w:p>
        </w:tc>
        <w:tc>
          <w:tcPr>
            <w:tcW w:w="1417" w:type="dxa"/>
            <w:noWrap/>
            <w:vAlign w:val="bottom"/>
          </w:tcPr>
          <w:p>
            <w:pPr>
              <w:pStyle w:val="yTableNAm"/>
              <w:tabs>
                <w:tab w:val="clear" w:pos="567"/>
              </w:tabs>
              <w:ind w:right="382"/>
              <w:jc w:val="right"/>
            </w:pPr>
            <w:r>
              <w:t>66.50</w:t>
            </w:r>
          </w:p>
        </w:tc>
        <w:tc>
          <w:tcPr>
            <w:tcW w:w="1310" w:type="dxa"/>
            <w:noWrap/>
            <w:vAlign w:val="bottom"/>
          </w:tcPr>
          <w:p>
            <w:pPr>
              <w:pStyle w:val="yTableNAm"/>
              <w:tabs>
                <w:tab w:val="clear" w:pos="567"/>
              </w:tabs>
              <w:ind w:right="382"/>
              <w:jc w:val="right"/>
            </w:pPr>
            <w:r>
              <w:t>19.95</w:t>
            </w:r>
          </w:p>
        </w:tc>
      </w:tr>
      <w:tr>
        <w:trPr>
          <w:cantSplit/>
        </w:trPr>
        <w:tc>
          <w:tcPr>
            <w:tcW w:w="709" w:type="dxa"/>
            <w:noWrap/>
          </w:tcPr>
          <w:p>
            <w:pPr>
              <w:pStyle w:val="yTableNAm"/>
            </w:pPr>
          </w:p>
        </w:tc>
        <w:tc>
          <w:tcPr>
            <w:tcW w:w="3544" w:type="dxa"/>
            <w:noWrap/>
          </w:tcPr>
          <w:p>
            <w:pPr>
              <w:pStyle w:val="yTableNAm"/>
              <w:tabs>
                <w:tab w:val="clear" w:pos="567"/>
              </w:tabs>
              <w:ind w:left="491" w:hanging="491"/>
            </w:pPr>
            <w:r>
              <w:t>(b)</w:t>
            </w:r>
            <w:r>
              <w:tab/>
              <w:t xml:space="preserve">For listening to or viewing an electronic recording that requires supervision by an officer of the Court — </w:t>
            </w:r>
          </w:p>
          <w:p>
            <w:pPr>
              <w:pStyle w:val="yTableNAm"/>
              <w:tabs>
                <w:tab w:val="clear" w:pos="567"/>
              </w:tabs>
              <w:ind w:left="1058" w:hanging="567"/>
            </w:pPr>
            <w:r>
              <w:t>(i)</w:t>
            </w:r>
            <w:r>
              <w:tab/>
              <w:t>a search fee</w:t>
            </w:r>
          </w:p>
        </w:tc>
        <w:tc>
          <w:tcPr>
            <w:tcW w:w="1417" w:type="dxa"/>
            <w:noWrap/>
            <w:vAlign w:val="bottom"/>
          </w:tcPr>
          <w:p>
            <w:pPr>
              <w:pStyle w:val="yTableNAm"/>
              <w:tabs>
                <w:tab w:val="clear" w:pos="567"/>
              </w:tabs>
              <w:ind w:right="382"/>
              <w:jc w:val="right"/>
            </w:pPr>
            <w:r>
              <w:t>66.50</w:t>
            </w:r>
          </w:p>
        </w:tc>
        <w:tc>
          <w:tcPr>
            <w:tcW w:w="1310" w:type="dxa"/>
            <w:noWrap/>
            <w:vAlign w:val="bottom"/>
          </w:tcPr>
          <w:p>
            <w:pPr>
              <w:pStyle w:val="yTableNAm"/>
              <w:tabs>
                <w:tab w:val="clear" w:pos="567"/>
              </w:tabs>
              <w:ind w:right="382"/>
              <w:jc w:val="right"/>
            </w:pPr>
            <w:r>
              <w:t>19.95</w:t>
            </w:r>
          </w:p>
        </w:tc>
      </w:tr>
      <w:tr>
        <w:trPr>
          <w:cantSplit/>
        </w:trPr>
        <w:tc>
          <w:tcPr>
            <w:tcW w:w="709" w:type="dxa"/>
            <w:noWrap/>
          </w:tcPr>
          <w:p>
            <w:pPr>
              <w:pStyle w:val="yTableNAm"/>
            </w:pPr>
          </w:p>
        </w:tc>
        <w:tc>
          <w:tcPr>
            <w:tcW w:w="3544" w:type="dxa"/>
            <w:noWrap/>
          </w:tcPr>
          <w:p>
            <w:pPr>
              <w:pStyle w:val="yTableNAm"/>
              <w:tabs>
                <w:tab w:val="clear" w:pos="567"/>
              </w:tabs>
              <w:ind w:left="1058" w:hanging="567"/>
            </w:pPr>
            <w:r>
              <w:t>(ii)</w:t>
            </w:r>
            <w:r>
              <w:tab/>
              <w:t>in addition to the search fee, for each hour of the officer’s time</w:t>
            </w:r>
          </w:p>
        </w:tc>
        <w:tc>
          <w:tcPr>
            <w:tcW w:w="1417" w:type="dxa"/>
            <w:noWrap/>
            <w:vAlign w:val="bottom"/>
          </w:tcPr>
          <w:p>
            <w:pPr>
              <w:pStyle w:val="yTableNAm"/>
              <w:tabs>
                <w:tab w:val="clear" w:pos="567"/>
              </w:tabs>
              <w:ind w:right="382"/>
              <w:jc w:val="right"/>
            </w:pPr>
            <w:r>
              <w:t>161.50</w:t>
            </w:r>
          </w:p>
        </w:tc>
        <w:tc>
          <w:tcPr>
            <w:tcW w:w="1310" w:type="dxa"/>
            <w:noWrap/>
            <w:vAlign w:val="bottom"/>
          </w:tcPr>
          <w:p>
            <w:pPr>
              <w:pStyle w:val="yTableNAm"/>
              <w:tabs>
                <w:tab w:val="clear" w:pos="567"/>
              </w:tabs>
              <w:ind w:right="382"/>
              <w:jc w:val="right"/>
            </w:pPr>
            <w:r>
              <w:t>48.40</w:t>
            </w:r>
          </w:p>
        </w:tc>
      </w:tr>
      <w:tr>
        <w:trPr>
          <w:cantSplit/>
        </w:trPr>
        <w:tc>
          <w:tcPr>
            <w:tcW w:w="709" w:type="dxa"/>
            <w:noWrap/>
          </w:tcPr>
          <w:p>
            <w:pPr>
              <w:pStyle w:val="yTableNAm"/>
            </w:pPr>
            <w:r>
              <w:t>5.</w:t>
            </w:r>
          </w:p>
        </w:tc>
        <w:tc>
          <w:tcPr>
            <w:tcW w:w="3544" w:type="dxa"/>
            <w:noWrap/>
          </w:tcPr>
          <w:p>
            <w:pPr>
              <w:pStyle w:val="yTableNAm"/>
              <w:tabs>
                <w:tab w:val="clear" w:pos="567"/>
              </w:tabs>
              <w:ind w:left="491" w:hanging="491"/>
              <w:rPr>
                <w:b/>
                <w:bCs/>
                <w:i/>
                <w:iCs/>
              </w:rPr>
            </w:pPr>
            <w:r>
              <w:t>(a)</w:t>
            </w:r>
            <w:r>
              <w:tab/>
              <w:t>On an application or summons for the production of records or documents that are required to be produced to a court, tribunal, arbitrator or umpire</w:t>
            </w:r>
          </w:p>
        </w:tc>
        <w:tc>
          <w:tcPr>
            <w:tcW w:w="1417" w:type="dxa"/>
            <w:noWrap/>
            <w:vAlign w:val="bottom"/>
          </w:tcPr>
          <w:p>
            <w:pPr>
              <w:pStyle w:val="yTableNAm"/>
              <w:tabs>
                <w:tab w:val="clear" w:pos="567"/>
              </w:tabs>
              <w:ind w:right="382"/>
              <w:jc w:val="right"/>
            </w:pPr>
            <w:r>
              <w:t>97.00</w:t>
            </w:r>
          </w:p>
        </w:tc>
        <w:tc>
          <w:tcPr>
            <w:tcW w:w="1310" w:type="dxa"/>
            <w:noWrap/>
            <w:vAlign w:val="bottom"/>
          </w:tcPr>
          <w:p>
            <w:pPr>
              <w:pStyle w:val="yTableNAm"/>
              <w:tabs>
                <w:tab w:val="clear" w:pos="567"/>
              </w:tabs>
              <w:ind w:right="382"/>
              <w:jc w:val="right"/>
            </w:pPr>
            <w:r>
              <w:t>29.10</w:t>
            </w:r>
          </w:p>
        </w:tc>
      </w:tr>
      <w:tr>
        <w:trPr>
          <w:cantSplit/>
        </w:trPr>
        <w:tc>
          <w:tcPr>
            <w:tcW w:w="709" w:type="dxa"/>
            <w:noWrap/>
          </w:tcPr>
          <w:p>
            <w:pPr>
              <w:pStyle w:val="yTableNAm"/>
            </w:pPr>
          </w:p>
        </w:tc>
        <w:tc>
          <w:tcPr>
            <w:tcW w:w="3544" w:type="dxa"/>
            <w:noWrap/>
          </w:tcPr>
          <w:p>
            <w:pPr>
              <w:pStyle w:val="yTableNAm"/>
              <w:tabs>
                <w:tab w:val="clear" w:pos="567"/>
              </w:tabs>
              <w:ind w:left="491" w:hanging="491"/>
            </w:pPr>
            <w:r>
              <w:t>(b)</w:t>
            </w:r>
            <w:r>
              <w:tab/>
              <w:t>If an officer is required to attend at a court or place out of the Court building where the officer is based</w:t>
            </w:r>
          </w:p>
        </w:tc>
        <w:tc>
          <w:tcPr>
            <w:tcW w:w="1417" w:type="dxa"/>
            <w:noWrap/>
          </w:tcPr>
          <w:p>
            <w:pPr>
              <w:pStyle w:val="yTableNAm"/>
              <w:tabs>
                <w:tab w:val="clear" w:pos="567"/>
              </w:tabs>
              <w:rPr>
                <w:rStyle w:val="DraftersNotes"/>
              </w:rPr>
            </w:pPr>
            <w:r>
              <w:t>The officer’s reasonable expenses approved by the Registrar plus 146.50 for each hour the officer is necessarily absent from the officer’s office</w:t>
            </w:r>
          </w:p>
        </w:tc>
        <w:tc>
          <w:tcPr>
            <w:tcW w:w="1310" w:type="dxa"/>
            <w:noWrap/>
          </w:tcPr>
          <w:p>
            <w:pPr>
              <w:pStyle w:val="yTableNAm"/>
              <w:tabs>
                <w:tab w:val="clear" w:pos="567"/>
              </w:tabs>
              <w:ind w:left="-72" w:right="-108"/>
            </w:pPr>
            <w:r>
              <w:t>The officer’s reasonable expenses approved by the Registrar plus 43.90 for each hour the officer is necessarily absent from the officer’s office</w:t>
            </w:r>
          </w:p>
        </w:tc>
      </w:tr>
      <w:tr>
        <w:trPr>
          <w:cantSplit/>
        </w:trPr>
        <w:tc>
          <w:tcPr>
            <w:tcW w:w="709" w:type="dxa"/>
            <w:noWrap/>
          </w:tcPr>
          <w:p>
            <w:pPr>
              <w:pStyle w:val="yTableNAm"/>
            </w:pPr>
            <w:r>
              <w:t>6.</w:t>
            </w:r>
          </w:p>
        </w:tc>
        <w:tc>
          <w:tcPr>
            <w:tcW w:w="3544" w:type="dxa"/>
            <w:noWrap/>
          </w:tcPr>
          <w:p>
            <w:pPr>
              <w:pStyle w:val="yTableNAm"/>
              <w:tabs>
                <w:tab w:val="clear" w:pos="567"/>
              </w:tabs>
              <w:ind w:left="491" w:hanging="491"/>
            </w:pPr>
            <w:r>
              <w:t>(a)</w:t>
            </w:r>
            <w:r>
              <w:tab/>
              <w:t>Copies of documents or exhibits, for each page or part of a page</w:t>
            </w:r>
          </w:p>
        </w:tc>
        <w:tc>
          <w:tcPr>
            <w:tcW w:w="1417" w:type="dxa"/>
            <w:noWrap/>
            <w:vAlign w:val="bottom"/>
          </w:tcPr>
          <w:p>
            <w:pPr>
              <w:pStyle w:val="yTableNAm"/>
              <w:tabs>
                <w:tab w:val="clear" w:pos="567"/>
                <w:tab w:val="left" w:pos="788"/>
              </w:tabs>
              <w:ind w:right="382"/>
              <w:jc w:val="right"/>
            </w:pPr>
            <w:r>
              <w:t>2.75</w:t>
            </w:r>
          </w:p>
        </w:tc>
        <w:tc>
          <w:tcPr>
            <w:tcW w:w="1310" w:type="dxa"/>
            <w:noWrap/>
            <w:vAlign w:val="bottom"/>
          </w:tcPr>
          <w:p>
            <w:pPr>
              <w:pStyle w:val="yTableNAm"/>
              <w:tabs>
                <w:tab w:val="clear" w:pos="567"/>
                <w:tab w:val="left" w:pos="788"/>
              </w:tabs>
              <w:ind w:right="382"/>
              <w:jc w:val="right"/>
            </w:pPr>
            <w:r>
              <w:t>0.85</w:t>
            </w:r>
          </w:p>
        </w:tc>
      </w:tr>
      <w:tr>
        <w:trPr>
          <w:cantSplit/>
        </w:trPr>
        <w:tc>
          <w:tcPr>
            <w:tcW w:w="709" w:type="dxa"/>
            <w:noWrap/>
          </w:tcPr>
          <w:p>
            <w:pPr>
              <w:pStyle w:val="yTableNAm"/>
            </w:pPr>
          </w:p>
        </w:tc>
        <w:tc>
          <w:tcPr>
            <w:tcW w:w="3544" w:type="dxa"/>
            <w:noWrap/>
          </w:tcPr>
          <w:p>
            <w:pPr>
              <w:pStyle w:val="yTableNAm"/>
              <w:tabs>
                <w:tab w:val="clear" w:pos="567"/>
              </w:tabs>
              <w:ind w:left="491" w:hanging="491"/>
            </w:pPr>
            <w:r>
              <w:t>(b)</w:t>
            </w:r>
            <w:r>
              <w:tab/>
              <w:t xml:space="preserve">For a copy of reasons for judgment — </w:t>
            </w:r>
          </w:p>
          <w:p>
            <w:pPr>
              <w:pStyle w:val="yTableNAm"/>
              <w:tabs>
                <w:tab w:val="clear" w:pos="567"/>
              </w:tabs>
              <w:ind w:left="1058" w:hanging="567"/>
            </w:pPr>
            <w:r>
              <w:t>(i)</w:t>
            </w:r>
            <w:r>
              <w:tab/>
              <w:t>for each copy issued to a person, other than a party to the proceedings</w:t>
            </w:r>
          </w:p>
        </w:tc>
        <w:tc>
          <w:tcPr>
            <w:tcW w:w="1417" w:type="dxa"/>
            <w:noWrap/>
            <w:vAlign w:val="bottom"/>
          </w:tcPr>
          <w:p>
            <w:pPr>
              <w:pStyle w:val="yTableNAm"/>
              <w:tabs>
                <w:tab w:val="clear" w:pos="567"/>
                <w:tab w:val="left" w:pos="788"/>
              </w:tabs>
              <w:ind w:right="382"/>
              <w:jc w:val="right"/>
            </w:pPr>
            <w:r>
              <w:t>23.00</w:t>
            </w:r>
          </w:p>
        </w:tc>
        <w:tc>
          <w:tcPr>
            <w:tcW w:w="1310" w:type="dxa"/>
            <w:noWrap/>
            <w:vAlign w:val="bottom"/>
          </w:tcPr>
          <w:p>
            <w:pPr>
              <w:pStyle w:val="yTableNAm"/>
              <w:tabs>
                <w:tab w:val="clear" w:pos="567"/>
                <w:tab w:val="left" w:pos="788"/>
              </w:tabs>
              <w:ind w:right="382"/>
              <w:jc w:val="right"/>
            </w:pPr>
            <w:r>
              <w:t>6.90</w:t>
            </w:r>
          </w:p>
        </w:tc>
      </w:tr>
      <w:tr>
        <w:trPr>
          <w:cantSplit/>
        </w:trPr>
        <w:tc>
          <w:tcPr>
            <w:tcW w:w="709" w:type="dxa"/>
            <w:noWrap/>
          </w:tcPr>
          <w:p>
            <w:pPr>
              <w:pStyle w:val="yTableNAm"/>
            </w:pPr>
          </w:p>
        </w:tc>
        <w:tc>
          <w:tcPr>
            <w:tcW w:w="3544" w:type="dxa"/>
            <w:noWrap/>
          </w:tcPr>
          <w:p>
            <w:pPr>
              <w:pStyle w:val="yTableNAm"/>
              <w:tabs>
                <w:tab w:val="clear" w:pos="567"/>
              </w:tabs>
              <w:ind w:left="1058" w:hanging="567"/>
            </w:pPr>
            <w:r>
              <w:t>(ii)</w:t>
            </w:r>
            <w:r>
              <w:tab/>
              <w:t>for each copy in excess of 1 copy issued to a party to the proceedings</w:t>
            </w:r>
          </w:p>
        </w:tc>
        <w:tc>
          <w:tcPr>
            <w:tcW w:w="1417" w:type="dxa"/>
            <w:noWrap/>
            <w:vAlign w:val="bottom"/>
          </w:tcPr>
          <w:p>
            <w:pPr>
              <w:pStyle w:val="yTableNAm"/>
              <w:tabs>
                <w:tab w:val="clear" w:pos="567"/>
                <w:tab w:val="left" w:pos="788"/>
              </w:tabs>
              <w:ind w:right="382"/>
              <w:jc w:val="right"/>
            </w:pPr>
            <w:r>
              <w:t>23.00</w:t>
            </w:r>
          </w:p>
        </w:tc>
        <w:tc>
          <w:tcPr>
            <w:tcW w:w="1310" w:type="dxa"/>
            <w:noWrap/>
            <w:vAlign w:val="bottom"/>
          </w:tcPr>
          <w:p>
            <w:pPr>
              <w:pStyle w:val="yTableNAm"/>
              <w:tabs>
                <w:tab w:val="clear" w:pos="567"/>
                <w:tab w:val="left" w:pos="788"/>
              </w:tabs>
              <w:ind w:right="382"/>
              <w:jc w:val="right"/>
            </w:pPr>
            <w:r>
              <w:t>6.90</w:t>
            </w:r>
          </w:p>
        </w:tc>
      </w:tr>
      <w:tr>
        <w:trPr>
          <w:cantSplit/>
        </w:trPr>
        <w:tc>
          <w:tcPr>
            <w:tcW w:w="709" w:type="dxa"/>
            <w:noWrap/>
          </w:tcPr>
          <w:p>
            <w:pPr>
              <w:pStyle w:val="yTableNAm"/>
            </w:pPr>
          </w:p>
        </w:tc>
        <w:tc>
          <w:tcPr>
            <w:tcW w:w="3544" w:type="dxa"/>
            <w:noWrap/>
          </w:tcPr>
          <w:p>
            <w:pPr>
              <w:pStyle w:val="yTableNAm"/>
              <w:tabs>
                <w:tab w:val="clear" w:pos="567"/>
              </w:tabs>
              <w:ind w:left="1058" w:hanging="567"/>
              <w:rPr>
                <w:b/>
                <w:bCs/>
                <w:i/>
                <w:iCs/>
              </w:rPr>
            </w:pPr>
            <w:r>
              <w:t>(iii)</w:t>
            </w:r>
            <w:r>
              <w:tab/>
              <w:t xml:space="preserve">for each copy consisting of 10 or more pages, an additional fee per page </w:t>
            </w:r>
          </w:p>
        </w:tc>
        <w:tc>
          <w:tcPr>
            <w:tcW w:w="1417" w:type="dxa"/>
            <w:noWrap/>
            <w:vAlign w:val="bottom"/>
          </w:tcPr>
          <w:p>
            <w:pPr>
              <w:pStyle w:val="yTableNAm"/>
              <w:tabs>
                <w:tab w:val="clear" w:pos="567"/>
                <w:tab w:val="left" w:pos="788"/>
              </w:tabs>
              <w:ind w:right="382"/>
              <w:jc w:val="right"/>
            </w:pPr>
            <w:r>
              <w:t>2.95</w:t>
            </w:r>
          </w:p>
        </w:tc>
        <w:tc>
          <w:tcPr>
            <w:tcW w:w="1310" w:type="dxa"/>
            <w:noWrap/>
            <w:vAlign w:val="bottom"/>
          </w:tcPr>
          <w:p>
            <w:pPr>
              <w:pStyle w:val="yTableNAm"/>
              <w:tabs>
                <w:tab w:val="clear" w:pos="567"/>
                <w:tab w:val="left" w:pos="788"/>
              </w:tabs>
              <w:ind w:right="382"/>
              <w:jc w:val="right"/>
            </w:pPr>
            <w:r>
              <w:t>0.90</w:t>
            </w:r>
          </w:p>
        </w:tc>
      </w:tr>
      <w:tr>
        <w:trPr>
          <w:cantSplit/>
        </w:trPr>
        <w:tc>
          <w:tcPr>
            <w:tcW w:w="709" w:type="dxa"/>
            <w:noWrap/>
          </w:tcPr>
          <w:p>
            <w:pPr>
              <w:pStyle w:val="yTableNAm"/>
              <w:keepNext/>
            </w:pPr>
          </w:p>
        </w:tc>
        <w:tc>
          <w:tcPr>
            <w:tcW w:w="3544" w:type="dxa"/>
            <w:noWrap/>
          </w:tcPr>
          <w:p>
            <w:pPr>
              <w:pStyle w:val="yTableNAm"/>
              <w:keepNext/>
              <w:tabs>
                <w:tab w:val="clear" w:pos="567"/>
              </w:tabs>
              <w:ind w:left="491" w:hanging="491"/>
            </w:pPr>
            <w:r>
              <w:t>(c)</w:t>
            </w:r>
            <w:r>
              <w:tab/>
              <w:t>Additional fee for certifying that a document is a true copy</w:t>
            </w:r>
          </w:p>
        </w:tc>
        <w:tc>
          <w:tcPr>
            <w:tcW w:w="1417" w:type="dxa"/>
            <w:noWrap/>
            <w:vAlign w:val="bottom"/>
          </w:tcPr>
          <w:p>
            <w:pPr>
              <w:pStyle w:val="yTableNAm"/>
              <w:keepNext/>
              <w:tabs>
                <w:tab w:val="clear" w:pos="567"/>
              </w:tabs>
              <w:ind w:right="382"/>
              <w:jc w:val="right"/>
            </w:pPr>
            <w:r>
              <w:t>30.30</w:t>
            </w:r>
          </w:p>
        </w:tc>
        <w:tc>
          <w:tcPr>
            <w:tcW w:w="1310" w:type="dxa"/>
            <w:noWrap/>
            <w:vAlign w:val="bottom"/>
          </w:tcPr>
          <w:p>
            <w:pPr>
              <w:pStyle w:val="yTableNAm"/>
              <w:keepNext/>
              <w:tabs>
                <w:tab w:val="clear" w:pos="567"/>
              </w:tabs>
              <w:ind w:right="382"/>
              <w:jc w:val="right"/>
            </w:pPr>
            <w:r>
              <w:t>9.10</w:t>
            </w:r>
          </w:p>
        </w:tc>
      </w:tr>
      <w:tr>
        <w:trPr>
          <w:cantSplit/>
        </w:trPr>
        <w:tc>
          <w:tcPr>
            <w:tcW w:w="709" w:type="dxa"/>
            <w:noWrap/>
          </w:tcPr>
          <w:p>
            <w:pPr>
              <w:pStyle w:val="yTableNAm"/>
            </w:pPr>
          </w:p>
        </w:tc>
        <w:tc>
          <w:tcPr>
            <w:tcW w:w="6271" w:type="dxa"/>
            <w:gridSpan w:val="3"/>
            <w:noWrap/>
          </w:tcPr>
          <w:p>
            <w:pPr>
              <w:pStyle w:val="yTableNAm"/>
              <w:rPr>
                <w:rFonts w:ascii="Arial" w:hAnsi="Arial" w:cs="Arial"/>
                <w:sz w:val="18"/>
                <w:szCs w:val="18"/>
              </w:rPr>
            </w:pPr>
            <w:r>
              <w:rPr>
                <w:rFonts w:ascii="Arial" w:hAnsi="Arial" w:cs="Arial"/>
                <w:sz w:val="18"/>
                <w:szCs w:val="18"/>
              </w:rPr>
              <w:t>Note for this item:</w:t>
            </w:r>
          </w:p>
          <w:p>
            <w:pPr>
              <w:pStyle w:val="yTableNAm"/>
              <w:ind w:left="493"/>
              <w:rPr>
                <w:rFonts w:ascii="Arial" w:hAnsi="Arial" w:cs="Arial"/>
                <w:sz w:val="18"/>
                <w:szCs w:val="18"/>
              </w:rPr>
            </w:pPr>
            <w:r>
              <w:rPr>
                <w:rFonts w:ascii="Arial" w:hAnsi="Arial" w:cs="Arial"/>
                <w:sz w:val="18"/>
                <w:szCs w:val="18"/>
              </w:rPr>
              <w:t>The fee under paragraph (a) for a copy of an application is not payable if circumstances under regulation 6(4) exist.</w:t>
            </w:r>
          </w:p>
        </w:tc>
      </w:tr>
      <w:tr>
        <w:trPr>
          <w:cantSplit/>
        </w:trPr>
        <w:tc>
          <w:tcPr>
            <w:tcW w:w="709" w:type="dxa"/>
            <w:noWrap/>
          </w:tcPr>
          <w:p>
            <w:pPr>
              <w:pStyle w:val="yTableNAm"/>
            </w:pPr>
            <w:r>
              <w:t>7.</w:t>
            </w:r>
          </w:p>
        </w:tc>
        <w:tc>
          <w:tcPr>
            <w:tcW w:w="3544" w:type="dxa"/>
            <w:noWrap/>
          </w:tcPr>
          <w:p>
            <w:pPr>
              <w:pStyle w:val="yTableNAm"/>
              <w:tabs>
                <w:tab w:val="clear" w:pos="567"/>
              </w:tabs>
              <w:ind w:left="491" w:hanging="491"/>
            </w:pPr>
            <w:r>
              <w:t>(a)</w:t>
            </w:r>
            <w:r>
              <w:tab/>
              <w:t xml:space="preserve">For providing a transcript, or part of a transcript — </w:t>
            </w:r>
          </w:p>
        </w:tc>
        <w:tc>
          <w:tcPr>
            <w:tcW w:w="1417" w:type="dxa"/>
            <w:noWrap/>
            <w:vAlign w:val="bottom"/>
          </w:tcPr>
          <w:p>
            <w:pPr>
              <w:pStyle w:val="yTableNAm"/>
            </w:pPr>
          </w:p>
        </w:tc>
        <w:tc>
          <w:tcPr>
            <w:tcW w:w="1310" w:type="dxa"/>
            <w:noWrap/>
            <w:vAlign w:val="bottom"/>
          </w:tcPr>
          <w:p>
            <w:pPr>
              <w:pStyle w:val="yTableNAm"/>
            </w:pPr>
          </w:p>
        </w:tc>
      </w:tr>
      <w:tr>
        <w:trPr>
          <w:cantSplit/>
        </w:trPr>
        <w:tc>
          <w:tcPr>
            <w:tcW w:w="709" w:type="dxa"/>
            <w:noWrap/>
          </w:tcPr>
          <w:p>
            <w:pPr>
              <w:pStyle w:val="yTableNAm"/>
            </w:pPr>
          </w:p>
        </w:tc>
        <w:tc>
          <w:tcPr>
            <w:tcW w:w="3544" w:type="dxa"/>
            <w:noWrap/>
          </w:tcPr>
          <w:p>
            <w:pPr>
              <w:pStyle w:val="yTableNAm"/>
              <w:tabs>
                <w:tab w:val="clear" w:pos="567"/>
              </w:tabs>
              <w:ind w:left="1058" w:hanging="567"/>
            </w:pPr>
            <w:r>
              <w:t>(i)</w:t>
            </w:r>
            <w:r>
              <w:tab/>
              <w:t xml:space="preserve">provided within 1 day after the day on which the fee is paid </w:t>
            </w:r>
          </w:p>
        </w:tc>
        <w:tc>
          <w:tcPr>
            <w:tcW w:w="1417" w:type="dxa"/>
            <w:noWrap/>
          </w:tcPr>
          <w:p>
            <w:pPr>
              <w:pStyle w:val="yTableNAm"/>
              <w:ind w:left="209"/>
            </w:pPr>
            <w:r>
              <w:t>30.50 plus</w:t>
            </w:r>
            <w:r>
              <w:br/>
              <w:t>12.60 per page</w:t>
            </w:r>
          </w:p>
        </w:tc>
        <w:tc>
          <w:tcPr>
            <w:tcW w:w="1310" w:type="dxa"/>
            <w:noWrap/>
          </w:tcPr>
          <w:p>
            <w:pPr>
              <w:pStyle w:val="yTableNAm"/>
              <w:ind w:left="209"/>
            </w:pPr>
            <w:r>
              <w:t xml:space="preserve">9.15 plus </w:t>
            </w:r>
            <w:r>
              <w:br/>
              <w:t>3.80 per page</w:t>
            </w:r>
          </w:p>
        </w:tc>
      </w:tr>
      <w:tr>
        <w:trPr>
          <w:cantSplit/>
        </w:trPr>
        <w:tc>
          <w:tcPr>
            <w:tcW w:w="709" w:type="dxa"/>
            <w:noWrap/>
          </w:tcPr>
          <w:p>
            <w:pPr>
              <w:pStyle w:val="yTableNAm"/>
            </w:pPr>
          </w:p>
        </w:tc>
        <w:tc>
          <w:tcPr>
            <w:tcW w:w="3544" w:type="dxa"/>
            <w:noWrap/>
          </w:tcPr>
          <w:p>
            <w:pPr>
              <w:pStyle w:val="yTableNAm"/>
              <w:tabs>
                <w:tab w:val="clear" w:pos="567"/>
              </w:tabs>
              <w:ind w:left="1058" w:hanging="567"/>
            </w:pPr>
            <w:r>
              <w:t>(ii)</w:t>
            </w:r>
            <w:r>
              <w:tab/>
              <w:t xml:space="preserve">provided within 2 days after the day on which the fee is paid </w:t>
            </w:r>
          </w:p>
        </w:tc>
        <w:tc>
          <w:tcPr>
            <w:tcW w:w="1417" w:type="dxa"/>
            <w:noWrap/>
          </w:tcPr>
          <w:p>
            <w:pPr>
              <w:pStyle w:val="yTableNAm"/>
              <w:ind w:left="209"/>
            </w:pPr>
            <w:r>
              <w:t>30.50 plus</w:t>
            </w:r>
            <w:r>
              <w:br/>
              <w:t>11.55 per page</w:t>
            </w:r>
          </w:p>
        </w:tc>
        <w:tc>
          <w:tcPr>
            <w:tcW w:w="1310" w:type="dxa"/>
            <w:noWrap/>
          </w:tcPr>
          <w:p>
            <w:pPr>
              <w:pStyle w:val="yTableNAm"/>
              <w:ind w:left="209"/>
            </w:pPr>
            <w:r>
              <w:t xml:space="preserve">9.15 plus </w:t>
            </w:r>
            <w:r>
              <w:br/>
              <w:t>3.45 per page</w:t>
            </w:r>
          </w:p>
        </w:tc>
      </w:tr>
      <w:tr>
        <w:trPr>
          <w:cantSplit/>
        </w:trPr>
        <w:tc>
          <w:tcPr>
            <w:tcW w:w="709" w:type="dxa"/>
            <w:noWrap/>
          </w:tcPr>
          <w:p>
            <w:pPr>
              <w:pStyle w:val="yTableNAm"/>
            </w:pPr>
          </w:p>
        </w:tc>
        <w:tc>
          <w:tcPr>
            <w:tcW w:w="3544" w:type="dxa"/>
            <w:noWrap/>
          </w:tcPr>
          <w:p>
            <w:pPr>
              <w:pStyle w:val="yTableNAm"/>
              <w:tabs>
                <w:tab w:val="clear" w:pos="567"/>
              </w:tabs>
              <w:ind w:left="1058" w:hanging="567"/>
            </w:pPr>
            <w:r>
              <w:t>(iii)</w:t>
            </w:r>
            <w:r>
              <w:tab/>
              <w:t xml:space="preserve">provided within 4 days after the day on which the fee is paid </w:t>
            </w:r>
          </w:p>
        </w:tc>
        <w:tc>
          <w:tcPr>
            <w:tcW w:w="1417" w:type="dxa"/>
            <w:noWrap/>
          </w:tcPr>
          <w:p>
            <w:pPr>
              <w:pStyle w:val="yTableNAm"/>
              <w:ind w:left="209"/>
            </w:pPr>
            <w:r>
              <w:t>30.50 plus</w:t>
            </w:r>
            <w:r>
              <w:br/>
              <w:t>10.90 per page</w:t>
            </w:r>
          </w:p>
        </w:tc>
        <w:tc>
          <w:tcPr>
            <w:tcW w:w="1310" w:type="dxa"/>
            <w:noWrap/>
          </w:tcPr>
          <w:p>
            <w:pPr>
              <w:pStyle w:val="yTableNAm"/>
              <w:ind w:left="209"/>
            </w:pPr>
            <w:r>
              <w:t xml:space="preserve">9.15 plus </w:t>
            </w:r>
            <w:r>
              <w:br/>
              <w:t>3.25 per page</w:t>
            </w:r>
          </w:p>
        </w:tc>
      </w:tr>
      <w:tr>
        <w:trPr>
          <w:cantSplit/>
        </w:trPr>
        <w:tc>
          <w:tcPr>
            <w:tcW w:w="709" w:type="dxa"/>
            <w:noWrap/>
          </w:tcPr>
          <w:p>
            <w:pPr>
              <w:pStyle w:val="yTableNAm"/>
            </w:pPr>
          </w:p>
        </w:tc>
        <w:tc>
          <w:tcPr>
            <w:tcW w:w="3544" w:type="dxa"/>
            <w:noWrap/>
          </w:tcPr>
          <w:p>
            <w:pPr>
              <w:pStyle w:val="yTableNAm"/>
              <w:tabs>
                <w:tab w:val="clear" w:pos="567"/>
              </w:tabs>
              <w:ind w:left="1058" w:hanging="567"/>
            </w:pPr>
            <w:r>
              <w:t>(iv)</w:t>
            </w:r>
            <w:r>
              <w:tab/>
              <w:t xml:space="preserve">provided within 7 days after the day on which the fee is paid </w:t>
            </w:r>
          </w:p>
        </w:tc>
        <w:tc>
          <w:tcPr>
            <w:tcW w:w="1417" w:type="dxa"/>
            <w:noWrap/>
          </w:tcPr>
          <w:p>
            <w:pPr>
              <w:pStyle w:val="yTableNAm"/>
              <w:ind w:left="209"/>
            </w:pPr>
            <w:r>
              <w:t xml:space="preserve">30.50 plus </w:t>
            </w:r>
            <w:r>
              <w:br/>
              <w:t>10.55 per page</w:t>
            </w:r>
          </w:p>
        </w:tc>
        <w:tc>
          <w:tcPr>
            <w:tcW w:w="1310" w:type="dxa"/>
            <w:noWrap/>
          </w:tcPr>
          <w:p>
            <w:pPr>
              <w:pStyle w:val="yTableNAm"/>
              <w:ind w:left="209"/>
            </w:pPr>
            <w:r>
              <w:t xml:space="preserve">9.15 plus </w:t>
            </w:r>
            <w:r>
              <w:br/>
              <w:t>3.15 per page</w:t>
            </w:r>
          </w:p>
        </w:tc>
      </w:tr>
      <w:tr>
        <w:trPr>
          <w:cantSplit/>
        </w:trPr>
        <w:tc>
          <w:tcPr>
            <w:tcW w:w="709" w:type="dxa"/>
            <w:noWrap/>
          </w:tcPr>
          <w:p>
            <w:pPr>
              <w:pStyle w:val="yTableNAm"/>
            </w:pPr>
          </w:p>
        </w:tc>
        <w:tc>
          <w:tcPr>
            <w:tcW w:w="3544" w:type="dxa"/>
            <w:noWrap/>
          </w:tcPr>
          <w:p>
            <w:pPr>
              <w:pStyle w:val="yTableNAm"/>
              <w:tabs>
                <w:tab w:val="clear" w:pos="567"/>
              </w:tabs>
              <w:ind w:left="1058" w:hanging="567"/>
            </w:pPr>
            <w:r>
              <w:t>(v)</w:t>
            </w:r>
            <w:r>
              <w:tab/>
              <w:t>provided within 14 days after the day on which the fee is paid</w:t>
            </w:r>
          </w:p>
        </w:tc>
        <w:tc>
          <w:tcPr>
            <w:tcW w:w="1417" w:type="dxa"/>
            <w:noWrap/>
          </w:tcPr>
          <w:p>
            <w:pPr>
              <w:pStyle w:val="yTableNAm"/>
              <w:ind w:left="209"/>
            </w:pPr>
            <w:r>
              <w:t xml:space="preserve">30.50 plus </w:t>
            </w:r>
            <w:r>
              <w:br/>
              <w:t>8.90 per page</w:t>
            </w:r>
          </w:p>
        </w:tc>
        <w:tc>
          <w:tcPr>
            <w:tcW w:w="1310" w:type="dxa"/>
            <w:noWrap/>
          </w:tcPr>
          <w:p>
            <w:pPr>
              <w:pStyle w:val="yTableNAm"/>
              <w:ind w:left="209"/>
            </w:pPr>
            <w:r>
              <w:t xml:space="preserve">9.15 plus </w:t>
            </w:r>
            <w:r>
              <w:br/>
              <w:t>2.65 per page</w:t>
            </w:r>
          </w:p>
        </w:tc>
      </w:tr>
      <w:tr>
        <w:trPr>
          <w:cantSplit/>
        </w:trPr>
        <w:tc>
          <w:tcPr>
            <w:tcW w:w="709" w:type="dxa"/>
            <w:noWrap/>
          </w:tcPr>
          <w:p>
            <w:pPr>
              <w:pStyle w:val="yTableNAm"/>
            </w:pPr>
          </w:p>
        </w:tc>
        <w:tc>
          <w:tcPr>
            <w:tcW w:w="3544" w:type="dxa"/>
            <w:noWrap/>
          </w:tcPr>
          <w:p>
            <w:pPr>
              <w:pStyle w:val="yTableNAm"/>
              <w:tabs>
                <w:tab w:val="clear" w:pos="567"/>
              </w:tabs>
              <w:ind w:left="1058" w:hanging="567"/>
            </w:pPr>
            <w:r>
              <w:t>(vi)</w:t>
            </w:r>
            <w:r>
              <w:tab/>
              <w:t>provided on a running basis (i.e. periodically throughout or following the day of the proceedings)</w:t>
            </w:r>
          </w:p>
        </w:tc>
        <w:tc>
          <w:tcPr>
            <w:tcW w:w="1417" w:type="dxa"/>
            <w:noWrap/>
          </w:tcPr>
          <w:p>
            <w:pPr>
              <w:pStyle w:val="yTableNAm"/>
              <w:ind w:left="209"/>
            </w:pPr>
            <w:r>
              <w:t xml:space="preserve">30.50 plus </w:t>
            </w:r>
            <w:r>
              <w:br/>
              <w:t>13.35 per page</w:t>
            </w:r>
          </w:p>
        </w:tc>
        <w:tc>
          <w:tcPr>
            <w:tcW w:w="1310" w:type="dxa"/>
            <w:noWrap/>
          </w:tcPr>
          <w:p>
            <w:pPr>
              <w:pStyle w:val="yTableNAm"/>
              <w:ind w:left="209"/>
            </w:pPr>
            <w:r>
              <w:t xml:space="preserve">9.15 plus </w:t>
            </w:r>
            <w:r>
              <w:br/>
              <w:t>4.00 per page</w:t>
            </w:r>
          </w:p>
        </w:tc>
      </w:tr>
      <w:tr>
        <w:trPr>
          <w:cantSplit/>
        </w:trPr>
        <w:tc>
          <w:tcPr>
            <w:tcW w:w="709" w:type="dxa"/>
            <w:noWrap/>
          </w:tcPr>
          <w:p>
            <w:pPr>
              <w:pStyle w:val="yTableNAm"/>
            </w:pPr>
          </w:p>
        </w:tc>
        <w:tc>
          <w:tcPr>
            <w:tcW w:w="3544" w:type="dxa"/>
            <w:noWrap/>
          </w:tcPr>
          <w:p>
            <w:pPr>
              <w:pStyle w:val="yTableNAm"/>
              <w:tabs>
                <w:tab w:val="clear" w:pos="567"/>
              </w:tabs>
              <w:ind w:left="491" w:hanging="491"/>
            </w:pPr>
            <w:r>
              <w:t>(b)</w:t>
            </w:r>
            <w:r>
              <w:tab/>
              <w:t>For providing a copy of a transcript, or part of a transcript, if the transcript or part has been provided to the person requesting the copy —</w:t>
            </w:r>
          </w:p>
        </w:tc>
        <w:tc>
          <w:tcPr>
            <w:tcW w:w="1417" w:type="dxa"/>
            <w:noWrap/>
          </w:tcPr>
          <w:p>
            <w:pPr>
              <w:pStyle w:val="yTableNAm"/>
            </w:pPr>
          </w:p>
        </w:tc>
        <w:tc>
          <w:tcPr>
            <w:tcW w:w="1310" w:type="dxa"/>
            <w:noWrap/>
          </w:tcPr>
          <w:p>
            <w:pPr>
              <w:pStyle w:val="yTableNAm"/>
            </w:pPr>
          </w:p>
        </w:tc>
      </w:tr>
      <w:tr>
        <w:trPr>
          <w:cantSplit/>
        </w:trPr>
        <w:tc>
          <w:tcPr>
            <w:tcW w:w="709" w:type="dxa"/>
            <w:noWrap/>
          </w:tcPr>
          <w:p>
            <w:pPr>
              <w:pStyle w:val="yTableNAm"/>
            </w:pPr>
          </w:p>
        </w:tc>
        <w:tc>
          <w:tcPr>
            <w:tcW w:w="3544" w:type="dxa"/>
            <w:noWrap/>
          </w:tcPr>
          <w:p>
            <w:pPr>
              <w:pStyle w:val="yTableNAm"/>
              <w:tabs>
                <w:tab w:val="clear" w:pos="567"/>
              </w:tabs>
              <w:ind w:left="1058" w:hanging="567"/>
            </w:pPr>
            <w:r>
              <w:t>(i)</w:t>
            </w:r>
            <w:r>
              <w:tab/>
              <w:t>electronic format</w:t>
            </w:r>
          </w:p>
        </w:tc>
        <w:tc>
          <w:tcPr>
            <w:tcW w:w="1417" w:type="dxa"/>
            <w:noWrap/>
          </w:tcPr>
          <w:p>
            <w:pPr>
              <w:pStyle w:val="yTableNAm"/>
              <w:ind w:left="209"/>
            </w:pPr>
            <w:r>
              <w:t>31.90 per copy</w:t>
            </w:r>
          </w:p>
        </w:tc>
        <w:tc>
          <w:tcPr>
            <w:tcW w:w="1310" w:type="dxa"/>
            <w:noWrap/>
          </w:tcPr>
          <w:p>
            <w:pPr>
              <w:pStyle w:val="yTableNAm"/>
              <w:ind w:left="209"/>
            </w:pPr>
            <w:r>
              <w:t>9.55 per copy</w:t>
            </w:r>
          </w:p>
        </w:tc>
      </w:tr>
      <w:tr>
        <w:trPr>
          <w:cantSplit/>
        </w:trPr>
        <w:tc>
          <w:tcPr>
            <w:tcW w:w="709" w:type="dxa"/>
            <w:noWrap/>
          </w:tcPr>
          <w:p>
            <w:pPr>
              <w:pStyle w:val="yTableNAm"/>
            </w:pPr>
          </w:p>
        </w:tc>
        <w:tc>
          <w:tcPr>
            <w:tcW w:w="3544" w:type="dxa"/>
            <w:noWrap/>
          </w:tcPr>
          <w:p>
            <w:pPr>
              <w:pStyle w:val="yTableNAm"/>
              <w:tabs>
                <w:tab w:val="clear" w:pos="567"/>
              </w:tabs>
              <w:ind w:left="1058" w:hanging="567"/>
            </w:pPr>
            <w:r>
              <w:t>(ii)</w:t>
            </w:r>
            <w:r>
              <w:tab/>
              <w:t>paper copy</w:t>
            </w:r>
          </w:p>
        </w:tc>
        <w:tc>
          <w:tcPr>
            <w:tcW w:w="1417" w:type="dxa"/>
            <w:noWrap/>
          </w:tcPr>
          <w:p>
            <w:pPr>
              <w:pStyle w:val="yTableNAm"/>
              <w:ind w:left="209"/>
            </w:pPr>
            <w:r>
              <w:t>3.20 per page</w:t>
            </w:r>
          </w:p>
        </w:tc>
        <w:tc>
          <w:tcPr>
            <w:tcW w:w="1310" w:type="dxa"/>
            <w:noWrap/>
          </w:tcPr>
          <w:p>
            <w:pPr>
              <w:pStyle w:val="yTableNAm"/>
              <w:ind w:left="209"/>
              <w:rPr>
                <w:rStyle w:val="DraftersNotes"/>
                <w:b w:val="0"/>
                <w:i w:val="0"/>
                <w:sz w:val="22"/>
              </w:rPr>
            </w:pPr>
            <w:r>
              <w:t>0.95 per page</w:t>
            </w:r>
          </w:p>
        </w:tc>
      </w:tr>
      <w:tr>
        <w:trPr>
          <w:cantSplit/>
        </w:trPr>
        <w:tc>
          <w:tcPr>
            <w:tcW w:w="709" w:type="dxa"/>
            <w:tcBorders>
              <w:bottom w:val="single" w:sz="4" w:space="0" w:color="auto"/>
            </w:tcBorders>
            <w:noWrap/>
          </w:tcPr>
          <w:p>
            <w:pPr>
              <w:pStyle w:val="yTableNAm"/>
            </w:pPr>
          </w:p>
        </w:tc>
        <w:tc>
          <w:tcPr>
            <w:tcW w:w="6271" w:type="dxa"/>
            <w:gridSpan w:val="3"/>
            <w:tcBorders>
              <w:bottom w:val="single" w:sz="4" w:space="0" w:color="auto"/>
            </w:tcBorders>
            <w:noWrap/>
          </w:tcPr>
          <w:p>
            <w:pPr>
              <w:pStyle w:val="yTableNAm"/>
              <w:rPr>
                <w:rFonts w:ascii="Arial" w:hAnsi="Arial" w:cs="Arial"/>
                <w:sz w:val="18"/>
                <w:szCs w:val="18"/>
              </w:rPr>
            </w:pPr>
            <w:r>
              <w:rPr>
                <w:rFonts w:ascii="Arial" w:hAnsi="Arial" w:cs="Arial"/>
                <w:sz w:val="18"/>
                <w:szCs w:val="18"/>
              </w:rPr>
              <w:t>Note for this item:</w:t>
            </w:r>
          </w:p>
          <w:p>
            <w:pPr>
              <w:pStyle w:val="yTableNAm"/>
              <w:ind w:left="493"/>
              <w:rPr>
                <w:rFonts w:ascii="Arial" w:hAnsi="Arial" w:cs="Arial"/>
                <w:sz w:val="18"/>
                <w:szCs w:val="18"/>
              </w:rPr>
            </w:pPr>
            <w:r>
              <w:rPr>
                <w:rFonts w:ascii="Arial" w:hAnsi="Arial" w:cs="Arial"/>
                <w:sz w:val="18"/>
                <w:szCs w:val="18"/>
              </w:rPr>
              <w:t>Fees under this item are payable in the case of an indictable offence dealt with summarily.</w:t>
            </w:r>
          </w:p>
        </w:tc>
      </w:tr>
    </w:tbl>
    <w:p>
      <w:pPr>
        <w:pStyle w:val="yFootnotesection"/>
      </w:pPr>
      <w:bookmarkStart w:id="31" w:name="_Toc201239135"/>
      <w:bookmarkStart w:id="32" w:name="_Toc201239212"/>
      <w:bookmarkStart w:id="33" w:name="_Toc201239483"/>
      <w:r>
        <w:tab/>
        <w:t>[Division 1 inserted: SL 2025/111 r. 6.]</w:t>
      </w:r>
    </w:p>
    <w:p>
      <w:pPr>
        <w:pStyle w:val="yHeading3"/>
        <w:rPr>
          <w:rStyle w:val="CharDivText"/>
        </w:rPr>
      </w:pPr>
      <w:bookmarkStart w:id="34" w:name="_Toc201302890"/>
      <w:bookmarkStart w:id="35" w:name="_Toc201303013"/>
      <w:bookmarkStart w:id="36" w:name="_Toc201305313"/>
      <w:r>
        <w:rPr>
          <w:rStyle w:val="CharSDivNo"/>
        </w:rPr>
        <w:t>Division 2</w:t>
      </w:r>
      <w:r>
        <w:t> —</w:t>
      </w:r>
      <w:r>
        <w:rPr>
          <w:rStyle w:val="CharDivText"/>
        </w:rPr>
        <w:t> </w:t>
      </w:r>
      <w:r>
        <w:rPr>
          <w:rStyle w:val="CharSDivText"/>
        </w:rPr>
        <w:t>Civil jurisdiction</w:t>
      </w:r>
      <w:bookmarkEnd w:id="31"/>
      <w:bookmarkEnd w:id="32"/>
      <w:bookmarkEnd w:id="33"/>
      <w:bookmarkEnd w:id="34"/>
      <w:bookmarkEnd w:id="35"/>
      <w:bookmarkEnd w:id="36"/>
    </w:p>
    <w:p>
      <w:pPr>
        <w:pStyle w:val="yFootnoteheading"/>
      </w:pPr>
      <w:r>
        <w:tab/>
        <w:t>[Heading inserted: SL 2025/111 r. 6.]</w:t>
      </w:r>
    </w:p>
    <w:tbl>
      <w:tblPr>
        <w:tblW w:w="7088" w:type="dxa"/>
        <w:tblLayout w:type="fixed"/>
        <w:tblLook w:val="0000" w:firstRow="0" w:lastRow="0" w:firstColumn="0" w:lastColumn="0" w:noHBand="0" w:noVBand="0"/>
      </w:tblPr>
      <w:tblGrid>
        <w:gridCol w:w="741"/>
        <w:gridCol w:w="3512"/>
        <w:gridCol w:w="1451"/>
        <w:gridCol w:w="1384"/>
      </w:tblGrid>
      <w:tr>
        <w:trPr>
          <w:cantSplit/>
          <w:tblHeader/>
        </w:trPr>
        <w:tc>
          <w:tcPr>
            <w:tcW w:w="741" w:type="dxa"/>
            <w:tcBorders>
              <w:top w:val="single" w:sz="4" w:space="0" w:color="auto"/>
              <w:bottom w:val="single" w:sz="4" w:space="0" w:color="auto"/>
            </w:tcBorders>
            <w:noWrap/>
          </w:tcPr>
          <w:p>
            <w:pPr>
              <w:pStyle w:val="yTableNAm"/>
              <w:jc w:val="center"/>
              <w:rPr>
                <w:b/>
              </w:rPr>
            </w:pPr>
            <w:r>
              <w:rPr>
                <w:b/>
              </w:rPr>
              <w:t>Item</w:t>
            </w:r>
          </w:p>
        </w:tc>
        <w:tc>
          <w:tcPr>
            <w:tcW w:w="3512" w:type="dxa"/>
            <w:tcBorders>
              <w:top w:val="single" w:sz="4" w:space="0" w:color="auto"/>
              <w:bottom w:val="single" w:sz="4" w:space="0" w:color="auto"/>
            </w:tcBorders>
            <w:noWrap/>
          </w:tcPr>
          <w:p>
            <w:pPr>
              <w:pStyle w:val="yTableNAm"/>
              <w:jc w:val="center"/>
              <w:rPr>
                <w:b/>
              </w:rPr>
            </w:pPr>
            <w:r>
              <w:rPr>
                <w:b/>
              </w:rPr>
              <w:t>Matter</w:t>
            </w:r>
          </w:p>
        </w:tc>
        <w:tc>
          <w:tcPr>
            <w:tcW w:w="1451"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w:t>
            </w:r>
            <w:r>
              <w:rPr>
                <w:b/>
              </w:rPr>
              <w:br/>
            </w:r>
            <w:r>
              <w:rPr>
                <w:b/>
              </w:rPr>
              <w:br/>
              <w:t>$</w:t>
            </w:r>
          </w:p>
        </w:tc>
        <w:tc>
          <w:tcPr>
            <w:tcW w:w="1384"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eligible individual</w:t>
            </w:r>
            <w:r>
              <w:rPr>
                <w:b/>
              </w:rPr>
              <w:br/>
              <w:t>$</w:t>
            </w:r>
          </w:p>
        </w:tc>
      </w:tr>
      <w:tr>
        <w:trPr>
          <w:cantSplit/>
        </w:trPr>
        <w:tc>
          <w:tcPr>
            <w:tcW w:w="741" w:type="dxa"/>
            <w:tcBorders>
              <w:top w:val="single" w:sz="4" w:space="0" w:color="auto"/>
            </w:tcBorders>
            <w:noWrap/>
          </w:tcPr>
          <w:p>
            <w:pPr>
              <w:pStyle w:val="yTableNAm"/>
            </w:pPr>
            <w:r>
              <w:t>1.</w:t>
            </w:r>
          </w:p>
        </w:tc>
        <w:tc>
          <w:tcPr>
            <w:tcW w:w="3512" w:type="dxa"/>
            <w:tcBorders>
              <w:top w:val="single" w:sz="4" w:space="0" w:color="auto"/>
            </w:tcBorders>
            <w:noWrap/>
          </w:tcPr>
          <w:p>
            <w:pPr>
              <w:pStyle w:val="yTableNAm"/>
            </w:pPr>
            <w:r>
              <w:t xml:space="preserve">On filing an application for a misconduct restraining order under the </w:t>
            </w:r>
            <w:r>
              <w:rPr>
                <w:i/>
                <w:iCs/>
              </w:rPr>
              <w:t>Restraining Orders Act 1997</w:t>
            </w:r>
            <w:r>
              <w:t xml:space="preserve"> </w:t>
            </w:r>
          </w:p>
        </w:tc>
        <w:tc>
          <w:tcPr>
            <w:tcW w:w="1451" w:type="dxa"/>
            <w:tcBorders>
              <w:top w:val="single" w:sz="4" w:space="0" w:color="auto"/>
            </w:tcBorders>
            <w:noWrap/>
            <w:vAlign w:val="bottom"/>
          </w:tcPr>
          <w:p>
            <w:pPr>
              <w:pStyle w:val="yTableNAm"/>
              <w:tabs>
                <w:tab w:val="clear" w:pos="567"/>
              </w:tabs>
              <w:ind w:right="352"/>
              <w:jc w:val="right"/>
            </w:pPr>
            <w:r>
              <w:t>190.50</w:t>
            </w:r>
          </w:p>
        </w:tc>
        <w:tc>
          <w:tcPr>
            <w:tcW w:w="1384" w:type="dxa"/>
            <w:tcBorders>
              <w:top w:val="single" w:sz="4" w:space="0" w:color="auto"/>
            </w:tcBorders>
            <w:noWrap/>
            <w:vAlign w:val="bottom"/>
          </w:tcPr>
          <w:p>
            <w:pPr>
              <w:pStyle w:val="yTableNAm"/>
              <w:tabs>
                <w:tab w:val="clear" w:pos="567"/>
              </w:tabs>
              <w:ind w:right="352"/>
              <w:jc w:val="right"/>
            </w:pPr>
            <w:r>
              <w:t>57.00</w:t>
            </w:r>
          </w:p>
        </w:tc>
      </w:tr>
      <w:tr>
        <w:trPr>
          <w:cantSplit/>
        </w:trPr>
        <w:tc>
          <w:tcPr>
            <w:tcW w:w="741" w:type="dxa"/>
            <w:noWrap/>
          </w:tcPr>
          <w:p>
            <w:pPr>
              <w:pStyle w:val="yTableNAm"/>
            </w:pPr>
            <w:r>
              <w:t>2.</w:t>
            </w:r>
          </w:p>
        </w:tc>
        <w:tc>
          <w:tcPr>
            <w:tcW w:w="3512" w:type="dxa"/>
            <w:noWrap/>
          </w:tcPr>
          <w:p>
            <w:pPr>
              <w:pStyle w:val="yTableNAm"/>
            </w:pPr>
            <w:r>
              <w:t xml:space="preserve">On the execution of an arrest warrant of any kind — </w:t>
            </w:r>
          </w:p>
        </w:tc>
        <w:tc>
          <w:tcPr>
            <w:tcW w:w="1451" w:type="dxa"/>
            <w:noWrap/>
            <w:vAlign w:val="bottom"/>
          </w:tcPr>
          <w:p>
            <w:pPr>
              <w:pStyle w:val="yTableNAm"/>
              <w:tabs>
                <w:tab w:val="clear" w:pos="567"/>
              </w:tabs>
              <w:ind w:right="352"/>
              <w:jc w:val="right"/>
            </w:pPr>
          </w:p>
        </w:tc>
        <w:tc>
          <w:tcPr>
            <w:tcW w:w="1384" w:type="dxa"/>
            <w:noWrap/>
            <w:vAlign w:val="bottom"/>
          </w:tcPr>
          <w:p>
            <w:pPr>
              <w:pStyle w:val="yTableNAm"/>
              <w:tabs>
                <w:tab w:val="clear" w:pos="567"/>
              </w:tabs>
              <w:ind w:right="352"/>
              <w:jc w:val="right"/>
            </w:pPr>
          </w:p>
        </w:tc>
      </w:tr>
      <w:tr>
        <w:trPr>
          <w:cantSplit/>
        </w:trPr>
        <w:tc>
          <w:tcPr>
            <w:tcW w:w="741" w:type="dxa"/>
            <w:noWrap/>
          </w:tcPr>
          <w:p>
            <w:pPr>
              <w:pStyle w:val="yTableNAm"/>
            </w:pPr>
          </w:p>
        </w:tc>
        <w:tc>
          <w:tcPr>
            <w:tcW w:w="3512" w:type="dxa"/>
            <w:noWrap/>
          </w:tcPr>
          <w:p>
            <w:pPr>
              <w:pStyle w:val="yTableNAm"/>
              <w:tabs>
                <w:tab w:val="clear" w:pos="567"/>
              </w:tabs>
              <w:ind w:left="566" w:hanging="566"/>
            </w:pPr>
            <w:r>
              <w:t>(a)</w:t>
            </w:r>
            <w:r>
              <w:tab/>
              <w:t>for arresting the person</w:t>
            </w:r>
          </w:p>
        </w:tc>
        <w:tc>
          <w:tcPr>
            <w:tcW w:w="1451" w:type="dxa"/>
            <w:noWrap/>
            <w:vAlign w:val="bottom"/>
          </w:tcPr>
          <w:p>
            <w:pPr>
              <w:pStyle w:val="yTableNAm"/>
              <w:tabs>
                <w:tab w:val="clear" w:pos="567"/>
              </w:tabs>
              <w:ind w:right="352"/>
              <w:jc w:val="right"/>
            </w:pPr>
            <w:r>
              <w:t>211.00</w:t>
            </w:r>
          </w:p>
        </w:tc>
        <w:tc>
          <w:tcPr>
            <w:tcW w:w="1384" w:type="dxa"/>
            <w:noWrap/>
            <w:vAlign w:val="bottom"/>
          </w:tcPr>
          <w:p>
            <w:pPr>
              <w:pStyle w:val="yTableNAm"/>
              <w:tabs>
                <w:tab w:val="clear" w:pos="567"/>
              </w:tabs>
              <w:ind w:right="352"/>
              <w:jc w:val="right"/>
            </w:pPr>
            <w:r>
              <w:t>211.00</w:t>
            </w:r>
          </w:p>
        </w:tc>
      </w:tr>
      <w:tr>
        <w:trPr>
          <w:cantSplit/>
        </w:trPr>
        <w:tc>
          <w:tcPr>
            <w:tcW w:w="741" w:type="dxa"/>
            <w:noWrap/>
          </w:tcPr>
          <w:p>
            <w:pPr>
              <w:pStyle w:val="yTableNAm"/>
            </w:pPr>
          </w:p>
        </w:tc>
        <w:tc>
          <w:tcPr>
            <w:tcW w:w="3512" w:type="dxa"/>
            <w:noWrap/>
          </w:tcPr>
          <w:p>
            <w:pPr>
              <w:pStyle w:val="yTableNAm"/>
              <w:tabs>
                <w:tab w:val="clear" w:pos="567"/>
              </w:tabs>
              <w:ind w:left="566" w:hanging="566"/>
            </w:pPr>
            <w:r>
              <w:t>(b)</w:t>
            </w:r>
            <w:r>
              <w:tab/>
              <w:t>for conveying the person to a court or a custodial place and releasing the person from arrest or custody</w:t>
            </w:r>
          </w:p>
        </w:tc>
        <w:tc>
          <w:tcPr>
            <w:tcW w:w="1451" w:type="dxa"/>
            <w:noWrap/>
            <w:vAlign w:val="bottom"/>
          </w:tcPr>
          <w:p>
            <w:pPr>
              <w:pStyle w:val="yTableNAm"/>
              <w:tabs>
                <w:tab w:val="clear" w:pos="567"/>
              </w:tabs>
              <w:ind w:right="352"/>
              <w:jc w:val="right"/>
            </w:pPr>
            <w:r>
              <w:t>209.00</w:t>
            </w:r>
          </w:p>
        </w:tc>
        <w:tc>
          <w:tcPr>
            <w:tcW w:w="1384" w:type="dxa"/>
            <w:noWrap/>
            <w:vAlign w:val="bottom"/>
          </w:tcPr>
          <w:p>
            <w:pPr>
              <w:pStyle w:val="yTableNAm"/>
              <w:tabs>
                <w:tab w:val="clear" w:pos="567"/>
              </w:tabs>
              <w:ind w:right="352"/>
              <w:jc w:val="right"/>
            </w:pPr>
            <w:r>
              <w:t>209.00</w:t>
            </w:r>
          </w:p>
        </w:tc>
      </w:tr>
      <w:tr>
        <w:trPr>
          <w:cantSplit/>
        </w:trPr>
        <w:tc>
          <w:tcPr>
            <w:tcW w:w="741" w:type="dxa"/>
            <w:noWrap/>
          </w:tcPr>
          <w:p>
            <w:pPr>
              <w:pStyle w:val="yTableNAm"/>
            </w:pPr>
          </w:p>
        </w:tc>
        <w:tc>
          <w:tcPr>
            <w:tcW w:w="3512" w:type="dxa"/>
            <w:noWrap/>
          </w:tcPr>
          <w:p>
            <w:pPr>
              <w:pStyle w:val="yTableNAm"/>
              <w:tabs>
                <w:tab w:val="clear" w:pos="567"/>
              </w:tabs>
              <w:ind w:left="566" w:hanging="566"/>
            </w:pPr>
            <w:r>
              <w:t>(c)</w:t>
            </w:r>
            <w:r>
              <w:tab/>
              <w:t xml:space="preserve">for each 30 minutes after 2 hours and 30 minutes that an enforcement officer is required to keep the person in custody until the person is conveyed to a court or a custodial place </w:t>
            </w:r>
          </w:p>
        </w:tc>
        <w:tc>
          <w:tcPr>
            <w:tcW w:w="1451" w:type="dxa"/>
            <w:noWrap/>
            <w:vAlign w:val="bottom"/>
          </w:tcPr>
          <w:p>
            <w:pPr>
              <w:pStyle w:val="yTableNAm"/>
              <w:tabs>
                <w:tab w:val="clear" w:pos="567"/>
              </w:tabs>
              <w:ind w:right="352"/>
              <w:jc w:val="right"/>
            </w:pPr>
            <w:r>
              <w:t>55.00</w:t>
            </w:r>
          </w:p>
        </w:tc>
        <w:tc>
          <w:tcPr>
            <w:tcW w:w="1384" w:type="dxa"/>
            <w:noWrap/>
            <w:vAlign w:val="bottom"/>
          </w:tcPr>
          <w:p>
            <w:pPr>
              <w:pStyle w:val="yTableNAm"/>
              <w:tabs>
                <w:tab w:val="clear" w:pos="567"/>
              </w:tabs>
              <w:ind w:right="352"/>
              <w:jc w:val="right"/>
            </w:pPr>
            <w:r>
              <w:t>55.00</w:t>
            </w:r>
          </w:p>
        </w:tc>
      </w:tr>
      <w:tr>
        <w:trPr>
          <w:cantSplit/>
          <w:trHeight w:val="1100"/>
        </w:trPr>
        <w:tc>
          <w:tcPr>
            <w:tcW w:w="741" w:type="dxa"/>
            <w:noWrap/>
          </w:tcPr>
          <w:p>
            <w:pPr>
              <w:pStyle w:val="yTableNAm"/>
            </w:pPr>
          </w:p>
        </w:tc>
        <w:tc>
          <w:tcPr>
            <w:tcW w:w="6347" w:type="dxa"/>
            <w:gridSpan w:val="3"/>
            <w:noWrap/>
          </w:tcPr>
          <w:p>
            <w:pPr>
              <w:pStyle w:val="yTableNAm"/>
              <w:rPr>
                <w:rFonts w:ascii="Arial" w:hAnsi="Arial" w:cs="Arial"/>
                <w:sz w:val="18"/>
                <w:szCs w:val="18"/>
              </w:rPr>
            </w:pPr>
            <w:r>
              <w:rPr>
                <w:rFonts w:ascii="Arial" w:hAnsi="Arial" w:cs="Arial"/>
                <w:sz w:val="18"/>
                <w:szCs w:val="18"/>
              </w:rPr>
              <w:t>Notes for this item:</w:t>
            </w:r>
          </w:p>
          <w:p>
            <w:pPr>
              <w:pStyle w:val="yTableNAm"/>
              <w:ind w:left="493" w:hanging="457"/>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trPr>
          <w:cantSplit/>
          <w:trHeight w:val="1417"/>
        </w:trPr>
        <w:tc>
          <w:tcPr>
            <w:tcW w:w="741" w:type="dxa"/>
            <w:noWrap/>
          </w:tcPr>
          <w:p>
            <w:pPr>
              <w:pStyle w:val="yTableNAm"/>
            </w:pPr>
          </w:p>
        </w:tc>
        <w:tc>
          <w:tcPr>
            <w:tcW w:w="6347" w:type="dxa"/>
            <w:gridSpan w:val="3"/>
            <w:noWrap/>
          </w:tcPr>
          <w:p>
            <w:pPr>
              <w:pStyle w:val="yTableNAm"/>
              <w:ind w:left="493" w:hanging="457"/>
              <w:rPr>
                <w:rFonts w:ascii="Arial" w:hAnsi="Arial" w:cs="Arial"/>
                <w:sz w:val="18"/>
                <w:szCs w:val="18"/>
              </w:rPr>
            </w:pPr>
            <w:r>
              <w:rPr>
                <w:rFonts w:ascii="Arial" w:hAnsi="Arial" w:cs="Arial"/>
                <w:sz w:val="18"/>
                <w:szCs w:val="18"/>
              </w:rPr>
              <w:t>2.</w:t>
            </w:r>
            <w:r>
              <w:rPr>
                <w:rFonts w:ascii="Arial" w:hAnsi="Arial" w:cs="Arial"/>
                <w:sz w:val="18"/>
                <w:szCs w:val="18"/>
              </w:rPr>
              <w:tab/>
              <w:t xml:space="preserve">The fee under paragraph (a) includes the costs of — </w:t>
            </w:r>
          </w:p>
          <w:p>
            <w:pPr>
              <w:pStyle w:val="yTableNAm"/>
              <w:tabs>
                <w:tab w:val="clear" w:pos="567"/>
                <w:tab w:val="left" w:pos="886"/>
              </w:tabs>
              <w:ind w:left="1202" w:hanging="709"/>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tabs>
                <w:tab w:val="clear" w:pos="567"/>
                <w:tab w:val="left" w:pos="886"/>
              </w:tabs>
              <w:ind w:left="1202" w:hanging="709"/>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tabs>
                <w:tab w:val="clear" w:pos="567"/>
                <w:tab w:val="left" w:pos="886"/>
              </w:tabs>
              <w:ind w:left="1202" w:hanging="709"/>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tabs>
                <w:tab w:val="clear" w:pos="567"/>
                <w:tab w:val="left" w:pos="886"/>
              </w:tabs>
              <w:ind w:left="1202" w:hanging="709"/>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rPr>
          <w:cantSplit/>
        </w:trPr>
        <w:tc>
          <w:tcPr>
            <w:tcW w:w="741" w:type="dxa"/>
            <w:tcBorders>
              <w:bottom w:val="single" w:sz="4" w:space="0" w:color="auto"/>
            </w:tcBorders>
            <w:noWrap/>
          </w:tcPr>
          <w:p>
            <w:pPr>
              <w:pStyle w:val="yTableNAm"/>
            </w:pPr>
            <w:r>
              <w:t>3.</w:t>
            </w:r>
          </w:p>
        </w:tc>
        <w:tc>
          <w:tcPr>
            <w:tcW w:w="3512" w:type="dxa"/>
            <w:tcBorders>
              <w:bottom w:val="single" w:sz="4" w:space="0" w:color="auto"/>
            </w:tcBorders>
            <w:noWrap/>
          </w:tcPr>
          <w:p>
            <w:pPr>
              <w:pStyle w:val="yTableNAm"/>
            </w:pPr>
            <w:r>
              <w:t xml:space="preserve">On filing an application for an extraordinary licence under the </w:t>
            </w:r>
            <w:r>
              <w:rPr>
                <w:i/>
              </w:rPr>
              <w:t>Road Traffic (Authorisation to Drive) Act 2008</w:t>
            </w:r>
            <w:r>
              <w:rPr>
                <w:iCs/>
              </w:rPr>
              <w:t xml:space="preserve"> section 27</w:t>
            </w:r>
          </w:p>
        </w:tc>
        <w:tc>
          <w:tcPr>
            <w:tcW w:w="1451" w:type="dxa"/>
            <w:tcBorders>
              <w:bottom w:val="single" w:sz="4" w:space="0" w:color="auto"/>
            </w:tcBorders>
            <w:noWrap/>
            <w:vAlign w:val="bottom"/>
          </w:tcPr>
          <w:p>
            <w:pPr>
              <w:pStyle w:val="yTableNAm"/>
              <w:tabs>
                <w:tab w:val="clear" w:pos="567"/>
              </w:tabs>
              <w:ind w:right="352"/>
              <w:jc w:val="right"/>
            </w:pPr>
            <w:r>
              <w:t>255.00</w:t>
            </w:r>
          </w:p>
        </w:tc>
        <w:tc>
          <w:tcPr>
            <w:tcW w:w="1384" w:type="dxa"/>
            <w:tcBorders>
              <w:bottom w:val="single" w:sz="4" w:space="0" w:color="auto"/>
            </w:tcBorders>
            <w:noWrap/>
            <w:vAlign w:val="bottom"/>
          </w:tcPr>
          <w:p>
            <w:pPr>
              <w:pStyle w:val="yTableNAm"/>
              <w:tabs>
                <w:tab w:val="clear" w:pos="567"/>
              </w:tabs>
              <w:ind w:right="352"/>
              <w:jc w:val="right"/>
            </w:pPr>
            <w:r>
              <w:t>76.50</w:t>
            </w:r>
          </w:p>
        </w:tc>
      </w:tr>
    </w:tbl>
    <w:p>
      <w:pPr>
        <w:pStyle w:val="yFootnotesection"/>
      </w:pPr>
      <w:bookmarkStart w:id="37" w:name="_Toc201239136"/>
      <w:bookmarkStart w:id="38" w:name="_Toc201239213"/>
      <w:bookmarkStart w:id="39" w:name="_Toc201239484"/>
      <w:r>
        <w:tab/>
        <w:t>[Division 2 inserted: SL 2025/111 r. 6.]</w:t>
      </w:r>
    </w:p>
    <w:p>
      <w:pPr>
        <w:pStyle w:val="yHeading3"/>
        <w:rPr>
          <w:rStyle w:val="CharDivText"/>
        </w:rPr>
      </w:pPr>
      <w:bookmarkStart w:id="40" w:name="_Toc201302891"/>
      <w:bookmarkStart w:id="41" w:name="_Toc201303014"/>
      <w:bookmarkStart w:id="42" w:name="_Toc201305314"/>
      <w:r>
        <w:rPr>
          <w:rStyle w:val="CharSDivNo"/>
        </w:rPr>
        <w:lastRenderedPageBreak/>
        <w:t>Division 3</w:t>
      </w:r>
      <w:r>
        <w:rPr>
          <w:rStyle w:val="CharDivNo"/>
        </w:rPr>
        <w:t> </w:t>
      </w:r>
      <w:r>
        <w:t>—</w:t>
      </w:r>
      <w:r>
        <w:rPr>
          <w:rStyle w:val="CharDivText"/>
        </w:rPr>
        <w:t> </w:t>
      </w:r>
      <w:r>
        <w:rPr>
          <w:rStyle w:val="CharSDivText"/>
        </w:rPr>
        <w:t>Criminal jurisdiction</w:t>
      </w:r>
      <w:bookmarkEnd w:id="37"/>
      <w:bookmarkEnd w:id="38"/>
      <w:bookmarkEnd w:id="39"/>
      <w:bookmarkEnd w:id="40"/>
      <w:bookmarkEnd w:id="41"/>
      <w:bookmarkEnd w:id="42"/>
    </w:p>
    <w:p>
      <w:pPr>
        <w:pStyle w:val="yFootnoteheading"/>
        <w:keepNext/>
      </w:pPr>
      <w:r>
        <w:tab/>
        <w:t>[Heading inserted: SL 2025/111 r. 6.]</w:t>
      </w:r>
    </w:p>
    <w:tbl>
      <w:tblPr>
        <w:tblW w:w="7088" w:type="dxa"/>
        <w:tblLayout w:type="fixed"/>
        <w:tblLook w:val="0000" w:firstRow="0" w:lastRow="0" w:firstColumn="0" w:lastColumn="0" w:noHBand="0" w:noVBand="0"/>
      </w:tblPr>
      <w:tblGrid>
        <w:gridCol w:w="798"/>
        <w:gridCol w:w="3455"/>
        <w:gridCol w:w="1276"/>
        <w:gridCol w:w="1559"/>
      </w:tblGrid>
      <w:tr>
        <w:trPr>
          <w:cantSplit/>
          <w:tblHeader/>
        </w:trPr>
        <w:tc>
          <w:tcPr>
            <w:tcW w:w="798" w:type="dxa"/>
            <w:tcBorders>
              <w:top w:val="single" w:sz="4" w:space="0" w:color="auto"/>
              <w:bottom w:val="single" w:sz="4" w:space="0" w:color="auto"/>
            </w:tcBorders>
            <w:noWrap/>
          </w:tcPr>
          <w:p>
            <w:pPr>
              <w:pStyle w:val="yTableNAm"/>
              <w:jc w:val="center"/>
              <w:rPr>
                <w:b/>
              </w:rPr>
            </w:pPr>
            <w:r>
              <w:rPr>
                <w:b/>
              </w:rPr>
              <w:t>Item</w:t>
            </w:r>
          </w:p>
        </w:tc>
        <w:tc>
          <w:tcPr>
            <w:tcW w:w="3455" w:type="dxa"/>
            <w:tcBorders>
              <w:top w:val="single" w:sz="4" w:space="0" w:color="auto"/>
              <w:bottom w:val="single" w:sz="4" w:space="0" w:color="auto"/>
            </w:tcBorders>
            <w:noWrap/>
          </w:tcPr>
          <w:p>
            <w:pPr>
              <w:pStyle w:val="yTableNAm"/>
              <w:jc w:val="center"/>
              <w:rPr>
                <w:b/>
              </w:rPr>
            </w:pPr>
            <w:r>
              <w:rPr>
                <w:b/>
              </w:rPr>
              <w:t>Matter</w:t>
            </w:r>
          </w:p>
        </w:tc>
        <w:tc>
          <w:tcPr>
            <w:tcW w:w="1276"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w:t>
            </w:r>
            <w:r>
              <w:rPr>
                <w:b/>
              </w:rPr>
              <w:br/>
            </w:r>
            <w:r>
              <w:rPr>
                <w:b/>
              </w:rPr>
              <w:br/>
              <w:t>$</w:t>
            </w:r>
          </w:p>
        </w:tc>
        <w:tc>
          <w:tcPr>
            <w:tcW w:w="1559"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eligible individual</w:t>
            </w:r>
            <w:r>
              <w:rPr>
                <w:b/>
              </w:rPr>
              <w:br/>
              <w:t>$</w:t>
            </w:r>
          </w:p>
        </w:tc>
      </w:tr>
      <w:tr>
        <w:trPr>
          <w:cantSplit/>
        </w:trPr>
        <w:tc>
          <w:tcPr>
            <w:tcW w:w="798" w:type="dxa"/>
            <w:tcBorders>
              <w:top w:val="single" w:sz="4" w:space="0" w:color="auto"/>
            </w:tcBorders>
            <w:noWrap/>
          </w:tcPr>
          <w:p>
            <w:pPr>
              <w:pStyle w:val="yTableNAm"/>
            </w:pPr>
            <w:r>
              <w:t>1.</w:t>
            </w:r>
          </w:p>
        </w:tc>
        <w:tc>
          <w:tcPr>
            <w:tcW w:w="3455" w:type="dxa"/>
            <w:tcBorders>
              <w:top w:val="single" w:sz="4" w:space="0" w:color="auto"/>
            </w:tcBorders>
            <w:noWrap/>
          </w:tcPr>
          <w:p>
            <w:pPr>
              <w:pStyle w:val="yTableNAm"/>
            </w:pPr>
            <w:r>
              <w:t xml:space="preserve">On filing — </w:t>
            </w:r>
          </w:p>
        </w:tc>
        <w:tc>
          <w:tcPr>
            <w:tcW w:w="1276" w:type="dxa"/>
            <w:tcBorders>
              <w:top w:val="single" w:sz="4" w:space="0" w:color="auto"/>
            </w:tcBorders>
            <w:noWrap/>
          </w:tcPr>
          <w:p>
            <w:pPr>
              <w:pStyle w:val="yTableNAm"/>
              <w:tabs>
                <w:tab w:val="clear" w:pos="567"/>
              </w:tabs>
              <w:ind w:right="177"/>
              <w:jc w:val="right"/>
            </w:pPr>
          </w:p>
        </w:tc>
        <w:tc>
          <w:tcPr>
            <w:tcW w:w="1559" w:type="dxa"/>
            <w:tcBorders>
              <w:top w:val="single" w:sz="4" w:space="0" w:color="auto"/>
            </w:tcBorders>
            <w:noWrap/>
          </w:tcPr>
          <w:p>
            <w:pPr>
              <w:pStyle w:val="yTableNAm"/>
              <w:tabs>
                <w:tab w:val="clear" w:pos="567"/>
              </w:tabs>
              <w:ind w:right="177"/>
              <w:jc w:val="right"/>
            </w:pPr>
          </w:p>
        </w:tc>
      </w:tr>
      <w:tr>
        <w:trPr>
          <w:cantSplit/>
        </w:trPr>
        <w:tc>
          <w:tcPr>
            <w:tcW w:w="798" w:type="dxa"/>
            <w:noWrap/>
          </w:tcPr>
          <w:p>
            <w:pPr>
              <w:pStyle w:val="yTableNAm"/>
            </w:pPr>
          </w:p>
        </w:tc>
        <w:tc>
          <w:tcPr>
            <w:tcW w:w="3455" w:type="dxa"/>
            <w:noWrap/>
          </w:tcPr>
          <w:p>
            <w:pPr>
              <w:pStyle w:val="yTableNAm"/>
              <w:tabs>
                <w:tab w:val="clear" w:pos="567"/>
              </w:tabs>
              <w:ind w:left="517" w:hanging="517"/>
            </w:pPr>
            <w:r>
              <w:t>(a)</w:t>
            </w:r>
            <w:r>
              <w:tab/>
              <w:t xml:space="preserve">a prosecution notice </w:t>
            </w:r>
          </w:p>
        </w:tc>
        <w:tc>
          <w:tcPr>
            <w:tcW w:w="1276" w:type="dxa"/>
            <w:noWrap/>
            <w:vAlign w:val="bottom"/>
          </w:tcPr>
          <w:p>
            <w:pPr>
              <w:pStyle w:val="yTableNAm"/>
              <w:tabs>
                <w:tab w:val="clear" w:pos="567"/>
              </w:tabs>
              <w:ind w:right="177"/>
              <w:jc w:val="right"/>
            </w:pPr>
            <w:r>
              <w:t>160.50</w:t>
            </w:r>
          </w:p>
        </w:tc>
        <w:tc>
          <w:tcPr>
            <w:tcW w:w="1559" w:type="dxa"/>
            <w:noWrap/>
            <w:vAlign w:val="bottom"/>
          </w:tcPr>
          <w:p>
            <w:pPr>
              <w:pStyle w:val="yTableNAm"/>
              <w:tabs>
                <w:tab w:val="clear" w:pos="567"/>
              </w:tabs>
              <w:ind w:right="177"/>
              <w:jc w:val="right"/>
            </w:pPr>
            <w:r>
              <w:t>48.10</w:t>
            </w:r>
          </w:p>
        </w:tc>
      </w:tr>
      <w:tr>
        <w:trPr>
          <w:cantSplit/>
        </w:trPr>
        <w:tc>
          <w:tcPr>
            <w:tcW w:w="798" w:type="dxa"/>
            <w:noWrap/>
          </w:tcPr>
          <w:p>
            <w:pPr>
              <w:pStyle w:val="yTableNAm"/>
            </w:pPr>
          </w:p>
        </w:tc>
        <w:tc>
          <w:tcPr>
            <w:tcW w:w="3455" w:type="dxa"/>
            <w:noWrap/>
          </w:tcPr>
          <w:p>
            <w:pPr>
              <w:pStyle w:val="yTableNAm"/>
              <w:tabs>
                <w:tab w:val="clear" w:pos="567"/>
              </w:tabs>
              <w:ind w:left="517" w:hanging="517"/>
            </w:pPr>
            <w:r>
              <w:t>(b)</w:t>
            </w:r>
            <w:r>
              <w:tab/>
              <w:t xml:space="preserve">an application under the </w:t>
            </w:r>
            <w:r>
              <w:rPr>
                <w:i/>
              </w:rPr>
              <w:t>Criminal Procedure Act 2004</w:t>
            </w:r>
            <w:r>
              <w:t xml:space="preserve"> section 71</w:t>
            </w:r>
          </w:p>
        </w:tc>
        <w:tc>
          <w:tcPr>
            <w:tcW w:w="1276" w:type="dxa"/>
            <w:noWrap/>
            <w:vAlign w:val="bottom"/>
          </w:tcPr>
          <w:p>
            <w:pPr>
              <w:pStyle w:val="yTableNAm"/>
              <w:tabs>
                <w:tab w:val="clear" w:pos="567"/>
              </w:tabs>
              <w:ind w:right="177"/>
              <w:jc w:val="right"/>
            </w:pPr>
            <w:r>
              <w:t>160.50</w:t>
            </w:r>
          </w:p>
        </w:tc>
        <w:tc>
          <w:tcPr>
            <w:tcW w:w="1559" w:type="dxa"/>
            <w:noWrap/>
            <w:vAlign w:val="bottom"/>
          </w:tcPr>
          <w:p>
            <w:pPr>
              <w:pStyle w:val="yTableNAm"/>
              <w:tabs>
                <w:tab w:val="clear" w:pos="567"/>
              </w:tabs>
              <w:ind w:right="177"/>
              <w:jc w:val="right"/>
            </w:pPr>
            <w:r>
              <w:t>48.10</w:t>
            </w:r>
          </w:p>
        </w:tc>
      </w:tr>
      <w:tr>
        <w:trPr>
          <w:cantSplit/>
        </w:trPr>
        <w:tc>
          <w:tcPr>
            <w:tcW w:w="798" w:type="dxa"/>
            <w:noWrap/>
          </w:tcPr>
          <w:p>
            <w:pPr>
              <w:pStyle w:val="yTableNAm"/>
            </w:pPr>
            <w:r>
              <w:t>2.</w:t>
            </w:r>
          </w:p>
        </w:tc>
        <w:tc>
          <w:tcPr>
            <w:tcW w:w="3455" w:type="dxa"/>
            <w:noWrap/>
          </w:tcPr>
          <w:p>
            <w:pPr>
              <w:pStyle w:val="yTableNAm"/>
            </w:pPr>
            <w:r>
              <w:t xml:space="preserve">For the issue of a summons or court hearing notice to an accused </w:t>
            </w:r>
          </w:p>
        </w:tc>
        <w:tc>
          <w:tcPr>
            <w:tcW w:w="1276" w:type="dxa"/>
            <w:noWrap/>
            <w:vAlign w:val="bottom"/>
          </w:tcPr>
          <w:p>
            <w:pPr>
              <w:pStyle w:val="yTableNAm"/>
              <w:tabs>
                <w:tab w:val="clear" w:pos="567"/>
              </w:tabs>
              <w:ind w:right="177"/>
              <w:jc w:val="right"/>
            </w:pPr>
            <w:r>
              <w:t>30.80</w:t>
            </w:r>
          </w:p>
        </w:tc>
        <w:tc>
          <w:tcPr>
            <w:tcW w:w="1559" w:type="dxa"/>
            <w:noWrap/>
            <w:vAlign w:val="bottom"/>
          </w:tcPr>
          <w:p>
            <w:pPr>
              <w:pStyle w:val="yTableNAm"/>
              <w:tabs>
                <w:tab w:val="clear" w:pos="567"/>
              </w:tabs>
              <w:ind w:right="177"/>
              <w:jc w:val="right"/>
            </w:pPr>
            <w:r>
              <w:t>9.25</w:t>
            </w:r>
          </w:p>
        </w:tc>
      </w:tr>
      <w:tr>
        <w:trPr>
          <w:cantSplit/>
        </w:trPr>
        <w:tc>
          <w:tcPr>
            <w:tcW w:w="798" w:type="dxa"/>
            <w:noWrap/>
          </w:tcPr>
          <w:p>
            <w:pPr>
              <w:pStyle w:val="yTableNAm"/>
            </w:pPr>
            <w:r>
              <w:t>3.</w:t>
            </w:r>
          </w:p>
        </w:tc>
        <w:tc>
          <w:tcPr>
            <w:tcW w:w="3455" w:type="dxa"/>
            <w:noWrap/>
          </w:tcPr>
          <w:p>
            <w:pPr>
              <w:pStyle w:val="yTableNAm"/>
            </w:pPr>
            <w:r>
              <w:t xml:space="preserve">For a warrant of any kind — </w:t>
            </w:r>
          </w:p>
        </w:tc>
        <w:tc>
          <w:tcPr>
            <w:tcW w:w="1276" w:type="dxa"/>
            <w:noWrap/>
            <w:vAlign w:val="bottom"/>
          </w:tcPr>
          <w:p>
            <w:pPr>
              <w:pStyle w:val="yTableNAm"/>
              <w:tabs>
                <w:tab w:val="clear" w:pos="567"/>
              </w:tabs>
              <w:ind w:right="177"/>
              <w:jc w:val="right"/>
            </w:pPr>
          </w:p>
        </w:tc>
        <w:tc>
          <w:tcPr>
            <w:tcW w:w="1559" w:type="dxa"/>
            <w:noWrap/>
            <w:vAlign w:val="bottom"/>
          </w:tcPr>
          <w:p>
            <w:pPr>
              <w:pStyle w:val="yTableNAm"/>
              <w:tabs>
                <w:tab w:val="clear" w:pos="567"/>
              </w:tabs>
              <w:ind w:right="177"/>
              <w:jc w:val="right"/>
            </w:pPr>
          </w:p>
        </w:tc>
      </w:tr>
      <w:tr>
        <w:trPr>
          <w:cantSplit/>
        </w:trPr>
        <w:tc>
          <w:tcPr>
            <w:tcW w:w="798" w:type="dxa"/>
            <w:noWrap/>
          </w:tcPr>
          <w:p>
            <w:pPr>
              <w:pStyle w:val="yTableNAm"/>
            </w:pPr>
          </w:p>
        </w:tc>
        <w:tc>
          <w:tcPr>
            <w:tcW w:w="3455" w:type="dxa"/>
            <w:noWrap/>
          </w:tcPr>
          <w:p>
            <w:pPr>
              <w:pStyle w:val="yTableNAm"/>
              <w:tabs>
                <w:tab w:val="clear" w:pos="567"/>
              </w:tabs>
              <w:ind w:left="517" w:hanging="517"/>
            </w:pPr>
            <w:r>
              <w:t>(a)</w:t>
            </w:r>
            <w:r>
              <w:tab/>
              <w:t>issue of warrant</w:t>
            </w:r>
          </w:p>
        </w:tc>
        <w:tc>
          <w:tcPr>
            <w:tcW w:w="1276" w:type="dxa"/>
            <w:noWrap/>
            <w:vAlign w:val="bottom"/>
          </w:tcPr>
          <w:p>
            <w:pPr>
              <w:pStyle w:val="yTableNAm"/>
              <w:tabs>
                <w:tab w:val="clear" w:pos="567"/>
              </w:tabs>
              <w:ind w:right="177"/>
              <w:jc w:val="right"/>
            </w:pPr>
            <w:r>
              <w:t>160.50</w:t>
            </w:r>
          </w:p>
        </w:tc>
        <w:tc>
          <w:tcPr>
            <w:tcW w:w="1559" w:type="dxa"/>
            <w:noWrap/>
            <w:vAlign w:val="bottom"/>
          </w:tcPr>
          <w:p>
            <w:pPr>
              <w:pStyle w:val="yTableNAm"/>
              <w:tabs>
                <w:tab w:val="clear" w:pos="567"/>
              </w:tabs>
              <w:ind w:right="177"/>
              <w:jc w:val="right"/>
            </w:pPr>
            <w:r>
              <w:t>48.10</w:t>
            </w:r>
          </w:p>
        </w:tc>
      </w:tr>
      <w:tr>
        <w:trPr>
          <w:cantSplit/>
        </w:trPr>
        <w:tc>
          <w:tcPr>
            <w:tcW w:w="798" w:type="dxa"/>
            <w:tcBorders>
              <w:bottom w:val="single" w:sz="4" w:space="0" w:color="auto"/>
            </w:tcBorders>
            <w:noWrap/>
          </w:tcPr>
          <w:p>
            <w:pPr>
              <w:pStyle w:val="yTableNAm"/>
            </w:pPr>
          </w:p>
        </w:tc>
        <w:tc>
          <w:tcPr>
            <w:tcW w:w="3455" w:type="dxa"/>
            <w:tcBorders>
              <w:bottom w:val="single" w:sz="4" w:space="0" w:color="auto"/>
            </w:tcBorders>
            <w:noWrap/>
          </w:tcPr>
          <w:p>
            <w:pPr>
              <w:pStyle w:val="yTableNAm"/>
              <w:tabs>
                <w:tab w:val="clear" w:pos="567"/>
              </w:tabs>
              <w:ind w:left="517" w:hanging="517"/>
            </w:pPr>
            <w:r>
              <w:t>(b)</w:t>
            </w:r>
            <w:r>
              <w:tab/>
              <w:t>execution of warrant</w:t>
            </w:r>
          </w:p>
        </w:tc>
        <w:tc>
          <w:tcPr>
            <w:tcW w:w="1276" w:type="dxa"/>
            <w:tcBorders>
              <w:bottom w:val="single" w:sz="4" w:space="0" w:color="auto"/>
            </w:tcBorders>
            <w:noWrap/>
            <w:vAlign w:val="bottom"/>
          </w:tcPr>
          <w:p>
            <w:pPr>
              <w:pStyle w:val="yTableNAm"/>
              <w:tabs>
                <w:tab w:val="clear" w:pos="567"/>
              </w:tabs>
              <w:ind w:right="177"/>
              <w:jc w:val="right"/>
            </w:pPr>
            <w:r>
              <w:t>209.00</w:t>
            </w:r>
          </w:p>
        </w:tc>
        <w:tc>
          <w:tcPr>
            <w:tcW w:w="1559" w:type="dxa"/>
            <w:tcBorders>
              <w:bottom w:val="single" w:sz="4" w:space="0" w:color="auto"/>
            </w:tcBorders>
            <w:noWrap/>
            <w:vAlign w:val="bottom"/>
          </w:tcPr>
          <w:p>
            <w:pPr>
              <w:pStyle w:val="yTableNAm"/>
              <w:tabs>
                <w:tab w:val="clear" w:pos="567"/>
              </w:tabs>
              <w:ind w:right="177"/>
              <w:jc w:val="right"/>
            </w:pPr>
            <w:r>
              <w:t>209.00</w:t>
            </w:r>
          </w:p>
        </w:tc>
      </w:tr>
    </w:tbl>
    <w:p>
      <w:pPr>
        <w:pStyle w:val="yFootnotesection"/>
      </w:pPr>
      <w:r>
        <w:tab/>
        <w:t>[Division 3 inserted: SL 2025/111 r. 6.]</w:t>
      </w:r>
    </w:p>
    <w:bookmarkEnd w:id="25"/>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44" w:name="_Toc201300736"/>
      <w:bookmarkStart w:id="45" w:name="_Toc201302892"/>
      <w:bookmarkStart w:id="46" w:name="_Toc201303015"/>
      <w:bookmarkStart w:id="47" w:name="_Toc201305315"/>
      <w:r>
        <w:lastRenderedPageBreak/>
        <w:t>Notes</w:t>
      </w:r>
      <w:bookmarkEnd w:id="44"/>
      <w:bookmarkEnd w:id="45"/>
      <w:bookmarkEnd w:id="46"/>
      <w:bookmarkEnd w:id="47"/>
    </w:p>
    <w:p>
      <w:pPr>
        <w:pStyle w:val="nStatement"/>
      </w:pPr>
      <w:r>
        <w:t xml:space="preserve">This is a compilation of the </w:t>
      </w:r>
      <w:r>
        <w:rPr>
          <w:i/>
          <w:noProof/>
        </w:rPr>
        <w:t>Children’s Court (Fees) Regulations 2005</w:t>
      </w:r>
      <w:r>
        <w:t xml:space="preserve"> and includes amendments made by other written laws. For provisions that have come into operation, and for information about any reprints, see the compilation table. </w:t>
      </w:r>
    </w:p>
    <w:p>
      <w:pPr>
        <w:pStyle w:val="nHeading3"/>
      </w:pPr>
      <w:bookmarkStart w:id="48" w:name="_Toc201305316"/>
      <w:r>
        <w:t>Compilation table</w:t>
      </w:r>
      <w:bookmarkEnd w:id="4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Children’s Court (Fees) Regulations 2005</w:t>
            </w:r>
          </w:p>
        </w:tc>
        <w:tc>
          <w:tcPr>
            <w:tcW w:w="1276" w:type="dxa"/>
            <w:tcBorders>
              <w:top w:val="single" w:sz="8" w:space="0" w:color="auto"/>
            </w:tcBorders>
          </w:tcPr>
          <w:p>
            <w:pPr>
              <w:pStyle w:val="nTable"/>
              <w:spacing w:after="40"/>
            </w:pPr>
            <w:r>
              <w:t>28 Apr 2005 p. 1415</w:t>
            </w:r>
            <w:r>
              <w:noBreakHyphen/>
              <w:t>33</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2005</w:t>
            </w:r>
          </w:p>
        </w:tc>
        <w:tc>
          <w:tcPr>
            <w:tcW w:w="1276" w:type="dxa"/>
          </w:tcPr>
          <w:p>
            <w:pPr>
              <w:pStyle w:val="nTable"/>
              <w:spacing w:after="40"/>
            </w:pPr>
            <w:r>
              <w:t>30 Aug 2005 p. 4054</w:t>
            </w:r>
          </w:p>
        </w:tc>
        <w:tc>
          <w:tcPr>
            <w:tcW w:w="2693" w:type="dxa"/>
          </w:tcPr>
          <w:p>
            <w:pPr>
              <w:pStyle w:val="nTable"/>
              <w:spacing w:after="40"/>
            </w:pPr>
            <w:r>
              <w:t>30 Aug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2006</w:t>
            </w:r>
          </w:p>
        </w:tc>
        <w:tc>
          <w:tcPr>
            <w:tcW w:w="1276" w:type="dxa"/>
          </w:tcPr>
          <w:p>
            <w:pPr>
              <w:pStyle w:val="nTable"/>
              <w:spacing w:after="40"/>
            </w:pPr>
            <w:r>
              <w:t>23 Jun 2006 p. 2181</w:t>
            </w:r>
            <w:r>
              <w:noBreakHyphen/>
              <w:t>3</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2007</w:t>
            </w:r>
          </w:p>
        </w:tc>
        <w:tc>
          <w:tcPr>
            <w:tcW w:w="1276" w:type="dxa"/>
          </w:tcPr>
          <w:p>
            <w:pPr>
              <w:pStyle w:val="nTable"/>
              <w:spacing w:after="40"/>
            </w:pPr>
            <w:r>
              <w:t>26 Jun 2007 p. 3040</w:t>
            </w:r>
            <w:r>
              <w:noBreakHyphen/>
              <w:t>1</w:t>
            </w:r>
          </w:p>
        </w:tc>
        <w:tc>
          <w:tcPr>
            <w:tcW w:w="2693" w:type="dxa"/>
          </w:tcPr>
          <w:p>
            <w:pPr>
              <w:pStyle w:val="nTable"/>
              <w:spacing w:after="40"/>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2008</w:t>
            </w:r>
          </w:p>
        </w:tc>
        <w:tc>
          <w:tcPr>
            <w:tcW w:w="1276" w:type="dxa"/>
          </w:tcPr>
          <w:p>
            <w:pPr>
              <w:pStyle w:val="nTable"/>
              <w:spacing w:after="40"/>
            </w:pPr>
            <w:r>
              <w:t>11 Mar 2008 p. 817</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(No. 2) 2008</w:t>
            </w:r>
          </w:p>
        </w:tc>
        <w:tc>
          <w:tcPr>
            <w:tcW w:w="1276" w:type="dxa"/>
          </w:tcPr>
          <w:p>
            <w:pPr>
              <w:pStyle w:val="nTable"/>
              <w:spacing w:after="40"/>
            </w:pPr>
            <w:r>
              <w:t>27 Jun 2008 p. 3070</w:t>
            </w:r>
            <w:r>
              <w:noBreakHyphen/>
              <w:t>2</w:t>
            </w:r>
          </w:p>
        </w:tc>
        <w:tc>
          <w:tcPr>
            <w:tcW w:w="2693" w:type="dxa"/>
          </w:tcPr>
          <w:p>
            <w:pPr>
              <w:pStyle w:val="nTable"/>
              <w:spacing w:after="40"/>
              <w:rPr>
                <w:snapToGrid w:val="0"/>
              </w:rPr>
            </w:pPr>
            <w:r>
              <w:rPr>
                <w:snapToGrid w:val="0"/>
              </w:rPr>
              <w:t>r. 1 and 2: 27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bCs/>
                <w:snapToGrid w:val="0"/>
              </w:rPr>
              <w:t xml:space="preserve">Reprint 1:  The </w:t>
            </w:r>
            <w:r>
              <w:rPr>
                <w:b/>
                <w:bCs/>
                <w:i/>
              </w:rPr>
              <w:t>Children’s Court (Fees) Regulations 2005</w:t>
            </w:r>
            <w:r>
              <w:rPr>
                <w:b/>
                <w:bCs/>
                <w:snapToGrid w:val="0"/>
              </w:rPr>
              <w:t xml:space="preserve"> as at 5 Sep 2008</w:t>
            </w:r>
            <w:r>
              <w:rPr>
                <w:b/>
                <w:bCs/>
                <w:snapToGrid w:val="0"/>
              </w:rPr>
              <w:br/>
            </w:r>
            <w:r>
              <w:rPr>
                <w:snapToGrid w:val="0"/>
              </w:rP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2009</w:t>
            </w:r>
          </w:p>
        </w:tc>
        <w:tc>
          <w:tcPr>
            <w:tcW w:w="1276" w:type="dxa"/>
          </w:tcPr>
          <w:p>
            <w:pPr>
              <w:pStyle w:val="nTable"/>
              <w:spacing w:after="40"/>
            </w:pPr>
            <w:r>
              <w:t>9 Jun 2009 p. 1925</w:t>
            </w:r>
          </w:p>
        </w:tc>
        <w:tc>
          <w:tcPr>
            <w:tcW w:w="2693" w:type="dxa"/>
          </w:tcPr>
          <w:p>
            <w:pPr>
              <w:pStyle w:val="nTable"/>
              <w:spacing w:after="40"/>
            </w:pPr>
            <w:r>
              <w:rPr>
                <w:snapToGrid w:val="0"/>
              </w:rPr>
              <w:t>r. 1 and 2: 9 Jun 2009 (see r. 2(a));</w:t>
            </w:r>
            <w:r>
              <w:rPr>
                <w:snapToGrid w:val="0"/>
              </w:rPr>
              <w:br/>
              <w:t>Regulations other than r. 1 and 2: 10 Jun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(No. 2) 2009</w:t>
            </w:r>
          </w:p>
        </w:tc>
        <w:tc>
          <w:tcPr>
            <w:tcW w:w="1276" w:type="dxa"/>
          </w:tcPr>
          <w:p>
            <w:pPr>
              <w:pStyle w:val="nTable"/>
              <w:spacing w:after="40"/>
            </w:pPr>
            <w:r>
              <w:t>4 Sep 2009 p. 3483-5</w:t>
            </w:r>
          </w:p>
        </w:tc>
        <w:tc>
          <w:tcPr>
            <w:tcW w:w="2693" w:type="dxa"/>
          </w:tcPr>
          <w:p>
            <w:pPr>
              <w:pStyle w:val="nTable"/>
              <w:spacing w:after="40"/>
              <w:rPr>
                <w:snapToGrid w:val="0"/>
              </w:rPr>
            </w:pPr>
            <w:r>
              <w:rPr>
                <w:snapToGrid w:val="0"/>
              </w:rPr>
              <w:t>r. 1 and 2: 4 Sep 2009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2011</w:t>
            </w:r>
          </w:p>
        </w:tc>
        <w:tc>
          <w:tcPr>
            <w:tcW w:w="1276" w:type="dxa"/>
          </w:tcPr>
          <w:p>
            <w:pPr>
              <w:pStyle w:val="nTable"/>
              <w:spacing w:after="40"/>
            </w:pPr>
            <w:r>
              <w:t>8 Mar 2011 p. 791</w:t>
            </w:r>
            <w:r>
              <w:noBreakHyphen/>
              <w:t>2</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rPr>
            </w:pPr>
            <w:r>
              <w:rPr>
                <w:i/>
              </w:rPr>
              <w:lastRenderedPageBreak/>
              <w:t>Children’s Court (Fees) Amendment Regulations (No. 2) 2011</w:t>
            </w:r>
          </w:p>
        </w:tc>
        <w:tc>
          <w:tcPr>
            <w:tcW w:w="1276" w:type="dxa"/>
          </w:tcPr>
          <w:p>
            <w:pPr>
              <w:pStyle w:val="nTable"/>
              <w:keepNext/>
              <w:spacing w:after="40"/>
            </w:pPr>
            <w:r>
              <w:t>20 Dec 2011 p. 5390</w:t>
            </w:r>
            <w:r>
              <w:noBreakHyphen/>
              <w:t>2</w:t>
            </w:r>
          </w:p>
        </w:tc>
        <w:tc>
          <w:tcPr>
            <w:tcW w:w="2693" w:type="dxa"/>
          </w:tcPr>
          <w:p>
            <w:pPr>
              <w:pStyle w:val="nTable"/>
              <w:keepNext/>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2012</w:t>
            </w:r>
          </w:p>
        </w:tc>
        <w:tc>
          <w:tcPr>
            <w:tcW w:w="1276" w:type="dxa"/>
            <w:shd w:val="clear" w:color="auto" w:fill="auto"/>
          </w:tcPr>
          <w:p>
            <w:pPr>
              <w:pStyle w:val="nTable"/>
              <w:spacing w:after="40"/>
            </w:pPr>
            <w:r>
              <w:t>27 Mar 2012 p. 1505</w:t>
            </w:r>
          </w:p>
        </w:tc>
        <w:tc>
          <w:tcPr>
            <w:tcW w:w="2693" w:type="dxa"/>
            <w:shd w:val="clear" w:color="auto" w:fill="auto"/>
          </w:tcPr>
          <w:p>
            <w:pPr>
              <w:pStyle w:val="nTable"/>
              <w:spacing w:after="40"/>
              <w:rPr>
                <w:snapToGrid w:val="0"/>
              </w:rPr>
            </w:pPr>
            <w:r>
              <w:rPr>
                <w:snapToGrid w:val="0"/>
              </w:rPr>
              <w:t>r. 1 and 2: 27 Mar 2012 (see r. 2(a));</w:t>
            </w:r>
            <w:r>
              <w:rPr>
                <w:snapToGrid w:val="0"/>
              </w:rPr>
              <w:br/>
              <w:t>Regulations other than r. 1 and 2: 28 Mar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bCs/>
                <w:snapToGrid w:val="0"/>
              </w:rPr>
              <w:t xml:space="preserve">Reprint 2:  The </w:t>
            </w:r>
            <w:r>
              <w:rPr>
                <w:b/>
                <w:bCs/>
                <w:i/>
              </w:rPr>
              <w:t>Children’s Court (Fees) Regulations 2005</w:t>
            </w:r>
            <w:r>
              <w:rPr>
                <w:b/>
                <w:bCs/>
                <w:snapToGrid w:val="0"/>
              </w:rPr>
              <w:t xml:space="preserve"> as at 15 Jun 2012</w:t>
            </w:r>
            <w:r>
              <w:rPr>
                <w:b/>
                <w:bCs/>
                <w:snapToGrid w:val="0"/>
              </w:rPr>
              <w:br/>
            </w:r>
            <w:r>
              <w:rPr>
                <w:snapToGrid w:val="0"/>
              </w:rPr>
              <w:t>(includes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(No. 2) 2012</w:t>
            </w:r>
          </w:p>
        </w:tc>
        <w:tc>
          <w:tcPr>
            <w:tcW w:w="1276" w:type="dxa"/>
            <w:shd w:val="clear" w:color="auto" w:fill="auto"/>
          </w:tcPr>
          <w:p>
            <w:pPr>
              <w:pStyle w:val="nTable"/>
              <w:spacing w:after="40"/>
            </w:pPr>
            <w:r>
              <w:t>30 Nov 2012 p. 5794</w:t>
            </w:r>
            <w:r>
              <w:noBreakHyphen/>
              <w:t>5</w:t>
            </w:r>
          </w:p>
        </w:tc>
        <w:tc>
          <w:tcPr>
            <w:tcW w:w="2693" w:type="dxa"/>
            <w:shd w:val="clear" w:color="auto" w:fill="auto"/>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2013</w:t>
            </w:r>
          </w:p>
        </w:tc>
        <w:tc>
          <w:tcPr>
            <w:tcW w:w="1276" w:type="dxa"/>
            <w:shd w:val="clear" w:color="auto" w:fill="auto"/>
          </w:tcPr>
          <w:p>
            <w:pPr>
              <w:pStyle w:val="nTable"/>
              <w:spacing w:after="40"/>
            </w:pPr>
            <w:r>
              <w:t>15 Nov 2013 p. 5250</w:t>
            </w:r>
            <w:r>
              <w:noBreakHyphen/>
              <w:t>2</w:t>
            </w:r>
          </w:p>
        </w:tc>
        <w:tc>
          <w:tcPr>
            <w:tcW w:w="2693" w:type="dxa"/>
            <w:shd w:val="clear" w:color="auto" w:fill="auto"/>
          </w:tcPr>
          <w:p>
            <w:pPr>
              <w:pStyle w:val="nTable"/>
              <w:spacing w:after="40"/>
              <w:rPr>
                <w:snapToGrid w:val="0"/>
              </w:rPr>
            </w:pPr>
            <w:r>
              <w:rPr>
                <w:bCs/>
                <w:snapToGrid w:val="0"/>
              </w:rPr>
              <w:t>r. 1 and 2: 15 Nov 2013 (see r. 2(a));</w:t>
            </w:r>
            <w:r>
              <w:rPr>
                <w:bCs/>
                <w:snapToGrid w:val="0"/>
              </w:rPr>
              <w:br/>
              <w:t>Regulations other than r. 1 and 2: 16 Nov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(No. 2) 2014</w:t>
            </w:r>
          </w:p>
        </w:tc>
        <w:tc>
          <w:tcPr>
            <w:tcW w:w="1276" w:type="dxa"/>
            <w:shd w:val="clear" w:color="auto" w:fill="auto"/>
          </w:tcPr>
          <w:p>
            <w:pPr>
              <w:pStyle w:val="nTable"/>
              <w:spacing w:after="40"/>
            </w:pPr>
            <w:r>
              <w:t>27 Jun 2014 p. 2333-4</w:t>
            </w:r>
          </w:p>
        </w:tc>
        <w:tc>
          <w:tcPr>
            <w:tcW w:w="2693" w:type="dxa"/>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2015</w:t>
            </w:r>
          </w:p>
        </w:tc>
        <w:tc>
          <w:tcPr>
            <w:tcW w:w="1276" w:type="dxa"/>
            <w:shd w:val="clear" w:color="auto" w:fill="auto"/>
          </w:tcPr>
          <w:p>
            <w:pPr>
              <w:pStyle w:val="nTable"/>
              <w:spacing w:after="40"/>
            </w:pPr>
            <w:r>
              <w:t>19 Jun 2015 p. 2114</w:t>
            </w:r>
            <w:r>
              <w:noBreakHyphen/>
              <w:t>15</w:t>
            </w:r>
          </w:p>
        </w:tc>
        <w:tc>
          <w:tcPr>
            <w:tcW w:w="2693" w:type="dxa"/>
            <w:shd w:val="clear" w:color="auto" w:fill="auto"/>
          </w:tcPr>
          <w:p>
            <w:pPr>
              <w:pStyle w:val="nTable"/>
              <w:spacing w:after="40"/>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(Fees) Regulations 2016</w:t>
            </w:r>
            <w:r>
              <w:t xml:space="preserve"> Pt. 2</w:t>
            </w:r>
          </w:p>
        </w:tc>
        <w:tc>
          <w:tcPr>
            <w:tcW w:w="1276" w:type="dxa"/>
            <w:shd w:val="clear" w:color="auto" w:fill="auto"/>
          </w:tcPr>
          <w:p>
            <w:pPr>
              <w:pStyle w:val="nTable"/>
              <w:spacing w:after="40"/>
            </w:pPr>
            <w:r>
              <w:t>14 Jun 2016 p. 1849</w:t>
            </w:r>
            <w:r>
              <w:noBreakHyphen/>
              <w:t>986</w:t>
            </w:r>
          </w:p>
        </w:tc>
        <w:tc>
          <w:tcPr>
            <w:tcW w:w="2693" w:type="dxa"/>
            <w:shd w:val="clear" w:color="auto" w:fill="auto"/>
          </w:tcPr>
          <w:p>
            <w:pPr>
              <w:pStyle w:val="nTable"/>
              <w:spacing w:after="40"/>
              <w:rPr>
                <w:bCs/>
                <w:snapToGrid w:val="0"/>
              </w:rPr>
            </w:pPr>
            <w:r>
              <w:t>4 Jul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(Family Violence Restraining Orders) Regulations 2017</w:t>
            </w:r>
            <w:r>
              <w:t xml:space="preserve"> Pt. 3</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 xml:space="preserve">Attorney General Regulations Amendment (Fees and Charges) Regulations 2017 </w:t>
            </w:r>
            <w:r>
              <w:t>Pt. 2</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(Bailiff Fees) Regulations 2018</w:t>
            </w:r>
            <w:r>
              <w:t xml:space="preserve"> Pt. 2</w:t>
            </w:r>
          </w:p>
        </w:tc>
        <w:tc>
          <w:tcPr>
            <w:tcW w:w="1276" w:type="dxa"/>
            <w:shd w:val="clear" w:color="auto" w:fill="auto"/>
          </w:tcPr>
          <w:p>
            <w:pPr>
              <w:pStyle w:val="nTable"/>
              <w:spacing w:after="40"/>
            </w:pPr>
            <w:r>
              <w:t>9 Feb 2018 p. 401</w:t>
            </w:r>
            <w:r>
              <w:noBreakHyphen/>
              <w:t>5</w:t>
            </w:r>
          </w:p>
        </w:tc>
        <w:tc>
          <w:tcPr>
            <w:tcW w:w="2693" w:type="dxa"/>
            <w:shd w:val="clear" w:color="auto" w:fill="auto"/>
          </w:tcPr>
          <w:p>
            <w:pPr>
              <w:pStyle w:val="nTable"/>
              <w:spacing w:after="40"/>
              <w:rPr>
                <w:bCs/>
                <w:snapToGrid w:val="0"/>
              </w:rPr>
            </w:pPr>
            <w:r>
              <w:rPr>
                <w:bCs/>
                <w:snapToGrid w:val="0"/>
              </w:rPr>
              <w:t>10 Feb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lastRenderedPageBreak/>
              <w:t>Attorney General Regulations Amendment (Fees and Charges) Regulations 2018</w:t>
            </w:r>
            <w:r>
              <w:t xml:space="preserve"> Pt. 2</w:t>
            </w:r>
          </w:p>
        </w:tc>
        <w:tc>
          <w:tcPr>
            <w:tcW w:w="1276" w:type="dxa"/>
            <w:shd w:val="clear" w:color="auto" w:fill="auto"/>
          </w:tcPr>
          <w:p>
            <w:pPr>
              <w:pStyle w:val="nTable"/>
              <w:spacing w:after="40"/>
            </w:pPr>
            <w:r>
              <w:t>15 Jun 2018 p. 1963</w:t>
            </w:r>
            <w:r>
              <w:noBreakHyphen/>
              <w:t>2049</w:t>
            </w:r>
          </w:p>
        </w:tc>
        <w:tc>
          <w:tcPr>
            <w:tcW w:w="2693"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Justice Regulations Amendment (Fee Relief) Regulations 2018</w:t>
            </w:r>
            <w:r>
              <w:t xml:space="preserve"> Pt. 2</w:t>
            </w:r>
          </w:p>
        </w:tc>
        <w:tc>
          <w:tcPr>
            <w:tcW w:w="1276" w:type="dxa"/>
            <w:shd w:val="clear" w:color="auto" w:fill="auto"/>
          </w:tcPr>
          <w:p>
            <w:pPr>
              <w:pStyle w:val="nTable"/>
              <w:spacing w:after="40"/>
            </w:pPr>
            <w:r>
              <w:t>20 Jul 2018 p. 2621</w:t>
            </w:r>
            <w:r>
              <w:noBreakHyphen/>
              <w:t>30</w:t>
            </w:r>
          </w:p>
        </w:tc>
        <w:tc>
          <w:tcPr>
            <w:tcW w:w="2693"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bCs/>
                <w:snapToGrid w:val="0"/>
              </w:rPr>
            </w:pPr>
            <w:r>
              <w:rPr>
                <w:b/>
                <w:bCs/>
                <w:snapToGrid w:val="0"/>
              </w:rPr>
              <w:t xml:space="preserve">Reprint 3: The </w:t>
            </w:r>
            <w:r>
              <w:rPr>
                <w:b/>
                <w:bCs/>
                <w:i/>
                <w:noProof/>
                <w:snapToGrid w:val="0"/>
              </w:rPr>
              <w:t>Children’s Court (Fees) Regulations 2005</w:t>
            </w:r>
            <w:r>
              <w:rPr>
                <w:b/>
                <w:bCs/>
                <w:snapToGrid w:val="0"/>
              </w:rPr>
              <w:t xml:space="preserve"> as at 28 Sep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(Transcript Fees) Regulations 2018</w:t>
            </w:r>
            <w:r>
              <w:t xml:space="preserve"> Pt. 2</w:t>
            </w:r>
          </w:p>
        </w:tc>
        <w:tc>
          <w:tcPr>
            <w:tcW w:w="1276" w:type="dxa"/>
            <w:shd w:val="clear" w:color="auto" w:fill="auto"/>
          </w:tcPr>
          <w:p>
            <w:pPr>
              <w:pStyle w:val="nTable"/>
              <w:spacing w:after="40"/>
            </w:pPr>
            <w:r>
              <w:t>7 Dec 2018 p. 4667</w:t>
            </w:r>
            <w:r>
              <w:noBreakHyphen/>
              <w:t>74</w:t>
            </w:r>
          </w:p>
        </w:tc>
        <w:tc>
          <w:tcPr>
            <w:tcW w:w="2693"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(Transcript Fees) Regulations 2019 </w:t>
            </w:r>
            <w:r>
              <w:t>Pt. 2</w:t>
            </w:r>
          </w:p>
        </w:tc>
        <w:tc>
          <w:tcPr>
            <w:tcW w:w="1276" w:type="dxa"/>
            <w:shd w:val="clear" w:color="auto" w:fill="auto"/>
          </w:tcPr>
          <w:p>
            <w:pPr>
              <w:pStyle w:val="nTable"/>
              <w:spacing w:after="40"/>
            </w:pPr>
            <w:r>
              <w:t>12 Mar 2019 p. 666</w:t>
            </w:r>
            <w:r>
              <w:noBreakHyphen/>
              <w:t>9</w:t>
            </w:r>
          </w:p>
        </w:tc>
        <w:tc>
          <w:tcPr>
            <w:tcW w:w="2693" w:type="dxa"/>
            <w:shd w:val="clear" w:color="auto" w:fill="auto"/>
          </w:tcPr>
          <w:p>
            <w:pPr>
              <w:pStyle w:val="nTable"/>
              <w:spacing w:after="40"/>
            </w:pPr>
            <w:r>
              <w:rPr>
                <w:bCs/>
                <w:snapToGrid w:val="0"/>
              </w:rPr>
              <w:t>13 Mar 2019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3</w:t>
            </w:r>
          </w:p>
        </w:tc>
        <w:tc>
          <w:tcPr>
            <w:tcW w:w="1276" w:type="dxa"/>
            <w:tcBorders>
              <w:top w:val="nil"/>
              <w:bottom w:val="nil"/>
            </w:tcBorders>
            <w:shd w:val="clear" w:color="auto" w:fill="auto"/>
          </w:tcPr>
          <w:p>
            <w:pPr>
              <w:pStyle w:val="nTable"/>
              <w:spacing w:after="40"/>
            </w:pPr>
            <w:r>
              <w:t>28 Jun 2019 p. 2553</w:t>
            </w:r>
            <w:r>
              <w:noBreakHyphen/>
              <w:t>642</w:t>
            </w:r>
          </w:p>
        </w:tc>
        <w:tc>
          <w:tcPr>
            <w:tcW w:w="2693" w:type="dxa"/>
            <w:tcBorders>
              <w:top w:val="nil"/>
              <w:bottom w:val="nil"/>
            </w:tcBorders>
            <w:shd w:val="clear" w:color="auto" w:fill="auto"/>
          </w:tcPr>
          <w:p>
            <w:pPr>
              <w:pStyle w:val="nTable"/>
              <w:spacing w:after="40"/>
              <w:rPr>
                <w:bCs/>
                <w:snapToGrid w:val="0"/>
              </w:rPr>
            </w:pPr>
            <w:r>
              <w:rPr>
                <w:bCs/>
                <w:snapToGrid w:val="0"/>
              </w:rPr>
              <w:t>1 Jul 2019 (see r. 2(b))</w:t>
            </w:r>
          </w:p>
        </w:tc>
      </w:tr>
      <w:tr>
        <w:tc>
          <w:tcPr>
            <w:tcW w:w="3118" w:type="dxa"/>
            <w:tcBorders>
              <w:top w:val="nil"/>
              <w:bottom w:val="nil"/>
            </w:tcBorders>
            <w:shd w:val="clear" w:color="auto" w:fill="auto"/>
          </w:tcPr>
          <w:p>
            <w:pPr>
              <w:pStyle w:val="nTable"/>
              <w:spacing w:after="40"/>
            </w:pPr>
            <w:r>
              <w:rPr>
                <w:i/>
              </w:rPr>
              <w:t>Attorney General Regulations Amendment (Fees and Charges) Regulations 2020</w:t>
            </w:r>
            <w:r>
              <w:t xml:space="preserve"> Pt. 2</w:t>
            </w:r>
          </w:p>
        </w:tc>
        <w:tc>
          <w:tcPr>
            <w:tcW w:w="1276" w:type="dxa"/>
            <w:tcBorders>
              <w:top w:val="nil"/>
              <w:bottom w:val="nil"/>
            </w:tcBorders>
            <w:shd w:val="clear" w:color="auto" w:fill="auto"/>
          </w:tcPr>
          <w:p>
            <w:pPr>
              <w:pStyle w:val="nTable"/>
              <w:spacing w:after="40"/>
            </w:pPr>
            <w:r>
              <w:t>SL 2020/124 31 Jul 2020</w:t>
            </w:r>
          </w:p>
        </w:tc>
        <w:tc>
          <w:tcPr>
            <w:tcW w:w="2693" w:type="dxa"/>
            <w:tcBorders>
              <w:top w:val="nil"/>
              <w:bottom w:val="nil"/>
            </w:tcBorders>
            <w:shd w:val="clear" w:color="auto" w:fill="auto"/>
          </w:tcPr>
          <w:p>
            <w:pPr>
              <w:pStyle w:val="nTable"/>
              <w:spacing w:after="40"/>
              <w:rPr>
                <w:bCs/>
                <w:caps/>
                <w:snapToGrid w:val="0"/>
              </w:rPr>
            </w:pPr>
            <w:r>
              <w:rPr>
                <w:bCs/>
                <w:snapToGrid w:val="0"/>
              </w:rPr>
              <w:t>1 Aug 2020 (see r. 2(b))</w:t>
            </w:r>
          </w:p>
        </w:tc>
      </w:tr>
      <w:tr>
        <w:tc>
          <w:tcPr>
            <w:tcW w:w="3118" w:type="dxa"/>
            <w:tcBorders>
              <w:top w:val="nil"/>
              <w:bottom w:val="nil"/>
            </w:tcBorders>
            <w:shd w:val="clear" w:color="auto" w:fill="auto"/>
          </w:tcPr>
          <w:p>
            <w:pPr>
              <w:pStyle w:val="nTable"/>
              <w:spacing w:after="40"/>
              <w:rPr>
                <w:i/>
              </w:rPr>
            </w:pPr>
            <w:r>
              <w:rPr>
                <w:i/>
              </w:rPr>
              <w:t xml:space="preserve">Attorney General Regulations Amendment (Fees and Charges) Regulations 2021 </w:t>
            </w:r>
            <w:r>
              <w:t>Pt. 3</w:t>
            </w:r>
          </w:p>
        </w:tc>
        <w:tc>
          <w:tcPr>
            <w:tcW w:w="1276" w:type="dxa"/>
            <w:tcBorders>
              <w:top w:val="nil"/>
              <w:bottom w:val="nil"/>
            </w:tcBorders>
            <w:shd w:val="clear" w:color="auto" w:fill="auto"/>
          </w:tcPr>
          <w:p>
            <w:pPr>
              <w:pStyle w:val="nTable"/>
              <w:spacing w:after="40"/>
            </w:pPr>
            <w:r>
              <w:t>SL 2021/101 29 Jun 2021</w:t>
            </w:r>
          </w:p>
        </w:tc>
        <w:tc>
          <w:tcPr>
            <w:tcW w:w="2693" w:type="dxa"/>
            <w:tcBorders>
              <w:top w:val="nil"/>
              <w:bottom w:val="nil"/>
            </w:tcBorders>
            <w:shd w:val="clear" w:color="auto" w:fill="auto"/>
          </w:tcPr>
          <w:p>
            <w:pPr>
              <w:pStyle w:val="nTable"/>
              <w:spacing w:after="40"/>
              <w:rPr>
                <w:bCs/>
                <w:snapToGrid w:val="0"/>
              </w:rPr>
            </w:pPr>
            <w:r>
              <w:t>1 Jul 2021 (see r. 2(b))</w:t>
            </w:r>
          </w:p>
        </w:tc>
      </w:tr>
      <w:tr>
        <w:tc>
          <w:tcPr>
            <w:tcW w:w="3118" w:type="dxa"/>
            <w:tcBorders>
              <w:top w:val="nil"/>
              <w:bottom w:val="nil"/>
            </w:tcBorders>
            <w:shd w:val="clear" w:color="auto" w:fill="auto"/>
          </w:tcPr>
          <w:p>
            <w:pPr>
              <w:pStyle w:val="nTable"/>
              <w:spacing w:after="40"/>
              <w:rPr>
                <w:i/>
              </w:rPr>
            </w:pPr>
            <w:r>
              <w:rPr>
                <w:i/>
              </w:rPr>
              <w:t>Attorney General Regulations Amendment (Fees) Regulations 2021</w:t>
            </w:r>
            <w:r>
              <w:t xml:space="preserve"> Pt. 2</w:t>
            </w:r>
          </w:p>
        </w:tc>
        <w:tc>
          <w:tcPr>
            <w:tcW w:w="1276" w:type="dxa"/>
            <w:tcBorders>
              <w:top w:val="nil"/>
              <w:bottom w:val="nil"/>
            </w:tcBorders>
            <w:shd w:val="clear" w:color="auto" w:fill="auto"/>
          </w:tcPr>
          <w:p>
            <w:pPr>
              <w:pStyle w:val="nTable"/>
              <w:spacing w:after="40"/>
            </w:pPr>
            <w:r>
              <w:t>SL 2021/155 10 Sep 2021</w:t>
            </w:r>
          </w:p>
        </w:tc>
        <w:tc>
          <w:tcPr>
            <w:tcW w:w="2693" w:type="dxa"/>
            <w:tcBorders>
              <w:top w:val="nil"/>
              <w:bottom w:val="nil"/>
            </w:tcBorders>
            <w:shd w:val="clear" w:color="auto" w:fill="auto"/>
          </w:tcPr>
          <w:p>
            <w:pPr>
              <w:pStyle w:val="nTable"/>
              <w:spacing w:after="40"/>
            </w:pPr>
            <w:r>
              <w:t>11 Sep 2021 (see r. 2(b))</w:t>
            </w:r>
          </w:p>
        </w:tc>
      </w:tr>
      <w:tr>
        <w:tc>
          <w:tcPr>
            <w:tcW w:w="3118" w:type="dxa"/>
            <w:tcBorders>
              <w:top w:val="nil"/>
              <w:bottom w:val="nil"/>
            </w:tcBorders>
            <w:shd w:val="clear" w:color="auto" w:fill="auto"/>
          </w:tcPr>
          <w:p>
            <w:pPr>
              <w:pStyle w:val="nTable"/>
              <w:spacing w:after="40"/>
              <w:rPr>
                <w:i/>
              </w:rPr>
            </w:pPr>
            <w:r>
              <w:rPr>
                <w:i/>
              </w:rPr>
              <w:t xml:space="preserve">Attorney General Regulations Amendment (Fees and Charges) Regulations 2022 </w:t>
            </w:r>
            <w:r>
              <w:t>Pt. 3</w:t>
            </w:r>
          </w:p>
        </w:tc>
        <w:tc>
          <w:tcPr>
            <w:tcW w:w="1276" w:type="dxa"/>
            <w:tcBorders>
              <w:top w:val="nil"/>
              <w:bottom w:val="nil"/>
            </w:tcBorders>
            <w:shd w:val="clear" w:color="auto" w:fill="auto"/>
          </w:tcPr>
          <w:p>
            <w:pPr>
              <w:pStyle w:val="nTable"/>
              <w:spacing w:after="40"/>
            </w:pPr>
            <w:r>
              <w:t>SL 2022/111 30 June 2022</w:t>
            </w:r>
          </w:p>
        </w:tc>
        <w:tc>
          <w:tcPr>
            <w:tcW w:w="2693" w:type="dxa"/>
            <w:tcBorders>
              <w:top w:val="nil"/>
              <w:bottom w:val="nil"/>
            </w:tcBorders>
            <w:shd w:val="clear" w:color="auto" w:fill="auto"/>
          </w:tcPr>
          <w:p>
            <w:pPr>
              <w:pStyle w:val="nTable"/>
              <w:spacing w:after="40"/>
            </w:pPr>
            <w:r>
              <w:t>1 Jul 2022 (see r. 2(b))</w:t>
            </w:r>
          </w:p>
        </w:tc>
      </w:tr>
      <w:tr>
        <w:tc>
          <w:tcPr>
            <w:tcW w:w="3118" w:type="dxa"/>
            <w:tcBorders>
              <w:top w:val="nil"/>
              <w:bottom w:val="nil"/>
            </w:tcBorders>
            <w:shd w:val="clear" w:color="auto" w:fill="auto"/>
          </w:tcPr>
          <w:p>
            <w:pPr>
              <w:pStyle w:val="nTable"/>
              <w:spacing w:after="40"/>
              <w:rPr>
                <w:i/>
              </w:rPr>
            </w:pPr>
            <w:r>
              <w:rPr>
                <w:i/>
              </w:rPr>
              <w:t>Attorney General Regulations Amendment (Fee Waiver) Regulations 2022</w:t>
            </w:r>
            <w:r>
              <w:t xml:space="preserve"> Pt. 2</w:t>
            </w:r>
          </w:p>
        </w:tc>
        <w:tc>
          <w:tcPr>
            <w:tcW w:w="1276" w:type="dxa"/>
            <w:tcBorders>
              <w:top w:val="nil"/>
              <w:bottom w:val="nil"/>
            </w:tcBorders>
            <w:shd w:val="clear" w:color="auto" w:fill="auto"/>
          </w:tcPr>
          <w:p>
            <w:pPr>
              <w:pStyle w:val="nTable"/>
              <w:spacing w:after="40"/>
            </w:pPr>
            <w:r>
              <w:t>SL 2022/145 26 Aug 2022</w:t>
            </w:r>
          </w:p>
        </w:tc>
        <w:tc>
          <w:tcPr>
            <w:tcW w:w="2693" w:type="dxa"/>
            <w:tcBorders>
              <w:top w:val="nil"/>
              <w:bottom w:val="nil"/>
            </w:tcBorders>
            <w:shd w:val="clear" w:color="auto" w:fill="auto"/>
          </w:tcPr>
          <w:p>
            <w:pPr>
              <w:pStyle w:val="nTable"/>
              <w:spacing w:after="40"/>
            </w:pPr>
            <w:r>
              <w:t>27 Aug 2022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2023</w:t>
            </w:r>
            <w:r>
              <w:t xml:space="preserve"> Pt. 3</w:t>
            </w:r>
          </w:p>
        </w:tc>
        <w:tc>
          <w:tcPr>
            <w:tcW w:w="1276" w:type="dxa"/>
            <w:tcBorders>
              <w:top w:val="nil"/>
              <w:bottom w:val="nil"/>
            </w:tcBorders>
            <w:shd w:val="clear" w:color="auto" w:fill="auto"/>
          </w:tcPr>
          <w:p>
            <w:pPr>
              <w:pStyle w:val="nTable"/>
              <w:spacing w:after="40"/>
            </w:pPr>
            <w:r>
              <w:t>SL 2023/120 2 Aug 2023</w:t>
            </w:r>
          </w:p>
        </w:tc>
        <w:tc>
          <w:tcPr>
            <w:tcW w:w="2693" w:type="dxa"/>
            <w:tcBorders>
              <w:top w:val="nil"/>
              <w:bottom w:val="nil"/>
            </w:tcBorders>
            <w:shd w:val="clear" w:color="auto" w:fill="auto"/>
          </w:tcPr>
          <w:p>
            <w:pPr>
              <w:pStyle w:val="nTable"/>
              <w:spacing w:after="40"/>
            </w:pPr>
            <w:r>
              <w:t>3 Aug 2023 (see r. 2(b))</w:t>
            </w:r>
          </w:p>
        </w:tc>
      </w:tr>
      <w:tr>
        <w:tc>
          <w:tcPr>
            <w:tcW w:w="3118" w:type="dxa"/>
            <w:tcBorders>
              <w:top w:val="nil"/>
              <w:bottom w:val="nil"/>
            </w:tcBorders>
            <w:shd w:val="clear" w:color="auto" w:fill="auto"/>
          </w:tcPr>
          <w:p>
            <w:pPr>
              <w:pStyle w:val="nTable"/>
              <w:spacing w:after="40"/>
              <w:rPr>
                <w:iCs/>
              </w:rPr>
            </w:pPr>
            <w:r>
              <w:rPr>
                <w:i/>
              </w:rPr>
              <w:t xml:space="preserve">Attorney General Regulations Amendment (Fees and Charges) Regulations 2024 </w:t>
            </w:r>
            <w:r>
              <w:rPr>
                <w:iCs/>
              </w:rPr>
              <w:t>Pt. 3</w:t>
            </w:r>
          </w:p>
        </w:tc>
        <w:tc>
          <w:tcPr>
            <w:tcW w:w="1276" w:type="dxa"/>
            <w:tcBorders>
              <w:top w:val="nil"/>
              <w:bottom w:val="nil"/>
            </w:tcBorders>
            <w:shd w:val="clear" w:color="auto" w:fill="auto"/>
          </w:tcPr>
          <w:p>
            <w:pPr>
              <w:pStyle w:val="nTable"/>
              <w:spacing w:after="40"/>
            </w:pPr>
            <w:r>
              <w:t>SL 2024/113 26 Jun 2024</w:t>
            </w:r>
          </w:p>
        </w:tc>
        <w:tc>
          <w:tcPr>
            <w:tcW w:w="2693" w:type="dxa"/>
            <w:tcBorders>
              <w:top w:val="nil"/>
              <w:bottom w:val="nil"/>
            </w:tcBorders>
            <w:shd w:val="clear" w:color="auto" w:fill="auto"/>
          </w:tcPr>
          <w:p>
            <w:pPr>
              <w:pStyle w:val="nTable"/>
              <w:spacing w:after="40"/>
            </w:pPr>
            <w:r>
              <w:t>1 Jul 2024 (see r. 2(b))</w:t>
            </w:r>
          </w:p>
        </w:tc>
      </w:tr>
      <w:tr>
        <w:tc>
          <w:tcPr>
            <w:tcW w:w="3118" w:type="dxa"/>
            <w:tcBorders>
              <w:top w:val="nil"/>
              <w:bottom w:val="nil"/>
            </w:tcBorders>
            <w:shd w:val="clear" w:color="auto" w:fill="auto"/>
          </w:tcPr>
          <w:p>
            <w:pPr>
              <w:pStyle w:val="nTable"/>
              <w:spacing w:after="40"/>
              <w:rPr>
                <w:i/>
              </w:rPr>
            </w:pPr>
            <w:r>
              <w:rPr>
                <w:i/>
                <w:noProof/>
              </w:rPr>
              <w:t xml:space="preserve">Court Fees Regulation Amendment Regulations 2024 </w:t>
            </w:r>
            <w:r>
              <w:rPr>
                <w:iCs/>
                <w:noProof/>
              </w:rPr>
              <w:t>Pt. 2</w:t>
            </w:r>
          </w:p>
        </w:tc>
        <w:tc>
          <w:tcPr>
            <w:tcW w:w="1276" w:type="dxa"/>
            <w:tcBorders>
              <w:top w:val="nil"/>
              <w:bottom w:val="nil"/>
            </w:tcBorders>
            <w:shd w:val="clear" w:color="auto" w:fill="auto"/>
          </w:tcPr>
          <w:p>
            <w:pPr>
              <w:pStyle w:val="nTable"/>
              <w:spacing w:after="40"/>
            </w:pPr>
            <w:r>
              <w:t>SL 2024/174 21 Aug 2024</w:t>
            </w:r>
          </w:p>
        </w:tc>
        <w:tc>
          <w:tcPr>
            <w:tcW w:w="2693" w:type="dxa"/>
            <w:tcBorders>
              <w:top w:val="nil"/>
              <w:bottom w:val="nil"/>
            </w:tcBorders>
            <w:shd w:val="clear" w:color="auto" w:fill="auto"/>
          </w:tcPr>
          <w:p>
            <w:pPr>
              <w:pStyle w:val="nTable"/>
              <w:spacing w:after="40"/>
            </w:pPr>
            <w:r>
              <w:t>1 Sep 2024 (see r. 2(b))</w:t>
            </w:r>
          </w:p>
        </w:tc>
      </w:tr>
      <w:tr>
        <w:tc>
          <w:tcPr>
            <w:tcW w:w="3118" w:type="dxa"/>
            <w:tcBorders>
              <w:top w:val="nil"/>
              <w:bottom w:val="nil"/>
            </w:tcBorders>
            <w:shd w:val="clear" w:color="auto" w:fill="auto"/>
          </w:tcPr>
          <w:p>
            <w:pPr>
              <w:pStyle w:val="nTable"/>
              <w:keepNext/>
              <w:spacing w:after="40"/>
              <w:rPr>
                <w:i/>
                <w:noProof/>
              </w:rPr>
            </w:pPr>
            <w:r>
              <w:rPr>
                <w:i/>
                <w:noProof/>
              </w:rPr>
              <w:lastRenderedPageBreak/>
              <w:t xml:space="preserve">Attorney General Regulations Amendment (Fees) Regulations 2024 </w:t>
            </w:r>
            <w:r>
              <w:rPr>
                <w:iCs/>
                <w:noProof/>
              </w:rPr>
              <w:t>Pt. 2</w:t>
            </w:r>
          </w:p>
        </w:tc>
        <w:tc>
          <w:tcPr>
            <w:tcW w:w="1276" w:type="dxa"/>
            <w:tcBorders>
              <w:top w:val="nil"/>
              <w:bottom w:val="nil"/>
            </w:tcBorders>
            <w:shd w:val="clear" w:color="auto" w:fill="auto"/>
          </w:tcPr>
          <w:p>
            <w:pPr>
              <w:pStyle w:val="nTable"/>
              <w:keepNext/>
              <w:spacing w:after="40"/>
            </w:pPr>
            <w:r>
              <w:t>SL 2024/254 11 Dec 2024</w:t>
            </w:r>
          </w:p>
        </w:tc>
        <w:tc>
          <w:tcPr>
            <w:tcW w:w="2693" w:type="dxa"/>
            <w:tcBorders>
              <w:top w:val="nil"/>
              <w:bottom w:val="nil"/>
            </w:tcBorders>
            <w:shd w:val="clear" w:color="auto" w:fill="auto"/>
          </w:tcPr>
          <w:p>
            <w:pPr>
              <w:pStyle w:val="nTable"/>
              <w:keepNext/>
              <w:spacing w:after="40"/>
            </w:pPr>
            <w:r>
              <w:t>12 Dec 2024 (see r. 2(b))</w:t>
            </w:r>
          </w:p>
        </w:tc>
      </w:tr>
      <w:tr>
        <w:tc>
          <w:tcPr>
            <w:tcW w:w="3118" w:type="dxa"/>
            <w:tcBorders>
              <w:top w:val="nil"/>
            </w:tcBorders>
            <w:shd w:val="clear" w:color="auto" w:fill="auto"/>
          </w:tcPr>
          <w:p>
            <w:pPr>
              <w:pStyle w:val="nTable"/>
              <w:keepNext/>
              <w:spacing w:after="40"/>
              <w:rPr>
                <w:i/>
                <w:noProof/>
              </w:rPr>
            </w:pPr>
            <w:r>
              <w:rPr>
                <w:i/>
                <w:noProof/>
              </w:rPr>
              <w:t xml:space="preserve">Attorney General Regulations Amendment (Fees and Charges) Regulations 2025 </w:t>
            </w:r>
            <w:r>
              <w:rPr>
                <w:iCs/>
                <w:noProof/>
              </w:rPr>
              <w:t>Pt. 3</w:t>
            </w:r>
          </w:p>
        </w:tc>
        <w:tc>
          <w:tcPr>
            <w:tcW w:w="1276" w:type="dxa"/>
            <w:tcBorders>
              <w:top w:val="nil"/>
            </w:tcBorders>
            <w:shd w:val="clear" w:color="auto" w:fill="auto"/>
          </w:tcPr>
          <w:p>
            <w:pPr>
              <w:pStyle w:val="nTable"/>
              <w:keepNext/>
              <w:spacing w:after="40"/>
            </w:pPr>
            <w:r>
              <w:t>SL 2025/111 25 Jun 2025</w:t>
            </w:r>
          </w:p>
        </w:tc>
        <w:tc>
          <w:tcPr>
            <w:tcW w:w="2693" w:type="dxa"/>
            <w:tcBorders>
              <w:top w:val="nil"/>
            </w:tcBorders>
            <w:shd w:val="clear" w:color="auto" w:fill="auto"/>
          </w:tcPr>
          <w:p>
            <w:pPr>
              <w:pStyle w:val="nTable"/>
              <w:keepNext/>
              <w:spacing w:after="40"/>
            </w:pPr>
            <w:r>
              <w:t>1 Jul 2025 (see r.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50" w:name="_Toc201300738"/>
      <w:bookmarkStart w:id="51" w:name="_Toc201302894"/>
      <w:bookmarkStart w:id="52" w:name="_Toc201303017"/>
      <w:bookmarkStart w:id="53" w:name="_Toc201305317"/>
      <w:r>
        <w:rPr>
          <w:sz w:val="28"/>
        </w:rPr>
        <w:lastRenderedPageBreak/>
        <w:t>Defined terms</w:t>
      </w:r>
      <w:bookmarkEnd w:id="50"/>
      <w:bookmarkEnd w:id="51"/>
      <w:bookmarkEnd w:id="52"/>
      <w:bookmarkEnd w:id="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6AA(1)</w:t>
      </w:r>
    </w:p>
    <w:p>
      <w:pPr>
        <w:pStyle w:val="DefinedTerms"/>
      </w:pPr>
      <w:r>
        <w:t>approved form</w:t>
      </w:r>
      <w:r>
        <w:tab/>
        <w:t>3</w:t>
      </w:r>
    </w:p>
    <w:p>
      <w:pPr>
        <w:pStyle w:val="DefinedTerms"/>
      </w:pPr>
      <w:r>
        <w:t>Centrelink</w:t>
      </w:r>
      <w:r>
        <w:tab/>
        <w:t>8(1)</w:t>
      </w:r>
    </w:p>
    <w:p>
      <w:pPr>
        <w:pStyle w:val="DefinedTerms"/>
      </w:pPr>
      <w:r>
        <w:t>civil jurisdiction</w:t>
      </w:r>
      <w:r>
        <w:tab/>
        <w:t>3</w:t>
      </w:r>
    </w:p>
    <w:p>
      <w:pPr>
        <w:pStyle w:val="DefinedTerms"/>
      </w:pPr>
      <w:r>
        <w:t>criminal jurisdiction</w:t>
      </w:r>
      <w:r>
        <w:tab/>
        <w:t>3</w:t>
      </w:r>
    </w:p>
    <w:p>
      <w:pPr>
        <w:pStyle w:val="DefinedTerms"/>
      </w:pPr>
      <w:r>
        <w:t>deputy registrar</w:t>
      </w:r>
      <w:r>
        <w:tab/>
        <w:t>3</w:t>
      </w:r>
    </w:p>
    <w:p>
      <w:pPr>
        <w:pStyle w:val="DefinedTerms"/>
      </w:pPr>
      <w:r>
        <w:t>eligible individual</w:t>
      </w:r>
      <w:r>
        <w:tab/>
        <w:t>3</w:t>
      </w:r>
    </w:p>
    <w:p>
      <w:pPr>
        <w:pStyle w:val="DefinedTerms"/>
      </w:pPr>
      <w:r>
        <w:t>eligible individual fee</w:t>
      </w:r>
      <w:r>
        <w:tab/>
        <w:t>3</w:t>
      </w:r>
    </w:p>
    <w:p>
      <w:pPr>
        <w:pStyle w:val="DefinedTerms"/>
      </w:pPr>
      <w:r>
        <w:t>enforcement officer</w:t>
      </w:r>
      <w:r>
        <w:tab/>
        <w:t>3</w:t>
      </w:r>
    </w:p>
    <w:p>
      <w:pPr>
        <w:pStyle w:val="DefinedTerms"/>
      </w:pPr>
      <w:r>
        <w:t>FVRO</w:t>
      </w:r>
      <w:r>
        <w:tab/>
        <w:t>6AA(1)</w:t>
      </w:r>
    </w:p>
    <w:p>
      <w:pPr>
        <w:pStyle w:val="DefinedTerms"/>
      </w:pPr>
      <w:r>
        <w:t>interim order</w:t>
      </w:r>
      <w:r>
        <w:tab/>
        <w:t>6AA(1)</w:t>
      </w:r>
    </w:p>
    <w:p>
      <w:pPr>
        <w:pStyle w:val="DefinedTerms"/>
      </w:pPr>
      <w:r>
        <w:t>prosecution notice</w:t>
      </w:r>
      <w:r>
        <w:tab/>
        <w:t>3</w:t>
      </w:r>
    </w:p>
    <w:p>
      <w:pPr>
        <w:pStyle w:val="DefinedTerms"/>
      </w:pPr>
      <w:r>
        <w:t>respondent</w:t>
      </w:r>
      <w:r>
        <w:tab/>
        <w:t>6(2), 6AA(1)</w:t>
      </w:r>
    </w:p>
    <w:p>
      <w:pPr>
        <w:pStyle w:val="DefinedTerms"/>
      </w:pPr>
      <w:r>
        <w:t>VRO</w:t>
      </w:r>
      <w:r>
        <w:tab/>
        <w:t>6AA(1)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7DDDF6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99C2EB2" w14:textId="6F69DEEB" w:rsidR="006E60C1" w:rsidRDefault="006C4A9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B7D42">
                        <w:rPr>
                          <w:sz w:val="16"/>
                        </w:rPr>
                        <w:t>2025</w:t>
                      </w:r>
                      <w:r>
                        <w:rPr>
                          <w:sz w:val="16"/>
                        </w:rPr>
                        <w:fldChar w:fldCharType="end"/>
                      </w:r>
                      <w:r>
                        <w:rPr>
                          <w:sz w:val="16"/>
                        </w:rPr>
                        <w:t>.</w:t>
                      </w:r>
                    </w:p>
                    <w:p w14:paraId="67B834DC" w14:textId="77777777" w:rsidR="006E60C1" w:rsidRDefault="006C4A9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0D0BFBB" w14:textId="7443AEB6" w:rsidR="006E60C1" w:rsidRDefault="006C4A9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B7D42">
                        <w:rPr>
                          <w:sz w:val="16"/>
                        </w:rPr>
                        <w:t>2025</w:t>
                      </w:r>
                      <w:r>
                        <w:rPr>
                          <w:sz w:val="16"/>
                        </w:rPr>
                        <w:fldChar w:fldCharType="end"/>
                      </w:r>
                      <w:r>
                        <w:rPr>
                          <w:sz w:val="16"/>
                        </w:rPr>
                        <w:t>.</w:t>
                      </w:r>
                    </w:p>
                    <w:p w14:paraId="03581A51" w14:textId="77777777" w:rsidR="006E60C1" w:rsidRDefault="006C4A9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03-p0-00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03-p0-00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03-p0-00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03-p0-00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03-p0-00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03-p0-00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43" w:name="Schedule"/>
    <w:bookmarkEnd w:id="4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9" w:name="Compilation"/>
    <w:bookmarkEnd w:id="4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54" w:name="DefinedTerms"/>
    <w:bookmarkEnd w:id="5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5" w:name="Coversheet"/>
    <w:bookmarkEnd w:id="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4950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0083021"/>
    <w:docVar w:name="WAFER_20140121133126" w:val="RemoveTocBookmarks,RemoveUnusedBookmarks,RemoveLanguageTags,UsedStyles,ResetPageSize,UpdateArrangement"/>
    <w:docVar w:name="WAFER_20140121133126_GUID" w:val="1799f60d-5263-426d-a817-8fd9ba040835"/>
    <w:docVar w:name="WAFER_20140121135010" w:val="RemoveTocBookmarks,RunningHeaders"/>
    <w:docVar w:name="WAFER_20140121135010_GUID" w:val="2d77f2a5-5d6e-4a42-8c7c-923534465d47"/>
    <w:docVar w:name="WAFER_20150401104738" w:val="ResetPageSize,UpdateArrangement,UpdateNTable"/>
    <w:docVar w:name="WAFER_20150401104738_GUID" w:val="f6689c79-7ee3-43b0-8ae9-24be6d539d04"/>
    <w:docVar w:name="WAFER_20151102151053" w:val="UpdateStyles,UsedStyles"/>
    <w:docVar w:name="WAFER_20151102151053_GUID" w:val="746d443f-5c4d-46a4-b837-cf88aab39c57"/>
    <w:docVar w:name="WAFER_20160630113447" w:val="RemoveTocBookmarks,RemoveUnusedBookmarks,RemoveLanguageTags,UsedStyles,ResetPageSize"/>
    <w:docVar w:name="WAFER_20160630113447_GUID" w:val="dbb6701a-1aa8-44cc-ad30-9ab06a0804b4"/>
    <w:docVar w:name="WAFER_20180213160021" w:val="RemoveTocBookmarks,RemoveUnusedBookmarks,RemoveLanguageTags,UsedStyles,ResetPageSize,RemoveCustomizations"/>
    <w:docVar w:name="WAFER_20180213160021_GUID" w:val="9459e398-0adb-482e-b5c7-3f6a57b02da1"/>
    <w:docVar w:name="WAFER_20180228103753" w:val="RemoveTocBookmarks,RemoveUnusedBookmarks,RemoveLanguageTags,UsedStyles,RemoveTrackChanges"/>
    <w:docVar w:name="WAFER_20180228103753_GUID" w:val="77dc35d4-c7f8-4c92-a824-5a9f9b4932d0"/>
    <w:docVar w:name="WAFER_20180228103814" w:val="RemoveTocBookmarks,RemoveLanguageTags,RemoveTrackChanges,RunningHeaders"/>
    <w:docVar w:name="WAFER_20180228103814_GUID" w:val="03bb89b6-b3d6-409a-a16f-b5be88fbe4b1"/>
    <w:docVar w:name="WAFER_20181206133305" w:val="RemoveTocBookmarks,RemoveUnusedBookmarks,RemoveLanguageTags,UsedStyles,ResetPageSize"/>
    <w:docVar w:name="WAFER_20181206133305_GUID" w:val="163f645e-1654-4922-a744-c71d6a740a09"/>
    <w:docVar w:name="WAFER_20190311131100" w:val="RemoveTocBookmarks,RemoveUnusedBookmarks,RemoveLanguageTags,UpdateStyles,UsedStyles,ResetPageSize"/>
    <w:docVar w:name="WAFER_20190311131100_GUID" w:val="7dad6d96-308d-45e9-8613-a3cfe97c1ce4"/>
    <w:docVar w:name="WAFER_202007301459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45931_GUID" w:val="4465dc96-27ab-4066-9b03-ec87075418cb"/>
    <w:docVar w:name="WAFER_202106251457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5746_GUID" w:val="9c8e28a4-3020-4545-8cd2-3ce7855018ca"/>
    <w:docVar w:name="WAFER_202109071205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7120538_GUID" w:val="85c49832-fb0a-426b-8c29-26149f1f948c"/>
    <w:docVar w:name="WAFER_202206270840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084023_GUID" w:val="8180ec72-84e7-499e-ab36-de81e204c84c"/>
    <w:docVar w:name="WAFER_202208241110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11018_GUID" w:val="c46d1efd-096f-42ac-baa2-09a85fa5c91d"/>
    <w:docVar w:name="WAFER_202308011614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1161439_GUID" w:val="4687cf29-7c9b-438a-9bc7-09b361720fa4"/>
    <w:docVar w:name="WAFER_202312271610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1035_GUID" w:val="2c480b79-1ba9-48d1-b38c-8ed6e61ba10f"/>
    <w:docVar w:name="WAFER_20240621091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091334_GUID" w:val="f1d84e65-a059-42c2-9611-70c00e047d07"/>
    <w:docVar w:name="WAFER_202408151333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15133329_GUID" w:val="60fb8256-2f7b-4daa-8f9d-a83065fea4da"/>
    <w:docVar w:name="WAFER_202408210912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1091227_GUID" w:val="ef93e3ad-f349-4bd3-b84f-db17da520a77"/>
    <w:docVar w:name="WAFER_202412051551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5155149_GUID" w:val="ea29c0ec-bfc9-4a25-a175-5e070e219c25"/>
    <w:docVar w:name="WAFER_202506200830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083021_GUID" w:val="a143eae2-166e-449b-80b9-a5ae2b3538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9505"/>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customStyle="1" w:styleId="CharzDivNo">
    <w:name w:val="CharzDivNo"/>
    <w:basedOn w:val="yHeading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EF6776-62A4-4C96-BB74-8DAA098E14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4535</Words>
  <Characters>21319</Characters>
  <Application>Microsoft Office Word</Application>
  <DocSecurity>0</DocSecurity>
  <Lines>969</Lines>
  <Paragraphs>574</Paragraphs>
  <ScaleCrop>false</ScaleCrop>
  <HeadingPairs>
    <vt:vector size="2" baseType="variant">
      <vt:variant>
        <vt:lpstr>Title</vt:lpstr>
      </vt:variant>
      <vt:variant>
        <vt:i4>1</vt:i4>
      </vt:variant>
    </vt:vector>
  </HeadingPairs>
  <TitlesOfParts>
    <vt:vector size="1" baseType="lpstr">
      <vt:lpstr>Childrens Court (Fees) Regulations 2005</vt:lpstr>
    </vt:vector>
  </TitlesOfParts>
  <Manager/>
  <Company/>
  <LinksUpToDate>false</LinksUpToDate>
  <CharactersWithSpaces>25280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2005 - 03-p0-00</dc:title>
  <dc:subject/>
  <dc:creator/>
  <cp:keywords/>
  <dc:description/>
  <cp:lastModifiedBy>Master Repository Process</cp:lastModifiedBy>
  <cp:revision>4</cp:revision>
  <cp:lastPrinted>2018-09-04T01:15:00Z</cp:lastPrinted>
  <dcterms:created xsi:type="dcterms:W3CDTF">2025-06-27T02:33:00Z</dcterms:created>
  <dcterms:modified xsi:type="dcterms:W3CDTF">2025-06-27T02:33:00Z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OwlsUID">
    <vt:i4>34705</vt:i4>
  </property>
  <property fmtid="{D5CDD505-2E9C-101B-9397-08002B2CF9AE}" pid="4" name="DocumentType">
    <vt:lpwstr>Reg</vt:lpwstr>
  </property>
  <property fmtid="{D5CDD505-2E9C-101B-9397-08002B2CF9AE}" pid="5" name="ReprintedAsAt">
    <vt:filetime>2018-09-27T16:00:00Z</vt:filetime>
  </property>
  <property fmtid="{D5CDD505-2E9C-101B-9397-08002B2CF9AE}" pid="6" name="ReprintNo">
    <vt:lpwstr>3</vt:lpwstr>
  </property>
  <property fmtid="{D5CDD505-2E9C-101B-9397-08002B2CF9AE}" pid="7" name="AsAtDate">
    <vt:lpwstr>01 Jul 2025</vt:lpwstr>
  </property>
  <property fmtid="{D5CDD505-2E9C-101B-9397-08002B2CF9AE}" pid="8" name="Suffix">
    <vt:lpwstr>03-p0-00</vt:lpwstr>
  </property>
  <property fmtid="{D5CDD505-2E9C-101B-9397-08002B2CF9AE}" pid="9" name="Official">
    <vt:lpwstr/>
  </property>
  <property fmtid="{D5CDD505-2E9C-101B-9397-08002B2CF9AE}" pid="10" name="CommencementDate">
    <vt:lpwstr>20250701</vt:lpwstr>
  </property>
  <property fmtid="{D5CDD505-2E9C-101B-9397-08002B2CF9AE}" pid="11" name="CommencementAsAt">
    <vt:filetime>2025-06-30T16:00:00Z</vt:filetime>
  </property>
  <property fmtid="{D5CDD505-2E9C-101B-9397-08002B2CF9AE}" pid="12" name="CommencementYear">
    <vt:lpwstr>2025</vt:lpwstr>
  </property>
</Properties>
</file>