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Debt Collectors Licensing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Debt Collectors Licensing Regulations 1964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_Toc201738067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_Toc201738068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corporation</w:t>
      </w:r>
      <w:r>
        <w:tab/>
      </w:r>
      <w:r>
        <w:fldChar w:fldCharType="begin"/>
      </w:r>
      <w:r>
        <w:instrText xml:space="preserve"> PAGEREF _Toc201738069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_Toc201738070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licence</w:t>
      </w:r>
      <w:r>
        <w:tab/>
      </w:r>
      <w:r>
        <w:fldChar w:fldCharType="begin"/>
      </w:r>
      <w:r>
        <w:instrText xml:space="preserve"> PAGEREF _Toc201738071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period for issue of licence</w:t>
      </w:r>
      <w:r>
        <w:tab/>
      </w:r>
      <w:r>
        <w:fldChar w:fldCharType="begin"/>
      </w:r>
      <w:r>
        <w:instrText xml:space="preserve"> PAGEREF _Toc201738072 \h </w:instrText>
      </w:r>
      <w:r>
        <w:fldChar w:fldCharType="separate"/>
      </w:r>
      <w:r>
        <w:t>4</w:t>
      </w:r>
      <w:r>
        <w:fldChar w:fldCharType="end"/>
      </w:r>
    </w:p>
    <w:p>
      <w:pPr>
        <w:pStyle w:val="TOC8"/>
        <w:rPr>
          <w:rFonts w:asciiTheme="minorHAnsi" w:eastAsiaTheme="minorEastAsia" w:hAnsiTheme="minorHAnsi" w:cstheme="minorBidi"/>
          <w:szCs w:val="22"/>
        </w:rPr>
      </w:pPr>
      <w:r>
        <w:t>6A.</w:t>
      </w:r>
      <w:r>
        <w:tab/>
        <w:t>Prescribed period for renewal of licence</w:t>
      </w:r>
      <w:r>
        <w:tab/>
      </w:r>
      <w:r>
        <w:fldChar w:fldCharType="begin"/>
      </w:r>
      <w:r>
        <w:instrText xml:space="preserve"> PAGEREF _Toc201738073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Duplicate licence</w:t>
      </w:r>
      <w:r>
        <w:tab/>
      </w:r>
      <w:r>
        <w:fldChar w:fldCharType="begin"/>
      </w:r>
      <w:r>
        <w:instrText xml:space="preserve"> PAGEREF _Toc201738074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Fidelity bond</w:t>
      </w:r>
      <w:r>
        <w:tab/>
      </w:r>
      <w:r>
        <w:fldChar w:fldCharType="begin"/>
      </w:r>
      <w:r>
        <w:instrText xml:space="preserve"> PAGEREF _Toc201738075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Surrender of licence</w:t>
      </w:r>
      <w:r>
        <w:tab/>
      </w:r>
      <w:r>
        <w:fldChar w:fldCharType="begin"/>
      </w:r>
      <w:r>
        <w:instrText xml:space="preserve"> PAGEREF _Toc201738076 \h </w:instrText>
      </w:r>
      <w:r>
        <w:fldChar w:fldCharType="separate"/>
      </w:r>
      <w:r>
        <w:t>5</w:t>
      </w:r>
      <w:r>
        <w:fldChar w:fldCharType="end"/>
      </w:r>
    </w:p>
    <w:p>
      <w:pPr>
        <w:pStyle w:val="TOC8"/>
        <w:rPr>
          <w:rFonts w:asciiTheme="minorHAnsi" w:eastAsiaTheme="minorEastAsia" w:hAnsiTheme="minorHAnsi" w:cstheme="minorBidi"/>
          <w:szCs w:val="22"/>
        </w:rPr>
      </w:pPr>
      <w:r>
        <w:t>9A.</w:t>
      </w:r>
      <w:r>
        <w:tab/>
        <w:t>Refund of prescribed fee if licence surrendered</w:t>
      </w:r>
      <w:r>
        <w:tab/>
      </w:r>
      <w:r>
        <w:fldChar w:fldCharType="begin"/>
      </w:r>
      <w:r>
        <w:instrText xml:space="preserve"> PAGEREF _Toc201738077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_Toc201738078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w:t>
      </w:r>
      <w:r>
        <w:tab/>
      </w:r>
      <w:r>
        <w:fldChar w:fldCharType="begin"/>
      </w:r>
      <w:r>
        <w:instrText xml:space="preserve"> PAGEREF _Toc201738079 \h </w:instrText>
      </w:r>
      <w:r>
        <w:fldChar w:fldCharType="separate"/>
      </w:r>
      <w:r>
        <w:t>6</w:t>
      </w:r>
      <w:r>
        <w:fldChar w:fldCharType="end"/>
      </w:r>
    </w:p>
    <w:p>
      <w:pPr>
        <w:pStyle w:val="TOC8"/>
        <w:rPr>
          <w:rFonts w:asciiTheme="minorHAnsi" w:eastAsiaTheme="minorEastAsia" w:hAnsiTheme="minorHAnsi" w:cstheme="minorBidi"/>
          <w:szCs w:val="22"/>
        </w:rPr>
      </w:pPr>
      <w:r>
        <w:t>12.</w:t>
      </w:r>
      <w:r>
        <w:tab/>
        <w:t>Notification of changes in information relating to licensee</w:t>
      </w:r>
      <w:r>
        <w:tab/>
      </w:r>
      <w:r>
        <w:fldChar w:fldCharType="begin"/>
      </w:r>
      <w:r>
        <w:instrText xml:space="preserve"> PAGEREF _Toc201738080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Charges by licensee</w:t>
      </w:r>
      <w:r>
        <w:tab/>
      </w:r>
      <w:r>
        <w:fldChar w:fldCharType="begin"/>
      </w:r>
      <w:r>
        <w:instrText xml:space="preserve"> PAGEREF _Toc201738081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Exemptions</w:t>
      </w:r>
      <w:r>
        <w:tab/>
      </w:r>
      <w:r>
        <w:fldChar w:fldCharType="begin"/>
      </w:r>
      <w:r>
        <w:instrText xml:space="preserve"> PAGEREF _Toc201738082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_Toc201738083 \h </w:instrText>
      </w:r>
      <w:r>
        <w:fldChar w:fldCharType="separate"/>
      </w:r>
      <w:r>
        <w:t>8</w:t>
      </w:r>
      <w:r>
        <w:fldChar w:fldCharType="end"/>
      </w:r>
    </w:p>
    <w:p>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_Toc201738084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_Toc201738089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Debt Collectors Licensing Act 1964</w:t>
      </w:r>
    </w:p>
    <w:p>
      <w:pPr>
        <w:pStyle w:val="NameofActReg"/>
      </w:pPr>
      <w:r>
        <w:t>Debt Collectors Licensing Regulations 1964</w:t>
      </w:r>
    </w:p>
    <w:p>
      <w:pPr>
        <w:pStyle w:val="Heading5"/>
        <w:rPr>
          <w:snapToGrid w:val="0"/>
        </w:rPr>
      </w:pPr>
      <w:bookmarkStart w:id="2" w:name="_Toc201738067"/>
      <w:r>
        <w:rPr>
          <w:rStyle w:val="CharSectno"/>
        </w:rPr>
        <w:t>1</w:t>
      </w:r>
      <w:r>
        <w:rPr>
          <w:snapToGrid w:val="0"/>
        </w:rPr>
        <w:t>.</w:t>
      </w:r>
      <w:r>
        <w:rPr>
          <w:snapToGrid w:val="0"/>
        </w:rPr>
        <w:tab/>
        <w:t>Citation</w:t>
      </w:r>
      <w:bookmarkEnd w:id="2"/>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3" w:name="_Toc201738068"/>
      <w:r>
        <w:rPr>
          <w:rStyle w:val="CharSectno"/>
        </w:rPr>
        <w:t>2</w:t>
      </w:r>
      <w:r>
        <w:rPr>
          <w:snapToGrid w:val="0"/>
        </w:rPr>
        <w:t>.</w:t>
      </w:r>
      <w:r>
        <w:rPr>
          <w:snapToGrid w:val="0"/>
        </w:rPr>
        <w:tab/>
        <w:t>Forms</w:t>
      </w:r>
      <w:bookmarkEnd w:id="3"/>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4" w:name="_Toc201738069"/>
      <w:r>
        <w:rPr>
          <w:rStyle w:val="CharSectno"/>
        </w:rPr>
        <w:t>3</w:t>
      </w:r>
      <w:r>
        <w:rPr>
          <w:snapToGrid w:val="0"/>
        </w:rPr>
        <w:t>.</w:t>
      </w:r>
      <w:r>
        <w:rPr>
          <w:snapToGrid w:val="0"/>
        </w:rPr>
        <w:tab/>
        <w:t>Application by corporation</w:t>
      </w:r>
      <w:bookmarkEnd w:id="4"/>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keepNext w:val="0"/>
      </w:pPr>
      <w:bookmarkStart w:id="5" w:name="_Toc201738070"/>
      <w:r>
        <w:rPr>
          <w:rStyle w:val="CharSectno"/>
        </w:rPr>
        <w:t>4</w:t>
      </w:r>
      <w:r>
        <w:t>.</w:t>
      </w:r>
      <w:r>
        <w:tab/>
        <w:t>Fees</w:t>
      </w:r>
      <w:bookmarkEnd w:id="5"/>
    </w:p>
    <w:p>
      <w:pPr>
        <w:pStyle w:val="Ednotesubsection"/>
      </w:pPr>
      <w:r>
        <w:tab/>
        <w:t>[(1A)</w:t>
      </w:r>
      <w:r>
        <w:tab/>
        <w:t>deleted]</w:t>
      </w:r>
    </w:p>
    <w:p>
      <w:pPr>
        <w:pStyle w:val="Subsection"/>
      </w:pPr>
      <w:r>
        <w:tab/>
        <w:t>(1)</w:t>
      </w:r>
      <w:r>
        <w:tab/>
        <w:t>The fee payable for a matter set out in column 1 of the Table is the fee set out opposite the matter in column 2.</w:t>
      </w:r>
    </w:p>
    <w:p>
      <w:pPr>
        <w:pStyle w:val="yTHeadingNAm"/>
        <w:ind w:left="284"/>
      </w:pPr>
      <w:r>
        <w:lastRenderedPageBreak/>
        <w:t>Table</w:t>
      </w:r>
    </w:p>
    <w:tbl>
      <w:tblPr>
        <w:tblW w:w="5416"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1E0" w:firstRow="1" w:lastRow="1" w:firstColumn="1" w:lastColumn="1" w:noHBand="0" w:noVBand="0"/>
      </w:tblPr>
      <w:tblGrid>
        <w:gridCol w:w="709"/>
        <w:gridCol w:w="3289"/>
        <w:gridCol w:w="1418"/>
      </w:tblGrid>
      <w:tr>
        <w:trPr>
          <w:cantSplit/>
          <w:tblHeader/>
        </w:trPr>
        <w:tc>
          <w:tcPr>
            <w:tcW w:w="709" w:type="dxa"/>
            <w:tcMar>
              <w:bottom w:w="11" w:type="dxa"/>
            </w:tcMar>
          </w:tcPr>
          <w:p>
            <w:pPr>
              <w:pStyle w:val="yTableNAm"/>
              <w:rPr>
                <w:b/>
                <w:bCs/>
              </w:rPr>
            </w:pPr>
            <w:r>
              <w:rPr>
                <w:b/>
                <w:bCs/>
              </w:rPr>
              <w:t>Item</w:t>
            </w:r>
          </w:p>
        </w:tc>
        <w:tc>
          <w:tcPr>
            <w:tcW w:w="3289" w:type="dxa"/>
            <w:tcMar>
              <w:bottom w:w="11" w:type="dxa"/>
            </w:tcMar>
          </w:tcPr>
          <w:p>
            <w:pPr>
              <w:pStyle w:val="yTableNAm"/>
              <w:jc w:val="center"/>
              <w:rPr>
                <w:b/>
                <w:bCs/>
              </w:rPr>
            </w:pPr>
            <w:r>
              <w:rPr>
                <w:b/>
                <w:bCs/>
              </w:rPr>
              <w:t>Column 1</w:t>
            </w:r>
          </w:p>
          <w:p>
            <w:pPr>
              <w:pStyle w:val="yTableNAm"/>
              <w:jc w:val="center"/>
              <w:rPr>
                <w:b/>
                <w:bCs/>
              </w:rPr>
            </w:pPr>
            <w:r>
              <w:rPr>
                <w:b/>
                <w:bCs/>
              </w:rPr>
              <w:t>Matter</w:t>
            </w:r>
          </w:p>
        </w:tc>
        <w:tc>
          <w:tcPr>
            <w:tcW w:w="1418" w:type="dxa"/>
            <w:tcMar>
              <w:bottom w:w="11" w:type="dxa"/>
            </w:tcMar>
          </w:tcPr>
          <w:p>
            <w:pPr>
              <w:pStyle w:val="yTableNAm"/>
              <w:jc w:val="center"/>
              <w:rPr>
                <w:b/>
                <w:bCs/>
              </w:rPr>
            </w:pPr>
            <w:r>
              <w:rPr>
                <w:b/>
                <w:bCs/>
              </w:rPr>
              <w:t>Column 2</w:t>
            </w:r>
          </w:p>
          <w:p>
            <w:pPr>
              <w:pStyle w:val="yTableNAm"/>
              <w:jc w:val="center"/>
              <w:rPr>
                <w:b/>
                <w:bCs/>
              </w:rPr>
            </w:pPr>
            <w:r>
              <w:rPr>
                <w:b/>
                <w:bCs/>
              </w:rPr>
              <w:t>Fee ($)</w:t>
            </w:r>
          </w:p>
        </w:tc>
      </w:tr>
      <w:tr>
        <w:trPr>
          <w:cantSplit/>
        </w:trPr>
        <w:tc>
          <w:tcPr>
            <w:tcW w:w="709" w:type="dxa"/>
            <w:tcMar>
              <w:bottom w:w="11" w:type="dxa"/>
            </w:tcMar>
          </w:tcPr>
          <w:p>
            <w:pPr>
              <w:pStyle w:val="yTableNAm"/>
            </w:pPr>
            <w:r>
              <w:t>1.</w:t>
            </w:r>
          </w:p>
        </w:tc>
        <w:tc>
          <w:tcPr>
            <w:tcW w:w="3289" w:type="dxa"/>
            <w:tcMar>
              <w:bottom w:w="11" w:type="dxa"/>
            </w:tcMar>
          </w:tcPr>
          <w:p>
            <w:pPr>
              <w:pStyle w:val="yTableNAm"/>
            </w:pPr>
            <w:r>
              <w:t>Issue or renewal of licence</w:t>
            </w:r>
          </w:p>
        </w:tc>
        <w:tc>
          <w:tcPr>
            <w:tcW w:w="1418" w:type="dxa"/>
            <w:tcMar>
              <w:bottom w:w="11" w:type="dxa"/>
            </w:tcMar>
            <w:vAlign w:val="bottom"/>
          </w:tcPr>
          <w:p>
            <w:pPr>
              <w:pStyle w:val="yTableNAm"/>
              <w:tabs>
                <w:tab w:val="clear" w:pos="567"/>
              </w:tabs>
              <w:ind w:right="100"/>
              <w:jc w:val="right"/>
            </w:pPr>
            <w:r>
              <w:t>2 525.35</w:t>
            </w:r>
          </w:p>
        </w:tc>
      </w:tr>
      <w:tr>
        <w:trPr>
          <w:cantSplit/>
        </w:trPr>
        <w:tc>
          <w:tcPr>
            <w:tcW w:w="709" w:type="dxa"/>
            <w:tcMar>
              <w:bottom w:w="11" w:type="dxa"/>
            </w:tcMar>
          </w:tcPr>
          <w:p>
            <w:pPr>
              <w:pStyle w:val="yTableNAm"/>
            </w:pPr>
            <w:r>
              <w:t>2.</w:t>
            </w:r>
          </w:p>
        </w:tc>
        <w:tc>
          <w:tcPr>
            <w:tcW w:w="3289" w:type="dxa"/>
            <w:tcMar>
              <w:bottom w:w="11" w:type="dxa"/>
            </w:tcMar>
          </w:tcPr>
          <w:p>
            <w:pPr>
              <w:pStyle w:val="yTableNAm"/>
            </w:pPr>
            <w:r>
              <w:t>Transfer of licence</w:t>
            </w:r>
          </w:p>
        </w:tc>
        <w:tc>
          <w:tcPr>
            <w:tcW w:w="1418" w:type="dxa"/>
            <w:tcMar>
              <w:bottom w:w="11" w:type="dxa"/>
            </w:tcMar>
            <w:vAlign w:val="bottom"/>
          </w:tcPr>
          <w:p>
            <w:pPr>
              <w:pStyle w:val="yTableNAm"/>
              <w:tabs>
                <w:tab w:val="clear" w:pos="567"/>
              </w:tabs>
              <w:ind w:right="100"/>
              <w:jc w:val="right"/>
            </w:pPr>
            <w:r>
              <w:t>406.00</w:t>
            </w:r>
          </w:p>
        </w:tc>
      </w:tr>
      <w:tr>
        <w:trPr>
          <w:cantSplit/>
        </w:trPr>
        <w:tc>
          <w:tcPr>
            <w:tcW w:w="709" w:type="dxa"/>
            <w:tcMar>
              <w:bottom w:w="11" w:type="dxa"/>
            </w:tcMar>
          </w:tcPr>
          <w:p>
            <w:pPr>
              <w:pStyle w:val="yTableNAm"/>
            </w:pPr>
            <w:r>
              <w:t>3.</w:t>
            </w:r>
          </w:p>
        </w:tc>
        <w:tc>
          <w:tcPr>
            <w:tcW w:w="3289" w:type="dxa"/>
            <w:tcMar>
              <w:bottom w:w="11" w:type="dxa"/>
            </w:tcMar>
          </w:tcPr>
          <w:p>
            <w:pPr>
              <w:pStyle w:val="yTableNAm"/>
            </w:pPr>
            <w:r>
              <w:t xml:space="preserve">Issue of duplicate licence </w:t>
            </w:r>
          </w:p>
        </w:tc>
        <w:tc>
          <w:tcPr>
            <w:tcW w:w="1418" w:type="dxa"/>
            <w:tcMar>
              <w:bottom w:w="11" w:type="dxa"/>
            </w:tcMar>
            <w:vAlign w:val="bottom"/>
          </w:tcPr>
          <w:p>
            <w:pPr>
              <w:pStyle w:val="yTableNAm"/>
              <w:tabs>
                <w:tab w:val="clear" w:pos="567"/>
              </w:tabs>
              <w:ind w:right="100"/>
              <w:jc w:val="right"/>
            </w:pPr>
            <w:r>
              <w:t>35.00</w:t>
            </w:r>
          </w:p>
        </w:tc>
      </w:tr>
    </w:tbl>
    <w:p>
      <w:pPr>
        <w:pStyle w:val="Subsection"/>
        <w:tabs>
          <w:tab w:val="left" w:pos="6379"/>
        </w:tabs>
      </w:pPr>
      <w:r>
        <w:tab/>
        <w:t>(2)</w:t>
      </w:r>
      <w:r>
        <w:tab/>
        <w:t>For the purposes of section 10A(4)(b) of the Act, the amount prescribed by way of penalty for a late renewal application is 25% of the renewal fee.</w:t>
      </w:r>
    </w:p>
    <w:p>
      <w:pPr>
        <w:pStyle w:val="Footnotesection"/>
        <w:spacing w:before="100"/>
        <w:ind w:left="890" w:hanging="890"/>
      </w:pPr>
      <w:r>
        <w:tab/>
        <w:t>[Regulation 4 inserted: Gazette 23 Jun 2015 p. 2171; amended: Gazette 3 Jun 2016 p. 1757; 23 Jun 2017 p. 3236; 27 Jun 2017 p. 3410; 25 Jun 2018 p. 2338; 18 Jun 2019 p. 2096; 25 Jun 2019 p. 2191</w:t>
      </w:r>
      <w:r>
        <w:noBreakHyphen/>
        <w:t>2; SL 2020/196 r. 19; SL 2021/86 r. 25; SL 2022/59 r. 14; SL 2023/35 r. 16; SL 2024/96 r. 15; SL 2025/89 r. 14.]</w:t>
      </w:r>
    </w:p>
    <w:p>
      <w:pPr>
        <w:pStyle w:val="Ednotesection"/>
      </w:pPr>
      <w:r>
        <w:t>[</w:t>
      </w:r>
      <w:r>
        <w:rPr>
          <w:b/>
        </w:rPr>
        <w:t>4A.</w:t>
      </w:r>
      <w:r>
        <w:tab/>
        <w:t>Deleted: SL 2021/86 r. 26.]</w:t>
      </w:r>
    </w:p>
    <w:p>
      <w:pPr>
        <w:pStyle w:val="Heading5"/>
        <w:rPr>
          <w:snapToGrid w:val="0"/>
        </w:rPr>
      </w:pPr>
      <w:bookmarkStart w:id="6" w:name="_Toc201738071"/>
      <w:r>
        <w:rPr>
          <w:rStyle w:val="CharSectno"/>
        </w:rPr>
        <w:t>5</w:t>
      </w:r>
      <w:r>
        <w:rPr>
          <w:snapToGrid w:val="0"/>
        </w:rPr>
        <w:t>.</w:t>
      </w:r>
      <w:r>
        <w:rPr>
          <w:snapToGrid w:val="0"/>
        </w:rPr>
        <w:tab/>
        <w:t>Transfer of licence</w:t>
      </w:r>
      <w:bookmarkEnd w:id="6"/>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lastRenderedPageBreak/>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keepNext/>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keepNext/>
        <w:spacing w:before="120"/>
        <w:rPr>
          <w:snapToGrid w:val="0"/>
        </w:rPr>
      </w:pPr>
      <w:r>
        <w:rPr>
          <w:snapToGrid w:val="0"/>
        </w:rPr>
        <w:lastRenderedPageBreak/>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7" w:name="_Toc201738072"/>
      <w:r>
        <w:rPr>
          <w:rStyle w:val="CharSectno"/>
        </w:rPr>
        <w:t>6</w:t>
      </w:r>
      <w:r>
        <w:t>.</w:t>
      </w:r>
      <w:r>
        <w:tab/>
        <w:t>Prescribed period for issue of licence</w:t>
      </w:r>
      <w:bookmarkEnd w:id="7"/>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8" w:name="_Toc201738073"/>
      <w:r>
        <w:rPr>
          <w:rStyle w:val="CharSectno"/>
        </w:rPr>
        <w:t>6A</w:t>
      </w:r>
      <w:r>
        <w:t>.</w:t>
      </w:r>
      <w:r>
        <w:tab/>
        <w:t>Prescribed period for renewal of licence</w:t>
      </w:r>
      <w:bookmarkEnd w:id="8"/>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9" w:name="_Toc201738074"/>
      <w:r>
        <w:rPr>
          <w:rStyle w:val="CharSectno"/>
        </w:rPr>
        <w:lastRenderedPageBreak/>
        <w:t>7</w:t>
      </w:r>
      <w:r>
        <w:rPr>
          <w:snapToGrid w:val="0"/>
        </w:rPr>
        <w:t>.</w:t>
      </w:r>
      <w:r>
        <w:rPr>
          <w:snapToGrid w:val="0"/>
        </w:rPr>
        <w:tab/>
        <w:t>Duplicate licence</w:t>
      </w:r>
      <w:bookmarkEnd w:id="9"/>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10" w:name="_Toc201738075"/>
      <w:r>
        <w:rPr>
          <w:rStyle w:val="CharSectno"/>
        </w:rPr>
        <w:t>8</w:t>
      </w:r>
      <w:r>
        <w:rPr>
          <w:snapToGrid w:val="0"/>
        </w:rPr>
        <w:t>.</w:t>
      </w:r>
      <w:r>
        <w:rPr>
          <w:snapToGrid w:val="0"/>
        </w:rPr>
        <w:tab/>
        <w:t>Fidelity bond</w:t>
      </w:r>
      <w:bookmarkEnd w:id="10"/>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11" w:name="_Toc201738076"/>
      <w:r>
        <w:rPr>
          <w:rStyle w:val="CharSectno"/>
        </w:rPr>
        <w:t>9</w:t>
      </w:r>
      <w:r>
        <w:rPr>
          <w:snapToGrid w:val="0"/>
        </w:rPr>
        <w:t>.</w:t>
      </w:r>
      <w:r>
        <w:rPr>
          <w:snapToGrid w:val="0"/>
        </w:rPr>
        <w:tab/>
        <w:t>Surrender of licence</w:t>
      </w:r>
      <w:bookmarkEnd w:id="11"/>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12" w:name="_Toc201738077"/>
      <w:r>
        <w:rPr>
          <w:rStyle w:val="CharSectno"/>
        </w:rPr>
        <w:t>9A</w:t>
      </w:r>
      <w:r>
        <w:t>.</w:t>
      </w:r>
      <w:r>
        <w:tab/>
        <w:t>Refund of prescribed fee if licence surrendered</w:t>
      </w:r>
      <w:bookmarkEnd w:id="12"/>
      <w:r>
        <w:t xml:space="preserve"> </w:t>
      </w:r>
    </w:p>
    <w:p>
      <w:pPr>
        <w:pStyle w:val="Subsection"/>
        <w:keepNext/>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 xml:space="preserve">The Commissioner must, on application by a person who was the holder of a surrendered licence, refund to the person an amount of the prescribed fee paid for the licence that, in the </w:t>
      </w:r>
      <w:r>
        <w:lastRenderedPageBreak/>
        <w:t>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13" w:name="_Toc201738078"/>
      <w:r>
        <w:rPr>
          <w:rStyle w:val="CharSectno"/>
        </w:rPr>
        <w:t>10</w:t>
      </w:r>
      <w:r>
        <w:rPr>
          <w:snapToGrid w:val="0"/>
        </w:rPr>
        <w:t>.</w:t>
      </w:r>
      <w:r>
        <w:rPr>
          <w:snapToGrid w:val="0"/>
        </w:rPr>
        <w:tab/>
        <w:t>Non</w:t>
      </w:r>
      <w:r>
        <w:rPr>
          <w:snapToGrid w:val="0"/>
        </w:rPr>
        <w:noBreakHyphen/>
        <w:t>disclosure by auditor and person appointed by Minister</w:t>
      </w:r>
      <w:bookmarkEnd w:id="13"/>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14" w:name="_Toc201738079"/>
      <w:r>
        <w:rPr>
          <w:rStyle w:val="CharSectno"/>
        </w:rPr>
        <w:t>11</w:t>
      </w:r>
      <w:r>
        <w:rPr>
          <w:snapToGrid w:val="0"/>
        </w:rPr>
        <w:t>.</w:t>
      </w:r>
      <w:r>
        <w:rPr>
          <w:snapToGrid w:val="0"/>
        </w:rPr>
        <w:tab/>
        <w:t>Offence</w:t>
      </w:r>
      <w:bookmarkEnd w:id="14"/>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15" w:name="_Toc201738080"/>
      <w:r>
        <w:rPr>
          <w:rStyle w:val="CharSectno"/>
        </w:rPr>
        <w:lastRenderedPageBreak/>
        <w:t>12</w:t>
      </w:r>
      <w:r>
        <w:t>.</w:t>
      </w:r>
      <w:r>
        <w:tab/>
        <w:t>Notification of changes in information relating to licensee</w:t>
      </w:r>
      <w:bookmarkEnd w:id="15"/>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16" w:name="_Toc201738081"/>
      <w:r>
        <w:rPr>
          <w:rStyle w:val="CharSectno"/>
        </w:rPr>
        <w:t>13</w:t>
      </w:r>
      <w:r>
        <w:rPr>
          <w:snapToGrid w:val="0"/>
        </w:rPr>
        <w:t>.</w:t>
      </w:r>
      <w:r>
        <w:rPr>
          <w:snapToGrid w:val="0"/>
        </w:rPr>
        <w:tab/>
        <w:t>Charges by licensee</w:t>
      </w:r>
      <w:bookmarkEnd w:id="16"/>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17" w:name="_Toc201738082"/>
      <w:r>
        <w:rPr>
          <w:rStyle w:val="CharSectno"/>
        </w:rPr>
        <w:t>14</w:t>
      </w:r>
      <w:r>
        <w:rPr>
          <w:snapToGrid w:val="0"/>
        </w:rPr>
        <w:t>.</w:t>
      </w:r>
      <w:r>
        <w:rPr>
          <w:snapToGrid w:val="0"/>
        </w:rPr>
        <w:tab/>
        <w:t>Exemptions</w:t>
      </w:r>
      <w:bookmarkEnd w:id="17"/>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 xml:space="preserve">authority to make the collection is, in each case, to the knowledge of the debtor concerned, conferred on the person collecting the debt at or before the time when the </w:t>
      </w:r>
      <w:r>
        <w:rPr>
          <w:snapToGrid w:val="0"/>
        </w:rPr>
        <w:lastRenderedPageBreak/>
        <w:t>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18" w:name="_Toc201738083"/>
      <w:r>
        <w:rPr>
          <w:rStyle w:val="CharSectno"/>
        </w:rPr>
        <w:t>15</w:t>
      </w:r>
      <w:r>
        <w:rPr>
          <w:snapToGrid w:val="0"/>
        </w:rPr>
        <w:t>.</w:t>
      </w:r>
      <w:r>
        <w:rPr>
          <w:snapToGrid w:val="0"/>
        </w:rPr>
        <w:tab/>
        <w:t>Penalties</w:t>
      </w:r>
      <w:bookmarkEnd w:id="18"/>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19" w:name="_Toc201738084"/>
      <w:r>
        <w:rPr>
          <w:rStyle w:val="CharSectno"/>
        </w:rPr>
        <w:t>16</w:t>
      </w:r>
      <w:r>
        <w:t>.</w:t>
      </w:r>
      <w:r>
        <w:tab/>
        <w:t>Infringement notices</w:t>
      </w:r>
      <w:bookmarkEnd w:id="19"/>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lastRenderedPageBreak/>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20" w:name="_Toc201732606"/>
      <w:bookmarkStart w:id="21" w:name="_Toc201732974"/>
      <w:bookmarkStart w:id="22" w:name="_Toc201738085"/>
      <w:r>
        <w:rPr>
          <w:rStyle w:val="CharSchNo"/>
        </w:rPr>
        <w:lastRenderedPageBreak/>
        <w:t>First Schedule</w:t>
      </w:r>
      <w:bookmarkEnd w:id="20"/>
      <w:bookmarkEnd w:id="21"/>
      <w:bookmarkEnd w:id="22"/>
    </w:p>
    <w:p>
      <w:pPr>
        <w:pStyle w:val="yEdnotesection"/>
      </w:pPr>
      <w:r>
        <w:t>[Forms 1 and 2 deleted: Gazette 27 Jun 2017 p. 3412.]</w:t>
      </w:r>
    </w:p>
    <w:p>
      <w:pPr>
        <w:pStyle w:val="yEdnotesection"/>
      </w:pPr>
      <w:r>
        <w:t>[Form 3 deleted: Gazette 30 Dec 2004 p. 6917.]</w:t>
      </w:r>
    </w:p>
    <w:p>
      <w:pPr>
        <w:pStyle w:val="yMiscellaneousHeading"/>
        <w:spacing w:before="22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lastRenderedPageBreak/>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Perth  WA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w:t>
            </w:r>
            <w:r>
              <w:rPr>
                <w:sz w:val="20"/>
              </w:rPr>
              <w:lastRenderedPageBreak/>
              <w:t>be published on a website, your earnings or bank accounts may be garnished, and your property may be seized and sold.</w:t>
            </w:r>
          </w:p>
          <w:p>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 SL 2020/163 r. 20.]</w:t>
      </w:r>
    </w:p>
    <w:p>
      <w:pPr>
        <w:pStyle w:val="yMiscellaneousHeading"/>
        <w:spacing w:before="22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keepNext/>
              <w:spacing w:before="0"/>
              <w:rPr>
                <w:b/>
                <w:sz w:val="20"/>
              </w:rPr>
            </w:pPr>
          </w:p>
        </w:tc>
        <w:tc>
          <w:tcPr>
            <w:tcW w:w="5520" w:type="dxa"/>
            <w:gridSpan w:val="2"/>
            <w:tcBorders>
              <w:top w:val="nil"/>
              <w:bottom w:val="single" w:sz="4" w:space="0" w:color="auto"/>
            </w:tcBorders>
          </w:tcPr>
          <w:p>
            <w:pPr>
              <w:pStyle w:val="yTableNAm"/>
              <w:keepNext/>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keepNext/>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keepNext/>
              <w:tabs>
                <w:tab w:val="clear" w:pos="567"/>
                <w:tab w:val="left" w:pos="612"/>
              </w:tabs>
              <w:spacing w:before="0"/>
              <w:rPr>
                <w:sz w:val="20"/>
              </w:rPr>
            </w:pPr>
            <w:r>
              <w:rPr>
                <w:sz w:val="20"/>
              </w:rPr>
              <w:tab/>
              <w:t>Department of Mines, Industry Regulation and Safety</w:t>
            </w:r>
          </w:p>
          <w:p>
            <w:pPr>
              <w:pStyle w:val="yTableNAm"/>
              <w:keepNext/>
              <w:tabs>
                <w:tab w:val="clear" w:pos="567"/>
                <w:tab w:val="left" w:pos="612"/>
              </w:tabs>
              <w:spacing w:before="0"/>
              <w:rPr>
                <w:sz w:val="20"/>
              </w:rPr>
            </w:pPr>
            <w:r>
              <w:rPr>
                <w:sz w:val="20"/>
              </w:rPr>
              <w:tab/>
              <w:t>Locked Bag 14  Cloisters Square</w:t>
            </w:r>
          </w:p>
          <w:p>
            <w:pPr>
              <w:pStyle w:val="yTableNAm"/>
              <w:keepNext/>
              <w:tabs>
                <w:tab w:val="clear" w:pos="567"/>
                <w:tab w:val="left" w:pos="612"/>
              </w:tabs>
              <w:spacing w:before="0"/>
              <w:rPr>
                <w:sz w:val="20"/>
              </w:rPr>
            </w:pPr>
            <w:r>
              <w:rPr>
                <w:sz w:val="20"/>
              </w:rPr>
              <w:tab/>
              <w:t>Perth  WA  6850</w:t>
            </w:r>
          </w:p>
          <w:p>
            <w:pPr>
              <w:pStyle w:val="yTableNAm"/>
              <w:keepNext/>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pPr>
        <w:pStyle w:val="yScheduleHeading"/>
      </w:pPr>
      <w:bookmarkStart w:id="24" w:name="_Toc201732607"/>
      <w:bookmarkStart w:id="25" w:name="_Toc201732975"/>
      <w:bookmarkStart w:id="26" w:name="_Toc201738086"/>
      <w:r>
        <w:rPr>
          <w:rStyle w:val="CharSchNo"/>
        </w:rPr>
        <w:lastRenderedPageBreak/>
        <w:t>Second Schedule</w:t>
      </w:r>
      <w:bookmarkEnd w:id="24"/>
      <w:bookmarkEnd w:id="25"/>
      <w:bookmarkEnd w:id="26"/>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xml:space="preserve">,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w:t>
      </w:r>
      <w:r>
        <w:rPr>
          <w:snapToGrid w:val="0"/>
        </w:rPr>
        <w:lastRenderedPageBreak/>
        <w:t>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27" w:name="_Toc201732608"/>
      <w:bookmarkStart w:id="28" w:name="_Toc201732976"/>
      <w:bookmarkStart w:id="29" w:name="_Toc201738087"/>
      <w:r>
        <w:rPr>
          <w:rStyle w:val="CharSchNo"/>
        </w:rPr>
        <w:lastRenderedPageBreak/>
        <w:t>Third Schedule</w:t>
      </w:r>
      <w:r>
        <w:t> — </w:t>
      </w:r>
      <w:r>
        <w:rPr>
          <w:rStyle w:val="CharSchText"/>
        </w:rPr>
        <w:t>Prescribed offences and modified penalties</w:t>
      </w:r>
      <w:bookmarkEnd w:id="27"/>
      <w:bookmarkEnd w:id="28"/>
      <w:bookmarkEnd w:id="29"/>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nHeading2"/>
      </w:pPr>
      <w:bookmarkStart w:id="30" w:name="_Toc201732609"/>
      <w:bookmarkStart w:id="31" w:name="_Toc201732977"/>
      <w:bookmarkStart w:id="32" w:name="_Toc201738088"/>
      <w:r>
        <w:lastRenderedPageBreak/>
        <w:t>Notes</w:t>
      </w:r>
      <w:bookmarkEnd w:id="30"/>
      <w:bookmarkEnd w:id="31"/>
      <w:bookmarkEnd w:id="32"/>
    </w:p>
    <w:p>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 </w:t>
      </w:r>
    </w:p>
    <w:p>
      <w:pPr>
        <w:pStyle w:val="nHeading3"/>
      </w:pPr>
      <w:bookmarkStart w:id="33" w:name="_Toc201738089"/>
      <w:r>
        <w:t>Compilation table</w:t>
      </w:r>
      <w:bookmarkEnd w:id="33"/>
    </w:p>
    <w:tbl>
      <w:tblPr>
        <w:tblW w:w="711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1"/>
      </w:tblGrid>
      <w:tr>
        <w:trPr>
          <w:gridAfter w:val="1"/>
          <w:wAfter w:w="31"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3"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3" w:type="dxa"/>
          </w:tcPr>
          <w:p>
            <w:pPr>
              <w:pStyle w:val="nTable"/>
              <w:spacing w:before="50" w:after="50"/>
            </w:pPr>
            <w:r>
              <w:t>12 Oct 1965</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3" w:type="dxa"/>
          </w:tcPr>
          <w:p>
            <w:pPr>
              <w:pStyle w:val="nTable"/>
              <w:spacing w:before="50" w:after="50"/>
            </w:pPr>
            <w:r>
              <w:t>6 Jan 1966</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3" w:type="dxa"/>
          </w:tcPr>
          <w:p>
            <w:pPr>
              <w:pStyle w:val="nTable"/>
              <w:spacing w:before="50" w:after="50"/>
            </w:pPr>
            <w:r>
              <w:t>1 Oct 1975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3" w:type="dxa"/>
          </w:tcPr>
          <w:p>
            <w:pPr>
              <w:pStyle w:val="nTable"/>
              <w:spacing w:before="50" w:after="50"/>
            </w:pPr>
            <w:r>
              <w:t>1 Nov 1983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3" w:type="dxa"/>
          </w:tcPr>
          <w:p>
            <w:pPr>
              <w:pStyle w:val="nTable"/>
              <w:spacing w:before="50" w:after="50"/>
            </w:pPr>
            <w:r>
              <w:t>1 Sep 1986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3" w:type="dxa"/>
          </w:tcPr>
          <w:p>
            <w:pPr>
              <w:pStyle w:val="nTable"/>
              <w:spacing w:before="50" w:after="50"/>
            </w:pPr>
            <w:r>
              <w:t>12 Aug 1988</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3" w:type="dxa"/>
          </w:tcPr>
          <w:p>
            <w:pPr>
              <w:pStyle w:val="nTable"/>
              <w:spacing w:before="50" w:after="50"/>
            </w:pPr>
            <w:r>
              <w:t>1 Jul 1989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3" w:type="dxa"/>
          </w:tcPr>
          <w:p>
            <w:pPr>
              <w:pStyle w:val="nTable"/>
              <w:spacing w:before="50" w:after="50"/>
            </w:pPr>
            <w:r>
              <w:t>1 Aug 1990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3" w:type="dxa"/>
          </w:tcPr>
          <w:p>
            <w:pPr>
              <w:pStyle w:val="nTable"/>
              <w:spacing w:before="50" w:after="50"/>
            </w:pPr>
            <w:r>
              <w:t>13 Dec 1991</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3" w:type="dxa"/>
          </w:tcPr>
          <w:p>
            <w:pPr>
              <w:pStyle w:val="nTable"/>
              <w:spacing w:before="50" w:after="50"/>
            </w:pPr>
            <w:r>
              <w:t>14 Aug 1992</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3" w:type="dxa"/>
          </w:tcPr>
          <w:p>
            <w:pPr>
              <w:pStyle w:val="nTable"/>
              <w:spacing w:before="50" w:after="5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keepNext/>
              <w:spacing w:before="50" w:after="50"/>
              <w:ind w:right="113"/>
              <w:rPr>
                <w:i/>
              </w:rPr>
            </w:pPr>
            <w:r>
              <w:rPr>
                <w:i/>
              </w:rPr>
              <w:lastRenderedPageBreak/>
              <w:t>Debt Collectors Licensing Amendment Regulations (No. 2) 2006</w:t>
            </w:r>
          </w:p>
        </w:tc>
        <w:tc>
          <w:tcPr>
            <w:tcW w:w="1276" w:type="dxa"/>
          </w:tcPr>
          <w:p>
            <w:pPr>
              <w:pStyle w:val="nTable"/>
              <w:keepNext/>
              <w:spacing w:before="50" w:after="50"/>
            </w:pPr>
            <w:r>
              <w:t>27 Jun 2006 p. 2254</w:t>
            </w:r>
          </w:p>
        </w:tc>
        <w:tc>
          <w:tcPr>
            <w:tcW w:w="2693" w:type="dxa"/>
          </w:tcPr>
          <w:p>
            <w:pPr>
              <w:pStyle w:val="nTable"/>
              <w:keepNext/>
              <w:spacing w:before="50" w:after="50"/>
              <w:rPr>
                <w:u w:val="words"/>
              </w:rPr>
            </w:pPr>
            <w:r>
              <w:t>1 Jul 2006 (see r. 2)</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3" w:type="dxa"/>
          </w:tcPr>
          <w:p>
            <w:pPr>
              <w:pStyle w:val="nTable"/>
              <w:spacing w:before="50" w:after="50"/>
            </w:pPr>
            <w:r>
              <w:t>22 Sep 2006 (see r. 2(a))</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3" w:type="dxa"/>
          </w:tcPr>
          <w:p>
            <w:pPr>
              <w:pStyle w:val="nTable"/>
              <w:spacing w:before="50" w:after="50"/>
            </w:pPr>
            <w:r>
              <w:t>12 Jan 2007</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3" w:type="dxa"/>
          </w:tcPr>
          <w:p>
            <w:pPr>
              <w:pStyle w:val="nTable"/>
              <w:spacing w:before="50" w:after="50"/>
            </w:pPr>
            <w:r>
              <w:t>r. 1 and 2: 15 Jun 2007 (see r. 2(a));</w:t>
            </w:r>
            <w:r>
              <w:br/>
              <w:t>Regulations other than r. 1 and 2: 1 Jul 2007 (see r. 2(b)(i))</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3" w:type="dxa"/>
          </w:tcPr>
          <w:p>
            <w:pPr>
              <w:pStyle w:val="nTable"/>
              <w:spacing w:before="50" w:after="5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3" w:type="dxa"/>
          </w:tcPr>
          <w:p>
            <w:pPr>
              <w:pStyle w:val="nTable"/>
              <w:spacing w:before="50" w:after="5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3" w:type="dxa"/>
          </w:tcPr>
          <w:p>
            <w:pPr>
              <w:pStyle w:val="nTable"/>
              <w:spacing w:before="50" w:after="50"/>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3"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3"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3"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lastRenderedPageBreak/>
              <w:t>Debt Collectors Licensing Amendment Regulations 2013</w:t>
            </w:r>
          </w:p>
        </w:tc>
        <w:tc>
          <w:tcPr>
            <w:tcW w:w="1276" w:type="dxa"/>
            <w:shd w:val="clear" w:color="auto" w:fill="auto"/>
          </w:tcPr>
          <w:p>
            <w:pPr>
              <w:pStyle w:val="nTable"/>
              <w:spacing w:before="50" w:after="50"/>
            </w:pPr>
            <w:r>
              <w:t>20 Aug 2013 p. 3828</w:t>
            </w:r>
          </w:p>
        </w:tc>
        <w:tc>
          <w:tcPr>
            <w:tcW w:w="2693"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gridAfter w:val="1"/>
          <w:wAfter w:w="31" w:type="dxa"/>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2014</w:t>
            </w:r>
          </w:p>
        </w:tc>
        <w:tc>
          <w:tcPr>
            <w:tcW w:w="1276" w:type="dxa"/>
            <w:shd w:val="clear" w:color="auto" w:fill="auto"/>
          </w:tcPr>
          <w:p>
            <w:pPr>
              <w:pStyle w:val="nTable"/>
              <w:spacing w:before="50" w:after="50"/>
            </w:pPr>
            <w:r>
              <w:t>17 Jun 2014 p. 1962</w:t>
            </w:r>
            <w:r>
              <w:noBreakHyphen/>
              <w:t>3</w:t>
            </w:r>
          </w:p>
        </w:tc>
        <w:tc>
          <w:tcPr>
            <w:tcW w:w="2693" w:type="dxa"/>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1" w:type="dxa"/>
          <w:cantSplit/>
        </w:trPr>
        <w:tc>
          <w:tcPr>
            <w:tcW w:w="3119" w:type="dxa"/>
            <w:shd w:val="clear" w:color="auto" w:fill="auto"/>
          </w:tcPr>
          <w:p>
            <w:pPr>
              <w:pStyle w:val="nTable"/>
              <w:spacing w:before="50" w:after="50"/>
              <w:ind w:right="113"/>
              <w:rPr>
                <w:i/>
              </w:rPr>
            </w:pPr>
            <w:r>
              <w:rPr>
                <w:i/>
              </w:rPr>
              <w:t>Debt Collectors Licensing Amendment Regulations 2015</w:t>
            </w:r>
          </w:p>
        </w:tc>
        <w:tc>
          <w:tcPr>
            <w:tcW w:w="1276" w:type="dxa"/>
            <w:shd w:val="clear" w:color="auto" w:fill="auto"/>
          </w:tcPr>
          <w:p>
            <w:pPr>
              <w:pStyle w:val="nTable"/>
              <w:spacing w:before="50" w:after="50"/>
            </w:pPr>
            <w:r>
              <w:t>23 Jun 2015 p. 2170</w:t>
            </w:r>
            <w:r>
              <w:noBreakHyphen/>
              <w:t>1</w:t>
            </w:r>
          </w:p>
        </w:tc>
        <w:tc>
          <w:tcPr>
            <w:tcW w:w="2693" w:type="dxa"/>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gridAfter w:val="1"/>
          <w:wAfter w:w="31" w:type="dxa"/>
        </w:trPr>
        <w:tc>
          <w:tcPr>
            <w:tcW w:w="3119"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noProof/>
                <w:snapToGrid w:val="0"/>
              </w:rPr>
            </w:pPr>
            <w:r>
              <w:rPr>
                <w:i/>
              </w:rPr>
              <w:t xml:space="preserve">Commerce Regulations Amendment (Fees and Charges) Regulations 2017 </w:t>
            </w:r>
            <w:r>
              <w:t>Pt. 9</w:t>
            </w:r>
          </w:p>
        </w:tc>
        <w:tc>
          <w:tcPr>
            <w:tcW w:w="1276" w:type="dxa"/>
          </w:tcPr>
          <w:p>
            <w:pPr>
              <w:pStyle w:val="nTable"/>
              <w:spacing w:after="40"/>
            </w:pPr>
            <w:r>
              <w:t>23 Jun 2017 p. 3213</w:t>
            </w:r>
            <w:r>
              <w:noBreakHyphen/>
              <w:t>52</w:t>
            </w:r>
          </w:p>
        </w:tc>
        <w:tc>
          <w:tcPr>
            <w:tcW w:w="2724" w:type="dxa"/>
            <w:gridSpan w:val="2"/>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Licensing Provisions Regulations Amendment Regulations 2017</w:t>
            </w:r>
            <w:r>
              <w:t xml:space="preserve"> Pt. 3</w:t>
            </w:r>
          </w:p>
        </w:tc>
        <w:tc>
          <w:tcPr>
            <w:tcW w:w="1276" w:type="dxa"/>
          </w:tcPr>
          <w:p>
            <w:pPr>
              <w:pStyle w:val="nTable"/>
              <w:spacing w:after="40"/>
            </w:pPr>
            <w:r>
              <w:t>27 Jun 2017 p. 3408</w:t>
            </w:r>
            <w:r>
              <w:noBreakHyphen/>
              <w:t>16</w:t>
            </w:r>
          </w:p>
        </w:tc>
        <w:tc>
          <w:tcPr>
            <w:tcW w:w="2724" w:type="dxa"/>
            <w:gridSpan w:val="2"/>
          </w:tcPr>
          <w:p>
            <w:pPr>
              <w:pStyle w:val="nTable"/>
              <w:spacing w:after="40"/>
            </w:pPr>
            <w:r>
              <w:t>1 Jul 2017 (see r. 2(b))</w:t>
            </w:r>
          </w:p>
        </w:tc>
      </w:tr>
      <w:tr>
        <w:trPr>
          <w:gridAfter w:val="1"/>
          <w:wAfter w:w="31" w:type="dxa"/>
        </w:trP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gridAfter w:val="1"/>
          <w:wAfter w:w="31" w:type="dxa"/>
        </w:trPr>
        <w:tc>
          <w:tcPr>
            <w:tcW w:w="3119" w:type="dxa"/>
            <w:tcBorders>
              <w:top w:val="nil"/>
              <w:bottom w:val="nil"/>
            </w:tcBorders>
          </w:tcPr>
          <w:p>
            <w:pPr>
              <w:pStyle w:val="nTable"/>
              <w:spacing w:after="40"/>
            </w:pPr>
            <w:r>
              <w:rPr>
                <w:i/>
              </w:rPr>
              <w:t xml:space="preserve">Commerce and Industrial Relations Regulations Amendment (Administration) Regulations 2018 </w:t>
            </w:r>
            <w:r>
              <w:t>Pt. 2</w:t>
            </w:r>
          </w:p>
        </w:tc>
        <w:tc>
          <w:tcPr>
            <w:tcW w:w="1276" w:type="dxa"/>
            <w:tcBorders>
              <w:top w:val="nil"/>
              <w:bottom w:val="nil"/>
            </w:tcBorders>
          </w:tcPr>
          <w:p>
            <w:pPr>
              <w:pStyle w:val="nTable"/>
              <w:spacing w:after="40"/>
            </w:pPr>
            <w:r>
              <w:t>2 Oct 2018 p. 3794</w:t>
            </w:r>
            <w:r>
              <w:noBreakHyphen/>
              <w:t>6</w:t>
            </w:r>
          </w:p>
        </w:tc>
        <w:tc>
          <w:tcPr>
            <w:tcW w:w="2693" w:type="dxa"/>
            <w:tcBorders>
              <w:top w:val="nil"/>
              <w:bottom w:val="nil"/>
            </w:tcBorders>
          </w:tcPr>
          <w:p>
            <w:pPr>
              <w:pStyle w:val="nTable"/>
              <w:spacing w:after="40"/>
              <w:rPr>
                <w:bCs/>
                <w:snapToGrid w:val="0"/>
                <w:spacing w:val="-2"/>
              </w:rPr>
            </w:pPr>
            <w:r>
              <w:rPr>
                <w:bCs/>
                <w:snapToGrid w:val="0"/>
                <w:spacing w:val="-2"/>
              </w:rPr>
              <w:t>3 Oct 2018 (see r. 2(b))</w:t>
            </w:r>
          </w:p>
        </w:tc>
      </w:tr>
      <w:tr>
        <w:trPr>
          <w:gridAfter w:val="1"/>
          <w:wAfter w:w="31" w:type="dxa"/>
        </w:trPr>
        <w:tc>
          <w:tcPr>
            <w:tcW w:w="3119" w:type="dxa"/>
            <w:tcBorders>
              <w:top w:val="nil"/>
              <w:bottom w:val="nil"/>
            </w:tcBorders>
          </w:tcPr>
          <w:p>
            <w:pPr>
              <w:pStyle w:val="nTable"/>
              <w:spacing w:after="40"/>
              <w:rPr>
                <w:i/>
              </w:rPr>
            </w:pPr>
            <w:r>
              <w:rPr>
                <w:i/>
              </w:rPr>
              <w:t xml:space="preserve">Commerce Regulations Amendment (Fees and Charges) Regulations 2019 </w:t>
            </w:r>
            <w:r>
              <w:t>Pt. 8</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gridAfter w:val="1"/>
          <w:wAfter w:w="31" w:type="dxa"/>
        </w:trPr>
        <w:tc>
          <w:tcPr>
            <w:tcW w:w="3119" w:type="dxa"/>
            <w:tcBorders>
              <w:top w:val="nil"/>
              <w:bottom w:val="nil"/>
            </w:tcBorders>
          </w:tcPr>
          <w:p>
            <w:pPr>
              <w:pStyle w:val="nTable"/>
              <w:spacing w:after="40"/>
              <w:rPr>
                <w:i/>
              </w:rPr>
            </w:pPr>
            <w:r>
              <w:rPr>
                <w:i/>
              </w:rPr>
              <w:t>Debt Collectors Licensing Amendment Regulations 2019</w:t>
            </w:r>
          </w:p>
        </w:tc>
        <w:tc>
          <w:tcPr>
            <w:tcW w:w="1276" w:type="dxa"/>
            <w:tcBorders>
              <w:top w:val="nil"/>
              <w:bottom w:val="nil"/>
            </w:tcBorders>
          </w:tcPr>
          <w:p>
            <w:pPr>
              <w:pStyle w:val="nTable"/>
              <w:spacing w:after="40"/>
            </w:pPr>
            <w:r>
              <w:t>25 Jun 2019 p. 2191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 Jun 2019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(Infringement Notices) Regulations 2020</w:t>
            </w:r>
            <w:r>
              <w:t xml:space="preserve"> Pt. 10</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spacing w:val="-2"/>
              </w:rPr>
            </w:pPr>
            <w:r>
              <w:t>29 Sep 2020 (see r. 2(b) and SL 2020/159 cl. 2(a))</w:t>
            </w:r>
          </w:p>
        </w:tc>
      </w:tr>
      <w:tr>
        <w:trPr>
          <w:gridAfter w:val="1"/>
          <w:wAfter w:w="31" w:type="dxa"/>
        </w:trPr>
        <w:tc>
          <w:tcPr>
            <w:tcW w:w="3119" w:type="dxa"/>
            <w:tcBorders>
              <w:top w:val="nil"/>
              <w:bottom w:val="nil"/>
            </w:tcBorders>
          </w:tcPr>
          <w:p>
            <w:pPr>
              <w:pStyle w:val="nTable"/>
              <w:spacing w:after="40"/>
              <w:rPr>
                <w:i/>
              </w:rPr>
            </w:pPr>
            <w:r>
              <w:rPr>
                <w:i/>
              </w:rPr>
              <w:lastRenderedPageBreak/>
              <w:t>Commerce Regulations Amendment (COVID-19 Response) Regulations (No. 2) 2020</w:t>
            </w:r>
            <w:r>
              <w:t xml:space="preserve"> Pt. 7</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2021</w:t>
            </w:r>
            <w:r>
              <w:t xml:space="preserve"> Pt. 9</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2022</w:t>
            </w:r>
            <w:r>
              <w:t xml:space="preserve"> Pt. 7</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gridAfter w:val="1"/>
          <w:wAfter w:w="31" w:type="dxa"/>
        </w:trPr>
        <w:tc>
          <w:tcPr>
            <w:tcW w:w="3119" w:type="dxa"/>
            <w:tcBorders>
              <w:top w:val="nil"/>
              <w:bottom w:val="nil"/>
            </w:tcBorders>
          </w:tcPr>
          <w:p>
            <w:pPr>
              <w:pStyle w:val="nTable"/>
              <w:spacing w:after="40"/>
              <w:rPr>
                <w:i/>
              </w:rPr>
            </w:pPr>
            <w:r>
              <w:rPr>
                <w:i/>
              </w:rPr>
              <w:t>Commerce Regulations Amendment (Fees and Charges) Regulations 2023</w:t>
            </w:r>
            <w:r>
              <w:t xml:space="preserve"> Pt. 7</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rPr>
          <w:gridAfter w:val="1"/>
          <w:wAfter w:w="31" w:type="dxa"/>
        </w:trPr>
        <w:tc>
          <w:tcPr>
            <w:tcW w:w="3119" w:type="dxa"/>
            <w:tcBorders>
              <w:top w:val="nil"/>
              <w:bottom w:val="nil"/>
            </w:tcBorders>
          </w:tcPr>
          <w:p>
            <w:pPr>
              <w:pStyle w:val="nTable"/>
              <w:spacing w:after="40"/>
              <w:rPr>
                <w:i/>
              </w:rPr>
            </w:pPr>
            <w:r>
              <w:rPr>
                <w:i/>
              </w:rPr>
              <w:t xml:space="preserve">Commerce Regulations Amendment (Fees and Charges) Regulations 2024 </w:t>
            </w:r>
            <w:r>
              <w:rPr>
                <w:iCs/>
              </w:rPr>
              <w:t>Pt. 6</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r>
        <w:trPr>
          <w:gridAfter w:val="1"/>
          <w:wAfter w:w="31" w:type="dxa"/>
        </w:trPr>
        <w:tc>
          <w:tcPr>
            <w:tcW w:w="3119" w:type="dxa"/>
            <w:tcBorders>
              <w:top w:val="nil"/>
              <w:bottom w:val="single" w:sz="4" w:space="0" w:color="auto"/>
            </w:tcBorders>
          </w:tcPr>
          <w:p>
            <w:pPr>
              <w:pStyle w:val="nTable"/>
              <w:spacing w:after="40"/>
              <w:rPr>
                <w:i/>
              </w:rPr>
            </w:pPr>
            <w:r>
              <w:rPr>
                <w:i/>
              </w:rPr>
              <w:t>Commerce Regulations Amendment (Fees and Charges) Regulations 2025</w:t>
            </w:r>
            <w:r>
              <w:rPr>
                <w:iCs/>
              </w:rPr>
              <w:t xml:space="preserve"> Pt. 7</w:t>
            </w:r>
          </w:p>
        </w:tc>
        <w:tc>
          <w:tcPr>
            <w:tcW w:w="1276" w:type="dxa"/>
            <w:tcBorders>
              <w:top w:val="nil"/>
              <w:bottom w:val="single" w:sz="4" w:space="0" w:color="auto"/>
            </w:tcBorders>
          </w:tcPr>
          <w:p>
            <w:pPr>
              <w:pStyle w:val="nTable"/>
              <w:spacing w:after="40"/>
            </w:pPr>
            <w:r>
              <w:t>SL 2025/89 11 Jun 2025</w:t>
            </w:r>
          </w:p>
        </w:tc>
        <w:tc>
          <w:tcPr>
            <w:tcW w:w="2693" w:type="dxa"/>
            <w:tcBorders>
              <w:top w:val="nil"/>
              <w:bottom w:val="single" w:sz="4" w:space="0" w:color="auto"/>
            </w:tcBorders>
          </w:tcPr>
          <w:p>
            <w:pPr>
              <w:pStyle w:val="nTable"/>
              <w:spacing w:after="40"/>
            </w:pPr>
            <w:r>
              <w:t>1 Jul 2025 (see r. 2(b))</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35" w:name="_Toc201732612"/>
      <w:bookmarkStart w:id="36" w:name="_Toc201732979"/>
      <w:bookmarkStart w:id="37" w:name="_Toc201738090"/>
      <w:r>
        <w:rPr>
          <w:sz w:val="28"/>
        </w:rPr>
        <w:lastRenderedPageBreak/>
        <w:t>Defined terms</w:t>
      </w:r>
      <w:bookmarkEnd w:id="35"/>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pPr>
      <w:r>
        <w:t>surrendered licence</w:t>
      </w:r>
      <w:r>
        <w:tab/>
        <w:t>9A(1)</w:t>
      </w:r>
    </w:p>
    <w:p>
      <w:pPr>
        <w:pStyle w:val="DefinedTerms"/>
      </w:pPr>
      <w:r>
        <w:t>transition period</w:t>
      </w:r>
      <w:r>
        <w:tab/>
        <w:t>6A(1)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B14CE7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E1F8313" w14:textId="4E2B4ABA" w:rsidR="00740061" w:rsidRDefault="0093063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4025D">
                        <w:rPr>
                          <w:sz w:val="16"/>
                        </w:rPr>
                        <w:t>2025</w:t>
                      </w:r>
                      <w:r>
                        <w:rPr>
                          <w:sz w:val="16"/>
                        </w:rPr>
                        <w:fldChar w:fldCharType="end"/>
                      </w:r>
                      <w:r>
                        <w:rPr>
                          <w:sz w:val="16"/>
                        </w:rPr>
                        <w:t>.</w:t>
                      </w:r>
                    </w:p>
                    <w:p w14:paraId="09F44C84" w14:textId="77777777" w:rsidR="00740061" w:rsidRDefault="0093063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282AE8" w14:textId="42686D45" w:rsidR="00740061" w:rsidRDefault="0093063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4025D">
                        <w:rPr>
                          <w:sz w:val="16"/>
                        </w:rPr>
                        <w:t>2025</w:t>
                      </w:r>
                      <w:r>
                        <w:rPr>
                          <w:sz w:val="16"/>
                        </w:rPr>
                        <w:fldChar w:fldCharType="end"/>
                      </w:r>
                      <w:r>
                        <w:rPr>
                          <w:sz w:val="16"/>
                        </w:rPr>
                        <w:t>.</w:t>
                      </w:r>
                    </w:p>
                    <w:p w14:paraId="2C030702" w14:textId="77777777" w:rsidR="00740061" w:rsidRDefault="0093063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rPr>
        <w:jc w:val="center"/>
      </w:trP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8" w:name="DefinedTerms"/>
    <w:bookmarkEnd w:id="3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 w:name="Coversheet"/>
    <w:bookmarkEnd w:id="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2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082802"/>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 w:name="WAFER_20201019150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50924_GUID" w:val="2ed84e5b-f403-429d-af0f-549b70262765"/>
    <w:docVar w:name="WAFER_20210616092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2053_GUID" w:val="546bd19b-4bcd-4c49-87ca-468ac5967928"/>
    <w:docVar w:name="WAFER_20210623153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041_GUID" w:val="b81d1ded-f2d3-4458-a5d4-129df918d883"/>
    <w:docVar w:name="WAFER_2022051809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4837_GUID" w:val="08e66ea6-de58-4f63-a163-93f3005ce530"/>
    <w:docVar w:name="WAFER_202206221437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01_GUID" w:val="09d5c885-f922-402a-860b-dffb607a8fd6"/>
    <w:docVar w:name="WAFER_20230502122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45_GUID" w:val="758cee36-e4fb-43fd-8f8c-a42a2e502f23"/>
    <w:docVar w:name="WAFER_2023062611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53_GUID" w:val="95ff14c4-f2d1-4f96-9401-199fbdbd8834"/>
    <w:docVar w:name="WAFER_2023122809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094143_GUID" w:val="05b1eb69-9157-4228-8870-b635448ce2e8"/>
    <w:docVar w:name="WAFER_2024060615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24_GUID" w:val="47da8955-5994-491b-85bb-5d1bcc21b625"/>
    <w:docVar w:name="WAFER_20240625092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246_GUID" w:val="e031088d-70e8-419c-8c50-3f93e479a656"/>
    <w:docVar w:name="WAFER_20250605155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5121_GUID" w:val="8f35be79-ab9a-4e5d-ab1a-7e612d0eb40a"/>
    <w:docVar w:name="WAFER_202506250828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82802_GUID" w:val="02e395cb-2cde-421c-89a6-397e8db52f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2513"/>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4920</Words>
  <Characters>23964</Characters>
  <Application>Microsoft Office Word</Application>
  <DocSecurity>0</DocSecurity>
  <Lines>887</Lines>
  <Paragraphs>515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1964 - 05-w0-00</dc:title>
  <dc:subject/>
  <dc:creator/>
  <cp:keywords/>
  <dc:description/>
  <cp:lastModifiedBy>Master Repository Process</cp:lastModifiedBy>
  <cp:revision>4</cp:revision>
  <cp:lastPrinted>2019-06-24T06:19:00Z</cp:lastPrinted>
  <dcterms:created xsi:type="dcterms:W3CDTF">2025-06-27T03:29:00Z</dcterms:created>
  <dcterms:modified xsi:type="dcterms:W3CDTF">2025-06-27T03:29:00Z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AsAtDate">
    <vt:lpwstr>01 Jul 2025</vt:lpwstr>
  </property>
  <property fmtid="{D5CDD505-2E9C-101B-9397-08002B2CF9AE}" pid="8" name="Suffix">
    <vt:lpwstr>05-w0-00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