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_Toc201328939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_Toc201328940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_Toc201328941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_Toc201328942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_Toc201328943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_Toc201328944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_Toc201328945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_Toc201328946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_Toc201328947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_Toc201328948 \h </w:instrText>
      </w:r>
      <w:r>
        <w:fldChar w:fldCharType="separate"/>
      </w:r>
      <w:r>
        <w:t>9</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_Toc201328949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_Toc201328950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_Toc201328951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_Toc201328952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_Toc201328953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_Toc201328954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_Toc201328955 \h </w:instrText>
      </w:r>
      <w:r>
        <w:fldChar w:fldCharType="separate"/>
      </w:r>
      <w:r>
        <w:t>16</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_Toc201328956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 Division fees</w:t>
      </w:r>
    </w:p>
    <w:p>
      <w:pPr>
        <w:pStyle w:val="TOC4"/>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_Toc201328964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2" w:name="_Toc201328939"/>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201328940"/>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2002</w:t>
      </w:r>
      <w:r>
        <w:t>.</w:t>
      </w:r>
    </w:p>
    <w:p>
      <w:pPr>
        <w:pStyle w:val="Heading5"/>
      </w:pPr>
      <w:bookmarkStart w:id="4" w:name="_Toc201328941"/>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5" w:name="_Toc201328942"/>
      <w:r>
        <w:rPr>
          <w:rStyle w:val="CharSectno"/>
        </w:rPr>
        <w:t>4</w:t>
      </w:r>
      <w:r>
        <w:t>.</w:t>
      </w:r>
      <w:r>
        <w:tab/>
        <w:t>General fees</w:t>
      </w:r>
      <w:bookmarkEnd w:id="5"/>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6" w:name="_Toc201328943"/>
      <w:r>
        <w:rPr>
          <w:rStyle w:val="CharSectno"/>
        </w:rPr>
        <w:t>4A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lastRenderedPageBreak/>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7" w:name="_Toc201328944"/>
      <w:r>
        <w:rPr>
          <w:rStyle w:val="CharSectno"/>
        </w:rPr>
        <w:t>5</w:t>
      </w:r>
      <w:r>
        <w:t>.</w:t>
      </w:r>
      <w:r>
        <w:tab/>
      </w:r>
      <w:r>
        <w:rPr>
          <w:snapToGrid w:val="0"/>
        </w:rPr>
        <w:t>Exemptions</w:t>
      </w:r>
      <w:bookmarkEnd w:id="7"/>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lastRenderedPageBreak/>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w:t>
      </w:r>
      <w:r>
        <w:rPr>
          <w:i/>
          <w:iCs/>
        </w:rPr>
        <w:t>2006</w:t>
      </w:r>
      <w:r>
        <w:t>; or</w:t>
      </w:r>
    </w:p>
    <w:p>
      <w:pPr>
        <w:pStyle w:val="Indenta"/>
      </w:pPr>
      <w:r>
        <w:tab/>
        <w:t>(k)</w:t>
      </w:r>
      <w:r>
        <w:tab/>
        <w:t xml:space="preserve">civil proceedings under the </w:t>
      </w:r>
      <w:r>
        <w:rPr>
          <w:i/>
          <w:iCs/>
        </w:rPr>
        <w:t>Criminal Law (Mental Impairment) Act 2023</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 SL 2024/174 r. 10.]</w:t>
      </w:r>
    </w:p>
    <w:p>
      <w:pPr>
        <w:pStyle w:val="Heading5"/>
      </w:pPr>
      <w:bookmarkStart w:id="8" w:name="_Toc201328945"/>
      <w:r>
        <w:rPr>
          <w:rStyle w:val="CharSectno"/>
        </w:rPr>
        <w:t>5A</w:t>
      </w:r>
      <w:r>
        <w:t>.</w:t>
      </w:r>
      <w:r>
        <w:tab/>
        <w:t>Disputes regarding fees</w:t>
      </w:r>
      <w:bookmarkEnd w:id="8"/>
    </w:p>
    <w:p>
      <w:pPr>
        <w:pStyle w:val="Subsection"/>
      </w:pPr>
      <w:r>
        <w:tab/>
        <w:t>(1)</w:t>
      </w:r>
      <w:r>
        <w:tab/>
        <w:t>An application for a determination under section 171(3) of the Act is to be in the form of Schedule 4 Form 3.</w:t>
      </w:r>
    </w:p>
    <w:p>
      <w:pPr>
        <w:pStyle w:val="Subsection"/>
      </w:pPr>
      <w:r>
        <w:lastRenderedPageBreak/>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9" w:name="_Toc201328946"/>
      <w:r>
        <w:rPr>
          <w:rStyle w:val="CharSectno"/>
        </w:rPr>
        <w:t>6</w:t>
      </w:r>
      <w:r>
        <w:t>.</w:t>
      </w:r>
      <w:r>
        <w:tab/>
      </w:r>
      <w:r>
        <w:rPr>
          <w:snapToGrid w:val="0"/>
        </w:rPr>
        <w:t>Fees to be paid before documents filed or other things done</w:t>
      </w:r>
      <w:bookmarkEnd w:id="9"/>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0" w:name="_Toc201328947"/>
      <w:r>
        <w:rPr>
          <w:rStyle w:val="CharSectno"/>
        </w:rPr>
        <w:t>7</w:t>
      </w:r>
      <w:r>
        <w:t>.</w:t>
      </w:r>
      <w:r>
        <w:tab/>
        <w:t>Who is an eligible individual or eligible entity</w:t>
      </w:r>
      <w:bookmarkEnd w:id="1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lastRenderedPageBreak/>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1" w:name="_Toc201328948"/>
      <w:r>
        <w:rPr>
          <w:rStyle w:val="CharSectno"/>
        </w:rPr>
        <w:lastRenderedPageBreak/>
        <w:t>8</w:t>
      </w:r>
      <w:r>
        <w:t>.</w:t>
      </w:r>
      <w:r>
        <w:tab/>
        <w:t>Application to be recognised as eligible individual or eligible entity</w:t>
      </w:r>
      <w:bookmarkEnd w:id="11"/>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2" w:name="_Toc201328949"/>
      <w:r>
        <w:rPr>
          <w:rStyle w:val="CharSectno"/>
        </w:rPr>
        <w:t>8A</w:t>
      </w:r>
      <w:r>
        <w:t>.</w:t>
      </w:r>
      <w:r>
        <w:tab/>
        <w:t>Recognition as eligible individual or eligible entity</w:t>
      </w:r>
      <w:bookmarkEnd w:id="1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w:t>
      </w:r>
      <w:r>
        <w:lastRenderedPageBreak/>
        <w:t xml:space="preserve">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3" w:name="_Toc201328950"/>
      <w:r>
        <w:rPr>
          <w:rStyle w:val="CharSectno"/>
        </w:rPr>
        <w:t>8B</w:t>
      </w:r>
      <w:r>
        <w:t>.</w:t>
      </w:r>
      <w:r>
        <w:tab/>
        <w:t>False or misleading statements</w:t>
      </w:r>
      <w:bookmarkEnd w:id="13"/>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lastRenderedPageBreak/>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4" w:name="_Toc201328951"/>
      <w:r>
        <w:rPr>
          <w:rStyle w:val="CharSectno"/>
        </w:rPr>
        <w:t>8C</w:t>
      </w:r>
      <w:r>
        <w:t>.</w:t>
      </w:r>
      <w:r>
        <w:tab/>
        <w:t>Refunds</w:t>
      </w:r>
      <w:bookmarkEnd w:id="14"/>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5" w:name="_Toc201328952"/>
      <w:r>
        <w:rPr>
          <w:rStyle w:val="CharSectno"/>
        </w:rPr>
        <w:t>8D</w:t>
      </w:r>
      <w:r>
        <w:t>.</w:t>
      </w:r>
      <w:r>
        <w:tab/>
        <w:t>Waiving fee for copy of document or transcript</w:t>
      </w:r>
      <w:bookmarkEnd w:id="15"/>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16" w:name="_Toc201328953"/>
      <w:r>
        <w:rPr>
          <w:rStyle w:val="CharSectno"/>
        </w:rPr>
        <w:t>9</w:t>
      </w:r>
      <w:r>
        <w:t>.</w:t>
      </w:r>
      <w:r>
        <w:tab/>
        <w:t>Allocation of hearing date — Schedule 1 Division 1 item 5</w:t>
      </w:r>
      <w:bookmarkEnd w:id="16"/>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lastRenderedPageBreak/>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Next/>
      </w:pPr>
      <w:r>
        <w:tab/>
        <w:t>(10)</w:t>
      </w:r>
      <w:r>
        <w:tab/>
        <w:t xml:space="preserve">If the hearing is adjourned after it has commenced and the Court or registrar is satisfied the reason for the adjournment is beyond the control of the parties, the fee paid in respect of dates after </w:t>
      </w:r>
      <w:r>
        <w:lastRenderedPageBreak/>
        <w:t>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7" w:name="_Toc201328954"/>
      <w:r>
        <w:rPr>
          <w:rStyle w:val="CharSectno"/>
        </w:rPr>
        <w:t>9A</w:t>
      </w:r>
      <w:r>
        <w:t>.</w:t>
      </w:r>
      <w:r>
        <w:tab/>
        <w:t>Court of Appeal allocation of hearing date — Schedule 1 Division 2 item 6</w:t>
      </w:r>
      <w:bookmarkEnd w:id="17"/>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lastRenderedPageBreak/>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8" w:name="_Toc201328955"/>
      <w:r>
        <w:rPr>
          <w:rStyle w:val="CharSectno"/>
        </w:rPr>
        <w:lastRenderedPageBreak/>
        <w:t>10</w:t>
      </w:r>
      <w:r>
        <w:t>.</w:t>
      </w:r>
      <w:r>
        <w:tab/>
        <w:t>Schedule 1 Division 1 item 6 or Division 2 item 7 fee</w:t>
      </w:r>
      <w:bookmarkEnd w:id="18"/>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19" w:name="_Toc201328956"/>
      <w:r>
        <w:rPr>
          <w:rStyle w:val="CharSectno"/>
        </w:rPr>
        <w:t>11</w:t>
      </w:r>
      <w:r>
        <w:t>.</w:t>
      </w:r>
      <w:r>
        <w:tab/>
        <w:t>Recovery of unpaid fees</w:t>
      </w:r>
      <w:bookmarkEnd w:id="19"/>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 w:name="_Toc201313729"/>
      <w:bookmarkStart w:id="21" w:name="_Toc201328957"/>
      <w:bookmarkStart w:id="22" w:name="_Toc201239184"/>
      <w:bookmarkStart w:id="23" w:name="_Toc201239261"/>
      <w:bookmarkStart w:id="24" w:name="_Toc201239532"/>
      <w:r>
        <w:rPr>
          <w:rStyle w:val="CharSchNo"/>
        </w:rPr>
        <w:lastRenderedPageBreak/>
        <w:t>Schedule 1</w:t>
      </w:r>
      <w:r>
        <w:t> —</w:t>
      </w:r>
      <w:r>
        <w:rPr>
          <w:rStyle w:val="CharSchText"/>
        </w:rPr>
        <w:t> Fees</w:t>
      </w:r>
      <w:bookmarkEnd w:id="20"/>
      <w:bookmarkEnd w:id="21"/>
    </w:p>
    <w:p>
      <w:pPr>
        <w:pStyle w:val="yShoulderClause"/>
      </w:pPr>
      <w:r>
        <w:t>[r. 4]</w:t>
      </w:r>
    </w:p>
    <w:p>
      <w:pPr>
        <w:pStyle w:val="yFootnoteheading"/>
      </w:pPr>
      <w:r>
        <w:tab/>
        <w:t>[Heading inserted: SL 2025/111 r. 28.]</w:t>
      </w:r>
    </w:p>
    <w:p>
      <w:pPr>
        <w:pStyle w:val="yHeading3"/>
      </w:pPr>
      <w:bookmarkStart w:id="25" w:name="_Toc201313730"/>
      <w:bookmarkStart w:id="26" w:name="_Toc201328958"/>
      <w:r>
        <w:rPr>
          <w:rStyle w:val="CharSDivNo"/>
        </w:rPr>
        <w:t>Division 1</w:t>
      </w:r>
      <w:r>
        <w:t> —</w:t>
      </w:r>
      <w:r>
        <w:rPr>
          <w:rStyle w:val="CharSDivText"/>
        </w:rPr>
        <w:t> General Division fees</w:t>
      </w:r>
      <w:bookmarkEnd w:id="25"/>
      <w:bookmarkEnd w:id="26"/>
    </w:p>
    <w:p>
      <w:pPr>
        <w:pStyle w:val="yFootnoteheading"/>
        <w:spacing w:after="60"/>
      </w:pPr>
      <w:r>
        <w:tab/>
        <w:t>[Heading inserted: SL 2025/111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1 960.00</w:t>
            </w:r>
          </w:p>
        </w:tc>
        <w:tc>
          <w:tcPr>
            <w:tcW w:w="1276" w:type="dxa"/>
            <w:tcBorders>
              <w:top w:val="single" w:sz="4" w:space="0" w:color="auto"/>
              <w:left w:val="nil"/>
              <w:bottom w:val="nil"/>
              <w:right w:val="nil"/>
            </w:tcBorders>
            <w:noWrap/>
            <w:vAlign w:val="bottom"/>
          </w:tcPr>
          <w:p>
            <w:pPr>
              <w:pStyle w:val="yTableNAm"/>
              <w:ind w:right="172"/>
              <w:jc w:val="right"/>
            </w:pPr>
            <w:r>
              <w:t>3 820.00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1 960.00</w:t>
            </w:r>
          </w:p>
        </w:tc>
        <w:tc>
          <w:tcPr>
            <w:tcW w:w="1276" w:type="dxa"/>
            <w:tcBorders>
              <w:top w:val="nil"/>
              <w:left w:val="nil"/>
              <w:bottom w:val="nil"/>
              <w:right w:val="nil"/>
            </w:tcBorders>
            <w:noWrap/>
            <w:vAlign w:val="bottom"/>
          </w:tcPr>
          <w:p>
            <w:pPr>
              <w:pStyle w:val="yTableNAm"/>
              <w:ind w:right="172"/>
              <w:jc w:val="right"/>
            </w:pPr>
            <w:r>
              <w:t>3 820.00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ind w:left="459" w:hanging="459"/>
            </w:pPr>
            <w:r>
              <w:t>(a)</w:t>
            </w:r>
            <w:r>
              <w:tab/>
              <w:t xml:space="preserve">a counterclaim </w:t>
            </w:r>
          </w:p>
        </w:tc>
        <w:tc>
          <w:tcPr>
            <w:tcW w:w="1275" w:type="dxa"/>
            <w:tcBorders>
              <w:top w:val="nil"/>
              <w:left w:val="nil"/>
              <w:bottom w:val="nil"/>
              <w:right w:val="nil"/>
            </w:tcBorders>
            <w:noWrap/>
            <w:vAlign w:val="bottom"/>
          </w:tcPr>
          <w:p>
            <w:pPr>
              <w:pStyle w:val="yTableNAm"/>
              <w:jc w:val="center"/>
            </w:pPr>
            <w:r>
              <w:t>1 960.00</w:t>
            </w:r>
          </w:p>
        </w:tc>
        <w:tc>
          <w:tcPr>
            <w:tcW w:w="1276" w:type="dxa"/>
            <w:tcBorders>
              <w:top w:val="nil"/>
              <w:left w:val="nil"/>
              <w:bottom w:val="nil"/>
              <w:right w:val="nil"/>
            </w:tcBorders>
            <w:noWrap/>
            <w:vAlign w:val="bottom"/>
          </w:tcPr>
          <w:p>
            <w:pPr>
              <w:pStyle w:val="yTableNAm"/>
              <w:jc w:val="center"/>
            </w:pPr>
            <w:r>
              <w:t>3 820.00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1 960.00</w:t>
            </w:r>
          </w:p>
        </w:tc>
        <w:tc>
          <w:tcPr>
            <w:tcW w:w="1276" w:type="dxa"/>
            <w:tcBorders>
              <w:top w:val="nil"/>
              <w:left w:val="nil"/>
              <w:bottom w:val="nil"/>
              <w:right w:val="nil"/>
            </w:tcBorders>
            <w:noWrap/>
            <w:vAlign w:val="bottom"/>
          </w:tcPr>
          <w:p>
            <w:pPr>
              <w:pStyle w:val="yTableNAm"/>
              <w:ind w:right="172"/>
              <w:jc w:val="right"/>
            </w:pPr>
            <w:r>
              <w:t>3 820.00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1 307.00</w:t>
            </w:r>
          </w:p>
        </w:tc>
        <w:tc>
          <w:tcPr>
            <w:tcW w:w="1276" w:type="dxa"/>
            <w:tcBorders>
              <w:top w:val="nil"/>
              <w:left w:val="nil"/>
              <w:bottom w:val="nil"/>
              <w:right w:val="nil"/>
            </w:tcBorders>
            <w:noWrap/>
            <w:vAlign w:val="bottom"/>
          </w:tcPr>
          <w:p>
            <w:pPr>
              <w:pStyle w:val="yTableNAm"/>
              <w:ind w:right="172"/>
              <w:jc w:val="right"/>
            </w:pPr>
            <w:r>
              <w:t>2 557.00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1 960.00</w:t>
            </w:r>
          </w:p>
        </w:tc>
        <w:tc>
          <w:tcPr>
            <w:tcW w:w="1276" w:type="dxa"/>
            <w:tcBorders>
              <w:top w:val="nil"/>
              <w:left w:val="nil"/>
              <w:bottom w:val="nil"/>
              <w:right w:val="nil"/>
            </w:tcBorders>
            <w:noWrap/>
            <w:vAlign w:val="bottom"/>
          </w:tcPr>
          <w:p>
            <w:pPr>
              <w:pStyle w:val="yTableNAm"/>
              <w:ind w:right="172"/>
              <w:jc w:val="right"/>
            </w:pPr>
            <w:r>
              <w:t>3 820.00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1 312.00 for each day allocated</w:t>
            </w:r>
          </w:p>
        </w:tc>
        <w:tc>
          <w:tcPr>
            <w:tcW w:w="1276" w:type="dxa"/>
            <w:tcBorders>
              <w:top w:val="nil"/>
              <w:left w:val="nil"/>
              <w:bottom w:val="nil"/>
              <w:right w:val="nil"/>
            </w:tcBorders>
            <w:noWrap/>
          </w:tcPr>
          <w:p>
            <w:pPr>
              <w:pStyle w:val="yTableNAm"/>
              <w:jc w:val="center"/>
            </w:pPr>
            <w:r>
              <w:br/>
              <w:t>3 408.00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1 312.00</w:t>
            </w:r>
          </w:p>
        </w:tc>
        <w:tc>
          <w:tcPr>
            <w:tcW w:w="1276" w:type="dxa"/>
            <w:tcBorders>
              <w:top w:val="nil"/>
              <w:left w:val="nil"/>
              <w:bottom w:val="nil"/>
              <w:right w:val="nil"/>
            </w:tcBorders>
            <w:noWrap/>
            <w:vAlign w:val="bottom"/>
          </w:tcPr>
          <w:p>
            <w:pPr>
              <w:pStyle w:val="yTableNAm"/>
              <w:ind w:right="172"/>
              <w:jc w:val="right"/>
            </w:pPr>
            <w:r>
              <w:t>3 408.00</w:t>
            </w:r>
          </w:p>
        </w:tc>
        <w:tc>
          <w:tcPr>
            <w:tcW w:w="1276" w:type="dxa"/>
            <w:tcBorders>
              <w:top w:val="nil"/>
              <w:left w:val="nil"/>
              <w:bottom w:val="nil"/>
              <w:right w:val="nil"/>
            </w:tcBorders>
            <w:noWrap/>
            <w:vAlign w:val="bottom"/>
          </w:tcPr>
          <w:p>
            <w:pPr>
              <w:pStyle w:val="yTableNAm"/>
              <w:ind w:right="172"/>
              <w:jc w:val="center"/>
              <w:rPr>
                <w:b/>
                <w:bCs/>
                <w:i/>
                <w:iCs/>
              </w:rPr>
            </w:pPr>
            <w:r>
              <w:t>No fee</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461.00</w:t>
            </w:r>
          </w:p>
        </w:tc>
        <w:tc>
          <w:tcPr>
            <w:tcW w:w="1276" w:type="dxa"/>
            <w:tcBorders>
              <w:top w:val="nil"/>
              <w:left w:val="nil"/>
              <w:bottom w:val="nil"/>
              <w:right w:val="nil"/>
            </w:tcBorders>
            <w:noWrap/>
            <w:vAlign w:val="bottom"/>
          </w:tcPr>
          <w:p>
            <w:pPr>
              <w:pStyle w:val="yTableNAm"/>
              <w:keepNext/>
              <w:ind w:right="172"/>
              <w:jc w:val="right"/>
            </w:pPr>
            <w:r>
              <w:t>895.00</w:t>
            </w:r>
          </w:p>
        </w:tc>
        <w:tc>
          <w:tcPr>
            <w:tcW w:w="1276" w:type="dxa"/>
            <w:tcBorders>
              <w:top w:val="nil"/>
              <w:left w:val="nil"/>
              <w:bottom w:val="nil"/>
              <w:right w:val="nil"/>
            </w:tcBorders>
            <w:noWrap/>
            <w:vAlign w:val="bottom"/>
          </w:tcPr>
          <w:p>
            <w:pPr>
              <w:pStyle w:val="yTableNAm"/>
              <w:keepNext/>
              <w:ind w:right="172"/>
              <w:jc w:val="center"/>
            </w:pPr>
            <w:r>
              <w:t>No fee</w:t>
            </w:r>
          </w:p>
        </w:tc>
      </w:tr>
      <w:tr>
        <w:trPr>
          <w:trHeight w:val="802"/>
        </w:trPr>
        <w:tc>
          <w:tcPr>
            <w:tcW w:w="659" w:type="dxa"/>
            <w:tcBorders>
              <w:top w:val="nil"/>
              <w:left w:val="nil"/>
              <w:bottom w:val="nil"/>
              <w:right w:val="nil"/>
            </w:tcBorders>
            <w:noWrap/>
          </w:tcPr>
          <w:p>
            <w:pPr>
              <w:pStyle w:val="yTableNAm"/>
              <w:rPr>
                <w:highlight w:val="green"/>
              </w:rPr>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lastRenderedPageBreak/>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638.00</w:t>
            </w:r>
          </w:p>
        </w:tc>
        <w:tc>
          <w:tcPr>
            <w:tcW w:w="1276" w:type="dxa"/>
            <w:tcBorders>
              <w:top w:val="nil"/>
              <w:left w:val="nil"/>
              <w:bottom w:val="nil"/>
              <w:right w:val="nil"/>
            </w:tcBorders>
            <w:noWrap/>
            <w:vAlign w:val="bottom"/>
          </w:tcPr>
          <w:p>
            <w:pPr>
              <w:pStyle w:val="yTableNAm"/>
              <w:ind w:right="172"/>
              <w:jc w:val="right"/>
            </w:pPr>
            <w:r>
              <w:t>1 234.00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lastRenderedPageBreak/>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638.00</w:t>
            </w:r>
          </w:p>
        </w:tc>
        <w:tc>
          <w:tcPr>
            <w:tcW w:w="1276" w:type="dxa"/>
            <w:tcBorders>
              <w:top w:val="nil"/>
              <w:left w:val="nil"/>
              <w:bottom w:val="nil"/>
              <w:right w:val="nil"/>
            </w:tcBorders>
            <w:noWrap/>
            <w:vAlign w:val="bottom"/>
          </w:tcPr>
          <w:p>
            <w:pPr>
              <w:pStyle w:val="yTableNAm"/>
              <w:ind w:right="172"/>
              <w:jc w:val="right"/>
            </w:pPr>
            <w:r>
              <w:t>1 234.00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2.95</w:t>
            </w:r>
          </w:p>
        </w:tc>
        <w:tc>
          <w:tcPr>
            <w:tcW w:w="1276" w:type="dxa"/>
            <w:tcBorders>
              <w:top w:val="nil"/>
              <w:left w:val="nil"/>
              <w:bottom w:val="nil"/>
              <w:right w:val="nil"/>
            </w:tcBorders>
            <w:noWrap/>
            <w:vAlign w:val="bottom"/>
          </w:tcPr>
          <w:p>
            <w:pPr>
              <w:pStyle w:val="yTableNAm"/>
              <w:ind w:right="172"/>
              <w:jc w:val="right"/>
            </w:pPr>
            <w:r>
              <w:t>2.95</w:t>
            </w:r>
          </w:p>
        </w:tc>
        <w:tc>
          <w:tcPr>
            <w:tcW w:w="1276" w:type="dxa"/>
            <w:tcBorders>
              <w:top w:val="nil"/>
              <w:left w:val="nil"/>
              <w:bottom w:val="nil"/>
              <w:right w:val="nil"/>
            </w:tcBorders>
            <w:noWrap/>
            <w:vAlign w:val="bottom"/>
          </w:tcPr>
          <w:p>
            <w:pPr>
              <w:pStyle w:val="yTableNAm"/>
              <w:ind w:right="172"/>
              <w:jc w:val="right"/>
            </w:pPr>
            <w:r>
              <w:t>2.95</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66.50</w:t>
            </w:r>
          </w:p>
        </w:tc>
        <w:tc>
          <w:tcPr>
            <w:tcW w:w="1276" w:type="dxa"/>
            <w:tcBorders>
              <w:top w:val="nil"/>
              <w:left w:val="nil"/>
              <w:bottom w:val="nil"/>
              <w:right w:val="nil"/>
            </w:tcBorders>
            <w:noWrap/>
            <w:vAlign w:val="bottom"/>
          </w:tcPr>
          <w:p>
            <w:pPr>
              <w:pStyle w:val="yTableNAm"/>
              <w:keepNext/>
              <w:ind w:right="172"/>
              <w:jc w:val="right"/>
            </w:pPr>
            <w:r>
              <w:t>66.50</w:t>
            </w:r>
          </w:p>
        </w:tc>
        <w:tc>
          <w:tcPr>
            <w:tcW w:w="1276" w:type="dxa"/>
            <w:tcBorders>
              <w:top w:val="nil"/>
              <w:left w:val="nil"/>
              <w:bottom w:val="nil"/>
              <w:right w:val="nil"/>
            </w:tcBorders>
            <w:noWrap/>
            <w:vAlign w:val="bottom"/>
          </w:tcPr>
          <w:p>
            <w:pPr>
              <w:pStyle w:val="yTableNAm"/>
              <w:keepNext/>
              <w:ind w:right="172"/>
              <w:jc w:val="right"/>
            </w:pPr>
            <w:r>
              <w:t>19.95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97.00</w:t>
            </w:r>
          </w:p>
        </w:tc>
        <w:tc>
          <w:tcPr>
            <w:tcW w:w="1276" w:type="dxa"/>
            <w:tcBorders>
              <w:top w:val="nil"/>
              <w:left w:val="nil"/>
              <w:bottom w:val="nil"/>
              <w:right w:val="nil"/>
            </w:tcBorders>
            <w:noWrap/>
            <w:vAlign w:val="bottom"/>
          </w:tcPr>
          <w:p>
            <w:pPr>
              <w:pStyle w:val="yTableNAm"/>
              <w:ind w:right="172"/>
              <w:jc w:val="right"/>
            </w:pPr>
            <w:r>
              <w:t>97.00</w:t>
            </w:r>
          </w:p>
        </w:tc>
        <w:tc>
          <w:tcPr>
            <w:tcW w:w="1276" w:type="dxa"/>
            <w:tcBorders>
              <w:top w:val="nil"/>
              <w:left w:val="nil"/>
              <w:bottom w:val="nil"/>
              <w:right w:val="nil"/>
            </w:tcBorders>
            <w:noWrap/>
            <w:vAlign w:val="bottom"/>
          </w:tcPr>
          <w:p>
            <w:pPr>
              <w:pStyle w:val="yTableNAm"/>
              <w:ind w:right="172"/>
              <w:jc w:val="right"/>
            </w:pPr>
            <w:r>
              <w:t>29.10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If an officer is required to attend at a court or place out of the Supreme Court building</w:t>
            </w:r>
          </w:p>
        </w:tc>
        <w:tc>
          <w:tcPr>
            <w:tcW w:w="1275" w:type="dxa"/>
            <w:tcBorders>
              <w:top w:val="nil"/>
              <w:left w:val="nil"/>
              <w:bottom w:val="nil"/>
              <w:right w:val="nil"/>
            </w:tcBorders>
            <w:noWrap/>
          </w:tcPr>
          <w:p>
            <w:pPr>
              <w:pStyle w:val="yTableNAm"/>
              <w:tabs>
                <w:tab w:val="clear" w:pos="567"/>
              </w:tabs>
            </w:pPr>
            <w:r>
              <w:t>The officer’s reasonable expenses plus 130.50 for each hour the officer is necessarily absent from the officer’s office</w:t>
            </w:r>
          </w:p>
        </w:tc>
        <w:tc>
          <w:tcPr>
            <w:tcW w:w="1276" w:type="dxa"/>
            <w:tcBorders>
              <w:top w:val="nil"/>
              <w:left w:val="nil"/>
              <w:bottom w:val="nil"/>
              <w:right w:val="nil"/>
            </w:tcBorders>
            <w:noWrap/>
          </w:tcPr>
          <w:p>
            <w:pPr>
              <w:pStyle w:val="yTableNAm"/>
              <w:tabs>
                <w:tab w:val="clear" w:pos="567"/>
              </w:tabs>
            </w:pPr>
            <w:r>
              <w:t>The officer’s reasonable expenses plus 130.50 for each hour the officer is necessarily absent from the officer’s office</w:t>
            </w:r>
          </w:p>
        </w:tc>
        <w:tc>
          <w:tcPr>
            <w:tcW w:w="1276" w:type="dxa"/>
            <w:tcBorders>
              <w:top w:val="nil"/>
              <w:left w:val="nil"/>
              <w:bottom w:val="nil"/>
              <w:right w:val="nil"/>
            </w:tcBorders>
            <w:noWrap/>
          </w:tcPr>
          <w:p>
            <w:pPr>
              <w:pStyle w:val="yTableNAm"/>
              <w:tabs>
                <w:tab w:val="clear" w:pos="567"/>
              </w:tabs>
            </w:pPr>
            <w:r>
              <w:t>The officer’s reasonable expenses plus 39.10 for each hour the officer is necessarily absent from the officer’s office</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2.75</w:t>
            </w:r>
          </w:p>
        </w:tc>
        <w:tc>
          <w:tcPr>
            <w:tcW w:w="1276" w:type="dxa"/>
            <w:tcBorders>
              <w:top w:val="nil"/>
              <w:left w:val="nil"/>
              <w:bottom w:val="nil"/>
              <w:right w:val="nil"/>
            </w:tcBorders>
            <w:noWrap/>
            <w:vAlign w:val="bottom"/>
          </w:tcPr>
          <w:p>
            <w:pPr>
              <w:pStyle w:val="yTableNAm"/>
              <w:ind w:right="172"/>
              <w:jc w:val="right"/>
            </w:pPr>
            <w:r>
              <w:t>2.75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23.00</w:t>
            </w:r>
          </w:p>
        </w:tc>
        <w:tc>
          <w:tcPr>
            <w:tcW w:w="1276" w:type="dxa"/>
            <w:tcBorders>
              <w:top w:val="nil"/>
              <w:left w:val="nil"/>
              <w:bottom w:val="nil"/>
              <w:right w:val="nil"/>
            </w:tcBorders>
            <w:noWrap/>
            <w:vAlign w:val="bottom"/>
          </w:tcPr>
          <w:p>
            <w:pPr>
              <w:pStyle w:val="yTableNAm"/>
              <w:ind w:right="172"/>
              <w:jc w:val="right"/>
            </w:pPr>
            <w:r>
              <w:t>23.00</w:t>
            </w:r>
          </w:p>
        </w:tc>
        <w:tc>
          <w:tcPr>
            <w:tcW w:w="1276" w:type="dxa"/>
            <w:tcBorders>
              <w:top w:val="nil"/>
              <w:left w:val="nil"/>
              <w:bottom w:val="nil"/>
              <w:right w:val="nil"/>
            </w:tcBorders>
            <w:noWrap/>
            <w:vAlign w:val="bottom"/>
          </w:tcPr>
          <w:p>
            <w:pPr>
              <w:pStyle w:val="yTableNAm"/>
              <w:ind w:right="172"/>
              <w:jc w:val="right"/>
            </w:pPr>
            <w:r>
              <w:t>6.90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23.00</w:t>
            </w:r>
          </w:p>
        </w:tc>
        <w:tc>
          <w:tcPr>
            <w:tcW w:w="1276" w:type="dxa"/>
            <w:tcBorders>
              <w:top w:val="nil"/>
              <w:left w:val="nil"/>
              <w:bottom w:val="nil"/>
              <w:right w:val="nil"/>
            </w:tcBorders>
            <w:noWrap/>
            <w:vAlign w:val="bottom"/>
          </w:tcPr>
          <w:p>
            <w:pPr>
              <w:pStyle w:val="yTableNAm"/>
              <w:ind w:right="172"/>
              <w:jc w:val="right"/>
            </w:pPr>
            <w:r>
              <w:t>23.00</w:t>
            </w:r>
          </w:p>
        </w:tc>
        <w:tc>
          <w:tcPr>
            <w:tcW w:w="1276" w:type="dxa"/>
            <w:tcBorders>
              <w:top w:val="nil"/>
              <w:left w:val="nil"/>
              <w:bottom w:val="nil"/>
              <w:right w:val="nil"/>
            </w:tcBorders>
            <w:noWrap/>
            <w:vAlign w:val="bottom"/>
          </w:tcPr>
          <w:p>
            <w:pPr>
              <w:pStyle w:val="yTableNAm"/>
              <w:ind w:right="172"/>
              <w:jc w:val="right"/>
            </w:pPr>
            <w:r>
              <w:t>6.90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2.95</w:t>
            </w:r>
          </w:p>
        </w:tc>
        <w:tc>
          <w:tcPr>
            <w:tcW w:w="1276" w:type="dxa"/>
            <w:tcBorders>
              <w:top w:val="nil"/>
              <w:left w:val="nil"/>
              <w:bottom w:val="nil"/>
              <w:right w:val="nil"/>
            </w:tcBorders>
            <w:noWrap/>
            <w:vAlign w:val="bottom"/>
          </w:tcPr>
          <w:p>
            <w:pPr>
              <w:pStyle w:val="yTableNAm"/>
              <w:ind w:right="172"/>
              <w:jc w:val="right"/>
            </w:pPr>
            <w:r>
              <w:t>2.95</w:t>
            </w:r>
          </w:p>
        </w:tc>
        <w:tc>
          <w:tcPr>
            <w:tcW w:w="1276" w:type="dxa"/>
            <w:tcBorders>
              <w:top w:val="nil"/>
              <w:left w:val="nil"/>
              <w:bottom w:val="nil"/>
              <w:right w:val="nil"/>
            </w:tcBorders>
            <w:noWrap/>
            <w:vAlign w:val="bottom"/>
          </w:tcPr>
          <w:p>
            <w:pPr>
              <w:pStyle w:val="yTableNAm"/>
              <w:ind w:right="172"/>
              <w:jc w:val="right"/>
            </w:pPr>
            <w:r>
              <w:t>0.90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30.30</w:t>
            </w:r>
          </w:p>
        </w:tc>
        <w:tc>
          <w:tcPr>
            <w:tcW w:w="1276" w:type="dxa"/>
            <w:tcBorders>
              <w:top w:val="nil"/>
              <w:left w:val="nil"/>
              <w:bottom w:val="nil"/>
              <w:right w:val="nil"/>
            </w:tcBorders>
            <w:noWrap/>
            <w:vAlign w:val="bottom"/>
          </w:tcPr>
          <w:p>
            <w:pPr>
              <w:pStyle w:val="yTableNAm"/>
              <w:ind w:right="172"/>
              <w:jc w:val="right"/>
            </w:pPr>
            <w:r>
              <w:t>30.30</w:t>
            </w:r>
          </w:p>
        </w:tc>
        <w:tc>
          <w:tcPr>
            <w:tcW w:w="1276" w:type="dxa"/>
            <w:tcBorders>
              <w:top w:val="nil"/>
              <w:left w:val="nil"/>
              <w:bottom w:val="nil"/>
              <w:right w:val="nil"/>
            </w:tcBorders>
            <w:noWrap/>
            <w:vAlign w:val="bottom"/>
          </w:tcPr>
          <w:p>
            <w:pPr>
              <w:pStyle w:val="yTableNAm"/>
              <w:ind w:right="172"/>
              <w:jc w:val="right"/>
            </w:pPr>
            <w:r>
              <w:t>9.10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130.00</w:t>
            </w:r>
          </w:p>
        </w:tc>
        <w:tc>
          <w:tcPr>
            <w:tcW w:w="1276" w:type="dxa"/>
            <w:tcBorders>
              <w:top w:val="nil"/>
              <w:left w:val="nil"/>
              <w:bottom w:val="nil"/>
              <w:right w:val="nil"/>
            </w:tcBorders>
            <w:noWrap/>
            <w:vAlign w:val="bottom"/>
          </w:tcPr>
          <w:p>
            <w:pPr>
              <w:pStyle w:val="yTableNAm"/>
              <w:ind w:right="172"/>
              <w:jc w:val="right"/>
            </w:pPr>
            <w:r>
              <w:t>130.00</w:t>
            </w:r>
          </w:p>
        </w:tc>
        <w:tc>
          <w:tcPr>
            <w:tcW w:w="1276" w:type="dxa"/>
            <w:tcBorders>
              <w:top w:val="nil"/>
              <w:left w:val="nil"/>
              <w:bottom w:val="nil"/>
              <w:right w:val="nil"/>
            </w:tcBorders>
            <w:noWrap/>
            <w:vAlign w:val="bottom"/>
          </w:tcPr>
          <w:p>
            <w:pPr>
              <w:pStyle w:val="yTableNAm"/>
              <w:ind w:right="172"/>
              <w:jc w:val="right"/>
            </w:pPr>
            <w:r>
              <w:t>39.00</w:t>
            </w:r>
          </w:p>
        </w:tc>
      </w:tr>
      <w:tr>
        <w:tc>
          <w:tcPr>
            <w:tcW w:w="659" w:type="dxa"/>
            <w:tcBorders>
              <w:top w:val="nil"/>
              <w:left w:val="nil"/>
              <w:bottom w:val="nil"/>
              <w:right w:val="nil"/>
            </w:tcBorders>
            <w:noWrap/>
          </w:tcPr>
          <w:p>
            <w:pPr>
              <w:pStyle w:val="yTableNAm"/>
            </w:pPr>
            <w:r>
              <w:lastRenderedPageBreak/>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 xml:space="preserve">9.15 plus </w:t>
            </w:r>
            <w:r>
              <w:br/>
              <w:t>3.80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30.50 plus</w:t>
            </w:r>
            <w:r>
              <w:br/>
              <w:t>11.55 per page</w:t>
            </w:r>
          </w:p>
        </w:tc>
        <w:tc>
          <w:tcPr>
            <w:tcW w:w="1276" w:type="dxa"/>
            <w:tcBorders>
              <w:top w:val="nil"/>
              <w:left w:val="nil"/>
              <w:bottom w:val="nil"/>
              <w:right w:val="nil"/>
            </w:tcBorders>
            <w:noWrap/>
          </w:tcPr>
          <w:p>
            <w:pPr>
              <w:pStyle w:val="yTableNAm"/>
              <w:keepNext/>
            </w:pPr>
            <w:r>
              <w:t>30.50 plus</w:t>
            </w:r>
            <w:r>
              <w:br/>
              <w:t>23.00 per page</w:t>
            </w:r>
          </w:p>
        </w:tc>
        <w:tc>
          <w:tcPr>
            <w:tcW w:w="1276" w:type="dxa"/>
            <w:tcBorders>
              <w:top w:val="nil"/>
              <w:left w:val="nil"/>
              <w:bottom w:val="nil"/>
              <w:right w:val="nil"/>
            </w:tcBorders>
            <w:noWrap/>
          </w:tcPr>
          <w:p>
            <w:pPr>
              <w:pStyle w:val="yTableNAm"/>
              <w:keepNext/>
            </w:pPr>
            <w:r>
              <w:t xml:space="preserve">9.15 plus </w:t>
            </w:r>
            <w:r>
              <w:br/>
              <w:t>3.45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30.50 plus </w:t>
            </w:r>
            <w:r>
              <w:br/>
              <w:t>10.55 per page</w:t>
            </w:r>
          </w:p>
        </w:tc>
        <w:tc>
          <w:tcPr>
            <w:tcW w:w="1276" w:type="dxa"/>
            <w:tcBorders>
              <w:top w:val="nil"/>
              <w:left w:val="nil"/>
              <w:bottom w:val="nil"/>
              <w:right w:val="nil"/>
            </w:tcBorders>
            <w:noWrap/>
          </w:tcPr>
          <w:p>
            <w:pPr>
              <w:pStyle w:val="yTableNAm"/>
            </w:pPr>
            <w:r>
              <w:t xml:space="preserve">30.50 plus </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30.50 plus </w:t>
            </w:r>
            <w:r>
              <w:br/>
              <w:t>8.90 per page</w:t>
            </w:r>
          </w:p>
        </w:tc>
        <w:tc>
          <w:tcPr>
            <w:tcW w:w="1276" w:type="dxa"/>
            <w:tcBorders>
              <w:top w:val="nil"/>
              <w:left w:val="nil"/>
              <w:bottom w:val="nil"/>
              <w:right w:val="nil"/>
            </w:tcBorders>
            <w:noWrap/>
          </w:tcPr>
          <w:p>
            <w:pPr>
              <w:pStyle w:val="yTableNAm"/>
            </w:pPr>
            <w:r>
              <w:t xml:space="preserve">30.50 plus </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 xml:space="preserve">30.50 plus </w:t>
            </w:r>
            <w:r>
              <w:br/>
              <w:t>26.70 per page</w:t>
            </w:r>
          </w:p>
        </w:tc>
        <w:tc>
          <w:tcPr>
            <w:tcW w:w="1276" w:type="dxa"/>
            <w:tcBorders>
              <w:top w:val="nil"/>
              <w:left w:val="nil"/>
              <w:bottom w:val="nil"/>
              <w:right w:val="nil"/>
            </w:tcBorders>
            <w:noWrap/>
          </w:tcPr>
          <w:p>
            <w:pPr>
              <w:pStyle w:val="yTableNAm"/>
            </w:pPr>
            <w:r>
              <w:t xml:space="preserve">9.15 plus </w:t>
            </w:r>
            <w:r>
              <w:br/>
              <w:t>4.00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31.90 per copy</w:t>
            </w:r>
          </w:p>
        </w:tc>
        <w:tc>
          <w:tcPr>
            <w:tcW w:w="1276" w:type="dxa"/>
            <w:tcBorders>
              <w:top w:val="nil"/>
              <w:left w:val="nil"/>
              <w:bottom w:val="nil"/>
              <w:right w:val="nil"/>
            </w:tcBorders>
            <w:noWrap/>
          </w:tcPr>
          <w:p>
            <w:pPr>
              <w:pStyle w:val="yTableNAm"/>
            </w:pPr>
            <w:r>
              <w:t>31.90 per copy</w:t>
            </w:r>
          </w:p>
        </w:tc>
        <w:tc>
          <w:tcPr>
            <w:tcW w:w="1276" w:type="dxa"/>
            <w:tcBorders>
              <w:top w:val="nil"/>
              <w:left w:val="nil"/>
              <w:bottom w:val="nil"/>
              <w:right w:val="nil"/>
            </w:tcBorders>
            <w:noWrap/>
          </w:tcPr>
          <w:p>
            <w:pPr>
              <w:pStyle w:val="yTableNAm"/>
            </w:pPr>
            <w:r>
              <w:t>9.55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526.00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lastRenderedPageBreak/>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1 266.00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1 266.00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1 266.00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1 266.00</w:t>
            </w:r>
          </w:p>
        </w:tc>
        <w:tc>
          <w:tcPr>
            <w:tcW w:w="1276" w:type="dxa"/>
            <w:tcBorders>
              <w:top w:val="nil"/>
              <w:left w:val="nil"/>
              <w:bottom w:val="nil"/>
              <w:right w:val="nil"/>
            </w:tcBorders>
            <w:noWrap/>
            <w:vAlign w:val="bottom"/>
          </w:tcPr>
          <w:p>
            <w:pPr>
              <w:pStyle w:val="yTableNAm"/>
              <w:ind w:right="172"/>
              <w:jc w:val="right"/>
            </w:pPr>
            <w:r>
              <w:t>2 477.00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1 266.00</w:t>
            </w:r>
          </w:p>
        </w:tc>
        <w:tc>
          <w:tcPr>
            <w:tcW w:w="1276" w:type="dxa"/>
            <w:tcBorders>
              <w:top w:val="nil"/>
              <w:left w:val="nil"/>
              <w:bottom w:val="single" w:sz="4" w:space="0" w:color="auto"/>
              <w:right w:val="nil"/>
            </w:tcBorders>
            <w:noWrap/>
            <w:vAlign w:val="bottom"/>
          </w:tcPr>
          <w:p>
            <w:pPr>
              <w:pStyle w:val="yTableNAm"/>
              <w:ind w:right="172"/>
              <w:jc w:val="right"/>
            </w:pPr>
            <w:r>
              <w:t>2 477.00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2025/111 r. 28.]</w:t>
      </w:r>
    </w:p>
    <w:p>
      <w:pPr>
        <w:pStyle w:val="yHeading3"/>
      </w:pPr>
      <w:bookmarkStart w:id="27" w:name="_Toc201313731"/>
      <w:bookmarkStart w:id="28" w:name="_Toc201328959"/>
      <w:r>
        <w:rPr>
          <w:rStyle w:val="CharSDivNo"/>
        </w:rPr>
        <w:t>Division 2</w:t>
      </w:r>
      <w:r>
        <w:t> —</w:t>
      </w:r>
      <w:r>
        <w:rPr>
          <w:rStyle w:val="CharSDivText"/>
        </w:rPr>
        <w:t> Court of Appeal fees</w:t>
      </w:r>
      <w:bookmarkEnd w:id="27"/>
      <w:bookmarkEnd w:id="28"/>
    </w:p>
    <w:p>
      <w:pPr>
        <w:pStyle w:val="yFootnoteheading"/>
        <w:spacing w:after="60"/>
      </w:pPr>
      <w:r>
        <w:tab/>
        <w:t>[Heading inserted: SL 2025/111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327.00</w:t>
            </w:r>
          </w:p>
        </w:tc>
        <w:tc>
          <w:tcPr>
            <w:tcW w:w="1276" w:type="dxa"/>
            <w:tcBorders>
              <w:top w:val="single" w:sz="4" w:space="0" w:color="auto"/>
              <w:left w:val="nil"/>
              <w:bottom w:val="nil"/>
              <w:right w:val="nil"/>
            </w:tcBorders>
            <w:noWrap/>
            <w:vAlign w:val="bottom"/>
          </w:tcPr>
          <w:p>
            <w:pPr>
              <w:pStyle w:val="yTableNAm"/>
              <w:ind w:right="172"/>
              <w:jc w:val="right"/>
            </w:pPr>
            <w:r>
              <w:t>849.00</w:t>
            </w:r>
          </w:p>
        </w:tc>
        <w:tc>
          <w:tcPr>
            <w:tcW w:w="1276" w:type="dxa"/>
            <w:tcBorders>
              <w:top w:val="single" w:sz="4" w:space="0" w:color="auto"/>
              <w:left w:val="nil"/>
              <w:bottom w:val="nil"/>
              <w:right w:val="nil"/>
            </w:tcBorders>
            <w:noWrap/>
            <w:vAlign w:val="bottom"/>
          </w:tcPr>
          <w:p>
            <w:pPr>
              <w:pStyle w:val="yTableNAm"/>
              <w:ind w:right="172"/>
              <w:jc w:val="right"/>
            </w:pPr>
            <w:r>
              <w:t>98.00</w:t>
            </w:r>
          </w:p>
        </w:tc>
      </w:tr>
      <w:tr>
        <w:trPr>
          <w:cantSplit/>
        </w:trPr>
        <w:tc>
          <w:tcPr>
            <w:tcW w:w="714" w:type="dxa"/>
            <w:tcBorders>
              <w:top w:val="nil"/>
              <w:left w:val="nil"/>
              <w:bottom w:val="nil"/>
              <w:right w:val="nil"/>
            </w:tcBorders>
            <w:noWrap/>
          </w:tcPr>
          <w:p>
            <w:pPr>
              <w:pStyle w:val="yTableNAm"/>
              <w:keepNext/>
            </w:pPr>
            <w:r>
              <w:lastRenderedPageBreak/>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4 928.00</w:t>
            </w:r>
          </w:p>
        </w:tc>
        <w:tc>
          <w:tcPr>
            <w:tcW w:w="1276" w:type="dxa"/>
            <w:tcBorders>
              <w:top w:val="nil"/>
              <w:left w:val="nil"/>
              <w:bottom w:val="nil"/>
              <w:right w:val="nil"/>
            </w:tcBorders>
            <w:noWrap/>
            <w:vAlign w:val="bottom"/>
          </w:tcPr>
          <w:p>
            <w:pPr>
              <w:pStyle w:val="yTableNAm"/>
              <w:ind w:right="172"/>
              <w:jc w:val="right"/>
            </w:pPr>
            <w:r>
              <w:t>12 808.00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4 928.00</w:t>
            </w:r>
          </w:p>
        </w:tc>
        <w:tc>
          <w:tcPr>
            <w:tcW w:w="1276" w:type="dxa"/>
            <w:tcBorders>
              <w:top w:val="nil"/>
              <w:left w:val="nil"/>
              <w:bottom w:val="nil"/>
              <w:right w:val="nil"/>
            </w:tcBorders>
            <w:noWrap/>
            <w:vAlign w:val="bottom"/>
          </w:tcPr>
          <w:p>
            <w:pPr>
              <w:pStyle w:val="yTableNAm"/>
              <w:ind w:right="172"/>
              <w:jc w:val="right"/>
            </w:pPr>
            <w:r>
              <w:t>12 808.00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653.00</w:t>
            </w:r>
          </w:p>
        </w:tc>
        <w:tc>
          <w:tcPr>
            <w:tcW w:w="1276" w:type="dxa"/>
            <w:tcBorders>
              <w:top w:val="nil"/>
              <w:left w:val="nil"/>
              <w:bottom w:val="nil"/>
              <w:right w:val="nil"/>
            </w:tcBorders>
            <w:noWrap/>
            <w:vAlign w:val="bottom"/>
          </w:tcPr>
          <w:p>
            <w:pPr>
              <w:pStyle w:val="yTableNAm"/>
              <w:ind w:right="172"/>
              <w:jc w:val="right"/>
            </w:pPr>
            <w:r>
              <w:t>1 280.00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461.00</w:t>
            </w:r>
          </w:p>
        </w:tc>
        <w:tc>
          <w:tcPr>
            <w:tcW w:w="1276" w:type="dxa"/>
            <w:tcBorders>
              <w:top w:val="nil"/>
              <w:left w:val="nil"/>
              <w:bottom w:val="nil"/>
              <w:right w:val="nil"/>
            </w:tcBorders>
            <w:noWrap/>
            <w:vAlign w:val="bottom"/>
          </w:tcPr>
          <w:p>
            <w:pPr>
              <w:pStyle w:val="yTableNAm"/>
              <w:ind w:right="172"/>
              <w:jc w:val="right"/>
            </w:pPr>
            <w:r>
              <w:t>895.00</w:t>
            </w:r>
          </w:p>
        </w:tc>
        <w:tc>
          <w:tcPr>
            <w:tcW w:w="1276" w:type="dxa"/>
            <w:tcBorders>
              <w:top w:val="nil"/>
              <w:left w:val="nil"/>
              <w:bottom w:val="nil"/>
              <w:right w:val="nil"/>
            </w:tcBorders>
            <w:noWrap/>
            <w:vAlign w:val="bottom"/>
          </w:tcPr>
          <w:p>
            <w:pPr>
              <w:pStyle w:val="yTableNAm"/>
              <w:ind w:right="172"/>
              <w:jc w:val="center"/>
            </w:pPr>
            <w:r>
              <w:t>No fee</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1 646.00</w:t>
            </w:r>
          </w:p>
        </w:tc>
        <w:tc>
          <w:tcPr>
            <w:tcW w:w="1276" w:type="dxa"/>
            <w:tcBorders>
              <w:top w:val="nil"/>
              <w:left w:val="nil"/>
              <w:bottom w:val="nil"/>
              <w:right w:val="nil"/>
            </w:tcBorders>
            <w:noWrap/>
            <w:vAlign w:val="center"/>
          </w:tcPr>
          <w:p>
            <w:pPr>
              <w:pStyle w:val="yTableNAm"/>
              <w:ind w:right="172"/>
              <w:jc w:val="right"/>
            </w:pPr>
            <w:r>
              <w:t>3 196.00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1 312.00 for each day allocated</w:t>
            </w:r>
          </w:p>
        </w:tc>
        <w:tc>
          <w:tcPr>
            <w:tcW w:w="1276" w:type="dxa"/>
            <w:tcBorders>
              <w:top w:val="nil"/>
              <w:left w:val="nil"/>
              <w:bottom w:val="nil"/>
              <w:right w:val="nil"/>
            </w:tcBorders>
            <w:noWrap/>
            <w:vAlign w:val="bottom"/>
          </w:tcPr>
          <w:p>
            <w:pPr>
              <w:pStyle w:val="yTableNAm"/>
              <w:jc w:val="center"/>
            </w:pPr>
            <w:r>
              <w:t>3 408.00 for each day allocated</w:t>
            </w:r>
          </w:p>
        </w:tc>
        <w:tc>
          <w:tcPr>
            <w:tcW w:w="1276" w:type="dxa"/>
            <w:tcBorders>
              <w:top w:val="nil"/>
              <w:left w:val="nil"/>
              <w:bottom w:val="nil"/>
              <w:right w:val="nil"/>
            </w:tcBorders>
            <w:noWrap/>
          </w:tcPr>
          <w:p>
            <w:pPr>
              <w:pStyle w:val="yTableNAm"/>
              <w:jc w:val="center"/>
            </w:pPr>
            <w:r>
              <w:t>No fee</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1 312.00</w:t>
            </w:r>
          </w:p>
        </w:tc>
        <w:tc>
          <w:tcPr>
            <w:tcW w:w="1276" w:type="dxa"/>
            <w:tcBorders>
              <w:top w:val="nil"/>
              <w:left w:val="nil"/>
              <w:bottom w:val="nil"/>
              <w:right w:val="nil"/>
            </w:tcBorders>
            <w:noWrap/>
            <w:vAlign w:val="center"/>
          </w:tcPr>
          <w:p>
            <w:pPr>
              <w:pStyle w:val="yTableNAm"/>
              <w:ind w:right="172"/>
              <w:jc w:val="right"/>
            </w:pPr>
            <w:r>
              <w:t>3 408.00</w:t>
            </w:r>
          </w:p>
        </w:tc>
        <w:tc>
          <w:tcPr>
            <w:tcW w:w="1276" w:type="dxa"/>
            <w:tcBorders>
              <w:top w:val="nil"/>
              <w:left w:val="nil"/>
              <w:bottom w:val="nil"/>
              <w:right w:val="nil"/>
            </w:tcBorders>
            <w:noWrap/>
            <w:vAlign w:val="center"/>
          </w:tcPr>
          <w:p>
            <w:pPr>
              <w:pStyle w:val="yTableNAm"/>
              <w:jc w:val="center"/>
            </w:pPr>
            <w:r>
              <w:t>No fee</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lastRenderedPageBreak/>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2.65</w:t>
            </w:r>
          </w:p>
        </w:tc>
        <w:tc>
          <w:tcPr>
            <w:tcW w:w="1276" w:type="dxa"/>
            <w:tcBorders>
              <w:top w:val="nil"/>
              <w:left w:val="nil"/>
              <w:bottom w:val="nil"/>
              <w:right w:val="nil"/>
            </w:tcBorders>
            <w:noWrap/>
            <w:vAlign w:val="bottom"/>
          </w:tcPr>
          <w:p>
            <w:pPr>
              <w:pStyle w:val="yTableNAm"/>
              <w:ind w:right="172"/>
              <w:jc w:val="right"/>
            </w:pPr>
            <w:r>
              <w:t>2.65</w:t>
            </w:r>
          </w:p>
        </w:tc>
        <w:tc>
          <w:tcPr>
            <w:tcW w:w="1276" w:type="dxa"/>
            <w:tcBorders>
              <w:top w:val="nil"/>
              <w:left w:val="nil"/>
              <w:bottom w:val="nil"/>
              <w:right w:val="nil"/>
            </w:tcBorders>
            <w:noWrap/>
            <w:vAlign w:val="bottom"/>
          </w:tcPr>
          <w:p>
            <w:pPr>
              <w:pStyle w:val="yTableNAm"/>
              <w:ind w:right="172"/>
              <w:jc w:val="right"/>
            </w:pPr>
            <w:r>
              <w:t>2.65</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66.50</w:t>
            </w:r>
          </w:p>
        </w:tc>
        <w:tc>
          <w:tcPr>
            <w:tcW w:w="1276" w:type="dxa"/>
            <w:tcBorders>
              <w:top w:val="nil"/>
              <w:left w:val="nil"/>
              <w:bottom w:val="nil"/>
              <w:right w:val="nil"/>
            </w:tcBorders>
            <w:noWrap/>
            <w:vAlign w:val="bottom"/>
          </w:tcPr>
          <w:p>
            <w:pPr>
              <w:pStyle w:val="yTableNAm"/>
              <w:ind w:right="172"/>
              <w:jc w:val="right"/>
            </w:pPr>
            <w:r>
              <w:t>66.50</w:t>
            </w:r>
          </w:p>
        </w:tc>
        <w:tc>
          <w:tcPr>
            <w:tcW w:w="1276" w:type="dxa"/>
            <w:tcBorders>
              <w:top w:val="nil"/>
              <w:left w:val="nil"/>
              <w:bottom w:val="nil"/>
              <w:right w:val="nil"/>
            </w:tcBorders>
            <w:noWrap/>
            <w:vAlign w:val="bottom"/>
          </w:tcPr>
          <w:p>
            <w:pPr>
              <w:pStyle w:val="yTableNAm"/>
              <w:ind w:right="172"/>
              <w:jc w:val="right"/>
            </w:pPr>
            <w:r>
              <w:t>19.95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2.75</w:t>
            </w:r>
          </w:p>
        </w:tc>
        <w:tc>
          <w:tcPr>
            <w:tcW w:w="1276" w:type="dxa"/>
            <w:tcBorders>
              <w:top w:val="nil"/>
              <w:left w:val="nil"/>
              <w:bottom w:val="nil"/>
              <w:right w:val="nil"/>
            </w:tcBorders>
            <w:noWrap/>
            <w:vAlign w:val="bottom"/>
          </w:tcPr>
          <w:p>
            <w:pPr>
              <w:pStyle w:val="yTableNAm"/>
              <w:ind w:right="172"/>
              <w:jc w:val="right"/>
            </w:pPr>
            <w:r>
              <w:t>2.75</w:t>
            </w:r>
          </w:p>
        </w:tc>
        <w:tc>
          <w:tcPr>
            <w:tcW w:w="1276" w:type="dxa"/>
            <w:tcBorders>
              <w:top w:val="nil"/>
              <w:left w:val="nil"/>
              <w:bottom w:val="nil"/>
              <w:right w:val="nil"/>
            </w:tcBorders>
            <w:noWrap/>
            <w:vAlign w:val="bottom"/>
          </w:tcPr>
          <w:p>
            <w:pPr>
              <w:pStyle w:val="yTableNAm"/>
              <w:ind w:right="172"/>
              <w:jc w:val="right"/>
            </w:pPr>
            <w:r>
              <w:t>0.85</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23.10</w:t>
            </w:r>
          </w:p>
        </w:tc>
        <w:tc>
          <w:tcPr>
            <w:tcW w:w="1276" w:type="dxa"/>
            <w:tcBorders>
              <w:top w:val="nil"/>
              <w:left w:val="nil"/>
              <w:bottom w:val="nil"/>
              <w:right w:val="nil"/>
            </w:tcBorders>
            <w:noWrap/>
            <w:vAlign w:val="bottom"/>
          </w:tcPr>
          <w:p>
            <w:pPr>
              <w:pStyle w:val="yTableNAm"/>
              <w:ind w:right="172"/>
              <w:jc w:val="right"/>
            </w:pPr>
            <w:r>
              <w:t>23.10</w:t>
            </w:r>
          </w:p>
        </w:tc>
        <w:tc>
          <w:tcPr>
            <w:tcW w:w="1276" w:type="dxa"/>
            <w:tcBorders>
              <w:top w:val="nil"/>
              <w:left w:val="nil"/>
              <w:bottom w:val="nil"/>
              <w:right w:val="nil"/>
            </w:tcBorders>
            <w:noWrap/>
            <w:vAlign w:val="bottom"/>
          </w:tcPr>
          <w:p>
            <w:pPr>
              <w:pStyle w:val="yTableNAm"/>
              <w:ind w:right="172"/>
              <w:jc w:val="right"/>
            </w:pPr>
            <w:r>
              <w:t>6.95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23.10</w:t>
            </w:r>
          </w:p>
        </w:tc>
        <w:tc>
          <w:tcPr>
            <w:tcW w:w="1276" w:type="dxa"/>
            <w:tcBorders>
              <w:top w:val="nil"/>
              <w:left w:val="nil"/>
              <w:bottom w:val="nil"/>
              <w:right w:val="nil"/>
            </w:tcBorders>
            <w:noWrap/>
            <w:vAlign w:val="bottom"/>
          </w:tcPr>
          <w:p>
            <w:pPr>
              <w:pStyle w:val="yTableNAm"/>
              <w:ind w:right="172"/>
              <w:jc w:val="right"/>
            </w:pPr>
            <w:r>
              <w:t>23.10</w:t>
            </w:r>
          </w:p>
        </w:tc>
        <w:tc>
          <w:tcPr>
            <w:tcW w:w="1276" w:type="dxa"/>
            <w:tcBorders>
              <w:top w:val="nil"/>
              <w:left w:val="nil"/>
              <w:bottom w:val="nil"/>
              <w:right w:val="nil"/>
            </w:tcBorders>
            <w:noWrap/>
            <w:vAlign w:val="bottom"/>
          </w:tcPr>
          <w:p>
            <w:pPr>
              <w:pStyle w:val="yTableNAm"/>
              <w:ind w:right="172"/>
              <w:jc w:val="right"/>
            </w:pPr>
            <w:r>
              <w:t>6.95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2.95</w:t>
            </w:r>
          </w:p>
        </w:tc>
        <w:tc>
          <w:tcPr>
            <w:tcW w:w="1276" w:type="dxa"/>
            <w:tcBorders>
              <w:top w:val="nil"/>
              <w:left w:val="nil"/>
              <w:bottom w:val="nil"/>
              <w:right w:val="nil"/>
            </w:tcBorders>
            <w:noWrap/>
            <w:vAlign w:val="bottom"/>
          </w:tcPr>
          <w:p>
            <w:pPr>
              <w:pStyle w:val="yTableNAm"/>
              <w:ind w:right="172"/>
              <w:jc w:val="right"/>
            </w:pPr>
            <w:r>
              <w:t>2.95</w:t>
            </w:r>
          </w:p>
        </w:tc>
        <w:tc>
          <w:tcPr>
            <w:tcW w:w="1276" w:type="dxa"/>
            <w:tcBorders>
              <w:top w:val="nil"/>
              <w:left w:val="nil"/>
              <w:bottom w:val="nil"/>
              <w:right w:val="nil"/>
            </w:tcBorders>
            <w:noWrap/>
            <w:vAlign w:val="bottom"/>
          </w:tcPr>
          <w:p>
            <w:pPr>
              <w:pStyle w:val="yTableNAm"/>
              <w:ind w:right="172"/>
              <w:jc w:val="right"/>
            </w:pPr>
            <w:r>
              <w:t>0.90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30.30</w:t>
            </w:r>
          </w:p>
        </w:tc>
        <w:tc>
          <w:tcPr>
            <w:tcW w:w="1276" w:type="dxa"/>
            <w:tcBorders>
              <w:top w:val="nil"/>
              <w:left w:val="nil"/>
              <w:bottom w:val="nil"/>
              <w:right w:val="nil"/>
            </w:tcBorders>
            <w:noWrap/>
            <w:vAlign w:val="bottom"/>
          </w:tcPr>
          <w:p>
            <w:pPr>
              <w:pStyle w:val="yTableNAm"/>
              <w:ind w:right="172"/>
              <w:jc w:val="right"/>
            </w:pPr>
            <w:r>
              <w:t>30.30</w:t>
            </w:r>
          </w:p>
        </w:tc>
        <w:tc>
          <w:tcPr>
            <w:tcW w:w="1276" w:type="dxa"/>
            <w:tcBorders>
              <w:top w:val="nil"/>
              <w:left w:val="nil"/>
              <w:bottom w:val="nil"/>
              <w:right w:val="nil"/>
            </w:tcBorders>
            <w:noWrap/>
            <w:vAlign w:val="bottom"/>
          </w:tcPr>
          <w:p>
            <w:pPr>
              <w:pStyle w:val="yTableNAm"/>
              <w:ind w:right="172"/>
              <w:jc w:val="right"/>
            </w:pPr>
            <w:r>
              <w:t>9.10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62.00</w:t>
            </w:r>
          </w:p>
        </w:tc>
        <w:tc>
          <w:tcPr>
            <w:tcW w:w="1276" w:type="dxa"/>
            <w:tcBorders>
              <w:top w:val="nil"/>
              <w:left w:val="nil"/>
              <w:bottom w:val="nil"/>
              <w:right w:val="nil"/>
            </w:tcBorders>
            <w:noWrap/>
            <w:vAlign w:val="bottom"/>
          </w:tcPr>
          <w:p>
            <w:pPr>
              <w:pStyle w:val="yTableNAm"/>
              <w:ind w:right="172"/>
              <w:jc w:val="right"/>
            </w:pPr>
            <w:r>
              <w:t>62.00</w:t>
            </w:r>
          </w:p>
        </w:tc>
        <w:tc>
          <w:tcPr>
            <w:tcW w:w="1276" w:type="dxa"/>
            <w:tcBorders>
              <w:top w:val="nil"/>
              <w:left w:val="nil"/>
              <w:bottom w:val="nil"/>
              <w:right w:val="nil"/>
            </w:tcBorders>
            <w:noWrap/>
            <w:vAlign w:val="bottom"/>
          </w:tcPr>
          <w:p>
            <w:pPr>
              <w:pStyle w:val="yTableNAm"/>
              <w:ind w:right="172"/>
              <w:jc w:val="right"/>
            </w:pPr>
            <w:r>
              <w:t>18.60</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9.15 plus</w:t>
            </w:r>
            <w:r>
              <w:br/>
              <w:t>3.80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30.50 plus</w:t>
            </w:r>
            <w:r>
              <w:br/>
              <w:t>11.55 per page</w:t>
            </w:r>
          </w:p>
        </w:tc>
        <w:tc>
          <w:tcPr>
            <w:tcW w:w="1276" w:type="dxa"/>
            <w:tcBorders>
              <w:top w:val="nil"/>
              <w:left w:val="nil"/>
              <w:bottom w:val="nil"/>
              <w:right w:val="nil"/>
            </w:tcBorders>
            <w:noWrap/>
          </w:tcPr>
          <w:p>
            <w:pPr>
              <w:pStyle w:val="yTableNAm"/>
              <w:keepNext/>
            </w:pPr>
            <w:r>
              <w:t>30.50 plus</w:t>
            </w:r>
            <w:r>
              <w:br/>
              <w:t>23.00 per page</w:t>
            </w:r>
          </w:p>
        </w:tc>
        <w:tc>
          <w:tcPr>
            <w:tcW w:w="1276" w:type="dxa"/>
            <w:tcBorders>
              <w:top w:val="nil"/>
              <w:left w:val="nil"/>
              <w:bottom w:val="nil"/>
              <w:right w:val="nil"/>
            </w:tcBorders>
            <w:noWrap/>
          </w:tcPr>
          <w:p>
            <w:pPr>
              <w:pStyle w:val="yTableNAm"/>
              <w:keepNext/>
            </w:pPr>
            <w:r>
              <w:t xml:space="preserve">9.15 plus </w:t>
            </w:r>
            <w:r>
              <w:br/>
              <w:t>3.45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30.50 plus</w:t>
            </w:r>
            <w:r>
              <w:br/>
              <w:t>10.55 per page</w:t>
            </w:r>
          </w:p>
        </w:tc>
        <w:tc>
          <w:tcPr>
            <w:tcW w:w="1276" w:type="dxa"/>
            <w:tcBorders>
              <w:top w:val="nil"/>
              <w:left w:val="nil"/>
              <w:bottom w:val="nil"/>
              <w:right w:val="nil"/>
            </w:tcBorders>
            <w:noWrap/>
          </w:tcPr>
          <w:p>
            <w:pPr>
              <w:pStyle w:val="yTableNAm"/>
            </w:pPr>
            <w:r>
              <w:t>30.50 plus</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30.50 plus</w:t>
            </w:r>
            <w:r>
              <w:br/>
              <w:t>8.90 per page</w:t>
            </w:r>
          </w:p>
        </w:tc>
        <w:tc>
          <w:tcPr>
            <w:tcW w:w="1276" w:type="dxa"/>
            <w:tcBorders>
              <w:top w:val="nil"/>
              <w:left w:val="nil"/>
              <w:bottom w:val="nil"/>
              <w:right w:val="nil"/>
            </w:tcBorders>
            <w:noWrap/>
          </w:tcPr>
          <w:p>
            <w:pPr>
              <w:pStyle w:val="yTableNAm"/>
            </w:pPr>
            <w:r>
              <w:t>30.50 plus</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30.50 plus</w:t>
            </w:r>
            <w:r>
              <w:br/>
              <w:t>26.70 per page</w:t>
            </w:r>
          </w:p>
        </w:tc>
        <w:tc>
          <w:tcPr>
            <w:tcW w:w="1276" w:type="dxa"/>
            <w:tcBorders>
              <w:top w:val="nil"/>
              <w:left w:val="nil"/>
              <w:bottom w:val="nil"/>
              <w:right w:val="nil"/>
            </w:tcBorders>
            <w:noWrap/>
          </w:tcPr>
          <w:p>
            <w:pPr>
              <w:pStyle w:val="yTableNAm"/>
            </w:pPr>
            <w:r>
              <w:t xml:space="preserve">9.15 plus </w:t>
            </w:r>
            <w:r>
              <w:br/>
              <w:t>4.00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31.90 per copy</w:t>
            </w:r>
          </w:p>
        </w:tc>
        <w:tc>
          <w:tcPr>
            <w:tcW w:w="1276" w:type="dxa"/>
            <w:tcBorders>
              <w:top w:val="nil"/>
              <w:left w:val="nil"/>
              <w:bottom w:val="nil"/>
              <w:right w:val="nil"/>
            </w:tcBorders>
            <w:noWrap/>
          </w:tcPr>
          <w:p>
            <w:pPr>
              <w:pStyle w:val="yTableNAm"/>
            </w:pPr>
            <w:r>
              <w:t>31.90 per copy</w:t>
            </w:r>
          </w:p>
        </w:tc>
        <w:tc>
          <w:tcPr>
            <w:tcW w:w="1276" w:type="dxa"/>
            <w:tcBorders>
              <w:top w:val="nil"/>
              <w:left w:val="nil"/>
              <w:bottom w:val="nil"/>
              <w:right w:val="nil"/>
            </w:tcBorders>
            <w:noWrap/>
          </w:tcPr>
          <w:p>
            <w:pPr>
              <w:pStyle w:val="yTableNAm"/>
            </w:pPr>
            <w:r>
              <w:t>9.55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3.20 per page</w:t>
            </w:r>
          </w:p>
        </w:tc>
        <w:tc>
          <w:tcPr>
            <w:tcW w:w="1276" w:type="dxa"/>
            <w:tcBorders>
              <w:top w:val="nil"/>
              <w:left w:val="nil"/>
              <w:bottom w:val="single" w:sz="4" w:space="0" w:color="auto"/>
              <w:right w:val="nil"/>
            </w:tcBorders>
            <w:noWrap/>
          </w:tcPr>
          <w:p>
            <w:pPr>
              <w:pStyle w:val="yTableNAm"/>
            </w:pPr>
            <w:r>
              <w:t>3.20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r>
        <w:tab/>
        <w:t>[Division 2 inserted: SL 2025/111 r. 28.]</w:t>
      </w:r>
    </w:p>
    <w:p>
      <w:pPr>
        <w:pStyle w:val="yScheduleHeading"/>
      </w:pPr>
      <w:bookmarkStart w:id="29" w:name="_Toc201313732"/>
      <w:bookmarkStart w:id="30" w:name="_Toc201328960"/>
      <w:r>
        <w:rPr>
          <w:rStyle w:val="CharSchNo"/>
        </w:rPr>
        <w:lastRenderedPageBreak/>
        <w:t>Schedule 2</w:t>
      </w:r>
      <w:r>
        <w:rPr>
          <w:rStyle w:val="CharSDivNo"/>
        </w:rPr>
        <w:t> </w:t>
      </w:r>
      <w:r>
        <w:t>—</w:t>
      </w:r>
      <w:r>
        <w:rPr>
          <w:rStyle w:val="CharSDivText"/>
        </w:rPr>
        <w:t> </w:t>
      </w:r>
      <w:r>
        <w:rPr>
          <w:rStyle w:val="CharSchText"/>
        </w:rPr>
        <w:t>Sheriff’s fees</w:t>
      </w:r>
      <w:bookmarkEnd w:id="29"/>
      <w:bookmarkEnd w:id="30"/>
    </w:p>
    <w:p>
      <w:pPr>
        <w:pStyle w:val="yShoulderClause"/>
      </w:pPr>
      <w:r>
        <w:t>[r. 4]</w:t>
      </w:r>
    </w:p>
    <w:p>
      <w:pPr>
        <w:pStyle w:val="yFootnoteheading"/>
        <w:spacing w:after="60"/>
      </w:pPr>
      <w:r>
        <w:tab/>
        <w:t>[Heading inserted: SL 2025/111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211.00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209.00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55.00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117.00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lastRenderedPageBreak/>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2.65</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3.00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110.00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354.00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rPr>
                <w:rStyle w:val="DraftersNotes"/>
                <w:b w:val="0"/>
                <w:i w:val="0"/>
                <w:sz w:val="22"/>
              </w:rPr>
            </w:pPr>
            <w:r>
              <w:t>The reasonable amount paid</w:t>
            </w:r>
          </w:p>
        </w:tc>
      </w:tr>
    </w:tbl>
    <w:p>
      <w:pPr>
        <w:pStyle w:val="yFootnotesection"/>
      </w:pPr>
      <w:r>
        <w:tab/>
        <w:t>[Schedule 2 inserted: SL 2025/111 r. 28.]</w:t>
      </w:r>
    </w:p>
    <w:p>
      <w:pPr>
        <w:pStyle w:val="yScheduleHeading"/>
      </w:pPr>
      <w:bookmarkStart w:id="31" w:name="_Toc201313733"/>
      <w:bookmarkStart w:id="32" w:name="_Toc201328961"/>
      <w:r>
        <w:rPr>
          <w:rStyle w:val="CharSchNo"/>
        </w:rPr>
        <w:lastRenderedPageBreak/>
        <w:t>Schedule 3</w:t>
      </w:r>
      <w:r>
        <w:t> —</w:t>
      </w:r>
      <w:r>
        <w:rPr>
          <w:rStyle w:val="CharSchText"/>
        </w:rPr>
        <w:t> Probate fees</w:t>
      </w:r>
      <w:bookmarkEnd w:id="31"/>
      <w:bookmarkEnd w:id="32"/>
    </w:p>
    <w:p>
      <w:pPr>
        <w:pStyle w:val="yShoulderClause"/>
      </w:pPr>
      <w:r>
        <w:t>[r. 4]</w:t>
      </w:r>
    </w:p>
    <w:p>
      <w:pPr>
        <w:pStyle w:val="yFootnoteheading"/>
        <w:spacing w:after="60"/>
      </w:pPr>
      <w:r>
        <w:tab/>
        <w:t>[Heading inserted: SL 2025/111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130.00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130.00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2.75</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30.30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164.50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164.50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66.50</w:t>
            </w:r>
          </w:p>
        </w:tc>
      </w:tr>
    </w:tbl>
    <w:p>
      <w:pPr>
        <w:pStyle w:val="yFootnotesection"/>
      </w:pPr>
      <w:r>
        <w:tab/>
        <w:t>[Schedule 3 inserted: SL 2025/111 r. 28.]</w:t>
      </w:r>
      <w:bookmarkEnd w:id="22"/>
      <w:bookmarkEnd w:id="23"/>
      <w:bookmarkEnd w:id="24"/>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4" w:name="_Toc201312588"/>
      <w:bookmarkStart w:id="35" w:name="_Toc201313734"/>
      <w:bookmarkStart w:id="36" w:name="_Toc201328962"/>
      <w:r>
        <w:rPr>
          <w:rStyle w:val="CharSchNo"/>
        </w:rPr>
        <w:lastRenderedPageBreak/>
        <w:t>Schedule 4</w:t>
      </w:r>
      <w:r>
        <w:t xml:space="preserve"> — </w:t>
      </w:r>
      <w:r>
        <w:rPr>
          <w:rStyle w:val="CharSchText"/>
        </w:rPr>
        <w:t>Forms</w:t>
      </w:r>
      <w:bookmarkEnd w:id="34"/>
      <w:bookmarkEnd w:id="35"/>
      <w:bookmarkEnd w:id="36"/>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lastRenderedPageBreak/>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lastRenderedPageBreak/>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lastRenderedPageBreak/>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lastRenderedPageBreak/>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lastRenderedPageBreak/>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37" w:name="_Toc201312589"/>
      <w:bookmarkStart w:id="38" w:name="_Toc201313735"/>
      <w:bookmarkStart w:id="39" w:name="_Toc201328963"/>
      <w:r>
        <w:lastRenderedPageBreak/>
        <w:t>Notes</w:t>
      </w:r>
      <w:bookmarkEnd w:id="37"/>
      <w:bookmarkEnd w:id="38"/>
      <w:bookmarkEnd w:id="39"/>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pPr>
        <w:pStyle w:val="nHeading3"/>
      </w:pPr>
      <w:bookmarkStart w:id="40" w:name="_Toc201328964"/>
      <w:r>
        <w:t>Compilation table</w:t>
      </w:r>
      <w:bookmarkEnd w:id="40"/>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lastRenderedPageBreak/>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pPr>
              <w:pStyle w:val="nTable"/>
              <w:spacing w:after="40"/>
            </w:pPr>
            <w:r>
              <w:t>SL 2024/113 26 Jun 2023</w:t>
            </w:r>
          </w:p>
        </w:tc>
        <w:tc>
          <w:tcPr>
            <w:tcW w:w="2668" w:type="dxa"/>
            <w:tcBorders>
              <w:top w:val="nil"/>
              <w:bottom w:val="nil"/>
            </w:tcBorders>
            <w:shd w:val="clear" w:color="auto" w:fill="auto"/>
          </w:tcPr>
          <w:p>
            <w:pPr>
              <w:pStyle w:val="nTable"/>
              <w:spacing w:after="40"/>
            </w:pPr>
            <w:r>
              <w:t>1 Jul 2024 (see r. 2(b))</w:t>
            </w:r>
          </w:p>
        </w:tc>
      </w:tr>
      <w:tr>
        <w:tc>
          <w:tcPr>
            <w:tcW w:w="3146" w:type="dxa"/>
            <w:gridSpan w:val="2"/>
            <w:tcBorders>
              <w:top w:val="nil"/>
              <w:bottom w:val="nil"/>
            </w:tcBorders>
            <w:shd w:val="clear" w:color="auto" w:fill="auto"/>
          </w:tcPr>
          <w:p>
            <w:pPr>
              <w:pStyle w:val="nTable"/>
              <w:spacing w:after="40"/>
              <w:rPr>
                <w:i/>
              </w:rPr>
            </w:pPr>
            <w:r>
              <w:rPr>
                <w:i/>
              </w:rPr>
              <w:t xml:space="preserve">Court Fees Regulation Amendment Regulations 2024 </w:t>
            </w:r>
            <w:r>
              <w:rPr>
                <w:iCs/>
              </w:rPr>
              <w:t>Pt. 5</w:t>
            </w:r>
          </w:p>
        </w:tc>
        <w:tc>
          <w:tcPr>
            <w:tcW w:w="1281" w:type="dxa"/>
            <w:gridSpan w:val="2"/>
            <w:tcBorders>
              <w:top w:val="nil"/>
              <w:bottom w:val="nil"/>
            </w:tcBorders>
            <w:shd w:val="clear" w:color="auto" w:fill="auto"/>
          </w:tcPr>
          <w:p>
            <w:pPr>
              <w:pStyle w:val="nTable"/>
              <w:spacing w:after="40"/>
            </w:pPr>
            <w:r>
              <w:t>SL 2024/174 21 Aug 2024</w:t>
            </w:r>
          </w:p>
        </w:tc>
        <w:tc>
          <w:tcPr>
            <w:tcW w:w="2668" w:type="dxa"/>
            <w:tcBorders>
              <w:top w:val="nil"/>
              <w:bottom w:val="nil"/>
            </w:tcBorders>
            <w:shd w:val="clear" w:color="auto" w:fill="auto"/>
          </w:tcPr>
          <w:p>
            <w:pPr>
              <w:pStyle w:val="nTable"/>
              <w:spacing w:after="40"/>
            </w:pPr>
            <w:r>
              <w:t>1 Sep 2024 (see r. 2(b))</w:t>
            </w:r>
          </w:p>
        </w:tc>
      </w:tr>
      <w:tr>
        <w:tc>
          <w:tcPr>
            <w:tcW w:w="3146" w:type="dxa"/>
            <w:gridSpan w:val="2"/>
            <w:tcBorders>
              <w:top w:val="nil"/>
              <w:bottom w:val="single" w:sz="4" w:space="0" w:color="auto"/>
            </w:tcBorders>
            <w:shd w:val="clear" w:color="auto" w:fill="auto"/>
          </w:tcPr>
          <w:p>
            <w:pPr>
              <w:pStyle w:val="nTable"/>
              <w:spacing w:after="40"/>
              <w:rPr>
                <w:i/>
              </w:rPr>
            </w:pPr>
            <w:r>
              <w:rPr>
                <w:i/>
              </w:rPr>
              <w:t>Attorney General Regulations Amendment (Fees and Charges) Regulations 2025</w:t>
            </w:r>
            <w:r>
              <w:t xml:space="preserve"> Pt. 12</w:t>
            </w:r>
          </w:p>
        </w:tc>
        <w:tc>
          <w:tcPr>
            <w:tcW w:w="1281" w:type="dxa"/>
            <w:gridSpan w:val="2"/>
            <w:tcBorders>
              <w:top w:val="nil"/>
              <w:bottom w:val="single" w:sz="4" w:space="0" w:color="auto"/>
            </w:tcBorders>
            <w:shd w:val="clear" w:color="auto" w:fill="auto"/>
          </w:tcPr>
          <w:p>
            <w:pPr>
              <w:pStyle w:val="nTable"/>
              <w:spacing w:after="40"/>
            </w:pPr>
            <w:r>
              <w:t>SL 2025/111 25 Jun 2025</w:t>
            </w:r>
          </w:p>
        </w:tc>
        <w:tc>
          <w:tcPr>
            <w:tcW w:w="2668" w:type="dxa"/>
            <w:tcBorders>
              <w:top w:val="nil"/>
              <w:bottom w:val="single" w:sz="4" w:space="0" w:color="auto"/>
            </w:tcBorders>
            <w:shd w:val="clear" w:color="auto" w:fill="auto"/>
          </w:tcPr>
          <w:p>
            <w:pPr>
              <w:pStyle w:val="nTable"/>
              <w:spacing w:after="40"/>
            </w:pPr>
            <w:r>
              <w:t>1 Jul 2025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2" w:name="_Toc201312591"/>
      <w:bookmarkStart w:id="43" w:name="_Toc201313737"/>
      <w:bookmarkStart w:id="44" w:name="_Toc201328965"/>
      <w:r>
        <w:rPr>
          <w:sz w:val="28"/>
        </w:rPr>
        <w:lastRenderedPageBreak/>
        <w:t>Defined terms</w:t>
      </w:r>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3</w:t>
      </w:r>
    </w:p>
    <w:p>
      <w:pPr>
        <w:pStyle w:val="DefinedTerms"/>
      </w:pPr>
      <w:r>
        <w:t>individual</w:t>
      </w:r>
      <w:r>
        <w:tab/>
        <w:t>2</w:t>
      </w:r>
    </w:p>
    <w:p>
      <w:pPr>
        <w:pStyle w:val="DefinedTerms"/>
      </w:pPr>
      <w:r>
        <w:t>metropolitan region</w:t>
      </w:r>
      <w:r>
        <w:tab/>
        <w:t>3</w:t>
      </w:r>
    </w:p>
    <w:p>
      <w:pPr>
        <w:pStyle w:val="DefinedTerms"/>
      </w:pPr>
      <w:r>
        <w:t>non-profit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4702"/>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 w:name="WAFER_20250620114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4702_GUID" w:val="5728653d-6353-4eec-9a12-586ac00b1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10092</Words>
  <Characters>48345</Characters>
  <Application>Microsoft Office Word</Application>
  <DocSecurity>0</DocSecurity>
  <Lines>2544</Lines>
  <Paragraphs>1425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2002 - 04-i0-00</dc:title>
  <dc:subject/>
  <dc:creator/>
  <cp:keywords/>
  <dc:description/>
  <cp:lastModifiedBy>Master Repository Process</cp:lastModifiedBy>
  <cp:revision>4</cp:revision>
  <cp:lastPrinted>2019-10-17T05:41:00Z</cp:lastPrinted>
  <dcterms:created xsi:type="dcterms:W3CDTF">2025-06-27T06:20:00Z</dcterms:created>
  <dcterms:modified xsi:type="dcterms:W3CDTF">2025-06-27T06:20:00Z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01 Jul 2025</vt:lpwstr>
  </property>
  <property fmtid="{D5CDD505-2E9C-101B-9397-08002B2CF9AE}" pid="8" name="Suffix">
    <vt:lpwstr>04-i0-00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