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Services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Services (Water Corporations Charges)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_Toc201745766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_Toc201745767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_Toc201745768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_Toc201745770 \h </w:instrText>
      </w:r>
      <w:r>
        <w:fldChar w:fldCharType="separate"/>
      </w:r>
      <w:r>
        <w:t>3</w:t>
      </w:r>
      <w:r>
        <w:fldChar w:fldCharType="end"/>
      </w:r>
    </w:p>
    <w:p>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_Toc201745771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Charges for Bunbury Water Corporation</w:t>
      </w:r>
    </w:p>
    <w:p>
      <w:pPr>
        <w:pStyle w:val="TOC8"/>
        <w:rPr>
          <w:rFonts w:asciiTheme="minorHAnsi" w:eastAsiaTheme="minorEastAsia" w:hAnsiTheme="minorHAnsi" w:cstheme="minorBidi"/>
          <w:szCs w:val="22"/>
        </w:rPr>
      </w:pPr>
      <w:r>
        <w:t>6.</w:t>
      </w:r>
      <w:r>
        <w:tab/>
        <w:t>Terms used</w:t>
      </w:r>
      <w:r>
        <w:tab/>
      </w:r>
      <w:r>
        <w:fldChar w:fldCharType="begin"/>
      </w:r>
      <w:r>
        <w:instrText xml:space="preserve"> PAGEREF _Toc201745773 \h </w:instrText>
      </w:r>
      <w:r>
        <w:fldChar w:fldCharType="separate"/>
      </w:r>
      <w:r>
        <w:t>4</w:t>
      </w:r>
      <w:r>
        <w:fldChar w:fldCharType="end"/>
      </w:r>
    </w:p>
    <w:p>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_Toc201745774 \h </w:instrText>
      </w:r>
      <w:r>
        <w:fldChar w:fldCharType="separate"/>
      </w:r>
      <w:r>
        <w:t>5</w:t>
      </w:r>
      <w:r>
        <w:fldChar w:fldCharType="end"/>
      </w:r>
    </w:p>
    <w:p>
      <w:pPr>
        <w:pStyle w:val="TOC8"/>
        <w:rPr>
          <w:rFonts w:asciiTheme="minorHAnsi" w:eastAsiaTheme="minorEastAsia" w:hAnsiTheme="minorHAnsi" w:cstheme="minorBidi"/>
          <w:szCs w:val="22"/>
        </w:rPr>
      </w:pPr>
      <w:r>
        <w:t>9.</w:t>
      </w:r>
      <w:r>
        <w:tab/>
        <w:t>Concessions</w:t>
      </w:r>
      <w:r>
        <w:tab/>
      </w:r>
      <w:r>
        <w:fldChar w:fldCharType="begin"/>
      </w:r>
      <w:r>
        <w:instrText xml:space="preserve"> PAGEREF _Toc201745775 \h </w:instrText>
      </w:r>
      <w:r>
        <w:fldChar w:fldCharType="separate"/>
      </w:r>
      <w:r>
        <w:t>5</w:t>
      </w:r>
      <w:r>
        <w:fldChar w:fldCharType="end"/>
      </w:r>
    </w:p>
    <w:p>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_Toc201745776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_Toc201745778 \h </w:instrText>
      </w:r>
      <w:r>
        <w:fldChar w:fldCharType="separate"/>
      </w:r>
      <w:r>
        <w:t>7</w:t>
      </w:r>
      <w:r>
        <w:fldChar w:fldCharType="end"/>
      </w:r>
    </w:p>
    <w:p>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_Toc201745779 \h </w:instrText>
      </w:r>
      <w:r>
        <w:fldChar w:fldCharType="separate"/>
      </w:r>
      <w:r>
        <w:t>8</w:t>
      </w:r>
      <w:r>
        <w:fldChar w:fldCharType="end"/>
      </w:r>
    </w:p>
    <w:p>
      <w:pPr>
        <w:pStyle w:val="TOC8"/>
        <w:rPr>
          <w:rFonts w:asciiTheme="minorHAnsi" w:eastAsiaTheme="minorEastAsia" w:hAnsiTheme="minorHAnsi" w:cstheme="minorBidi"/>
          <w:szCs w:val="22"/>
        </w:rPr>
      </w:pPr>
      <w:r>
        <w:t>14.</w:t>
      </w:r>
      <w:r>
        <w:tab/>
        <w:t>Concessions</w:t>
      </w:r>
      <w:r>
        <w:tab/>
      </w:r>
      <w:r>
        <w:fldChar w:fldCharType="begin"/>
      </w:r>
      <w:r>
        <w:instrText xml:space="preserve"> PAGEREF _Toc201745780 \h </w:instrText>
      </w:r>
      <w:r>
        <w:fldChar w:fldCharType="separate"/>
      </w:r>
      <w:r>
        <w:t>8</w:t>
      </w:r>
      <w:r>
        <w:fldChar w:fldCharType="end"/>
      </w:r>
    </w:p>
    <w:p>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_Toc201745781 \h </w:instrText>
      </w:r>
      <w:r>
        <w:fldChar w:fldCharType="separate"/>
      </w:r>
      <w:r>
        <w:t>9</w:t>
      </w:r>
      <w:r>
        <w:fldChar w:fldCharType="end"/>
      </w:r>
    </w:p>
    <w:p>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_Toc201745782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_Toc201745785 \h </w:instrText>
      </w:r>
      <w:r>
        <w:fldChar w:fldCharType="separate"/>
      </w:r>
      <w:r>
        <w:t>11</w:t>
      </w:r>
      <w:r>
        <w:fldChar w:fldCharType="end"/>
      </w:r>
    </w:p>
    <w:p>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_Toc201745786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Provisions of general application</w:t>
      </w:r>
    </w:p>
    <w:p>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_Toc201745788 \h </w:instrText>
      </w:r>
      <w:r>
        <w:fldChar w:fldCharType="separate"/>
      </w:r>
      <w:r>
        <w:t>19</w:t>
      </w:r>
      <w:r>
        <w:fldChar w:fldCharType="end"/>
      </w:r>
    </w:p>
    <w:p>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_Toc201745789 \h </w:instrText>
      </w:r>
      <w:r>
        <w:fldChar w:fldCharType="separate"/>
      </w:r>
      <w:r>
        <w:t>20</w:t>
      </w:r>
      <w:r>
        <w:fldChar w:fldCharType="end"/>
      </w:r>
    </w:p>
    <w:p>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_Toc201745790 \h </w:instrText>
      </w:r>
      <w:r>
        <w:fldChar w:fldCharType="separate"/>
      </w:r>
      <w:r>
        <w:t>20</w:t>
      </w:r>
      <w:r>
        <w:fldChar w:fldCharType="end"/>
      </w:r>
    </w:p>
    <w:p>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_Toc201745791 \h </w:instrText>
      </w:r>
      <w:r>
        <w:fldChar w:fldCharType="separate"/>
      </w:r>
      <w:r>
        <w:t>21</w:t>
      </w:r>
      <w:r>
        <w:fldChar w:fldCharType="end"/>
      </w:r>
    </w:p>
    <w:p>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_Toc201745792 \h </w:instrText>
      </w:r>
      <w:r>
        <w:fldChar w:fldCharType="separate"/>
      </w:r>
      <w:r>
        <w:t>21</w:t>
      </w:r>
      <w:r>
        <w:fldChar w:fldCharType="end"/>
      </w:r>
    </w:p>
    <w:p>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_Toc201745793 \h </w:instrText>
      </w:r>
      <w:r>
        <w:fldChar w:fldCharType="separate"/>
      </w:r>
      <w:r>
        <w:t>23</w:t>
      </w:r>
      <w:r>
        <w:fldChar w:fldCharType="end"/>
      </w:r>
    </w:p>
    <w:p>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_Toc201745794 \h </w:instrText>
      </w:r>
      <w:r>
        <w:fldChar w:fldCharType="separate"/>
      </w:r>
      <w:r>
        <w:t>25</w:t>
      </w:r>
      <w:r>
        <w:fldChar w:fldCharType="end"/>
      </w:r>
    </w:p>
    <w:p>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_Toc201745795 \h </w:instrText>
      </w:r>
      <w:r>
        <w:fldChar w:fldCharType="separate"/>
      </w:r>
      <w:r>
        <w:t>25</w:t>
      </w:r>
      <w:r>
        <w:fldChar w:fldCharType="end"/>
      </w:r>
    </w:p>
    <w:p>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_Toc201745796 \h </w:instrText>
      </w:r>
      <w:r>
        <w:fldChar w:fldCharType="separate"/>
      </w:r>
      <w:r>
        <w:t>26</w:t>
      </w:r>
      <w:r>
        <w:fldChar w:fldCharType="end"/>
      </w:r>
    </w:p>
    <w:p>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_Toc201745797 \h </w:instrText>
      </w:r>
      <w:r>
        <w:fldChar w:fldCharType="separate"/>
      </w:r>
      <w:r>
        <w:t>26</w:t>
      </w:r>
      <w:r>
        <w:fldChar w:fldCharType="end"/>
      </w:r>
    </w:p>
    <w:p>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_Toc201745798 \h </w:instrText>
      </w:r>
      <w:r>
        <w:fldChar w:fldCharType="separate"/>
      </w:r>
      <w:r>
        <w:t>27</w:t>
      </w:r>
      <w:r>
        <w:fldChar w:fldCharType="end"/>
      </w:r>
    </w:p>
    <w:p>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_Toc201745799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3 — Water supply charges</w:t>
      </w:r>
    </w:p>
    <w:p>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_Toc201745801 \h </w:instrText>
      </w:r>
      <w:r>
        <w:fldChar w:fldCharType="separate"/>
      </w:r>
      <w:r>
        <w:t>29</w:t>
      </w:r>
      <w:r>
        <w:fldChar w:fldCharType="end"/>
      </w:r>
    </w:p>
    <w:p>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_Toc201745802 \h </w:instrText>
      </w:r>
      <w:r>
        <w:fldChar w:fldCharType="separate"/>
      </w:r>
      <w:r>
        <w:t>29</w:t>
      </w:r>
      <w:r>
        <w:fldChar w:fldCharType="end"/>
      </w:r>
    </w:p>
    <w:p>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_Toc201745803 \h </w:instrText>
      </w:r>
      <w:r>
        <w:fldChar w:fldCharType="separate"/>
      </w:r>
      <w:r>
        <w:t>30</w:t>
      </w:r>
      <w:r>
        <w:fldChar w:fldCharType="end"/>
      </w:r>
    </w:p>
    <w:p>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_Toc201745804 \h </w:instrText>
      </w:r>
      <w:r>
        <w:fldChar w:fldCharType="separate"/>
      </w:r>
      <w:r>
        <w:t>33</w:t>
      </w:r>
      <w:r>
        <w:fldChar w:fldCharType="end"/>
      </w:r>
    </w:p>
    <w:p>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_Toc201745805 \h </w:instrText>
      </w:r>
      <w:r>
        <w:fldChar w:fldCharType="separate"/>
      </w:r>
      <w:r>
        <w:t>34</w:t>
      </w:r>
      <w:r>
        <w:fldChar w:fldCharType="end"/>
      </w:r>
    </w:p>
    <w:p>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_Toc201745806 \h </w:instrText>
      </w:r>
      <w:r>
        <w:fldChar w:fldCharType="separate"/>
      </w:r>
      <w:r>
        <w:t>36</w:t>
      </w:r>
      <w:r>
        <w:fldChar w:fldCharType="end"/>
      </w:r>
    </w:p>
    <w:p>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_Toc201745807 \h </w:instrText>
      </w:r>
      <w:r>
        <w:fldChar w:fldCharType="separate"/>
      </w:r>
      <w:r>
        <w:t>38</w:t>
      </w:r>
      <w:r>
        <w:fldChar w:fldCharType="end"/>
      </w:r>
    </w:p>
    <w:p>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_Toc201745808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4 — Sewerage charges</w:t>
      </w:r>
    </w:p>
    <w:p>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_Toc201745810 \h </w:instrText>
      </w:r>
      <w:r>
        <w:fldChar w:fldCharType="separate"/>
      </w:r>
      <w:r>
        <w:t>39</w:t>
      </w:r>
      <w:r>
        <w:fldChar w:fldCharType="end"/>
      </w:r>
    </w:p>
    <w:p>
      <w:pPr>
        <w:pStyle w:val="TOC8"/>
        <w:rPr>
          <w:rFonts w:asciiTheme="minorHAnsi" w:eastAsiaTheme="minorEastAsia" w:hAnsiTheme="minorHAnsi" w:cstheme="minorBidi"/>
          <w:szCs w:val="22"/>
        </w:rPr>
      </w:pPr>
      <w:r>
        <w:t>38.</w:t>
      </w:r>
      <w:r>
        <w:tab/>
        <w:t>Sewerage areas</w:t>
      </w:r>
      <w:r>
        <w:tab/>
      </w:r>
      <w:r>
        <w:fldChar w:fldCharType="begin"/>
      </w:r>
      <w:r>
        <w:instrText xml:space="preserve"> PAGEREF _Toc201745811 \h </w:instrText>
      </w:r>
      <w:r>
        <w:fldChar w:fldCharType="separate"/>
      </w:r>
      <w:r>
        <w:t>39</w:t>
      </w:r>
      <w:r>
        <w:fldChar w:fldCharType="end"/>
      </w:r>
    </w:p>
    <w:p>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_Toc201745812 \h </w:instrText>
      </w:r>
      <w:r>
        <w:fldChar w:fldCharType="separate"/>
      </w:r>
      <w:r>
        <w:t>40</w:t>
      </w:r>
      <w:r>
        <w:fldChar w:fldCharType="end"/>
      </w:r>
    </w:p>
    <w:p>
      <w:pPr>
        <w:pStyle w:val="TOC8"/>
        <w:rPr>
          <w:rFonts w:asciiTheme="minorHAnsi" w:eastAsiaTheme="minorEastAsia" w:hAnsiTheme="minorHAnsi" w:cstheme="minorBidi"/>
          <w:szCs w:val="22"/>
        </w:rPr>
      </w:pPr>
      <w:r>
        <w:lastRenderedPageBreak/>
        <w:t>40.</w:t>
      </w:r>
      <w:r>
        <w:tab/>
        <w:t>Classification of land</w:t>
      </w:r>
      <w:r>
        <w:tab/>
      </w:r>
      <w:r>
        <w:fldChar w:fldCharType="begin"/>
      </w:r>
      <w:r>
        <w:instrText xml:space="preserve"> PAGEREF _Toc201745813 \h </w:instrText>
      </w:r>
      <w:r>
        <w:fldChar w:fldCharType="separate"/>
      </w:r>
      <w:r>
        <w:t>41</w:t>
      </w:r>
      <w:r>
        <w:fldChar w:fldCharType="end"/>
      </w:r>
    </w:p>
    <w:p>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_Toc201745814 \h </w:instrText>
      </w:r>
      <w:r>
        <w:fldChar w:fldCharType="separate"/>
      </w:r>
      <w:r>
        <w:t>43</w:t>
      </w:r>
      <w:r>
        <w:fldChar w:fldCharType="end"/>
      </w:r>
    </w:p>
    <w:p>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_Toc201745815 \h </w:instrText>
      </w:r>
      <w:r>
        <w:fldChar w:fldCharType="separate"/>
      </w:r>
      <w:r>
        <w:t>44</w:t>
      </w:r>
      <w:r>
        <w:fldChar w:fldCharType="end"/>
      </w:r>
    </w:p>
    <w:p>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_Toc201745816 \h </w:instrText>
      </w:r>
      <w:r>
        <w:fldChar w:fldCharType="separate"/>
      </w:r>
      <w:r>
        <w:t>45</w:t>
      </w:r>
      <w:r>
        <w:fldChar w:fldCharType="end"/>
      </w:r>
    </w:p>
    <w:p>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_Toc201745817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5 — Drainage charges</w:t>
      </w:r>
    </w:p>
    <w:p>
      <w:pPr>
        <w:pStyle w:val="TOC8"/>
        <w:rPr>
          <w:rFonts w:asciiTheme="minorHAnsi" w:eastAsiaTheme="minorEastAsia" w:hAnsiTheme="minorHAnsi" w:cstheme="minorBidi"/>
          <w:szCs w:val="22"/>
        </w:rPr>
      </w:pPr>
      <w:r>
        <w:t>45.</w:t>
      </w:r>
      <w:r>
        <w:tab/>
        <w:t>Drainage areas</w:t>
      </w:r>
      <w:r>
        <w:tab/>
      </w:r>
      <w:r>
        <w:fldChar w:fldCharType="begin"/>
      </w:r>
      <w:r>
        <w:instrText xml:space="preserve"> PAGEREF _Toc201745819 \h </w:instrText>
      </w:r>
      <w:r>
        <w:fldChar w:fldCharType="separate"/>
      </w:r>
      <w:r>
        <w:t>46</w:t>
      </w:r>
      <w:r>
        <w:fldChar w:fldCharType="end"/>
      </w:r>
    </w:p>
    <w:p>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_Toc201745820 \h </w:instrText>
      </w:r>
      <w:r>
        <w:fldChar w:fldCharType="separate"/>
      </w:r>
      <w:r>
        <w:t>47</w:t>
      </w:r>
      <w:r>
        <w:fldChar w:fldCharType="end"/>
      </w:r>
    </w:p>
    <w:p>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_Toc201745821 \h </w:instrText>
      </w:r>
      <w:r>
        <w:fldChar w:fldCharType="separate"/>
      </w:r>
      <w:r>
        <w:t>48</w:t>
      </w:r>
      <w:r>
        <w:fldChar w:fldCharType="end"/>
      </w:r>
    </w:p>
    <w:p>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_Toc201745822 \h </w:instrText>
      </w:r>
      <w:r>
        <w:fldChar w:fldCharType="separate"/>
      </w:r>
      <w:r>
        <w:t>49</w:t>
      </w:r>
      <w:r>
        <w:fldChar w:fldCharType="end"/>
      </w:r>
    </w:p>
    <w:p>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_Toc201745823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6 — Irrigation charges</w:t>
      </w:r>
    </w:p>
    <w:p>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_Toc201745825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7 — Miscellaneous charges</w:t>
      </w:r>
    </w:p>
    <w:p>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_Toc201745827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pPr>
        <w:pStyle w:val="TOC4"/>
        <w:tabs>
          <w:tab w:val="right" w:leader="dot" w:pos="7077"/>
        </w:tabs>
        <w:rPr>
          <w:rFonts w:asciiTheme="minorHAnsi" w:eastAsiaTheme="minorEastAsia" w:hAnsiTheme="minorHAnsi" w:cstheme="minorBidi"/>
          <w:b w:val="0"/>
          <w:szCs w:val="22"/>
        </w:rPr>
      </w:pPr>
      <w:r>
        <w:t>Division 1 — </w:t>
      </w:r>
      <w:r>
        <w:rPr>
          <w:i/>
        </w:rPr>
        <w:t>Water Services (Water Corporations Charges) Regulations 2013</w:t>
      </w:r>
      <w:r>
        <w:t xml:space="preserve"> repealed</w:t>
      </w:r>
    </w:p>
    <w:p>
      <w:pPr>
        <w:pStyle w:val="TOC8"/>
        <w:rPr>
          <w:rFonts w:asciiTheme="minorHAnsi" w:eastAsiaTheme="minorEastAsia" w:hAnsiTheme="minorHAnsi" w:cstheme="minorBidi"/>
          <w:szCs w:val="22"/>
        </w:rPr>
      </w:pPr>
      <w:r>
        <w:t>52.</w:t>
      </w:r>
      <w:r>
        <w:tab/>
      </w:r>
      <w:r>
        <w:rPr>
          <w:i/>
        </w:rPr>
        <w:t>Water Services (Water Corporations Charges) Regulations 2013</w:t>
      </w:r>
      <w:r>
        <w:t xml:space="preserve"> repealed</w:t>
      </w:r>
      <w:r>
        <w:tab/>
      </w:r>
      <w:r>
        <w:fldChar w:fldCharType="begin"/>
      </w:r>
      <w:r>
        <w:instrText xml:space="preserve"> PAGEREF _Toc201745830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provisions: </w:t>
      </w:r>
      <w:r>
        <w:rPr>
          <w:i/>
        </w:rPr>
        <w:t>Water Services (Water Corporations Charges) Regulations 2014</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53.</w:t>
      </w:r>
      <w:r>
        <w:tab/>
        <w:t xml:space="preserve">Application of the </w:t>
      </w:r>
      <w:r>
        <w:rPr>
          <w:i/>
        </w:rPr>
        <w:t>Interpretation Act 1984</w:t>
      </w:r>
      <w:r>
        <w:tab/>
      </w:r>
      <w:r>
        <w:fldChar w:fldCharType="begin"/>
      </w:r>
      <w:r>
        <w:instrText xml:space="preserve"> PAGEREF _Toc201745833 \h </w:instrText>
      </w:r>
      <w:r>
        <w:fldChar w:fldCharType="separate"/>
      </w:r>
      <w:r>
        <w:t>52</w:t>
      </w:r>
      <w:r>
        <w:fldChar w:fldCharType="end"/>
      </w:r>
    </w:p>
    <w:p>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_Toc201745834 \h </w:instrText>
      </w:r>
      <w:r>
        <w:fldChar w:fldCharType="separate"/>
      </w:r>
      <w:r>
        <w:t>52</w:t>
      </w:r>
      <w:r>
        <w:fldChar w:fldCharType="end"/>
      </w:r>
    </w:p>
    <w:p>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_Toc201745835 \h </w:instrText>
      </w:r>
      <w:r>
        <w:fldChar w:fldCharType="separate"/>
      </w:r>
      <w:r>
        <w:t>52</w:t>
      </w:r>
      <w:r>
        <w:fldChar w:fldCharType="end"/>
      </w:r>
    </w:p>
    <w:p>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_Toc201745836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Specific provisions</w:t>
      </w:r>
    </w:p>
    <w:p>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_Toc201745838 \h </w:instrText>
      </w:r>
      <w:r>
        <w:fldChar w:fldCharType="separate"/>
      </w:r>
      <w:r>
        <w:t>53</w:t>
      </w:r>
      <w:r>
        <w:fldChar w:fldCharType="end"/>
      </w:r>
    </w:p>
    <w:p>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_Toc201745839 \h </w:instrText>
      </w:r>
      <w:r>
        <w:fldChar w:fldCharType="separate"/>
      </w:r>
      <w:r>
        <w:t>53</w:t>
      </w:r>
      <w:r>
        <w:fldChar w:fldCharType="end"/>
      </w:r>
    </w:p>
    <w:p>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_Toc201745840 \h </w:instrText>
      </w:r>
      <w:r>
        <w:fldChar w:fldCharType="separate"/>
      </w:r>
      <w:r>
        <w:t>54</w:t>
      </w:r>
      <w:r>
        <w:fldChar w:fldCharType="end"/>
      </w:r>
    </w:p>
    <w:p>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_Toc201745841 \h </w:instrText>
      </w:r>
      <w:r>
        <w:fldChar w:fldCharType="separate"/>
      </w:r>
      <w:r>
        <w:t>54</w:t>
      </w:r>
      <w:r>
        <w:fldChar w:fldCharType="end"/>
      </w:r>
    </w:p>
    <w:p>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_Toc201745842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provisions: </w:t>
      </w:r>
      <w:r>
        <w:rPr>
          <w:i/>
        </w:rPr>
        <w:t>Water Services (Water Corporations Charges) Amendment Regulations (No. 2) 2014</w:t>
      </w:r>
    </w:p>
    <w:p>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_Toc201745844 \h </w:instrText>
      </w:r>
      <w:r>
        <w:fldChar w:fldCharType="separate"/>
      </w:r>
      <w:r>
        <w:t>55</w:t>
      </w:r>
      <w:r>
        <w:fldChar w:fldCharType="end"/>
      </w:r>
    </w:p>
    <w:p>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_Toc201745845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2025/26 and subsequent years</w:t>
      </w:r>
      <w:r>
        <w:tab/>
      </w:r>
      <w:r>
        <w:fldChar w:fldCharType="begin"/>
      </w:r>
      <w:r>
        <w:instrText xml:space="preserve"> PAGEREF _Toc201745848 \h </w:instrText>
      </w:r>
      <w:r>
        <w:fldChar w:fldCharType="separate"/>
      </w:r>
      <w:r>
        <w:t>57</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_Toc201745849 \h </w:instrText>
      </w:r>
      <w:r>
        <w:fldChar w:fldCharType="separate"/>
      </w:r>
      <w:r>
        <w:t>57</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_Toc201745850 \h </w:instrText>
      </w:r>
      <w:r>
        <w:fldChar w:fldCharType="separate"/>
      </w:r>
      <w:r>
        <w:t>57</w:t>
      </w:r>
      <w:r>
        <w:fldChar w:fldCharType="end"/>
      </w:r>
    </w:p>
    <w:p>
      <w:pPr>
        <w:pStyle w:val="TOC8"/>
        <w:rPr>
          <w:rFonts w:asciiTheme="minorHAnsi" w:eastAsiaTheme="minorEastAsia" w:hAnsiTheme="minorHAnsi" w:cstheme="minorBidi"/>
          <w:szCs w:val="22"/>
        </w:rPr>
      </w:pPr>
      <w:r>
        <w:t>3A.</w:t>
      </w:r>
      <w:r>
        <w:tab/>
        <w:t>Vacant land</w:t>
      </w:r>
      <w:r>
        <w:tab/>
      </w:r>
      <w:r>
        <w:fldChar w:fldCharType="begin"/>
      </w:r>
      <w:r>
        <w:instrText xml:space="preserve"> PAGEREF _Toc201745851 \h </w:instrText>
      </w:r>
      <w:r>
        <w:fldChar w:fldCharType="separate"/>
      </w:r>
      <w:r>
        <w:t>57</w:t>
      </w:r>
      <w:r>
        <w:fldChar w:fldCharType="end"/>
      </w:r>
    </w:p>
    <w:p>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_Toc201745852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8"/>
        <w:rPr>
          <w:rFonts w:asciiTheme="minorHAnsi" w:eastAsiaTheme="minorEastAsia" w:hAnsiTheme="minorHAnsi" w:cstheme="minorBidi"/>
          <w:szCs w:val="22"/>
        </w:rPr>
      </w:pPr>
      <w:r>
        <w:t>5.</w:t>
      </w:r>
      <w:r>
        <w:tab/>
        <w:t>Consumption charges for 2025/26 and subsequent years</w:t>
      </w:r>
      <w:r>
        <w:tab/>
      </w:r>
      <w:r>
        <w:fldChar w:fldCharType="begin"/>
      </w:r>
      <w:r>
        <w:instrText xml:space="preserve"> PAGEREF _Toc201745854 \h </w:instrText>
      </w:r>
      <w:r>
        <w:fldChar w:fldCharType="separate"/>
      </w:r>
      <w:r>
        <w:t>58</w:t>
      </w:r>
      <w:r>
        <w:fldChar w:fldCharType="end"/>
      </w:r>
    </w:p>
    <w:p>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_Toc201745855 \h </w:instrText>
      </w:r>
      <w:r>
        <w:fldChar w:fldCharType="separate"/>
      </w:r>
      <w:r>
        <w:t>58</w:t>
      </w:r>
      <w:r>
        <w:fldChar w:fldCharType="end"/>
      </w:r>
    </w:p>
    <w:p>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_Toc201745856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2025/26 and subsequent years</w:t>
      </w:r>
      <w:r>
        <w:tab/>
      </w:r>
      <w:r>
        <w:fldChar w:fldCharType="begin"/>
      </w:r>
      <w:r>
        <w:instrText xml:space="preserve"> PAGEREF _Toc201745859 \h </w:instrText>
      </w:r>
      <w:r>
        <w:fldChar w:fldCharType="separate"/>
      </w:r>
      <w:r>
        <w:t>60</w:t>
      </w:r>
      <w:r>
        <w:fldChar w:fldCharType="end"/>
      </w:r>
    </w:p>
    <w:p>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_Toc201745860 \h </w:instrText>
      </w:r>
      <w:r>
        <w:fldChar w:fldCharType="separate"/>
      </w:r>
      <w:r>
        <w:t>60</w:t>
      </w:r>
      <w:r>
        <w:fldChar w:fldCharType="end"/>
      </w:r>
    </w:p>
    <w:p>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_Toc201745861 \h </w:instrText>
      </w:r>
      <w:r>
        <w:fldChar w:fldCharType="separate"/>
      </w:r>
      <w:r>
        <w:t>60</w:t>
      </w:r>
      <w:r>
        <w:fldChar w:fldCharType="end"/>
      </w:r>
    </w:p>
    <w:p>
      <w:pPr>
        <w:pStyle w:val="TOC8"/>
        <w:rPr>
          <w:rFonts w:asciiTheme="minorHAnsi" w:eastAsiaTheme="minorEastAsia" w:hAnsiTheme="minorHAnsi" w:cstheme="minorBidi"/>
          <w:szCs w:val="22"/>
        </w:rPr>
      </w:pPr>
      <w:r>
        <w:t>4.</w:t>
      </w:r>
      <w:r>
        <w:tab/>
        <w:t>Vacant land</w:t>
      </w:r>
      <w:r>
        <w:tab/>
      </w:r>
      <w:r>
        <w:fldChar w:fldCharType="begin"/>
      </w:r>
      <w:r>
        <w:instrText xml:space="preserve"> PAGEREF _Toc201745862 \h </w:instrText>
      </w:r>
      <w:r>
        <w:fldChar w:fldCharType="separate"/>
      </w:r>
      <w:r>
        <w:t>60</w:t>
      </w:r>
      <w:r>
        <w:fldChar w:fldCharType="end"/>
      </w:r>
    </w:p>
    <w:p>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_Toc201745863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Consumption charges</w:t>
      </w:r>
    </w:p>
    <w:p>
      <w:pPr>
        <w:pStyle w:val="TOC8"/>
        <w:rPr>
          <w:rFonts w:asciiTheme="minorHAnsi" w:eastAsiaTheme="minorEastAsia" w:hAnsiTheme="minorHAnsi" w:cstheme="minorBidi"/>
          <w:szCs w:val="22"/>
        </w:rPr>
      </w:pPr>
      <w:r>
        <w:t>6.</w:t>
      </w:r>
      <w:r>
        <w:tab/>
        <w:t>Consumption charges for 2025/26 and subsequent years</w:t>
      </w:r>
      <w:r>
        <w:tab/>
      </w:r>
      <w:r>
        <w:fldChar w:fldCharType="begin"/>
      </w:r>
      <w:r>
        <w:instrText xml:space="preserve"> PAGEREF _Toc201745865 \h </w:instrText>
      </w:r>
      <w:r>
        <w:fldChar w:fldCharType="separate"/>
      </w:r>
      <w:r>
        <w:t>61</w:t>
      </w:r>
      <w:r>
        <w:fldChar w:fldCharType="end"/>
      </w:r>
    </w:p>
    <w:p>
      <w:pPr>
        <w:pStyle w:val="TOC8"/>
        <w:rPr>
          <w:rFonts w:asciiTheme="minorHAnsi" w:eastAsiaTheme="minorEastAsia" w:hAnsiTheme="minorHAnsi" w:cstheme="minorBidi"/>
          <w:szCs w:val="22"/>
        </w:rPr>
      </w:pPr>
      <w:r>
        <w:t>7.</w:t>
      </w:r>
      <w:r>
        <w:tab/>
        <w:t>Residential lots</w:t>
      </w:r>
      <w:r>
        <w:tab/>
      </w:r>
      <w:r>
        <w:fldChar w:fldCharType="begin"/>
      </w:r>
      <w:r>
        <w:instrText xml:space="preserve"> PAGEREF _Toc201745866 \h </w:instrText>
      </w:r>
      <w:r>
        <w:fldChar w:fldCharType="separate"/>
      </w:r>
      <w:r>
        <w:t>61</w:t>
      </w:r>
      <w:r>
        <w:fldChar w:fldCharType="end"/>
      </w:r>
    </w:p>
    <w:p>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_Toc201745867 \h </w:instrText>
      </w:r>
      <w:r>
        <w:fldChar w:fldCharType="separate"/>
      </w:r>
      <w:r>
        <w:t>61</w:t>
      </w:r>
      <w:r>
        <w:fldChar w:fldCharType="end"/>
      </w:r>
    </w:p>
    <w:p>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_Toc201745868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Schedule 3 — Water supply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Service charges for 2025/26 and subsequent years</w:t>
      </w:r>
      <w:r>
        <w:tab/>
      </w:r>
      <w:r>
        <w:fldChar w:fldCharType="begin"/>
      </w:r>
      <w:r>
        <w:instrText xml:space="preserve"> PAGEREF _Toc201745872 \h </w:instrText>
      </w:r>
      <w:r>
        <w:fldChar w:fldCharType="separate"/>
      </w:r>
      <w:r>
        <w:t>62</w:t>
      </w:r>
      <w:r>
        <w:fldChar w:fldCharType="end"/>
      </w:r>
    </w:p>
    <w:p>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_Toc201745873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pPr>
        <w:pStyle w:val="TOC8"/>
        <w:rPr>
          <w:rFonts w:asciiTheme="minorHAnsi" w:eastAsiaTheme="minorEastAsia" w:hAnsiTheme="minorHAnsi" w:cstheme="minorBidi"/>
          <w:szCs w:val="22"/>
        </w:rPr>
      </w:pPr>
      <w:r>
        <w:t>3.</w:t>
      </w:r>
      <w:r>
        <w:tab/>
        <w:t>Residential</w:t>
      </w:r>
      <w:r>
        <w:tab/>
      </w:r>
      <w:r>
        <w:fldChar w:fldCharType="begin"/>
      </w:r>
      <w:r>
        <w:instrText xml:space="preserve"> PAGEREF _Toc201745875 \h </w:instrText>
      </w:r>
      <w:r>
        <w:fldChar w:fldCharType="separate"/>
      </w:r>
      <w:r>
        <w:t>63</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_Toc201745876 \h </w:instrText>
      </w:r>
      <w:r>
        <w:fldChar w:fldCharType="separate"/>
      </w:r>
      <w:r>
        <w:t>63</w:t>
      </w:r>
      <w:r>
        <w:fldChar w:fldCharType="end"/>
      </w:r>
    </w:p>
    <w:p>
      <w:pPr>
        <w:pStyle w:val="TOC8"/>
        <w:rPr>
          <w:rFonts w:asciiTheme="minorHAnsi" w:eastAsiaTheme="minorEastAsia" w:hAnsiTheme="minorHAnsi" w:cstheme="minorBidi"/>
          <w:szCs w:val="22"/>
        </w:rPr>
      </w:pPr>
      <w:r>
        <w:t>5.</w:t>
      </w:r>
      <w:r>
        <w:tab/>
        <w:t>Strata</w:t>
      </w:r>
      <w:r>
        <w:noBreakHyphen/>
        <w:t>titled or long</w:t>
      </w:r>
      <w:r>
        <w:noBreakHyphen/>
        <w:t>term residential caravan bays and park homes</w:t>
      </w:r>
      <w:r>
        <w:tab/>
      </w:r>
      <w:r>
        <w:fldChar w:fldCharType="begin"/>
      </w:r>
      <w:r>
        <w:instrText xml:space="preserve"> PAGEREF _Toc201745877 \h </w:instrText>
      </w:r>
      <w:r>
        <w:fldChar w:fldCharType="separate"/>
      </w:r>
      <w:r>
        <w:t>64</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_Toc201745878 \h </w:instrText>
      </w:r>
      <w:r>
        <w:fldChar w:fldCharType="separate"/>
      </w:r>
      <w:r>
        <w:t>64</w:t>
      </w:r>
      <w:r>
        <w:fldChar w:fldCharType="end"/>
      </w:r>
    </w:p>
    <w:p>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_Toc201745879 \h </w:instrText>
      </w:r>
      <w:r>
        <w:fldChar w:fldCharType="separate"/>
      </w:r>
      <w:r>
        <w:t>65</w:t>
      </w:r>
      <w:r>
        <w:fldChar w:fldCharType="end"/>
      </w:r>
    </w:p>
    <w:p>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_Toc201745880 \h </w:instrText>
      </w:r>
      <w:r>
        <w:fldChar w:fldCharType="separate"/>
      </w:r>
      <w:r>
        <w:t>65</w:t>
      </w:r>
      <w:r>
        <w:fldChar w:fldCharType="end"/>
      </w:r>
    </w:p>
    <w:p>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_Toc201745881 \h </w:instrText>
      </w:r>
      <w:r>
        <w:fldChar w:fldCharType="separate"/>
      </w:r>
      <w:r>
        <w:t>65</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_Toc201745882 \h </w:instrText>
      </w:r>
      <w:r>
        <w:fldChar w:fldCharType="separate"/>
      </w:r>
      <w:r>
        <w:t>66</w:t>
      </w:r>
      <w:r>
        <w:fldChar w:fldCharType="end"/>
      </w:r>
    </w:p>
    <w:p>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_Toc201745883 \h </w:instrText>
      </w:r>
      <w:r>
        <w:fldChar w:fldCharType="separate"/>
      </w:r>
      <w:r>
        <w:t>67</w:t>
      </w:r>
      <w:r>
        <w:fldChar w:fldCharType="end"/>
      </w:r>
    </w:p>
    <w:p>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_Toc201745884 \h </w:instrText>
      </w:r>
      <w:r>
        <w:fldChar w:fldCharType="separate"/>
      </w:r>
      <w:r>
        <w:t>67</w:t>
      </w:r>
      <w:r>
        <w:fldChar w:fldCharType="end"/>
      </w:r>
    </w:p>
    <w:p>
      <w:pPr>
        <w:pStyle w:val="TOC8"/>
        <w:rPr>
          <w:rFonts w:asciiTheme="minorHAnsi" w:eastAsiaTheme="minorEastAsia" w:hAnsiTheme="minorHAnsi" w:cstheme="minorBidi"/>
          <w:szCs w:val="22"/>
        </w:rPr>
      </w:pPr>
      <w:r>
        <w:t>13.</w:t>
      </w:r>
      <w:r>
        <w:tab/>
        <w:t>Vacant land</w:t>
      </w:r>
      <w:r>
        <w:tab/>
      </w:r>
      <w:r>
        <w:fldChar w:fldCharType="begin"/>
      </w:r>
      <w:r>
        <w:instrText xml:space="preserve"> PAGEREF _Toc201745885 \h </w:instrText>
      </w:r>
      <w:r>
        <w:fldChar w:fldCharType="separate"/>
      </w:r>
      <w:r>
        <w:t>68</w:t>
      </w:r>
      <w:r>
        <w:fldChar w:fldCharType="end"/>
      </w:r>
    </w:p>
    <w:p>
      <w:pPr>
        <w:pStyle w:val="TOC8"/>
        <w:rPr>
          <w:rFonts w:asciiTheme="minorHAnsi" w:eastAsiaTheme="minorEastAsia" w:hAnsiTheme="minorHAnsi" w:cstheme="minorBidi"/>
          <w:szCs w:val="22"/>
        </w:rPr>
      </w:pPr>
      <w:r>
        <w:t>14.</w:t>
      </w:r>
      <w:r>
        <w:tab/>
        <w:t>Garden service connections</w:t>
      </w:r>
      <w:r>
        <w:tab/>
      </w:r>
      <w:r>
        <w:fldChar w:fldCharType="begin"/>
      </w:r>
      <w:r>
        <w:instrText xml:space="preserve"> PAGEREF _Toc201745886 \h </w:instrText>
      </w:r>
      <w:r>
        <w:fldChar w:fldCharType="separate"/>
      </w:r>
      <w:r>
        <w:t>68</w:t>
      </w:r>
      <w:r>
        <w:fldChar w:fldCharType="end"/>
      </w:r>
    </w:p>
    <w:p>
      <w:pPr>
        <w:pStyle w:val="TOC8"/>
        <w:rPr>
          <w:rFonts w:asciiTheme="minorHAnsi" w:eastAsiaTheme="minorEastAsia" w:hAnsiTheme="minorHAnsi" w:cstheme="minorBidi"/>
          <w:szCs w:val="22"/>
        </w:rPr>
      </w:pPr>
      <w:r>
        <w:t>15.</w:t>
      </w:r>
      <w:r>
        <w:tab/>
        <w:t>Government trading organisations and non</w:t>
      </w:r>
      <w:r>
        <w:noBreakHyphen/>
        <w:t>commercial government property</w:t>
      </w:r>
      <w:r>
        <w:tab/>
      </w:r>
      <w:r>
        <w:fldChar w:fldCharType="begin"/>
      </w:r>
      <w:r>
        <w:instrText xml:space="preserve"> PAGEREF _Toc201745887 \h </w:instrText>
      </w:r>
      <w:r>
        <w:fldChar w:fldCharType="separate"/>
      </w:r>
      <w:r>
        <w:t>68</w:t>
      </w:r>
      <w:r>
        <w:fldChar w:fldCharType="end"/>
      </w:r>
    </w:p>
    <w:p>
      <w:pPr>
        <w:pStyle w:val="TOC8"/>
        <w:rPr>
          <w:rFonts w:asciiTheme="minorHAnsi" w:eastAsiaTheme="minorEastAsia" w:hAnsiTheme="minorHAnsi" w:cstheme="minorBidi"/>
          <w:szCs w:val="22"/>
        </w:rPr>
      </w:pPr>
      <w:r>
        <w:t>16.</w:t>
      </w:r>
      <w:r>
        <w:tab/>
        <w:t>Government trading organisations and non</w:t>
      </w:r>
      <w:r>
        <w:noBreakHyphen/>
        <w:t>commercial government property: on</w:t>
      </w:r>
      <w:r>
        <w:noBreakHyphen/>
        <w:t>supply to lessees or ships</w:t>
      </w:r>
      <w:r>
        <w:tab/>
      </w:r>
      <w:r>
        <w:fldChar w:fldCharType="begin"/>
      </w:r>
      <w:r>
        <w:instrText xml:space="preserve"> PAGEREF _Toc201745888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service charges</w:t>
      </w:r>
    </w:p>
    <w:p>
      <w:pPr>
        <w:pStyle w:val="TOC8"/>
        <w:rPr>
          <w:rFonts w:asciiTheme="minorHAnsi" w:eastAsiaTheme="minorEastAsia" w:hAnsiTheme="minorHAnsi" w:cstheme="minorBidi"/>
          <w:szCs w:val="22"/>
        </w:rPr>
      </w:pPr>
      <w:r>
        <w:t>17.</w:t>
      </w:r>
      <w:r>
        <w:tab/>
        <w:t>Farmland</w:t>
      </w:r>
      <w:r>
        <w:tab/>
      </w:r>
      <w:r>
        <w:fldChar w:fldCharType="begin"/>
      </w:r>
      <w:r>
        <w:instrText xml:space="preserve"> PAGEREF _Toc201745890 \h </w:instrText>
      </w:r>
      <w:r>
        <w:fldChar w:fldCharType="separate"/>
      </w:r>
      <w:r>
        <w:t>70</w:t>
      </w:r>
      <w:r>
        <w:fldChar w:fldCharType="end"/>
      </w:r>
    </w:p>
    <w:p>
      <w:pPr>
        <w:pStyle w:val="TOC8"/>
        <w:rPr>
          <w:rFonts w:asciiTheme="minorHAnsi" w:eastAsiaTheme="minorEastAsia" w:hAnsiTheme="minorHAnsi" w:cstheme="minorBidi"/>
          <w:szCs w:val="22"/>
        </w:rPr>
      </w:pPr>
      <w:r>
        <w:t>18.</w:t>
      </w:r>
      <w:r>
        <w:tab/>
        <w:t>Stock</w:t>
      </w:r>
      <w:r>
        <w:tab/>
      </w:r>
      <w:r>
        <w:fldChar w:fldCharType="begin"/>
      </w:r>
      <w:r>
        <w:instrText xml:space="preserve"> PAGEREF _Toc201745891 \h </w:instrText>
      </w:r>
      <w:r>
        <w:fldChar w:fldCharType="separate"/>
      </w:r>
      <w:r>
        <w:t>70</w:t>
      </w:r>
      <w:r>
        <w:fldChar w:fldCharType="end"/>
      </w:r>
    </w:p>
    <w:p>
      <w:pPr>
        <w:pStyle w:val="TOC8"/>
        <w:rPr>
          <w:rFonts w:asciiTheme="minorHAnsi" w:eastAsiaTheme="minorEastAsia" w:hAnsiTheme="minorHAnsi" w:cstheme="minorBidi"/>
          <w:szCs w:val="22"/>
        </w:rPr>
      </w:pPr>
      <w:r>
        <w:lastRenderedPageBreak/>
        <w:t>19.</w:t>
      </w:r>
      <w:r>
        <w:tab/>
        <w:t>Shipping</w:t>
      </w:r>
      <w:r>
        <w:tab/>
      </w:r>
      <w:r>
        <w:fldChar w:fldCharType="begin"/>
      </w:r>
      <w:r>
        <w:instrText xml:space="preserve"> PAGEREF _Toc201745892 \h </w:instrText>
      </w:r>
      <w:r>
        <w:fldChar w:fldCharType="separate"/>
      </w:r>
      <w:r>
        <w:t>70</w:t>
      </w:r>
      <w:r>
        <w:fldChar w:fldCharType="end"/>
      </w:r>
    </w:p>
    <w:p>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_Toc201745893 \h </w:instrText>
      </w:r>
      <w:r>
        <w:fldChar w:fldCharType="separate"/>
      </w:r>
      <w:r>
        <w:t>70</w:t>
      </w:r>
      <w:r>
        <w:fldChar w:fldCharType="end"/>
      </w:r>
    </w:p>
    <w:p>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_Toc201745894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2 — Consumption charges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22.</w:t>
      </w:r>
      <w:r>
        <w:tab/>
        <w:t>Consumption charges for 2025/26 and subsequent years</w:t>
      </w:r>
      <w:r>
        <w:tab/>
      </w:r>
      <w:r>
        <w:fldChar w:fldCharType="begin"/>
      </w:r>
      <w:r>
        <w:instrText xml:space="preserve"> PAGEREF _Toc201745897 \h </w:instrText>
      </w:r>
      <w:r>
        <w:fldChar w:fldCharType="separate"/>
      </w:r>
      <w:r>
        <w:t>71</w:t>
      </w:r>
      <w:r>
        <w:fldChar w:fldCharType="end"/>
      </w:r>
    </w:p>
    <w:p>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_Toc201745898 \h </w:instrText>
      </w:r>
      <w:r>
        <w:fldChar w:fldCharType="separate"/>
      </w:r>
      <w:r>
        <w:t>71</w:t>
      </w:r>
      <w:r>
        <w:fldChar w:fldCharType="end"/>
      </w:r>
    </w:p>
    <w:p>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_Toc201745899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_Toc201745901 \h </w:instrText>
      </w:r>
      <w:r>
        <w:fldChar w:fldCharType="separate"/>
      </w:r>
      <w:r>
        <w:t>72</w:t>
      </w:r>
      <w:r>
        <w:fldChar w:fldCharType="end"/>
      </w:r>
    </w:p>
    <w:p>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_Toc201745902 \h </w:instrText>
      </w:r>
      <w:r>
        <w:fldChar w:fldCharType="separate"/>
      </w:r>
      <w:r>
        <w:t>72</w:t>
      </w:r>
      <w:r>
        <w:fldChar w:fldCharType="end"/>
      </w:r>
    </w:p>
    <w:p>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_Toc201745903 \h </w:instrText>
      </w:r>
      <w:r>
        <w:fldChar w:fldCharType="separate"/>
      </w:r>
      <w:r>
        <w:t>73</w:t>
      </w:r>
      <w:r>
        <w:fldChar w:fldCharType="end"/>
      </w:r>
    </w:p>
    <w:p>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_Toc201745904 \h </w:instrText>
      </w:r>
      <w:r>
        <w:fldChar w:fldCharType="separate"/>
      </w:r>
      <w:r>
        <w:t>73</w:t>
      </w:r>
      <w:r>
        <w:fldChar w:fldCharType="end"/>
      </w:r>
    </w:p>
    <w:p>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_Toc201745905 \h </w:instrText>
      </w:r>
      <w:r>
        <w:fldChar w:fldCharType="separate"/>
      </w:r>
      <w:r>
        <w:t>73</w:t>
      </w:r>
      <w:r>
        <w:fldChar w:fldCharType="end"/>
      </w:r>
    </w:p>
    <w:p>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_Toc201745906 \h </w:instrText>
      </w:r>
      <w:r>
        <w:fldChar w:fldCharType="separate"/>
      </w:r>
      <w:r>
        <w:t>74</w:t>
      </w:r>
      <w:r>
        <w:fldChar w:fldCharType="end"/>
      </w:r>
    </w:p>
    <w:p>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_Toc201745907 \h </w:instrText>
      </w:r>
      <w:r>
        <w:fldChar w:fldCharType="separate"/>
      </w:r>
      <w:r>
        <w:t>75</w:t>
      </w:r>
      <w:r>
        <w:fldChar w:fldCharType="end"/>
      </w:r>
    </w:p>
    <w:p>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_Toc201745908 \h </w:instrText>
      </w:r>
      <w:r>
        <w:fldChar w:fldCharType="separate"/>
      </w:r>
      <w:r>
        <w:t>76</w:t>
      </w:r>
      <w:r>
        <w:fldChar w:fldCharType="end"/>
      </w:r>
    </w:p>
    <w:p>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_Toc201745909 \h </w:instrText>
      </w:r>
      <w:r>
        <w:fldChar w:fldCharType="separate"/>
      </w:r>
      <w:r>
        <w:t>76</w:t>
      </w:r>
      <w:r>
        <w:fldChar w:fldCharType="end"/>
      </w:r>
    </w:p>
    <w:p>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_Toc201745910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 — Other consumption charges</w:t>
      </w:r>
    </w:p>
    <w:p>
      <w:pPr>
        <w:pStyle w:val="TOC8"/>
        <w:rPr>
          <w:rFonts w:asciiTheme="minorHAnsi" w:eastAsiaTheme="minorEastAsia" w:hAnsiTheme="minorHAnsi" w:cstheme="minorBidi"/>
          <w:szCs w:val="22"/>
        </w:rPr>
      </w:pPr>
      <w:r>
        <w:t>35.</w:t>
      </w:r>
      <w:r>
        <w:tab/>
        <w:t>Local government standpipes</w:t>
      </w:r>
      <w:r>
        <w:tab/>
      </w:r>
      <w:r>
        <w:fldChar w:fldCharType="begin"/>
      </w:r>
      <w:r>
        <w:instrText xml:space="preserve"> PAGEREF _Toc201745912 \h </w:instrText>
      </w:r>
      <w:r>
        <w:fldChar w:fldCharType="separate"/>
      </w:r>
      <w:r>
        <w:t>77</w:t>
      </w:r>
      <w:r>
        <w:fldChar w:fldCharType="end"/>
      </w:r>
    </w:p>
    <w:p>
      <w:pPr>
        <w:pStyle w:val="TOC8"/>
        <w:rPr>
          <w:rFonts w:asciiTheme="minorHAnsi" w:eastAsiaTheme="minorEastAsia" w:hAnsiTheme="minorHAnsi" w:cstheme="minorBidi"/>
          <w:szCs w:val="22"/>
        </w:rPr>
      </w:pPr>
      <w:r>
        <w:t>36.</w:t>
      </w:r>
      <w:r>
        <w:tab/>
        <w:t>Shipping</w:t>
      </w:r>
      <w:r>
        <w:tab/>
      </w:r>
      <w:r>
        <w:fldChar w:fldCharType="begin"/>
      </w:r>
      <w:r>
        <w:instrText xml:space="preserve"> PAGEREF _Toc201745913 \h </w:instrText>
      </w:r>
      <w:r>
        <w:fldChar w:fldCharType="separate"/>
      </w:r>
      <w:r>
        <w:t>77</w:t>
      </w:r>
      <w:r>
        <w:fldChar w:fldCharType="end"/>
      </w:r>
    </w:p>
    <w:p>
      <w:pPr>
        <w:pStyle w:val="TOC8"/>
        <w:rPr>
          <w:rFonts w:asciiTheme="minorHAnsi" w:eastAsiaTheme="minorEastAsia" w:hAnsiTheme="minorHAnsi" w:cstheme="minorBidi"/>
          <w:szCs w:val="22"/>
        </w:rPr>
      </w:pPr>
      <w:r>
        <w:t>37.</w:t>
      </w:r>
      <w:r>
        <w:tab/>
        <w:t>Stock</w:t>
      </w:r>
      <w:r>
        <w:tab/>
      </w:r>
      <w:r>
        <w:fldChar w:fldCharType="begin"/>
      </w:r>
      <w:r>
        <w:instrText xml:space="preserve"> PAGEREF _Toc201745914 \h </w:instrText>
      </w:r>
      <w:r>
        <w:fldChar w:fldCharType="separate"/>
      </w:r>
      <w:r>
        <w:t>77</w:t>
      </w:r>
      <w:r>
        <w:fldChar w:fldCharType="end"/>
      </w:r>
    </w:p>
    <w:p>
      <w:pPr>
        <w:pStyle w:val="TOC8"/>
        <w:rPr>
          <w:rFonts w:asciiTheme="minorHAnsi" w:eastAsiaTheme="minorEastAsia" w:hAnsiTheme="minorHAnsi" w:cstheme="minorBidi"/>
          <w:szCs w:val="22"/>
        </w:rPr>
      </w:pPr>
      <w:r>
        <w:t>38.</w:t>
      </w:r>
      <w:r>
        <w:tab/>
        <w:t>Hydrant standpipes</w:t>
      </w:r>
      <w:r>
        <w:tab/>
      </w:r>
      <w:r>
        <w:fldChar w:fldCharType="begin"/>
      </w:r>
      <w:r>
        <w:instrText xml:space="preserve"> PAGEREF _Toc201745915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Schedule 4 — Sewerage charges for Water Corporation</w:t>
      </w:r>
    </w:p>
    <w:p>
      <w:pPr>
        <w:pStyle w:val="TOC4"/>
        <w:tabs>
          <w:tab w:val="right" w:leader="dot" w:pos="7077"/>
        </w:tabs>
        <w:rPr>
          <w:rFonts w:asciiTheme="minorHAnsi" w:eastAsiaTheme="minorEastAsia" w:hAnsiTheme="minorHAnsi" w:cstheme="minorBidi"/>
          <w:b w:val="0"/>
          <w:szCs w:val="22"/>
        </w:rPr>
      </w:pPr>
      <w:r>
        <w:t>Division 1 — Service charges</w:t>
      </w:r>
    </w:p>
    <w:p>
      <w:pPr>
        <w:pStyle w:val="TOC8"/>
        <w:rPr>
          <w:rFonts w:asciiTheme="minorHAnsi" w:eastAsiaTheme="minorEastAsia" w:hAnsiTheme="minorHAnsi" w:cstheme="minorBidi"/>
          <w:szCs w:val="22"/>
        </w:rPr>
      </w:pPr>
      <w:r>
        <w:t>1.</w:t>
      </w:r>
      <w:r>
        <w:tab/>
        <w:t>Service charges for 2025/26 and subsequent years</w:t>
      </w:r>
      <w:r>
        <w:tab/>
      </w:r>
      <w:r>
        <w:fldChar w:fldCharType="begin"/>
      </w:r>
      <w:r>
        <w:instrText xml:space="preserve"> PAGEREF _Toc201745918 \h </w:instrText>
      </w:r>
      <w:r>
        <w:fldChar w:fldCharType="separate"/>
      </w:r>
      <w:r>
        <w:t>79</w:t>
      </w:r>
      <w:r>
        <w:fldChar w:fldCharType="end"/>
      </w:r>
    </w:p>
    <w:p>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_Toc201745919 \h </w:instrText>
      </w:r>
      <w:r>
        <w:fldChar w:fldCharType="separate"/>
      </w:r>
      <w:r>
        <w:t>79</w:t>
      </w:r>
      <w:r>
        <w:fldChar w:fldCharType="end"/>
      </w:r>
    </w:p>
    <w:p>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_Toc201745920 \h </w:instrText>
      </w:r>
      <w:r>
        <w:fldChar w:fldCharType="separate"/>
      </w:r>
      <w:r>
        <w:t>79</w:t>
      </w:r>
      <w:r>
        <w:fldChar w:fldCharType="end"/>
      </w:r>
    </w:p>
    <w:p>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_Toc201745921 \h </w:instrText>
      </w:r>
      <w:r>
        <w:fldChar w:fldCharType="separate"/>
      </w:r>
      <w:r>
        <w:t>79</w:t>
      </w:r>
      <w:r>
        <w:fldChar w:fldCharType="end"/>
      </w:r>
    </w:p>
    <w:p>
      <w:pPr>
        <w:pStyle w:val="TOC8"/>
        <w:rPr>
          <w:rFonts w:asciiTheme="minorHAnsi" w:eastAsiaTheme="minorEastAsia" w:hAnsiTheme="minorHAnsi" w:cstheme="minorBidi"/>
          <w:szCs w:val="22"/>
        </w:rPr>
      </w:pPr>
      <w:r>
        <w:t>5.</w:t>
      </w:r>
      <w:r>
        <w:tab/>
        <w:t>Strata</w:t>
      </w:r>
      <w:r>
        <w:noBreakHyphen/>
        <w:t>titled long</w:t>
      </w:r>
      <w:r>
        <w:noBreakHyphen/>
        <w:t>term residential caravan bays and park homes</w:t>
      </w:r>
      <w:r>
        <w:tab/>
      </w:r>
      <w:r>
        <w:fldChar w:fldCharType="begin"/>
      </w:r>
      <w:r>
        <w:instrText xml:space="preserve"> PAGEREF _Toc201745922 \h </w:instrText>
      </w:r>
      <w:r>
        <w:fldChar w:fldCharType="separate"/>
      </w:r>
      <w:r>
        <w:t>80</w:t>
      </w:r>
      <w:r>
        <w:fldChar w:fldCharType="end"/>
      </w:r>
    </w:p>
    <w:p>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_Toc201745923 \h </w:instrText>
      </w:r>
      <w:r>
        <w:fldChar w:fldCharType="separate"/>
      </w:r>
      <w:r>
        <w:t>81</w:t>
      </w:r>
      <w:r>
        <w:fldChar w:fldCharType="end"/>
      </w:r>
    </w:p>
    <w:p>
      <w:pPr>
        <w:pStyle w:val="TOC8"/>
        <w:rPr>
          <w:rFonts w:asciiTheme="minorHAnsi" w:eastAsiaTheme="minorEastAsia" w:hAnsiTheme="minorHAnsi" w:cstheme="minorBidi"/>
          <w:szCs w:val="22"/>
        </w:rPr>
      </w:pPr>
      <w:r>
        <w:lastRenderedPageBreak/>
        <w:t>7.</w:t>
      </w:r>
      <w:r>
        <w:tab/>
        <w:t>Land from which trade waste is discharged into sewer</w:t>
      </w:r>
      <w:r>
        <w:tab/>
      </w:r>
      <w:r>
        <w:fldChar w:fldCharType="begin"/>
      </w:r>
      <w:r>
        <w:instrText xml:space="preserve"> PAGEREF _Toc201745924 \h </w:instrText>
      </w:r>
      <w:r>
        <w:fldChar w:fldCharType="separate"/>
      </w:r>
      <w:r>
        <w:t>81</w:t>
      </w:r>
      <w:r>
        <w:fldChar w:fldCharType="end"/>
      </w:r>
    </w:p>
    <w:p>
      <w:pPr>
        <w:pStyle w:val="TOC8"/>
        <w:rPr>
          <w:rFonts w:asciiTheme="minorHAnsi" w:eastAsiaTheme="minorEastAsia" w:hAnsiTheme="minorHAnsi" w:cstheme="minorBidi"/>
          <w:szCs w:val="22"/>
        </w:rPr>
      </w:pPr>
      <w:r>
        <w:t>8.</w:t>
      </w:r>
      <w:r>
        <w:tab/>
        <w:t>Land from which trade waste is discharged into sewer through grease arrestor</w:t>
      </w:r>
      <w:r>
        <w:tab/>
      </w:r>
      <w:r>
        <w:fldChar w:fldCharType="begin"/>
      </w:r>
      <w:r>
        <w:instrText xml:space="preserve"> PAGEREF _Toc201745925 \h </w:instrText>
      </w:r>
      <w:r>
        <w:fldChar w:fldCharType="separate"/>
      </w:r>
      <w:r>
        <w:t>81</w:t>
      </w:r>
      <w:r>
        <w:fldChar w:fldCharType="end"/>
      </w:r>
    </w:p>
    <w:p>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_Toc201745926 \h </w:instrText>
      </w:r>
      <w:r>
        <w:fldChar w:fldCharType="separate"/>
      </w:r>
      <w:r>
        <w:t>81</w:t>
      </w:r>
      <w:r>
        <w:fldChar w:fldCharType="end"/>
      </w:r>
    </w:p>
    <w:p>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_Toc201745927 \h </w:instrText>
      </w:r>
      <w:r>
        <w:fldChar w:fldCharType="separate"/>
      </w:r>
      <w:r>
        <w:t>81</w:t>
      </w:r>
      <w:r>
        <w:fldChar w:fldCharType="end"/>
      </w:r>
    </w:p>
    <w:p>
      <w:pPr>
        <w:pStyle w:val="TOC8"/>
        <w:rPr>
          <w:rFonts w:asciiTheme="minorHAnsi" w:eastAsiaTheme="minorEastAsia" w:hAnsiTheme="minorHAnsi" w:cstheme="minorBidi"/>
          <w:szCs w:val="22"/>
        </w:rPr>
      </w:pPr>
      <w:r>
        <w:t>11.</w:t>
      </w:r>
      <w:r>
        <w:tab/>
        <w:t>Community residential</w:t>
      </w:r>
      <w:r>
        <w:tab/>
      </w:r>
      <w:r>
        <w:fldChar w:fldCharType="begin"/>
      </w:r>
      <w:r>
        <w:instrText xml:space="preserve"> PAGEREF _Toc201745928 \h </w:instrText>
      </w:r>
      <w:r>
        <w:fldChar w:fldCharType="separate"/>
      </w:r>
      <w:r>
        <w:t>82</w:t>
      </w:r>
      <w:r>
        <w:fldChar w:fldCharType="end"/>
      </w:r>
    </w:p>
    <w:p>
      <w:pPr>
        <w:pStyle w:val="TOC8"/>
        <w:rPr>
          <w:rFonts w:asciiTheme="minorHAnsi" w:eastAsiaTheme="minorEastAsia" w:hAnsiTheme="minorHAnsi" w:cstheme="minorBidi"/>
          <w:szCs w:val="22"/>
        </w:rPr>
      </w:pPr>
      <w:r>
        <w:t>12.</w:t>
      </w:r>
      <w:r>
        <w:tab/>
        <w:t>Non</w:t>
      </w:r>
      <w:r>
        <w:noBreakHyphen/>
        <w:t>metropolitan residential or vacant land</w:t>
      </w:r>
      <w:r>
        <w:tab/>
      </w:r>
      <w:r>
        <w:fldChar w:fldCharType="begin"/>
      </w:r>
      <w:r>
        <w:instrText xml:space="preserve"> PAGEREF _Toc201745929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w:t>
      </w:r>
      <w:r>
        <w:tab/>
        <w:t>Combined charges for 2025/26 and subsequent years</w:t>
      </w:r>
      <w:r>
        <w:tab/>
      </w:r>
      <w:r>
        <w:fldChar w:fldCharType="begin"/>
      </w:r>
      <w:r>
        <w:instrText xml:space="preserve"> PAGEREF _Toc201745932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Combined charges: metropolitan</w:t>
      </w:r>
    </w:p>
    <w:p>
      <w:pPr>
        <w:pStyle w:val="TOC8"/>
        <w:rPr>
          <w:rFonts w:asciiTheme="minorHAnsi" w:eastAsiaTheme="minorEastAsia" w:hAnsiTheme="minorHAnsi" w:cstheme="minorBidi"/>
          <w:szCs w:val="22"/>
        </w:rPr>
      </w:pPr>
      <w:r>
        <w:t>14.</w:t>
      </w:r>
      <w:r>
        <w:tab/>
        <w:t>Metropolitan non</w:t>
      </w:r>
      <w:r>
        <w:noBreakHyphen/>
        <w:t>residential</w:t>
      </w:r>
      <w:r>
        <w:tab/>
      </w:r>
      <w:r>
        <w:fldChar w:fldCharType="begin"/>
      </w:r>
      <w:r>
        <w:instrText xml:space="preserve"> PAGEREF _Toc201745934 \h </w:instrText>
      </w:r>
      <w:r>
        <w:fldChar w:fldCharType="separate"/>
      </w:r>
      <w:r>
        <w:t>89</w:t>
      </w:r>
      <w:r>
        <w:fldChar w:fldCharType="end"/>
      </w:r>
    </w:p>
    <w:p>
      <w:pPr>
        <w:pStyle w:val="TOC8"/>
        <w:rPr>
          <w:rFonts w:asciiTheme="minorHAnsi" w:eastAsiaTheme="minorEastAsia" w:hAnsiTheme="minorHAnsi" w:cstheme="minorBidi"/>
          <w:szCs w:val="22"/>
        </w:rPr>
      </w:pPr>
      <w:r>
        <w:t>15.</w:t>
      </w:r>
      <w:r>
        <w:tab/>
        <w:t>Metropolitan government trading organisation and non</w:t>
      </w:r>
      <w:r>
        <w:noBreakHyphen/>
        <w:t>commercial government property</w:t>
      </w:r>
      <w:r>
        <w:tab/>
      </w:r>
      <w:r>
        <w:fldChar w:fldCharType="begin"/>
      </w:r>
      <w:r>
        <w:instrText xml:space="preserve"> PAGEREF _Toc201745935 \h </w:instrText>
      </w:r>
      <w:r>
        <w:fldChar w:fldCharType="separate"/>
      </w:r>
      <w:r>
        <w:t>90</w:t>
      </w:r>
      <w:r>
        <w:fldChar w:fldCharType="end"/>
      </w:r>
    </w:p>
    <w:p>
      <w:pPr>
        <w:pStyle w:val="TOC8"/>
        <w:rPr>
          <w:rFonts w:asciiTheme="minorHAnsi" w:eastAsiaTheme="minorEastAsia" w:hAnsiTheme="minorHAnsi" w:cstheme="minorBidi"/>
          <w:szCs w:val="22"/>
        </w:rPr>
      </w:pPr>
      <w:r>
        <w:t>16.</w:t>
      </w:r>
      <w:r>
        <w:tab/>
        <w:t>Metropolitan non</w:t>
      </w:r>
      <w:r>
        <w:noBreakHyphen/>
        <w:t>strata titled caravan park with long</w:t>
      </w:r>
      <w:r>
        <w:noBreakHyphen/>
        <w:t>term residential caravan bays</w:t>
      </w:r>
      <w:r>
        <w:tab/>
      </w:r>
      <w:r>
        <w:fldChar w:fldCharType="begin"/>
      </w:r>
      <w:r>
        <w:instrText xml:space="preserve"> PAGEREF _Toc201745936 \h </w:instrText>
      </w:r>
      <w:r>
        <w:fldChar w:fldCharType="separate"/>
      </w:r>
      <w:r>
        <w:t>90</w:t>
      </w:r>
      <w:r>
        <w:fldChar w:fldCharType="end"/>
      </w:r>
    </w:p>
    <w:p>
      <w:pPr>
        <w:pStyle w:val="TOC8"/>
        <w:rPr>
          <w:rFonts w:asciiTheme="minorHAnsi" w:eastAsiaTheme="minorEastAsia" w:hAnsiTheme="minorHAnsi" w:cstheme="minorBidi"/>
          <w:szCs w:val="22"/>
        </w:rPr>
      </w:pPr>
      <w:r>
        <w:t>17.</w:t>
      </w:r>
      <w:r>
        <w:tab/>
        <w:t>Metropolitan nursing home</w:t>
      </w:r>
      <w:r>
        <w:tab/>
      </w:r>
      <w:r>
        <w:fldChar w:fldCharType="begin"/>
      </w:r>
      <w:r>
        <w:instrText xml:space="preserve"> PAGEREF _Toc201745937 \h </w:instrText>
      </w:r>
      <w:r>
        <w:fldChar w:fldCharType="separate"/>
      </w:r>
      <w:r>
        <w:t>91</w:t>
      </w:r>
      <w:r>
        <w:fldChar w:fldCharType="end"/>
      </w:r>
    </w:p>
    <w:p>
      <w:pPr>
        <w:pStyle w:val="TOC8"/>
        <w:rPr>
          <w:rFonts w:asciiTheme="minorHAnsi" w:eastAsiaTheme="minorEastAsia" w:hAnsiTheme="minorHAnsi" w:cstheme="minorBidi"/>
          <w:szCs w:val="22"/>
        </w:rPr>
      </w:pPr>
      <w:r>
        <w:t>18.</w:t>
      </w:r>
      <w:r>
        <w:tab/>
        <w:t>Certain metropolitan units</w:t>
      </w:r>
      <w:r>
        <w:tab/>
      </w:r>
      <w:r>
        <w:fldChar w:fldCharType="begin"/>
      </w:r>
      <w:r>
        <w:instrText xml:space="preserve"> PAGEREF _Toc201745938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Calculation of certain factors for Subdivision 2</w:t>
      </w:r>
    </w:p>
    <w:p>
      <w:pPr>
        <w:pStyle w:val="TOC8"/>
        <w:rPr>
          <w:rFonts w:asciiTheme="minorHAnsi" w:eastAsiaTheme="minorEastAsia" w:hAnsiTheme="minorHAnsi" w:cstheme="minorBidi"/>
          <w:szCs w:val="22"/>
        </w:rPr>
      </w:pPr>
      <w:r>
        <w:t>19.</w:t>
      </w:r>
      <w:r>
        <w:tab/>
        <w:t>Service charge</w:t>
      </w:r>
      <w:r>
        <w:tab/>
      </w:r>
      <w:r>
        <w:fldChar w:fldCharType="begin"/>
      </w:r>
      <w:r>
        <w:instrText xml:space="preserve"> PAGEREF _Toc201745940 \h </w:instrText>
      </w:r>
      <w:r>
        <w:fldChar w:fldCharType="separate"/>
      </w:r>
      <w:r>
        <w:t>92</w:t>
      </w:r>
      <w:r>
        <w:fldChar w:fldCharType="end"/>
      </w:r>
    </w:p>
    <w:p>
      <w:pPr>
        <w:pStyle w:val="TOC8"/>
        <w:rPr>
          <w:rFonts w:asciiTheme="minorHAnsi" w:eastAsiaTheme="minorEastAsia" w:hAnsiTheme="minorHAnsi" w:cstheme="minorBidi"/>
          <w:szCs w:val="22"/>
        </w:rPr>
      </w:pPr>
      <w:r>
        <w:t>20.</w:t>
      </w:r>
      <w:r>
        <w:tab/>
        <w:t>Discharge charge</w:t>
      </w:r>
      <w:r>
        <w:tab/>
      </w:r>
      <w:r>
        <w:fldChar w:fldCharType="begin"/>
      </w:r>
      <w:r>
        <w:instrText xml:space="preserve"> PAGEREF _Toc201745941 \h </w:instrText>
      </w:r>
      <w:r>
        <w:fldChar w:fldCharType="separate"/>
      </w:r>
      <w:r>
        <w:t>92</w:t>
      </w:r>
      <w:r>
        <w:fldChar w:fldCharType="end"/>
      </w:r>
    </w:p>
    <w:p>
      <w:pPr>
        <w:pStyle w:val="TOC8"/>
        <w:rPr>
          <w:rFonts w:asciiTheme="minorHAnsi" w:eastAsiaTheme="minorEastAsia" w:hAnsiTheme="minorHAnsi" w:cstheme="minorBidi"/>
          <w:szCs w:val="22"/>
        </w:rPr>
      </w:pPr>
      <w:r>
        <w:t>21.</w:t>
      </w:r>
      <w:r>
        <w:tab/>
        <w:t>Discharge allowance</w:t>
      </w:r>
      <w:r>
        <w:tab/>
      </w:r>
      <w:r>
        <w:fldChar w:fldCharType="begin"/>
      </w:r>
      <w:r>
        <w:instrText xml:space="preserve"> PAGEREF _Toc201745942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pPr>
        <w:pStyle w:val="TOC8"/>
        <w:rPr>
          <w:rFonts w:asciiTheme="minorHAnsi" w:eastAsiaTheme="minorEastAsia" w:hAnsiTheme="minorHAnsi" w:cstheme="minorBidi"/>
          <w:szCs w:val="22"/>
        </w:rPr>
      </w:pPr>
      <w:r>
        <w:t>22.</w:t>
      </w:r>
      <w:r>
        <w:tab/>
        <w:t>Non</w:t>
      </w:r>
      <w:r>
        <w:noBreakHyphen/>
        <w:t>metropolitan non</w:t>
      </w:r>
      <w:r>
        <w:noBreakHyphen/>
        <w:t>residential</w:t>
      </w:r>
      <w:r>
        <w:tab/>
      </w:r>
      <w:r>
        <w:fldChar w:fldCharType="begin"/>
      </w:r>
      <w:r>
        <w:instrText xml:space="preserve"> PAGEREF _Toc201745944 \h </w:instrText>
      </w:r>
      <w:r>
        <w:fldChar w:fldCharType="separate"/>
      </w:r>
      <w:r>
        <w:t>93</w:t>
      </w:r>
      <w:r>
        <w:fldChar w:fldCharType="end"/>
      </w:r>
    </w:p>
    <w:p>
      <w:pPr>
        <w:pStyle w:val="TOC8"/>
        <w:rPr>
          <w:rFonts w:asciiTheme="minorHAnsi" w:eastAsiaTheme="minorEastAsia" w:hAnsiTheme="minorHAnsi" w:cstheme="minorBidi"/>
          <w:szCs w:val="22"/>
        </w:rPr>
      </w:pPr>
      <w:r>
        <w:t>23.</w:t>
      </w:r>
      <w:r>
        <w:tab/>
        <w:t>Non</w:t>
      </w:r>
      <w:r>
        <w:noBreakHyphen/>
        <w:t>metropolitan non</w:t>
      </w:r>
      <w:r>
        <w:noBreakHyphen/>
        <w:t>strata titled caravan park with long</w:t>
      </w:r>
      <w:r>
        <w:noBreakHyphen/>
        <w:t>term residential caravan bays</w:t>
      </w:r>
      <w:r>
        <w:tab/>
      </w:r>
      <w:r>
        <w:fldChar w:fldCharType="begin"/>
      </w:r>
      <w:r>
        <w:instrText xml:space="preserve"> PAGEREF _Toc201745945 \h </w:instrText>
      </w:r>
      <w:r>
        <w:fldChar w:fldCharType="separate"/>
      </w:r>
      <w:r>
        <w:t>94</w:t>
      </w:r>
      <w:r>
        <w:fldChar w:fldCharType="end"/>
      </w:r>
    </w:p>
    <w:p>
      <w:pPr>
        <w:pStyle w:val="TOC8"/>
        <w:rPr>
          <w:rFonts w:asciiTheme="minorHAnsi" w:eastAsiaTheme="minorEastAsia" w:hAnsiTheme="minorHAnsi" w:cstheme="minorBidi"/>
          <w:szCs w:val="22"/>
        </w:rPr>
      </w:pPr>
      <w:r>
        <w:t>24.</w:t>
      </w:r>
      <w:r>
        <w:tab/>
        <w:t>Non</w:t>
      </w:r>
      <w:r>
        <w:noBreakHyphen/>
        <w:t>metropolitan nursing home</w:t>
      </w:r>
      <w:r>
        <w:tab/>
      </w:r>
      <w:r>
        <w:fldChar w:fldCharType="begin"/>
      </w:r>
      <w:r>
        <w:instrText xml:space="preserve"> PAGEREF _Toc201745946 \h </w:instrText>
      </w:r>
      <w:r>
        <w:fldChar w:fldCharType="separate"/>
      </w:r>
      <w:r>
        <w:t>95</w:t>
      </w:r>
      <w:r>
        <w:fldChar w:fldCharType="end"/>
      </w:r>
    </w:p>
    <w:p>
      <w:pPr>
        <w:pStyle w:val="TOC8"/>
        <w:rPr>
          <w:rFonts w:asciiTheme="minorHAnsi" w:eastAsiaTheme="minorEastAsia" w:hAnsiTheme="minorHAnsi" w:cstheme="minorBidi"/>
          <w:szCs w:val="22"/>
        </w:rPr>
      </w:pPr>
      <w:r>
        <w:t>25.</w:t>
      </w:r>
      <w:r>
        <w:tab/>
        <w:t>Certain non</w:t>
      </w:r>
      <w:r>
        <w:noBreakHyphen/>
        <w:t>metropolitan units</w:t>
      </w:r>
      <w:r>
        <w:tab/>
      </w:r>
      <w:r>
        <w:fldChar w:fldCharType="begin"/>
      </w:r>
      <w:r>
        <w:instrText xml:space="preserve"> PAGEREF _Toc201745947 \h </w:instrText>
      </w:r>
      <w:r>
        <w:fldChar w:fldCharType="separate"/>
      </w:r>
      <w:r>
        <w:t>96</w:t>
      </w:r>
      <w:r>
        <w:fldChar w:fldCharType="end"/>
      </w:r>
    </w:p>
    <w:p>
      <w:pPr>
        <w:pStyle w:val="TOC8"/>
        <w:rPr>
          <w:rFonts w:asciiTheme="minorHAnsi" w:eastAsiaTheme="minorEastAsia" w:hAnsiTheme="minorHAnsi" w:cstheme="minorBidi"/>
          <w:szCs w:val="22"/>
        </w:rPr>
      </w:pPr>
      <w:r>
        <w:t>26.</w:t>
      </w:r>
      <w:r>
        <w:tab/>
        <w:t>Non</w:t>
      </w:r>
      <w:r>
        <w:noBreakHyphen/>
        <w:t>metropolitan government trading organisation and non</w:t>
      </w:r>
      <w:r>
        <w:noBreakHyphen/>
        <w:t>commercial government property</w:t>
      </w:r>
      <w:r>
        <w:tab/>
      </w:r>
      <w:r>
        <w:fldChar w:fldCharType="begin"/>
      </w:r>
      <w:r>
        <w:instrText xml:space="preserve"> PAGEREF _Toc201745948 \h </w:instrText>
      </w:r>
      <w:r>
        <w:fldChar w:fldCharType="separate"/>
      </w:r>
      <w:r>
        <w:t>96</w:t>
      </w:r>
      <w:r>
        <w:fldChar w:fldCharType="end"/>
      </w:r>
    </w:p>
    <w:p>
      <w:pPr>
        <w:pStyle w:val="TOC6"/>
        <w:tabs>
          <w:tab w:val="right" w:leader="dot" w:pos="7077"/>
        </w:tabs>
        <w:rPr>
          <w:rFonts w:asciiTheme="minorHAnsi" w:eastAsiaTheme="minorEastAsia" w:hAnsiTheme="minorHAnsi" w:cstheme="minorBidi"/>
          <w:b w:val="0"/>
          <w:sz w:val="22"/>
          <w:szCs w:val="22"/>
        </w:rPr>
      </w:pPr>
      <w:r>
        <w:t>Subdivision 5 — Calculation of certain factors for Subdivision 4</w:t>
      </w:r>
    </w:p>
    <w:p>
      <w:pPr>
        <w:pStyle w:val="TOC8"/>
        <w:rPr>
          <w:rFonts w:asciiTheme="minorHAnsi" w:eastAsiaTheme="minorEastAsia" w:hAnsiTheme="minorHAnsi" w:cstheme="minorBidi"/>
          <w:szCs w:val="22"/>
        </w:rPr>
      </w:pPr>
      <w:r>
        <w:t>27.</w:t>
      </w:r>
      <w:r>
        <w:tab/>
        <w:t>Service charge</w:t>
      </w:r>
      <w:r>
        <w:tab/>
      </w:r>
      <w:r>
        <w:fldChar w:fldCharType="begin"/>
      </w:r>
      <w:r>
        <w:instrText xml:space="preserve"> PAGEREF _Toc201745950 \h </w:instrText>
      </w:r>
      <w:r>
        <w:fldChar w:fldCharType="separate"/>
      </w:r>
      <w:r>
        <w:t>97</w:t>
      </w:r>
      <w:r>
        <w:fldChar w:fldCharType="end"/>
      </w:r>
    </w:p>
    <w:p>
      <w:pPr>
        <w:pStyle w:val="TOC8"/>
        <w:rPr>
          <w:rFonts w:asciiTheme="minorHAnsi" w:eastAsiaTheme="minorEastAsia" w:hAnsiTheme="minorHAnsi" w:cstheme="minorBidi"/>
          <w:szCs w:val="22"/>
        </w:rPr>
      </w:pPr>
      <w:r>
        <w:t>28.</w:t>
      </w:r>
      <w:r>
        <w:tab/>
        <w:t>Discharge charge</w:t>
      </w:r>
      <w:r>
        <w:tab/>
      </w:r>
      <w:r>
        <w:fldChar w:fldCharType="begin"/>
      </w:r>
      <w:r>
        <w:instrText xml:space="preserve"> PAGEREF _Toc201745951 \h </w:instrText>
      </w:r>
      <w:r>
        <w:fldChar w:fldCharType="separate"/>
      </w:r>
      <w:r>
        <w:t>98</w:t>
      </w:r>
      <w:r>
        <w:fldChar w:fldCharType="end"/>
      </w:r>
    </w:p>
    <w:p>
      <w:pPr>
        <w:pStyle w:val="TOC8"/>
        <w:rPr>
          <w:rFonts w:asciiTheme="minorHAnsi" w:eastAsiaTheme="minorEastAsia" w:hAnsiTheme="minorHAnsi" w:cstheme="minorBidi"/>
          <w:szCs w:val="22"/>
        </w:rPr>
      </w:pPr>
      <w:r>
        <w:lastRenderedPageBreak/>
        <w:t>29.</w:t>
      </w:r>
      <w:r>
        <w:tab/>
        <w:t>Discharge allowance</w:t>
      </w:r>
      <w:r>
        <w:tab/>
      </w:r>
      <w:r>
        <w:fldChar w:fldCharType="begin"/>
      </w:r>
      <w:r>
        <w:instrText xml:space="preserve"> PAGEREF _Toc201745952 \h </w:instrText>
      </w:r>
      <w:r>
        <w:fldChar w:fldCharType="separate"/>
      </w:r>
      <w:r>
        <w:t>98</w:t>
      </w:r>
      <w:r>
        <w:fldChar w:fldCharType="end"/>
      </w:r>
    </w:p>
    <w:p>
      <w:pPr>
        <w:pStyle w:val="TOC8"/>
        <w:rPr>
          <w:rFonts w:asciiTheme="minorHAnsi" w:eastAsiaTheme="minorEastAsia" w:hAnsiTheme="minorHAnsi" w:cstheme="minorBidi"/>
          <w:szCs w:val="22"/>
        </w:rPr>
      </w:pPr>
      <w:r>
        <w:t>30.</w:t>
      </w:r>
      <w:r>
        <w:tab/>
        <w:t>Maximum charge</w:t>
      </w:r>
      <w:r>
        <w:tab/>
      </w:r>
      <w:r>
        <w:fldChar w:fldCharType="begin"/>
      </w:r>
      <w:r>
        <w:instrText xml:space="preserve"> PAGEREF _Toc201745953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Discharge charges: trade waste and effluent</w:t>
      </w:r>
    </w:p>
    <w:p>
      <w:pPr>
        <w:pStyle w:val="TOC8"/>
        <w:rPr>
          <w:rFonts w:asciiTheme="minorHAnsi" w:eastAsiaTheme="minorEastAsia" w:hAnsiTheme="minorHAnsi" w:cstheme="minorBidi"/>
          <w:szCs w:val="22"/>
        </w:rPr>
      </w:pPr>
      <w:r>
        <w:t>31.</w:t>
      </w:r>
      <w:r>
        <w:tab/>
        <w:t>Discharge charges for 2025/26 and subsequent years</w:t>
      </w:r>
      <w:r>
        <w:tab/>
      </w:r>
      <w:r>
        <w:fldChar w:fldCharType="begin"/>
      </w:r>
      <w:r>
        <w:instrText xml:space="preserve"> PAGEREF _Toc201745955 \h </w:instrText>
      </w:r>
      <w:r>
        <w:fldChar w:fldCharType="separate"/>
      </w:r>
      <w:r>
        <w:t>100</w:t>
      </w:r>
      <w:r>
        <w:fldChar w:fldCharType="end"/>
      </w:r>
    </w:p>
    <w:p>
      <w:pPr>
        <w:pStyle w:val="TOC8"/>
        <w:rPr>
          <w:rFonts w:asciiTheme="minorHAnsi" w:eastAsiaTheme="minorEastAsia" w:hAnsiTheme="minorHAnsi" w:cstheme="minorBidi"/>
          <w:szCs w:val="22"/>
        </w:rPr>
      </w:pPr>
      <w:r>
        <w:t>32.</w:t>
      </w:r>
      <w:r>
        <w:tab/>
        <w:t>Trade waste discharged into sewer under approval</w:t>
      </w:r>
      <w:r>
        <w:tab/>
      </w:r>
      <w:r>
        <w:fldChar w:fldCharType="begin"/>
      </w:r>
      <w:r>
        <w:instrText xml:space="preserve"> PAGEREF _Toc201745956 \h </w:instrText>
      </w:r>
      <w:r>
        <w:fldChar w:fldCharType="separate"/>
      </w:r>
      <w:r>
        <w:t>100</w:t>
      </w:r>
      <w:r>
        <w:fldChar w:fldCharType="end"/>
      </w:r>
    </w:p>
    <w:p>
      <w:pPr>
        <w:pStyle w:val="TOC8"/>
        <w:rPr>
          <w:rFonts w:asciiTheme="minorHAnsi" w:eastAsiaTheme="minorEastAsia" w:hAnsiTheme="minorHAnsi" w:cstheme="minorBidi"/>
          <w:szCs w:val="22"/>
        </w:rPr>
      </w:pPr>
      <w:r>
        <w:t>33.</w:t>
      </w:r>
      <w:r>
        <w:tab/>
        <w:t>Effluent discharged from septic tank effluent pumping system into sewer</w:t>
      </w:r>
      <w:r>
        <w:tab/>
      </w:r>
      <w:r>
        <w:fldChar w:fldCharType="begin"/>
      </w:r>
      <w:r>
        <w:instrText xml:space="preserve"> PAGEREF _Toc201745957 \h </w:instrText>
      </w:r>
      <w:r>
        <w:fldChar w:fldCharType="separate"/>
      </w:r>
      <w:r>
        <w:t>103</w:t>
      </w:r>
      <w:r>
        <w:fldChar w:fldCharType="end"/>
      </w:r>
    </w:p>
    <w:p>
      <w:pPr>
        <w:pStyle w:val="TOC2"/>
        <w:tabs>
          <w:tab w:val="right" w:leader="dot" w:pos="7077"/>
        </w:tabs>
        <w:rPr>
          <w:rFonts w:asciiTheme="minorHAnsi" w:eastAsiaTheme="minorEastAsia" w:hAnsiTheme="minorHAnsi" w:cstheme="minorBidi"/>
          <w:b w:val="0"/>
          <w:sz w:val="22"/>
          <w:szCs w:val="22"/>
        </w:rPr>
      </w:pPr>
      <w:r>
        <w:t>Schedule 5 — Drainage charges for Water Corporation</w:t>
      </w:r>
    </w:p>
    <w:p>
      <w:pPr>
        <w:pStyle w:val="TOC8"/>
        <w:rPr>
          <w:rFonts w:asciiTheme="minorHAnsi" w:eastAsiaTheme="minorEastAsia" w:hAnsiTheme="minorHAnsi" w:cstheme="minorBidi"/>
          <w:szCs w:val="22"/>
        </w:rPr>
      </w:pPr>
      <w:r>
        <w:t>1.</w:t>
      </w:r>
      <w:r>
        <w:tab/>
        <w:t>Drainage charges for 2025/26 and subsequent years</w:t>
      </w:r>
      <w:r>
        <w:tab/>
      </w:r>
      <w:r>
        <w:fldChar w:fldCharType="begin"/>
      </w:r>
      <w:r>
        <w:instrText xml:space="preserve"> PAGEREF _Toc201745959 \h </w:instrText>
      </w:r>
      <w:r>
        <w:fldChar w:fldCharType="separate"/>
      </w:r>
      <w:r>
        <w:t>104</w:t>
      </w:r>
      <w:r>
        <w:fldChar w:fldCharType="end"/>
      </w:r>
    </w:p>
    <w:p>
      <w:pPr>
        <w:pStyle w:val="TOC8"/>
        <w:rPr>
          <w:rFonts w:asciiTheme="minorHAnsi" w:eastAsiaTheme="minorEastAsia" w:hAnsiTheme="minorHAnsi" w:cstheme="minorBidi"/>
          <w:szCs w:val="22"/>
        </w:rPr>
      </w:pPr>
      <w:r>
        <w:t>2.</w:t>
      </w:r>
      <w:r>
        <w:tab/>
        <w:t>Strata</w:t>
      </w:r>
      <w:r>
        <w:noBreakHyphen/>
        <w:t>titled long</w:t>
      </w:r>
      <w:r>
        <w:noBreakHyphen/>
        <w:t>term residential caravan bays and park homes</w:t>
      </w:r>
      <w:r>
        <w:tab/>
      </w:r>
      <w:r>
        <w:fldChar w:fldCharType="begin"/>
      </w:r>
      <w:r>
        <w:instrText xml:space="preserve"> PAGEREF _Toc201745960 \h </w:instrText>
      </w:r>
      <w:r>
        <w:fldChar w:fldCharType="separate"/>
      </w:r>
      <w:r>
        <w:t>104</w:t>
      </w:r>
      <w:r>
        <w:fldChar w:fldCharType="end"/>
      </w:r>
    </w:p>
    <w:p>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_Toc201745961 \h </w:instrText>
      </w:r>
      <w:r>
        <w:fldChar w:fldCharType="separate"/>
      </w:r>
      <w:r>
        <w:t>104</w:t>
      </w:r>
      <w:r>
        <w:fldChar w:fldCharType="end"/>
      </w:r>
    </w:p>
    <w:p>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_Toc201745962 \h </w:instrText>
      </w:r>
      <w:r>
        <w:fldChar w:fldCharType="separate"/>
      </w:r>
      <w:r>
        <w:t>104</w:t>
      </w:r>
      <w:r>
        <w:fldChar w:fldCharType="end"/>
      </w:r>
    </w:p>
    <w:p>
      <w:pPr>
        <w:pStyle w:val="TOC8"/>
        <w:rPr>
          <w:rFonts w:asciiTheme="minorHAnsi" w:eastAsiaTheme="minorEastAsia" w:hAnsiTheme="minorHAnsi" w:cstheme="minorBidi"/>
          <w:szCs w:val="22"/>
        </w:rPr>
      </w:pPr>
      <w:r>
        <w:t>5.</w:t>
      </w:r>
      <w:r>
        <w:tab/>
        <w:t>Vacant land</w:t>
      </w:r>
      <w:r>
        <w:tab/>
      </w:r>
      <w:r>
        <w:fldChar w:fldCharType="begin"/>
      </w:r>
      <w:r>
        <w:instrText xml:space="preserve"> PAGEREF _Toc201745963 \h </w:instrText>
      </w:r>
      <w:r>
        <w:fldChar w:fldCharType="separate"/>
      </w:r>
      <w:r>
        <w:t>104</w:t>
      </w:r>
      <w:r>
        <w:fldChar w:fldCharType="end"/>
      </w:r>
    </w:p>
    <w:p>
      <w:pPr>
        <w:pStyle w:val="TOC8"/>
        <w:rPr>
          <w:rFonts w:asciiTheme="minorHAnsi" w:eastAsiaTheme="minorEastAsia" w:hAnsiTheme="minorHAnsi" w:cstheme="minorBidi"/>
          <w:szCs w:val="22"/>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_Toc201745964 \h </w:instrText>
      </w:r>
      <w:r>
        <w:fldChar w:fldCharType="separate"/>
      </w:r>
      <w:r>
        <w:t>105</w:t>
      </w:r>
      <w:r>
        <w:fldChar w:fldCharType="end"/>
      </w:r>
    </w:p>
    <w:p>
      <w:pPr>
        <w:pStyle w:val="TOC8"/>
        <w:rPr>
          <w:rFonts w:asciiTheme="minorHAnsi" w:eastAsiaTheme="minorEastAsia" w:hAnsiTheme="minorHAnsi" w:cstheme="minorBidi"/>
          <w:szCs w:val="22"/>
        </w:rPr>
      </w:pPr>
      <w:r>
        <w:t>7.</w:t>
      </w:r>
      <w:r>
        <w:tab/>
        <w:t>Concessional land</w:t>
      </w:r>
      <w:r>
        <w:tab/>
      </w:r>
      <w:r>
        <w:fldChar w:fldCharType="begin"/>
      </w:r>
      <w:r>
        <w:instrText xml:space="preserve"> PAGEREF _Toc201745965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Schedule 6 — Irrigation charges for Water Corporation (Ord Irrigation District)</w:t>
      </w:r>
    </w:p>
    <w:p>
      <w:pPr>
        <w:pStyle w:val="TOC8"/>
        <w:rPr>
          <w:rFonts w:asciiTheme="minorHAnsi" w:eastAsiaTheme="minorEastAsia" w:hAnsiTheme="minorHAnsi" w:cstheme="minorBidi"/>
          <w:szCs w:val="22"/>
        </w:rPr>
      </w:pPr>
      <w:r>
        <w:t>1.</w:t>
      </w:r>
      <w:r>
        <w:tab/>
        <w:t>Irrigation charges for 2025/26 and subsequent years</w:t>
      </w:r>
      <w:r>
        <w:tab/>
      </w:r>
      <w:r>
        <w:fldChar w:fldCharType="begin"/>
      </w:r>
      <w:r>
        <w:instrText xml:space="preserve"> PAGEREF _Toc201745967 \h </w:instrText>
      </w:r>
      <w:r>
        <w:fldChar w:fldCharType="separate"/>
      </w:r>
      <w:r>
        <w:t>106</w:t>
      </w:r>
      <w:r>
        <w:fldChar w:fldCharType="end"/>
      </w:r>
    </w:p>
    <w:p>
      <w:pPr>
        <w:pStyle w:val="TOC8"/>
        <w:rPr>
          <w:rFonts w:asciiTheme="minorHAnsi" w:eastAsiaTheme="minorEastAsia" w:hAnsiTheme="minorHAnsi" w:cstheme="minorBidi"/>
          <w:szCs w:val="22"/>
        </w:rPr>
      </w:pPr>
      <w:r>
        <w:t>2.</w:t>
      </w:r>
      <w:r>
        <w:tab/>
        <w:t>Water provided as irrigation service</w:t>
      </w:r>
      <w:r>
        <w:tab/>
      </w:r>
      <w:r>
        <w:fldChar w:fldCharType="begin"/>
      </w:r>
      <w:r>
        <w:instrText xml:space="preserve"> PAGEREF _Toc201745968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Schedule 7 — Miscellaneous charges for Water Corporation</w:t>
      </w:r>
    </w:p>
    <w:p>
      <w:pPr>
        <w:pStyle w:val="TOC8"/>
        <w:rPr>
          <w:rFonts w:asciiTheme="minorHAnsi" w:eastAsiaTheme="minorEastAsia" w:hAnsiTheme="minorHAnsi" w:cstheme="minorBidi"/>
          <w:szCs w:val="22"/>
        </w:rPr>
      </w:pPr>
      <w:r>
        <w:t>1.</w:t>
      </w:r>
      <w:r>
        <w:tab/>
        <w:t>Requests for sub</w:t>
      </w:r>
      <w:r>
        <w:noBreakHyphen/>
        <w:t>meter installations: multi</w:t>
      </w:r>
      <w:r>
        <w:noBreakHyphen/>
        <w:t>unit developments</w:t>
      </w:r>
      <w:r>
        <w:tab/>
      </w:r>
      <w:r>
        <w:fldChar w:fldCharType="begin"/>
      </w:r>
      <w:r>
        <w:instrText xml:space="preserve"> PAGEREF _Toc201745970 \h </w:instrText>
      </w:r>
      <w:r>
        <w:fldChar w:fldCharType="separate"/>
      </w:r>
      <w:r>
        <w:t>107</w:t>
      </w:r>
      <w:r>
        <w:fldChar w:fldCharType="end"/>
      </w:r>
    </w:p>
    <w:p>
      <w:pPr>
        <w:pStyle w:val="TOC8"/>
        <w:rPr>
          <w:rFonts w:asciiTheme="minorHAnsi" w:eastAsiaTheme="minorEastAsia" w:hAnsiTheme="minorHAnsi" w:cstheme="minorBidi"/>
          <w:szCs w:val="22"/>
        </w:rPr>
      </w:pPr>
      <w:r>
        <w:t>2.</w:t>
      </w:r>
      <w:r>
        <w:tab/>
        <w:t>Sub</w:t>
      </w:r>
      <w:r>
        <w:noBreakHyphen/>
        <w:t>meter installations: multi</w:t>
      </w:r>
      <w:r>
        <w:noBreakHyphen/>
        <w:t>unit developments</w:t>
      </w:r>
      <w:r>
        <w:tab/>
      </w:r>
      <w:r>
        <w:fldChar w:fldCharType="begin"/>
      </w:r>
      <w:r>
        <w:instrText xml:space="preserve"> PAGEREF _Toc201745971 \h </w:instrText>
      </w:r>
      <w:r>
        <w:fldChar w:fldCharType="separate"/>
      </w:r>
      <w:r>
        <w:t>107</w:t>
      </w:r>
      <w:r>
        <w:fldChar w:fldCharType="end"/>
      </w:r>
    </w:p>
    <w:p>
      <w:pPr>
        <w:pStyle w:val="TOC8"/>
        <w:rPr>
          <w:rFonts w:asciiTheme="minorHAnsi" w:eastAsiaTheme="minorEastAsia" w:hAnsiTheme="minorHAnsi" w:cstheme="minorBidi"/>
          <w:szCs w:val="22"/>
        </w:rPr>
      </w:pPr>
      <w:r>
        <w:t>3.</w:t>
      </w:r>
      <w:r>
        <w:tab/>
        <w:t>Testing meters</w:t>
      </w:r>
      <w:r>
        <w:tab/>
      </w:r>
      <w:r>
        <w:fldChar w:fldCharType="begin"/>
      </w:r>
      <w:r>
        <w:instrText xml:space="preserve"> PAGEREF _Toc201745972 \h </w:instrText>
      </w:r>
      <w:r>
        <w:fldChar w:fldCharType="separate"/>
      </w:r>
      <w:r>
        <w:t>107</w:t>
      </w:r>
      <w:r>
        <w:fldChar w:fldCharType="end"/>
      </w:r>
    </w:p>
    <w:p>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_Toc201745973 \h </w:instrText>
      </w:r>
      <w:r>
        <w:fldChar w:fldCharType="separate"/>
      </w:r>
      <w:r>
        <w:t>107</w:t>
      </w:r>
      <w:r>
        <w:fldChar w:fldCharType="end"/>
      </w:r>
    </w:p>
    <w:p>
      <w:pPr>
        <w:pStyle w:val="TOC8"/>
        <w:rPr>
          <w:rFonts w:asciiTheme="minorHAnsi" w:eastAsiaTheme="minorEastAsia" w:hAnsiTheme="minorHAnsi" w:cstheme="minorBidi"/>
          <w:szCs w:val="22"/>
        </w:rPr>
      </w:pPr>
      <w:r>
        <w:lastRenderedPageBreak/>
        <w:t>5.</w:t>
      </w:r>
      <w:r>
        <w:tab/>
        <w:t>Activating water supply connection</w:t>
      </w:r>
      <w:r>
        <w:tab/>
      </w:r>
      <w:r>
        <w:fldChar w:fldCharType="begin"/>
      </w:r>
      <w:r>
        <w:instrText xml:space="preserve"> PAGEREF _Toc201745974 \h </w:instrText>
      </w:r>
      <w:r>
        <w:fldChar w:fldCharType="separate"/>
      </w:r>
      <w:r>
        <w:t>108</w:t>
      </w:r>
      <w:r>
        <w:fldChar w:fldCharType="end"/>
      </w:r>
    </w:p>
    <w:p>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_Toc201745975 \h </w:instrText>
      </w:r>
      <w:r>
        <w:fldChar w:fldCharType="separate"/>
      </w:r>
      <w:r>
        <w:t>108</w:t>
      </w:r>
      <w:r>
        <w:fldChar w:fldCharType="end"/>
      </w:r>
    </w:p>
    <w:p>
      <w:pPr>
        <w:pStyle w:val="TOC8"/>
        <w:rPr>
          <w:rFonts w:asciiTheme="minorHAnsi" w:eastAsiaTheme="minorEastAsia" w:hAnsiTheme="minorHAnsi" w:cstheme="minorBidi"/>
          <w:szCs w:val="22"/>
        </w:rPr>
      </w:pPr>
      <w:r>
        <w:t>7.</w:t>
      </w:r>
      <w:r>
        <w:tab/>
        <w:t>Relocating water supply connection</w:t>
      </w:r>
      <w:r>
        <w:tab/>
      </w:r>
      <w:r>
        <w:fldChar w:fldCharType="begin"/>
      </w:r>
      <w:r>
        <w:instrText xml:space="preserve"> PAGEREF _Toc201745976 \h </w:instrText>
      </w:r>
      <w:r>
        <w:fldChar w:fldCharType="separate"/>
      </w:r>
      <w:r>
        <w:t>109</w:t>
      </w:r>
      <w:r>
        <w:fldChar w:fldCharType="end"/>
      </w:r>
    </w:p>
    <w:p>
      <w:pPr>
        <w:pStyle w:val="TOC8"/>
        <w:rPr>
          <w:rFonts w:asciiTheme="minorHAnsi" w:eastAsiaTheme="minorEastAsia" w:hAnsiTheme="minorHAnsi" w:cstheme="minorBidi"/>
          <w:szCs w:val="22"/>
        </w:rPr>
      </w:pPr>
      <w:r>
        <w:t>8.</w:t>
      </w:r>
      <w:r>
        <w:tab/>
        <w:t>Proposal to connect to sewer</w:t>
      </w:r>
      <w:r>
        <w:tab/>
      </w:r>
      <w:r>
        <w:fldChar w:fldCharType="begin"/>
      </w:r>
      <w:r>
        <w:instrText xml:space="preserve"> PAGEREF _Toc201745977 \h </w:instrText>
      </w:r>
      <w:r>
        <w:fldChar w:fldCharType="separate"/>
      </w:r>
      <w:r>
        <w:t>110</w:t>
      </w:r>
      <w:r>
        <w:fldChar w:fldCharType="end"/>
      </w:r>
    </w:p>
    <w:p>
      <w:pPr>
        <w:pStyle w:val="TOC8"/>
        <w:rPr>
          <w:rFonts w:asciiTheme="minorHAnsi" w:eastAsiaTheme="minorEastAsia" w:hAnsiTheme="minorHAnsi" w:cstheme="minorBidi"/>
          <w:szCs w:val="22"/>
        </w:rPr>
      </w:pPr>
      <w:r>
        <w:t>9.</w:t>
      </w:r>
      <w:r>
        <w:tab/>
        <w:t>Installing sewer junction</w:t>
      </w:r>
      <w:r>
        <w:tab/>
      </w:r>
      <w:r>
        <w:fldChar w:fldCharType="begin"/>
      </w:r>
      <w:r>
        <w:instrText xml:space="preserve"> PAGEREF _Toc201745978 \h </w:instrText>
      </w:r>
      <w:r>
        <w:fldChar w:fldCharType="separate"/>
      </w:r>
      <w:r>
        <w:t>110</w:t>
      </w:r>
      <w:r>
        <w:fldChar w:fldCharType="end"/>
      </w:r>
    </w:p>
    <w:p>
      <w:pPr>
        <w:pStyle w:val="TOC8"/>
        <w:rPr>
          <w:rFonts w:asciiTheme="minorHAnsi" w:eastAsiaTheme="minorEastAsia" w:hAnsiTheme="minorHAnsi" w:cstheme="minorBidi"/>
          <w:szCs w:val="22"/>
        </w:rPr>
      </w:pPr>
      <w:r>
        <w:t>10.</w:t>
      </w:r>
      <w:r>
        <w:tab/>
        <w:t>Hire of standpipe for fire hydrant</w:t>
      </w:r>
      <w:r>
        <w:tab/>
      </w:r>
      <w:r>
        <w:fldChar w:fldCharType="begin"/>
      </w:r>
      <w:r>
        <w:instrText xml:space="preserve"> PAGEREF _Toc201745979 \h </w:instrText>
      </w:r>
      <w:r>
        <w:fldChar w:fldCharType="separate"/>
      </w:r>
      <w:r>
        <w:t>110</w:t>
      </w:r>
      <w:r>
        <w:fldChar w:fldCharType="end"/>
      </w:r>
    </w:p>
    <w:p>
      <w:pPr>
        <w:pStyle w:val="TOC8"/>
        <w:rPr>
          <w:rFonts w:asciiTheme="minorHAnsi" w:eastAsiaTheme="minorEastAsia" w:hAnsiTheme="minorHAnsi" w:cstheme="minorBidi"/>
          <w:szCs w:val="22"/>
        </w:rPr>
      </w:pPr>
      <w:r>
        <w:t>11.</w:t>
      </w:r>
      <w:r>
        <w:tab/>
        <w:t>Trade waste: services in relation to discharge</w:t>
      </w:r>
      <w:r>
        <w:tab/>
      </w:r>
      <w:r>
        <w:fldChar w:fldCharType="begin"/>
      </w:r>
      <w:r>
        <w:instrText xml:space="preserve"> PAGEREF _Toc201745980 \h </w:instrText>
      </w:r>
      <w:r>
        <w:fldChar w:fldCharType="separate"/>
      </w:r>
      <w:r>
        <w:t>111</w:t>
      </w:r>
      <w:r>
        <w:fldChar w:fldCharType="end"/>
      </w:r>
    </w:p>
    <w:p>
      <w:pPr>
        <w:pStyle w:val="TOC8"/>
        <w:rPr>
          <w:rFonts w:asciiTheme="minorHAnsi" w:eastAsiaTheme="minorEastAsia" w:hAnsiTheme="minorHAnsi" w:cstheme="minorBidi"/>
          <w:szCs w:val="22"/>
        </w:rPr>
      </w:pPr>
      <w:r>
        <w:t>12.</w:t>
      </w:r>
      <w:r>
        <w:tab/>
        <w:t>Trade waste: product evaluation services</w:t>
      </w:r>
      <w:r>
        <w:tab/>
      </w:r>
      <w:r>
        <w:fldChar w:fldCharType="begin"/>
      </w:r>
      <w:r>
        <w:instrText xml:space="preserve"> PAGEREF _Toc201745981 \h </w:instrText>
      </w:r>
      <w:r>
        <w:fldChar w:fldCharType="separate"/>
      </w:r>
      <w:r>
        <w:t>111</w:t>
      </w:r>
      <w:r>
        <w:fldChar w:fldCharType="end"/>
      </w:r>
    </w:p>
    <w:p>
      <w:pPr>
        <w:pStyle w:val="TOC8"/>
        <w:rPr>
          <w:rFonts w:asciiTheme="minorHAnsi" w:eastAsiaTheme="minorEastAsia" w:hAnsiTheme="minorHAnsi" w:cstheme="minorBidi"/>
          <w:szCs w:val="22"/>
        </w:rPr>
      </w:pPr>
      <w:r>
        <w:t>13.</w:t>
      </w:r>
      <w:r>
        <w:tab/>
        <w:t>Trade waste: one</w:t>
      </w:r>
      <w:r>
        <w:noBreakHyphen/>
        <w:t>off discharge services</w:t>
      </w:r>
      <w:r>
        <w:tab/>
      </w:r>
      <w:r>
        <w:fldChar w:fldCharType="begin"/>
      </w:r>
      <w:r>
        <w:instrText xml:space="preserve"> PAGEREF _Toc201745982 \h </w:instrText>
      </w:r>
      <w:r>
        <w:fldChar w:fldCharType="separate"/>
      </w:r>
      <w:r>
        <w:t>112</w:t>
      </w:r>
      <w:r>
        <w:fldChar w:fldCharType="end"/>
      </w:r>
    </w:p>
    <w:p>
      <w:pPr>
        <w:pStyle w:val="TOC8"/>
        <w:rPr>
          <w:rFonts w:asciiTheme="minorHAnsi" w:eastAsiaTheme="minorEastAsia" w:hAnsiTheme="minorHAnsi" w:cstheme="minorBidi"/>
          <w:szCs w:val="22"/>
        </w:rPr>
      </w:pPr>
      <w:r>
        <w:t>14.</w:t>
      </w:r>
      <w:r>
        <w:tab/>
        <w:t>Meter reading and other information</w:t>
      </w:r>
      <w:r>
        <w:tab/>
      </w:r>
      <w:r>
        <w:fldChar w:fldCharType="begin"/>
      </w:r>
      <w:r>
        <w:instrText xml:space="preserve"> PAGEREF _Toc201745983 \h </w:instrText>
      </w:r>
      <w:r>
        <w:fldChar w:fldCharType="separate"/>
      </w:r>
      <w:r>
        <w:t>112</w:t>
      </w:r>
      <w:r>
        <w:fldChar w:fldCharType="end"/>
      </w:r>
    </w:p>
    <w:p>
      <w:pPr>
        <w:pStyle w:val="TOC8"/>
        <w:rPr>
          <w:rFonts w:asciiTheme="minorHAnsi" w:eastAsiaTheme="minorEastAsia" w:hAnsiTheme="minorHAnsi" w:cstheme="minorBidi"/>
          <w:szCs w:val="22"/>
        </w:rPr>
      </w:pPr>
      <w:r>
        <w:t>15.</w:t>
      </w:r>
      <w:r>
        <w:tab/>
        <w:t>Copies of records</w:t>
      </w:r>
      <w:r>
        <w:tab/>
      </w:r>
      <w:r>
        <w:fldChar w:fldCharType="begin"/>
      </w:r>
      <w:r>
        <w:instrText xml:space="preserve"> PAGEREF _Toc201745984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8 — Government trading organisations</w:t>
      </w:r>
    </w:p>
    <w:p>
      <w:pPr>
        <w:pStyle w:val="TOC2"/>
        <w:tabs>
          <w:tab w:val="right" w:leader="dot" w:pos="7077"/>
        </w:tabs>
        <w:rPr>
          <w:rFonts w:asciiTheme="minorHAnsi" w:eastAsiaTheme="minorEastAsia" w:hAnsiTheme="minorHAnsi" w:cstheme="minorBidi"/>
          <w:b w:val="0"/>
          <w:sz w:val="22"/>
          <w:szCs w:val="22"/>
        </w:rPr>
      </w:pPr>
      <w:r>
        <w:t>Schedule 9 — Central business districts</w:t>
      </w:r>
    </w:p>
    <w:p>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_Toc201745987 \h </w:instrText>
      </w:r>
      <w:r>
        <w:fldChar w:fldCharType="separate"/>
      </w:r>
      <w:r>
        <w:t>115</w:t>
      </w:r>
      <w:r>
        <w:fldChar w:fldCharType="end"/>
      </w:r>
    </w:p>
    <w:p>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_Toc201745991 \h </w:instrText>
      </w:r>
      <w:r>
        <w:fldChar w:fldCharType="separate"/>
      </w:r>
      <w:r>
        <w:t>136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_Toc201745992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2" w:name="_Toc201314238"/>
      <w:bookmarkStart w:id="3" w:name="_Toc201323360"/>
      <w:bookmarkStart w:id="4" w:name="_Toc201324169"/>
      <w:bookmarkStart w:id="5" w:name="_Toc201324852"/>
      <w:bookmarkStart w:id="6" w:name="_Toc201325081"/>
      <w:bookmarkStart w:id="7" w:name="_Toc201325310"/>
      <w:bookmarkStart w:id="8" w:name="_Toc201325772"/>
      <w:bookmarkStart w:id="9" w:name="_Toc20174576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pPr>
      <w:bookmarkStart w:id="10" w:name="_Toc201745766"/>
      <w:r>
        <w:rPr>
          <w:rStyle w:val="CharSectno"/>
        </w:rPr>
        <w:t>1</w:t>
      </w:r>
      <w:r>
        <w:t>.</w:t>
      </w:r>
      <w:r>
        <w:tab/>
        <w:t>Citation</w:t>
      </w:r>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2" w:name="_Toc201745767"/>
      <w:r>
        <w:rPr>
          <w:rStyle w:val="CharSectno"/>
        </w:rPr>
        <w:t>2</w:t>
      </w:r>
      <w:r>
        <w:rPr>
          <w:spacing w:val="-2"/>
        </w:rPr>
        <w:t>.</w:t>
      </w:r>
      <w:r>
        <w:rPr>
          <w:spacing w:val="-2"/>
        </w:rPr>
        <w:tab/>
        <w:t>Commencement</w:t>
      </w:r>
      <w:bookmarkEnd w:id="12"/>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3" w:name="_Toc201745768"/>
      <w:r>
        <w:rPr>
          <w:rStyle w:val="CharSectno"/>
        </w:rPr>
        <w:t>3</w:t>
      </w:r>
      <w:r>
        <w:t>.</w:t>
      </w:r>
      <w:r>
        <w:tab/>
        <w:t>Terms used</w:t>
      </w:r>
      <w:bookmarkEnd w:id="13"/>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4" w:name="_Toc201314242"/>
      <w:bookmarkStart w:id="15" w:name="_Toc201323364"/>
      <w:bookmarkStart w:id="16" w:name="_Toc201324173"/>
      <w:bookmarkStart w:id="17" w:name="_Toc201324856"/>
      <w:bookmarkStart w:id="18" w:name="_Toc201325085"/>
      <w:bookmarkStart w:id="19" w:name="_Toc201325314"/>
      <w:bookmarkStart w:id="20" w:name="_Toc201325776"/>
      <w:bookmarkStart w:id="21" w:name="_Toc201745769"/>
      <w:r>
        <w:rPr>
          <w:rStyle w:val="CharPartNo"/>
        </w:rPr>
        <w:lastRenderedPageBreak/>
        <w:t>Part 2</w:t>
      </w:r>
      <w:r>
        <w:rPr>
          <w:rStyle w:val="CharDivNo"/>
        </w:rPr>
        <w:t> </w:t>
      </w:r>
      <w:r>
        <w:t>—</w:t>
      </w:r>
      <w:r>
        <w:rPr>
          <w:rStyle w:val="CharDivText"/>
        </w:rPr>
        <w:t> </w:t>
      </w:r>
      <w:r>
        <w:rPr>
          <w:rStyle w:val="CharPartText"/>
        </w:rPr>
        <w:t>General provisions</w:t>
      </w:r>
      <w:bookmarkEnd w:id="14"/>
      <w:bookmarkEnd w:id="15"/>
      <w:bookmarkEnd w:id="16"/>
      <w:bookmarkEnd w:id="17"/>
      <w:bookmarkEnd w:id="18"/>
      <w:bookmarkEnd w:id="19"/>
      <w:bookmarkEnd w:id="20"/>
      <w:bookmarkEnd w:id="21"/>
    </w:p>
    <w:p>
      <w:pPr>
        <w:pStyle w:val="Heading5"/>
      </w:pPr>
      <w:bookmarkStart w:id="22" w:name="_Toc201745770"/>
      <w:r>
        <w:rPr>
          <w:rStyle w:val="CharSectno"/>
        </w:rPr>
        <w:t>4</w:t>
      </w:r>
      <w:r>
        <w:t>.</w:t>
      </w:r>
      <w:r>
        <w:tab/>
        <w:t>Annual charges and pro rata annual charges</w:t>
      </w:r>
      <w:bookmarkEnd w:id="22"/>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3" w:name="_Toc201745771"/>
      <w:r>
        <w:rPr>
          <w:rStyle w:val="CharSectno"/>
        </w:rPr>
        <w:t>5</w:t>
      </w:r>
      <w:r>
        <w:t>.</w:t>
      </w:r>
      <w:r>
        <w:tab/>
        <w:t>Amendment of consumption or discharge charges during charge period</w:t>
      </w:r>
      <w:bookmarkEnd w:id="23"/>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4" w:name="_Toc201314245"/>
      <w:bookmarkStart w:id="25" w:name="_Toc201323367"/>
      <w:bookmarkStart w:id="26" w:name="_Toc201324176"/>
      <w:bookmarkStart w:id="27" w:name="_Toc201324859"/>
      <w:bookmarkStart w:id="28" w:name="_Toc201325088"/>
      <w:bookmarkStart w:id="29" w:name="_Toc201325317"/>
      <w:bookmarkStart w:id="30" w:name="_Toc201325779"/>
      <w:bookmarkStart w:id="31" w:name="_Toc201745772"/>
      <w:r>
        <w:rPr>
          <w:rStyle w:val="CharPartNo"/>
        </w:rPr>
        <w:lastRenderedPageBreak/>
        <w:t>Part 3</w:t>
      </w:r>
      <w:r>
        <w:rPr>
          <w:rStyle w:val="CharDivNo"/>
        </w:rPr>
        <w:t> </w:t>
      </w:r>
      <w:r>
        <w:t>—</w:t>
      </w:r>
      <w:r>
        <w:rPr>
          <w:rStyle w:val="CharDivText"/>
        </w:rPr>
        <w:t> </w:t>
      </w:r>
      <w:r>
        <w:rPr>
          <w:rStyle w:val="CharPartText"/>
        </w:rPr>
        <w:t>Charges for Bunbury Water Corporation</w:t>
      </w:r>
      <w:bookmarkEnd w:id="24"/>
      <w:bookmarkEnd w:id="25"/>
      <w:bookmarkEnd w:id="26"/>
      <w:bookmarkEnd w:id="27"/>
      <w:bookmarkEnd w:id="28"/>
      <w:bookmarkEnd w:id="29"/>
      <w:bookmarkEnd w:id="30"/>
      <w:bookmarkEnd w:id="31"/>
    </w:p>
    <w:p>
      <w:pPr>
        <w:pStyle w:val="Heading5"/>
      </w:pPr>
      <w:bookmarkStart w:id="32" w:name="_Toc201745773"/>
      <w:r>
        <w:rPr>
          <w:rStyle w:val="CharSectno"/>
        </w:rPr>
        <w:t>6</w:t>
      </w:r>
      <w:r>
        <w:t>.</w:t>
      </w:r>
      <w:r>
        <w:tab/>
        <w:t>Terms used</w:t>
      </w:r>
      <w:bookmarkEnd w:id="32"/>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non-residential lot</w:t>
      </w:r>
      <w:r>
        <w:t xml:space="preserve"> means a lot that is neither a residential lot nor vacant land;</w:t>
      </w:r>
    </w:p>
    <w:p>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 SL 2025/101 r. 7.]</w:t>
      </w:r>
    </w:p>
    <w:p>
      <w:pPr>
        <w:pStyle w:val="Heading5"/>
      </w:pPr>
      <w:bookmarkStart w:id="33" w:name="_Toc201745774"/>
      <w:r>
        <w:rPr>
          <w:rStyle w:val="CharSectno"/>
        </w:rPr>
        <w:t>7</w:t>
      </w:r>
      <w:r>
        <w:t>.</w:t>
      </w:r>
      <w:r>
        <w:tab/>
        <w:t>Water supply charges</w:t>
      </w:r>
      <w:bookmarkEnd w:id="33"/>
    </w:p>
    <w:p>
      <w:pPr>
        <w:pStyle w:val="Subsection"/>
      </w:pPr>
      <w:r>
        <w:tab/>
        <w:t>(1)</w:t>
      </w:r>
      <w:r>
        <w:tab/>
        <w:t>The water service charges set out in Schedule 1 Divisions 1 and 2 apply, in accordance with the Schedule, in respect of land in respect of which a water supply service is provided by the Bunbury Water Corporation.</w:t>
      </w:r>
    </w:p>
    <w:p>
      <w:pPr>
        <w:pStyle w:val="Subsection"/>
      </w:pPr>
      <w:r>
        <w:tab/>
        <w:t>(2)</w:t>
      </w:r>
      <w:r>
        <w:tab/>
        <w:t>If the Bunbury Water Corporation is satisfied that it is practicable for water supply works of the Bunbury Water Corporation to be connected to a water supply outlet on land then, for the purposes of subregulation (1), a water supply service is to be taken to be provided in respect of the land by the Bunbury Water Corporation, despite those works not being connected to a water supply outlet on the land.</w:t>
      </w:r>
    </w:p>
    <w:p>
      <w:pPr>
        <w:pStyle w:val="Footnotesection"/>
      </w:pPr>
      <w:r>
        <w:tab/>
        <w:t>[Regulation 7 amended: SL 2025/101 r. 8.]</w:t>
      </w:r>
    </w:p>
    <w:p>
      <w:pPr>
        <w:pStyle w:val="Ednotesection"/>
      </w:pPr>
      <w:r>
        <w:t>[</w:t>
      </w:r>
      <w:r>
        <w:rPr>
          <w:b/>
        </w:rPr>
        <w:t>8.</w:t>
      </w:r>
      <w:r>
        <w:tab/>
        <w:t>Deleted: Gazette 23 Jun 2017 p. 3324.]</w:t>
      </w:r>
    </w:p>
    <w:p>
      <w:pPr>
        <w:pStyle w:val="Heading5"/>
      </w:pPr>
      <w:bookmarkStart w:id="34" w:name="_Toc201745775"/>
      <w:r>
        <w:rPr>
          <w:rStyle w:val="CharSectno"/>
        </w:rPr>
        <w:t>9</w:t>
      </w:r>
      <w:r>
        <w:t>.</w:t>
      </w:r>
      <w:r>
        <w:tab/>
        <w:t>Concessions</w:t>
      </w:r>
      <w:bookmarkEnd w:id="34"/>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lastRenderedPageBreak/>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5" w:name="_Toc201745776"/>
      <w:r>
        <w:rPr>
          <w:rStyle w:val="CharSectno"/>
        </w:rPr>
        <w:t>10</w:t>
      </w:r>
      <w:r>
        <w:t>.</w:t>
      </w:r>
      <w:r>
        <w:tab/>
        <w:t>Interest accruing on overdue amounts</w:t>
      </w:r>
      <w:bookmarkEnd w:id="35"/>
    </w:p>
    <w:p>
      <w:pPr>
        <w:pStyle w:val="Subsection"/>
      </w:pPr>
      <w:r>
        <w:tab/>
      </w:r>
      <w:r>
        <w:tab/>
        <w:t>If an amount payable under this Part is overdue, interest accrues daily on any part of that amount unpaid after the day on which the amount was due, at the rate of 11.33% per annum.</w:t>
      </w:r>
    </w:p>
    <w:p>
      <w:pPr>
        <w:pStyle w:val="Footnotesection"/>
      </w:pPr>
      <w:r>
        <w:tab/>
        <w:t>[Regulation 10 amended: Gazette 30 Jun 2015 p. 2363; 27 Jun 2016 p. 2538; 23 Jun 2017 p. 3324; SL 2020/95 r. 4; SL 2021/80 r. 4; SL 2023/66 r. 4; SL 2024/117 r. 7; SL 2025/101 r. 9.]</w:t>
      </w:r>
    </w:p>
    <w:p>
      <w:pPr>
        <w:pStyle w:val="Heading2"/>
      </w:pPr>
      <w:bookmarkStart w:id="36" w:name="_Toc201314250"/>
      <w:bookmarkStart w:id="37" w:name="_Toc201323372"/>
      <w:bookmarkStart w:id="38" w:name="_Toc201324181"/>
      <w:bookmarkStart w:id="39" w:name="_Toc201324864"/>
      <w:bookmarkStart w:id="40" w:name="_Toc201325093"/>
      <w:bookmarkStart w:id="41" w:name="_Toc201325322"/>
      <w:bookmarkStart w:id="42" w:name="_Toc201325784"/>
      <w:bookmarkStart w:id="43" w:name="_Toc201745777"/>
      <w:r>
        <w:rPr>
          <w:rStyle w:val="CharPartNo"/>
        </w:rPr>
        <w:lastRenderedPageBreak/>
        <w:t>Part 4</w:t>
      </w:r>
      <w:r>
        <w:rPr>
          <w:rStyle w:val="CharDivNo"/>
        </w:rPr>
        <w:t> </w:t>
      </w:r>
      <w:r>
        <w:t>—</w:t>
      </w:r>
      <w:r>
        <w:rPr>
          <w:rStyle w:val="CharDivText"/>
        </w:rPr>
        <w:t> </w:t>
      </w:r>
      <w:r>
        <w:rPr>
          <w:rStyle w:val="CharPartText"/>
        </w:rPr>
        <w:t>Charges for Busselton Water Corporation</w:t>
      </w:r>
      <w:bookmarkEnd w:id="36"/>
      <w:bookmarkEnd w:id="37"/>
      <w:bookmarkEnd w:id="38"/>
      <w:bookmarkEnd w:id="39"/>
      <w:bookmarkEnd w:id="40"/>
      <w:bookmarkEnd w:id="41"/>
      <w:bookmarkEnd w:id="42"/>
      <w:bookmarkEnd w:id="43"/>
    </w:p>
    <w:p>
      <w:pPr>
        <w:pStyle w:val="Heading5"/>
      </w:pPr>
      <w:bookmarkStart w:id="44" w:name="_Toc201745778"/>
      <w:r>
        <w:rPr>
          <w:rStyle w:val="CharSectno"/>
        </w:rPr>
        <w:t>11</w:t>
      </w:r>
      <w:r>
        <w:t>.</w:t>
      </w:r>
      <w:r>
        <w:tab/>
        <w:t>Terms used</w:t>
      </w:r>
      <w:bookmarkEnd w:id="44"/>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45" w:name="_Toc201745779"/>
      <w:r>
        <w:rPr>
          <w:rStyle w:val="CharSectno"/>
        </w:rPr>
        <w:t>12</w:t>
      </w:r>
      <w:r>
        <w:t>.</w:t>
      </w:r>
      <w:r>
        <w:tab/>
        <w:t>Water supply charges</w:t>
      </w:r>
      <w:bookmarkEnd w:id="45"/>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46" w:name="_Toc201745780"/>
      <w:r>
        <w:rPr>
          <w:rStyle w:val="CharSectno"/>
        </w:rPr>
        <w:t>14</w:t>
      </w:r>
      <w:r>
        <w:t>.</w:t>
      </w:r>
      <w:r>
        <w:tab/>
        <w:t>Concessions</w:t>
      </w:r>
      <w:bookmarkEnd w:id="46"/>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7" w:name="_Toc201745781"/>
      <w:r>
        <w:rPr>
          <w:rStyle w:val="CharSectno"/>
        </w:rPr>
        <w:t>15A</w:t>
      </w:r>
      <w:r>
        <w:t>.</w:t>
      </w:r>
      <w:r>
        <w:tab/>
        <w:t>Permitted surcharge for using credit card or debit card</w:t>
      </w:r>
      <w:bookmarkEnd w:id="47"/>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48" w:name="_Toc201745782"/>
      <w:r>
        <w:rPr>
          <w:rStyle w:val="CharSectno"/>
        </w:rPr>
        <w:lastRenderedPageBreak/>
        <w:t>15</w:t>
      </w:r>
      <w:r>
        <w:t>.</w:t>
      </w:r>
      <w:r>
        <w:tab/>
        <w:t>Interest accruing on overdue amounts</w:t>
      </w:r>
      <w:bookmarkEnd w:id="48"/>
    </w:p>
    <w:p>
      <w:pPr>
        <w:pStyle w:val="Subsection"/>
      </w:pPr>
      <w:r>
        <w:tab/>
      </w:r>
      <w:r>
        <w:tab/>
        <w:t>If an amount payable under this Part is overdue, interest accrues daily on any part of that amount unpaid after the day on which the amount was due, at the rate of 11.08% per annum.</w:t>
      </w:r>
    </w:p>
    <w:p>
      <w:pPr>
        <w:pStyle w:val="Footnotesection"/>
      </w:pPr>
      <w:r>
        <w:tab/>
        <w:t>[Regulation 15 amended: Gazette 27 Jun 2016 p. 2538; 23 Jun 2017 p. 3324; SL 2020/95 r. 5; SL 2021/80 r. 5; SL 2024/117 r. 8.]</w:t>
      </w:r>
    </w:p>
    <w:p>
      <w:pPr>
        <w:pStyle w:val="Heading2"/>
      </w:pPr>
      <w:bookmarkStart w:id="49" w:name="_Toc201314256"/>
      <w:bookmarkStart w:id="50" w:name="_Toc201323378"/>
      <w:bookmarkStart w:id="51" w:name="_Toc201324187"/>
      <w:bookmarkStart w:id="52" w:name="_Toc201324870"/>
      <w:bookmarkStart w:id="53" w:name="_Toc201325099"/>
      <w:bookmarkStart w:id="54" w:name="_Toc201325328"/>
      <w:bookmarkStart w:id="55" w:name="_Toc201325790"/>
      <w:bookmarkStart w:id="56" w:name="_Toc201745783"/>
      <w:r>
        <w:rPr>
          <w:rStyle w:val="CharPartNo"/>
        </w:rPr>
        <w:lastRenderedPageBreak/>
        <w:t>Part 5</w:t>
      </w:r>
      <w:r>
        <w:t> — </w:t>
      </w:r>
      <w:r>
        <w:rPr>
          <w:rStyle w:val="CharPartText"/>
        </w:rPr>
        <w:t>Charges for the Water Corporation</w:t>
      </w:r>
      <w:bookmarkEnd w:id="49"/>
      <w:bookmarkEnd w:id="50"/>
      <w:bookmarkEnd w:id="51"/>
      <w:bookmarkEnd w:id="52"/>
      <w:bookmarkEnd w:id="53"/>
      <w:bookmarkEnd w:id="54"/>
      <w:bookmarkEnd w:id="55"/>
      <w:bookmarkEnd w:id="56"/>
    </w:p>
    <w:p>
      <w:pPr>
        <w:pStyle w:val="Heading3"/>
      </w:pPr>
      <w:bookmarkStart w:id="57" w:name="_Toc201314257"/>
      <w:bookmarkStart w:id="58" w:name="_Toc201323379"/>
      <w:bookmarkStart w:id="59" w:name="_Toc201324188"/>
      <w:bookmarkStart w:id="60" w:name="_Toc201324871"/>
      <w:bookmarkStart w:id="61" w:name="_Toc201325100"/>
      <w:bookmarkStart w:id="62" w:name="_Toc201325329"/>
      <w:bookmarkStart w:id="63" w:name="_Toc201325791"/>
      <w:bookmarkStart w:id="64" w:name="_Toc201745784"/>
      <w:r>
        <w:rPr>
          <w:rStyle w:val="CharDivNo"/>
        </w:rPr>
        <w:t>Division 1</w:t>
      </w:r>
      <w:r>
        <w:t> — </w:t>
      </w:r>
      <w:r>
        <w:rPr>
          <w:rStyle w:val="CharDivText"/>
        </w:rPr>
        <w:t>Preliminary</w:t>
      </w:r>
      <w:bookmarkEnd w:id="57"/>
      <w:bookmarkEnd w:id="58"/>
      <w:bookmarkEnd w:id="59"/>
      <w:bookmarkEnd w:id="60"/>
      <w:bookmarkEnd w:id="61"/>
      <w:bookmarkEnd w:id="62"/>
      <w:bookmarkEnd w:id="63"/>
      <w:bookmarkEnd w:id="64"/>
    </w:p>
    <w:p>
      <w:pPr>
        <w:pStyle w:val="Heading5"/>
      </w:pPr>
      <w:bookmarkStart w:id="65" w:name="_Toc201745785"/>
      <w:r>
        <w:rPr>
          <w:rStyle w:val="CharSectno"/>
        </w:rPr>
        <w:t>16</w:t>
      </w:r>
      <w:r>
        <w:t>.</w:t>
      </w:r>
      <w:r>
        <w:tab/>
        <w:t>Terms used</w:t>
      </w:r>
      <w:bookmarkEnd w:id="65"/>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keepNext/>
      </w:pPr>
      <w:r>
        <w:lastRenderedPageBreak/>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lastRenderedPageBreak/>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Housing Authority</w:t>
      </w:r>
      <w:r>
        <w:t xml:space="preserve"> means the Housing Authority referred to in the </w:t>
      </w:r>
      <w:r>
        <w:rPr>
          <w:i/>
        </w:rPr>
        <w:t>Housing Act 1980</w:t>
      </w:r>
      <w:r>
        <w:t xml:space="preserve"> section 6(4);</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keepNext/>
      </w:pPr>
      <w:r>
        <w:lastRenderedPageBreak/>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lastRenderedPageBreak/>
        <w:tab/>
        <w:t>(b)</w:t>
      </w:r>
      <w:r>
        <w:tab/>
        <w:t>retired;</w:t>
      </w:r>
    </w:p>
    <w:p>
      <w:pPr>
        <w:pStyle w:val="Defstart"/>
        <w:keepNex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xml:space="preserve">, the reference to land that could be classified as residential is a reference to land that </w:t>
      </w:r>
      <w:r>
        <w:lastRenderedPageBreak/>
        <w:t>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 SL 2022/82 r. 4; SL 2023/66 r. 5.]</w:t>
      </w:r>
    </w:p>
    <w:p>
      <w:pPr>
        <w:pStyle w:val="Heading5"/>
      </w:pPr>
      <w:bookmarkStart w:id="66" w:name="_Toc201745786"/>
      <w:r>
        <w:rPr>
          <w:rStyle w:val="CharSectno"/>
        </w:rPr>
        <w:t>17</w:t>
      </w:r>
      <w:r>
        <w:t>.</w:t>
      </w:r>
      <w:r>
        <w:tab/>
        <w:t>Concessional land</w:t>
      </w:r>
      <w:bookmarkEnd w:id="66"/>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keepNext/>
      </w:pPr>
      <w:r>
        <w:lastRenderedPageBreak/>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lastRenderedPageBreak/>
        <w:tab/>
        <w:t>(l)</w:t>
      </w:r>
      <w:r>
        <w:tab/>
        <w:t>land that the Water Corporation declares, under this paragraph, to be concessional land for the purposes of this Part.</w:t>
      </w:r>
    </w:p>
    <w:p>
      <w:pPr>
        <w:pStyle w:val="Subsection"/>
        <w:keepNext/>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67" w:name="_Toc201314260"/>
      <w:bookmarkStart w:id="68" w:name="_Toc201323382"/>
      <w:bookmarkStart w:id="69" w:name="_Toc201324191"/>
      <w:bookmarkStart w:id="70" w:name="_Toc201324874"/>
      <w:bookmarkStart w:id="71" w:name="_Toc201325103"/>
      <w:bookmarkStart w:id="72" w:name="_Toc201325332"/>
      <w:bookmarkStart w:id="73" w:name="_Toc201325794"/>
      <w:bookmarkStart w:id="74" w:name="_Toc201745787"/>
      <w:r>
        <w:rPr>
          <w:rStyle w:val="CharDivNo"/>
        </w:rPr>
        <w:t>Division 2</w:t>
      </w:r>
      <w:r>
        <w:t> — </w:t>
      </w:r>
      <w:r>
        <w:rPr>
          <w:rStyle w:val="CharDivText"/>
        </w:rPr>
        <w:t>Provisions of general application</w:t>
      </w:r>
      <w:bookmarkEnd w:id="67"/>
      <w:bookmarkEnd w:id="68"/>
      <w:bookmarkEnd w:id="69"/>
      <w:bookmarkEnd w:id="70"/>
      <w:bookmarkEnd w:id="71"/>
      <w:bookmarkEnd w:id="72"/>
      <w:bookmarkEnd w:id="73"/>
      <w:bookmarkEnd w:id="74"/>
    </w:p>
    <w:p>
      <w:pPr>
        <w:pStyle w:val="Heading5"/>
      </w:pPr>
      <w:bookmarkStart w:id="75" w:name="_Toc201745788"/>
      <w:r>
        <w:rPr>
          <w:rStyle w:val="CharSectno"/>
        </w:rPr>
        <w:t>18</w:t>
      </w:r>
      <w:r>
        <w:t>.</w:t>
      </w:r>
      <w:r>
        <w:tab/>
        <w:t>Application of this Division</w:t>
      </w:r>
      <w:bookmarkEnd w:id="75"/>
    </w:p>
    <w:p>
      <w:pPr>
        <w:pStyle w:val="Subsection"/>
      </w:pPr>
      <w:r>
        <w:tab/>
      </w:r>
      <w:r>
        <w:tab/>
        <w:t>This Division applies to water service charges applicable under Divisions 3, 4, 5 and 6.</w:t>
      </w:r>
    </w:p>
    <w:p>
      <w:pPr>
        <w:pStyle w:val="Heading5"/>
      </w:pPr>
      <w:bookmarkStart w:id="76" w:name="_Toc201745789"/>
      <w:r>
        <w:rPr>
          <w:rStyle w:val="CharSectno"/>
        </w:rPr>
        <w:lastRenderedPageBreak/>
        <w:t>19</w:t>
      </w:r>
      <w:r>
        <w:t>.</w:t>
      </w:r>
      <w:r>
        <w:tab/>
        <w:t>Payment of charges</w:t>
      </w:r>
      <w:bookmarkEnd w:id="76"/>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32 or Schedule 7 item 11, 12 or 13.</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11, 12 or 13.</w:t>
      </w:r>
    </w:p>
    <w:p>
      <w:pPr>
        <w:pStyle w:val="Footnotesection"/>
      </w:pPr>
      <w:r>
        <w:tab/>
        <w:t>[Regulation 19 amended: SL 2022/82 r. 5; SL 2023/66 r. 6.]</w:t>
      </w:r>
    </w:p>
    <w:p>
      <w:pPr>
        <w:pStyle w:val="Heading5"/>
      </w:pPr>
      <w:bookmarkStart w:id="77" w:name="_Toc201745790"/>
      <w:r>
        <w:rPr>
          <w:rStyle w:val="CharSectno"/>
        </w:rPr>
        <w:t>20</w:t>
      </w:r>
      <w:r>
        <w:t>.</w:t>
      </w:r>
      <w:r>
        <w:tab/>
        <w:t>Permitted surcharge for using credit card or debit card</w:t>
      </w:r>
      <w:bookmarkEnd w:id="77"/>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keepNex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 xml:space="preserve">Payment Systems </w:t>
      </w:r>
      <w:r>
        <w:rPr>
          <w:i/>
        </w:rPr>
        <w:lastRenderedPageBreak/>
        <w:t>(Regulation)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78" w:name="_Toc201745791"/>
      <w:r>
        <w:rPr>
          <w:rStyle w:val="CharSectno"/>
        </w:rPr>
        <w:t>21</w:t>
      </w:r>
      <w:r>
        <w:t>.</w:t>
      </w:r>
      <w:r>
        <w:tab/>
        <w:t>Special payment arrangements</w:t>
      </w:r>
      <w:bookmarkEnd w:id="78"/>
    </w:p>
    <w:p>
      <w:pPr>
        <w:pStyle w:val="Ednotesubsection"/>
      </w:pPr>
      <w:r>
        <w:tab/>
        <w:t>[(1)</w:t>
      </w:r>
      <w:r>
        <w:tab/>
        <w:t>deleted]</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Ednotepara"/>
      </w:pPr>
      <w:r>
        <w:tab/>
        <w:t>[(b)</w:t>
      </w:r>
      <w:r>
        <w:tab/>
        <w:t>deleted]</w:t>
      </w:r>
    </w:p>
    <w:p>
      <w:pPr>
        <w:pStyle w:val="Indenta"/>
      </w:pPr>
      <w:r>
        <w:tab/>
        <w:t>(c)</w:t>
      </w:r>
      <w:r>
        <w:tab/>
        <w:t>if interest is payable under the arrangement — the rate at which the interest is calculated cannot exceed the rate in regulation 29.</w:t>
      </w:r>
    </w:p>
    <w:p>
      <w:pPr>
        <w:pStyle w:val="Footnotesection"/>
      </w:pPr>
      <w:r>
        <w:tab/>
        <w:t>[Regulation 21 amended: SL 2023/66 r. 7.]</w:t>
      </w:r>
    </w:p>
    <w:p>
      <w:pPr>
        <w:pStyle w:val="Heading5"/>
      </w:pPr>
      <w:bookmarkStart w:id="79" w:name="_Toc201745792"/>
      <w:r>
        <w:rPr>
          <w:rStyle w:val="CharSectno"/>
        </w:rPr>
        <w:t>22</w:t>
      </w:r>
      <w:r>
        <w:t>.</w:t>
      </w:r>
      <w:r>
        <w:tab/>
        <w:t>Estimating quantity of water or wastewater supplied, discharged or drained</w:t>
      </w:r>
      <w:bookmarkEnd w:id="79"/>
    </w:p>
    <w:p>
      <w:pPr>
        <w:pStyle w:val="Subsection"/>
        <w:keepNext/>
      </w:pPr>
      <w:r>
        <w:tab/>
        <w:t>(1)</w:t>
      </w:r>
      <w:r>
        <w:tab/>
        <w:t xml:space="preserve">Subregulation (2) applies to the extent to which the quantity of water or wastewater supplied to or discharged or drained from </w:t>
      </w:r>
      <w:r>
        <w:lastRenderedPageBreak/>
        <w:t xml:space="preserve">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 xml:space="preserve">If water supplied for irrigation is not supplied through a meter then, for the purposes of calculating a water service charge for the supply of the water, the Water Corporation may estimate the </w:t>
      </w:r>
      <w:r>
        <w:lastRenderedPageBreak/>
        <w:t>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80" w:name="_Toc201745793"/>
      <w:r>
        <w:rPr>
          <w:rStyle w:val="CharSectno"/>
        </w:rPr>
        <w:t>23</w:t>
      </w:r>
      <w:r>
        <w:t>.</w:t>
      </w:r>
      <w:r>
        <w:tab/>
        <w:t>Determining quality and quantity of trade waste discharged</w:t>
      </w:r>
      <w:bookmarkEnd w:id="80"/>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keepNext/>
      </w:pPr>
      <w:r>
        <w:lastRenderedPageBreak/>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keepNext/>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lastRenderedPageBreak/>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81" w:name="_Toc201745794"/>
      <w:r>
        <w:rPr>
          <w:rStyle w:val="CharSectno"/>
        </w:rPr>
        <w:t>24</w:t>
      </w:r>
      <w:r>
        <w:t>.</w:t>
      </w:r>
      <w:r>
        <w:tab/>
        <w:t>Vacant land: minimum charges before revaluation</w:t>
      </w:r>
      <w:bookmarkEnd w:id="81"/>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13;</w:t>
      </w:r>
    </w:p>
    <w:p>
      <w:pPr>
        <w:pStyle w:val="Indenta"/>
      </w:pPr>
      <w:r>
        <w:tab/>
        <w:t>(b)</w:t>
      </w:r>
      <w:r>
        <w:tab/>
        <w:t>for a sewerage service — the applicable charge set out in Schedule 4 item 3 or 12(6);</w:t>
      </w:r>
    </w:p>
    <w:p>
      <w:pPr>
        <w:pStyle w:val="Indenta"/>
      </w:pPr>
      <w:r>
        <w:tab/>
        <w:t>(c)</w:t>
      </w:r>
      <w:r>
        <w:tab/>
        <w:t>for a drainage service — the charge set out in Schedule 5 item 5.</w:t>
      </w:r>
    </w:p>
    <w:p>
      <w:pPr>
        <w:pStyle w:val="Footnotesection"/>
      </w:pPr>
      <w:r>
        <w:tab/>
        <w:t>[Regulation 24 amended: SL 2022/82 r. 6.]</w:t>
      </w:r>
    </w:p>
    <w:p>
      <w:pPr>
        <w:pStyle w:val="Heading5"/>
      </w:pPr>
      <w:bookmarkStart w:id="82" w:name="_Toc201745795"/>
      <w:r>
        <w:rPr>
          <w:rStyle w:val="CharSectno"/>
        </w:rPr>
        <w:t>25</w:t>
      </w:r>
      <w:r>
        <w:t>.</w:t>
      </w:r>
      <w:r>
        <w:tab/>
        <w:t>Classification of land</w:t>
      </w:r>
      <w:bookmarkEnd w:id="82"/>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lastRenderedPageBreak/>
        <w:tab/>
        <w:t>(3)</w:t>
      </w:r>
      <w:r>
        <w:tab/>
        <w:t>This regulation does not apply in relation to the residential or non</w:t>
      </w:r>
      <w:r>
        <w:noBreakHyphen/>
        <w:t>residential class of a town or area as set out in Schedule 10 or 11.</w:t>
      </w:r>
    </w:p>
    <w:p>
      <w:pPr>
        <w:pStyle w:val="Heading5"/>
        <w:spacing w:before="240"/>
      </w:pPr>
      <w:bookmarkStart w:id="83" w:name="_Toc201745796"/>
      <w:r>
        <w:rPr>
          <w:rStyle w:val="CharSectno"/>
        </w:rPr>
        <w:t>26</w:t>
      </w:r>
      <w:r>
        <w:t>.</w:t>
      </w:r>
      <w:r>
        <w:tab/>
        <w:t>Classification of land: holiday accommodation</w:t>
      </w:r>
      <w:bookmarkEnd w:id="83"/>
    </w:p>
    <w:p>
      <w:pPr>
        <w:pStyle w:val="Subsection"/>
        <w:keepNext/>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84" w:name="_Toc201745797"/>
      <w:r>
        <w:rPr>
          <w:rStyle w:val="CharSectno"/>
        </w:rPr>
        <w:t>27</w:t>
      </w:r>
      <w:r>
        <w:t>.</w:t>
      </w:r>
      <w:r>
        <w:tab/>
        <w:t>Commercial caravan parks</w:t>
      </w:r>
      <w:bookmarkEnd w:id="84"/>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keepNext/>
      </w:pPr>
      <w:r>
        <w:lastRenderedPageBreak/>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 xml:space="preserve">See Schedule 4 </w:t>
      </w:r>
      <w:r>
        <w:rPr>
          <w:rFonts w:cs="Arial"/>
          <w:szCs w:val="18"/>
        </w:rPr>
        <w:t>items 16 and 23</w:t>
      </w:r>
      <w:r>
        <w:t xml:space="preserve">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Footnotesection"/>
      </w:pPr>
      <w:r>
        <w:tab/>
        <w:t>[Regulation 27 amended: SL 2022/82 r. 7.]</w:t>
      </w:r>
    </w:p>
    <w:p>
      <w:pPr>
        <w:pStyle w:val="Heading5"/>
      </w:pPr>
      <w:bookmarkStart w:id="85" w:name="_Toc201745798"/>
      <w:r>
        <w:rPr>
          <w:rStyle w:val="CharSectno"/>
        </w:rPr>
        <w:t>28</w:t>
      </w:r>
      <w:r>
        <w:t>.</w:t>
      </w:r>
      <w:r>
        <w:tab/>
        <w:t>Maximum increases for various GRV based charges</w:t>
      </w:r>
      <w:bookmarkEnd w:id="85"/>
    </w:p>
    <w:p>
      <w:pPr>
        <w:pStyle w:val="Subsection"/>
      </w:pPr>
      <w:r>
        <w:tab/>
        <w:t>(1)</w:t>
      </w:r>
      <w:r>
        <w:tab/>
        <w:t>If, for a financial year, a water service charge calculated in respect of land under Schedule 4 item 2, 3 or 12 or Schedule 5 item 6 is more than 12.5% greater than the charge payable in respect of the land for the same service under the same circumstances in the previous financial year, the charge payable for the financial year cannot be more than 12.5% more than the charge payable for the previous financial year.</w:t>
      </w:r>
    </w:p>
    <w:p>
      <w:pPr>
        <w:pStyle w:val="Subsection"/>
      </w:pPr>
      <w:r>
        <w:lastRenderedPageBreak/>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12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 xml:space="preserve">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w:t>
      </w:r>
      <w:r>
        <w:lastRenderedPageBreak/>
        <w:t>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 SL 2022/82 r. 8.]</w:t>
      </w:r>
    </w:p>
    <w:p>
      <w:pPr>
        <w:pStyle w:val="Ednotesection"/>
      </w:pPr>
      <w:r>
        <w:t>[</w:t>
      </w:r>
      <w:r>
        <w:rPr>
          <w:b/>
        </w:rPr>
        <w:t>28A.</w:t>
      </w:r>
      <w:r>
        <w:tab/>
        <w:t>Deleted: SL 2021/80 r. 7.]</w:t>
      </w:r>
    </w:p>
    <w:p>
      <w:pPr>
        <w:pStyle w:val="Heading5"/>
      </w:pPr>
      <w:bookmarkStart w:id="86" w:name="_Toc201745799"/>
      <w:r>
        <w:rPr>
          <w:rStyle w:val="CharSectno"/>
        </w:rPr>
        <w:t>29</w:t>
      </w:r>
      <w:r>
        <w:t>.</w:t>
      </w:r>
      <w:r>
        <w:tab/>
        <w:t>Interest accruing on overdue amounts</w:t>
      </w:r>
      <w:bookmarkEnd w:id="86"/>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87" w:name="_Toc201314273"/>
      <w:bookmarkStart w:id="88" w:name="_Toc201323395"/>
      <w:bookmarkStart w:id="89" w:name="_Toc201324204"/>
      <w:bookmarkStart w:id="90" w:name="_Toc201324887"/>
      <w:bookmarkStart w:id="91" w:name="_Toc201325116"/>
      <w:bookmarkStart w:id="92" w:name="_Toc201325345"/>
      <w:bookmarkStart w:id="93" w:name="_Toc201325807"/>
      <w:bookmarkStart w:id="94" w:name="_Toc201745800"/>
      <w:r>
        <w:rPr>
          <w:rStyle w:val="CharDivNo"/>
        </w:rPr>
        <w:t>Division 3</w:t>
      </w:r>
      <w:r>
        <w:t> — </w:t>
      </w:r>
      <w:r>
        <w:rPr>
          <w:rStyle w:val="CharDivText"/>
        </w:rPr>
        <w:t>Water supply charges</w:t>
      </w:r>
      <w:bookmarkEnd w:id="87"/>
      <w:bookmarkEnd w:id="88"/>
      <w:bookmarkEnd w:id="89"/>
      <w:bookmarkEnd w:id="90"/>
      <w:bookmarkEnd w:id="91"/>
      <w:bookmarkEnd w:id="92"/>
      <w:bookmarkEnd w:id="93"/>
      <w:bookmarkEnd w:id="94"/>
    </w:p>
    <w:p>
      <w:pPr>
        <w:pStyle w:val="Heading5"/>
      </w:pPr>
      <w:bookmarkStart w:id="95" w:name="_Toc201745801"/>
      <w:r>
        <w:rPr>
          <w:rStyle w:val="CharSectno"/>
        </w:rPr>
        <w:t>30</w:t>
      </w:r>
      <w:r>
        <w:t>.</w:t>
      </w:r>
      <w:r>
        <w:tab/>
        <w:t>Land connected to water supply works</w:t>
      </w:r>
      <w:bookmarkEnd w:id="95"/>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96" w:name="_Toc201745802"/>
      <w:r>
        <w:rPr>
          <w:rStyle w:val="CharSectno"/>
        </w:rPr>
        <w:t>31</w:t>
      </w:r>
      <w:r>
        <w:t>.</w:t>
      </w:r>
      <w:r>
        <w:tab/>
        <w:t>Water supply charges</w:t>
      </w:r>
      <w:bookmarkEnd w:id="96"/>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 xml:space="preserve">If the Water Corporation is satisfied that it is practicable for water supply works of the Water Corporation to be connected to a water supply outlet on land then, for the purposes of </w:t>
      </w:r>
      <w:r>
        <w:lastRenderedPageBreak/>
        <w:t>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is land that is not classified capital infrastructure but is reasonably capable of being supplied by the Water Corporation with water from works provided in relation to land that is so classified.</w:t>
      </w:r>
    </w:p>
    <w:p>
      <w:pPr>
        <w:pStyle w:val="Footnotesection"/>
      </w:pPr>
      <w:r>
        <w:tab/>
        <w:t>[Regulation 31 amended: SL 2022/82 r. 9.]</w:t>
      </w:r>
    </w:p>
    <w:p>
      <w:pPr>
        <w:pStyle w:val="Heading5"/>
        <w:spacing w:before="180"/>
      </w:pPr>
      <w:bookmarkStart w:id="97" w:name="_Toc201745803"/>
      <w:r>
        <w:rPr>
          <w:rStyle w:val="CharSectno"/>
        </w:rPr>
        <w:t>32</w:t>
      </w:r>
      <w:r>
        <w:t>.</w:t>
      </w:r>
      <w:r>
        <w:tab/>
        <w:t>Classification of land</w:t>
      </w:r>
      <w:bookmarkEnd w:id="97"/>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lastRenderedPageBreak/>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(e)</w:t>
      </w:r>
      <w:r>
        <w:tab/>
        <w:t>farmland — if the Water Corporation is satisfied that the land is farmland and supplies water to the land;</w:t>
      </w:r>
    </w:p>
    <w:p>
      <w:pPr>
        <w:pStyle w:val="Indenta"/>
      </w:pPr>
      <w:r>
        <w:lastRenderedPageBreak/>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lastRenderedPageBreak/>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 SL 2022/82 r. 10.]</w:t>
      </w:r>
    </w:p>
    <w:p>
      <w:pPr>
        <w:pStyle w:val="Heading5"/>
        <w:keepLines w:val="0"/>
        <w:widowControl w:val="0"/>
      </w:pPr>
      <w:bookmarkStart w:id="98" w:name="_Toc201745804"/>
      <w:r>
        <w:rPr>
          <w:rStyle w:val="CharSectno"/>
        </w:rPr>
        <w:t>33</w:t>
      </w:r>
      <w:r>
        <w:t>.</w:t>
      </w:r>
      <w:r>
        <w:tab/>
        <w:t>Change of occupancy during year</w:t>
      </w:r>
      <w:bookmarkEnd w:id="98"/>
    </w:p>
    <w:p>
      <w:pPr>
        <w:pStyle w:val="Subsection"/>
        <w:keepNext/>
      </w:pPr>
      <w:r>
        <w:tab/>
        <w:t>(1)</w:t>
      </w:r>
      <w:r>
        <w:tab/>
        <w:t xml:space="preserve">If — </w:t>
      </w:r>
    </w:p>
    <w:p>
      <w:pPr>
        <w:pStyle w:val="Indenta"/>
      </w:pPr>
      <w:r>
        <w:tab/>
        <w:t>(a)</w:t>
      </w:r>
      <w:r>
        <w:tab/>
        <w:t>there is a change in the occupation of a land to which a water service charge set out in Schedule 3 item 25 or 29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lastRenderedPageBreak/>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 SL 2022/82 r. 11.]</w:t>
      </w:r>
    </w:p>
    <w:p>
      <w:pPr>
        <w:pStyle w:val="Heading5"/>
        <w:keepNext w:val="0"/>
        <w:keepLines w:val="0"/>
        <w:spacing w:before="160"/>
      </w:pPr>
      <w:bookmarkStart w:id="99" w:name="_Toc201745805"/>
      <w:r>
        <w:rPr>
          <w:rStyle w:val="CharSectno"/>
        </w:rPr>
        <w:t>34</w:t>
      </w:r>
      <w:r>
        <w:t>.</w:t>
      </w:r>
      <w:r>
        <w:tab/>
        <w:t>Concessions: consumption charges</w:t>
      </w:r>
      <w:bookmarkEnd w:id="99"/>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 xml:space="preserve">subregulation (1)(b) does not apply to any part of the period before the person commenced to occupy the land, </w:t>
      </w:r>
      <w:r>
        <w:lastRenderedPageBreak/>
        <w:t>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00" w:name="_Toc201745806"/>
      <w:r>
        <w:rPr>
          <w:rStyle w:val="CharSectno"/>
        </w:rPr>
        <w:lastRenderedPageBreak/>
        <w:t>35</w:t>
      </w:r>
      <w:r>
        <w:t>.</w:t>
      </w:r>
      <w:r>
        <w:tab/>
        <w:t>Concessions: certain occupiers of multi</w:t>
      </w:r>
      <w:r>
        <w:noBreakHyphen/>
        <w:t>unit developments</w:t>
      </w:r>
      <w:bookmarkEnd w:id="100"/>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 xml:space="preserve">for a unit in the town of Cue, Laverton, Leonora, Meekatharra, Menzies, Mount Magnet, Mullewa, Sandstone, Wiluna or Yalgoo — for the first 600 kL of </w:t>
      </w:r>
      <w:r>
        <w:lastRenderedPageBreak/>
        <w:t>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01" w:name="_Toc201745807"/>
      <w:r>
        <w:rPr>
          <w:rStyle w:val="CharSectno"/>
        </w:rPr>
        <w:lastRenderedPageBreak/>
        <w:t>36</w:t>
      </w:r>
      <w:r>
        <w:t>.</w:t>
      </w:r>
      <w:r>
        <w:tab/>
        <w:t>Concessions: certain retirement village residents</w:t>
      </w:r>
      <w:bookmarkEnd w:id="101"/>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02" w:name="_Toc201745808"/>
      <w:r>
        <w:rPr>
          <w:rStyle w:val="CharSectno"/>
        </w:rPr>
        <w:t>36A</w:t>
      </w:r>
      <w:r>
        <w:t>.</w:t>
      </w:r>
      <w:r>
        <w:tab/>
        <w:t>Water supplied through commercial standpipes within areas over which a water deficiency declaration applies</w:t>
      </w:r>
      <w:bookmarkEnd w:id="102"/>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lastRenderedPageBreak/>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35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 amended: SL 2022/82 r. 12.]</w:t>
      </w:r>
    </w:p>
    <w:p>
      <w:pPr>
        <w:pStyle w:val="Heading3"/>
        <w:keepNext w:val="0"/>
        <w:widowControl w:val="0"/>
      </w:pPr>
      <w:bookmarkStart w:id="103" w:name="_Toc201314282"/>
      <w:bookmarkStart w:id="104" w:name="_Toc201323404"/>
      <w:bookmarkStart w:id="105" w:name="_Toc201324213"/>
      <w:bookmarkStart w:id="106" w:name="_Toc201324896"/>
      <w:bookmarkStart w:id="107" w:name="_Toc201325125"/>
      <w:bookmarkStart w:id="108" w:name="_Toc201325354"/>
      <w:bookmarkStart w:id="109" w:name="_Toc201325816"/>
      <w:bookmarkStart w:id="110" w:name="_Toc201745809"/>
      <w:r>
        <w:rPr>
          <w:rStyle w:val="CharDivNo"/>
        </w:rPr>
        <w:t>Division 4</w:t>
      </w:r>
      <w:r>
        <w:t> — </w:t>
      </w:r>
      <w:r>
        <w:rPr>
          <w:rStyle w:val="CharDivText"/>
        </w:rPr>
        <w:t>Sewerage charges</w:t>
      </w:r>
      <w:bookmarkEnd w:id="103"/>
      <w:bookmarkEnd w:id="104"/>
      <w:bookmarkEnd w:id="105"/>
      <w:bookmarkEnd w:id="106"/>
      <w:bookmarkEnd w:id="107"/>
      <w:bookmarkEnd w:id="108"/>
      <w:bookmarkEnd w:id="109"/>
      <w:bookmarkEnd w:id="110"/>
    </w:p>
    <w:p>
      <w:pPr>
        <w:pStyle w:val="Heading5"/>
      </w:pPr>
      <w:bookmarkStart w:id="111" w:name="_Toc201745810"/>
      <w:r>
        <w:rPr>
          <w:rStyle w:val="CharSectno"/>
        </w:rPr>
        <w:t>37</w:t>
      </w:r>
      <w:r>
        <w:t>.</w:t>
      </w:r>
      <w:r>
        <w:tab/>
        <w:t>Land connected to sewerage works</w:t>
      </w:r>
      <w:bookmarkEnd w:id="111"/>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12" w:name="_Toc201745811"/>
      <w:r>
        <w:rPr>
          <w:rStyle w:val="CharSectno"/>
        </w:rPr>
        <w:t>38</w:t>
      </w:r>
      <w:r>
        <w:t>.</w:t>
      </w:r>
      <w:r>
        <w:tab/>
        <w:t>Sewerage areas</w:t>
      </w:r>
      <w:bookmarkEnd w:id="112"/>
    </w:p>
    <w:p>
      <w:pPr>
        <w:pStyle w:val="Subsection"/>
      </w:pPr>
      <w:r>
        <w:tab/>
        <w:t>(1)</w:t>
      </w:r>
      <w:r>
        <w:tab/>
        <w:t>The Water Corporation may designate an area as a sewerage area.</w:t>
      </w:r>
    </w:p>
    <w:p>
      <w:pPr>
        <w:pStyle w:val="Subsection"/>
      </w:pPr>
      <w:r>
        <w:lastRenderedPageBreak/>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13" w:name="_Toc201745812"/>
      <w:r>
        <w:rPr>
          <w:rStyle w:val="CharSectno"/>
        </w:rPr>
        <w:t>39</w:t>
      </w:r>
      <w:r>
        <w:t>.</w:t>
      </w:r>
      <w:r>
        <w:tab/>
        <w:t>Sewerage charges</w:t>
      </w:r>
      <w:bookmarkEnd w:id="113"/>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 xml:space="preserve">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w:t>
      </w:r>
      <w:r>
        <w:lastRenderedPageBreak/>
        <w:t>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Ednotesubsection"/>
      </w:pPr>
      <w:r>
        <w:tab/>
        <w:t>[(4)</w:t>
      </w:r>
      <w:r>
        <w:tab/>
        <w:t>deleted]</w:t>
      </w:r>
    </w:p>
    <w:p>
      <w:pPr>
        <w:pStyle w:val="Footnotesection"/>
      </w:pPr>
      <w:r>
        <w:tab/>
        <w:t>[Regulation 39 amended: SL 2022/82 r. 13.]</w:t>
      </w:r>
    </w:p>
    <w:p>
      <w:pPr>
        <w:pStyle w:val="Heading5"/>
      </w:pPr>
      <w:bookmarkStart w:id="114" w:name="_Toc201745813"/>
      <w:r>
        <w:rPr>
          <w:rStyle w:val="CharSectno"/>
        </w:rPr>
        <w:t>40</w:t>
      </w:r>
      <w:r>
        <w:t>.</w:t>
      </w:r>
      <w:r>
        <w:tab/>
        <w:t>Classification of land</w:t>
      </w:r>
      <w:bookmarkEnd w:id="114"/>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 xml:space="preserve">water supplied to the land by the Water Corporation is used wholly or primarily for the </w:t>
      </w:r>
      <w:r>
        <w:lastRenderedPageBreak/>
        <w:t>purposes of the use referred to in subparagraph (i);</w:t>
      </w:r>
    </w:p>
    <w:p>
      <w:pPr>
        <w:pStyle w:val="Indenta"/>
      </w:pPr>
      <w:r>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cannot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keepNext/>
      </w:pPr>
      <w:r>
        <w:lastRenderedPageBreak/>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Footnotesection"/>
      </w:pPr>
      <w:r>
        <w:tab/>
        <w:t>[Regulation 40 amended: SL 2022/82 r. 14.]</w:t>
      </w:r>
    </w:p>
    <w:p>
      <w:pPr>
        <w:pStyle w:val="Heading5"/>
      </w:pPr>
      <w:bookmarkStart w:id="115" w:name="_Toc201745814"/>
      <w:r>
        <w:rPr>
          <w:rStyle w:val="CharSectno"/>
        </w:rPr>
        <w:t>41</w:t>
      </w:r>
      <w:r>
        <w:t>.</w:t>
      </w:r>
      <w:r>
        <w:tab/>
        <w:t>Minimum charges: Schedule 4 Division 2</w:t>
      </w:r>
      <w:bookmarkEnd w:id="115"/>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19 or 27 (whichever is relevant); and</w:t>
      </w:r>
    </w:p>
    <w:p>
      <w:pPr>
        <w:pStyle w:val="Indenta"/>
      </w:pPr>
      <w:r>
        <w:tab/>
        <w:t>(b)</w:t>
      </w:r>
      <w:r>
        <w:tab/>
        <w:t>the charge according to the number of major fixtures for the land, that is, “</w:t>
      </w:r>
      <w:r>
        <w:rPr>
          <w:b/>
        </w:rPr>
        <w:t>P</w:t>
      </w:r>
      <w:r>
        <w:t>” in Schedule 4 item 19 or “</w:t>
      </w:r>
      <w:r>
        <w:rPr>
          <w:b/>
        </w:rPr>
        <w:t>C</w:t>
      </w:r>
      <w:r>
        <w:t>” in Schedule 4 item 27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Footnotesection"/>
      </w:pPr>
      <w:r>
        <w:tab/>
        <w:t>[Regulation 41 amended: SL 2022/82 r. 15.]</w:t>
      </w:r>
    </w:p>
    <w:p>
      <w:pPr>
        <w:pStyle w:val="Heading5"/>
      </w:pPr>
      <w:bookmarkStart w:id="116" w:name="_Toc201745815"/>
      <w:r>
        <w:rPr>
          <w:rStyle w:val="CharSectno"/>
        </w:rPr>
        <w:lastRenderedPageBreak/>
        <w:t>42</w:t>
      </w:r>
      <w:r>
        <w:t>.</w:t>
      </w:r>
      <w:r>
        <w:tab/>
        <w:t>Estimating charge, or volume discharged, for previous year: Schedule 4 Division 2</w:t>
      </w:r>
      <w:bookmarkEnd w:id="116"/>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 xml:space="preserve">the Water Corporation is to estimate a notional charge for the previous financial year for the land, that is, the charge that </w:t>
      </w:r>
      <w:r>
        <w:lastRenderedPageBreak/>
        <w:t>would have been payable for the year if the circumstances currently prevailing had applied to the land for the whole of the year.</w:t>
      </w:r>
    </w:p>
    <w:p>
      <w:pPr>
        <w:pStyle w:val="Heading5"/>
      </w:pPr>
      <w:bookmarkStart w:id="117" w:name="_Toc201745816"/>
      <w:r>
        <w:rPr>
          <w:rStyle w:val="CharSectno"/>
        </w:rPr>
        <w:t>43</w:t>
      </w:r>
      <w:r>
        <w:t>.</w:t>
      </w:r>
      <w:r>
        <w:tab/>
        <w:t>Determining number of major fixtures: Schedule 4 Division 2</w:t>
      </w:r>
      <w:bookmarkEnd w:id="117"/>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18" w:name="_Toc201745817"/>
      <w:r>
        <w:rPr>
          <w:rStyle w:val="CharSectno"/>
        </w:rPr>
        <w:t>44</w:t>
      </w:r>
      <w:r>
        <w:t>.</w:t>
      </w:r>
      <w:r>
        <w:tab/>
        <w:t>Concessions: certain retirement village residents</w:t>
      </w:r>
      <w:bookmarkEnd w:id="118"/>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12 </w:t>
      </w:r>
      <w:r>
        <w:lastRenderedPageBreak/>
        <w:t xml:space="preserve">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 SL 2022/82 r. 16.]</w:t>
      </w:r>
    </w:p>
    <w:p>
      <w:pPr>
        <w:pStyle w:val="Heading3"/>
        <w:spacing w:before="180"/>
      </w:pPr>
      <w:bookmarkStart w:id="119" w:name="_Toc201314291"/>
      <w:bookmarkStart w:id="120" w:name="_Toc201323413"/>
      <w:bookmarkStart w:id="121" w:name="_Toc201324222"/>
      <w:bookmarkStart w:id="122" w:name="_Toc201324905"/>
      <w:bookmarkStart w:id="123" w:name="_Toc201325134"/>
      <w:bookmarkStart w:id="124" w:name="_Toc201325363"/>
      <w:bookmarkStart w:id="125" w:name="_Toc201325825"/>
      <w:bookmarkStart w:id="126" w:name="_Toc201745818"/>
      <w:r>
        <w:rPr>
          <w:rStyle w:val="CharDivNo"/>
        </w:rPr>
        <w:t>Division 5</w:t>
      </w:r>
      <w:r>
        <w:t> — </w:t>
      </w:r>
      <w:r>
        <w:rPr>
          <w:rStyle w:val="CharDivText"/>
        </w:rPr>
        <w:t>Drainage charges</w:t>
      </w:r>
      <w:bookmarkEnd w:id="119"/>
      <w:bookmarkEnd w:id="120"/>
      <w:bookmarkEnd w:id="121"/>
      <w:bookmarkEnd w:id="122"/>
      <w:bookmarkEnd w:id="123"/>
      <w:bookmarkEnd w:id="124"/>
      <w:bookmarkEnd w:id="125"/>
      <w:bookmarkEnd w:id="126"/>
    </w:p>
    <w:p>
      <w:pPr>
        <w:pStyle w:val="Heading5"/>
        <w:spacing w:before="180"/>
      </w:pPr>
      <w:bookmarkStart w:id="127" w:name="_Toc201745819"/>
      <w:r>
        <w:rPr>
          <w:rStyle w:val="CharSectno"/>
        </w:rPr>
        <w:t>45</w:t>
      </w:r>
      <w:r>
        <w:t>.</w:t>
      </w:r>
      <w:r>
        <w:tab/>
        <w:t>Drainage areas</w:t>
      </w:r>
      <w:bookmarkEnd w:id="127"/>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lastRenderedPageBreak/>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28" w:name="_Toc201745820"/>
      <w:r>
        <w:rPr>
          <w:rStyle w:val="CharSectno"/>
        </w:rPr>
        <w:t>46</w:t>
      </w:r>
      <w:r>
        <w:t>.</w:t>
      </w:r>
      <w:r>
        <w:tab/>
        <w:t>Drainage areas: notice of and objections to proposed designation</w:t>
      </w:r>
      <w:bookmarkEnd w:id="128"/>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lastRenderedPageBreak/>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29" w:name="_Toc201745821"/>
      <w:r>
        <w:rPr>
          <w:rStyle w:val="CharSectno"/>
        </w:rPr>
        <w:t>47</w:t>
      </w:r>
      <w:r>
        <w:t>.</w:t>
      </w:r>
      <w:r>
        <w:tab/>
        <w:t>Drainage charges</w:t>
      </w:r>
      <w:bookmarkEnd w:id="129"/>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Ednotesubsection"/>
      </w:pPr>
      <w:r>
        <w:tab/>
        <w:t>[(2)</w:t>
      </w:r>
      <w:r>
        <w:tab/>
        <w:t>deleted]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keepNext/>
      </w:pPr>
      <w:r>
        <w:lastRenderedPageBreak/>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4; SL 2022/82 r. 17.]</w:t>
      </w:r>
    </w:p>
    <w:p>
      <w:pPr>
        <w:pStyle w:val="Heading5"/>
      </w:pPr>
      <w:bookmarkStart w:id="130" w:name="_Toc201745822"/>
      <w:r>
        <w:rPr>
          <w:rStyle w:val="CharSectno"/>
        </w:rPr>
        <w:t>48</w:t>
      </w:r>
      <w:r>
        <w:t>.</w:t>
      </w:r>
      <w:r>
        <w:tab/>
        <w:t>Classification of land</w:t>
      </w:r>
      <w:bookmarkEnd w:id="130"/>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lastRenderedPageBreak/>
        <w:tab/>
        <w:t>(c)</w:t>
      </w:r>
      <w:r>
        <w:tab/>
        <w:t>non</w:t>
      </w:r>
      <w:r>
        <w:noBreakHyphen/>
        <w:t xml:space="preserve">residential — if the Water Corporation is satisfied that the land — </w:t>
      </w:r>
    </w:p>
    <w:p>
      <w:pPr>
        <w:pStyle w:val="Indenti"/>
      </w:pPr>
      <w:r>
        <w:tab/>
        <w:t>(i)</w:t>
      </w:r>
      <w:r>
        <w:tab/>
        <w:t>is used, or is capable of being used, for business or professional purposes, holiday accommodation, manufacturing, processing or other commercial processes; and</w:t>
      </w:r>
    </w:p>
    <w:p>
      <w:pPr>
        <w:pStyle w:val="Indenti"/>
      </w:pPr>
      <w:r>
        <w:tab/>
        <w:t>(ii)</w:t>
      </w:r>
      <w:r>
        <w:tab/>
        <w:t>may not be classified as residential;</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there is no other appropriate classification for the land under this regulation.</w:t>
      </w:r>
    </w:p>
    <w:p>
      <w:pPr>
        <w:pStyle w:val="Footnotesection"/>
      </w:pPr>
      <w:r>
        <w:tab/>
        <w:t>[Regulation 48 amended: SL 2022/82 r. 18.]</w:t>
      </w:r>
    </w:p>
    <w:p>
      <w:pPr>
        <w:pStyle w:val="Heading5"/>
      </w:pPr>
      <w:bookmarkStart w:id="131" w:name="_Toc201745823"/>
      <w:r>
        <w:rPr>
          <w:rStyle w:val="CharSectno"/>
        </w:rPr>
        <w:t>49</w:t>
      </w:r>
      <w:r>
        <w:t>.</w:t>
      </w:r>
      <w:r>
        <w:tab/>
        <w:t>Concessions: certain retirement village residents</w:t>
      </w:r>
      <w:bookmarkEnd w:id="131"/>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32" w:name="_Toc201314297"/>
      <w:bookmarkStart w:id="133" w:name="_Toc201323419"/>
      <w:bookmarkStart w:id="134" w:name="_Toc201324228"/>
      <w:bookmarkStart w:id="135" w:name="_Toc201324911"/>
      <w:bookmarkStart w:id="136" w:name="_Toc201325140"/>
      <w:bookmarkStart w:id="137" w:name="_Toc201325369"/>
      <w:bookmarkStart w:id="138" w:name="_Toc201325831"/>
      <w:bookmarkStart w:id="139" w:name="_Toc201745824"/>
      <w:r>
        <w:rPr>
          <w:rStyle w:val="CharDivNo"/>
        </w:rPr>
        <w:lastRenderedPageBreak/>
        <w:t>Division 6</w:t>
      </w:r>
      <w:r>
        <w:t> — </w:t>
      </w:r>
      <w:r>
        <w:rPr>
          <w:rStyle w:val="CharDivText"/>
        </w:rPr>
        <w:t>Irrigation charges</w:t>
      </w:r>
      <w:bookmarkEnd w:id="132"/>
      <w:bookmarkEnd w:id="133"/>
      <w:bookmarkEnd w:id="134"/>
      <w:bookmarkEnd w:id="135"/>
      <w:bookmarkEnd w:id="136"/>
      <w:bookmarkEnd w:id="137"/>
      <w:bookmarkEnd w:id="138"/>
      <w:bookmarkEnd w:id="139"/>
    </w:p>
    <w:p>
      <w:pPr>
        <w:pStyle w:val="Heading5"/>
      </w:pPr>
      <w:bookmarkStart w:id="140" w:name="_Toc201745825"/>
      <w:r>
        <w:rPr>
          <w:rStyle w:val="CharSectno"/>
        </w:rPr>
        <w:t>50</w:t>
      </w:r>
      <w:r>
        <w:t>.</w:t>
      </w:r>
      <w:r>
        <w:tab/>
        <w:t>Charges for water supplied from certain irrigation works</w:t>
      </w:r>
      <w:bookmarkEnd w:id="140"/>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141" w:name="_Toc201314299"/>
      <w:bookmarkStart w:id="142" w:name="_Toc201323421"/>
      <w:bookmarkStart w:id="143" w:name="_Toc201324230"/>
      <w:bookmarkStart w:id="144" w:name="_Toc201324913"/>
      <w:bookmarkStart w:id="145" w:name="_Toc201325142"/>
      <w:bookmarkStart w:id="146" w:name="_Toc201325371"/>
      <w:bookmarkStart w:id="147" w:name="_Toc201325833"/>
      <w:bookmarkStart w:id="148" w:name="_Toc201745826"/>
      <w:r>
        <w:rPr>
          <w:rStyle w:val="CharDivNo"/>
        </w:rPr>
        <w:t>Division 7</w:t>
      </w:r>
      <w:r>
        <w:t> — </w:t>
      </w:r>
      <w:r>
        <w:rPr>
          <w:rStyle w:val="CharDivText"/>
        </w:rPr>
        <w:t>Miscellaneous charges</w:t>
      </w:r>
      <w:bookmarkEnd w:id="141"/>
      <w:bookmarkEnd w:id="142"/>
      <w:bookmarkEnd w:id="143"/>
      <w:bookmarkEnd w:id="144"/>
      <w:bookmarkEnd w:id="145"/>
      <w:bookmarkEnd w:id="146"/>
      <w:bookmarkEnd w:id="147"/>
      <w:bookmarkEnd w:id="148"/>
    </w:p>
    <w:p>
      <w:pPr>
        <w:pStyle w:val="Heading5"/>
        <w:keepLines w:val="0"/>
        <w:spacing w:before="180"/>
      </w:pPr>
      <w:bookmarkStart w:id="149" w:name="_Toc201745827"/>
      <w:r>
        <w:rPr>
          <w:rStyle w:val="CharSectno"/>
        </w:rPr>
        <w:t>51</w:t>
      </w:r>
      <w:r>
        <w:t>.</w:t>
      </w:r>
      <w:r>
        <w:tab/>
        <w:t>Miscellaneous charges</w:t>
      </w:r>
      <w:bookmarkEnd w:id="149"/>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50" w:name="_Toc201314301"/>
      <w:bookmarkStart w:id="151" w:name="_Toc201323423"/>
      <w:bookmarkStart w:id="152" w:name="_Toc201324232"/>
      <w:bookmarkStart w:id="153" w:name="_Toc201324915"/>
      <w:bookmarkStart w:id="154" w:name="_Toc201325144"/>
      <w:bookmarkStart w:id="155" w:name="_Toc201325373"/>
      <w:bookmarkStart w:id="156" w:name="_Toc201325835"/>
      <w:bookmarkStart w:id="157" w:name="_Toc201745828"/>
      <w:r>
        <w:rPr>
          <w:rStyle w:val="CharPartNo"/>
        </w:rPr>
        <w:lastRenderedPageBreak/>
        <w:t>Part 6</w:t>
      </w:r>
      <w:r>
        <w:t> — </w:t>
      </w:r>
      <w:r>
        <w:rPr>
          <w:rStyle w:val="CharPartText"/>
        </w:rPr>
        <w:t>Repeal of regulations and transitional provisions</w:t>
      </w:r>
      <w:bookmarkEnd w:id="150"/>
      <w:bookmarkEnd w:id="151"/>
      <w:bookmarkEnd w:id="152"/>
      <w:bookmarkEnd w:id="153"/>
      <w:bookmarkEnd w:id="154"/>
      <w:bookmarkEnd w:id="155"/>
      <w:bookmarkEnd w:id="156"/>
      <w:bookmarkEnd w:id="157"/>
    </w:p>
    <w:p>
      <w:pPr>
        <w:pStyle w:val="Heading3"/>
      </w:pPr>
      <w:bookmarkStart w:id="158" w:name="_Toc201314302"/>
      <w:bookmarkStart w:id="159" w:name="_Toc201323424"/>
      <w:bookmarkStart w:id="160" w:name="_Toc201324233"/>
      <w:bookmarkStart w:id="161" w:name="_Toc201324916"/>
      <w:bookmarkStart w:id="162" w:name="_Toc201325145"/>
      <w:bookmarkStart w:id="163" w:name="_Toc201325374"/>
      <w:bookmarkStart w:id="164" w:name="_Toc201325836"/>
      <w:bookmarkStart w:id="165" w:name="_Toc201745829"/>
      <w:r>
        <w:rPr>
          <w:rStyle w:val="CharDivNo"/>
        </w:rPr>
        <w:t>Division 1</w:t>
      </w:r>
      <w:r>
        <w:t> — </w:t>
      </w:r>
      <w:r>
        <w:rPr>
          <w:rStyle w:val="CharDivText"/>
          <w:i/>
        </w:rPr>
        <w:t>Water Services (Water Corporations Charges) Regulations 2013</w:t>
      </w:r>
      <w:r>
        <w:rPr>
          <w:rStyle w:val="CharDivText"/>
        </w:rPr>
        <w:t xml:space="preserve"> repealed</w:t>
      </w:r>
      <w:bookmarkEnd w:id="158"/>
      <w:bookmarkEnd w:id="159"/>
      <w:bookmarkEnd w:id="160"/>
      <w:bookmarkEnd w:id="161"/>
      <w:bookmarkEnd w:id="162"/>
      <w:bookmarkEnd w:id="163"/>
      <w:bookmarkEnd w:id="164"/>
      <w:bookmarkEnd w:id="165"/>
    </w:p>
    <w:p>
      <w:pPr>
        <w:pStyle w:val="Heading5"/>
        <w:rPr>
          <w:b w:val="0"/>
        </w:rPr>
      </w:pPr>
      <w:bookmarkStart w:id="166" w:name="_Toc201745830"/>
      <w:r>
        <w:rPr>
          <w:rStyle w:val="CharSectno"/>
        </w:rPr>
        <w:t>52</w:t>
      </w:r>
      <w:r>
        <w:t>.</w:t>
      </w:r>
      <w:r>
        <w:tab/>
      </w:r>
      <w:r>
        <w:rPr>
          <w:i/>
        </w:rPr>
        <w:t>Water Services (Water Corporations Charges) Regulations 2013</w:t>
      </w:r>
      <w:r>
        <w:t xml:space="preserve"> repealed</w:t>
      </w:r>
      <w:bookmarkEnd w:id="166"/>
    </w:p>
    <w:p>
      <w:pPr>
        <w:pStyle w:val="Subsection"/>
      </w:pPr>
      <w:r>
        <w:tab/>
      </w:r>
      <w:r>
        <w:tab/>
        <w:t xml:space="preserve">The </w:t>
      </w:r>
      <w:r>
        <w:rPr>
          <w:i/>
        </w:rPr>
        <w:t>Water Services (Water Corporations Charges) Regulations 2013</w:t>
      </w:r>
      <w:r>
        <w:t xml:space="preserve"> are repealed.</w:t>
      </w:r>
    </w:p>
    <w:p>
      <w:pPr>
        <w:pStyle w:val="Heading3"/>
      </w:pPr>
      <w:bookmarkStart w:id="167" w:name="_Toc201314304"/>
      <w:bookmarkStart w:id="168" w:name="_Toc201323426"/>
      <w:bookmarkStart w:id="169" w:name="_Toc201324235"/>
      <w:bookmarkStart w:id="170" w:name="_Toc201324918"/>
      <w:bookmarkStart w:id="171" w:name="_Toc201325147"/>
      <w:bookmarkStart w:id="172" w:name="_Toc201325376"/>
      <w:bookmarkStart w:id="173" w:name="_Toc201325838"/>
      <w:bookmarkStart w:id="174" w:name="_Toc201745831"/>
      <w:r>
        <w:rPr>
          <w:rStyle w:val="CharDivNo"/>
        </w:rPr>
        <w:t>Division 2</w:t>
      </w:r>
      <w:r>
        <w:t> — </w:t>
      </w:r>
      <w:r>
        <w:rPr>
          <w:rStyle w:val="CharDivText"/>
        </w:rPr>
        <w:t xml:space="preserve">Transitional provisions: </w:t>
      </w:r>
      <w:r>
        <w:rPr>
          <w:rStyle w:val="CharDivText"/>
          <w:i/>
        </w:rPr>
        <w:t>Water Services (Water Corporations Charges) Regulations 2014</w:t>
      </w:r>
      <w:bookmarkEnd w:id="167"/>
      <w:bookmarkEnd w:id="168"/>
      <w:bookmarkEnd w:id="169"/>
      <w:bookmarkEnd w:id="170"/>
      <w:bookmarkEnd w:id="171"/>
      <w:bookmarkEnd w:id="172"/>
      <w:bookmarkEnd w:id="173"/>
      <w:bookmarkEnd w:id="174"/>
    </w:p>
    <w:p>
      <w:pPr>
        <w:pStyle w:val="Footnoteheading"/>
      </w:pPr>
      <w:r>
        <w:tab/>
        <w:t>[Heading amended: Gazette 15 Oct 2014 p. 3943.]</w:t>
      </w:r>
    </w:p>
    <w:p>
      <w:pPr>
        <w:pStyle w:val="Heading4"/>
      </w:pPr>
      <w:bookmarkStart w:id="175" w:name="_Toc201314305"/>
      <w:bookmarkStart w:id="176" w:name="_Toc201323427"/>
      <w:bookmarkStart w:id="177" w:name="_Toc201324236"/>
      <w:bookmarkStart w:id="178" w:name="_Toc201324919"/>
      <w:bookmarkStart w:id="179" w:name="_Toc201325148"/>
      <w:bookmarkStart w:id="180" w:name="_Toc201325377"/>
      <w:bookmarkStart w:id="181" w:name="_Toc201325839"/>
      <w:bookmarkStart w:id="182" w:name="_Toc201745832"/>
      <w:r>
        <w:t>Subdivision 1 — General provisions</w:t>
      </w:r>
      <w:bookmarkEnd w:id="175"/>
      <w:bookmarkEnd w:id="176"/>
      <w:bookmarkEnd w:id="177"/>
      <w:bookmarkEnd w:id="178"/>
      <w:bookmarkEnd w:id="179"/>
      <w:bookmarkEnd w:id="180"/>
      <w:bookmarkEnd w:id="181"/>
      <w:bookmarkEnd w:id="182"/>
    </w:p>
    <w:p>
      <w:pPr>
        <w:pStyle w:val="Heading5"/>
        <w:rPr>
          <w:b w:val="0"/>
        </w:rPr>
      </w:pPr>
      <w:bookmarkStart w:id="183" w:name="_Toc201745833"/>
      <w:r>
        <w:rPr>
          <w:rStyle w:val="CharSectno"/>
        </w:rPr>
        <w:t>53</w:t>
      </w:r>
      <w:r>
        <w:t>.</w:t>
      </w:r>
      <w:r>
        <w:tab/>
        <w:t xml:space="preserve">Application of the </w:t>
      </w:r>
      <w:r>
        <w:rPr>
          <w:i/>
        </w:rPr>
        <w:t>Interpretation Act 1984</w:t>
      </w:r>
      <w:bookmarkEnd w:id="183"/>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84" w:name="_Toc201745834"/>
      <w:r>
        <w:rPr>
          <w:rStyle w:val="CharSectno"/>
        </w:rPr>
        <w:t>54</w:t>
      </w:r>
      <w:r>
        <w:t>.</w:t>
      </w:r>
      <w:r>
        <w:tab/>
        <w:t>Liability to water service charges</w:t>
      </w:r>
      <w:bookmarkEnd w:id="184"/>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85" w:name="_Toc201745835"/>
      <w:r>
        <w:rPr>
          <w:rStyle w:val="CharSectno"/>
        </w:rPr>
        <w:t>55</w:t>
      </w:r>
      <w:r>
        <w:t>.</w:t>
      </w:r>
      <w:r>
        <w:tab/>
        <w:t>Continuing effect of things done before 1 July 2014</w:t>
      </w:r>
      <w:bookmarkEnd w:id="185"/>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86" w:name="_Toc201745836"/>
      <w:r>
        <w:rPr>
          <w:rStyle w:val="CharSectno"/>
        </w:rPr>
        <w:t>56</w:t>
      </w:r>
      <w:r>
        <w:t>.</w:t>
      </w:r>
      <w:r>
        <w:tab/>
        <w:t>Relationship between Subdivision 1 and Subdivision 2</w:t>
      </w:r>
      <w:bookmarkEnd w:id="186"/>
    </w:p>
    <w:p>
      <w:pPr>
        <w:pStyle w:val="Subsection"/>
      </w:pPr>
      <w:r>
        <w:tab/>
      </w:r>
      <w:r>
        <w:tab/>
        <w:t>The generality of the provisions in this Subdivision is not limited by the specificity of the provisions in Subdivision 2.</w:t>
      </w:r>
    </w:p>
    <w:p>
      <w:pPr>
        <w:pStyle w:val="Heading4"/>
      </w:pPr>
      <w:bookmarkStart w:id="187" w:name="_Toc201314310"/>
      <w:bookmarkStart w:id="188" w:name="_Toc201323432"/>
      <w:bookmarkStart w:id="189" w:name="_Toc201324241"/>
      <w:bookmarkStart w:id="190" w:name="_Toc201324924"/>
      <w:bookmarkStart w:id="191" w:name="_Toc201325153"/>
      <w:bookmarkStart w:id="192" w:name="_Toc201325382"/>
      <w:bookmarkStart w:id="193" w:name="_Toc201325844"/>
      <w:bookmarkStart w:id="194" w:name="_Toc201745837"/>
      <w:r>
        <w:t>Subdivision 2 — Specific provisions</w:t>
      </w:r>
      <w:bookmarkEnd w:id="187"/>
      <w:bookmarkEnd w:id="188"/>
      <w:bookmarkEnd w:id="189"/>
      <w:bookmarkEnd w:id="190"/>
      <w:bookmarkEnd w:id="191"/>
      <w:bookmarkEnd w:id="192"/>
      <w:bookmarkEnd w:id="193"/>
      <w:bookmarkEnd w:id="194"/>
    </w:p>
    <w:p>
      <w:pPr>
        <w:pStyle w:val="Heading5"/>
      </w:pPr>
      <w:bookmarkStart w:id="195" w:name="_Toc201745838"/>
      <w:r>
        <w:rPr>
          <w:rStyle w:val="CharSectno"/>
        </w:rPr>
        <w:t>57</w:t>
      </w:r>
      <w:r>
        <w:t>.</w:t>
      </w:r>
      <w:r>
        <w:tab/>
        <w:t>Commencement of these regulations during charge period</w:t>
      </w:r>
      <w:bookmarkEnd w:id="195"/>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196" w:name="_Toc201745839"/>
      <w:r>
        <w:rPr>
          <w:rStyle w:val="CharSectno"/>
        </w:rPr>
        <w:t>58</w:t>
      </w:r>
      <w:r>
        <w:t>.</w:t>
      </w:r>
      <w:r>
        <w:tab/>
        <w:t>Special payment arrangements</w:t>
      </w:r>
      <w:bookmarkEnd w:id="196"/>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lastRenderedPageBreak/>
        <w:tab/>
        <w:t>(b)</w:t>
      </w:r>
      <w:r>
        <w:tab/>
        <w:t>in relation to the corresponding charge or charges under these regulations.</w:t>
      </w:r>
    </w:p>
    <w:p>
      <w:pPr>
        <w:pStyle w:val="Heading5"/>
      </w:pPr>
      <w:bookmarkStart w:id="197" w:name="_Toc201745840"/>
      <w:r>
        <w:rPr>
          <w:rStyle w:val="CharSectno"/>
        </w:rPr>
        <w:t>59</w:t>
      </w:r>
      <w:r>
        <w:t>.</w:t>
      </w:r>
      <w:r>
        <w:tab/>
        <w:t>Commercial caravan parks</w:t>
      </w:r>
      <w:bookmarkEnd w:id="197"/>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198" w:name="_Toc201745841"/>
      <w:r>
        <w:rPr>
          <w:rStyle w:val="CharSectno"/>
        </w:rPr>
        <w:t>60</w:t>
      </w:r>
      <w:r>
        <w:t>.</w:t>
      </w:r>
      <w:r>
        <w:tab/>
        <w:t>Certain charges and discharge volumes before 1 July 2014</w:t>
      </w:r>
      <w:bookmarkEnd w:id="198"/>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199" w:name="_Toc201745842"/>
      <w:r>
        <w:rPr>
          <w:rStyle w:val="CharSectno"/>
        </w:rPr>
        <w:t>61</w:t>
      </w:r>
      <w:r>
        <w:t>.</w:t>
      </w:r>
      <w:r>
        <w:tab/>
        <w:t>Concessions: r. 34 and 35</w:t>
      </w:r>
      <w:bookmarkEnd w:id="199"/>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200" w:name="_Toc201314316"/>
      <w:bookmarkStart w:id="201" w:name="_Toc201323438"/>
      <w:bookmarkStart w:id="202" w:name="_Toc201324247"/>
      <w:bookmarkStart w:id="203" w:name="_Toc201324930"/>
      <w:bookmarkStart w:id="204" w:name="_Toc201325159"/>
      <w:bookmarkStart w:id="205" w:name="_Toc201325388"/>
      <w:bookmarkStart w:id="206" w:name="_Toc201325850"/>
      <w:bookmarkStart w:id="207" w:name="_Toc201745843"/>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00"/>
      <w:bookmarkEnd w:id="201"/>
      <w:bookmarkEnd w:id="202"/>
      <w:bookmarkEnd w:id="203"/>
      <w:bookmarkEnd w:id="204"/>
      <w:bookmarkEnd w:id="205"/>
      <w:bookmarkEnd w:id="206"/>
      <w:bookmarkEnd w:id="207"/>
    </w:p>
    <w:p>
      <w:pPr>
        <w:pStyle w:val="Footnoteheading"/>
      </w:pPr>
      <w:r>
        <w:tab/>
        <w:t>[Heading inserted: Gazette 15 Oct 2014 p. 3944.]</w:t>
      </w:r>
    </w:p>
    <w:p>
      <w:pPr>
        <w:pStyle w:val="Heading5"/>
      </w:pPr>
      <w:bookmarkStart w:id="208" w:name="_Toc201745844"/>
      <w:r>
        <w:rPr>
          <w:rStyle w:val="CharSectno"/>
        </w:rPr>
        <w:t>62</w:t>
      </w:r>
      <w:r>
        <w:t>.</w:t>
      </w:r>
      <w:r>
        <w:tab/>
        <w:t>Application of r. 5</w:t>
      </w:r>
      <w:bookmarkEnd w:id="208"/>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09" w:name="_Toc201745845"/>
      <w:r>
        <w:rPr>
          <w:rStyle w:val="CharSectno"/>
        </w:rPr>
        <w:t>63</w:t>
      </w:r>
      <w:r>
        <w:t>.</w:t>
      </w:r>
      <w:r>
        <w:tab/>
        <w:t>Reduction, waiver or refund of certain charges</w:t>
      </w:r>
      <w:bookmarkEnd w:id="209"/>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 xml:space="preserve">Water </w:t>
      </w:r>
      <w:r>
        <w:rPr>
          <w:i/>
        </w:rPr>
        <w:lastRenderedPageBreak/>
        <w:t>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23"/>
          <w:headerReference w:type="default" r:id="rId24"/>
          <w:headerReference w:type="first" r:id="rId25"/>
          <w:endnotePr>
            <w:numFmt w:val="decimal"/>
          </w:endnotePr>
          <w:pgSz w:w="11907" w:h="16840" w:code="9"/>
          <w:pgMar w:top="2381" w:right="2410" w:bottom="3544" w:left="2410" w:header="720" w:footer="3544" w:gutter="0"/>
          <w:pgNumType w:start="1"/>
          <w:cols w:space="720"/>
          <w:noEndnote/>
          <w:titlePg/>
          <w:docGrid w:linePitch="326"/>
        </w:sectPr>
      </w:pPr>
    </w:p>
    <w:p>
      <w:pPr>
        <w:pStyle w:val="yScheduleHeading"/>
      </w:pPr>
      <w:bookmarkStart w:id="210" w:name="_Toc201235668"/>
      <w:bookmarkStart w:id="211" w:name="_Toc201235919"/>
      <w:bookmarkStart w:id="212" w:name="_Toc201236075"/>
      <w:bookmarkStart w:id="213" w:name="_Toc201314482"/>
      <w:bookmarkStart w:id="214" w:name="_Toc201323441"/>
      <w:bookmarkStart w:id="215" w:name="_Toc201324250"/>
      <w:bookmarkStart w:id="216" w:name="_Toc201324933"/>
      <w:bookmarkStart w:id="217" w:name="_Toc201325162"/>
      <w:bookmarkStart w:id="218" w:name="_Toc201325391"/>
      <w:bookmarkStart w:id="219" w:name="_Toc201325853"/>
      <w:bookmarkStart w:id="220" w:name="_Toc201745846"/>
      <w:bookmarkStart w:id="221" w:name="_Toc201314319"/>
      <w:r>
        <w:rPr>
          <w:rStyle w:val="CharSchNo"/>
        </w:rPr>
        <w:lastRenderedPageBreak/>
        <w:t>Schedule 1</w:t>
      </w:r>
      <w:r>
        <w:t> — </w:t>
      </w:r>
      <w:r>
        <w:rPr>
          <w:rStyle w:val="CharSchText"/>
        </w:rPr>
        <w:t>Charges for Bunbury Water Corporation</w:t>
      </w:r>
      <w:bookmarkEnd w:id="210"/>
      <w:bookmarkEnd w:id="211"/>
      <w:bookmarkEnd w:id="212"/>
      <w:bookmarkEnd w:id="213"/>
      <w:bookmarkEnd w:id="214"/>
      <w:bookmarkEnd w:id="215"/>
      <w:bookmarkEnd w:id="216"/>
      <w:bookmarkEnd w:id="217"/>
      <w:bookmarkEnd w:id="218"/>
      <w:bookmarkEnd w:id="219"/>
      <w:bookmarkEnd w:id="220"/>
    </w:p>
    <w:p>
      <w:pPr>
        <w:pStyle w:val="yShoulderClause"/>
      </w:pPr>
      <w:r>
        <w:t>[r. 7]</w:t>
      </w:r>
    </w:p>
    <w:p>
      <w:pPr>
        <w:pStyle w:val="yFootnoteheading"/>
      </w:pPr>
      <w:bookmarkStart w:id="222" w:name="_Toc201235669"/>
      <w:bookmarkStart w:id="223" w:name="_Toc201235920"/>
      <w:bookmarkStart w:id="224" w:name="_Toc201236076"/>
      <w:bookmarkStart w:id="225" w:name="_Toc201314483"/>
      <w:r>
        <w:tab/>
        <w:t>[Heading inserted: SL 2025/101 r. 10.]</w:t>
      </w:r>
    </w:p>
    <w:p>
      <w:pPr>
        <w:pStyle w:val="yHeading3"/>
      </w:pPr>
      <w:bookmarkStart w:id="226" w:name="_Toc201323442"/>
      <w:bookmarkStart w:id="227" w:name="_Toc201324251"/>
      <w:bookmarkStart w:id="228" w:name="_Toc201324934"/>
      <w:bookmarkStart w:id="229" w:name="_Toc201325163"/>
      <w:bookmarkStart w:id="230" w:name="_Toc201325392"/>
      <w:bookmarkStart w:id="231" w:name="_Toc201325854"/>
      <w:bookmarkStart w:id="232" w:name="_Toc201745847"/>
      <w:r>
        <w:rPr>
          <w:rStyle w:val="CharSDivNo"/>
        </w:rPr>
        <w:t>Division 1</w:t>
      </w:r>
      <w:r>
        <w:t> — </w:t>
      </w:r>
      <w:r>
        <w:rPr>
          <w:rStyle w:val="CharSDivText"/>
        </w:rPr>
        <w:t>Service charges</w:t>
      </w:r>
      <w:bookmarkEnd w:id="222"/>
      <w:bookmarkEnd w:id="223"/>
      <w:bookmarkEnd w:id="224"/>
      <w:bookmarkEnd w:id="225"/>
      <w:bookmarkEnd w:id="226"/>
      <w:bookmarkEnd w:id="227"/>
      <w:bookmarkEnd w:id="228"/>
      <w:bookmarkEnd w:id="229"/>
      <w:bookmarkEnd w:id="230"/>
      <w:bookmarkEnd w:id="231"/>
      <w:bookmarkEnd w:id="232"/>
    </w:p>
    <w:p>
      <w:pPr>
        <w:pStyle w:val="yFootnoteheading"/>
      </w:pPr>
      <w:bookmarkStart w:id="233" w:name="_Toc201235670"/>
      <w:bookmarkStart w:id="234" w:name="_Toc201314484"/>
      <w:r>
        <w:tab/>
        <w:t>[Heading inserted: SL 2025/101 r. 10.]</w:t>
      </w:r>
    </w:p>
    <w:p>
      <w:pPr>
        <w:pStyle w:val="yHeading5"/>
      </w:pPr>
      <w:bookmarkStart w:id="235" w:name="_Toc201745848"/>
      <w:r>
        <w:rPr>
          <w:rStyle w:val="CharSClsNo"/>
        </w:rPr>
        <w:t>1</w:t>
      </w:r>
      <w:r>
        <w:t>.</w:t>
      </w:r>
      <w:r>
        <w:tab/>
        <w:t>Service charges for 2025/26 and subsequent years</w:t>
      </w:r>
      <w:bookmarkEnd w:id="233"/>
      <w:bookmarkEnd w:id="234"/>
      <w:bookmarkEnd w:id="235"/>
    </w:p>
    <w:p>
      <w:pPr>
        <w:pStyle w:val="ySubsection"/>
      </w:pPr>
      <w:r>
        <w:tab/>
      </w:r>
      <w:r>
        <w:tab/>
        <w:t>The charges set out in this Division apply for water supply services provided in the 2025/26 financial year and each subsequent year.</w:t>
      </w:r>
    </w:p>
    <w:p>
      <w:pPr>
        <w:pStyle w:val="yHeading5"/>
      </w:pPr>
      <w:bookmarkStart w:id="236" w:name="_Toc201235671"/>
      <w:bookmarkStart w:id="237" w:name="_Toc201314485"/>
      <w:bookmarkStart w:id="238" w:name="_Toc201745849"/>
      <w:r>
        <w:rPr>
          <w:rStyle w:val="CharSClsNo"/>
        </w:rPr>
        <w:t>2</w:t>
      </w:r>
      <w:r>
        <w:t>.</w:t>
      </w:r>
      <w:r>
        <w:tab/>
        <w:t>Residential lots</w:t>
      </w:r>
      <w:bookmarkEnd w:id="236"/>
      <w:bookmarkEnd w:id="237"/>
      <w:bookmarkEnd w:id="238"/>
    </w:p>
    <w:p>
      <w:pPr>
        <w:pStyle w:val="ySubsection"/>
        <w:tabs>
          <w:tab w:val="right" w:leader="dot" w:pos="6804"/>
        </w:tabs>
      </w:pPr>
      <w:r>
        <w:tab/>
      </w:r>
      <w:r>
        <w:tab/>
        <w:t>For a residential lot, the charge is,</w:t>
      </w:r>
      <w:r>
        <w:br/>
        <w:t xml:space="preserve">for each dwelling on the lot </w:t>
      </w:r>
      <w:r>
        <w:tab/>
        <w:t>$282.90</w:t>
      </w:r>
    </w:p>
    <w:p>
      <w:pPr>
        <w:pStyle w:val="yHeading5"/>
      </w:pPr>
      <w:bookmarkStart w:id="239" w:name="_Toc201235672"/>
      <w:bookmarkStart w:id="240" w:name="_Toc201314486"/>
      <w:bookmarkStart w:id="241" w:name="_Toc201745850"/>
      <w:r>
        <w:rPr>
          <w:rStyle w:val="CharSClsNo"/>
        </w:rPr>
        <w:t>3</w:t>
      </w:r>
      <w:r>
        <w:t>.</w:t>
      </w:r>
      <w:r>
        <w:tab/>
        <w:t>Non</w:t>
      </w:r>
      <w:r>
        <w:noBreakHyphen/>
        <w:t>residential lots</w:t>
      </w:r>
      <w:bookmarkEnd w:id="239"/>
      <w:bookmarkEnd w:id="240"/>
      <w:bookmarkEnd w:id="241"/>
    </w:p>
    <w:p>
      <w:pPr>
        <w:pStyle w:val="ySubsection"/>
      </w:pPr>
      <w:r>
        <w:tab/>
      </w:r>
      <w:r>
        <w:tab/>
        <w:t>For a non</w:t>
      </w:r>
      <w:r>
        <w:noBreakHyphen/>
        <w:t>residential lot, the charge, according to the size of the meter, is —</w:t>
      </w:r>
    </w:p>
    <w:p>
      <w:pPr>
        <w:pStyle w:val="yMiscellaneousBody"/>
        <w:tabs>
          <w:tab w:val="right" w:leader="dot" w:pos="6804"/>
        </w:tabs>
        <w:ind w:left="1701" w:right="284" w:hanging="1134"/>
      </w:pPr>
      <w:r>
        <w:tab/>
        <w:t xml:space="preserve">20 mm </w:t>
      </w:r>
      <w:r>
        <w:tab/>
        <w:t>$322.60</w:t>
      </w:r>
    </w:p>
    <w:p>
      <w:pPr>
        <w:pStyle w:val="yMiscellaneousBody"/>
        <w:tabs>
          <w:tab w:val="right" w:leader="dot" w:pos="6804"/>
        </w:tabs>
        <w:ind w:left="1701" w:right="284" w:hanging="1134"/>
      </w:pPr>
      <w:r>
        <w:tab/>
        <w:t xml:space="preserve">25 mm </w:t>
      </w:r>
      <w:r>
        <w:tab/>
        <w:t>$503.30</w:t>
      </w:r>
    </w:p>
    <w:p>
      <w:pPr>
        <w:pStyle w:val="yMiscellaneousBody"/>
        <w:tabs>
          <w:tab w:val="right" w:leader="dot" w:pos="6804"/>
        </w:tabs>
        <w:ind w:left="1701" w:right="284" w:hanging="1134"/>
      </w:pPr>
      <w:r>
        <w:tab/>
        <w:t xml:space="preserve">40 mm </w:t>
      </w:r>
      <w:r>
        <w:tab/>
        <w:t>$1 290.70</w:t>
      </w:r>
    </w:p>
    <w:p>
      <w:pPr>
        <w:pStyle w:val="yMiscellaneousBody"/>
        <w:tabs>
          <w:tab w:val="right" w:leader="dot" w:pos="6804"/>
        </w:tabs>
        <w:ind w:left="1701" w:right="284" w:hanging="1134"/>
      </w:pPr>
      <w:r>
        <w:tab/>
        <w:t xml:space="preserve">50 mm </w:t>
      </w:r>
      <w:r>
        <w:tab/>
        <w:t>$2 016.70</w:t>
      </w:r>
    </w:p>
    <w:p>
      <w:pPr>
        <w:pStyle w:val="yMiscellaneousBody"/>
        <w:tabs>
          <w:tab w:val="right" w:leader="dot" w:pos="6804"/>
        </w:tabs>
        <w:ind w:left="1701" w:right="284" w:hanging="1134"/>
      </w:pPr>
      <w:r>
        <w:tab/>
        <w:t xml:space="preserve">80 mm </w:t>
      </w:r>
      <w:r>
        <w:tab/>
        <w:t>$5 162.70</w:t>
      </w:r>
    </w:p>
    <w:p>
      <w:pPr>
        <w:pStyle w:val="yMiscellaneousBody"/>
        <w:tabs>
          <w:tab w:val="right" w:leader="dot" w:pos="6804"/>
        </w:tabs>
        <w:ind w:left="1701" w:right="284" w:hanging="1134"/>
      </w:pPr>
      <w:r>
        <w:tab/>
        <w:t xml:space="preserve">100 mm </w:t>
      </w:r>
      <w:r>
        <w:tab/>
        <w:t>$8 066.70</w:t>
      </w:r>
    </w:p>
    <w:p>
      <w:pPr>
        <w:pStyle w:val="yMiscellaneousBody"/>
        <w:tabs>
          <w:tab w:val="right" w:leader="dot" w:pos="6804"/>
        </w:tabs>
        <w:ind w:left="1701" w:right="284" w:hanging="1134"/>
      </w:pPr>
      <w:r>
        <w:tab/>
        <w:t xml:space="preserve">150 mm </w:t>
      </w:r>
      <w:r>
        <w:tab/>
        <w:t>$18 150.10</w:t>
      </w:r>
    </w:p>
    <w:p>
      <w:pPr>
        <w:pStyle w:val="yHeading5"/>
      </w:pPr>
      <w:bookmarkStart w:id="242" w:name="_Toc201235673"/>
      <w:bookmarkStart w:id="243" w:name="_Toc201314487"/>
      <w:bookmarkStart w:id="244" w:name="_Toc201745851"/>
      <w:r>
        <w:rPr>
          <w:rStyle w:val="CharSClsNo"/>
        </w:rPr>
        <w:t>3A</w:t>
      </w:r>
      <w:r>
        <w:t>.</w:t>
      </w:r>
      <w:r>
        <w:tab/>
        <w:t>Vacant land</w:t>
      </w:r>
      <w:bookmarkEnd w:id="242"/>
      <w:bookmarkEnd w:id="243"/>
      <w:bookmarkEnd w:id="244"/>
    </w:p>
    <w:p>
      <w:pPr>
        <w:pStyle w:val="ySubsection"/>
        <w:tabs>
          <w:tab w:val="right" w:leader="dot" w:pos="6804"/>
        </w:tabs>
      </w:pPr>
      <w:r>
        <w:tab/>
      </w:r>
      <w:r>
        <w:tab/>
        <w:t xml:space="preserve">For vacant land, the charge is </w:t>
      </w:r>
      <w:r>
        <w:tab/>
        <w:t>$301.60</w:t>
      </w:r>
    </w:p>
    <w:p>
      <w:pPr>
        <w:pStyle w:val="yHeading5"/>
      </w:pPr>
      <w:bookmarkStart w:id="245" w:name="_Toc201235674"/>
      <w:bookmarkStart w:id="246" w:name="_Toc201314488"/>
      <w:bookmarkStart w:id="247" w:name="_Toc201745852"/>
      <w:r>
        <w:rPr>
          <w:rStyle w:val="CharSClsNo"/>
        </w:rPr>
        <w:lastRenderedPageBreak/>
        <w:t>4</w:t>
      </w:r>
      <w:r>
        <w:t>.</w:t>
      </w:r>
      <w:r>
        <w:tab/>
        <w:t>Fire service connections</w:t>
      </w:r>
      <w:bookmarkEnd w:id="245"/>
      <w:bookmarkEnd w:id="246"/>
      <w:bookmarkEnd w:id="247"/>
    </w:p>
    <w:p>
      <w:pPr>
        <w:pStyle w:val="ySubsection"/>
      </w:pPr>
      <w:r>
        <w:tab/>
      </w:r>
      <w:r>
        <w:tab/>
        <w:t>For a fire service connection, the charge, according to the size of the meter, is —</w:t>
      </w:r>
    </w:p>
    <w:p>
      <w:pPr>
        <w:pStyle w:val="yMiscellaneousBody"/>
        <w:tabs>
          <w:tab w:val="right" w:leader="dot" w:pos="6804"/>
        </w:tabs>
        <w:ind w:left="1701" w:right="284" w:hanging="1134"/>
      </w:pPr>
      <w:r>
        <w:tab/>
        <w:t xml:space="preserve">25 mm </w:t>
      </w:r>
      <w:r>
        <w:tab/>
        <w:t>$183.49</w:t>
      </w:r>
    </w:p>
    <w:p>
      <w:pPr>
        <w:pStyle w:val="yMiscellaneousBody"/>
        <w:tabs>
          <w:tab w:val="right" w:leader="dot" w:pos="6804"/>
        </w:tabs>
        <w:ind w:left="1701" w:right="284" w:hanging="1134"/>
      </w:pPr>
      <w:r>
        <w:tab/>
        <w:t xml:space="preserve">40 mm </w:t>
      </w:r>
      <w:r>
        <w:tab/>
        <w:t>$293.58</w:t>
      </w:r>
    </w:p>
    <w:p>
      <w:pPr>
        <w:pStyle w:val="yMiscellaneousBody"/>
        <w:tabs>
          <w:tab w:val="right" w:leader="dot" w:pos="6804"/>
        </w:tabs>
        <w:ind w:left="1701" w:right="284" w:hanging="1134"/>
      </w:pPr>
      <w:r>
        <w:tab/>
        <w:t xml:space="preserve">50 mm </w:t>
      </w:r>
      <w:r>
        <w:tab/>
        <w:t>$366.95</w:t>
      </w:r>
    </w:p>
    <w:p>
      <w:pPr>
        <w:pStyle w:val="yMiscellaneousBody"/>
        <w:tabs>
          <w:tab w:val="right" w:leader="dot" w:pos="6804"/>
        </w:tabs>
        <w:ind w:left="1701" w:right="284" w:hanging="1134"/>
      </w:pPr>
      <w:r>
        <w:tab/>
        <w:t xml:space="preserve">100 mm </w:t>
      </w:r>
      <w:r>
        <w:tab/>
        <w:t>$734.09</w:t>
      </w:r>
    </w:p>
    <w:p>
      <w:pPr>
        <w:pStyle w:val="yMiscellaneousBody"/>
        <w:tabs>
          <w:tab w:val="right" w:leader="dot" w:pos="6804"/>
        </w:tabs>
        <w:ind w:left="1701" w:right="284" w:hanging="1134"/>
      </w:pPr>
      <w:r>
        <w:tab/>
        <w:t xml:space="preserve">150 mm </w:t>
      </w:r>
      <w:r>
        <w:tab/>
        <w:t>$1 101.08</w:t>
      </w:r>
    </w:p>
    <w:p>
      <w:pPr>
        <w:pStyle w:val="yMiscellaneousBody"/>
        <w:tabs>
          <w:tab w:val="right" w:leader="dot" w:pos="6804"/>
        </w:tabs>
        <w:ind w:left="1701" w:right="284" w:hanging="1134"/>
      </w:pPr>
      <w:r>
        <w:tab/>
        <w:t xml:space="preserve">200 mm </w:t>
      </w:r>
      <w:r>
        <w:tab/>
        <w:t>$1 468.18</w:t>
      </w:r>
    </w:p>
    <w:p>
      <w:pPr>
        <w:pStyle w:val="yFootnotesection"/>
      </w:pPr>
      <w:bookmarkStart w:id="248" w:name="_Toc201235675"/>
      <w:bookmarkStart w:id="249" w:name="_Toc201235926"/>
      <w:bookmarkStart w:id="250" w:name="_Toc201236082"/>
      <w:bookmarkStart w:id="251" w:name="_Toc201314489"/>
      <w:r>
        <w:tab/>
        <w:t>[Division 1 inserted: SL 2025/101 r. 10.]</w:t>
      </w:r>
    </w:p>
    <w:p>
      <w:pPr>
        <w:pStyle w:val="yHeading3"/>
      </w:pPr>
      <w:bookmarkStart w:id="252" w:name="_Toc201323448"/>
      <w:bookmarkStart w:id="253" w:name="_Toc201324257"/>
      <w:bookmarkStart w:id="254" w:name="_Toc201324940"/>
      <w:bookmarkStart w:id="255" w:name="_Toc201325169"/>
      <w:bookmarkStart w:id="256" w:name="_Toc201325398"/>
      <w:bookmarkStart w:id="257" w:name="_Toc201325860"/>
      <w:bookmarkStart w:id="258" w:name="_Toc201745853"/>
      <w:r>
        <w:rPr>
          <w:rStyle w:val="CharSDivNo"/>
        </w:rPr>
        <w:t>Division 2</w:t>
      </w:r>
      <w:r>
        <w:t> —</w:t>
      </w:r>
      <w:r>
        <w:rPr>
          <w:rStyle w:val="CharSDivText"/>
        </w:rPr>
        <w:t> Consumption charges</w:t>
      </w:r>
      <w:bookmarkEnd w:id="248"/>
      <w:bookmarkEnd w:id="249"/>
      <w:bookmarkEnd w:id="250"/>
      <w:bookmarkEnd w:id="251"/>
      <w:bookmarkEnd w:id="252"/>
      <w:bookmarkEnd w:id="253"/>
      <w:bookmarkEnd w:id="254"/>
      <w:bookmarkEnd w:id="255"/>
      <w:bookmarkEnd w:id="256"/>
      <w:bookmarkEnd w:id="257"/>
      <w:bookmarkEnd w:id="258"/>
    </w:p>
    <w:p>
      <w:pPr>
        <w:pStyle w:val="yFootnoteheading"/>
      </w:pPr>
      <w:bookmarkStart w:id="259" w:name="_Toc201235676"/>
      <w:bookmarkStart w:id="260" w:name="_Toc201314490"/>
      <w:r>
        <w:tab/>
        <w:t>[Heading inserted: SL 2025/101 r. 10.]</w:t>
      </w:r>
    </w:p>
    <w:p>
      <w:pPr>
        <w:pStyle w:val="yHeading5"/>
      </w:pPr>
      <w:bookmarkStart w:id="261" w:name="_Toc201745854"/>
      <w:r>
        <w:rPr>
          <w:rStyle w:val="CharSClsNo"/>
        </w:rPr>
        <w:t>5</w:t>
      </w:r>
      <w:r>
        <w:t>.</w:t>
      </w:r>
      <w:r>
        <w:tab/>
        <w:t>Consumption charges for 2025/26 and subsequent years</w:t>
      </w:r>
      <w:bookmarkEnd w:id="259"/>
      <w:bookmarkEnd w:id="260"/>
      <w:bookmarkEnd w:id="261"/>
    </w:p>
    <w:p>
      <w:pPr>
        <w:pStyle w:val="ySubsection"/>
      </w:pPr>
      <w:r>
        <w:tab/>
      </w:r>
      <w:r>
        <w:tab/>
        <w:t>The charges set out in this Division apply for water supplied in the 2025/26 financial year and each subsequent year.</w:t>
      </w:r>
    </w:p>
    <w:p>
      <w:pPr>
        <w:pStyle w:val="yHeading5"/>
      </w:pPr>
      <w:bookmarkStart w:id="262" w:name="_Toc201235677"/>
      <w:bookmarkStart w:id="263" w:name="_Toc201314491"/>
      <w:bookmarkStart w:id="264" w:name="_Toc201745855"/>
      <w:r>
        <w:rPr>
          <w:rStyle w:val="CharSClsNo"/>
        </w:rPr>
        <w:t>6</w:t>
      </w:r>
      <w:r>
        <w:t>.</w:t>
      </w:r>
      <w:r>
        <w:tab/>
        <w:t>Residential lots</w:t>
      </w:r>
      <w:bookmarkEnd w:id="262"/>
      <w:bookmarkEnd w:id="263"/>
      <w:bookmarkEnd w:id="264"/>
    </w:p>
    <w:p>
      <w:pPr>
        <w:pStyle w:val="ySubsection"/>
      </w:pPr>
      <w:r>
        <w:tab/>
        <w:t>(1)</w:t>
      </w:r>
      <w:r>
        <w:tab/>
        <w:t>For each kilolitre of water supplied to a residential lot, the charge is —</w:t>
      </w:r>
    </w:p>
    <w:p>
      <w:pPr>
        <w:pStyle w:val="yMiscellaneousBody"/>
        <w:tabs>
          <w:tab w:val="right" w:leader="dot" w:pos="6804"/>
        </w:tabs>
        <w:ind w:left="1701" w:right="284" w:hanging="1134"/>
      </w:pPr>
      <w:r>
        <w:tab/>
        <w:t xml:space="preserve">up to 150 kL </w:t>
      </w:r>
      <w:r>
        <w:tab/>
        <w:t>$1.17</w:t>
      </w:r>
    </w:p>
    <w:p>
      <w:pPr>
        <w:pStyle w:val="yMiscellaneousBody"/>
        <w:tabs>
          <w:tab w:val="right" w:leader="dot" w:pos="6804"/>
        </w:tabs>
        <w:ind w:left="1701" w:right="284" w:hanging="1134"/>
      </w:pPr>
      <w:r>
        <w:tab/>
        <w:t xml:space="preserve">over 150 but not over 350 kL </w:t>
      </w:r>
      <w:r>
        <w:tab/>
        <w:t>$2.17</w:t>
      </w:r>
    </w:p>
    <w:p>
      <w:pPr>
        <w:pStyle w:val="yMiscellaneousBody"/>
        <w:tabs>
          <w:tab w:val="right" w:leader="dot" w:pos="6804"/>
        </w:tabs>
        <w:ind w:left="1701" w:right="284" w:hanging="1134"/>
      </w:pPr>
      <w:r>
        <w:tab/>
        <w:t xml:space="preserve">over 350 but not over 500 kL </w:t>
      </w:r>
      <w:r>
        <w:tab/>
        <w:t>$3.10</w:t>
      </w:r>
    </w:p>
    <w:p>
      <w:pPr>
        <w:pStyle w:val="yMiscellaneousBody"/>
        <w:tabs>
          <w:tab w:val="right" w:leader="dot" w:pos="6804"/>
        </w:tabs>
        <w:ind w:left="1701" w:right="284" w:hanging="1134"/>
      </w:pPr>
      <w:r>
        <w:tab/>
        <w:t xml:space="preserve">over 500 kL </w:t>
      </w:r>
      <w:r>
        <w:tab/>
        <w:t>$3.85</w:t>
      </w:r>
    </w:p>
    <w:p>
      <w:pPr>
        <w:pStyle w:val="ySubsection"/>
      </w:pPr>
      <w:r>
        <w:tab/>
        <w:t>(2)</w:t>
      </w:r>
      <w:r>
        <w:tab/>
        <w:t>The volumetric ranges in this item have effect by reference to the volume of water supplied in the current consumption year.</w:t>
      </w:r>
    </w:p>
    <w:p>
      <w:pPr>
        <w:pStyle w:val="yHeading5"/>
      </w:pPr>
      <w:bookmarkStart w:id="265" w:name="_Toc201235678"/>
      <w:bookmarkStart w:id="266" w:name="_Toc201314492"/>
      <w:bookmarkStart w:id="267" w:name="_Toc201745856"/>
      <w:r>
        <w:rPr>
          <w:rStyle w:val="CharSClsNo"/>
        </w:rPr>
        <w:lastRenderedPageBreak/>
        <w:t>7</w:t>
      </w:r>
      <w:r>
        <w:t>.</w:t>
      </w:r>
      <w:r>
        <w:tab/>
        <w:t>Non</w:t>
      </w:r>
      <w:r>
        <w:noBreakHyphen/>
        <w:t>residential lots</w:t>
      </w:r>
      <w:bookmarkEnd w:id="265"/>
      <w:bookmarkEnd w:id="266"/>
      <w:bookmarkEnd w:id="267"/>
    </w:p>
    <w:p>
      <w:pPr>
        <w:pStyle w:val="ySubsection"/>
        <w:tabs>
          <w:tab w:val="right" w:leader="dot" w:pos="6804"/>
        </w:tabs>
      </w:pPr>
      <w:r>
        <w:tab/>
      </w:r>
      <w:r>
        <w:tab/>
        <w:t xml:space="preserve">For each kilolitre of water supplied to a </w:t>
      </w:r>
      <w:r>
        <w:br/>
        <w:t>non</w:t>
      </w:r>
      <w:r>
        <w:noBreakHyphen/>
        <w:t>residential lot, the charge is</w:t>
      </w:r>
      <w:r>
        <w:tab/>
        <w:t>$3.53</w:t>
      </w:r>
    </w:p>
    <w:p>
      <w:pPr>
        <w:pStyle w:val="yFootnotesection"/>
      </w:pPr>
      <w:bookmarkStart w:id="268" w:name="_Toc201235679"/>
      <w:bookmarkStart w:id="269" w:name="_Toc201235930"/>
      <w:bookmarkStart w:id="270" w:name="_Toc201236086"/>
      <w:bookmarkStart w:id="271" w:name="_Toc201314493"/>
      <w:r>
        <w:tab/>
        <w:t>[Division 2 inserted: SL 2025/101 r. 10.]</w:t>
      </w:r>
    </w:p>
    <w:p>
      <w:pPr>
        <w:pStyle w:val="yScheduleHeading"/>
      </w:pPr>
      <w:bookmarkStart w:id="272" w:name="_Toc201323452"/>
      <w:bookmarkStart w:id="273" w:name="_Toc201324261"/>
      <w:bookmarkStart w:id="274" w:name="_Toc201324944"/>
      <w:bookmarkStart w:id="275" w:name="_Toc201325173"/>
      <w:bookmarkStart w:id="276" w:name="_Toc201325402"/>
      <w:bookmarkStart w:id="277" w:name="_Toc201325864"/>
      <w:bookmarkStart w:id="278" w:name="_Toc201745857"/>
      <w:r>
        <w:rPr>
          <w:rStyle w:val="CharSchNo"/>
        </w:rPr>
        <w:lastRenderedPageBreak/>
        <w:t>Schedule 2</w:t>
      </w:r>
      <w:r>
        <w:t> —</w:t>
      </w:r>
      <w:r>
        <w:rPr>
          <w:rStyle w:val="CharSchText"/>
        </w:rPr>
        <w:t> Charges for Busselton Water Corporation</w:t>
      </w:r>
      <w:bookmarkEnd w:id="268"/>
      <w:bookmarkEnd w:id="269"/>
      <w:bookmarkEnd w:id="270"/>
      <w:bookmarkEnd w:id="271"/>
      <w:bookmarkEnd w:id="272"/>
      <w:bookmarkEnd w:id="273"/>
      <w:bookmarkEnd w:id="274"/>
      <w:bookmarkEnd w:id="275"/>
      <w:bookmarkEnd w:id="276"/>
      <w:bookmarkEnd w:id="277"/>
      <w:bookmarkEnd w:id="278"/>
    </w:p>
    <w:p>
      <w:pPr>
        <w:pStyle w:val="yShoulderClause"/>
      </w:pPr>
      <w:r>
        <w:t>[r. 12]</w:t>
      </w:r>
    </w:p>
    <w:p>
      <w:pPr>
        <w:pStyle w:val="yFootnoteheading"/>
      </w:pPr>
      <w:bookmarkStart w:id="279" w:name="_Toc201235680"/>
      <w:bookmarkStart w:id="280" w:name="_Toc201235931"/>
      <w:bookmarkStart w:id="281" w:name="_Toc201236087"/>
      <w:bookmarkStart w:id="282" w:name="_Toc201314494"/>
      <w:r>
        <w:tab/>
        <w:t>[Heading inserted: SL 2025/101 r. 10.]</w:t>
      </w:r>
    </w:p>
    <w:p>
      <w:pPr>
        <w:pStyle w:val="yHeading3"/>
      </w:pPr>
      <w:bookmarkStart w:id="283" w:name="_Toc201323453"/>
      <w:bookmarkStart w:id="284" w:name="_Toc201324262"/>
      <w:bookmarkStart w:id="285" w:name="_Toc201324945"/>
      <w:bookmarkStart w:id="286" w:name="_Toc201325174"/>
      <w:bookmarkStart w:id="287" w:name="_Toc201325403"/>
      <w:bookmarkStart w:id="288" w:name="_Toc201325865"/>
      <w:bookmarkStart w:id="289" w:name="_Toc201745858"/>
      <w:r>
        <w:rPr>
          <w:rStyle w:val="CharSDivNo"/>
        </w:rPr>
        <w:t>Division 1</w:t>
      </w:r>
      <w:r>
        <w:t> — </w:t>
      </w:r>
      <w:r>
        <w:rPr>
          <w:rStyle w:val="CharSDivText"/>
        </w:rPr>
        <w:t>Service charges</w:t>
      </w:r>
      <w:bookmarkEnd w:id="279"/>
      <w:bookmarkEnd w:id="280"/>
      <w:bookmarkEnd w:id="281"/>
      <w:bookmarkEnd w:id="282"/>
      <w:bookmarkEnd w:id="283"/>
      <w:bookmarkEnd w:id="284"/>
      <w:bookmarkEnd w:id="285"/>
      <w:bookmarkEnd w:id="286"/>
      <w:bookmarkEnd w:id="287"/>
      <w:bookmarkEnd w:id="288"/>
      <w:bookmarkEnd w:id="289"/>
    </w:p>
    <w:p>
      <w:pPr>
        <w:pStyle w:val="yFootnoteheading"/>
      </w:pPr>
      <w:bookmarkStart w:id="290" w:name="_Toc201235681"/>
      <w:bookmarkStart w:id="291" w:name="_Toc201314495"/>
      <w:r>
        <w:tab/>
        <w:t>[Heading inserted: SL 2025/101 r. 10.]</w:t>
      </w:r>
    </w:p>
    <w:p>
      <w:pPr>
        <w:pStyle w:val="yHeading5"/>
      </w:pPr>
      <w:bookmarkStart w:id="292" w:name="_Toc201745859"/>
      <w:r>
        <w:rPr>
          <w:rStyle w:val="CharSClsNo"/>
        </w:rPr>
        <w:t>1</w:t>
      </w:r>
      <w:r>
        <w:t>.</w:t>
      </w:r>
      <w:r>
        <w:tab/>
        <w:t>Service charges for 2025/26 and subsequent years</w:t>
      </w:r>
      <w:bookmarkEnd w:id="290"/>
      <w:bookmarkEnd w:id="291"/>
      <w:bookmarkEnd w:id="292"/>
    </w:p>
    <w:p>
      <w:pPr>
        <w:pStyle w:val="ySubsection"/>
      </w:pPr>
      <w:r>
        <w:tab/>
      </w:r>
      <w:r>
        <w:tab/>
        <w:t>The charges set out in this Division apply for water supply services provided in the 2025/26 financial year and each subsequent year.</w:t>
      </w:r>
    </w:p>
    <w:p>
      <w:pPr>
        <w:pStyle w:val="yHeading5"/>
      </w:pPr>
      <w:bookmarkStart w:id="293" w:name="_Toc201235682"/>
      <w:bookmarkStart w:id="294" w:name="_Toc201314496"/>
      <w:bookmarkStart w:id="295" w:name="_Toc201745860"/>
      <w:r>
        <w:rPr>
          <w:rStyle w:val="CharSClsNo"/>
        </w:rPr>
        <w:t>2</w:t>
      </w:r>
      <w:r>
        <w:t>.</w:t>
      </w:r>
      <w:r>
        <w:tab/>
        <w:t>Residential lots</w:t>
      </w:r>
      <w:bookmarkEnd w:id="293"/>
      <w:bookmarkEnd w:id="294"/>
      <w:bookmarkEnd w:id="295"/>
    </w:p>
    <w:p>
      <w:pPr>
        <w:pStyle w:val="ySubsection"/>
        <w:tabs>
          <w:tab w:val="right" w:leader="dot" w:pos="6804"/>
        </w:tabs>
      </w:pPr>
      <w:r>
        <w:tab/>
      </w:r>
      <w:r>
        <w:tab/>
        <w:t>For a residential lot, the charge is</w:t>
      </w:r>
      <w:r>
        <w:tab/>
        <w:t>$246.36</w:t>
      </w:r>
    </w:p>
    <w:p>
      <w:pPr>
        <w:pStyle w:val="yHeading5"/>
      </w:pPr>
      <w:bookmarkStart w:id="296" w:name="_Toc201235683"/>
      <w:bookmarkStart w:id="297" w:name="_Toc201314497"/>
      <w:bookmarkStart w:id="298" w:name="_Toc201745861"/>
      <w:r>
        <w:rPr>
          <w:rStyle w:val="CharSClsNo"/>
        </w:rPr>
        <w:t>3</w:t>
      </w:r>
      <w:r>
        <w:t>.</w:t>
      </w:r>
      <w:r>
        <w:tab/>
        <w:t>Non</w:t>
      </w:r>
      <w:r>
        <w:noBreakHyphen/>
        <w:t>residential lots</w:t>
      </w:r>
      <w:bookmarkEnd w:id="296"/>
      <w:bookmarkEnd w:id="297"/>
      <w:bookmarkEnd w:id="298"/>
    </w:p>
    <w:p>
      <w:pPr>
        <w:pStyle w:val="ySubsection"/>
      </w:pPr>
      <w:r>
        <w:tab/>
      </w:r>
      <w:r>
        <w:tab/>
        <w:t>For a non</w:t>
      </w:r>
      <w:r>
        <w:noBreakHyphen/>
        <w:t>residential lot, the charge, according to the size of the meter, is —</w:t>
      </w:r>
    </w:p>
    <w:p>
      <w:pPr>
        <w:pStyle w:val="yMiscellaneousBody"/>
        <w:tabs>
          <w:tab w:val="right" w:leader="dot" w:pos="6804"/>
        </w:tabs>
        <w:ind w:left="1701" w:right="284" w:hanging="1134"/>
      </w:pPr>
      <w:r>
        <w:tab/>
        <w:t xml:space="preserve">20 mm </w:t>
      </w:r>
      <w:r>
        <w:tab/>
        <w:t>$267.03</w:t>
      </w:r>
    </w:p>
    <w:p>
      <w:pPr>
        <w:pStyle w:val="yMiscellaneousBody"/>
        <w:tabs>
          <w:tab w:val="right" w:leader="dot" w:pos="6804"/>
        </w:tabs>
        <w:ind w:left="1701" w:right="284" w:hanging="1134"/>
      </w:pPr>
      <w:r>
        <w:tab/>
        <w:t xml:space="preserve">25 mm </w:t>
      </w:r>
      <w:r>
        <w:tab/>
        <w:t>$417.20</w:t>
      </w:r>
    </w:p>
    <w:p>
      <w:pPr>
        <w:pStyle w:val="yMiscellaneousBody"/>
        <w:tabs>
          <w:tab w:val="right" w:leader="dot" w:pos="6804"/>
        </w:tabs>
        <w:ind w:left="1701" w:right="284" w:hanging="1134"/>
      </w:pPr>
      <w:r>
        <w:tab/>
        <w:t xml:space="preserve">40 mm </w:t>
      </w:r>
      <w:r>
        <w:tab/>
        <w:t>$1 068.06</w:t>
      </w:r>
    </w:p>
    <w:p>
      <w:pPr>
        <w:pStyle w:val="yMiscellaneousBody"/>
        <w:tabs>
          <w:tab w:val="right" w:leader="dot" w:pos="6804"/>
        </w:tabs>
        <w:ind w:left="1701" w:right="284" w:hanging="1134"/>
      </w:pPr>
      <w:r>
        <w:tab/>
        <w:t xml:space="preserve">50 mm </w:t>
      </w:r>
      <w:r>
        <w:tab/>
        <w:t>$1 668.84</w:t>
      </w:r>
    </w:p>
    <w:p>
      <w:pPr>
        <w:pStyle w:val="yMiscellaneousBody"/>
        <w:tabs>
          <w:tab w:val="right" w:leader="dot" w:pos="6804"/>
        </w:tabs>
        <w:ind w:left="1701" w:right="284" w:hanging="1134"/>
      </w:pPr>
      <w:r>
        <w:tab/>
        <w:t xml:space="preserve">80 mm </w:t>
      </w:r>
      <w:r>
        <w:tab/>
        <w:t>$4 272.26</w:t>
      </w:r>
    </w:p>
    <w:p>
      <w:pPr>
        <w:pStyle w:val="yMiscellaneousBody"/>
        <w:tabs>
          <w:tab w:val="right" w:leader="dot" w:pos="6804"/>
        </w:tabs>
        <w:ind w:left="1701" w:right="284" w:hanging="1134"/>
      </w:pPr>
      <w:r>
        <w:tab/>
        <w:t xml:space="preserve">100 mm </w:t>
      </w:r>
      <w:r>
        <w:tab/>
        <w:t>$6 675.38</w:t>
      </w:r>
    </w:p>
    <w:p>
      <w:pPr>
        <w:pStyle w:val="yMiscellaneousBody"/>
        <w:tabs>
          <w:tab w:val="right" w:leader="dot" w:pos="6804"/>
        </w:tabs>
        <w:ind w:left="1701" w:right="284" w:hanging="1134"/>
      </w:pPr>
      <w:r>
        <w:tab/>
        <w:t xml:space="preserve">150 mm </w:t>
      </w:r>
      <w:r>
        <w:tab/>
        <w:t>$15 019.57</w:t>
      </w:r>
    </w:p>
    <w:p>
      <w:pPr>
        <w:pStyle w:val="yHeading5"/>
      </w:pPr>
      <w:bookmarkStart w:id="299" w:name="_Toc201235684"/>
      <w:bookmarkStart w:id="300" w:name="_Toc201314498"/>
      <w:bookmarkStart w:id="301" w:name="_Toc201745862"/>
      <w:r>
        <w:rPr>
          <w:rStyle w:val="CharSClsNo"/>
        </w:rPr>
        <w:t>4</w:t>
      </w:r>
      <w:r>
        <w:t>.</w:t>
      </w:r>
      <w:r>
        <w:tab/>
        <w:t>Vacant land</w:t>
      </w:r>
      <w:bookmarkEnd w:id="299"/>
      <w:bookmarkEnd w:id="300"/>
      <w:bookmarkEnd w:id="301"/>
    </w:p>
    <w:p>
      <w:pPr>
        <w:pStyle w:val="ySubsection"/>
        <w:tabs>
          <w:tab w:val="right" w:leader="dot" w:pos="6804"/>
        </w:tabs>
      </w:pPr>
      <w:r>
        <w:tab/>
      </w:r>
      <w:r>
        <w:tab/>
        <w:t xml:space="preserve">For vacant land, the charge is </w:t>
      </w:r>
      <w:r>
        <w:tab/>
        <w:t>$254.39</w:t>
      </w:r>
    </w:p>
    <w:p>
      <w:pPr>
        <w:pStyle w:val="yHeading5"/>
      </w:pPr>
      <w:bookmarkStart w:id="302" w:name="_Toc201235685"/>
      <w:bookmarkStart w:id="303" w:name="_Toc201314499"/>
      <w:bookmarkStart w:id="304" w:name="_Toc201745863"/>
      <w:r>
        <w:rPr>
          <w:rStyle w:val="CharSClsNo"/>
        </w:rPr>
        <w:t>5</w:t>
      </w:r>
      <w:r>
        <w:t>.</w:t>
      </w:r>
      <w:r>
        <w:tab/>
        <w:t>Fire service connections</w:t>
      </w:r>
      <w:bookmarkEnd w:id="302"/>
      <w:bookmarkEnd w:id="303"/>
      <w:bookmarkEnd w:id="304"/>
    </w:p>
    <w:p>
      <w:pPr>
        <w:pStyle w:val="ySubsection"/>
        <w:tabs>
          <w:tab w:val="right" w:leader="dot" w:pos="6804"/>
        </w:tabs>
      </w:pPr>
      <w:r>
        <w:tab/>
      </w:r>
      <w:r>
        <w:tab/>
        <w:t xml:space="preserve">For a fire service connection, the charge is </w:t>
      </w:r>
      <w:r>
        <w:tab/>
        <w:t>$267.03</w:t>
      </w:r>
    </w:p>
    <w:p>
      <w:pPr>
        <w:pStyle w:val="yFootnotesection"/>
      </w:pPr>
      <w:bookmarkStart w:id="305" w:name="_Toc201235686"/>
      <w:bookmarkStart w:id="306" w:name="_Toc201235937"/>
      <w:bookmarkStart w:id="307" w:name="_Toc201236093"/>
      <w:bookmarkStart w:id="308" w:name="_Toc201314500"/>
      <w:r>
        <w:tab/>
        <w:t>[Division 1 inserted: SL 2025/101 r. 10.]</w:t>
      </w:r>
    </w:p>
    <w:p>
      <w:pPr>
        <w:pStyle w:val="yHeading3"/>
      </w:pPr>
      <w:bookmarkStart w:id="309" w:name="_Toc201323459"/>
      <w:bookmarkStart w:id="310" w:name="_Toc201324268"/>
      <w:bookmarkStart w:id="311" w:name="_Toc201324951"/>
      <w:bookmarkStart w:id="312" w:name="_Toc201325180"/>
      <w:bookmarkStart w:id="313" w:name="_Toc201325409"/>
      <w:bookmarkStart w:id="314" w:name="_Toc201325871"/>
      <w:bookmarkStart w:id="315" w:name="_Toc201745864"/>
      <w:r>
        <w:rPr>
          <w:rStyle w:val="CharSDivNo"/>
        </w:rPr>
        <w:lastRenderedPageBreak/>
        <w:t>Division 2</w:t>
      </w:r>
      <w:r>
        <w:t> — </w:t>
      </w:r>
      <w:r>
        <w:rPr>
          <w:rStyle w:val="CharSDivText"/>
        </w:rPr>
        <w:t>Consumption charges</w:t>
      </w:r>
      <w:bookmarkEnd w:id="305"/>
      <w:bookmarkEnd w:id="306"/>
      <w:bookmarkEnd w:id="307"/>
      <w:bookmarkEnd w:id="308"/>
      <w:bookmarkEnd w:id="309"/>
      <w:bookmarkEnd w:id="310"/>
      <w:bookmarkEnd w:id="311"/>
      <w:bookmarkEnd w:id="312"/>
      <w:bookmarkEnd w:id="313"/>
      <w:bookmarkEnd w:id="314"/>
      <w:bookmarkEnd w:id="315"/>
    </w:p>
    <w:p>
      <w:pPr>
        <w:pStyle w:val="yFootnoteheading"/>
      </w:pPr>
      <w:bookmarkStart w:id="316" w:name="_Toc201235687"/>
      <w:bookmarkStart w:id="317" w:name="_Toc201314501"/>
      <w:r>
        <w:tab/>
        <w:t>[Heading inserted: SL 2025/101 r. 10.]</w:t>
      </w:r>
    </w:p>
    <w:p>
      <w:pPr>
        <w:pStyle w:val="yHeading5"/>
      </w:pPr>
      <w:bookmarkStart w:id="318" w:name="_Toc201745865"/>
      <w:r>
        <w:rPr>
          <w:rStyle w:val="CharSClsNo"/>
        </w:rPr>
        <w:t>6</w:t>
      </w:r>
      <w:r>
        <w:t>.</w:t>
      </w:r>
      <w:r>
        <w:tab/>
        <w:t>Consumption charges for 2025/26 and subsequent years</w:t>
      </w:r>
      <w:bookmarkEnd w:id="316"/>
      <w:bookmarkEnd w:id="317"/>
      <w:bookmarkEnd w:id="318"/>
    </w:p>
    <w:p>
      <w:pPr>
        <w:pStyle w:val="ySubsection"/>
      </w:pPr>
      <w:r>
        <w:tab/>
      </w:r>
      <w:r>
        <w:tab/>
        <w:t>The charges set out in this Division apply for water supplied in the 2025/26 financial year and each subsequent year.</w:t>
      </w:r>
    </w:p>
    <w:p>
      <w:pPr>
        <w:pStyle w:val="yHeading5"/>
      </w:pPr>
      <w:bookmarkStart w:id="319" w:name="_Toc201235688"/>
      <w:bookmarkStart w:id="320" w:name="_Toc201314502"/>
      <w:bookmarkStart w:id="321" w:name="_Toc201745866"/>
      <w:r>
        <w:rPr>
          <w:rStyle w:val="CharSClsNo"/>
        </w:rPr>
        <w:t>7</w:t>
      </w:r>
      <w:r>
        <w:t>.</w:t>
      </w:r>
      <w:r>
        <w:tab/>
        <w:t>Residential lots</w:t>
      </w:r>
      <w:bookmarkEnd w:id="319"/>
      <w:bookmarkEnd w:id="320"/>
      <w:bookmarkEnd w:id="321"/>
    </w:p>
    <w:p>
      <w:pPr>
        <w:pStyle w:val="ySubsection"/>
      </w:pPr>
      <w:r>
        <w:tab/>
        <w:t>(1)</w:t>
      </w:r>
      <w:r>
        <w:tab/>
        <w:t>For each kilolitre of water supplied to a residential lot, the charge is —</w:t>
      </w:r>
    </w:p>
    <w:p>
      <w:pPr>
        <w:pStyle w:val="yMiscellaneousBody"/>
        <w:tabs>
          <w:tab w:val="right" w:leader="dot" w:pos="6804"/>
        </w:tabs>
        <w:ind w:left="1701" w:right="284" w:hanging="1134"/>
      </w:pPr>
      <w:r>
        <w:tab/>
        <w:t xml:space="preserve">up to 150 kL </w:t>
      </w:r>
      <w:r>
        <w:tab/>
        <w:t>$1.23</w:t>
      </w:r>
    </w:p>
    <w:p>
      <w:pPr>
        <w:pStyle w:val="yMiscellaneousBody"/>
        <w:tabs>
          <w:tab w:val="right" w:leader="dot" w:pos="6804"/>
        </w:tabs>
        <w:ind w:left="1701" w:right="284" w:hanging="1134"/>
      </w:pPr>
      <w:r>
        <w:tab/>
        <w:t xml:space="preserve">over 150 but not over 350 kL </w:t>
      </w:r>
      <w:r>
        <w:tab/>
        <w:t>$1.71</w:t>
      </w:r>
    </w:p>
    <w:p>
      <w:pPr>
        <w:pStyle w:val="yMiscellaneousBody"/>
        <w:tabs>
          <w:tab w:val="right" w:leader="dot" w:pos="6804"/>
        </w:tabs>
        <w:ind w:left="1701" w:right="284" w:hanging="1134"/>
      </w:pPr>
      <w:r>
        <w:tab/>
        <w:t xml:space="preserve">over 350 but not over 500 kL </w:t>
      </w:r>
      <w:r>
        <w:tab/>
        <w:t>$1.96</w:t>
      </w:r>
    </w:p>
    <w:p>
      <w:pPr>
        <w:pStyle w:val="yMiscellaneousBody"/>
        <w:tabs>
          <w:tab w:val="right" w:leader="dot" w:pos="6804"/>
        </w:tabs>
        <w:ind w:left="1701" w:right="284" w:hanging="1134"/>
      </w:pPr>
      <w:r>
        <w:tab/>
        <w:t xml:space="preserve">over 500 but not over 700 kL </w:t>
      </w:r>
      <w:r>
        <w:tab/>
        <w:t>$2.58</w:t>
      </w:r>
    </w:p>
    <w:p>
      <w:pPr>
        <w:pStyle w:val="yMiscellaneousBody"/>
        <w:tabs>
          <w:tab w:val="right" w:leader="dot" w:pos="6804"/>
        </w:tabs>
        <w:ind w:left="1701" w:right="284" w:hanging="1134"/>
      </w:pPr>
      <w:r>
        <w:tab/>
        <w:t xml:space="preserve">over 700 but not over 1 000 kL </w:t>
      </w:r>
      <w:r>
        <w:tab/>
        <w:t>$3.62</w:t>
      </w:r>
    </w:p>
    <w:p>
      <w:pPr>
        <w:pStyle w:val="yMiscellaneousBody"/>
        <w:tabs>
          <w:tab w:val="right" w:leader="dot" w:pos="6804"/>
        </w:tabs>
        <w:ind w:left="1701" w:right="284" w:hanging="1134"/>
      </w:pPr>
      <w:r>
        <w:tab/>
        <w:t xml:space="preserve">over 1 000 kL </w:t>
      </w:r>
      <w:r>
        <w:tab/>
        <w:t>$3.71</w:t>
      </w:r>
    </w:p>
    <w:p>
      <w:pPr>
        <w:pStyle w:val="ySubsection"/>
      </w:pPr>
      <w:r>
        <w:tab/>
        <w:t>(2)</w:t>
      </w:r>
      <w:r>
        <w:tab/>
        <w:t>The volumetric ranges in this item have effect by reference to the volume of water supplied in the current consumption year.</w:t>
      </w:r>
    </w:p>
    <w:p>
      <w:pPr>
        <w:pStyle w:val="yHeading5"/>
      </w:pPr>
      <w:bookmarkStart w:id="322" w:name="_Toc201235689"/>
      <w:bookmarkStart w:id="323" w:name="_Toc201314503"/>
      <w:bookmarkStart w:id="324" w:name="_Toc201745867"/>
      <w:r>
        <w:rPr>
          <w:rStyle w:val="CharSClsNo"/>
        </w:rPr>
        <w:t>8</w:t>
      </w:r>
      <w:r>
        <w:t>.</w:t>
      </w:r>
      <w:r>
        <w:tab/>
        <w:t>Non</w:t>
      </w:r>
      <w:r>
        <w:noBreakHyphen/>
        <w:t>residential lots</w:t>
      </w:r>
      <w:bookmarkEnd w:id="322"/>
      <w:bookmarkEnd w:id="323"/>
      <w:bookmarkEnd w:id="324"/>
    </w:p>
    <w:p>
      <w:pPr>
        <w:pStyle w:val="ySubsection"/>
        <w:tabs>
          <w:tab w:val="right" w:leader="dot" w:pos="6804"/>
        </w:tabs>
      </w:pPr>
      <w:r>
        <w:tab/>
      </w:r>
      <w:r>
        <w:tab/>
        <w:t xml:space="preserve">For each kilolitre of water supplied to a </w:t>
      </w:r>
      <w:r>
        <w:br/>
        <w:t>non</w:t>
      </w:r>
      <w:r>
        <w:noBreakHyphen/>
        <w:t xml:space="preserve">residential lot, the charge is </w:t>
      </w:r>
      <w:r>
        <w:tab/>
        <w:t>$2.11</w:t>
      </w:r>
    </w:p>
    <w:p>
      <w:pPr>
        <w:pStyle w:val="yHeading5"/>
      </w:pPr>
      <w:bookmarkStart w:id="325" w:name="_Toc201235690"/>
      <w:bookmarkStart w:id="326" w:name="_Toc201314504"/>
      <w:bookmarkStart w:id="327" w:name="_Toc201745868"/>
      <w:r>
        <w:rPr>
          <w:rStyle w:val="CharSClsNo"/>
        </w:rPr>
        <w:t>9</w:t>
      </w:r>
      <w:r>
        <w:t>.</w:t>
      </w:r>
      <w:r>
        <w:tab/>
        <w:t>Water supply service (fire)</w:t>
      </w:r>
      <w:bookmarkEnd w:id="325"/>
      <w:bookmarkEnd w:id="326"/>
      <w:bookmarkEnd w:id="327"/>
    </w:p>
    <w:p>
      <w:pPr>
        <w:pStyle w:val="ySubsection"/>
        <w:tabs>
          <w:tab w:val="right" w:leader="dot" w:pos="6804"/>
        </w:tabs>
      </w:pPr>
      <w:r>
        <w:tab/>
      </w:r>
      <w:r>
        <w:tab/>
        <w:t xml:space="preserve">For each kilolitre of water supplied through a </w:t>
      </w:r>
      <w:r>
        <w:br/>
        <w:t xml:space="preserve">fire service connection, the charge is </w:t>
      </w:r>
      <w:r>
        <w:tab/>
        <w:t>$2.58</w:t>
      </w:r>
    </w:p>
    <w:p>
      <w:pPr>
        <w:pStyle w:val="yFootnotesection"/>
      </w:pPr>
      <w:bookmarkStart w:id="328" w:name="_Toc201235691"/>
      <w:bookmarkStart w:id="329" w:name="_Toc201235942"/>
      <w:bookmarkStart w:id="330" w:name="_Toc201236098"/>
      <w:bookmarkStart w:id="331" w:name="_Toc201314505"/>
      <w:r>
        <w:tab/>
        <w:t>[Division 2 inserted: SL 2025/101 r. 10.]</w:t>
      </w:r>
    </w:p>
    <w:p>
      <w:pPr>
        <w:pStyle w:val="yScheduleHeading"/>
      </w:pPr>
      <w:bookmarkStart w:id="332" w:name="_Toc201323464"/>
      <w:bookmarkStart w:id="333" w:name="_Toc201324273"/>
      <w:bookmarkStart w:id="334" w:name="_Toc201324956"/>
      <w:bookmarkStart w:id="335" w:name="_Toc201325185"/>
      <w:bookmarkStart w:id="336" w:name="_Toc201325414"/>
      <w:bookmarkStart w:id="337" w:name="_Toc201325876"/>
      <w:bookmarkStart w:id="338" w:name="_Toc201745869"/>
      <w:r>
        <w:rPr>
          <w:rStyle w:val="CharSchNo"/>
        </w:rPr>
        <w:lastRenderedPageBreak/>
        <w:t>Schedule 3</w:t>
      </w:r>
      <w:r>
        <w:t> — </w:t>
      </w:r>
      <w:r>
        <w:rPr>
          <w:rStyle w:val="CharSchText"/>
        </w:rPr>
        <w:t>Water supply charges for Water Corporation</w:t>
      </w:r>
      <w:bookmarkEnd w:id="328"/>
      <w:bookmarkEnd w:id="329"/>
      <w:bookmarkEnd w:id="330"/>
      <w:bookmarkEnd w:id="331"/>
      <w:bookmarkEnd w:id="332"/>
      <w:bookmarkEnd w:id="333"/>
      <w:bookmarkEnd w:id="334"/>
      <w:bookmarkEnd w:id="335"/>
      <w:bookmarkEnd w:id="336"/>
      <w:bookmarkEnd w:id="337"/>
      <w:bookmarkEnd w:id="338"/>
    </w:p>
    <w:p>
      <w:pPr>
        <w:pStyle w:val="yShoulderClause"/>
      </w:pPr>
      <w:r>
        <w:t>[r. 24, 27 and 31]</w:t>
      </w:r>
    </w:p>
    <w:p>
      <w:pPr>
        <w:pStyle w:val="yFootnoteheading"/>
      </w:pPr>
      <w:bookmarkStart w:id="339" w:name="_Toc201235692"/>
      <w:bookmarkStart w:id="340" w:name="_Toc201235943"/>
      <w:bookmarkStart w:id="341" w:name="_Toc201236099"/>
      <w:bookmarkStart w:id="342" w:name="_Toc201314506"/>
      <w:r>
        <w:tab/>
        <w:t>[Heading inserted: SL 2025/101 r. 10.]</w:t>
      </w:r>
    </w:p>
    <w:p>
      <w:pPr>
        <w:pStyle w:val="yHeading3"/>
      </w:pPr>
      <w:bookmarkStart w:id="343" w:name="_Toc201323465"/>
      <w:bookmarkStart w:id="344" w:name="_Toc201324274"/>
      <w:bookmarkStart w:id="345" w:name="_Toc201324957"/>
      <w:bookmarkStart w:id="346" w:name="_Toc201325186"/>
      <w:bookmarkStart w:id="347" w:name="_Toc201325415"/>
      <w:bookmarkStart w:id="348" w:name="_Toc201325877"/>
      <w:bookmarkStart w:id="349" w:name="_Toc201745870"/>
      <w:r>
        <w:rPr>
          <w:rStyle w:val="CharSDivNo"/>
        </w:rPr>
        <w:t>Division 1</w:t>
      </w:r>
      <w:r>
        <w:t> —</w:t>
      </w:r>
      <w:r>
        <w:rPr>
          <w:rStyle w:val="CharSDivText"/>
        </w:rPr>
        <w:t> Service charges</w:t>
      </w:r>
      <w:bookmarkEnd w:id="339"/>
      <w:bookmarkEnd w:id="340"/>
      <w:bookmarkEnd w:id="341"/>
      <w:bookmarkEnd w:id="342"/>
      <w:bookmarkEnd w:id="343"/>
      <w:bookmarkEnd w:id="344"/>
      <w:bookmarkEnd w:id="345"/>
      <w:bookmarkEnd w:id="346"/>
      <w:bookmarkEnd w:id="347"/>
      <w:bookmarkEnd w:id="348"/>
      <w:bookmarkEnd w:id="349"/>
    </w:p>
    <w:p>
      <w:pPr>
        <w:pStyle w:val="yFootnoteheading"/>
      </w:pPr>
      <w:bookmarkStart w:id="350" w:name="_Toc201235693"/>
      <w:bookmarkStart w:id="351" w:name="_Toc201235944"/>
      <w:bookmarkStart w:id="352" w:name="_Toc201236100"/>
      <w:bookmarkStart w:id="353" w:name="_Toc201314507"/>
      <w:r>
        <w:tab/>
        <w:t>[Heading inserted: SL 2025/101 r. 10.]</w:t>
      </w:r>
    </w:p>
    <w:p>
      <w:pPr>
        <w:pStyle w:val="yHeading4"/>
      </w:pPr>
      <w:bookmarkStart w:id="354" w:name="_Toc201323466"/>
      <w:bookmarkStart w:id="355" w:name="_Toc201324275"/>
      <w:bookmarkStart w:id="356" w:name="_Toc201324958"/>
      <w:bookmarkStart w:id="357" w:name="_Toc201325187"/>
      <w:bookmarkStart w:id="358" w:name="_Toc201325416"/>
      <w:bookmarkStart w:id="359" w:name="_Toc201325878"/>
      <w:bookmarkStart w:id="360" w:name="_Toc201745871"/>
      <w:r>
        <w:t>Subdivision 1 — Preliminary</w:t>
      </w:r>
      <w:bookmarkEnd w:id="350"/>
      <w:bookmarkEnd w:id="351"/>
      <w:bookmarkEnd w:id="352"/>
      <w:bookmarkEnd w:id="353"/>
      <w:bookmarkEnd w:id="354"/>
      <w:bookmarkEnd w:id="355"/>
      <w:bookmarkEnd w:id="356"/>
      <w:bookmarkEnd w:id="357"/>
      <w:bookmarkEnd w:id="358"/>
      <w:bookmarkEnd w:id="359"/>
      <w:bookmarkEnd w:id="360"/>
    </w:p>
    <w:p>
      <w:pPr>
        <w:pStyle w:val="yFootnoteheading"/>
      </w:pPr>
      <w:bookmarkStart w:id="361" w:name="_Toc201235694"/>
      <w:bookmarkStart w:id="362" w:name="_Toc201314508"/>
      <w:r>
        <w:tab/>
        <w:t>[Heading inserted: SL 2025/101 r. 10.]</w:t>
      </w:r>
    </w:p>
    <w:p>
      <w:pPr>
        <w:pStyle w:val="yHeading5"/>
      </w:pPr>
      <w:bookmarkStart w:id="363" w:name="_Toc201745872"/>
      <w:r>
        <w:rPr>
          <w:rStyle w:val="CharSClsNo"/>
        </w:rPr>
        <w:t>1</w:t>
      </w:r>
      <w:r>
        <w:t>.</w:t>
      </w:r>
      <w:r>
        <w:tab/>
        <w:t>Service charges for 2025/26 and subsequent years</w:t>
      </w:r>
      <w:bookmarkEnd w:id="361"/>
      <w:bookmarkEnd w:id="362"/>
      <w:bookmarkEnd w:id="363"/>
    </w:p>
    <w:p>
      <w:pPr>
        <w:pStyle w:val="ySubsection"/>
      </w:pPr>
      <w:r>
        <w:tab/>
      </w:r>
      <w:r>
        <w:tab/>
        <w:t>The charges set out in this Division apply for water supply services provided in the 2025/26 financial year and each subsequent year.</w:t>
      </w:r>
    </w:p>
    <w:p>
      <w:pPr>
        <w:pStyle w:val="yHeading5"/>
      </w:pPr>
      <w:bookmarkStart w:id="364" w:name="_Toc201235695"/>
      <w:bookmarkStart w:id="365" w:name="_Toc201314509"/>
      <w:bookmarkStart w:id="366" w:name="_Toc201745873"/>
      <w:r>
        <w:rPr>
          <w:rStyle w:val="CharSClsNo"/>
        </w:rPr>
        <w:t>2</w:t>
      </w:r>
      <w:r>
        <w:t>.</w:t>
      </w:r>
      <w:r>
        <w:tab/>
        <w:t>Table of meter</w:t>
      </w:r>
      <w:r>
        <w:noBreakHyphen/>
        <w:t>based charges</w:t>
      </w:r>
      <w:bookmarkEnd w:id="364"/>
      <w:bookmarkEnd w:id="365"/>
      <w:bookmarkEnd w:id="366"/>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trPr>
          <w:cantSplit/>
          <w:tblHeader/>
        </w:trPr>
        <w:tc>
          <w:tcPr>
            <w:tcW w:w="2292" w:type="dxa"/>
            <w:tcBorders>
              <w:top w:val="single" w:sz="4" w:space="0" w:color="auto"/>
              <w:bottom w:val="single" w:sz="4" w:space="0" w:color="auto"/>
            </w:tcBorders>
            <w:noWrap/>
          </w:tcPr>
          <w:p>
            <w:pPr>
              <w:pStyle w:val="yTableNAm"/>
              <w:jc w:val="center"/>
            </w:pPr>
            <w:r>
              <w:rPr>
                <w:b/>
              </w:rPr>
              <w:t>Meter size</w:t>
            </w:r>
            <w:r>
              <w:rPr>
                <w:b/>
              </w:rPr>
              <w:br/>
              <w:t>mm</w:t>
            </w:r>
          </w:p>
        </w:tc>
        <w:tc>
          <w:tcPr>
            <w:tcW w:w="2292" w:type="dxa"/>
            <w:tcBorders>
              <w:top w:val="single" w:sz="4" w:space="0" w:color="auto"/>
              <w:bottom w:val="single" w:sz="4" w:space="0" w:color="auto"/>
            </w:tcBorders>
            <w:noWrap/>
          </w:tcPr>
          <w:p>
            <w:pPr>
              <w:pStyle w:val="yTableNAm"/>
              <w:jc w:val="center"/>
            </w:pPr>
            <w:r>
              <w:rPr>
                <w:b/>
              </w:rPr>
              <w:t>Charge</w:t>
            </w:r>
            <w:r>
              <w:rPr>
                <w:b/>
              </w:rPr>
              <w:br/>
              <w:t>$</w:t>
            </w:r>
          </w:p>
        </w:tc>
      </w:tr>
      <w:tr>
        <w:trPr>
          <w:cantSplit/>
        </w:trPr>
        <w:tc>
          <w:tcPr>
            <w:tcW w:w="2292" w:type="dxa"/>
            <w:noWrap/>
          </w:tcPr>
          <w:p>
            <w:pPr>
              <w:pStyle w:val="yTableNAm"/>
              <w:jc w:val="center"/>
            </w:pPr>
            <w:r>
              <w:t>15, 20</w:t>
            </w:r>
          </w:p>
        </w:tc>
        <w:tc>
          <w:tcPr>
            <w:tcW w:w="2292" w:type="dxa"/>
            <w:noWrap/>
          </w:tcPr>
          <w:p>
            <w:pPr>
              <w:pStyle w:val="yTableNAm"/>
              <w:jc w:val="center"/>
            </w:pPr>
            <w:r>
              <w:t>315.50</w:t>
            </w:r>
          </w:p>
        </w:tc>
      </w:tr>
      <w:tr>
        <w:trPr>
          <w:cantSplit/>
        </w:trPr>
        <w:tc>
          <w:tcPr>
            <w:tcW w:w="2292" w:type="dxa"/>
            <w:noWrap/>
          </w:tcPr>
          <w:p>
            <w:pPr>
              <w:pStyle w:val="yTableNAm"/>
              <w:jc w:val="center"/>
            </w:pPr>
            <w:r>
              <w:t>25</w:t>
            </w:r>
          </w:p>
        </w:tc>
        <w:tc>
          <w:tcPr>
            <w:tcW w:w="2292" w:type="dxa"/>
            <w:noWrap/>
          </w:tcPr>
          <w:p>
            <w:pPr>
              <w:pStyle w:val="yTableNAm"/>
              <w:jc w:val="center"/>
            </w:pPr>
            <w:r>
              <w:t>493.00</w:t>
            </w:r>
          </w:p>
        </w:tc>
      </w:tr>
      <w:tr>
        <w:trPr>
          <w:cantSplit/>
        </w:trPr>
        <w:tc>
          <w:tcPr>
            <w:tcW w:w="2292" w:type="dxa"/>
            <w:noWrap/>
          </w:tcPr>
          <w:p>
            <w:pPr>
              <w:pStyle w:val="yTableNAm"/>
              <w:jc w:val="center"/>
            </w:pPr>
            <w:r>
              <w:t>30</w:t>
            </w:r>
          </w:p>
        </w:tc>
        <w:tc>
          <w:tcPr>
            <w:tcW w:w="2292" w:type="dxa"/>
            <w:noWrap/>
          </w:tcPr>
          <w:p>
            <w:pPr>
              <w:pStyle w:val="yTableNAm"/>
              <w:jc w:val="center"/>
            </w:pPr>
            <w:r>
              <w:t>709.86</w:t>
            </w:r>
          </w:p>
        </w:tc>
      </w:tr>
      <w:tr>
        <w:trPr>
          <w:cantSplit/>
        </w:trPr>
        <w:tc>
          <w:tcPr>
            <w:tcW w:w="2292" w:type="dxa"/>
            <w:noWrap/>
          </w:tcPr>
          <w:p>
            <w:pPr>
              <w:pStyle w:val="yTableNAm"/>
              <w:jc w:val="center"/>
            </w:pPr>
            <w:r>
              <w:t>35, 38, 40</w:t>
            </w:r>
          </w:p>
        </w:tc>
        <w:tc>
          <w:tcPr>
            <w:tcW w:w="2292" w:type="dxa"/>
            <w:noWrap/>
          </w:tcPr>
          <w:p>
            <w:pPr>
              <w:pStyle w:val="yTableNAm"/>
              <w:jc w:val="center"/>
            </w:pPr>
            <w:r>
              <w:t>1 262.06</w:t>
            </w:r>
          </w:p>
        </w:tc>
      </w:tr>
      <w:tr>
        <w:trPr>
          <w:cantSplit/>
        </w:trPr>
        <w:tc>
          <w:tcPr>
            <w:tcW w:w="2292" w:type="dxa"/>
            <w:noWrap/>
          </w:tcPr>
          <w:p>
            <w:pPr>
              <w:pStyle w:val="yTableNAm"/>
              <w:jc w:val="center"/>
            </w:pPr>
            <w:r>
              <w:t>50</w:t>
            </w:r>
          </w:p>
        </w:tc>
        <w:tc>
          <w:tcPr>
            <w:tcW w:w="2292" w:type="dxa"/>
            <w:noWrap/>
          </w:tcPr>
          <w:p>
            <w:pPr>
              <w:pStyle w:val="yTableNAm"/>
              <w:jc w:val="center"/>
            </w:pPr>
            <w:r>
              <w:t>1 971.94</w:t>
            </w:r>
          </w:p>
        </w:tc>
      </w:tr>
      <w:tr>
        <w:trPr>
          <w:cantSplit/>
        </w:trPr>
        <w:tc>
          <w:tcPr>
            <w:tcW w:w="2292" w:type="dxa"/>
            <w:noWrap/>
          </w:tcPr>
          <w:p>
            <w:pPr>
              <w:pStyle w:val="yTableNAm"/>
              <w:jc w:val="center"/>
            </w:pPr>
            <w:r>
              <w:t>70, 75, 80</w:t>
            </w:r>
          </w:p>
        </w:tc>
        <w:tc>
          <w:tcPr>
            <w:tcW w:w="2292" w:type="dxa"/>
            <w:noWrap/>
          </w:tcPr>
          <w:p>
            <w:pPr>
              <w:pStyle w:val="yTableNAm"/>
              <w:jc w:val="center"/>
            </w:pPr>
            <w:r>
              <w:t>5 048.18</w:t>
            </w:r>
          </w:p>
        </w:tc>
      </w:tr>
      <w:tr>
        <w:trPr>
          <w:cantSplit/>
        </w:trPr>
        <w:tc>
          <w:tcPr>
            <w:tcW w:w="2292" w:type="dxa"/>
            <w:noWrap/>
          </w:tcPr>
          <w:p>
            <w:pPr>
              <w:pStyle w:val="yTableNAm"/>
              <w:jc w:val="center"/>
            </w:pPr>
            <w:r>
              <w:t>100</w:t>
            </w:r>
          </w:p>
        </w:tc>
        <w:tc>
          <w:tcPr>
            <w:tcW w:w="2292" w:type="dxa"/>
            <w:noWrap/>
          </w:tcPr>
          <w:p>
            <w:pPr>
              <w:pStyle w:val="yTableNAm"/>
              <w:jc w:val="center"/>
            </w:pPr>
            <w:r>
              <w:t>7 887.76</w:t>
            </w:r>
          </w:p>
        </w:tc>
      </w:tr>
      <w:tr>
        <w:trPr>
          <w:cantSplit/>
        </w:trPr>
        <w:tc>
          <w:tcPr>
            <w:tcW w:w="2292" w:type="dxa"/>
            <w:noWrap/>
          </w:tcPr>
          <w:p>
            <w:pPr>
              <w:pStyle w:val="yTableNAm"/>
              <w:jc w:val="center"/>
            </w:pPr>
            <w:r>
              <w:t>140, 150</w:t>
            </w:r>
          </w:p>
        </w:tc>
        <w:tc>
          <w:tcPr>
            <w:tcW w:w="2292" w:type="dxa"/>
            <w:noWrap/>
          </w:tcPr>
          <w:p>
            <w:pPr>
              <w:pStyle w:val="yTableNAm"/>
              <w:jc w:val="center"/>
            </w:pPr>
            <w:r>
              <w:t>17 747.49</w:t>
            </w:r>
          </w:p>
        </w:tc>
      </w:tr>
      <w:tr>
        <w:trPr>
          <w:cantSplit/>
        </w:trPr>
        <w:tc>
          <w:tcPr>
            <w:tcW w:w="2292" w:type="dxa"/>
            <w:noWrap/>
          </w:tcPr>
          <w:p>
            <w:pPr>
              <w:pStyle w:val="yTableNAm"/>
              <w:jc w:val="center"/>
            </w:pPr>
            <w:r>
              <w:t>200</w:t>
            </w:r>
          </w:p>
        </w:tc>
        <w:tc>
          <w:tcPr>
            <w:tcW w:w="2292" w:type="dxa"/>
            <w:noWrap/>
          </w:tcPr>
          <w:p>
            <w:pPr>
              <w:pStyle w:val="yTableNAm"/>
              <w:jc w:val="center"/>
            </w:pPr>
            <w:r>
              <w:t>31 551.07</w:t>
            </w:r>
          </w:p>
        </w:tc>
      </w:tr>
      <w:tr>
        <w:trPr>
          <w:cantSplit/>
        </w:trPr>
        <w:tc>
          <w:tcPr>
            <w:tcW w:w="2292" w:type="dxa"/>
            <w:noWrap/>
          </w:tcPr>
          <w:p>
            <w:pPr>
              <w:pStyle w:val="yTableNAm"/>
              <w:jc w:val="center"/>
            </w:pPr>
            <w:r>
              <w:lastRenderedPageBreak/>
              <w:t>250</w:t>
            </w:r>
          </w:p>
        </w:tc>
        <w:tc>
          <w:tcPr>
            <w:tcW w:w="2292" w:type="dxa"/>
            <w:noWrap/>
          </w:tcPr>
          <w:p>
            <w:pPr>
              <w:pStyle w:val="yTableNAm"/>
              <w:jc w:val="center"/>
            </w:pPr>
            <w:r>
              <w:t>49 298.55</w:t>
            </w:r>
          </w:p>
        </w:tc>
      </w:tr>
      <w:tr>
        <w:trPr>
          <w:cantSplit/>
        </w:trPr>
        <w:tc>
          <w:tcPr>
            <w:tcW w:w="2292" w:type="dxa"/>
            <w:noWrap/>
          </w:tcPr>
          <w:p>
            <w:pPr>
              <w:pStyle w:val="yTableNAm"/>
              <w:jc w:val="center"/>
            </w:pPr>
            <w:r>
              <w:t>300</w:t>
            </w:r>
          </w:p>
        </w:tc>
        <w:tc>
          <w:tcPr>
            <w:tcW w:w="2292" w:type="dxa"/>
            <w:noWrap/>
          </w:tcPr>
          <w:p>
            <w:pPr>
              <w:pStyle w:val="yTableNAm"/>
              <w:jc w:val="center"/>
            </w:pPr>
            <w:r>
              <w:t>70 989.92</w:t>
            </w:r>
          </w:p>
        </w:tc>
      </w:tr>
      <w:tr>
        <w:trPr>
          <w:cantSplit/>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tcPr>
          <w:p>
            <w:pPr>
              <w:pStyle w:val="yTableNAm"/>
              <w:jc w:val="center"/>
            </w:pPr>
            <w:r>
              <w:t>96 625.21</w:t>
            </w:r>
          </w:p>
        </w:tc>
      </w:tr>
    </w:tbl>
    <w:p>
      <w:pPr>
        <w:pStyle w:val="yHeading4"/>
      </w:pPr>
      <w:bookmarkStart w:id="367" w:name="_Toc201235696"/>
      <w:bookmarkStart w:id="368" w:name="_Toc201235947"/>
      <w:bookmarkStart w:id="369" w:name="_Toc201236103"/>
      <w:bookmarkStart w:id="370" w:name="_Toc201314510"/>
      <w:bookmarkStart w:id="371" w:name="_Toc201323469"/>
      <w:bookmarkStart w:id="372" w:name="_Toc201324278"/>
      <w:bookmarkStart w:id="373" w:name="_Toc201324961"/>
      <w:bookmarkStart w:id="374" w:name="_Toc201325190"/>
      <w:bookmarkStart w:id="375" w:name="_Toc201325419"/>
      <w:bookmarkStart w:id="376" w:name="_Toc201325881"/>
      <w:bookmarkStart w:id="377" w:name="_Toc201745874"/>
      <w:r>
        <w:t>Subdivision 2 — Service charges that apply for land</w:t>
      </w:r>
      <w:bookmarkEnd w:id="367"/>
      <w:bookmarkEnd w:id="368"/>
      <w:bookmarkEnd w:id="369"/>
      <w:bookmarkEnd w:id="370"/>
      <w:bookmarkEnd w:id="371"/>
      <w:bookmarkEnd w:id="372"/>
      <w:bookmarkEnd w:id="373"/>
      <w:bookmarkEnd w:id="374"/>
      <w:bookmarkEnd w:id="375"/>
      <w:bookmarkEnd w:id="376"/>
      <w:bookmarkEnd w:id="377"/>
    </w:p>
    <w:p>
      <w:pPr>
        <w:pStyle w:val="yFootnoteheading"/>
      </w:pPr>
      <w:bookmarkStart w:id="378" w:name="_Toc201235697"/>
      <w:bookmarkStart w:id="379" w:name="_Toc201314511"/>
      <w:r>
        <w:tab/>
        <w:t>[Heading inserted: SL 2025/101 r. 10.]</w:t>
      </w:r>
    </w:p>
    <w:p>
      <w:pPr>
        <w:pStyle w:val="yHeading5"/>
      </w:pPr>
      <w:bookmarkStart w:id="380" w:name="_Toc201745875"/>
      <w:r>
        <w:rPr>
          <w:rStyle w:val="CharSClsNo"/>
        </w:rPr>
        <w:t>3</w:t>
      </w:r>
      <w:r>
        <w:t>.</w:t>
      </w:r>
      <w:r>
        <w:tab/>
        <w:t>Residential</w:t>
      </w:r>
      <w:bookmarkEnd w:id="378"/>
      <w:bookmarkEnd w:id="379"/>
      <w:bookmarkEnd w:id="380"/>
    </w:p>
    <w:p>
      <w:pPr>
        <w:pStyle w:val="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$296.89</w:t>
      </w:r>
    </w:p>
    <w:p>
      <w:pPr>
        <w:pStyle w:val="yHeading5"/>
      </w:pPr>
      <w:bookmarkStart w:id="381" w:name="_Toc201235698"/>
      <w:bookmarkStart w:id="382" w:name="_Toc201314512"/>
      <w:bookmarkStart w:id="383" w:name="_Toc201745876"/>
      <w:r>
        <w:rPr>
          <w:rStyle w:val="CharSClsNo"/>
        </w:rPr>
        <w:t>4</w:t>
      </w:r>
      <w:r>
        <w:t>.</w:t>
      </w:r>
      <w:r>
        <w:tab/>
        <w:t>Metropolitan concessional</w:t>
      </w:r>
      <w:bookmarkEnd w:id="381"/>
      <w:bookmarkEnd w:id="382"/>
      <w:bookmarkEnd w:id="383"/>
    </w:p>
    <w:p>
      <w:pPr>
        <w:pStyle w:val="ySubsection"/>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pPr>
            <w:r>
              <w:rPr>
                <w:b/>
              </w:rPr>
              <w:t>Meter size</w:t>
            </w:r>
            <w:r>
              <w:rPr>
                <w:b/>
              </w:rPr>
              <w:br/>
            </w:r>
            <w:r>
              <w:rPr>
                <w:b/>
              </w:rPr>
              <w:br/>
              <w:t>mm</w:t>
            </w:r>
          </w:p>
        </w:tc>
        <w:tc>
          <w:tcPr>
            <w:tcW w:w="127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tcPr>
          <w:p>
            <w:pPr>
              <w:pStyle w:val="yTableNAm"/>
              <w:jc w:val="center"/>
            </w:pPr>
            <w:r>
              <w:t>315.50</w:t>
            </w:r>
          </w:p>
        </w:tc>
        <w:tc>
          <w:tcPr>
            <w:tcW w:w="1276" w:type="dxa"/>
            <w:tcBorders>
              <w:top w:val="single" w:sz="4" w:space="0" w:color="auto"/>
            </w:tcBorders>
            <w:noWrap/>
          </w:tcPr>
          <w:p>
            <w:pPr>
              <w:pStyle w:val="yTableNAm"/>
              <w:jc w:val="center"/>
            </w:pPr>
            <w:r>
              <w:t>315.50</w:t>
            </w:r>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tcPr>
          <w:p>
            <w:pPr>
              <w:pStyle w:val="yTableNAm"/>
              <w:jc w:val="center"/>
            </w:pPr>
            <w:r>
              <w:t>493.00</w:t>
            </w:r>
          </w:p>
        </w:tc>
        <w:tc>
          <w:tcPr>
            <w:tcW w:w="1276" w:type="dxa"/>
            <w:noWrap/>
          </w:tcPr>
          <w:p>
            <w:pPr>
              <w:pStyle w:val="yTableNAm"/>
              <w:jc w:val="center"/>
            </w:pPr>
            <w:r>
              <w:t>493.00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tcPr>
          <w:p>
            <w:pPr>
              <w:pStyle w:val="yTableNAm"/>
              <w:jc w:val="center"/>
            </w:pPr>
            <w:r>
              <w:t>709.86</w:t>
            </w:r>
          </w:p>
        </w:tc>
        <w:tc>
          <w:tcPr>
            <w:tcW w:w="1276" w:type="dxa"/>
            <w:noWrap/>
          </w:tcPr>
          <w:p>
            <w:pPr>
              <w:pStyle w:val="yTableNAm"/>
              <w:jc w:val="center"/>
            </w:pPr>
            <w:r>
              <w:t>709.86</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tcPr>
          <w:p>
            <w:pPr>
              <w:pStyle w:val="yTableNAm"/>
              <w:jc w:val="center"/>
            </w:pPr>
            <w:r>
              <w:t>1 262.06</w:t>
            </w:r>
          </w:p>
        </w:tc>
        <w:tc>
          <w:tcPr>
            <w:tcW w:w="1276" w:type="dxa"/>
            <w:noWrap/>
          </w:tcPr>
          <w:p>
            <w:pPr>
              <w:pStyle w:val="yTableNAm"/>
              <w:jc w:val="center"/>
            </w:pPr>
            <w:r>
              <w:t>1 262.06</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tcPr>
          <w:p>
            <w:pPr>
              <w:pStyle w:val="yTableNAm"/>
              <w:jc w:val="center"/>
            </w:pPr>
            <w:r>
              <w:t>1 971.94</w:t>
            </w:r>
          </w:p>
        </w:tc>
        <w:tc>
          <w:tcPr>
            <w:tcW w:w="1276" w:type="dxa"/>
            <w:noWrap/>
          </w:tcPr>
          <w:p>
            <w:pPr>
              <w:pStyle w:val="yTableNAm"/>
              <w:jc w:val="center"/>
            </w:pPr>
            <w:r>
              <w:t>1 971.94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tcPr>
          <w:p>
            <w:pPr>
              <w:pStyle w:val="yTableNAm"/>
              <w:jc w:val="center"/>
            </w:pPr>
            <w:r>
              <w:t>5 048.18</w:t>
            </w:r>
          </w:p>
        </w:tc>
        <w:tc>
          <w:tcPr>
            <w:tcW w:w="1276" w:type="dxa"/>
            <w:noWrap/>
          </w:tcPr>
          <w:p>
            <w:pPr>
              <w:pStyle w:val="yTableNAm"/>
              <w:jc w:val="center"/>
            </w:pPr>
            <w:r>
              <w:t>5 048.18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tcPr>
          <w:p>
            <w:pPr>
              <w:pStyle w:val="yTableNAm"/>
              <w:jc w:val="center"/>
            </w:pPr>
            <w:r>
              <w:t>7 887.76</w:t>
            </w:r>
          </w:p>
        </w:tc>
        <w:tc>
          <w:tcPr>
            <w:tcW w:w="1276" w:type="dxa"/>
            <w:noWrap/>
          </w:tcPr>
          <w:p>
            <w:pPr>
              <w:pStyle w:val="yTableNAm"/>
              <w:jc w:val="center"/>
            </w:pPr>
            <w:r>
              <w:t>7 887.76</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tcPr>
          <w:p>
            <w:pPr>
              <w:pStyle w:val="yTableNAm"/>
              <w:jc w:val="center"/>
            </w:pPr>
            <w:r>
              <w:t>17 747.49</w:t>
            </w:r>
          </w:p>
        </w:tc>
        <w:tc>
          <w:tcPr>
            <w:tcW w:w="1276" w:type="dxa"/>
            <w:noWrap/>
          </w:tcPr>
          <w:p>
            <w:pPr>
              <w:pStyle w:val="yTableNAm"/>
              <w:jc w:val="center"/>
            </w:pPr>
            <w:r>
              <w:t>17 747.49</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lastRenderedPageBreak/>
              <w:t>200</w:t>
            </w:r>
          </w:p>
        </w:tc>
        <w:tc>
          <w:tcPr>
            <w:tcW w:w="1275" w:type="dxa"/>
            <w:noWrap/>
          </w:tcPr>
          <w:p>
            <w:pPr>
              <w:pStyle w:val="yTableNAm"/>
              <w:jc w:val="center"/>
            </w:pPr>
            <w:r>
              <w:t>31 551.07</w:t>
            </w:r>
          </w:p>
        </w:tc>
        <w:tc>
          <w:tcPr>
            <w:tcW w:w="1276" w:type="dxa"/>
            <w:noWrap/>
          </w:tcPr>
          <w:p>
            <w:pPr>
              <w:pStyle w:val="yTableNAm"/>
              <w:jc w:val="center"/>
            </w:pPr>
            <w:r>
              <w:t>31 551.07</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tcPr>
          <w:p>
            <w:pPr>
              <w:pStyle w:val="yTableNAm"/>
              <w:jc w:val="center"/>
            </w:pPr>
            <w:r>
              <w:t>49 298.55</w:t>
            </w:r>
          </w:p>
        </w:tc>
        <w:tc>
          <w:tcPr>
            <w:tcW w:w="1276" w:type="dxa"/>
            <w:noWrap/>
          </w:tcPr>
          <w:p>
            <w:pPr>
              <w:pStyle w:val="yTableNAm"/>
              <w:jc w:val="center"/>
            </w:pPr>
            <w:r>
              <w:t>49 298.55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tcPr>
          <w:p>
            <w:pPr>
              <w:pStyle w:val="yTableNAm"/>
              <w:jc w:val="center"/>
            </w:pPr>
            <w:r>
              <w:t>70 989.92</w:t>
            </w:r>
          </w:p>
        </w:tc>
        <w:tc>
          <w:tcPr>
            <w:tcW w:w="1276" w:type="dxa"/>
            <w:noWrap/>
          </w:tcPr>
          <w:p>
            <w:pPr>
              <w:pStyle w:val="yTableNAm"/>
              <w:jc w:val="center"/>
            </w:pPr>
            <w:r>
              <w:t>70 989.92</w:t>
            </w:r>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tcPr>
          <w:p>
            <w:pPr>
              <w:pStyle w:val="yTableNAm"/>
              <w:jc w:val="center"/>
            </w:pPr>
            <w:r>
              <w:t>96 625.21</w:t>
            </w:r>
          </w:p>
        </w:tc>
        <w:tc>
          <w:tcPr>
            <w:tcW w:w="1276" w:type="dxa"/>
            <w:tcBorders>
              <w:bottom w:val="single" w:sz="4" w:space="0" w:color="auto"/>
            </w:tcBorders>
            <w:noWrap/>
          </w:tcPr>
          <w:p>
            <w:pPr>
              <w:pStyle w:val="yTableNAm"/>
              <w:jc w:val="center"/>
            </w:pPr>
            <w:r>
              <w:t>96 625.21</w:t>
            </w:r>
          </w:p>
        </w:tc>
        <w:tc>
          <w:tcPr>
            <w:tcW w:w="1418" w:type="dxa"/>
            <w:tcBorders>
              <w:bottom w:val="single" w:sz="4" w:space="0" w:color="auto"/>
            </w:tcBorders>
            <w:noWrap/>
            <w:vAlign w:val="bottom"/>
          </w:tcPr>
          <w:p>
            <w:pPr>
              <w:pStyle w:val="yTableNAm"/>
              <w:jc w:val="center"/>
            </w:pPr>
            <w:r>
              <w:t>0.00</w:t>
            </w:r>
          </w:p>
        </w:tc>
      </w:tr>
    </w:tbl>
    <w:p>
      <w:pPr>
        <w:pStyle w:val="ySubsection"/>
      </w:pPr>
      <w:r>
        <w:tab/>
        <w:t>(2)</w:t>
      </w:r>
      <w:r>
        <w:tab/>
        <w:t>Sub</w:t>
      </w:r>
      <w:r>
        <w:noBreakHyphen/>
        <w:t>item (1) does not apply to a connection covered by item 21.</w:t>
      </w:r>
    </w:p>
    <w:p>
      <w:pPr>
        <w:pStyle w:val="ySubsection"/>
      </w:pPr>
      <w:r>
        <w:tab/>
        <w:t>(3)</w:t>
      </w:r>
      <w:r>
        <w:tab/>
        <w:t>For concessional land in the metropolitan area that, although a water service is provided, is not connected to water supply works of the Water Corporation, the charge is the discounted charge set out in the Table to this sub</w:t>
      </w:r>
      <w:r>
        <w:noBreakHyphen/>
        <w:t>item.</w:t>
      </w:r>
    </w:p>
    <w:p>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trPr>
          <w:cantSplit/>
          <w:tblHeader/>
          <w:jc w:val="center"/>
        </w:trPr>
        <w:tc>
          <w:tcPr>
            <w:tcW w:w="1134"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jc w:val="center"/>
        </w:trPr>
        <w:tc>
          <w:tcPr>
            <w:tcW w:w="1134" w:type="dxa"/>
            <w:tcBorders>
              <w:bottom w:val="single" w:sz="4" w:space="0" w:color="auto"/>
            </w:tcBorders>
            <w:noWrap/>
          </w:tcPr>
          <w:p>
            <w:pPr>
              <w:pStyle w:val="yTableNAm"/>
              <w:jc w:val="center"/>
            </w:pPr>
            <w:r>
              <w:t>315.50</w:t>
            </w:r>
          </w:p>
        </w:tc>
        <w:tc>
          <w:tcPr>
            <w:tcW w:w="1135" w:type="dxa"/>
            <w:tcBorders>
              <w:bottom w:val="single" w:sz="4" w:space="0" w:color="auto"/>
            </w:tcBorders>
            <w:noWrap/>
          </w:tcPr>
          <w:p>
            <w:pPr>
              <w:pStyle w:val="yTableNAm"/>
              <w:jc w:val="center"/>
            </w:pPr>
            <w:r>
              <w:t>315.50</w:t>
            </w:r>
          </w:p>
        </w:tc>
        <w:tc>
          <w:tcPr>
            <w:tcW w:w="1418" w:type="dxa"/>
            <w:tcBorders>
              <w:bottom w:val="single" w:sz="4" w:space="0" w:color="auto"/>
            </w:tcBorders>
            <w:noWrap/>
            <w:vAlign w:val="bottom"/>
          </w:tcPr>
          <w:p>
            <w:pPr>
              <w:pStyle w:val="yTableNAm"/>
              <w:jc w:val="center"/>
            </w:pPr>
            <w:r>
              <w:t>0.00</w:t>
            </w:r>
          </w:p>
        </w:tc>
      </w:tr>
    </w:tbl>
    <w:p>
      <w:pPr>
        <w:pStyle w:val="yHeading5"/>
      </w:pPr>
      <w:bookmarkStart w:id="384" w:name="_Toc201235699"/>
      <w:bookmarkStart w:id="385" w:name="_Toc201314513"/>
      <w:bookmarkStart w:id="386" w:name="_Toc201745877"/>
      <w:r>
        <w:rPr>
          <w:rStyle w:val="CharSClsNo"/>
        </w:rPr>
        <w:t>5</w:t>
      </w:r>
      <w:r>
        <w:t>.</w:t>
      </w:r>
      <w:r>
        <w:tab/>
        <w:t>Strata</w:t>
      </w:r>
      <w:r>
        <w:noBreakHyphen/>
        <w:t>titled or long</w:t>
      </w:r>
      <w:r>
        <w:noBreakHyphen/>
        <w:t>term residential caravan bays and park homes</w:t>
      </w:r>
      <w:bookmarkEnd w:id="384"/>
      <w:bookmarkEnd w:id="385"/>
      <w:bookmarkEnd w:id="386"/>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$214.75</w:t>
      </w:r>
    </w:p>
    <w:p>
      <w:pPr>
        <w:pStyle w:val="yHeading5"/>
      </w:pPr>
      <w:bookmarkStart w:id="387" w:name="_Toc201235700"/>
      <w:bookmarkStart w:id="388" w:name="_Toc201314514"/>
      <w:bookmarkStart w:id="389" w:name="_Toc201745878"/>
      <w:r>
        <w:rPr>
          <w:rStyle w:val="CharSClsNo"/>
        </w:rPr>
        <w:t>6</w:t>
      </w:r>
      <w:r>
        <w:t>.</w:t>
      </w:r>
      <w:r>
        <w:tab/>
        <w:t>Storage units or parking bays in strata titles scheme or community titles scheme</w:t>
      </w:r>
      <w:bookmarkEnd w:id="387"/>
      <w:bookmarkEnd w:id="388"/>
      <w:bookmarkEnd w:id="389"/>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$111.05</w:t>
      </w:r>
    </w:p>
    <w:p>
      <w:pPr>
        <w:pStyle w:val="yHeading5"/>
      </w:pPr>
      <w:bookmarkStart w:id="390" w:name="_Toc201235701"/>
      <w:bookmarkStart w:id="391" w:name="_Toc201314515"/>
      <w:bookmarkStart w:id="392" w:name="_Toc201745879"/>
      <w:r>
        <w:rPr>
          <w:rStyle w:val="CharSClsNo"/>
        </w:rPr>
        <w:lastRenderedPageBreak/>
        <w:t>7</w:t>
      </w:r>
      <w:r>
        <w:t>.</w:t>
      </w:r>
      <w:r>
        <w:tab/>
        <w:t>Non</w:t>
      </w:r>
      <w:r>
        <w:noBreakHyphen/>
        <w:t>residential lots in strata titles scheme or community titles scheme that share a service</w:t>
      </w:r>
      <w:bookmarkEnd w:id="390"/>
      <w:bookmarkEnd w:id="391"/>
      <w:bookmarkEnd w:id="392"/>
      <w:r>
        <w:t xml:space="preserve"> </w:t>
      </w:r>
    </w:p>
    <w:p>
      <w:pPr>
        <w:pStyle w:val="ySubsection"/>
        <w:keepNext/>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$315.50</w:t>
      </w:r>
    </w:p>
    <w:p>
      <w:pPr>
        <w:pStyle w:val="yHeading5"/>
      </w:pPr>
      <w:bookmarkStart w:id="393" w:name="_Toc201235702"/>
      <w:bookmarkStart w:id="394" w:name="_Toc201314516"/>
      <w:bookmarkStart w:id="395" w:name="_Toc201745880"/>
      <w:r>
        <w:rPr>
          <w:rStyle w:val="CharSClsNo"/>
        </w:rPr>
        <w:t>8</w:t>
      </w:r>
      <w:r>
        <w:t>.</w:t>
      </w:r>
      <w:r>
        <w:tab/>
        <w:t>Community residential</w:t>
      </w:r>
      <w:bookmarkEnd w:id="393"/>
      <w:bookmarkEnd w:id="394"/>
      <w:bookmarkEnd w:id="395"/>
    </w:p>
    <w:p>
      <w:pPr>
        <w:pStyle w:val="ySubsection"/>
      </w:pPr>
      <w:r>
        <w:tab/>
        <w:t>(1)</w:t>
      </w:r>
      <w:r>
        <w:tab/>
        <w:t>For land that is classified as community residential, the Water Corporation must determine the number of dwellings on the land.</w:t>
      </w:r>
    </w:p>
    <w:p>
      <w:pPr>
        <w:pStyle w:val="ySubsection"/>
      </w:pPr>
      <w:r>
        <w:tab/>
        <w:t>(2)</w:t>
      </w:r>
      <w:r>
        <w:tab/>
        <w:t xml:space="preserve">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 </w:t>
      </w:r>
    </w:p>
    <w:p>
      <w:pPr>
        <w:pStyle w:val="yTHeadingNA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trPr>
          <w:cantSplit/>
          <w:tblHeader/>
        </w:trPr>
        <w:tc>
          <w:tcPr>
            <w:tcW w:w="2126" w:type="dxa"/>
            <w:tcBorders>
              <w:top w:val="single" w:sz="4" w:space="0" w:color="auto"/>
              <w:bottom w:val="single" w:sz="4" w:space="0" w:color="auto"/>
            </w:tcBorders>
            <w:noWrap/>
          </w:tcPr>
          <w:p>
            <w:pPr>
              <w:pStyle w:val="yTableNAm"/>
            </w:pPr>
          </w:p>
        </w:tc>
        <w:tc>
          <w:tcPr>
            <w:tcW w:w="1170"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70"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8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2126" w:type="dxa"/>
            <w:tcBorders>
              <w:bottom w:val="single" w:sz="4" w:space="0" w:color="auto"/>
            </w:tcBorders>
            <w:noWrap/>
          </w:tcPr>
          <w:p>
            <w:pPr>
              <w:pStyle w:val="yTableNAm"/>
            </w:pPr>
            <w:r>
              <w:t>If Housing Authority responsible for payment of charge</w:t>
            </w:r>
          </w:p>
        </w:tc>
        <w:tc>
          <w:tcPr>
            <w:tcW w:w="1170" w:type="dxa"/>
            <w:tcBorders>
              <w:bottom w:val="single" w:sz="4" w:space="0" w:color="auto"/>
            </w:tcBorders>
            <w:noWrap/>
          </w:tcPr>
          <w:p>
            <w:pPr>
              <w:pStyle w:val="yTableNAm"/>
              <w:jc w:val="center"/>
            </w:pPr>
            <w:r>
              <w:t>296.89</w:t>
            </w:r>
          </w:p>
        </w:tc>
        <w:tc>
          <w:tcPr>
            <w:tcW w:w="1170" w:type="dxa"/>
            <w:tcBorders>
              <w:bottom w:val="single" w:sz="4" w:space="0" w:color="auto"/>
            </w:tcBorders>
            <w:noWrap/>
          </w:tcPr>
          <w:p>
            <w:pPr>
              <w:pStyle w:val="yTableNAm"/>
              <w:jc w:val="center"/>
            </w:pPr>
            <w:r>
              <w:t>108.86</w:t>
            </w:r>
          </w:p>
        </w:tc>
        <w:tc>
          <w:tcPr>
            <w:tcW w:w="1488" w:type="dxa"/>
            <w:tcBorders>
              <w:bottom w:val="single" w:sz="4" w:space="0" w:color="auto"/>
            </w:tcBorders>
            <w:noWrap/>
          </w:tcPr>
          <w:p>
            <w:pPr>
              <w:pStyle w:val="yTableNAm"/>
              <w:jc w:val="center"/>
            </w:pPr>
            <w:r>
              <w:t>188.03</w:t>
            </w:r>
          </w:p>
        </w:tc>
      </w:tr>
      <w:tr>
        <w:trPr>
          <w:cantSplit/>
        </w:trPr>
        <w:tc>
          <w:tcPr>
            <w:tcW w:w="2126" w:type="dxa"/>
            <w:tcBorders>
              <w:bottom w:val="single" w:sz="4" w:space="0" w:color="auto"/>
            </w:tcBorders>
            <w:noWrap/>
          </w:tcPr>
          <w:p>
            <w:pPr>
              <w:pStyle w:val="yTableNAm"/>
            </w:pPr>
            <w:r>
              <w:t>In any other case</w:t>
            </w:r>
          </w:p>
        </w:tc>
        <w:tc>
          <w:tcPr>
            <w:tcW w:w="1170" w:type="dxa"/>
            <w:tcBorders>
              <w:bottom w:val="single" w:sz="4" w:space="0" w:color="auto"/>
            </w:tcBorders>
            <w:noWrap/>
            <w:vAlign w:val="bottom"/>
          </w:tcPr>
          <w:p>
            <w:pPr>
              <w:pStyle w:val="yTableNAm"/>
              <w:jc w:val="center"/>
            </w:pPr>
            <w:r>
              <w:t>296.89</w:t>
            </w:r>
          </w:p>
        </w:tc>
        <w:tc>
          <w:tcPr>
            <w:tcW w:w="1170" w:type="dxa"/>
            <w:tcBorders>
              <w:bottom w:val="single" w:sz="4" w:space="0" w:color="auto"/>
            </w:tcBorders>
            <w:noWrap/>
            <w:vAlign w:val="bottom"/>
          </w:tcPr>
          <w:p>
            <w:pPr>
              <w:pStyle w:val="yTableNAm"/>
              <w:jc w:val="center"/>
            </w:pPr>
            <w:r>
              <w:t>296.89</w:t>
            </w:r>
          </w:p>
        </w:tc>
        <w:tc>
          <w:tcPr>
            <w:tcW w:w="1488" w:type="dxa"/>
            <w:tcBorders>
              <w:bottom w:val="single" w:sz="4" w:space="0" w:color="auto"/>
            </w:tcBorders>
            <w:noWrap/>
            <w:vAlign w:val="bottom"/>
          </w:tcPr>
          <w:p>
            <w:pPr>
              <w:pStyle w:val="yTableNAm"/>
              <w:jc w:val="center"/>
            </w:pPr>
            <w:r>
              <w:t>0.00</w:t>
            </w:r>
          </w:p>
        </w:tc>
      </w:tr>
    </w:tbl>
    <w:p>
      <w:pPr>
        <w:pStyle w:val="yHeading5"/>
      </w:pPr>
      <w:bookmarkStart w:id="396" w:name="_Toc201235703"/>
      <w:bookmarkStart w:id="397" w:name="_Toc201314517"/>
      <w:bookmarkStart w:id="398" w:name="_Toc201745881"/>
      <w:r>
        <w:rPr>
          <w:rStyle w:val="CharSClsNo"/>
        </w:rPr>
        <w:t>9</w:t>
      </w:r>
      <w:r>
        <w:t>.</w:t>
      </w:r>
      <w:r>
        <w:tab/>
        <w:t>Semi</w:t>
      </w:r>
      <w:r>
        <w:noBreakHyphen/>
        <w:t>rural residential</w:t>
      </w:r>
      <w:bookmarkEnd w:id="396"/>
      <w:bookmarkEnd w:id="397"/>
      <w:bookmarkEnd w:id="398"/>
    </w:p>
    <w:p>
      <w:pPr>
        <w:pStyle w:val="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$296.89</w:t>
      </w:r>
    </w:p>
    <w:p>
      <w:pPr>
        <w:pStyle w:val="yHeading5"/>
      </w:pPr>
      <w:bookmarkStart w:id="399" w:name="_Toc201235704"/>
      <w:bookmarkStart w:id="400" w:name="_Toc201314518"/>
      <w:bookmarkStart w:id="401" w:name="_Toc201745882"/>
      <w:r>
        <w:rPr>
          <w:rStyle w:val="CharSClsNo"/>
        </w:rPr>
        <w:lastRenderedPageBreak/>
        <w:t>10</w:t>
      </w:r>
      <w:r>
        <w:t>.</w:t>
      </w:r>
      <w:r>
        <w:tab/>
        <w:t>Non</w:t>
      </w:r>
      <w:r>
        <w:noBreakHyphen/>
        <w:t>metropolitan concessional</w:t>
      </w:r>
      <w:bookmarkEnd w:id="399"/>
      <w:bookmarkEnd w:id="400"/>
      <w:bookmarkEnd w:id="401"/>
    </w:p>
    <w:p>
      <w:pPr>
        <w:pStyle w:val="ySubsection"/>
      </w:pPr>
      <w:r>
        <w:tab/>
        <w:t>(1)</w:t>
      </w:r>
      <w:r>
        <w:tab/>
        <w:t>For land in the non</w:t>
      </w:r>
      <w:r>
        <w:noBreakHyphen/>
        <w:t>metropolitan area that is classified as aged home, charitable purposes or institutional public, the charge per water supply connection is the discounted charge set out in the Table to this sub</w:t>
      </w:r>
      <w:r>
        <w:noBreakHyphen/>
        <w:t>item, according to the relevant meter size.</w:t>
      </w:r>
    </w:p>
    <w:p>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trPr>
        <w:tc>
          <w:tcPr>
            <w:tcW w:w="1560" w:type="dxa"/>
            <w:tcBorders>
              <w:top w:val="single" w:sz="4" w:space="0" w:color="auto"/>
              <w:bottom w:val="single" w:sz="4" w:space="0" w:color="auto"/>
            </w:tcBorders>
            <w:noWrap/>
            <w:vAlign w:val="center"/>
          </w:tcPr>
          <w:p>
            <w:pPr>
              <w:pStyle w:val="yTableNAm"/>
              <w:jc w:val="center"/>
            </w:pPr>
            <w:r>
              <w:rPr>
                <w:b/>
              </w:rPr>
              <w:t>Meter size</w:t>
            </w:r>
            <w:r>
              <w:rPr>
                <w:b/>
              </w:rPr>
              <w:br/>
            </w:r>
            <w:r>
              <w:rPr>
                <w:b/>
              </w:rPr>
              <w:br/>
              <w:t>mm</w:t>
            </w:r>
          </w:p>
        </w:tc>
        <w:tc>
          <w:tcPr>
            <w:tcW w:w="127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27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8"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560" w:type="dxa"/>
            <w:tcBorders>
              <w:top w:val="single" w:sz="4" w:space="0" w:color="auto"/>
            </w:tcBorders>
            <w:noWrap/>
            <w:tcMar>
              <w:left w:w="28" w:type="dxa"/>
              <w:right w:w="28" w:type="dxa"/>
            </w:tcMar>
          </w:tcPr>
          <w:p>
            <w:pPr>
              <w:pStyle w:val="yTableNAm"/>
              <w:jc w:val="center"/>
            </w:pPr>
            <w:r>
              <w:t>15, 20</w:t>
            </w:r>
          </w:p>
        </w:tc>
        <w:tc>
          <w:tcPr>
            <w:tcW w:w="1275" w:type="dxa"/>
            <w:tcBorders>
              <w:top w:val="single" w:sz="4" w:space="0" w:color="auto"/>
            </w:tcBorders>
            <w:noWrap/>
          </w:tcPr>
          <w:p>
            <w:pPr>
              <w:pStyle w:val="yTableNAm"/>
              <w:jc w:val="center"/>
            </w:pPr>
            <w:r>
              <w:t>315.50</w:t>
            </w:r>
          </w:p>
        </w:tc>
        <w:tc>
          <w:tcPr>
            <w:tcW w:w="1276" w:type="dxa"/>
            <w:tcBorders>
              <w:top w:val="single" w:sz="4" w:space="0" w:color="auto"/>
            </w:tcBorders>
            <w:noWrap/>
          </w:tcPr>
          <w:p>
            <w:pPr>
              <w:pStyle w:val="yTableNAm"/>
              <w:jc w:val="center"/>
            </w:pPr>
            <w:r>
              <w:t>315.50</w:t>
            </w:r>
          </w:p>
        </w:tc>
        <w:tc>
          <w:tcPr>
            <w:tcW w:w="1418" w:type="dxa"/>
            <w:tcBorders>
              <w:top w:val="single" w:sz="4" w:space="0" w:color="auto"/>
            </w:tcBorders>
            <w:noWrap/>
            <w:vAlign w:val="bottom"/>
          </w:tcPr>
          <w:p>
            <w:pPr>
              <w:pStyle w:val="yTableNAm"/>
              <w:jc w:val="center"/>
            </w:pPr>
            <w:r>
              <w:t>0.00</w:t>
            </w:r>
          </w:p>
        </w:tc>
      </w:tr>
      <w:tr>
        <w:trPr>
          <w:cantSplit/>
        </w:trPr>
        <w:tc>
          <w:tcPr>
            <w:tcW w:w="1560" w:type="dxa"/>
            <w:noWrap/>
            <w:tcMar>
              <w:left w:w="62" w:type="dxa"/>
              <w:right w:w="62" w:type="dxa"/>
            </w:tcMar>
          </w:tcPr>
          <w:p>
            <w:pPr>
              <w:pStyle w:val="yTableNAm"/>
              <w:jc w:val="center"/>
            </w:pPr>
            <w:r>
              <w:t>25</w:t>
            </w:r>
          </w:p>
        </w:tc>
        <w:tc>
          <w:tcPr>
            <w:tcW w:w="1275" w:type="dxa"/>
            <w:noWrap/>
          </w:tcPr>
          <w:p>
            <w:pPr>
              <w:pStyle w:val="yTableNAm"/>
              <w:jc w:val="center"/>
            </w:pPr>
            <w:r>
              <w:t>493.00</w:t>
            </w:r>
          </w:p>
        </w:tc>
        <w:tc>
          <w:tcPr>
            <w:tcW w:w="1276" w:type="dxa"/>
            <w:noWrap/>
          </w:tcPr>
          <w:p>
            <w:pPr>
              <w:pStyle w:val="yTableNAm"/>
              <w:jc w:val="center"/>
            </w:pPr>
            <w:r>
              <w:t>493.00</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w:t>
            </w:r>
          </w:p>
        </w:tc>
        <w:tc>
          <w:tcPr>
            <w:tcW w:w="1275" w:type="dxa"/>
            <w:noWrap/>
          </w:tcPr>
          <w:p>
            <w:pPr>
              <w:pStyle w:val="yTableNAm"/>
              <w:jc w:val="center"/>
            </w:pPr>
            <w:r>
              <w:t>709.86</w:t>
            </w:r>
          </w:p>
        </w:tc>
        <w:tc>
          <w:tcPr>
            <w:tcW w:w="1276" w:type="dxa"/>
            <w:noWrap/>
          </w:tcPr>
          <w:p>
            <w:pPr>
              <w:pStyle w:val="yTableNAm"/>
              <w:jc w:val="center"/>
            </w:pPr>
            <w:r>
              <w:t>709.86</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35, 38, 40</w:t>
            </w:r>
          </w:p>
        </w:tc>
        <w:tc>
          <w:tcPr>
            <w:tcW w:w="1275" w:type="dxa"/>
            <w:noWrap/>
          </w:tcPr>
          <w:p>
            <w:pPr>
              <w:pStyle w:val="yTableNAm"/>
              <w:jc w:val="center"/>
            </w:pPr>
            <w:r>
              <w:t>1 262.06</w:t>
            </w:r>
          </w:p>
        </w:tc>
        <w:tc>
          <w:tcPr>
            <w:tcW w:w="1276" w:type="dxa"/>
            <w:noWrap/>
          </w:tcPr>
          <w:p>
            <w:pPr>
              <w:pStyle w:val="yTableNAm"/>
              <w:jc w:val="center"/>
            </w:pPr>
            <w:r>
              <w:t>1 262.06</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50</w:t>
            </w:r>
          </w:p>
        </w:tc>
        <w:tc>
          <w:tcPr>
            <w:tcW w:w="1275" w:type="dxa"/>
            <w:noWrap/>
          </w:tcPr>
          <w:p>
            <w:pPr>
              <w:pStyle w:val="yTableNAm"/>
              <w:jc w:val="center"/>
            </w:pPr>
            <w:r>
              <w:t>1 971.94</w:t>
            </w:r>
          </w:p>
        </w:tc>
        <w:tc>
          <w:tcPr>
            <w:tcW w:w="1276" w:type="dxa"/>
            <w:noWrap/>
          </w:tcPr>
          <w:p>
            <w:pPr>
              <w:pStyle w:val="yTableNAm"/>
              <w:jc w:val="center"/>
            </w:pPr>
            <w:r>
              <w:t>1 971.94</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70, 75, 80</w:t>
            </w:r>
          </w:p>
        </w:tc>
        <w:tc>
          <w:tcPr>
            <w:tcW w:w="1275" w:type="dxa"/>
            <w:noWrap/>
          </w:tcPr>
          <w:p>
            <w:pPr>
              <w:pStyle w:val="yTableNAm"/>
              <w:jc w:val="center"/>
            </w:pPr>
            <w:r>
              <w:t>5 048.18</w:t>
            </w:r>
          </w:p>
        </w:tc>
        <w:tc>
          <w:tcPr>
            <w:tcW w:w="1276" w:type="dxa"/>
            <w:noWrap/>
          </w:tcPr>
          <w:p>
            <w:pPr>
              <w:pStyle w:val="yTableNAm"/>
              <w:jc w:val="center"/>
            </w:pPr>
            <w:r>
              <w:t>5 048.18</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100</w:t>
            </w:r>
          </w:p>
        </w:tc>
        <w:tc>
          <w:tcPr>
            <w:tcW w:w="1275" w:type="dxa"/>
            <w:noWrap/>
          </w:tcPr>
          <w:p>
            <w:pPr>
              <w:pStyle w:val="yTableNAm"/>
              <w:jc w:val="center"/>
            </w:pPr>
            <w:r>
              <w:t>7 887.76</w:t>
            </w:r>
          </w:p>
        </w:tc>
        <w:tc>
          <w:tcPr>
            <w:tcW w:w="1276" w:type="dxa"/>
            <w:noWrap/>
          </w:tcPr>
          <w:p>
            <w:pPr>
              <w:pStyle w:val="yTableNAm"/>
              <w:jc w:val="center"/>
            </w:pPr>
            <w:r>
              <w:t>7 887.76</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140, 150</w:t>
            </w:r>
          </w:p>
        </w:tc>
        <w:tc>
          <w:tcPr>
            <w:tcW w:w="1275" w:type="dxa"/>
            <w:noWrap/>
          </w:tcPr>
          <w:p>
            <w:pPr>
              <w:pStyle w:val="yTableNAm"/>
              <w:jc w:val="center"/>
            </w:pPr>
            <w:r>
              <w:t>17 747.49</w:t>
            </w:r>
          </w:p>
        </w:tc>
        <w:tc>
          <w:tcPr>
            <w:tcW w:w="1276" w:type="dxa"/>
            <w:noWrap/>
          </w:tcPr>
          <w:p>
            <w:pPr>
              <w:pStyle w:val="yTableNAm"/>
              <w:jc w:val="center"/>
            </w:pPr>
            <w:r>
              <w:t>17 747.49</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200</w:t>
            </w:r>
          </w:p>
        </w:tc>
        <w:tc>
          <w:tcPr>
            <w:tcW w:w="1275" w:type="dxa"/>
            <w:noWrap/>
          </w:tcPr>
          <w:p>
            <w:pPr>
              <w:pStyle w:val="yTableNAm"/>
              <w:jc w:val="center"/>
            </w:pPr>
            <w:r>
              <w:t>31 551.07</w:t>
            </w:r>
          </w:p>
        </w:tc>
        <w:tc>
          <w:tcPr>
            <w:tcW w:w="1276" w:type="dxa"/>
            <w:noWrap/>
          </w:tcPr>
          <w:p>
            <w:pPr>
              <w:pStyle w:val="yTableNAm"/>
              <w:jc w:val="center"/>
            </w:pPr>
            <w:r>
              <w:t>31 551.07</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250</w:t>
            </w:r>
          </w:p>
        </w:tc>
        <w:tc>
          <w:tcPr>
            <w:tcW w:w="1275" w:type="dxa"/>
            <w:noWrap/>
          </w:tcPr>
          <w:p>
            <w:pPr>
              <w:pStyle w:val="yTableNAm"/>
              <w:jc w:val="center"/>
            </w:pPr>
            <w:r>
              <w:t>49 298.55</w:t>
            </w:r>
          </w:p>
        </w:tc>
        <w:tc>
          <w:tcPr>
            <w:tcW w:w="1276" w:type="dxa"/>
            <w:noWrap/>
          </w:tcPr>
          <w:p>
            <w:pPr>
              <w:pStyle w:val="yTableNAm"/>
              <w:jc w:val="center"/>
            </w:pPr>
            <w:r>
              <w:t>49 298.55</w:t>
            </w:r>
          </w:p>
        </w:tc>
        <w:tc>
          <w:tcPr>
            <w:tcW w:w="1418" w:type="dxa"/>
            <w:noWrap/>
            <w:vAlign w:val="bottom"/>
          </w:tcPr>
          <w:p>
            <w:pPr>
              <w:pStyle w:val="yTableNAm"/>
              <w:jc w:val="center"/>
            </w:pPr>
            <w:r>
              <w:t>0.00</w:t>
            </w:r>
          </w:p>
        </w:tc>
      </w:tr>
      <w:tr>
        <w:trPr>
          <w:cantSplit/>
        </w:trPr>
        <w:tc>
          <w:tcPr>
            <w:tcW w:w="1560" w:type="dxa"/>
            <w:noWrap/>
            <w:tcMar>
              <w:left w:w="57" w:type="dxa"/>
              <w:right w:w="57" w:type="dxa"/>
            </w:tcMar>
          </w:tcPr>
          <w:p>
            <w:pPr>
              <w:pStyle w:val="yTableNAm"/>
              <w:jc w:val="center"/>
            </w:pPr>
            <w:r>
              <w:t>300</w:t>
            </w:r>
          </w:p>
        </w:tc>
        <w:tc>
          <w:tcPr>
            <w:tcW w:w="1275" w:type="dxa"/>
            <w:noWrap/>
          </w:tcPr>
          <w:p>
            <w:pPr>
              <w:pStyle w:val="yTableNAm"/>
              <w:jc w:val="center"/>
            </w:pPr>
            <w:r>
              <w:t>70 989.92</w:t>
            </w:r>
          </w:p>
        </w:tc>
        <w:tc>
          <w:tcPr>
            <w:tcW w:w="1276" w:type="dxa"/>
            <w:noWrap/>
          </w:tcPr>
          <w:p>
            <w:pPr>
              <w:pStyle w:val="yTableNAm"/>
              <w:jc w:val="center"/>
            </w:pPr>
            <w:r>
              <w:t>70 989.92</w:t>
            </w:r>
          </w:p>
        </w:tc>
        <w:tc>
          <w:tcPr>
            <w:tcW w:w="1418" w:type="dxa"/>
            <w:noWrap/>
            <w:vAlign w:val="bottom"/>
          </w:tcPr>
          <w:p>
            <w:pPr>
              <w:pStyle w:val="yTableNAm"/>
              <w:jc w:val="center"/>
            </w:pPr>
            <w:r>
              <w:t>0.00</w:t>
            </w:r>
          </w:p>
        </w:tc>
      </w:tr>
      <w:tr>
        <w:trPr>
          <w:cantSplit/>
        </w:trPr>
        <w:tc>
          <w:tcPr>
            <w:tcW w:w="1560" w:type="dxa"/>
            <w:tcBorders>
              <w:bottom w:val="single" w:sz="4" w:space="0" w:color="auto"/>
            </w:tcBorders>
            <w:noWrap/>
            <w:tcMar>
              <w:left w:w="28" w:type="dxa"/>
              <w:right w:w="57" w:type="dxa"/>
            </w:tcMar>
          </w:tcPr>
          <w:p>
            <w:pPr>
              <w:pStyle w:val="yTableNAm"/>
              <w:jc w:val="center"/>
            </w:pPr>
            <w:r>
              <w:t>350</w:t>
            </w:r>
          </w:p>
        </w:tc>
        <w:tc>
          <w:tcPr>
            <w:tcW w:w="1275" w:type="dxa"/>
            <w:tcBorders>
              <w:bottom w:val="single" w:sz="4" w:space="0" w:color="auto"/>
            </w:tcBorders>
            <w:noWrap/>
          </w:tcPr>
          <w:p>
            <w:pPr>
              <w:pStyle w:val="yTableNAm"/>
              <w:jc w:val="center"/>
            </w:pPr>
            <w:r>
              <w:t>96 625.21</w:t>
            </w:r>
          </w:p>
        </w:tc>
        <w:tc>
          <w:tcPr>
            <w:tcW w:w="1276" w:type="dxa"/>
            <w:tcBorders>
              <w:bottom w:val="single" w:sz="4" w:space="0" w:color="auto"/>
            </w:tcBorders>
            <w:noWrap/>
          </w:tcPr>
          <w:p>
            <w:pPr>
              <w:pStyle w:val="yTableNAm"/>
              <w:jc w:val="center"/>
            </w:pPr>
            <w:r>
              <w:t>96 625.21</w:t>
            </w:r>
          </w:p>
        </w:tc>
        <w:tc>
          <w:tcPr>
            <w:tcW w:w="1418" w:type="dxa"/>
            <w:tcBorders>
              <w:bottom w:val="single" w:sz="4" w:space="0" w:color="auto"/>
            </w:tcBorders>
            <w:noWrap/>
            <w:vAlign w:val="bottom"/>
          </w:tcPr>
          <w:p>
            <w:pPr>
              <w:pStyle w:val="yTableNAm"/>
              <w:jc w:val="center"/>
            </w:pPr>
            <w:r>
              <w:t>0.00</w:t>
            </w:r>
          </w:p>
        </w:tc>
      </w:tr>
    </w:tbl>
    <w:p>
      <w:pPr>
        <w:pStyle w:val="ySubsection"/>
      </w:pPr>
      <w:r>
        <w:tab/>
        <w:t>(2)</w:t>
      </w:r>
      <w:r>
        <w:tab/>
        <w:t>Sub</w:t>
      </w:r>
      <w:r>
        <w:noBreakHyphen/>
        <w:t>item (1) does not apply to a connection covered by item 21.</w:t>
      </w:r>
    </w:p>
    <w:p>
      <w:pPr>
        <w:pStyle w:val="ySubsection"/>
      </w:pPr>
      <w:r>
        <w:tab/>
        <w:t>(3)</w:t>
      </w:r>
      <w:r>
        <w:tab/>
        <w:t>For concessional land in the non</w:t>
      </w:r>
      <w:r>
        <w:noBreakHyphen/>
        <w:t>metropolitan area that, although a water service is provided, is not connected to water supply works of the Water Corporation, the charge is the discounted charge set out in the Table to this sub</w:t>
      </w:r>
      <w:r>
        <w:noBreakHyphen/>
        <w:t xml:space="preserve">item. </w:t>
      </w:r>
    </w:p>
    <w:p>
      <w:pPr>
        <w:pStyle w:val="yTHeadingNAm"/>
      </w:pPr>
      <w:r>
        <w:lastRenderedPageBreak/>
        <w:t>Table of charge and discount</w:t>
      </w:r>
    </w:p>
    <w:tbl>
      <w:tblPr>
        <w:tblW w:w="3687" w:type="dxa"/>
        <w:jc w:val="center"/>
        <w:tblLayout w:type="fixed"/>
        <w:tblLook w:val="0000" w:firstRow="0" w:lastRow="0" w:firstColumn="0" w:lastColumn="0" w:noHBand="0" w:noVBand="0"/>
      </w:tblPr>
      <w:tblGrid>
        <w:gridCol w:w="1135"/>
        <w:gridCol w:w="1135"/>
        <w:gridCol w:w="1417"/>
      </w:tblGrid>
      <w:tr>
        <w:trPr>
          <w:cantSplit/>
          <w:tblHeader/>
          <w:jc w:val="center"/>
        </w:trPr>
        <w:tc>
          <w:tcPr>
            <w:tcW w:w="1135"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jc w:val="center"/>
        </w:trPr>
        <w:tc>
          <w:tcPr>
            <w:tcW w:w="1135" w:type="dxa"/>
            <w:tcBorders>
              <w:bottom w:val="single" w:sz="4" w:space="0" w:color="auto"/>
            </w:tcBorders>
            <w:noWrap/>
          </w:tcPr>
          <w:p>
            <w:pPr>
              <w:pStyle w:val="yTableNAm"/>
              <w:jc w:val="center"/>
            </w:pPr>
            <w:r>
              <w:t>315.50</w:t>
            </w:r>
          </w:p>
        </w:tc>
        <w:tc>
          <w:tcPr>
            <w:tcW w:w="1135" w:type="dxa"/>
            <w:tcBorders>
              <w:bottom w:val="single" w:sz="4" w:space="0" w:color="auto"/>
            </w:tcBorders>
            <w:noWrap/>
          </w:tcPr>
          <w:p>
            <w:pPr>
              <w:pStyle w:val="yTableNAm"/>
              <w:jc w:val="center"/>
            </w:pPr>
            <w:r>
              <w:t>315.50</w:t>
            </w:r>
          </w:p>
        </w:tc>
        <w:tc>
          <w:tcPr>
            <w:tcW w:w="1417" w:type="dxa"/>
            <w:tcBorders>
              <w:bottom w:val="single" w:sz="4" w:space="0" w:color="auto"/>
            </w:tcBorders>
            <w:noWrap/>
            <w:vAlign w:val="bottom"/>
          </w:tcPr>
          <w:p>
            <w:pPr>
              <w:pStyle w:val="yTableNAm"/>
              <w:jc w:val="center"/>
            </w:pPr>
            <w:r>
              <w:t>0.00</w:t>
            </w:r>
          </w:p>
        </w:tc>
      </w:tr>
    </w:tbl>
    <w:p>
      <w:pPr>
        <w:pStyle w:val="yHeading5"/>
      </w:pPr>
      <w:bookmarkStart w:id="402" w:name="_Toc201235705"/>
      <w:bookmarkStart w:id="403" w:name="_Toc201314519"/>
      <w:bookmarkStart w:id="404" w:name="_Toc201745883"/>
      <w:r>
        <w:rPr>
          <w:rStyle w:val="CharSClsNo"/>
        </w:rPr>
        <w:t>11</w:t>
      </w:r>
      <w:r>
        <w:t>.</w:t>
      </w:r>
      <w:r>
        <w:tab/>
        <w:t>Non</w:t>
      </w:r>
      <w:r>
        <w:noBreakHyphen/>
        <w:t>residential or commercial residential (except storage units, parking bays and certain lots in strata titles scheme or community titles scheme)</w:t>
      </w:r>
      <w:bookmarkEnd w:id="402"/>
      <w:bookmarkEnd w:id="403"/>
      <w:bookmarkEnd w:id="404"/>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must be calculated as if the land were connected and the connection metered through a 20 mm meter.</w:t>
      </w:r>
    </w:p>
    <w:p>
      <w:pPr>
        <w:pStyle w:val="yHeading5"/>
      </w:pPr>
      <w:bookmarkStart w:id="405" w:name="_Toc201235706"/>
      <w:bookmarkStart w:id="406" w:name="_Toc201314520"/>
      <w:bookmarkStart w:id="407" w:name="_Toc201745884"/>
      <w:r>
        <w:rPr>
          <w:rStyle w:val="CharSClsNo"/>
        </w:rPr>
        <w:t>12</w:t>
      </w:r>
      <w:r>
        <w:t>.</w:t>
      </w:r>
      <w:r>
        <w:tab/>
        <w:t>Additional connections</w:t>
      </w:r>
      <w:bookmarkEnd w:id="405"/>
      <w:bookmarkEnd w:id="406"/>
      <w:bookmarkEnd w:id="407"/>
    </w:p>
    <w:p>
      <w:pPr>
        <w:pStyle w:val="ySubsection"/>
      </w:pPr>
      <w:r>
        <w:tab/>
        <w:t>(1)</w:t>
      </w:r>
      <w:r>
        <w:tab/>
        <w:t>For land supplied water through more than 1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$296.89</w:t>
      </w:r>
    </w:p>
    <w:p>
      <w:pPr>
        <w:pStyle w:val="ySubsection"/>
      </w:pPr>
      <w:r>
        <w:lastRenderedPageBreak/>
        <w:tab/>
        <w:t>(2)</w:t>
      </w:r>
      <w:r>
        <w:tab/>
        <w:t>Sub</w:t>
      </w:r>
      <w:r>
        <w:noBreakHyphen/>
        <w:t>item (1) does not apply to —</w:t>
      </w:r>
    </w:p>
    <w:p>
      <w:pPr>
        <w:pStyle w:val="yIndenta"/>
      </w:pPr>
      <w:r>
        <w:tab/>
        <w:t>(a)</w:t>
      </w:r>
      <w:r>
        <w:tab/>
        <w:t>a garden service connection; or</w:t>
      </w:r>
    </w:p>
    <w:p>
      <w:pPr>
        <w:pStyle w:val="yIndenta"/>
      </w:pPr>
      <w:r>
        <w:tab/>
        <w:t>(b)</w:t>
      </w:r>
      <w:r>
        <w:tab/>
        <w:t>a connection covered by item 17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must be calculated as if the connection were metered through a meter of a size equal to the diameter of the pipe making the connection.</w:t>
      </w:r>
    </w:p>
    <w:p>
      <w:pPr>
        <w:pStyle w:val="yHeading5"/>
      </w:pPr>
      <w:bookmarkStart w:id="408" w:name="_Toc201235707"/>
      <w:bookmarkStart w:id="409" w:name="_Toc201314521"/>
      <w:bookmarkStart w:id="410" w:name="_Toc201745885"/>
      <w:r>
        <w:rPr>
          <w:rStyle w:val="CharSClsNo"/>
        </w:rPr>
        <w:t>13</w:t>
      </w:r>
      <w:r>
        <w:t>.</w:t>
      </w:r>
      <w:r>
        <w:tab/>
        <w:t>Vacant land</w:t>
      </w:r>
      <w:bookmarkEnd w:id="408"/>
      <w:bookmarkEnd w:id="409"/>
      <w:bookmarkEnd w:id="410"/>
    </w:p>
    <w:p>
      <w:pPr>
        <w:pStyle w:val="ySubsection"/>
        <w:tabs>
          <w:tab w:val="right" w:leader="dot" w:pos="6804"/>
        </w:tabs>
      </w:pPr>
      <w:r>
        <w:tab/>
      </w:r>
      <w:r>
        <w:tab/>
        <w:t xml:space="preserve">For land that is classified as vacant land, </w:t>
      </w:r>
      <w:r>
        <w:br/>
        <w:t xml:space="preserve">the charge is </w:t>
      </w:r>
      <w:r>
        <w:tab/>
        <w:t>$296.89</w:t>
      </w:r>
    </w:p>
    <w:p>
      <w:pPr>
        <w:pStyle w:val="yHeading5"/>
      </w:pPr>
      <w:bookmarkStart w:id="411" w:name="_Toc201235708"/>
      <w:bookmarkStart w:id="412" w:name="_Toc201314522"/>
      <w:bookmarkStart w:id="413" w:name="_Toc201745886"/>
      <w:r>
        <w:rPr>
          <w:rStyle w:val="CharSClsNo"/>
        </w:rPr>
        <w:t>14</w:t>
      </w:r>
      <w:r>
        <w:t>.</w:t>
      </w:r>
      <w:r>
        <w:tab/>
        <w:t>Garden service connections</w:t>
      </w:r>
      <w:bookmarkEnd w:id="411"/>
      <w:bookmarkEnd w:id="412"/>
      <w:bookmarkEnd w:id="413"/>
    </w:p>
    <w:p>
      <w:pPr>
        <w:pStyle w:val="ySubsection"/>
      </w:pPr>
      <w:r>
        <w:tab/>
        <w:t>(1)</w:t>
      </w:r>
      <w:r>
        <w:tab/>
        <w:t xml:space="preserve">For a garden service connection for water supplied to land in the suburb of Butler in the metropolitan area — </w:t>
      </w:r>
    </w:p>
    <w:p>
      <w:pPr>
        <w:pStyle w:val="yIndenta"/>
        <w:tabs>
          <w:tab w:val="right" w:leader="dot" w:pos="6804"/>
        </w:tabs>
      </w:pPr>
      <w:r>
        <w:tab/>
        <w:t>(a)</w:t>
      </w:r>
      <w:r>
        <w:tab/>
        <w:t xml:space="preserve">for land with an area of less </w:t>
      </w:r>
      <w:r>
        <w:br/>
        <w:t>than 400 m</w:t>
      </w:r>
      <w:r>
        <w:rPr>
          <w:vertAlign w:val="superscript"/>
        </w:rPr>
        <w:t>2</w:t>
      </w:r>
      <w:r>
        <w:t xml:space="preserve">, the charge is </w:t>
      </w:r>
      <w:r>
        <w:tab/>
        <w:t>$92.48</w:t>
      </w:r>
    </w:p>
    <w:p>
      <w:pPr>
        <w:pStyle w:val="yIndenta"/>
        <w:tabs>
          <w:tab w:val="right" w:leader="dot" w:pos="6804"/>
        </w:tabs>
      </w:pPr>
      <w:r>
        <w:tab/>
        <w:t>(b)</w:t>
      </w:r>
      <w:r>
        <w:tab/>
        <w:t xml:space="preserve">for land with an area equal to </w:t>
      </w:r>
      <w:r>
        <w:br/>
        <w:t>or greater than 400 m</w:t>
      </w:r>
      <w:r>
        <w:rPr>
          <w:vertAlign w:val="superscript"/>
        </w:rPr>
        <w:t>2</w:t>
      </w:r>
      <w:r>
        <w:t xml:space="preserve">, </w:t>
      </w:r>
      <w:r>
        <w:br/>
        <w:t xml:space="preserve">the charge is </w:t>
      </w:r>
      <w:r>
        <w:tab/>
        <w:t>$184.96</w:t>
      </w:r>
    </w:p>
    <w:p>
      <w:pPr>
        <w:pStyle w:val="ySubsection"/>
      </w:pPr>
      <w:r>
        <w:tab/>
        <w:t>(2)</w:t>
      </w:r>
      <w:r>
        <w:tab/>
        <w:t>The charge under sub</w:t>
      </w:r>
      <w:r>
        <w:noBreakHyphen/>
        <w:t>item (1) is in addition to any other charge applicable to the land under this Schedule.</w:t>
      </w:r>
    </w:p>
    <w:p>
      <w:pPr>
        <w:pStyle w:val="yHeading5"/>
      </w:pPr>
      <w:bookmarkStart w:id="414" w:name="_Toc201235709"/>
      <w:bookmarkStart w:id="415" w:name="_Toc201314523"/>
      <w:bookmarkStart w:id="416" w:name="_Toc201745887"/>
      <w:r>
        <w:rPr>
          <w:rStyle w:val="CharSClsNo"/>
        </w:rPr>
        <w:t>15</w:t>
      </w:r>
      <w:r>
        <w:t>.</w:t>
      </w:r>
      <w:r>
        <w:tab/>
        <w:t>Government trading organisations and non</w:t>
      </w:r>
      <w:r>
        <w:noBreakHyphen/>
        <w:t>commercial government property</w:t>
      </w:r>
      <w:bookmarkEnd w:id="414"/>
      <w:bookmarkEnd w:id="415"/>
      <w:bookmarkEnd w:id="416"/>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keepNext/>
      </w:pPr>
      <w:r>
        <w:lastRenderedPageBreak/>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must be calculated as if the connection were metered through a 20 mm meter.</w:t>
      </w:r>
    </w:p>
    <w:p>
      <w:pPr>
        <w:pStyle w:val="yHeading5"/>
      </w:pPr>
      <w:bookmarkStart w:id="417" w:name="_Toc201235710"/>
      <w:bookmarkStart w:id="418" w:name="_Toc201314524"/>
      <w:bookmarkStart w:id="419" w:name="_Toc201745888"/>
      <w:r>
        <w:rPr>
          <w:rStyle w:val="CharSClsNo"/>
        </w:rPr>
        <w:t>16</w:t>
      </w:r>
      <w:r>
        <w:t>.</w:t>
      </w:r>
      <w:r>
        <w:tab/>
        <w:t>Government trading organisations and non</w:t>
      </w:r>
      <w:r>
        <w:noBreakHyphen/>
        <w:t>commercial government property: on</w:t>
      </w:r>
      <w:r>
        <w:noBreakHyphen/>
        <w:t>supply to lessees or ships</w:t>
      </w:r>
      <w:bookmarkEnd w:id="417"/>
      <w:bookmarkEnd w:id="418"/>
      <w:bookmarkEnd w:id="419"/>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1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420" w:name="_Toc201235711"/>
      <w:bookmarkStart w:id="421" w:name="_Toc201235962"/>
      <w:bookmarkStart w:id="422" w:name="_Toc201236118"/>
      <w:bookmarkStart w:id="423" w:name="_Toc201314525"/>
      <w:bookmarkStart w:id="424" w:name="_Toc201323484"/>
      <w:bookmarkStart w:id="425" w:name="_Toc201324293"/>
      <w:bookmarkStart w:id="426" w:name="_Toc201324976"/>
      <w:bookmarkStart w:id="427" w:name="_Toc201325205"/>
      <w:bookmarkStart w:id="428" w:name="_Toc201325434"/>
      <w:bookmarkStart w:id="429" w:name="_Toc201325896"/>
      <w:bookmarkStart w:id="430" w:name="_Toc201745889"/>
      <w:r>
        <w:lastRenderedPageBreak/>
        <w:t>Subdivision 3 — Other service charges</w:t>
      </w:r>
      <w:bookmarkEnd w:id="420"/>
      <w:bookmarkEnd w:id="421"/>
      <w:bookmarkEnd w:id="422"/>
      <w:bookmarkEnd w:id="423"/>
      <w:bookmarkEnd w:id="424"/>
      <w:bookmarkEnd w:id="425"/>
      <w:bookmarkEnd w:id="426"/>
      <w:bookmarkEnd w:id="427"/>
      <w:bookmarkEnd w:id="428"/>
      <w:bookmarkEnd w:id="429"/>
      <w:bookmarkEnd w:id="430"/>
    </w:p>
    <w:p>
      <w:pPr>
        <w:pStyle w:val="yFootnoteheading"/>
        <w:keepNext/>
      </w:pPr>
      <w:bookmarkStart w:id="431" w:name="_Toc201235712"/>
      <w:bookmarkStart w:id="432" w:name="_Toc201314526"/>
      <w:r>
        <w:tab/>
        <w:t>[Heading inserted: SL 2025/101 r. 10.]</w:t>
      </w:r>
    </w:p>
    <w:p>
      <w:pPr>
        <w:pStyle w:val="yHeading5"/>
      </w:pPr>
      <w:bookmarkStart w:id="433" w:name="_Toc201745890"/>
      <w:r>
        <w:rPr>
          <w:rStyle w:val="CharSClsNo"/>
        </w:rPr>
        <w:t>17</w:t>
      </w:r>
      <w:r>
        <w:t>.</w:t>
      </w:r>
      <w:r>
        <w:tab/>
        <w:t>Farmland</w:t>
      </w:r>
      <w:bookmarkEnd w:id="431"/>
      <w:bookmarkEnd w:id="432"/>
      <w:bookmarkEnd w:id="433"/>
    </w:p>
    <w:p>
      <w:pPr>
        <w:pStyle w:val="ySubsection"/>
        <w:tabs>
          <w:tab w:val="right" w:leader="dot" w:pos="6804"/>
        </w:tabs>
      </w:pPr>
      <w:r>
        <w:tab/>
      </w:r>
      <w:r>
        <w:tab/>
        <w:t>For each water supply connection provided</w:t>
      </w:r>
      <w:r>
        <w:br/>
        <w:t xml:space="preserve">on land that is classified as farmland, </w:t>
      </w:r>
      <w:r>
        <w:br/>
        <w:t xml:space="preserve">the charge is </w:t>
      </w:r>
      <w:r>
        <w:tab/>
        <w:t>$315.50</w:t>
      </w:r>
    </w:p>
    <w:p>
      <w:pPr>
        <w:pStyle w:val="yHeading5"/>
      </w:pPr>
      <w:bookmarkStart w:id="434" w:name="_Toc201235713"/>
      <w:bookmarkStart w:id="435" w:name="_Toc201314527"/>
      <w:bookmarkStart w:id="436" w:name="_Toc201745891"/>
      <w:r>
        <w:rPr>
          <w:rStyle w:val="CharSClsNo"/>
        </w:rPr>
        <w:t>18</w:t>
      </w:r>
      <w:r>
        <w:t>.</w:t>
      </w:r>
      <w:r>
        <w:tab/>
        <w:t>Stock</w:t>
      </w:r>
      <w:bookmarkEnd w:id="434"/>
      <w:bookmarkEnd w:id="435"/>
      <w:bookmarkEnd w:id="436"/>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the charge is </w:t>
      </w:r>
      <w:r>
        <w:tab/>
        <w:t>$315.50</w:t>
      </w:r>
    </w:p>
    <w:p>
      <w:pPr>
        <w:pStyle w:val="yHeading5"/>
      </w:pPr>
      <w:bookmarkStart w:id="437" w:name="_Toc201235714"/>
      <w:bookmarkStart w:id="438" w:name="_Toc201314528"/>
      <w:bookmarkStart w:id="439" w:name="_Toc201745892"/>
      <w:r>
        <w:rPr>
          <w:rStyle w:val="CharSClsNo"/>
        </w:rPr>
        <w:t>19</w:t>
      </w:r>
      <w:r>
        <w:t>.</w:t>
      </w:r>
      <w:r>
        <w:tab/>
        <w:t>Shipping</w:t>
      </w:r>
      <w:bookmarkEnd w:id="437"/>
      <w:bookmarkEnd w:id="438"/>
      <w:bookmarkEnd w:id="439"/>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440" w:name="_Toc201235715"/>
      <w:bookmarkStart w:id="441" w:name="_Toc201314529"/>
      <w:bookmarkStart w:id="442" w:name="_Toc201745893"/>
      <w:r>
        <w:rPr>
          <w:rStyle w:val="CharSClsNo"/>
        </w:rPr>
        <w:t>20</w:t>
      </w:r>
      <w:r>
        <w:t>.</w:t>
      </w:r>
      <w:r>
        <w:tab/>
        <w:t>Local government standpipes</w:t>
      </w:r>
      <w:bookmarkEnd w:id="440"/>
      <w:bookmarkEnd w:id="441"/>
      <w:bookmarkEnd w:id="442"/>
    </w:p>
    <w:p>
      <w:pPr>
        <w:pStyle w:val="ySubsection"/>
      </w:pPr>
      <w:r>
        <w:tab/>
      </w:r>
      <w:r>
        <w:tab/>
        <w:t xml:space="preserve">For each local government standpipe, the charge is — </w:t>
      </w:r>
    </w:p>
    <w:p>
      <w:pPr>
        <w:pStyle w:val="yIndenta"/>
      </w:pPr>
      <w:r>
        <w:tab/>
        <w:t>(a)</w:t>
      </w:r>
      <w:r>
        <w:tab/>
        <w:t>if the standpipe is used solely for local government works and purposes, the discounted charge set out in the Table; and</w:t>
      </w:r>
    </w:p>
    <w:p>
      <w:pPr>
        <w:pStyle w:val="yIndenta"/>
        <w:tabs>
          <w:tab w:val="right" w:leader="dot" w:pos="6804"/>
        </w:tabs>
      </w:pPr>
      <w:r>
        <w:tab/>
        <w:t>(b)</w:t>
      </w:r>
      <w:r>
        <w:tab/>
        <w:t xml:space="preserve">in any other case </w:t>
      </w:r>
      <w:r>
        <w:tab/>
        <w:t>$315.50</w:t>
      </w:r>
    </w:p>
    <w:p>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trPr>
          <w:cantSplit/>
          <w:tblHeader/>
        </w:trPr>
        <w:tc>
          <w:tcPr>
            <w:tcW w:w="1134" w:type="dxa"/>
            <w:tcBorders>
              <w:top w:val="single" w:sz="4" w:space="0" w:color="auto"/>
              <w:bottom w:val="single" w:sz="4" w:space="0" w:color="auto"/>
            </w:tcBorders>
            <w:noWrap/>
            <w:vAlign w:val="center"/>
          </w:tcPr>
          <w:p>
            <w:pPr>
              <w:pStyle w:val="yTableNAm"/>
              <w:jc w:val="center"/>
            </w:pPr>
            <w:r>
              <w:rPr>
                <w:b/>
              </w:rPr>
              <w:t>Charge</w:t>
            </w:r>
            <w:r>
              <w:rPr>
                <w:b/>
              </w:rPr>
              <w:br/>
            </w:r>
            <w:r>
              <w:rPr>
                <w:b/>
              </w:rPr>
              <w:br/>
              <w:t>$</w:t>
            </w:r>
          </w:p>
        </w:tc>
        <w:tc>
          <w:tcPr>
            <w:tcW w:w="1136"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134" w:type="dxa"/>
            <w:tcBorders>
              <w:bottom w:val="single" w:sz="4" w:space="0" w:color="auto"/>
            </w:tcBorders>
            <w:noWrap/>
          </w:tcPr>
          <w:p>
            <w:pPr>
              <w:pStyle w:val="yTableNAm"/>
              <w:jc w:val="center"/>
            </w:pPr>
            <w:r>
              <w:t>315.50</w:t>
            </w:r>
          </w:p>
        </w:tc>
        <w:tc>
          <w:tcPr>
            <w:tcW w:w="1136" w:type="dxa"/>
            <w:tcBorders>
              <w:bottom w:val="single" w:sz="4" w:space="0" w:color="auto"/>
            </w:tcBorders>
            <w:noWrap/>
          </w:tcPr>
          <w:p>
            <w:pPr>
              <w:pStyle w:val="yTableNAm"/>
              <w:jc w:val="center"/>
            </w:pPr>
            <w:r>
              <w:t>315.50</w:t>
            </w:r>
          </w:p>
        </w:tc>
        <w:tc>
          <w:tcPr>
            <w:tcW w:w="1417" w:type="dxa"/>
            <w:tcBorders>
              <w:bottom w:val="single" w:sz="4" w:space="0" w:color="auto"/>
            </w:tcBorders>
            <w:noWrap/>
            <w:vAlign w:val="bottom"/>
          </w:tcPr>
          <w:p>
            <w:pPr>
              <w:pStyle w:val="yTableNAm"/>
              <w:jc w:val="center"/>
            </w:pPr>
            <w:r>
              <w:t>0.00</w:t>
            </w:r>
          </w:p>
        </w:tc>
      </w:tr>
    </w:tbl>
    <w:p>
      <w:pPr>
        <w:pStyle w:val="yHeading5"/>
      </w:pPr>
      <w:bookmarkStart w:id="443" w:name="_Toc201235716"/>
      <w:bookmarkStart w:id="444" w:name="_Toc201314530"/>
      <w:bookmarkStart w:id="445" w:name="_Toc201745894"/>
      <w:r>
        <w:rPr>
          <w:rStyle w:val="CharSClsNo"/>
        </w:rPr>
        <w:t>21</w:t>
      </w:r>
      <w:r>
        <w:t>.</w:t>
      </w:r>
      <w:r>
        <w:tab/>
        <w:t>Fire service connections</w:t>
      </w:r>
      <w:bookmarkEnd w:id="443"/>
      <w:bookmarkEnd w:id="444"/>
      <w:bookmarkEnd w:id="445"/>
    </w:p>
    <w:p>
      <w:pPr>
        <w:pStyle w:val="ySubsection"/>
        <w:tabs>
          <w:tab w:val="right" w:leader="dot" w:pos="6804"/>
        </w:tabs>
      </w:pPr>
      <w:r>
        <w:tab/>
      </w:r>
      <w:r>
        <w:tab/>
        <w:t xml:space="preserve">For a fire service connection, the charge is </w:t>
      </w:r>
      <w:r>
        <w:tab/>
        <w:t>$315.50</w:t>
      </w:r>
    </w:p>
    <w:p>
      <w:pPr>
        <w:pStyle w:val="yFootnotesection"/>
      </w:pPr>
      <w:bookmarkStart w:id="446" w:name="_Toc201235717"/>
      <w:bookmarkStart w:id="447" w:name="_Toc201235968"/>
      <w:bookmarkStart w:id="448" w:name="_Toc201236124"/>
      <w:bookmarkStart w:id="449" w:name="_Toc201314531"/>
      <w:r>
        <w:tab/>
        <w:t>[Division 1 inserted: SL 2025/101 r. 10.]</w:t>
      </w:r>
    </w:p>
    <w:p>
      <w:pPr>
        <w:pStyle w:val="yHeading3"/>
      </w:pPr>
      <w:bookmarkStart w:id="450" w:name="_Toc201323490"/>
      <w:bookmarkStart w:id="451" w:name="_Toc201324299"/>
      <w:bookmarkStart w:id="452" w:name="_Toc201324982"/>
      <w:bookmarkStart w:id="453" w:name="_Toc201325211"/>
      <w:bookmarkStart w:id="454" w:name="_Toc201325440"/>
      <w:bookmarkStart w:id="455" w:name="_Toc201325902"/>
      <w:bookmarkStart w:id="456" w:name="_Toc201745895"/>
      <w:r>
        <w:rPr>
          <w:rStyle w:val="CharSDivNo"/>
        </w:rPr>
        <w:lastRenderedPageBreak/>
        <w:t>Division 2</w:t>
      </w:r>
      <w:r>
        <w:t> — </w:t>
      </w:r>
      <w:r>
        <w:rPr>
          <w:rStyle w:val="CharSDivText"/>
        </w:rPr>
        <w:t>Consumption charges</w:t>
      </w:r>
      <w:bookmarkEnd w:id="446"/>
      <w:bookmarkEnd w:id="447"/>
      <w:bookmarkEnd w:id="448"/>
      <w:bookmarkEnd w:id="449"/>
      <w:bookmarkEnd w:id="450"/>
      <w:bookmarkEnd w:id="451"/>
      <w:bookmarkEnd w:id="452"/>
      <w:bookmarkEnd w:id="453"/>
      <w:bookmarkEnd w:id="454"/>
      <w:bookmarkEnd w:id="455"/>
      <w:bookmarkEnd w:id="456"/>
    </w:p>
    <w:p>
      <w:pPr>
        <w:pStyle w:val="yFootnoteheading"/>
      </w:pPr>
      <w:bookmarkStart w:id="457" w:name="_Toc201235718"/>
      <w:bookmarkStart w:id="458" w:name="_Toc201235969"/>
      <w:bookmarkStart w:id="459" w:name="_Toc201236125"/>
      <w:bookmarkStart w:id="460" w:name="_Toc201314532"/>
      <w:r>
        <w:tab/>
        <w:t>[Heading inserted: SL 2025/101 r. 10.]</w:t>
      </w:r>
    </w:p>
    <w:p>
      <w:pPr>
        <w:pStyle w:val="yHeading4"/>
      </w:pPr>
      <w:bookmarkStart w:id="461" w:name="_Toc201323491"/>
      <w:bookmarkStart w:id="462" w:name="_Toc201324300"/>
      <w:bookmarkStart w:id="463" w:name="_Toc201324983"/>
      <w:bookmarkStart w:id="464" w:name="_Toc201325212"/>
      <w:bookmarkStart w:id="465" w:name="_Toc201325441"/>
      <w:bookmarkStart w:id="466" w:name="_Toc201325903"/>
      <w:bookmarkStart w:id="467" w:name="_Toc201745896"/>
      <w:r>
        <w:t>Subdivision 1 — Preliminary</w:t>
      </w:r>
      <w:bookmarkEnd w:id="457"/>
      <w:bookmarkEnd w:id="458"/>
      <w:bookmarkEnd w:id="459"/>
      <w:bookmarkEnd w:id="460"/>
      <w:bookmarkEnd w:id="461"/>
      <w:bookmarkEnd w:id="462"/>
      <w:bookmarkEnd w:id="463"/>
      <w:bookmarkEnd w:id="464"/>
      <w:bookmarkEnd w:id="465"/>
      <w:bookmarkEnd w:id="466"/>
      <w:bookmarkEnd w:id="467"/>
    </w:p>
    <w:p>
      <w:pPr>
        <w:pStyle w:val="yFootnoteheading"/>
      </w:pPr>
      <w:bookmarkStart w:id="468" w:name="_Toc201235719"/>
      <w:bookmarkStart w:id="469" w:name="_Toc201314533"/>
      <w:r>
        <w:tab/>
        <w:t>[Heading inserted: SL 2025/101 r. 10.]</w:t>
      </w:r>
    </w:p>
    <w:p>
      <w:pPr>
        <w:pStyle w:val="yHeading5"/>
      </w:pPr>
      <w:bookmarkStart w:id="470" w:name="_Toc201745897"/>
      <w:r>
        <w:rPr>
          <w:rStyle w:val="CharSClsNo"/>
        </w:rPr>
        <w:t>22</w:t>
      </w:r>
      <w:r>
        <w:t>.</w:t>
      </w:r>
      <w:r>
        <w:tab/>
        <w:t>Consumption charges for 2025/26 and subsequent years</w:t>
      </w:r>
      <w:bookmarkEnd w:id="468"/>
      <w:bookmarkEnd w:id="469"/>
      <w:bookmarkEnd w:id="470"/>
    </w:p>
    <w:p>
      <w:pPr>
        <w:pStyle w:val="ySubsection"/>
      </w:pPr>
      <w:r>
        <w:tab/>
        <w:t>(1)</w:t>
      </w:r>
      <w:r>
        <w:tab/>
        <w:t>The charges set out in this Division apply for water supplied in the 2025/26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471" w:name="_Toc201235720"/>
      <w:bookmarkStart w:id="472" w:name="_Toc201314534"/>
      <w:bookmarkStart w:id="473" w:name="_Toc201745898"/>
      <w:r>
        <w:rPr>
          <w:rStyle w:val="CharSClsNo"/>
        </w:rPr>
        <w:t>23</w:t>
      </w:r>
      <w:r>
        <w:t>.</w:t>
      </w:r>
      <w:r>
        <w:tab/>
        <w:t>Residential or non</w:t>
      </w:r>
      <w:r>
        <w:noBreakHyphen/>
        <w:t>residential class of town or area</w:t>
      </w:r>
      <w:bookmarkEnd w:id="471"/>
      <w:bookmarkEnd w:id="472"/>
      <w:bookmarkEnd w:id="473"/>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474" w:name="_Toc201235721"/>
      <w:bookmarkStart w:id="475" w:name="_Toc201314535"/>
      <w:bookmarkStart w:id="476" w:name="_Toc201745899"/>
      <w:r>
        <w:rPr>
          <w:rStyle w:val="CharSClsNo"/>
        </w:rPr>
        <w:t>24</w:t>
      </w:r>
      <w:r>
        <w:t>.</w:t>
      </w:r>
      <w:r>
        <w:tab/>
        <w:t>Table of class</w:t>
      </w:r>
      <w:r>
        <w:noBreakHyphen/>
        <w:t>based charges</w:t>
      </w:r>
      <w:bookmarkEnd w:id="474"/>
      <w:bookmarkEnd w:id="475"/>
      <w:bookmarkEnd w:id="476"/>
    </w:p>
    <w:p>
      <w:pPr>
        <w:pStyle w:val="ySubsection"/>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2197" w:type="dxa"/>
            <w:tcBorders>
              <w:top w:val="single" w:sz="4" w:space="0" w:color="auto"/>
              <w:bottom w:val="single" w:sz="4" w:space="0" w:color="auto"/>
            </w:tcBorders>
            <w:noWrap/>
            <w:vAlign w:val="center"/>
          </w:tcPr>
          <w:p>
            <w:pPr>
              <w:pStyle w:val="yTableNAm"/>
              <w:jc w:val="center"/>
            </w:pPr>
            <w:r>
              <w:rPr>
                <w:b/>
              </w:rPr>
              <w:t>Class</w:t>
            </w:r>
          </w:p>
        </w:tc>
        <w:tc>
          <w:tcPr>
            <w:tcW w:w="2198" w:type="dxa"/>
            <w:tcBorders>
              <w:top w:val="single" w:sz="4" w:space="0" w:color="auto"/>
              <w:bottom w:val="single" w:sz="4" w:space="0" w:color="auto"/>
            </w:tcBorders>
            <w:noWrap/>
          </w:tcPr>
          <w:p>
            <w:pPr>
              <w:pStyle w:val="yTableNAm"/>
              <w:jc w:val="center"/>
            </w:pPr>
            <w:r>
              <w:rPr>
                <w:b/>
              </w:rPr>
              <w:t>Charge (cents)</w:t>
            </w:r>
          </w:p>
        </w:tc>
      </w:tr>
      <w:tr>
        <w:trPr>
          <w:cantSplit/>
        </w:trPr>
        <w:tc>
          <w:tcPr>
            <w:tcW w:w="2197" w:type="dxa"/>
            <w:tcBorders>
              <w:top w:val="single" w:sz="4" w:space="0" w:color="auto"/>
            </w:tcBorders>
            <w:noWrap/>
            <w:vAlign w:val="center"/>
          </w:tcPr>
          <w:p>
            <w:pPr>
              <w:pStyle w:val="yTableNAm"/>
              <w:jc w:val="center"/>
            </w:pPr>
            <w:r>
              <w:t>1</w:t>
            </w:r>
          </w:p>
        </w:tc>
        <w:tc>
          <w:tcPr>
            <w:tcW w:w="2198" w:type="dxa"/>
            <w:tcBorders>
              <w:top w:val="single" w:sz="4" w:space="0" w:color="auto"/>
            </w:tcBorders>
            <w:noWrap/>
          </w:tcPr>
          <w:p>
            <w:pPr>
              <w:pStyle w:val="yTableNAm"/>
              <w:jc w:val="center"/>
            </w:pPr>
            <w:r>
              <w:t>301.2</w:t>
            </w:r>
          </w:p>
        </w:tc>
      </w:tr>
      <w:tr>
        <w:trPr>
          <w:cantSplit/>
        </w:trPr>
        <w:tc>
          <w:tcPr>
            <w:tcW w:w="2197" w:type="dxa"/>
            <w:noWrap/>
            <w:vAlign w:val="center"/>
          </w:tcPr>
          <w:p>
            <w:pPr>
              <w:pStyle w:val="yTableNAm"/>
              <w:jc w:val="center"/>
            </w:pPr>
            <w:r>
              <w:t>2</w:t>
            </w:r>
          </w:p>
        </w:tc>
        <w:tc>
          <w:tcPr>
            <w:tcW w:w="2198" w:type="dxa"/>
            <w:noWrap/>
          </w:tcPr>
          <w:p>
            <w:pPr>
              <w:pStyle w:val="yTableNAm"/>
              <w:jc w:val="center"/>
            </w:pPr>
            <w:r>
              <w:t>328.2</w:t>
            </w:r>
          </w:p>
        </w:tc>
      </w:tr>
      <w:tr>
        <w:trPr>
          <w:cantSplit/>
        </w:trPr>
        <w:tc>
          <w:tcPr>
            <w:tcW w:w="2197" w:type="dxa"/>
            <w:noWrap/>
            <w:vAlign w:val="center"/>
          </w:tcPr>
          <w:p>
            <w:pPr>
              <w:pStyle w:val="yTableNAm"/>
              <w:jc w:val="center"/>
            </w:pPr>
            <w:r>
              <w:t>3</w:t>
            </w:r>
          </w:p>
        </w:tc>
        <w:tc>
          <w:tcPr>
            <w:tcW w:w="2198" w:type="dxa"/>
            <w:noWrap/>
          </w:tcPr>
          <w:p>
            <w:pPr>
              <w:pStyle w:val="yTableNAm"/>
              <w:jc w:val="center"/>
            </w:pPr>
            <w:r>
              <w:t>357.0</w:t>
            </w:r>
          </w:p>
        </w:tc>
      </w:tr>
      <w:tr>
        <w:trPr>
          <w:cantSplit/>
        </w:trPr>
        <w:tc>
          <w:tcPr>
            <w:tcW w:w="2197" w:type="dxa"/>
            <w:noWrap/>
            <w:vAlign w:val="center"/>
          </w:tcPr>
          <w:p>
            <w:pPr>
              <w:pStyle w:val="yTableNAm"/>
              <w:jc w:val="center"/>
            </w:pPr>
            <w:r>
              <w:t>4</w:t>
            </w:r>
          </w:p>
        </w:tc>
        <w:tc>
          <w:tcPr>
            <w:tcW w:w="2198" w:type="dxa"/>
            <w:noWrap/>
          </w:tcPr>
          <w:p>
            <w:pPr>
              <w:pStyle w:val="yTableNAm"/>
              <w:jc w:val="center"/>
            </w:pPr>
            <w:r>
              <w:t>389.0</w:t>
            </w:r>
          </w:p>
        </w:tc>
      </w:tr>
      <w:tr>
        <w:trPr>
          <w:cantSplit/>
        </w:trPr>
        <w:tc>
          <w:tcPr>
            <w:tcW w:w="2197" w:type="dxa"/>
            <w:noWrap/>
            <w:vAlign w:val="center"/>
          </w:tcPr>
          <w:p>
            <w:pPr>
              <w:pStyle w:val="yTableNAm"/>
              <w:jc w:val="center"/>
            </w:pPr>
            <w:r>
              <w:t>5</w:t>
            </w:r>
          </w:p>
        </w:tc>
        <w:tc>
          <w:tcPr>
            <w:tcW w:w="2198" w:type="dxa"/>
            <w:noWrap/>
          </w:tcPr>
          <w:p>
            <w:pPr>
              <w:pStyle w:val="yTableNAm"/>
              <w:jc w:val="center"/>
            </w:pPr>
            <w:r>
              <w:t>423.6</w:t>
            </w:r>
          </w:p>
        </w:tc>
      </w:tr>
      <w:tr>
        <w:trPr>
          <w:cantSplit/>
        </w:trPr>
        <w:tc>
          <w:tcPr>
            <w:tcW w:w="2197" w:type="dxa"/>
            <w:noWrap/>
            <w:vAlign w:val="center"/>
          </w:tcPr>
          <w:p>
            <w:pPr>
              <w:pStyle w:val="yTableNAm"/>
              <w:jc w:val="center"/>
            </w:pPr>
            <w:r>
              <w:t>6</w:t>
            </w:r>
          </w:p>
        </w:tc>
        <w:tc>
          <w:tcPr>
            <w:tcW w:w="2198" w:type="dxa"/>
            <w:noWrap/>
          </w:tcPr>
          <w:p>
            <w:pPr>
              <w:pStyle w:val="yTableNAm"/>
              <w:jc w:val="center"/>
            </w:pPr>
            <w:r>
              <w:t>461.1</w:t>
            </w:r>
          </w:p>
        </w:tc>
      </w:tr>
      <w:tr>
        <w:trPr>
          <w:cantSplit/>
        </w:trPr>
        <w:tc>
          <w:tcPr>
            <w:tcW w:w="2197" w:type="dxa"/>
            <w:noWrap/>
            <w:vAlign w:val="center"/>
          </w:tcPr>
          <w:p>
            <w:pPr>
              <w:pStyle w:val="yTableNAm"/>
              <w:jc w:val="center"/>
            </w:pPr>
            <w:r>
              <w:t>7</w:t>
            </w:r>
          </w:p>
        </w:tc>
        <w:tc>
          <w:tcPr>
            <w:tcW w:w="2198" w:type="dxa"/>
            <w:noWrap/>
          </w:tcPr>
          <w:p>
            <w:pPr>
              <w:pStyle w:val="yTableNAm"/>
              <w:jc w:val="center"/>
            </w:pPr>
            <w:r>
              <w:t>502.5</w:t>
            </w:r>
          </w:p>
        </w:tc>
      </w:tr>
      <w:tr>
        <w:trPr>
          <w:cantSplit/>
        </w:trPr>
        <w:tc>
          <w:tcPr>
            <w:tcW w:w="2197" w:type="dxa"/>
            <w:noWrap/>
            <w:vAlign w:val="center"/>
          </w:tcPr>
          <w:p>
            <w:pPr>
              <w:pStyle w:val="yTableNAm"/>
              <w:jc w:val="center"/>
            </w:pPr>
            <w:r>
              <w:t>8</w:t>
            </w:r>
          </w:p>
        </w:tc>
        <w:tc>
          <w:tcPr>
            <w:tcW w:w="2198" w:type="dxa"/>
            <w:noWrap/>
          </w:tcPr>
          <w:p>
            <w:pPr>
              <w:pStyle w:val="yTableNAm"/>
              <w:jc w:val="center"/>
            </w:pPr>
            <w:r>
              <w:t>546.9</w:t>
            </w:r>
          </w:p>
        </w:tc>
      </w:tr>
      <w:tr>
        <w:trPr>
          <w:cantSplit/>
        </w:trPr>
        <w:tc>
          <w:tcPr>
            <w:tcW w:w="2197" w:type="dxa"/>
            <w:noWrap/>
            <w:vAlign w:val="center"/>
          </w:tcPr>
          <w:p>
            <w:pPr>
              <w:pStyle w:val="yTableNAm"/>
              <w:jc w:val="center"/>
            </w:pPr>
            <w:r>
              <w:lastRenderedPageBreak/>
              <w:t>9</w:t>
            </w:r>
          </w:p>
        </w:tc>
        <w:tc>
          <w:tcPr>
            <w:tcW w:w="2198" w:type="dxa"/>
            <w:noWrap/>
          </w:tcPr>
          <w:p>
            <w:pPr>
              <w:pStyle w:val="yTableNAm"/>
              <w:jc w:val="center"/>
            </w:pPr>
            <w:r>
              <w:t>595.6</w:t>
            </w:r>
          </w:p>
        </w:tc>
      </w:tr>
      <w:tr>
        <w:trPr>
          <w:cantSplit/>
        </w:trPr>
        <w:tc>
          <w:tcPr>
            <w:tcW w:w="2197" w:type="dxa"/>
            <w:noWrap/>
            <w:vAlign w:val="center"/>
          </w:tcPr>
          <w:p>
            <w:pPr>
              <w:pStyle w:val="yTableNAm"/>
              <w:jc w:val="center"/>
            </w:pPr>
            <w:r>
              <w:t>10</w:t>
            </w:r>
          </w:p>
        </w:tc>
        <w:tc>
          <w:tcPr>
            <w:tcW w:w="2198" w:type="dxa"/>
            <w:noWrap/>
          </w:tcPr>
          <w:p>
            <w:pPr>
              <w:pStyle w:val="yTableNAm"/>
              <w:jc w:val="center"/>
            </w:pPr>
            <w:r>
              <w:t>648.6</w:t>
            </w:r>
          </w:p>
        </w:tc>
      </w:tr>
      <w:tr>
        <w:trPr>
          <w:cantSplit/>
        </w:trPr>
        <w:tc>
          <w:tcPr>
            <w:tcW w:w="2197" w:type="dxa"/>
            <w:noWrap/>
            <w:vAlign w:val="center"/>
          </w:tcPr>
          <w:p>
            <w:pPr>
              <w:pStyle w:val="yTableNAm"/>
              <w:jc w:val="center"/>
            </w:pPr>
            <w:r>
              <w:t>11</w:t>
            </w:r>
          </w:p>
        </w:tc>
        <w:tc>
          <w:tcPr>
            <w:tcW w:w="2198" w:type="dxa"/>
            <w:noWrap/>
          </w:tcPr>
          <w:p>
            <w:pPr>
              <w:pStyle w:val="yTableNAm"/>
              <w:jc w:val="center"/>
            </w:pPr>
            <w:r>
              <w:t>706.1</w:t>
            </w:r>
          </w:p>
        </w:tc>
      </w:tr>
      <w:tr>
        <w:trPr>
          <w:cantSplit/>
        </w:trPr>
        <w:tc>
          <w:tcPr>
            <w:tcW w:w="2197" w:type="dxa"/>
            <w:noWrap/>
            <w:vAlign w:val="center"/>
          </w:tcPr>
          <w:p>
            <w:pPr>
              <w:pStyle w:val="yTableNAm"/>
              <w:jc w:val="center"/>
            </w:pPr>
            <w:r>
              <w:t>12</w:t>
            </w:r>
          </w:p>
        </w:tc>
        <w:tc>
          <w:tcPr>
            <w:tcW w:w="2198" w:type="dxa"/>
            <w:noWrap/>
          </w:tcPr>
          <w:p>
            <w:pPr>
              <w:pStyle w:val="yTableNAm"/>
              <w:jc w:val="center"/>
            </w:pPr>
            <w:r>
              <w:t>769.1</w:t>
            </w:r>
          </w:p>
        </w:tc>
      </w:tr>
      <w:tr>
        <w:trPr>
          <w:cantSplit/>
        </w:trPr>
        <w:tc>
          <w:tcPr>
            <w:tcW w:w="2197" w:type="dxa"/>
            <w:noWrap/>
            <w:vAlign w:val="center"/>
          </w:tcPr>
          <w:p>
            <w:pPr>
              <w:pStyle w:val="yTableNAm"/>
              <w:jc w:val="center"/>
            </w:pPr>
            <w:r>
              <w:t>13</w:t>
            </w:r>
          </w:p>
        </w:tc>
        <w:tc>
          <w:tcPr>
            <w:tcW w:w="2198" w:type="dxa"/>
            <w:noWrap/>
          </w:tcPr>
          <w:p>
            <w:pPr>
              <w:pStyle w:val="yTableNAm"/>
              <w:jc w:val="center"/>
            </w:pPr>
            <w:r>
              <w:t>837.4</w:t>
            </w:r>
          </w:p>
        </w:tc>
      </w:tr>
      <w:tr>
        <w:trPr>
          <w:cantSplit/>
        </w:trPr>
        <w:tc>
          <w:tcPr>
            <w:tcW w:w="2197" w:type="dxa"/>
            <w:noWrap/>
            <w:vAlign w:val="center"/>
          </w:tcPr>
          <w:p>
            <w:pPr>
              <w:pStyle w:val="yTableNAm"/>
              <w:jc w:val="center"/>
            </w:pPr>
            <w:r>
              <w:t>14</w:t>
            </w:r>
          </w:p>
        </w:tc>
        <w:tc>
          <w:tcPr>
            <w:tcW w:w="2198" w:type="dxa"/>
            <w:noWrap/>
          </w:tcPr>
          <w:p>
            <w:pPr>
              <w:pStyle w:val="yTableNAm"/>
              <w:jc w:val="center"/>
            </w:pPr>
            <w:r>
              <w:t>912.1</w:t>
            </w:r>
          </w:p>
        </w:tc>
      </w:tr>
      <w:tr>
        <w:trPr>
          <w:cantSplit/>
        </w:trPr>
        <w:tc>
          <w:tcPr>
            <w:tcW w:w="2197" w:type="dxa"/>
            <w:tcBorders>
              <w:bottom w:val="single" w:sz="4" w:space="0" w:color="auto"/>
            </w:tcBorders>
            <w:noWrap/>
            <w:vAlign w:val="center"/>
          </w:tcPr>
          <w:p>
            <w:pPr>
              <w:pStyle w:val="yTableNAm"/>
              <w:jc w:val="center"/>
            </w:pPr>
            <w:r>
              <w:t>15</w:t>
            </w:r>
          </w:p>
        </w:tc>
        <w:tc>
          <w:tcPr>
            <w:tcW w:w="2198" w:type="dxa"/>
            <w:tcBorders>
              <w:bottom w:val="single" w:sz="4" w:space="0" w:color="auto"/>
            </w:tcBorders>
            <w:noWrap/>
          </w:tcPr>
          <w:p>
            <w:pPr>
              <w:pStyle w:val="yTableNAm"/>
              <w:jc w:val="center"/>
            </w:pPr>
            <w:r>
              <w:t>992.9</w:t>
            </w:r>
          </w:p>
        </w:tc>
      </w:tr>
    </w:tbl>
    <w:p>
      <w:pPr>
        <w:pStyle w:val="yHeading4"/>
      </w:pPr>
      <w:bookmarkStart w:id="477" w:name="_Toc201235722"/>
      <w:bookmarkStart w:id="478" w:name="_Toc201235973"/>
      <w:bookmarkStart w:id="479" w:name="_Toc201236129"/>
      <w:bookmarkStart w:id="480" w:name="_Toc201314536"/>
      <w:bookmarkStart w:id="481" w:name="_Toc201323495"/>
      <w:bookmarkStart w:id="482" w:name="_Toc201324304"/>
      <w:bookmarkStart w:id="483" w:name="_Toc201324987"/>
      <w:bookmarkStart w:id="484" w:name="_Toc201325216"/>
      <w:bookmarkStart w:id="485" w:name="_Toc201325445"/>
      <w:bookmarkStart w:id="486" w:name="_Toc201325907"/>
      <w:bookmarkStart w:id="487" w:name="_Toc201745900"/>
      <w:r>
        <w:t>Subdivision 2 — Consumption charges that apply to land</w:t>
      </w:r>
      <w:bookmarkEnd w:id="477"/>
      <w:bookmarkEnd w:id="478"/>
      <w:bookmarkEnd w:id="479"/>
      <w:bookmarkEnd w:id="480"/>
      <w:bookmarkEnd w:id="481"/>
      <w:bookmarkEnd w:id="482"/>
      <w:bookmarkEnd w:id="483"/>
      <w:bookmarkEnd w:id="484"/>
      <w:bookmarkEnd w:id="485"/>
      <w:bookmarkEnd w:id="486"/>
      <w:bookmarkEnd w:id="487"/>
    </w:p>
    <w:p>
      <w:pPr>
        <w:pStyle w:val="yFootnoteheading"/>
        <w:keepNext/>
      </w:pPr>
      <w:bookmarkStart w:id="488" w:name="_Toc201235723"/>
      <w:bookmarkStart w:id="489" w:name="_Toc201314537"/>
      <w:r>
        <w:tab/>
        <w:t>[Heading inserted: SL 2025/101 r. 10.]</w:t>
      </w:r>
    </w:p>
    <w:p>
      <w:pPr>
        <w:pStyle w:val="yHeading5"/>
      </w:pPr>
      <w:bookmarkStart w:id="490" w:name="_Toc201745901"/>
      <w:r>
        <w:rPr>
          <w:rStyle w:val="CharSClsNo"/>
        </w:rPr>
        <w:t>25</w:t>
      </w:r>
      <w:r>
        <w:t>.</w:t>
      </w:r>
      <w:r>
        <w:tab/>
        <w:t>Metropolitan residential and semi</w:t>
      </w:r>
      <w:r>
        <w:noBreakHyphen/>
        <w:t>rural residential</w:t>
      </w:r>
      <w:bookmarkEnd w:id="488"/>
      <w:bookmarkEnd w:id="489"/>
      <w:bookmarkEnd w:id="490"/>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keepNext/>
      </w:pPr>
      <w:r>
        <w:tab/>
        <w:t>(c)</w:t>
      </w:r>
      <w:r>
        <w:tab/>
        <w:t>a semi</w:t>
      </w:r>
      <w:r>
        <w:noBreakHyphen/>
        <w:t>rural residential property,</w:t>
      </w:r>
    </w:p>
    <w:p>
      <w:pPr>
        <w:pStyle w:val="ySubsection"/>
      </w:pPr>
      <w:r>
        <w:tab/>
      </w:r>
      <w:r>
        <w:tab/>
        <w:t xml:space="preserve">the charge is — </w:t>
      </w:r>
    </w:p>
    <w:p>
      <w:pPr>
        <w:pStyle w:val="yMiscellaneousBody"/>
        <w:tabs>
          <w:tab w:val="right" w:leader="dot" w:pos="6804"/>
        </w:tabs>
        <w:ind w:left="1701" w:right="284" w:hanging="1134"/>
      </w:pPr>
      <w:r>
        <w:tab/>
        <w:t xml:space="preserve">up to 150 kL </w:t>
      </w:r>
      <w:r>
        <w:tab/>
        <w:t>205.2 cents</w:t>
      </w:r>
    </w:p>
    <w:p>
      <w:pPr>
        <w:pStyle w:val="yMiscellaneousBody"/>
        <w:tabs>
          <w:tab w:val="right" w:leader="dot" w:pos="6804"/>
        </w:tabs>
        <w:ind w:left="1701" w:right="284" w:hanging="1134"/>
      </w:pPr>
      <w:r>
        <w:tab/>
        <w:t xml:space="preserve">over 150 but not over 500 kL </w:t>
      </w:r>
      <w:r>
        <w:tab/>
        <w:t>273.4 cents</w:t>
      </w:r>
    </w:p>
    <w:p>
      <w:pPr>
        <w:pStyle w:val="yMiscellaneousBody"/>
        <w:tabs>
          <w:tab w:val="right" w:leader="dot" w:pos="6804"/>
        </w:tabs>
        <w:ind w:left="1701" w:right="284" w:hanging="1134"/>
      </w:pPr>
      <w:r>
        <w:tab/>
        <w:t xml:space="preserve">over 500 kL </w:t>
      </w:r>
      <w:r>
        <w:tab/>
        <w:t>511.5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491" w:name="_Toc201235724"/>
      <w:bookmarkStart w:id="492" w:name="_Toc201314538"/>
      <w:bookmarkStart w:id="493" w:name="_Toc201745902"/>
      <w:r>
        <w:rPr>
          <w:rStyle w:val="CharSClsNo"/>
        </w:rPr>
        <w:t>26</w:t>
      </w:r>
      <w:r>
        <w:t>.</w:t>
      </w:r>
      <w:r>
        <w:tab/>
        <w:t>Metropolitan non</w:t>
      </w:r>
      <w:r>
        <w:noBreakHyphen/>
        <w:t>residential</w:t>
      </w:r>
      <w:bookmarkEnd w:id="491"/>
      <w:bookmarkEnd w:id="492"/>
      <w:bookmarkEnd w:id="493"/>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lastRenderedPageBreak/>
        <w:tab/>
        <w:t>(a)</w:t>
      </w:r>
      <w:r>
        <w:tab/>
        <w:t>if the land is classified as commercial residential —</w:t>
      </w:r>
    </w:p>
    <w:p>
      <w:pPr>
        <w:pStyle w:val="yMiscellaneousBody"/>
        <w:tabs>
          <w:tab w:val="right" w:leader="dot" w:pos="6804"/>
        </w:tabs>
        <w:ind w:left="1984" w:right="284" w:hanging="289"/>
      </w:pPr>
      <w:r>
        <w:t xml:space="preserve">up to 150 kL </w:t>
      </w:r>
      <w:r>
        <w:tab/>
        <w:t>205.2 cents</w:t>
      </w:r>
    </w:p>
    <w:p>
      <w:pPr>
        <w:pStyle w:val="yMiscellaneousBody"/>
        <w:tabs>
          <w:tab w:val="right" w:leader="dot" w:pos="6804"/>
        </w:tabs>
        <w:ind w:left="1984" w:right="284" w:hanging="289"/>
      </w:pPr>
      <w:r>
        <w:t xml:space="preserve">over 150 kL </w:t>
      </w:r>
      <w:r>
        <w:tab/>
        <w:t>292.1 cents</w:t>
      </w:r>
    </w:p>
    <w:p>
      <w:pPr>
        <w:pStyle w:val="yIndenta"/>
        <w:tabs>
          <w:tab w:val="right" w:leader="dot" w:pos="6804"/>
        </w:tabs>
      </w:pPr>
      <w:r>
        <w:tab/>
        <w:t>(b)</w:t>
      </w:r>
      <w:r>
        <w:tab/>
        <w:t xml:space="preserve">if paragraph (a) does not apply </w:t>
      </w:r>
      <w:r>
        <w:tab/>
        <w:t>292.1 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94" w:name="_Toc201235725"/>
      <w:bookmarkStart w:id="495" w:name="_Toc201314539"/>
      <w:bookmarkStart w:id="496" w:name="_Toc201745903"/>
      <w:r>
        <w:rPr>
          <w:rStyle w:val="CharSClsNo"/>
        </w:rPr>
        <w:t>27</w:t>
      </w:r>
      <w:r>
        <w:t>.</w:t>
      </w:r>
      <w:r>
        <w:tab/>
        <w:t>Metropolitan non</w:t>
      </w:r>
      <w:r>
        <w:noBreakHyphen/>
        <w:t>residential concessional</w:t>
      </w:r>
      <w:bookmarkEnd w:id="494"/>
      <w:bookmarkEnd w:id="495"/>
      <w:bookmarkEnd w:id="496"/>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292.1 cents</w:t>
      </w:r>
    </w:p>
    <w:p>
      <w:pPr>
        <w:pStyle w:val="ySubsection"/>
      </w:pPr>
      <w:r>
        <w:tab/>
        <w:t>(2)</w:t>
      </w:r>
      <w:r>
        <w:tab/>
        <w:t>Sub</w:t>
      </w:r>
      <w:r>
        <w:noBreakHyphen/>
        <w:t>item (1) does not apply if the supply of water is covered by item 37.</w:t>
      </w:r>
    </w:p>
    <w:p>
      <w:pPr>
        <w:pStyle w:val="yHeading5"/>
      </w:pPr>
      <w:bookmarkStart w:id="497" w:name="_Toc201235726"/>
      <w:bookmarkStart w:id="498" w:name="_Toc201314540"/>
      <w:bookmarkStart w:id="499" w:name="_Toc201745904"/>
      <w:r>
        <w:rPr>
          <w:rStyle w:val="CharSClsNo"/>
        </w:rPr>
        <w:t>28</w:t>
      </w:r>
      <w:r>
        <w:t>.</w:t>
      </w:r>
      <w:r>
        <w:tab/>
        <w:t>Community residential</w:t>
      </w:r>
      <w:bookmarkEnd w:id="497"/>
      <w:bookmarkEnd w:id="498"/>
      <w:bookmarkEnd w:id="499"/>
    </w:p>
    <w:p>
      <w:pPr>
        <w:pStyle w:val="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t>102.6 cents</w:t>
      </w:r>
    </w:p>
    <w:p>
      <w:pPr>
        <w:pStyle w:val="yHeading5"/>
      </w:pPr>
      <w:bookmarkStart w:id="500" w:name="_Toc201235727"/>
      <w:bookmarkStart w:id="501" w:name="_Toc201314541"/>
      <w:bookmarkStart w:id="502" w:name="_Toc201745905"/>
      <w:r>
        <w:rPr>
          <w:rStyle w:val="CharSClsNo"/>
        </w:rPr>
        <w:t>29</w:t>
      </w:r>
      <w:r>
        <w:t>.</w:t>
      </w:r>
      <w:r>
        <w:tab/>
        <w:t>Non</w:t>
      </w:r>
      <w:r>
        <w:noBreakHyphen/>
        <w:t>metropolitan residential</w:t>
      </w:r>
      <w:bookmarkEnd w:id="500"/>
      <w:bookmarkEnd w:id="501"/>
      <w:bookmarkEnd w:id="502"/>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567"/>
        <w:gridCol w:w="929"/>
        <w:gridCol w:w="928"/>
        <w:gridCol w:w="928"/>
        <w:gridCol w:w="928"/>
        <w:gridCol w:w="928"/>
      </w:tblGrid>
      <w:tr>
        <w:trPr>
          <w:cantSplit/>
          <w:tblHeader/>
        </w:trPr>
        <w:tc>
          <w:tcPr>
            <w:tcW w:w="0" w:type="auto"/>
            <w:tcBorders>
              <w:top w:val="single" w:sz="4" w:space="0" w:color="auto"/>
              <w:bottom w:val="single" w:sz="4" w:space="0" w:color="auto"/>
            </w:tcBorders>
            <w:noWrap/>
          </w:tcPr>
          <w:p>
            <w:pPr>
              <w:pStyle w:val="yTableNAm"/>
              <w:jc w:val="center"/>
            </w:pPr>
            <w:r>
              <w:rPr>
                <w:b/>
              </w:rPr>
              <w:br w:type="page"/>
              <w:t>Consumption (kL)</w:t>
            </w:r>
          </w:p>
        </w:tc>
        <w:tc>
          <w:tcPr>
            <w:tcW w:w="0" w:type="auto"/>
            <w:tcBorders>
              <w:top w:val="single" w:sz="4" w:space="0" w:color="auto"/>
              <w:bottom w:val="single" w:sz="4" w:space="0" w:color="auto"/>
            </w:tcBorders>
            <w:noWrap/>
          </w:tcPr>
          <w:p>
            <w:pPr>
              <w:pStyle w:val="yTableNAm"/>
              <w:jc w:val="center"/>
            </w:pPr>
            <w:r>
              <w:rPr>
                <w:b/>
              </w:rPr>
              <w:t>Class 1 (cents)</w:t>
            </w:r>
          </w:p>
        </w:tc>
        <w:tc>
          <w:tcPr>
            <w:tcW w:w="0" w:type="auto"/>
            <w:tcBorders>
              <w:top w:val="single" w:sz="4" w:space="0" w:color="auto"/>
              <w:bottom w:val="single" w:sz="4" w:space="0" w:color="auto"/>
            </w:tcBorders>
            <w:noWrap/>
          </w:tcPr>
          <w:p>
            <w:pPr>
              <w:pStyle w:val="yTableNAm"/>
              <w:jc w:val="center"/>
            </w:pPr>
            <w:r>
              <w:rPr>
                <w:b/>
              </w:rPr>
              <w:t>Class 2 (cents)</w:t>
            </w:r>
          </w:p>
        </w:tc>
        <w:tc>
          <w:tcPr>
            <w:tcW w:w="0" w:type="auto"/>
            <w:tcBorders>
              <w:top w:val="single" w:sz="4" w:space="0" w:color="auto"/>
              <w:bottom w:val="single" w:sz="4" w:space="0" w:color="auto"/>
            </w:tcBorders>
            <w:noWrap/>
          </w:tcPr>
          <w:p>
            <w:pPr>
              <w:pStyle w:val="yTableNAm"/>
              <w:jc w:val="center"/>
            </w:pPr>
            <w:r>
              <w:rPr>
                <w:b/>
              </w:rPr>
              <w:t>Class 3 (cents)</w:t>
            </w:r>
          </w:p>
        </w:tc>
        <w:tc>
          <w:tcPr>
            <w:tcW w:w="0" w:type="auto"/>
            <w:tcBorders>
              <w:top w:val="single" w:sz="4" w:space="0" w:color="auto"/>
              <w:bottom w:val="single" w:sz="4" w:space="0" w:color="auto"/>
            </w:tcBorders>
            <w:noWrap/>
          </w:tcPr>
          <w:p>
            <w:pPr>
              <w:pStyle w:val="yTableNAm"/>
              <w:jc w:val="center"/>
            </w:pPr>
            <w:r>
              <w:rPr>
                <w:b/>
              </w:rPr>
              <w:t>Class 4 (cents)</w:t>
            </w:r>
          </w:p>
        </w:tc>
        <w:tc>
          <w:tcPr>
            <w:tcW w:w="0" w:type="auto"/>
            <w:tcBorders>
              <w:top w:val="single" w:sz="4" w:space="0" w:color="auto"/>
              <w:bottom w:val="single" w:sz="4" w:space="0" w:color="auto"/>
            </w:tcBorders>
            <w:noWrap/>
          </w:tcPr>
          <w:p>
            <w:pPr>
              <w:pStyle w:val="yTableNAm"/>
              <w:jc w:val="center"/>
            </w:pPr>
            <w:r>
              <w:rPr>
                <w:b/>
              </w:rPr>
              <w:t>Class 5 (cents)</w:t>
            </w:r>
          </w:p>
        </w:tc>
      </w:tr>
      <w:tr>
        <w:trPr>
          <w:cantSplit/>
        </w:trPr>
        <w:tc>
          <w:tcPr>
            <w:tcW w:w="0" w:type="auto"/>
            <w:noWrap/>
          </w:tcPr>
          <w:p>
            <w:pPr>
              <w:pStyle w:val="yTableNAm"/>
            </w:pPr>
            <w:r>
              <w:t>Up to 150</w:t>
            </w:r>
          </w:p>
        </w:tc>
        <w:tc>
          <w:tcPr>
            <w:tcW w:w="0" w:type="auto"/>
            <w:noWrap/>
          </w:tcPr>
          <w:p>
            <w:pPr>
              <w:pStyle w:val="yTableNAm"/>
              <w:jc w:val="center"/>
            </w:pPr>
            <w:r>
              <w:t>156.5</w:t>
            </w:r>
          </w:p>
        </w:tc>
        <w:tc>
          <w:tcPr>
            <w:tcW w:w="0" w:type="auto"/>
            <w:noWrap/>
            <w:vAlign w:val="bottom"/>
          </w:tcPr>
          <w:p>
            <w:pPr>
              <w:pStyle w:val="yTableNAm"/>
              <w:jc w:val="center"/>
            </w:pPr>
            <w:r>
              <w:t>205.2</w:t>
            </w:r>
          </w:p>
        </w:tc>
        <w:tc>
          <w:tcPr>
            <w:tcW w:w="0" w:type="auto"/>
            <w:noWrap/>
            <w:vAlign w:val="bottom"/>
          </w:tcPr>
          <w:p>
            <w:pPr>
              <w:pStyle w:val="yTableNAm"/>
              <w:jc w:val="center"/>
            </w:pPr>
            <w:r>
              <w:t>205.2</w:t>
            </w:r>
          </w:p>
        </w:tc>
        <w:tc>
          <w:tcPr>
            <w:tcW w:w="0" w:type="auto"/>
            <w:shd w:val="clear" w:color="auto" w:fill="auto"/>
            <w:noWrap/>
            <w:vAlign w:val="bottom"/>
          </w:tcPr>
          <w:p>
            <w:pPr>
              <w:pStyle w:val="yTableNAm"/>
              <w:jc w:val="center"/>
            </w:pPr>
            <w:r>
              <w:t>205.2</w:t>
            </w:r>
          </w:p>
        </w:tc>
        <w:tc>
          <w:tcPr>
            <w:tcW w:w="0" w:type="auto"/>
            <w:shd w:val="clear" w:color="auto" w:fill="auto"/>
            <w:noWrap/>
            <w:vAlign w:val="bottom"/>
          </w:tcPr>
          <w:p>
            <w:pPr>
              <w:pStyle w:val="yTableNAm"/>
              <w:jc w:val="center"/>
            </w:pPr>
            <w:r>
              <w:t>205.2</w:t>
            </w:r>
          </w:p>
        </w:tc>
      </w:tr>
      <w:tr>
        <w:trPr>
          <w:cantSplit/>
        </w:trPr>
        <w:tc>
          <w:tcPr>
            <w:tcW w:w="0" w:type="auto"/>
            <w:noWrap/>
          </w:tcPr>
          <w:p>
            <w:pPr>
              <w:pStyle w:val="yTableNAm"/>
            </w:pPr>
            <w:r>
              <w:t>Over 150 but not over 300</w:t>
            </w:r>
          </w:p>
        </w:tc>
        <w:tc>
          <w:tcPr>
            <w:tcW w:w="0" w:type="auto"/>
            <w:noWrap/>
            <w:vAlign w:val="bottom"/>
          </w:tcPr>
          <w:p>
            <w:pPr>
              <w:pStyle w:val="yTableNAm"/>
              <w:jc w:val="center"/>
            </w:pPr>
            <w:r>
              <w:t>208.5</w:t>
            </w:r>
          </w:p>
        </w:tc>
        <w:tc>
          <w:tcPr>
            <w:tcW w:w="0" w:type="auto"/>
            <w:noWrap/>
            <w:vAlign w:val="bottom"/>
          </w:tcPr>
          <w:p>
            <w:pPr>
              <w:pStyle w:val="yTableNAm"/>
              <w:jc w:val="center"/>
            </w:pPr>
            <w:r>
              <w:t>273.4</w:t>
            </w:r>
          </w:p>
        </w:tc>
        <w:tc>
          <w:tcPr>
            <w:tcW w:w="0" w:type="auto"/>
            <w:noWrap/>
            <w:vAlign w:val="bottom"/>
          </w:tcPr>
          <w:p>
            <w:pPr>
              <w:pStyle w:val="yTableNAm"/>
              <w:jc w:val="center"/>
            </w:pPr>
            <w:r>
              <w:t>273.4</w:t>
            </w:r>
          </w:p>
        </w:tc>
        <w:tc>
          <w:tcPr>
            <w:tcW w:w="0" w:type="auto"/>
            <w:noWrap/>
            <w:vAlign w:val="bottom"/>
          </w:tcPr>
          <w:p>
            <w:pPr>
              <w:pStyle w:val="yTableNAm"/>
              <w:jc w:val="center"/>
            </w:pPr>
            <w:r>
              <w:t>273.4 </w:t>
            </w:r>
          </w:p>
        </w:tc>
        <w:tc>
          <w:tcPr>
            <w:tcW w:w="0" w:type="auto"/>
            <w:noWrap/>
            <w:vAlign w:val="bottom"/>
          </w:tcPr>
          <w:p>
            <w:pPr>
              <w:pStyle w:val="yTableNAm"/>
              <w:jc w:val="center"/>
            </w:pPr>
            <w:r>
              <w:t>273.4</w:t>
            </w:r>
          </w:p>
        </w:tc>
      </w:tr>
      <w:tr>
        <w:trPr>
          <w:cantSplit/>
        </w:trPr>
        <w:tc>
          <w:tcPr>
            <w:tcW w:w="0" w:type="auto"/>
            <w:noWrap/>
          </w:tcPr>
          <w:p>
            <w:pPr>
              <w:pStyle w:val="yTableNAm"/>
            </w:pPr>
            <w:r>
              <w:lastRenderedPageBreak/>
              <w:t>Over 300 but not over 550</w:t>
            </w:r>
          </w:p>
        </w:tc>
        <w:tc>
          <w:tcPr>
            <w:tcW w:w="0" w:type="auto"/>
            <w:noWrap/>
            <w:vAlign w:val="bottom"/>
          </w:tcPr>
          <w:p>
            <w:pPr>
              <w:pStyle w:val="yTableNAm"/>
              <w:jc w:val="center"/>
            </w:pPr>
            <w:r>
              <w:t>239.3</w:t>
            </w:r>
          </w:p>
        </w:tc>
        <w:tc>
          <w:tcPr>
            <w:tcW w:w="0" w:type="auto"/>
            <w:noWrap/>
            <w:vAlign w:val="bottom"/>
          </w:tcPr>
          <w:p>
            <w:pPr>
              <w:pStyle w:val="yTableNAm"/>
              <w:jc w:val="center"/>
            </w:pPr>
            <w:r>
              <w:t>329.2</w:t>
            </w:r>
          </w:p>
        </w:tc>
        <w:tc>
          <w:tcPr>
            <w:tcW w:w="0" w:type="auto"/>
            <w:noWrap/>
            <w:vAlign w:val="bottom"/>
          </w:tcPr>
          <w:p>
            <w:pPr>
              <w:pStyle w:val="yTableNAm"/>
              <w:jc w:val="center"/>
            </w:pPr>
            <w:r>
              <w:t>438.6</w:t>
            </w:r>
          </w:p>
        </w:tc>
        <w:tc>
          <w:tcPr>
            <w:tcW w:w="0" w:type="auto"/>
            <w:noWrap/>
            <w:vAlign w:val="bottom"/>
          </w:tcPr>
          <w:p>
            <w:pPr>
              <w:pStyle w:val="yTableNAm"/>
              <w:jc w:val="center"/>
            </w:pPr>
            <w:r>
              <w:t>515.8</w:t>
            </w:r>
          </w:p>
        </w:tc>
        <w:tc>
          <w:tcPr>
            <w:tcW w:w="0" w:type="auto"/>
            <w:noWrap/>
            <w:vAlign w:val="bottom"/>
          </w:tcPr>
          <w:p>
            <w:pPr>
              <w:pStyle w:val="yTableNAm"/>
              <w:jc w:val="center"/>
            </w:pPr>
            <w:r>
              <w:t>606.7</w:t>
            </w:r>
          </w:p>
        </w:tc>
      </w:tr>
      <w:tr>
        <w:trPr>
          <w:cantSplit/>
        </w:trPr>
        <w:tc>
          <w:tcPr>
            <w:tcW w:w="0" w:type="auto"/>
            <w:tcBorders>
              <w:bottom w:val="single" w:sz="4" w:space="0" w:color="auto"/>
            </w:tcBorders>
            <w:noWrap/>
          </w:tcPr>
          <w:p>
            <w:pPr>
              <w:pStyle w:val="yTableNAm"/>
            </w:pPr>
            <w:r>
              <w:t>Over 550</w:t>
            </w:r>
          </w:p>
        </w:tc>
        <w:tc>
          <w:tcPr>
            <w:tcW w:w="0" w:type="auto"/>
            <w:tcBorders>
              <w:bottom w:val="single" w:sz="4" w:space="0" w:color="auto"/>
            </w:tcBorders>
            <w:noWrap/>
            <w:vAlign w:val="bottom"/>
          </w:tcPr>
          <w:p>
            <w:pPr>
              <w:pStyle w:val="yTableNAm"/>
              <w:jc w:val="center"/>
            </w:pPr>
            <w:r>
              <w:t>279.5</w:t>
            </w:r>
          </w:p>
        </w:tc>
        <w:tc>
          <w:tcPr>
            <w:tcW w:w="0" w:type="auto"/>
            <w:tcBorders>
              <w:bottom w:val="single" w:sz="4" w:space="0" w:color="auto"/>
            </w:tcBorders>
            <w:noWrap/>
            <w:vAlign w:val="bottom"/>
          </w:tcPr>
          <w:p>
            <w:pPr>
              <w:pStyle w:val="yTableNAm"/>
              <w:jc w:val="center"/>
            </w:pPr>
            <w:r>
              <w:t>420.0</w:t>
            </w:r>
          </w:p>
        </w:tc>
        <w:tc>
          <w:tcPr>
            <w:tcW w:w="0" w:type="auto"/>
            <w:tcBorders>
              <w:bottom w:val="single" w:sz="4" w:space="0" w:color="auto"/>
            </w:tcBorders>
            <w:noWrap/>
            <w:vAlign w:val="bottom"/>
          </w:tcPr>
          <w:p>
            <w:pPr>
              <w:pStyle w:val="yTableNAm"/>
              <w:jc w:val="center"/>
            </w:pPr>
            <w:r>
              <w:t>559.2</w:t>
            </w:r>
          </w:p>
        </w:tc>
        <w:tc>
          <w:tcPr>
            <w:tcW w:w="0" w:type="auto"/>
            <w:tcBorders>
              <w:bottom w:val="single" w:sz="4" w:space="0" w:color="auto"/>
            </w:tcBorders>
            <w:noWrap/>
            <w:vAlign w:val="bottom"/>
          </w:tcPr>
          <w:p>
            <w:pPr>
              <w:pStyle w:val="yTableNAm"/>
              <w:jc w:val="center"/>
            </w:pPr>
            <w:r>
              <w:t>773.6</w:t>
            </w:r>
          </w:p>
        </w:tc>
        <w:tc>
          <w:tcPr>
            <w:tcW w:w="0" w:type="auto"/>
            <w:tcBorders>
              <w:bottom w:val="single" w:sz="4" w:space="0" w:color="auto"/>
            </w:tcBorders>
            <w:noWrap/>
            <w:vAlign w:val="bottom"/>
          </w:tcPr>
          <w:p>
            <w:pPr>
              <w:pStyle w:val="yTableNAm"/>
              <w:jc w:val="center"/>
            </w:pPr>
            <w:r>
              <w:t>1 043.2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567"/>
        <w:gridCol w:w="929"/>
        <w:gridCol w:w="928"/>
        <w:gridCol w:w="928"/>
        <w:gridCol w:w="928"/>
        <w:gridCol w:w="928"/>
      </w:tblGrid>
      <w:tr>
        <w:trPr>
          <w:cantSplit/>
          <w:tblHeader/>
        </w:trPr>
        <w:tc>
          <w:tcPr>
            <w:tcW w:w="0" w:type="auto"/>
            <w:tcBorders>
              <w:top w:val="single" w:sz="4" w:space="0" w:color="auto"/>
              <w:bottom w:val="single" w:sz="4" w:space="0" w:color="auto"/>
            </w:tcBorders>
            <w:noWrap/>
          </w:tcPr>
          <w:p>
            <w:pPr>
              <w:pStyle w:val="yTableNAm"/>
              <w:jc w:val="center"/>
            </w:pPr>
            <w:r>
              <w:rPr>
                <w:b/>
              </w:rPr>
              <w:br w:type="page"/>
              <w:t>Consumption (kL)</w:t>
            </w:r>
          </w:p>
        </w:tc>
        <w:tc>
          <w:tcPr>
            <w:tcW w:w="0" w:type="auto"/>
            <w:tcBorders>
              <w:top w:val="single" w:sz="4" w:space="0" w:color="auto"/>
              <w:bottom w:val="single" w:sz="4" w:space="0" w:color="auto"/>
            </w:tcBorders>
            <w:noWrap/>
          </w:tcPr>
          <w:p>
            <w:pPr>
              <w:pStyle w:val="yTableNAm"/>
              <w:jc w:val="center"/>
            </w:pPr>
            <w:r>
              <w:rPr>
                <w:b/>
              </w:rPr>
              <w:t>Class 1 (cents)</w:t>
            </w:r>
          </w:p>
        </w:tc>
        <w:tc>
          <w:tcPr>
            <w:tcW w:w="0" w:type="auto"/>
            <w:tcBorders>
              <w:top w:val="single" w:sz="4" w:space="0" w:color="auto"/>
              <w:bottom w:val="single" w:sz="4" w:space="0" w:color="auto"/>
            </w:tcBorders>
            <w:noWrap/>
          </w:tcPr>
          <w:p>
            <w:pPr>
              <w:pStyle w:val="yTableNAm"/>
              <w:jc w:val="center"/>
            </w:pPr>
            <w:r>
              <w:rPr>
                <w:b/>
              </w:rPr>
              <w:t>Class 2 (cents)</w:t>
            </w:r>
          </w:p>
        </w:tc>
        <w:tc>
          <w:tcPr>
            <w:tcW w:w="0" w:type="auto"/>
            <w:tcBorders>
              <w:top w:val="single" w:sz="4" w:space="0" w:color="auto"/>
              <w:bottom w:val="single" w:sz="4" w:space="0" w:color="auto"/>
            </w:tcBorders>
            <w:noWrap/>
          </w:tcPr>
          <w:p>
            <w:pPr>
              <w:pStyle w:val="yTableNAm"/>
              <w:jc w:val="center"/>
            </w:pPr>
            <w:r>
              <w:rPr>
                <w:b/>
              </w:rPr>
              <w:t>Class 3 (cents)</w:t>
            </w:r>
          </w:p>
        </w:tc>
        <w:tc>
          <w:tcPr>
            <w:tcW w:w="0" w:type="auto"/>
            <w:tcBorders>
              <w:top w:val="single" w:sz="4" w:space="0" w:color="auto"/>
              <w:bottom w:val="single" w:sz="4" w:space="0" w:color="auto"/>
            </w:tcBorders>
            <w:noWrap/>
          </w:tcPr>
          <w:p>
            <w:pPr>
              <w:pStyle w:val="yTableNAm"/>
              <w:jc w:val="center"/>
            </w:pPr>
            <w:r>
              <w:rPr>
                <w:b/>
              </w:rPr>
              <w:t>Class 4 (cents)</w:t>
            </w:r>
          </w:p>
        </w:tc>
        <w:tc>
          <w:tcPr>
            <w:tcW w:w="0" w:type="auto"/>
            <w:tcBorders>
              <w:top w:val="single" w:sz="4" w:space="0" w:color="auto"/>
              <w:bottom w:val="single" w:sz="4" w:space="0" w:color="auto"/>
            </w:tcBorders>
            <w:noWrap/>
          </w:tcPr>
          <w:p>
            <w:pPr>
              <w:pStyle w:val="yTableNAm"/>
              <w:jc w:val="center"/>
            </w:pPr>
            <w:r>
              <w:rPr>
                <w:b/>
              </w:rPr>
              <w:t>Class 5 (cents)</w:t>
            </w:r>
          </w:p>
        </w:tc>
      </w:tr>
      <w:tr>
        <w:trPr>
          <w:cantSplit/>
        </w:trPr>
        <w:tc>
          <w:tcPr>
            <w:tcW w:w="0" w:type="auto"/>
            <w:noWrap/>
          </w:tcPr>
          <w:p>
            <w:pPr>
              <w:pStyle w:val="yTableNAm"/>
              <w:rPr>
                <w:szCs w:val="22"/>
              </w:rPr>
            </w:pPr>
            <w:r>
              <w:rPr>
                <w:szCs w:val="22"/>
              </w:rPr>
              <w:t>Up to 350</w:t>
            </w:r>
          </w:p>
        </w:tc>
        <w:tc>
          <w:tcPr>
            <w:tcW w:w="0" w:type="auto"/>
            <w:noWrap/>
          </w:tcPr>
          <w:p>
            <w:pPr>
              <w:pStyle w:val="yTableNAm"/>
              <w:jc w:val="center"/>
            </w:pPr>
            <w:r>
              <w:t>156.5</w:t>
            </w:r>
          </w:p>
        </w:tc>
        <w:tc>
          <w:tcPr>
            <w:tcW w:w="0" w:type="auto"/>
            <w:noWrap/>
            <w:vAlign w:val="bottom"/>
          </w:tcPr>
          <w:p>
            <w:pPr>
              <w:pStyle w:val="yTableNAm"/>
              <w:jc w:val="center"/>
            </w:pPr>
            <w:r>
              <w:t>205.2</w:t>
            </w:r>
          </w:p>
        </w:tc>
        <w:tc>
          <w:tcPr>
            <w:tcW w:w="0" w:type="auto"/>
            <w:noWrap/>
            <w:vAlign w:val="bottom"/>
          </w:tcPr>
          <w:p>
            <w:pPr>
              <w:pStyle w:val="yTableNAm"/>
              <w:jc w:val="center"/>
            </w:pPr>
            <w:r>
              <w:t>205.2</w:t>
            </w:r>
          </w:p>
        </w:tc>
        <w:tc>
          <w:tcPr>
            <w:tcW w:w="0" w:type="auto"/>
            <w:noWrap/>
            <w:vAlign w:val="bottom"/>
          </w:tcPr>
          <w:p>
            <w:pPr>
              <w:pStyle w:val="yTableNAm"/>
              <w:jc w:val="center"/>
            </w:pPr>
            <w:r>
              <w:t>205.2</w:t>
            </w:r>
          </w:p>
        </w:tc>
        <w:tc>
          <w:tcPr>
            <w:tcW w:w="0" w:type="auto"/>
            <w:noWrap/>
            <w:vAlign w:val="bottom"/>
          </w:tcPr>
          <w:p>
            <w:pPr>
              <w:pStyle w:val="yTableNAm"/>
              <w:jc w:val="center"/>
            </w:pPr>
            <w:r>
              <w:t>205.2</w:t>
            </w:r>
          </w:p>
        </w:tc>
      </w:tr>
      <w:tr>
        <w:trPr>
          <w:cantSplit/>
        </w:trPr>
        <w:tc>
          <w:tcPr>
            <w:tcW w:w="0" w:type="auto"/>
            <w:noWrap/>
          </w:tcPr>
          <w:p>
            <w:pPr>
              <w:pStyle w:val="yTableNAm"/>
              <w:rPr>
                <w:szCs w:val="22"/>
              </w:rPr>
            </w:pPr>
            <w:r>
              <w:rPr>
                <w:szCs w:val="22"/>
              </w:rPr>
              <w:t>Over 350 but not over 500</w:t>
            </w:r>
          </w:p>
        </w:tc>
        <w:tc>
          <w:tcPr>
            <w:tcW w:w="0" w:type="auto"/>
            <w:noWrap/>
            <w:vAlign w:val="bottom"/>
          </w:tcPr>
          <w:p>
            <w:pPr>
              <w:pStyle w:val="yTableNAm"/>
              <w:jc w:val="center"/>
            </w:pPr>
            <w:r>
              <w:t>208.5</w:t>
            </w:r>
          </w:p>
        </w:tc>
        <w:tc>
          <w:tcPr>
            <w:tcW w:w="0" w:type="auto"/>
            <w:noWrap/>
            <w:vAlign w:val="bottom"/>
          </w:tcPr>
          <w:p>
            <w:pPr>
              <w:pStyle w:val="yTableNAm"/>
              <w:jc w:val="center"/>
            </w:pPr>
            <w:r>
              <w:t>273.4</w:t>
            </w:r>
          </w:p>
        </w:tc>
        <w:tc>
          <w:tcPr>
            <w:tcW w:w="0" w:type="auto"/>
            <w:noWrap/>
            <w:vAlign w:val="bottom"/>
          </w:tcPr>
          <w:p>
            <w:pPr>
              <w:pStyle w:val="yTableNAm"/>
              <w:jc w:val="center"/>
            </w:pPr>
            <w:r>
              <w:t>273.4</w:t>
            </w:r>
          </w:p>
        </w:tc>
        <w:tc>
          <w:tcPr>
            <w:tcW w:w="0" w:type="auto"/>
            <w:noWrap/>
            <w:vAlign w:val="bottom"/>
          </w:tcPr>
          <w:p>
            <w:pPr>
              <w:pStyle w:val="yTableNAm"/>
              <w:jc w:val="center"/>
            </w:pPr>
            <w:r>
              <w:t>273.4 </w:t>
            </w:r>
          </w:p>
        </w:tc>
        <w:tc>
          <w:tcPr>
            <w:tcW w:w="0" w:type="auto"/>
            <w:noWrap/>
            <w:vAlign w:val="bottom"/>
          </w:tcPr>
          <w:p>
            <w:pPr>
              <w:pStyle w:val="yTableNAm"/>
              <w:jc w:val="center"/>
            </w:pPr>
            <w:r>
              <w:t>273.4</w:t>
            </w:r>
          </w:p>
        </w:tc>
      </w:tr>
      <w:tr>
        <w:trPr>
          <w:cantSplit/>
        </w:trPr>
        <w:tc>
          <w:tcPr>
            <w:tcW w:w="0" w:type="auto"/>
            <w:noWrap/>
          </w:tcPr>
          <w:p>
            <w:pPr>
              <w:pStyle w:val="yTableNAm"/>
              <w:rPr>
                <w:szCs w:val="22"/>
              </w:rPr>
            </w:pPr>
            <w:r>
              <w:rPr>
                <w:szCs w:val="22"/>
              </w:rPr>
              <w:t>Over 500 but not over 750</w:t>
            </w:r>
          </w:p>
        </w:tc>
        <w:tc>
          <w:tcPr>
            <w:tcW w:w="0" w:type="auto"/>
            <w:noWrap/>
            <w:vAlign w:val="bottom"/>
          </w:tcPr>
          <w:p>
            <w:pPr>
              <w:pStyle w:val="yTableNAm"/>
              <w:jc w:val="center"/>
            </w:pPr>
            <w:r>
              <w:t>239.3</w:t>
            </w:r>
          </w:p>
        </w:tc>
        <w:tc>
          <w:tcPr>
            <w:tcW w:w="0" w:type="auto"/>
            <w:noWrap/>
            <w:vAlign w:val="bottom"/>
          </w:tcPr>
          <w:p>
            <w:pPr>
              <w:pStyle w:val="yTableNAm"/>
              <w:jc w:val="center"/>
            </w:pPr>
            <w:r>
              <w:t>329.2</w:t>
            </w:r>
          </w:p>
        </w:tc>
        <w:tc>
          <w:tcPr>
            <w:tcW w:w="0" w:type="auto"/>
            <w:noWrap/>
            <w:vAlign w:val="bottom"/>
          </w:tcPr>
          <w:p>
            <w:pPr>
              <w:pStyle w:val="yTableNAm"/>
              <w:jc w:val="center"/>
            </w:pPr>
            <w:r>
              <w:t>438.6</w:t>
            </w:r>
          </w:p>
        </w:tc>
        <w:tc>
          <w:tcPr>
            <w:tcW w:w="0" w:type="auto"/>
            <w:noWrap/>
            <w:vAlign w:val="bottom"/>
          </w:tcPr>
          <w:p>
            <w:pPr>
              <w:pStyle w:val="yTableNAm"/>
              <w:jc w:val="center"/>
            </w:pPr>
            <w:r>
              <w:t>515.8</w:t>
            </w:r>
          </w:p>
        </w:tc>
        <w:tc>
          <w:tcPr>
            <w:tcW w:w="0" w:type="auto"/>
            <w:noWrap/>
            <w:vAlign w:val="bottom"/>
          </w:tcPr>
          <w:p>
            <w:pPr>
              <w:pStyle w:val="yTableNAm"/>
              <w:jc w:val="center"/>
            </w:pPr>
            <w:r>
              <w:t>606.7</w:t>
            </w:r>
          </w:p>
        </w:tc>
      </w:tr>
      <w:tr>
        <w:trPr>
          <w:cantSplit/>
        </w:trPr>
        <w:tc>
          <w:tcPr>
            <w:tcW w:w="0" w:type="auto"/>
            <w:tcBorders>
              <w:bottom w:val="single" w:sz="4" w:space="0" w:color="auto"/>
            </w:tcBorders>
            <w:noWrap/>
          </w:tcPr>
          <w:p>
            <w:pPr>
              <w:pStyle w:val="yTableNAm"/>
              <w:rPr>
                <w:szCs w:val="22"/>
              </w:rPr>
            </w:pPr>
            <w:r>
              <w:rPr>
                <w:szCs w:val="22"/>
              </w:rPr>
              <w:t>Over 750</w:t>
            </w:r>
          </w:p>
        </w:tc>
        <w:tc>
          <w:tcPr>
            <w:tcW w:w="0" w:type="auto"/>
            <w:tcBorders>
              <w:bottom w:val="single" w:sz="4" w:space="0" w:color="auto"/>
            </w:tcBorders>
            <w:noWrap/>
            <w:vAlign w:val="bottom"/>
          </w:tcPr>
          <w:p>
            <w:pPr>
              <w:pStyle w:val="yTableNAm"/>
              <w:jc w:val="center"/>
            </w:pPr>
            <w:r>
              <w:t>279.5</w:t>
            </w:r>
          </w:p>
        </w:tc>
        <w:tc>
          <w:tcPr>
            <w:tcW w:w="0" w:type="auto"/>
            <w:tcBorders>
              <w:bottom w:val="single" w:sz="4" w:space="0" w:color="auto"/>
            </w:tcBorders>
            <w:noWrap/>
            <w:vAlign w:val="bottom"/>
          </w:tcPr>
          <w:p>
            <w:pPr>
              <w:pStyle w:val="yTableNAm"/>
              <w:jc w:val="center"/>
            </w:pPr>
            <w:r>
              <w:t>420.0</w:t>
            </w:r>
          </w:p>
        </w:tc>
        <w:tc>
          <w:tcPr>
            <w:tcW w:w="0" w:type="auto"/>
            <w:tcBorders>
              <w:bottom w:val="single" w:sz="4" w:space="0" w:color="auto"/>
            </w:tcBorders>
            <w:noWrap/>
            <w:vAlign w:val="bottom"/>
          </w:tcPr>
          <w:p>
            <w:pPr>
              <w:pStyle w:val="yTableNAm"/>
              <w:jc w:val="center"/>
            </w:pPr>
            <w:r>
              <w:t>559.2</w:t>
            </w:r>
          </w:p>
        </w:tc>
        <w:tc>
          <w:tcPr>
            <w:tcW w:w="0" w:type="auto"/>
            <w:tcBorders>
              <w:bottom w:val="single" w:sz="4" w:space="0" w:color="auto"/>
            </w:tcBorders>
            <w:noWrap/>
            <w:vAlign w:val="bottom"/>
          </w:tcPr>
          <w:p>
            <w:pPr>
              <w:pStyle w:val="yTableNAm"/>
              <w:jc w:val="center"/>
            </w:pPr>
            <w:r>
              <w:t>773.6</w:t>
            </w:r>
          </w:p>
        </w:tc>
        <w:tc>
          <w:tcPr>
            <w:tcW w:w="0" w:type="auto"/>
            <w:tcBorders>
              <w:bottom w:val="single" w:sz="4" w:space="0" w:color="auto"/>
            </w:tcBorders>
            <w:noWrap/>
            <w:vAlign w:val="bottom"/>
          </w:tcPr>
          <w:p>
            <w:pPr>
              <w:pStyle w:val="yTableNAm"/>
              <w:jc w:val="center"/>
            </w:pPr>
            <w:r>
              <w:t>1 043.2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503" w:name="_Toc201235728"/>
      <w:bookmarkStart w:id="504" w:name="_Toc201314542"/>
      <w:bookmarkStart w:id="505" w:name="_Toc201745906"/>
      <w:r>
        <w:rPr>
          <w:rStyle w:val="CharSClsNo"/>
        </w:rPr>
        <w:t>30</w:t>
      </w:r>
      <w:r>
        <w:t>.</w:t>
      </w:r>
      <w:r>
        <w:tab/>
        <w:t>Non</w:t>
      </w:r>
      <w:r>
        <w:noBreakHyphen/>
        <w:t>metropolitan non</w:t>
      </w:r>
      <w:r>
        <w:noBreakHyphen/>
        <w:t>residential</w:t>
      </w:r>
      <w:bookmarkEnd w:id="503"/>
      <w:bookmarkEnd w:id="504"/>
      <w:bookmarkEnd w:id="505"/>
    </w:p>
    <w:p>
      <w:pPr>
        <w:pStyle w:val="ySubsection"/>
        <w:keepNext/>
      </w:pPr>
      <w:r>
        <w:tab/>
        <w:t>(1)</w:t>
      </w:r>
      <w:r>
        <w:tab/>
        <w:t>For each kilolitre of water supplied to land in the non</w:t>
      </w:r>
      <w:r>
        <w:noBreakHyphen/>
        <w:t>metropolitan area that is neither classified as residential nor classified as vacant land but held for residential purposes, the charge is —</w:t>
      </w:r>
    </w:p>
    <w:p>
      <w:pPr>
        <w:pStyle w:val="yIndenta"/>
        <w:tabs>
          <w:tab w:val="right" w:leader="dot" w:pos="6804"/>
        </w:tabs>
      </w:pPr>
      <w:r>
        <w:tab/>
        <w:t>(a)</w:t>
      </w:r>
      <w:r>
        <w:tab/>
        <w:t xml:space="preserve">if the land is classified as local </w:t>
      </w:r>
      <w:r>
        <w:br/>
        <w:t xml:space="preserve">government, institutional public </w:t>
      </w:r>
      <w:r>
        <w:br/>
        <w:t xml:space="preserve">or charitable purposes </w:t>
      </w:r>
      <w:r>
        <w:tab/>
        <w:t>301.2 cents</w:t>
      </w:r>
    </w:p>
    <w:p>
      <w:pPr>
        <w:pStyle w:val="yIndenta"/>
        <w:tabs>
          <w:tab w:val="right" w:leader="dot" w:pos="6804"/>
        </w:tabs>
      </w:pPr>
      <w:r>
        <w:tab/>
        <w:t>(b)</w:t>
      </w:r>
      <w:r>
        <w:tab/>
        <w:t xml:space="preserve">if the land is classified as farmland </w:t>
      </w:r>
      <w:r>
        <w:tab/>
        <w:t>301.2 cents</w:t>
      </w:r>
    </w:p>
    <w:p>
      <w:pPr>
        <w:pStyle w:val="yIndenta"/>
      </w:pPr>
      <w:r>
        <w:lastRenderedPageBreak/>
        <w:tab/>
        <w:t>(c)</w:t>
      </w:r>
      <w:r>
        <w:tab/>
        <w:t>if the land is classified as mining — the charge applicable in the Table in item 24 according to the non</w:t>
      </w:r>
      <w:r>
        <w:noBreakHyphen/>
        <w:t>residential class of the town or area in which the land is located, except that the Table is to have effect as if the charge for classes 14 and 15 were 992.9 cents;</w:t>
      </w:r>
    </w:p>
    <w:p>
      <w:pPr>
        <w:pStyle w:val="yIndenta"/>
      </w:pPr>
      <w:r>
        <w:tab/>
        <w:t>(d)</w:t>
      </w:r>
      <w:r>
        <w:tab/>
        <w:t>if the land is classified as non</w:t>
      </w:r>
      <w:r>
        <w:noBreakHyphen/>
        <w:t>residential or vacant land — the charge applicable in the Table in item 24 according to the non</w:t>
      </w:r>
      <w:r>
        <w:noBreakHyphen/>
        <w:t>residential class of the town or area in which the land is located;</w:t>
      </w:r>
    </w:p>
    <w:p>
      <w:pPr>
        <w:pStyle w:val="yIndenta"/>
      </w:pPr>
      <w:r>
        <w:tab/>
        <w:t>(e)</w:t>
      </w:r>
      <w:r>
        <w:tab/>
        <w:t>if the land is classified as commercial residential —</w:t>
      </w:r>
    </w:p>
    <w:p>
      <w:pPr>
        <w:pStyle w:val="yMiscellaneousBody"/>
        <w:tabs>
          <w:tab w:val="right" w:leader="dot" w:pos="6804"/>
        </w:tabs>
        <w:ind w:left="1984" w:right="284" w:hanging="289"/>
      </w:pPr>
      <w:r>
        <w:t xml:space="preserve">up to 150 kL </w:t>
      </w:r>
      <w:r>
        <w:tab/>
        <w:t>205.2 cents</w:t>
      </w:r>
    </w:p>
    <w:p>
      <w:pPr>
        <w:pStyle w:val="yMiscellaneousBody"/>
        <w:tabs>
          <w:tab w:val="right" w:leader="dot" w:pos="6804"/>
        </w:tabs>
        <w:ind w:left="1695" w:right="284"/>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506" w:name="_Toc201235729"/>
      <w:bookmarkStart w:id="507" w:name="_Toc201314543"/>
      <w:bookmarkStart w:id="508" w:name="_Toc201745907"/>
      <w:r>
        <w:rPr>
          <w:rStyle w:val="CharSClsNo"/>
        </w:rPr>
        <w:t>31</w:t>
      </w:r>
      <w:r>
        <w:t>.</w:t>
      </w:r>
      <w:r>
        <w:tab/>
        <w:t>Strata</w:t>
      </w:r>
      <w:r>
        <w:noBreakHyphen/>
        <w:t>titled or long</w:t>
      </w:r>
      <w:r>
        <w:noBreakHyphen/>
        <w:t>term residential caravan bays</w:t>
      </w:r>
      <w:bookmarkEnd w:id="506"/>
      <w:bookmarkEnd w:id="507"/>
      <w:bookmarkEnd w:id="508"/>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right" w:leader="dot" w:pos="6804"/>
        </w:tabs>
        <w:ind w:left="1984" w:right="284" w:hanging="289"/>
      </w:pPr>
      <w:r>
        <w:t xml:space="preserve">up to 150 kL </w:t>
      </w:r>
      <w:r>
        <w:tab/>
        <w:t>205.2 cents</w:t>
      </w:r>
    </w:p>
    <w:p>
      <w:pPr>
        <w:pStyle w:val="yMiscellaneousBody"/>
        <w:tabs>
          <w:tab w:val="right" w:leader="dot" w:pos="6804"/>
        </w:tabs>
        <w:ind w:left="1984" w:right="284" w:hanging="289"/>
      </w:pPr>
      <w:r>
        <w:t xml:space="preserve">over 150 kL </w:t>
      </w:r>
      <w:r>
        <w:tab/>
        <w:t>292.1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right" w:leader="dot" w:pos="6804"/>
        </w:tabs>
        <w:ind w:left="1984" w:right="284" w:hanging="289"/>
      </w:pPr>
      <w:r>
        <w:t xml:space="preserve">up to 150 kL </w:t>
      </w:r>
      <w:r>
        <w:tab/>
        <w:t>205.2 cents</w:t>
      </w:r>
    </w:p>
    <w:p>
      <w:pPr>
        <w:pStyle w:val="yMiscellaneousBody"/>
        <w:tabs>
          <w:tab w:val="right" w:leader="dot" w:pos="6804"/>
        </w:tabs>
        <w:ind w:left="1695" w:right="284"/>
      </w:pPr>
      <w:r>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509" w:name="_Toc201235730"/>
      <w:bookmarkStart w:id="510" w:name="_Toc201314544"/>
      <w:bookmarkStart w:id="511" w:name="_Toc201745908"/>
      <w:r>
        <w:rPr>
          <w:rStyle w:val="CharSClsNo"/>
        </w:rPr>
        <w:lastRenderedPageBreak/>
        <w:t>32</w:t>
      </w:r>
      <w:r>
        <w:t>.</w:t>
      </w:r>
      <w:r>
        <w:tab/>
        <w:t>Government trading organisations and non</w:t>
      </w:r>
      <w:r>
        <w:noBreakHyphen/>
        <w:t>commercial government property</w:t>
      </w:r>
      <w:bookmarkEnd w:id="509"/>
      <w:bookmarkEnd w:id="510"/>
      <w:bookmarkEnd w:id="511"/>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292.1 cents</w:t>
      </w:r>
    </w:p>
    <w:p>
      <w:pPr>
        <w:pStyle w:val="ySubsection"/>
        <w:tabs>
          <w:tab w:val="left" w:pos="7087"/>
        </w:tabs>
      </w:pPr>
      <w:r>
        <w:tab/>
        <w:t>(5)</w:t>
      </w:r>
      <w:r>
        <w:tab/>
        <w:t>For each kilolitre of water supplied to land in the non</w:t>
      </w:r>
      <w:r>
        <w:noBreakHyphen/>
        <w:t>metropolitan area, the charge is the charge applicable in the Table in item 24 according to the non</w:t>
      </w:r>
      <w:r>
        <w:noBreakHyphen/>
        <w:t>residential class of the town or area in which the land is located.</w:t>
      </w:r>
    </w:p>
    <w:p>
      <w:pPr>
        <w:pStyle w:val="yHeading5"/>
      </w:pPr>
      <w:bookmarkStart w:id="512" w:name="_Toc201235731"/>
      <w:bookmarkStart w:id="513" w:name="_Toc201314545"/>
      <w:bookmarkStart w:id="514" w:name="_Toc201745909"/>
      <w:r>
        <w:rPr>
          <w:rStyle w:val="CharSClsNo"/>
        </w:rPr>
        <w:t>33</w:t>
      </w:r>
      <w:r>
        <w:t>.</w:t>
      </w:r>
      <w:r>
        <w:tab/>
        <w:t>Coral Bay desalinated</w:t>
      </w:r>
      <w:bookmarkEnd w:id="512"/>
      <w:bookmarkEnd w:id="513"/>
      <w:bookmarkEnd w:id="514"/>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843.8 cents</w:t>
      </w:r>
    </w:p>
    <w:p>
      <w:pPr>
        <w:pStyle w:val="yHeading5"/>
      </w:pPr>
      <w:bookmarkStart w:id="515" w:name="_Toc201235732"/>
      <w:bookmarkStart w:id="516" w:name="_Toc201314546"/>
      <w:bookmarkStart w:id="517" w:name="_Toc201745910"/>
      <w:r>
        <w:rPr>
          <w:rStyle w:val="CharSClsNo"/>
        </w:rPr>
        <w:t>34</w:t>
      </w:r>
      <w:r>
        <w:t>.</w:t>
      </w:r>
      <w:r>
        <w:tab/>
        <w:t>Denham desalinated</w:t>
      </w:r>
      <w:bookmarkEnd w:id="515"/>
      <w:bookmarkEnd w:id="516"/>
      <w:bookmarkEnd w:id="517"/>
    </w:p>
    <w:p>
      <w:pPr>
        <w:pStyle w:val="ySubsection"/>
      </w:pPr>
      <w:r>
        <w:tab/>
        <w:t>(1)</w:t>
      </w:r>
      <w:r>
        <w:tab/>
        <w:t>For each kilolitre of desalinated water supplied, in a charge period, to land in Denham that is classified as residential, the charge is —</w:t>
      </w:r>
    </w:p>
    <w:p>
      <w:pPr>
        <w:pStyle w:val="yMiscellaneousBody"/>
        <w:tabs>
          <w:tab w:val="right" w:leader="dot" w:pos="6804"/>
        </w:tabs>
        <w:ind w:left="1984" w:right="284" w:hanging="289"/>
      </w:pPr>
      <w:r>
        <w:t xml:space="preserve">up to quota </w:t>
      </w:r>
      <w:r>
        <w:tab/>
        <w:t>76.1 cents</w:t>
      </w:r>
    </w:p>
    <w:p>
      <w:pPr>
        <w:pStyle w:val="yMiscellaneousBody"/>
        <w:tabs>
          <w:tab w:val="right" w:leader="dot" w:pos="6804"/>
        </w:tabs>
        <w:ind w:left="1984" w:right="284" w:hanging="289"/>
      </w:pPr>
      <w:r>
        <w:t xml:space="preserve">over quota but by not more than the </w:t>
      </w:r>
      <w:r>
        <w:br/>
        <w:t xml:space="preserve">shoulder amount </w:t>
      </w:r>
      <w:r>
        <w:tab/>
        <w:t>559.5 cents</w:t>
      </w:r>
    </w:p>
    <w:p>
      <w:pPr>
        <w:pStyle w:val="yMiscellaneousBody"/>
        <w:tabs>
          <w:tab w:val="right" w:leader="dot" w:pos="6804"/>
        </w:tabs>
        <w:ind w:left="1984" w:right="284" w:hanging="289"/>
      </w:pPr>
      <w:r>
        <w:t xml:space="preserve">over quota by more than the shoulder </w:t>
      </w:r>
      <w:r>
        <w:br/>
        <w:t xml:space="preserve">amount </w:t>
      </w:r>
      <w:r>
        <w:tab/>
        <w:t>1 743.4 cents</w:t>
      </w:r>
    </w:p>
    <w:p>
      <w:pPr>
        <w:pStyle w:val="ySubsection"/>
      </w:pPr>
      <w:r>
        <w:tab/>
        <w:t>(2)</w:t>
      </w:r>
      <w:r>
        <w:tab/>
        <w:t>In sub</w:t>
      </w:r>
      <w:r>
        <w:noBreakHyphen/>
        <w:t xml:space="preserve">item (1) — </w:t>
      </w:r>
    </w:p>
    <w:p>
      <w:pPr>
        <w:pStyle w:val="yIndenta"/>
      </w:pPr>
      <w:r>
        <w:tab/>
        <w:t>(a)</w:t>
      </w:r>
      <w:r>
        <w:tab/>
        <w:t>the quota for the charge period is 18 kL plus 4 kL for each resident on the land in excess of 4 residents; and</w:t>
      </w:r>
    </w:p>
    <w:p>
      <w:pPr>
        <w:pStyle w:val="yIndenta"/>
      </w:pPr>
      <w:r>
        <w:lastRenderedPageBreak/>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1984" w:right="284" w:hanging="289"/>
      </w:pPr>
      <w:r>
        <w:t xml:space="preserve">up to quota </w:t>
      </w:r>
      <w:r>
        <w:tab/>
        <w:t>77.6 cents</w:t>
      </w:r>
    </w:p>
    <w:p>
      <w:pPr>
        <w:pStyle w:val="yMiscellaneousBody"/>
        <w:tabs>
          <w:tab w:val="right" w:leader="dot" w:pos="6804"/>
        </w:tabs>
        <w:ind w:left="1984" w:right="284" w:hanging="289"/>
      </w:pPr>
      <w:r>
        <w:t xml:space="preserve">over quota </w:t>
      </w:r>
      <w:r>
        <w:tab/>
        <w:t>1 778.2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4"/>
      </w:pPr>
      <w:bookmarkStart w:id="518" w:name="_Toc201235733"/>
      <w:bookmarkStart w:id="519" w:name="_Toc201235984"/>
      <w:bookmarkStart w:id="520" w:name="_Toc201236140"/>
      <w:bookmarkStart w:id="521" w:name="_Toc201314547"/>
      <w:bookmarkStart w:id="522" w:name="_Toc201323506"/>
      <w:bookmarkStart w:id="523" w:name="_Toc201324315"/>
      <w:bookmarkStart w:id="524" w:name="_Toc201324998"/>
      <w:bookmarkStart w:id="525" w:name="_Toc201325227"/>
      <w:bookmarkStart w:id="526" w:name="_Toc201325456"/>
      <w:bookmarkStart w:id="527" w:name="_Toc201325918"/>
      <w:bookmarkStart w:id="528" w:name="_Toc201745911"/>
      <w:r>
        <w:t>Subdivision 3 — Other consumption charges</w:t>
      </w:r>
      <w:bookmarkEnd w:id="518"/>
      <w:bookmarkEnd w:id="519"/>
      <w:bookmarkEnd w:id="520"/>
      <w:bookmarkEnd w:id="521"/>
      <w:bookmarkEnd w:id="522"/>
      <w:bookmarkEnd w:id="523"/>
      <w:bookmarkEnd w:id="524"/>
      <w:bookmarkEnd w:id="525"/>
      <w:bookmarkEnd w:id="526"/>
      <w:bookmarkEnd w:id="527"/>
      <w:bookmarkEnd w:id="528"/>
    </w:p>
    <w:p>
      <w:pPr>
        <w:pStyle w:val="yFootnoteheading"/>
        <w:keepNext/>
      </w:pPr>
      <w:bookmarkStart w:id="529" w:name="_Toc201235734"/>
      <w:bookmarkStart w:id="530" w:name="_Toc201314548"/>
      <w:r>
        <w:tab/>
        <w:t>[Heading inserted: SL 2025/101 r. 10.]</w:t>
      </w:r>
    </w:p>
    <w:p>
      <w:pPr>
        <w:pStyle w:val="yHeading5"/>
      </w:pPr>
      <w:bookmarkStart w:id="531" w:name="_Toc201745912"/>
      <w:r>
        <w:rPr>
          <w:rStyle w:val="CharSClsNo"/>
        </w:rPr>
        <w:t>35</w:t>
      </w:r>
      <w:r>
        <w:t>.</w:t>
      </w:r>
      <w:r>
        <w:tab/>
        <w:t>Local government standpipes</w:t>
      </w:r>
      <w:bookmarkEnd w:id="529"/>
      <w:bookmarkEnd w:id="530"/>
      <w:bookmarkEnd w:id="531"/>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301.2 cents</w:t>
      </w:r>
    </w:p>
    <w:p>
      <w:pPr>
        <w:pStyle w:val="yHeading5"/>
      </w:pPr>
      <w:bookmarkStart w:id="532" w:name="_Toc201235735"/>
      <w:bookmarkStart w:id="533" w:name="_Toc201314549"/>
      <w:bookmarkStart w:id="534" w:name="_Toc201745913"/>
      <w:r>
        <w:rPr>
          <w:rStyle w:val="CharSClsNo"/>
        </w:rPr>
        <w:t>36</w:t>
      </w:r>
      <w:r>
        <w:t>.</w:t>
      </w:r>
      <w:r>
        <w:tab/>
        <w:t>Shipping</w:t>
      </w:r>
      <w:bookmarkEnd w:id="532"/>
      <w:bookmarkEnd w:id="533"/>
      <w:bookmarkEnd w:id="534"/>
    </w:p>
    <w:p>
      <w:pPr>
        <w:pStyle w:val="ySubsection"/>
        <w:keepNext/>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292.1 cents</w:t>
      </w:r>
    </w:p>
    <w:p>
      <w:pPr>
        <w:pStyle w:val="yIndenta"/>
        <w:rPr>
          <w:szCs w:val="22"/>
        </w:rPr>
      </w:pPr>
      <w:r>
        <w:rPr>
          <w:szCs w:val="22"/>
        </w:rPr>
        <w:tab/>
        <w:t>(b)</w:t>
      </w:r>
      <w:r>
        <w:rPr>
          <w:szCs w:val="22"/>
        </w:rPr>
        <w:tab/>
        <w:t>for a port in the non</w:t>
      </w:r>
      <w:r>
        <w:rPr>
          <w:szCs w:val="22"/>
        </w:rPr>
        <w:noBreakHyphen/>
        <w:t xml:space="preserve">metropolitan area, the charge is the charge applicable </w:t>
      </w:r>
      <w:r>
        <w:t>in</w:t>
      </w:r>
      <w:r>
        <w:rPr>
          <w:szCs w:val="22"/>
        </w:rPr>
        <w:t xml:space="preserve"> the Table in item 24 according to the non</w:t>
      </w:r>
      <w:r>
        <w:rPr>
          <w:szCs w:val="22"/>
        </w:rPr>
        <w:noBreakHyphen/>
        <w:t>residential class of the town or area in which the port is located.</w:t>
      </w:r>
    </w:p>
    <w:p>
      <w:pPr>
        <w:pStyle w:val="yHeading5"/>
      </w:pPr>
      <w:bookmarkStart w:id="535" w:name="_Toc201235736"/>
      <w:bookmarkStart w:id="536" w:name="_Toc201314550"/>
      <w:bookmarkStart w:id="537" w:name="_Toc201745914"/>
      <w:r>
        <w:rPr>
          <w:rStyle w:val="CharSClsNo"/>
        </w:rPr>
        <w:t>37</w:t>
      </w:r>
      <w:r>
        <w:t>.</w:t>
      </w:r>
      <w:r>
        <w:tab/>
        <w:t>Stock</w:t>
      </w:r>
      <w:bookmarkEnd w:id="535"/>
      <w:bookmarkEnd w:id="536"/>
      <w:bookmarkEnd w:id="537"/>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301.2 cents</w:t>
      </w:r>
    </w:p>
    <w:p>
      <w:pPr>
        <w:pStyle w:val="yHeading5"/>
      </w:pPr>
      <w:bookmarkStart w:id="538" w:name="_Toc201235737"/>
      <w:bookmarkStart w:id="539" w:name="_Toc201314551"/>
      <w:bookmarkStart w:id="540" w:name="_Toc201745915"/>
      <w:r>
        <w:rPr>
          <w:rStyle w:val="CharSClsNo"/>
        </w:rPr>
        <w:lastRenderedPageBreak/>
        <w:t>38</w:t>
      </w:r>
      <w:r>
        <w:t>.</w:t>
      </w:r>
      <w:r>
        <w:tab/>
        <w:t>Hydrant standpipes</w:t>
      </w:r>
      <w:bookmarkEnd w:id="538"/>
      <w:bookmarkEnd w:id="539"/>
      <w:bookmarkEnd w:id="540"/>
    </w:p>
    <w:p>
      <w:pPr>
        <w:pStyle w:val="ySubsection"/>
        <w:tabs>
          <w:tab w:val="right" w:leader="dot" w:pos="6804"/>
        </w:tabs>
      </w:pPr>
      <w:r>
        <w:tab/>
      </w:r>
      <w:r>
        <w:tab/>
        <w:t xml:space="preserve">For each kilolitre of water supplied </w:t>
      </w:r>
      <w:r>
        <w:br/>
        <w:t xml:space="preserve">through a hydrant standpipe, the charge is </w:t>
      </w:r>
      <w:r>
        <w:tab/>
        <w:t>292.1 cents</w:t>
      </w:r>
    </w:p>
    <w:p>
      <w:pPr>
        <w:pStyle w:val="yFootnotesection"/>
      </w:pPr>
      <w:bookmarkStart w:id="541" w:name="_Toc201235738"/>
      <w:bookmarkStart w:id="542" w:name="_Toc201235989"/>
      <w:bookmarkStart w:id="543" w:name="_Toc201236145"/>
      <w:bookmarkStart w:id="544" w:name="_Toc201314552"/>
      <w:r>
        <w:tab/>
        <w:t>[Division 2 inserted: SL 2025/101 r. 10.]</w:t>
      </w:r>
    </w:p>
    <w:p>
      <w:pPr>
        <w:pStyle w:val="yScheduleHeading"/>
      </w:pPr>
      <w:bookmarkStart w:id="545" w:name="_Toc201323511"/>
      <w:bookmarkStart w:id="546" w:name="_Toc201324320"/>
      <w:bookmarkStart w:id="547" w:name="_Toc201325003"/>
      <w:bookmarkStart w:id="548" w:name="_Toc201325232"/>
      <w:bookmarkStart w:id="549" w:name="_Toc201325461"/>
      <w:bookmarkStart w:id="550" w:name="_Toc201325923"/>
      <w:bookmarkStart w:id="551" w:name="_Toc201745916"/>
      <w:r>
        <w:rPr>
          <w:rStyle w:val="CharSchNo"/>
        </w:rPr>
        <w:lastRenderedPageBreak/>
        <w:t>Schedule 4</w:t>
      </w:r>
      <w:r>
        <w:t> — </w:t>
      </w:r>
      <w:r>
        <w:rPr>
          <w:rStyle w:val="CharSchText"/>
        </w:rPr>
        <w:t>Sewerage charges for Water Corporation</w:t>
      </w:r>
      <w:bookmarkEnd w:id="541"/>
      <w:bookmarkEnd w:id="542"/>
      <w:bookmarkEnd w:id="543"/>
      <w:bookmarkEnd w:id="544"/>
      <w:bookmarkEnd w:id="545"/>
      <w:bookmarkEnd w:id="546"/>
      <w:bookmarkEnd w:id="547"/>
      <w:bookmarkEnd w:id="548"/>
      <w:bookmarkEnd w:id="549"/>
      <w:bookmarkEnd w:id="550"/>
      <w:bookmarkEnd w:id="551"/>
    </w:p>
    <w:p>
      <w:pPr>
        <w:pStyle w:val="yShoulderClause"/>
      </w:pPr>
      <w:r>
        <w:t>[r. 24, 39 and 41]</w:t>
      </w:r>
    </w:p>
    <w:p>
      <w:pPr>
        <w:pStyle w:val="yFootnoteheading"/>
      </w:pPr>
      <w:bookmarkStart w:id="552" w:name="_Toc201235739"/>
      <w:bookmarkStart w:id="553" w:name="_Toc201235990"/>
      <w:bookmarkStart w:id="554" w:name="_Toc201236146"/>
      <w:bookmarkStart w:id="555" w:name="_Toc201314553"/>
      <w:r>
        <w:tab/>
        <w:t>[Heading inserted: SL 2025/101 r. 10.]</w:t>
      </w:r>
    </w:p>
    <w:p>
      <w:pPr>
        <w:pStyle w:val="yHeading3"/>
      </w:pPr>
      <w:bookmarkStart w:id="556" w:name="_Toc201323512"/>
      <w:bookmarkStart w:id="557" w:name="_Toc201324321"/>
      <w:bookmarkStart w:id="558" w:name="_Toc201325004"/>
      <w:bookmarkStart w:id="559" w:name="_Toc201325233"/>
      <w:bookmarkStart w:id="560" w:name="_Toc201325462"/>
      <w:bookmarkStart w:id="561" w:name="_Toc201325924"/>
      <w:bookmarkStart w:id="562" w:name="_Toc201745917"/>
      <w:r>
        <w:rPr>
          <w:rStyle w:val="CharSDivNo"/>
        </w:rPr>
        <w:t>Division 1</w:t>
      </w:r>
      <w:r>
        <w:t> — </w:t>
      </w:r>
      <w:r>
        <w:rPr>
          <w:rStyle w:val="CharSDivText"/>
        </w:rPr>
        <w:t>Service charges</w:t>
      </w:r>
      <w:bookmarkEnd w:id="552"/>
      <w:bookmarkEnd w:id="553"/>
      <w:bookmarkEnd w:id="554"/>
      <w:bookmarkEnd w:id="555"/>
      <w:bookmarkEnd w:id="556"/>
      <w:bookmarkEnd w:id="557"/>
      <w:bookmarkEnd w:id="558"/>
      <w:bookmarkEnd w:id="559"/>
      <w:bookmarkEnd w:id="560"/>
      <w:bookmarkEnd w:id="561"/>
      <w:bookmarkEnd w:id="562"/>
    </w:p>
    <w:p>
      <w:pPr>
        <w:pStyle w:val="yFootnoteheading"/>
      </w:pPr>
      <w:bookmarkStart w:id="563" w:name="_Toc201235740"/>
      <w:bookmarkStart w:id="564" w:name="_Toc201314554"/>
      <w:r>
        <w:tab/>
        <w:t>[Heading inserted: SL 2025/101 r. 10.]</w:t>
      </w:r>
    </w:p>
    <w:p>
      <w:pPr>
        <w:pStyle w:val="yHeading5"/>
      </w:pPr>
      <w:bookmarkStart w:id="565" w:name="_Toc201745918"/>
      <w:r>
        <w:rPr>
          <w:rStyle w:val="CharSClsNo"/>
        </w:rPr>
        <w:t>1</w:t>
      </w:r>
      <w:r>
        <w:t>.</w:t>
      </w:r>
      <w:r>
        <w:tab/>
        <w:t>Service charges for 2025/26 and subsequent years</w:t>
      </w:r>
      <w:bookmarkEnd w:id="563"/>
      <w:bookmarkEnd w:id="564"/>
      <w:bookmarkEnd w:id="565"/>
    </w:p>
    <w:p>
      <w:pPr>
        <w:pStyle w:val="ySubsection"/>
      </w:pPr>
      <w:r>
        <w:tab/>
      </w:r>
      <w:r>
        <w:tab/>
        <w:t>The charges set out in this Division apply for sewerage services provided in the</w:t>
      </w:r>
      <w:r>
        <w:rPr>
          <w:szCs w:val="22"/>
        </w:rPr>
        <w:t xml:space="preserve"> 2025/26</w:t>
      </w:r>
      <w:r>
        <w:t> financial year and each subsequent year.</w:t>
      </w:r>
    </w:p>
    <w:p>
      <w:pPr>
        <w:pStyle w:val="yHeading5"/>
      </w:pPr>
      <w:bookmarkStart w:id="566" w:name="_Toc201235741"/>
      <w:bookmarkStart w:id="567" w:name="_Toc201314555"/>
      <w:bookmarkStart w:id="568" w:name="_Toc201745919"/>
      <w:r>
        <w:rPr>
          <w:rStyle w:val="CharSClsNo"/>
        </w:rPr>
        <w:t>2</w:t>
      </w:r>
      <w:r>
        <w:t>.</w:t>
      </w:r>
      <w:r>
        <w:tab/>
        <w:t>Metropolitan residential</w:t>
      </w:r>
      <w:bookmarkEnd w:id="566"/>
      <w:bookmarkEnd w:id="567"/>
      <w:bookmarkEnd w:id="568"/>
    </w:p>
    <w:p>
      <w:pPr>
        <w:pStyle w:val="ySubsection"/>
      </w:pPr>
      <w:r>
        <w:tab/>
        <w:t>(1)</w:t>
      </w:r>
      <w:r>
        <w:tab/>
        <w:t>For each residential property in the metropolitan area that —</w:t>
      </w:r>
    </w:p>
    <w:p>
      <w:pPr>
        <w:pStyle w:val="yIndenta"/>
      </w:pPr>
      <w:r>
        <w:tab/>
        <w:t>(a)</w:t>
      </w:r>
      <w:r>
        <w:tab/>
        <w:t>is not covered by item 4 or 5; and</w:t>
      </w:r>
    </w:p>
    <w:p>
      <w:pPr>
        <w:pStyle w:val="yIndenta"/>
        <w:keepNext/>
      </w:pPr>
      <w:r>
        <w:tab/>
        <w:t>(b)</w:t>
      </w:r>
      <w:r>
        <w:tab/>
        <w:t>is not a caravan park or a nursing home,</w:t>
      </w:r>
    </w:p>
    <w:p>
      <w:pPr>
        <w:pStyle w:val="ySubsection"/>
        <w:keepNext/>
      </w:pPr>
      <w:r>
        <w:tab/>
      </w:r>
      <w:r>
        <w:tab/>
        <w:t>the charge, per dwelling on the land, is —</w:t>
      </w:r>
    </w:p>
    <w:p>
      <w:pPr>
        <w:pStyle w:val="yMiscellaneousBody"/>
        <w:tabs>
          <w:tab w:val="right" w:leader="dot" w:pos="6804"/>
        </w:tabs>
        <w:ind w:left="1984" w:right="284" w:hanging="289"/>
      </w:pPr>
      <w:r>
        <w:t xml:space="preserve">up to $20 000 GRV </w:t>
      </w:r>
      <w:r>
        <w:tab/>
        <w:t>4.551 cents/$</w:t>
      </w:r>
    </w:p>
    <w:p>
      <w:pPr>
        <w:pStyle w:val="yMiscellaneousBody"/>
        <w:spacing w:before="0"/>
        <w:ind w:left="2183" w:right="284" w:hanging="851"/>
        <w:jc w:val="right"/>
      </w:pPr>
      <w:r>
        <w:tab/>
        <w:t>of GRV</w:t>
      </w:r>
    </w:p>
    <w:p>
      <w:pPr>
        <w:pStyle w:val="yMiscellaneousBody"/>
        <w:tabs>
          <w:tab w:val="right" w:leader="dot" w:pos="6804"/>
        </w:tabs>
        <w:ind w:left="1984" w:right="284" w:hanging="289"/>
      </w:pPr>
      <w:r>
        <w:t xml:space="preserve">over $20 000 GRV </w:t>
      </w:r>
      <w:r>
        <w:tab/>
        <w:t>3.946 cents/$</w:t>
      </w:r>
    </w:p>
    <w:p>
      <w:pPr>
        <w:pStyle w:val="yMiscellaneousBody"/>
        <w:spacing w:before="0"/>
        <w:ind w:left="2183" w:right="284" w:hanging="851"/>
        <w:jc w:val="right"/>
      </w:pPr>
      <w:r>
        <w:tab/>
        <w:t>of GRV</w:t>
      </w:r>
    </w:p>
    <w:p>
      <w:pPr>
        <w:pStyle w:val="ySubsection"/>
        <w:tabs>
          <w:tab w:val="right" w:leader="dot" w:pos="6804"/>
        </w:tabs>
      </w:pPr>
      <w:r>
        <w:tab/>
        <w:t>(2)</w:t>
      </w:r>
      <w:r>
        <w:tab/>
        <w:t xml:space="preserve">The minimum charge per dwelling </w:t>
      </w:r>
      <w:r>
        <w:br/>
        <w:t xml:space="preserve">under this item is </w:t>
      </w:r>
      <w:r>
        <w:tab/>
      </w:r>
      <w:r>
        <w:rPr>
          <w:szCs w:val="22"/>
        </w:rPr>
        <w:t>$493.17</w:t>
      </w:r>
    </w:p>
    <w:p>
      <w:pPr>
        <w:pStyle w:val="yHeading5"/>
      </w:pPr>
      <w:bookmarkStart w:id="569" w:name="_Toc201235742"/>
      <w:bookmarkStart w:id="570" w:name="_Toc201314556"/>
      <w:bookmarkStart w:id="571" w:name="_Toc201745920"/>
      <w:r>
        <w:rPr>
          <w:rStyle w:val="CharSClsNo"/>
        </w:rPr>
        <w:t>3</w:t>
      </w:r>
      <w:r>
        <w:t>.</w:t>
      </w:r>
      <w:r>
        <w:tab/>
        <w:t>Metropolitan vacant land</w:t>
      </w:r>
      <w:bookmarkEnd w:id="569"/>
      <w:bookmarkEnd w:id="570"/>
      <w:bookmarkEnd w:id="571"/>
    </w:p>
    <w:p>
      <w:pPr>
        <w:pStyle w:val="ySubsection"/>
        <w:tabs>
          <w:tab w:val="right" w:leader="dot" w:pos="6804"/>
        </w:tabs>
      </w:pPr>
      <w:r>
        <w:tab/>
        <w:t>(1)</w:t>
      </w:r>
      <w:r>
        <w:tab/>
        <w:t xml:space="preserve">For land in the metropolitan area that is </w:t>
      </w:r>
      <w:r>
        <w:br/>
        <w:t xml:space="preserve">classified as vacant land, the charge is </w:t>
      </w:r>
      <w:r>
        <w:tab/>
        <w:t>2.499 cents/$</w:t>
      </w:r>
    </w:p>
    <w:p>
      <w:pPr>
        <w:pStyle w:val="yMiscellaneousBody"/>
        <w:spacing w:before="0"/>
        <w:ind w:left="2183" w:right="284" w:hanging="851"/>
        <w:jc w:val="right"/>
      </w:pPr>
      <w:r>
        <w:tab/>
        <w:t>of GRV</w:t>
      </w:r>
    </w:p>
    <w:p>
      <w:pPr>
        <w:pStyle w:val="ySubsection"/>
        <w:tabs>
          <w:tab w:val="right" w:leader="dot" w:pos="6804"/>
        </w:tabs>
      </w:pPr>
      <w:r>
        <w:tab/>
        <w:t>(2)</w:t>
      </w:r>
      <w:r>
        <w:tab/>
        <w:t xml:space="preserve">The minimum charge under this item is </w:t>
      </w:r>
      <w:r>
        <w:tab/>
      </w:r>
      <w:r>
        <w:rPr>
          <w:szCs w:val="22"/>
        </w:rPr>
        <w:t>$370.80</w:t>
      </w:r>
    </w:p>
    <w:p>
      <w:pPr>
        <w:pStyle w:val="yHeading5"/>
      </w:pPr>
      <w:bookmarkStart w:id="572" w:name="_Toc201235743"/>
      <w:bookmarkStart w:id="573" w:name="_Toc201314557"/>
      <w:bookmarkStart w:id="574" w:name="_Toc201745921"/>
      <w:r>
        <w:rPr>
          <w:rStyle w:val="CharSClsNo"/>
        </w:rPr>
        <w:t>4</w:t>
      </w:r>
      <w:r>
        <w:t>.</w:t>
      </w:r>
      <w:r>
        <w:tab/>
        <w:t>Metropolitan concessional</w:t>
      </w:r>
      <w:bookmarkEnd w:id="572"/>
      <w:bookmarkEnd w:id="573"/>
      <w:bookmarkEnd w:id="574"/>
    </w:p>
    <w:p>
      <w:pPr>
        <w:pStyle w:val="ySubsection"/>
      </w:pPr>
      <w:r>
        <w:tab/>
        <w:t>(1)</w:t>
      </w:r>
      <w:r>
        <w:tab/>
        <w:t>For land in the metropolitan area that is classified as —</w:t>
      </w:r>
    </w:p>
    <w:p>
      <w:pPr>
        <w:pStyle w:val="yIndenta"/>
      </w:pPr>
      <w:r>
        <w:tab/>
        <w:t>(a)</w:t>
      </w:r>
      <w:r>
        <w:tab/>
        <w:t>aged home; or</w:t>
      </w:r>
    </w:p>
    <w:p>
      <w:pPr>
        <w:pStyle w:val="yIndenta"/>
      </w:pPr>
      <w:r>
        <w:lastRenderedPageBreak/>
        <w:tab/>
        <w:t>(b)</w:t>
      </w:r>
      <w:r>
        <w:tab/>
        <w:t xml:space="preserve">charitable purposes or community </w:t>
      </w:r>
      <w:r>
        <w:br/>
        <w:t>purpose,</w:t>
      </w:r>
    </w:p>
    <w:p>
      <w:pPr>
        <w:pStyle w:val="ySubsection"/>
      </w:pPr>
      <w:r>
        <w:tab/>
      </w:r>
      <w:r>
        <w:tab/>
        <w:t>the charge, according to the classification of the land and the number of major fixtures on the land, is the sum of the discounted charges for each fixture, as set out in the Table to this sub</w:t>
      </w:r>
      <w:r>
        <w:noBreakHyphen/>
        <w:t>item.</w:t>
      </w:r>
    </w:p>
    <w:p>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vMerge w:val="restart"/>
            <w:tcBorders>
              <w:top w:val="single" w:sz="4" w:space="0" w:color="auto"/>
            </w:tcBorders>
            <w:noWrap/>
          </w:tcPr>
          <w:p>
            <w:pPr>
              <w:pStyle w:val="yTableNAm"/>
              <w:jc w:val="center"/>
              <w:rPr>
                <w:b/>
              </w:rPr>
            </w:pPr>
          </w:p>
        </w:tc>
        <w:tc>
          <w:tcPr>
            <w:tcW w:w="1134" w:type="dxa"/>
            <w:tcBorders>
              <w:top w:val="single" w:sz="4" w:space="0" w:color="auto"/>
              <w:right w:val="single" w:sz="4" w:space="0" w:color="auto"/>
            </w:tcBorders>
            <w:noWrap/>
          </w:tc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pPr>
            <w:r>
              <w:rPr>
                <w:b/>
              </w:rPr>
              <w:t>Aged home</w:t>
            </w:r>
          </w:p>
        </w:tc>
        <w:tc>
          <w:tcPr>
            <w:tcW w:w="2268" w:type="dxa"/>
            <w:gridSpan w:val="2"/>
            <w:tcBorders>
              <w:top w:val="single" w:sz="4" w:space="0" w:color="auto"/>
              <w:left w:val="single" w:sz="4" w:space="0" w:color="auto"/>
              <w:bottom w:val="single" w:sz="4" w:space="0" w:color="auto"/>
            </w:tcBorders>
            <w:noWrap/>
          </w:tcPr>
          <w:p>
            <w:pPr>
              <w:pStyle w:val="yTableNAm"/>
              <w:jc w:val="center"/>
            </w:pPr>
            <w:r>
              <w:rPr>
                <w:b/>
              </w:rPr>
              <w:t>Charitable purposes or community purpose</w:t>
            </w:r>
          </w:p>
        </w:tc>
      </w:tr>
      <w:tr>
        <w:trPr>
          <w:cantSplit/>
          <w:tblHeader/>
        </w:trPr>
        <w:tc>
          <w:tcPr>
            <w:tcW w:w="1418" w:type="dxa"/>
            <w:vMerge/>
            <w:tcBorders>
              <w:bottom w:val="single" w:sz="4" w:space="0" w:color="auto"/>
            </w:tcBorders>
            <w:noWrap/>
            <w:vAlign w:val="center"/>
          </w:tcPr>
          <w:p>
            <w:pPr>
              <w:pStyle w:val="yTableNAm"/>
              <w:jc w:val="center"/>
              <w:rPr>
                <w:b/>
              </w:rPr>
            </w:pPr>
          </w:p>
        </w:tc>
        <w:tc>
          <w:tcPr>
            <w:tcW w:w="1134" w:type="dxa"/>
            <w:tcBorders>
              <w:bottom w:val="single" w:sz="4" w:space="0" w:color="auto"/>
              <w:right w:val="single" w:sz="4" w:space="0" w:color="auto"/>
            </w:tcBorders>
            <w:noWrap/>
            <w:vAlign w:val="center"/>
          </w:tcPr>
          <w:p>
            <w:pPr>
              <w:pStyle w:val="yTableNAm"/>
              <w:jc w:val="center"/>
            </w:pPr>
            <w:r>
              <w:rPr>
                <w:b/>
                <w:sz w:val="20"/>
              </w:rPr>
              <w:t>Charge</w:t>
            </w:r>
            <w:r>
              <w:rPr>
                <w:b/>
                <w:sz w:val="20"/>
              </w:rPr>
              <w:br/>
            </w:r>
            <w:r>
              <w:rPr>
                <w:b/>
                <w:sz w:val="20"/>
              </w:rPr>
              <w:br/>
              <w:t>$</w:t>
            </w:r>
          </w:p>
        </w:tc>
        <w:tc>
          <w:tcPr>
            <w:tcW w:w="992" w:type="dxa"/>
            <w:tcBorders>
              <w:top w:val="single" w:sz="4" w:space="0" w:color="auto"/>
              <w:left w:val="single" w:sz="4" w:space="0" w:color="auto"/>
              <w:bottom w:val="single" w:sz="4" w:space="0" w:color="auto"/>
            </w:tcBorders>
            <w:noWrap/>
            <w:vAlign w:val="center"/>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right w:val="single" w:sz="4" w:space="0" w:color="auto"/>
            </w:tcBorders>
            <w:noWrap/>
            <w:vAlign w:val="center"/>
          </w:tcPr>
          <w:p>
            <w:pPr>
              <w:pStyle w:val="yTableNAm"/>
              <w:jc w:val="center"/>
            </w:pPr>
            <w:r>
              <w:rPr>
                <w:b/>
                <w:sz w:val="20"/>
              </w:rPr>
              <w:t>Discounted charge</w:t>
            </w:r>
            <w:r>
              <w:rPr>
                <w:b/>
                <w:sz w:val="20"/>
              </w:rPr>
              <w:br/>
              <w:t>$</w:t>
            </w:r>
          </w:p>
        </w:tc>
        <w:tc>
          <w:tcPr>
            <w:tcW w:w="992" w:type="dxa"/>
            <w:tcBorders>
              <w:top w:val="single" w:sz="4" w:space="0" w:color="auto"/>
              <w:left w:val="single" w:sz="4" w:space="0" w:color="auto"/>
              <w:bottom w:val="single" w:sz="4" w:space="0" w:color="auto"/>
            </w:tcBorders>
            <w:noWrap/>
            <w:vAlign w:val="center"/>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tcBorders>
            <w:noWrap/>
            <w:vAlign w:val="center"/>
          </w:tcPr>
          <w:p>
            <w:pPr>
              <w:pStyle w:val="yTableNAm"/>
              <w:jc w:val="center"/>
            </w:pPr>
            <w:r>
              <w:rPr>
                <w:b/>
                <w:sz w:val="20"/>
              </w:rPr>
              <w:t>Discounted charge</w:t>
            </w:r>
            <w:r>
              <w:rPr>
                <w:b/>
                <w:sz w:val="20"/>
              </w:rPr>
              <w:br/>
              <w:t>$</w:t>
            </w:r>
          </w:p>
        </w:tc>
      </w:tr>
      <w:tr>
        <w:trPr>
          <w:cantSplit/>
        </w:trPr>
        <w:tc>
          <w:tcPr>
            <w:tcW w:w="1418" w:type="dxa"/>
            <w:noWrap/>
            <w:tcMar>
              <w:left w:w="62" w:type="dxa"/>
              <w:right w:w="62" w:type="dxa"/>
            </w:tcMar>
          </w:tcPr>
          <w:p>
            <w:pPr>
              <w:pStyle w:val="yTableNAm"/>
              <w:tabs>
                <w:tab w:val="clear" w:pos="567"/>
                <w:tab w:val="left" w:pos="679"/>
              </w:tabs>
              <w:ind w:left="334" w:hanging="334"/>
            </w:pPr>
            <w:r>
              <w:t>1</w:t>
            </w:r>
            <w:r>
              <w:rPr>
                <w:vertAlign w:val="superscript"/>
              </w:rPr>
              <w:t>st</w:t>
            </w:r>
            <w:r>
              <w:tab/>
              <w:t>fixture</w:t>
            </w:r>
          </w:p>
        </w:tc>
        <w:tc>
          <w:tcPr>
            <w:tcW w:w="1134" w:type="dxa"/>
            <w:tcBorders>
              <w:right w:val="single" w:sz="4" w:space="0" w:color="auto"/>
            </w:tcBorders>
            <w:noWrap/>
          </w:tcPr>
          <w:p>
            <w:pPr>
              <w:pStyle w:val="yTableNAm"/>
              <w:jc w:val="center"/>
            </w:pPr>
            <w:r>
              <w:t>1 184.25</w:t>
            </w:r>
          </w:p>
        </w:tc>
        <w:tc>
          <w:tcPr>
            <w:tcW w:w="992" w:type="dxa"/>
            <w:tcBorders>
              <w:left w:val="single" w:sz="4" w:space="0" w:color="auto"/>
            </w:tcBorders>
            <w:noWrap/>
          </w:tcPr>
          <w:p>
            <w:pPr>
              <w:pStyle w:val="yTableNAm"/>
              <w:jc w:val="center"/>
            </w:pPr>
            <w:r>
              <w:t>866.07</w:t>
            </w:r>
          </w:p>
        </w:tc>
        <w:tc>
          <w:tcPr>
            <w:tcW w:w="1276" w:type="dxa"/>
            <w:tcBorders>
              <w:right w:val="single" w:sz="4" w:space="0" w:color="auto"/>
            </w:tcBorders>
            <w:noWrap/>
          </w:tcPr>
          <w:p>
            <w:pPr>
              <w:pStyle w:val="yTableNAm"/>
              <w:jc w:val="center"/>
            </w:pPr>
            <w:r>
              <w:t>318.18</w:t>
            </w:r>
          </w:p>
        </w:tc>
        <w:tc>
          <w:tcPr>
            <w:tcW w:w="992" w:type="dxa"/>
            <w:tcBorders>
              <w:left w:val="single" w:sz="4" w:space="0" w:color="auto"/>
            </w:tcBorders>
            <w:noWrap/>
          </w:tcPr>
          <w:p>
            <w:pPr>
              <w:pStyle w:val="yTableNAm"/>
              <w:jc w:val="center"/>
              <w:rPr>
                <w:b/>
                <w:i/>
              </w:rPr>
            </w:pPr>
            <w:r>
              <w:t>866.07</w:t>
            </w:r>
          </w:p>
        </w:tc>
        <w:tc>
          <w:tcPr>
            <w:tcW w:w="1276" w:type="dxa"/>
            <w:noWrap/>
          </w:tcPr>
          <w:p>
            <w:pPr>
              <w:pStyle w:val="yTableNAm"/>
              <w:jc w:val="center"/>
            </w:pPr>
            <w:r>
              <w:t>318.18</w:t>
            </w:r>
          </w:p>
        </w:tc>
      </w:tr>
      <w:tr>
        <w:trPr>
          <w:cantSplit/>
        </w:trPr>
        <w:tc>
          <w:tcPr>
            <w:tcW w:w="1418" w:type="dxa"/>
            <w:noWrap/>
            <w:tcMar>
              <w:left w:w="62" w:type="dxa"/>
              <w:right w:w="62" w:type="dxa"/>
            </w:tcMar>
          </w:tcPr>
          <w:p>
            <w:pPr>
              <w:pStyle w:val="yTableNAm"/>
              <w:tabs>
                <w:tab w:val="clear" w:pos="567"/>
                <w:tab w:val="left" w:pos="679"/>
              </w:tabs>
              <w:ind w:left="334" w:hanging="334"/>
            </w:pPr>
            <w:r>
              <w:t>2</w:t>
            </w:r>
            <w:r>
              <w:rPr>
                <w:vertAlign w:val="superscript"/>
              </w:rPr>
              <w:t>nd</w:t>
            </w:r>
            <w:r>
              <w:tab/>
              <w:t>fixture</w:t>
            </w:r>
          </w:p>
        </w:tc>
        <w:tc>
          <w:tcPr>
            <w:tcW w:w="1134" w:type="dxa"/>
            <w:tcBorders>
              <w:right w:val="single" w:sz="4" w:space="0" w:color="auto"/>
            </w:tcBorders>
            <w:noWrap/>
          </w:tcPr>
          <w:p>
            <w:pPr>
              <w:pStyle w:val="yTableNAm"/>
              <w:jc w:val="center"/>
            </w:pPr>
            <w:r>
              <w:t>506.92</w:t>
            </w:r>
          </w:p>
        </w:tc>
        <w:tc>
          <w:tcPr>
            <w:tcW w:w="992" w:type="dxa"/>
            <w:tcBorders>
              <w:left w:val="single" w:sz="4" w:space="0" w:color="auto"/>
            </w:tcBorders>
            <w:noWrap/>
          </w:tcPr>
          <w:p>
            <w:pPr>
              <w:pStyle w:val="yTableNAm"/>
              <w:jc w:val="center"/>
            </w:pPr>
            <w:r>
              <w:t>366.94</w:t>
            </w:r>
          </w:p>
        </w:tc>
        <w:tc>
          <w:tcPr>
            <w:tcW w:w="1276" w:type="dxa"/>
            <w:tcBorders>
              <w:right w:val="single" w:sz="4" w:space="0" w:color="auto"/>
            </w:tcBorders>
            <w:noWrap/>
          </w:tcPr>
          <w:p>
            <w:pPr>
              <w:pStyle w:val="yTableNAm"/>
              <w:jc w:val="center"/>
            </w:pPr>
            <w:r>
              <w:t>139.98</w:t>
            </w:r>
          </w:p>
        </w:tc>
        <w:tc>
          <w:tcPr>
            <w:tcW w:w="992" w:type="dxa"/>
            <w:tcBorders>
              <w:left w:val="single" w:sz="4" w:space="0" w:color="auto"/>
            </w:tcBorders>
            <w:noWrap/>
          </w:tcPr>
          <w:p>
            <w:pPr>
              <w:pStyle w:val="yTableNAm"/>
              <w:jc w:val="center"/>
            </w:pPr>
            <w:r>
              <w:t>188.74</w:t>
            </w:r>
          </w:p>
        </w:tc>
        <w:tc>
          <w:tcPr>
            <w:tcW w:w="1276" w:type="dxa"/>
            <w:noWrap/>
          </w:tcPr>
          <w:p>
            <w:pPr>
              <w:pStyle w:val="yTableNAm"/>
              <w:jc w:val="center"/>
            </w:pPr>
            <w:r>
              <w:t>318.18</w:t>
            </w:r>
          </w:p>
        </w:tc>
      </w:tr>
      <w:tr>
        <w:trPr>
          <w:cantSplit/>
        </w:trPr>
        <w:tc>
          <w:tcPr>
            <w:tcW w:w="1418" w:type="dxa"/>
            <w:noWrap/>
            <w:tcMar>
              <w:left w:w="57" w:type="dxa"/>
              <w:right w:w="57" w:type="dxa"/>
            </w:tcMar>
          </w:tcPr>
          <w:p>
            <w:pPr>
              <w:pStyle w:val="yTableNAm"/>
              <w:tabs>
                <w:tab w:val="clear" w:pos="567"/>
                <w:tab w:val="left" w:pos="679"/>
              </w:tabs>
              <w:ind w:left="334" w:hanging="334"/>
            </w:pPr>
            <w:r>
              <w:t>3</w:t>
            </w:r>
            <w:r>
              <w:rPr>
                <w:vertAlign w:val="superscript"/>
              </w:rPr>
              <w:t>rd</w:t>
            </w:r>
            <w:r>
              <w:tab/>
              <w:t>fixture</w:t>
            </w:r>
          </w:p>
        </w:tc>
        <w:tc>
          <w:tcPr>
            <w:tcW w:w="1134" w:type="dxa"/>
            <w:tcBorders>
              <w:right w:val="single" w:sz="4" w:space="0" w:color="auto"/>
            </w:tcBorders>
            <w:noWrap/>
          </w:tcPr>
          <w:p>
            <w:pPr>
              <w:pStyle w:val="yTableNAm"/>
              <w:jc w:val="center"/>
            </w:pPr>
            <w:r>
              <w:t>676.99</w:t>
            </w:r>
          </w:p>
        </w:tc>
        <w:tc>
          <w:tcPr>
            <w:tcW w:w="992" w:type="dxa"/>
            <w:tcBorders>
              <w:left w:val="single" w:sz="4" w:space="0" w:color="auto"/>
            </w:tcBorders>
            <w:noWrap/>
          </w:tcPr>
          <w:p>
            <w:pPr>
              <w:pStyle w:val="yTableNAm"/>
              <w:jc w:val="center"/>
            </w:pPr>
            <w:r>
              <w:t>537.01</w:t>
            </w:r>
          </w:p>
        </w:tc>
        <w:tc>
          <w:tcPr>
            <w:tcW w:w="1276" w:type="dxa"/>
            <w:tcBorders>
              <w:right w:val="single" w:sz="4" w:space="0" w:color="auto"/>
            </w:tcBorders>
            <w:noWrap/>
          </w:tcPr>
          <w:p>
            <w:pPr>
              <w:pStyle w:val="yTableNAm"/>
              <w:jc w:val="center"/>
            </w:pPr>
            <w:r>
              <w:t>139.98</w:t>
            </w:r>
          </w:p>
        </w:tc>
        <w:tc>
          <w:tcPr>
            <w:tcW w:w="992" w:type="dxa"/>
            <w:tcBorders>
              <w:left w:val="single" w:sz="4" w:space="0" w:color="auto"/>
            </w:tcBorders>
            <w:noWrap/>
          </w:tcPr>
          <w:p>
            <w:pPr>
              <w:pStyle w:val="yTableNAm"/>
              <w:jc w:val="center"/>
            </w:pPr>
            <w:r>
              <w:t>358.81</w:t>
            </w:r>
          </w:p>
        </w:tc>
        <w:tc>
          <w:tcPr>
            <w:tcW w:w="1276" w:type="dxa"/>
            <w:noWrap/>
          </w:tcPr>
          <w:p>
            <w:pPr>
              <w:pStyle w:val="yTableNAm"/>
              <w:jc w:val="center"/>
            </w:pPr>
            <w:r>
              <w:t>318.18</w:t>
            </w:r>
          </w:p>
        </w:tc>
      </w:tr>
      <w:tr>
        <w:trPr>
          <w:cantSplit/>
        </w:trPr>
        <w:tc>
          <w:tcPr>
            <w:tcW w:w="1418" w:type="dxa"/>
            <w:tcBorders>
              <w:bottom w:val="single" w:sz="4" w:space="0" w:color="auto"/>
            </w:tcBorders>
            <w:noWrap/>
            <w:tcMar>
              <w:left w:w="28" w:type="dxa"/>
              <w:right w:w="57" w:type="dxa"/>
            </w:tcMar>
          </w:tcPr>
          <w:p>
            <w:pPr>
              <w:pStyle w:val="yTableNAm"/>
              <w:tabs>
                <w:tab w:val="clear" w:pos="567"/>
                <w:tab w:val="left" w:pos="679"/>
              </w:tabs>
              <w:ind w:left="334" w:hanging="334"/>
            </w:pPr>
            <w:r>
              <w:t>4</w:t>
            </w:r>
            <w:r>
              <w:rPr>
                <w:vertAlign w:val="superscript"/>
              </w:rPr>
              <w:t>th</w:t>
            </w:r>
            <w:r>
              <w:tab/>
              <w:t>and subsequent fixtures</w:t>
            </w:r>
          </w:p>
        </w:tc>
        <w:tc>
          <w:tcPr>
            <w:tcW w:w="1134" w:type="dxa"/>
            <w:tcBorders>
              <w:bottom w:val="single" w:sz="4" w:space="0" w:color="auto"/>
              <w:right w:val="single" w:sz="4" w:space="0" w:color="auto"/>
            </w:tcBorders>
            <w:noWrap/>
          </w:tcPr>
          <w:p>
            <w:pPr>
              <w:pStyle w:val="yTableNAm"/>
              <w:jc w:val="center"/>
            </w:pPr>
            <w:r>
              <w:t>736.19</w:t>
            </w:r>
          </w:p>
        </w:tc>
        <w:tc>
          <w:tcPr>
            <w:tcW w:w="992" w:type="dxa"/>
            <w:tcBorders>
              <w:left w:val="single" w:sz="4" w:space="0" w:color="auto"/>
              <w:bottom w:val="single" w:sz="4" w:space="0" w:color="auto"/>
            </w:tcBorders>
            <w:noWrap/>
          </w:tcPr>
          <w:p>
            <w:pPr>
              <w:pStyle w:val="yTableNAm"/>
              <w:jc w:val="center"/>
            </w:pPr>
            <w:r>
              <w:t>596.21</w:t>
            </w:r>
          </w:p>
        </w:tc>
        <w:tc>
          <w:tcPr>
            <w:tcW w:w="1276" w:type="dxa"/>
            <w:tcBorders>
              <w:bottom w:val="single" w:sz="4" w:space="0" w:color="auto"/>
              <w:right w:val="single" w:sz="4" w:space="0" w:color="auto"/>
            </w:tcBorders>
            <w:noWrap/>
          </w:tcPr>
          <w:p>
            <w:pPr>
              <w:pStyle w:val="yTableNAm"/>
              <w:jc w:val="center"/>
            </w:pPr>
            <w:r>
              <w:t>139.98</w:t>
            </w:r>
          </w:p>
        </w:tc>
        <w:tc>
          <w:tcPr>
            <w:tcW w:w="992" w:type="dxa"/>
            <w:tcBorders>
              <w:left w:val="single" w:sz="4" w:space="0" w:color="auto"/>
              <w:bottom w:val="single" w:sz="4" w:space="0" w:color="auto"/>
            </w:tcBorders>
            <w:noWrap/>
          </w:tcPr>
          <w:p>
            <w:pPr>
              <w:pStyle w:val="yTableNAm"/>
              <w:jc w:val="center"/>
            </w:pPr>
            <w:r>
              <w:t>418.01</w:t>
            </w:r>
          </w:p>
        </w:tc>
        <w:tc>
          <w:tcPr>
            <w:tcW w:w="1276" w:type="dxa"/>
            <w:tcBorders>
              <w:bottom w:val="single" w:sz="4" w:space="0" w:color="auto"/>
            </w:tcBorders>
            <w:noWrap/>
          </w:tcPr>
          <w:p>
            <w:pPr>
              <w:pStyle w:val="yTableNAm"/>
              <w:jc w:val="center"/>
            </w:pPr>
            <w:r>
              <w:t>318.18</w:t>
            </w:r>
          </w:p>
        </w:tc>
      </w:tr>
    </w:tbl>
    <w:p>
      <w:pPr>
        <w:pStyle w:val="ySubsection"/>
      </w:pPr>
      <w:r>
        <w:tab/>
        <w:t>(2)</w:t>
      </w:r>
      <w:r>
        <w:tab/>
        <w:t>For concessional land in the metropolitan area that, although a sewerage service is provided, is not connected to sewerage works of the Water Corporation, the charge is the discounted charge set out in the Table to this sub</w:t>
      </w:r>
      <w:r>
        <w:noBreakHyphen/>
        <w:t xml:space="preserve">item. </w:t>
      </w:r>
    </w:p>
    <w:p>
      <w:pPr>
        <w:pStyle w:val="yTHeadingNA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trPr>
          <w:cantSplit/>
          <w:tblHeader/>
        </w:trPr>
        <w:tc>
          <w:tcPr>
            <w:tcW w:w="1135" w:type="dxa"/>
            <w:tcBorders>
              <w:top w:val="single" w:sz="4" w:space="0" w:color="auto"/>
              <w:bottom w:val="single" w:sz="4" w:space="0" w:color="auto"/>
            </w:tcBorders>
            <w:noWrap/>
          </w:tcPr>
          <w:p>
            <w:pPr>
              <w:pStyle w:val="yTableNAm"/>
              <w:jc w:val="center"/>
            </w:pPr>
            <w:r>
              <w:rPr>
                <w:b/>
              </w:rPr>
              <w:t>Charge</w:t>
            </w:r>
            <w:r>
              <w:rPr>
                <w:b/>
              </w:rPr>
              <w:br/>
            </w:r>
            <w:r>
              <w:rPr>
                <w:b/>
              </w:rPr>
              <w:br/>
              <w:t>$</w:t>
            </w:r>
          </w:p>
        </w:tc>
        <w:tc>
          <w:tcPr>
            <w:tcW w:w="1135" w:type="dxa"/>
            <w:tcBorders>
              <w:top w:val="single" w:sz="4" w:space="0" w:color="auto"/>
              <w:bottom w:val="single" w:sz="4" w:space="0" w:color="auto"/>
            </w:tcBorders>
            <w:noWrap/>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tcPr>
          <w:p>
            <w:pPr>
              <w:pStyle w:val="yTableNAm"/>
              <w:jc w:val="center"/>
            </w:pPr>
            <w:r>
              <w:rPr>
                <w:b/>
                <w:szCs w:val="22"/>
              </w:rPr>
              <w:t>Discounted charge</w:t>
            </w:r>
            <w:r>
              <w:rPr>
                <w:b/>
                <w:szCs w:val="22"/>
              </w:rPr>
              <w:br/>
              <w:t>$</w:t>
            </w:r>
          </w:p>
        </w:tc>
      </w:tr>
      <w:tr>
        <w:trPr>
          <w:cantSplit/>
        </w:trPr>
        <w:tc>
          <w:tcPr>
            <w:tcW w:w="1135" w:type="dxa"/>
            <w:tcBorders>
              <w:bottom w:val="single" w:sz="4" w:space="0" w:color="auto"/>
            </w:tcBorders>
            <w:noWrap/>
          </w:tcPr>
          <w:p>
            <w:pPr>
              <w:pStyle w:val="yTableNAm"/>
              <w:jc w:val="center"/>
            </w:pPr>
            <w:r>
              <w:t>1 184.25</w:t>
            </w:r>
          </w:p>
        </w:tc>
        <w:tc>
          <w:tcPr>
            <w:tcW w:w="1135" w:type="dxa"/>
            <w:tcBorders>
              <w:bottom w:val="single" w:sz="4" w:space="0" w:color="auto"/>
            </w:tcBorders>
            <w:noWrap/>
          </w:tcPr>
          <w:p>
            <w:pPr>
              <w:pStyle w:val="yTableNAm"/>
              <w:jc w:val="center"/>
            </w:pPr>
            <w:r>
              <w:t>1 184.25</w:t>
            </w:r>
          </w:p>
        </w:tc>
        <w:tc>
          <w:tcPr>
            <w:tcW w:w="1417" w:type="dxa"/>
            <w:tcBorders>
              <w:bottom w:val="single" w:sz="4" w:space="0" w:color="auto"/>
            </w:tcBorders>
            <w:noWrap/>
            <w:vAlign w:val="bottom"/>
          </w:tcPr>
          <w:p>
            <w:pPr>
              <w:pStyle w:val="yTableNAm"/>
              <w:jc w:val="center"/>
            </w:pPr>
            <w:r>
              <w:t>0.00</w:t>
            </w:r>
          </w:p>
        </w:tc>
      </w:tr>
    </w:tbl>
    <w:p>
      <w:pPr>
        <w:pStyle w:val="yHeading5"/>
      </w:pPr>
      <w:bookmarkStart w:id="575" w:name="_Toc201235744"/>
      <w:bookmarkStart w:id="576" w:name="_Toc201314558"/>
      <w:bookmarkStart w:id="577" w:name="_Toc201745922"/>
      <w:r>
        <w:rPr>
          <w:rStyle w:val="CharSClsNo"/>
        </w:rPr>
        <w:t>5</w:t>
      </w:r>
      <w:r>
        <w:t>.</w:t>
      </w:r>
      <w:r>
        <w:tab/>
        <w:t>Strata</w:t>
      </w:r>
      <w:r>
        <w:noBreakHyphen/>
        <w:t>titled long</w:t>
      </w:r>
      <w:r>
        <w:noBreakHyphen/>
        <w:t>term residential caravan bays and park homes</w:t>
      </w:r>
      <w:bookmarkEnd w:id="575"/>
      <w:bookmarkEnd w:id="576"/>
      <w:bookmarkEnd w:id="577"/>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a long</w:t>
      </w:r>
      <w:r>
        <w:rPr>
          <w:szCs w:val="22"/>
        </w:rPr>
        <w:noBreakHyphen/>
        <w:t xml:space="preserve">term </w:t>
      </w:r>
      <w:r>
        <w:rPr>
          <w:szCs w:val="22"/>
        </w:rPr>
        <w:br/>
      </w:r>
      <w:r>
        <w:t>residential</w:t>
      </w:r>
      <w:r>
        <w:rPr>
          <w:szCs w:val="22"/>
        </w:rPr>
        <w:t xml:space="preserve"> caravan bay or a park home, </w:t>
      </w:r>
      <w:r>
        <w:rPr>
          <w:szCs w:val="22"/>
        </w:rPr>
        <w:br/>
        <w:t xml:space="preserve">the charge is </w:t>
      </w:r>
      <w:r>
        <w:rPr>
          <w:szCs w:val="22"/>
        </w:rPr>
        <w:tab/>
        <w:t>$378.70</w:t>
      </w:r>
    </w:p>
    <w:p>
      <w:pPr>
        <w:pStyle w:val="yHeading5"/>
      </w:pPr>
      <w:bookmarkStart w:id="578" w:name="_Toc201235745"/>
      <w:bookmarkStart w:id="579" w:name="_Toc201314559"/>
      <w:bookmarkStart w:id="580" w:name="_Toc201745923"/>
      <w:r>
        <w:rPr>
          <w:rStyle w:val="CharSClsNo"/>
        </w:rPr>
        <w:lastRenderedPageBreak/>
        <w:t>6</w:t>
      </w:r>
      <w:r>
        <w:t>.</w:t>
      </w:r>
      <w:r>
        <w:tab/>
        <w:t>Storage units or parking bays in strata titles scheme or community titles scheme</w:t>
      </w:r>
      <w:bookmarkEnd w:id="578"/>
      <w:bookmarkEnd w:id="579"/>
      <w:bookmarkEnd w:id="580"/>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 xml:space="preserve">as a parking </w:t>
      </w:r>
      <w:r>
        <w:t>bay</w:t>
      </w:r>
      <w:r>
        <w:rPr>
          <w:szCs w:val="22"/>
        </w:rPr>
        <w:t>, in a strata titles scheme or a</w:t>
      </w:r>
      <w:r>
        <w:rPr>
          <w:szCs w:val="22"/>
        </w:rPr>
        <w:br/>
        <w:t xml:space="preserve">community titles scheme, the </w:t>
      </w:r>
      <w:r>
        <w:t>charge</w:t>
      </w:r>
      <w:r>
        <w:rPr>
          <w:szCs w:val="22"/>
        </w:rPr>
        <w:t xml:space="preserve"> is </w:t>
      </w:r>
      <w:r>
        <w:rPr>
          <w:szCs w:val="22"/>
        </w:rPr>
        <w:tab/>
        <w:t>$117.36</w:t>
      </w:r>
    </w:p>
    <w:p>
      <w:pPr>
        <w:pStyle w:val="yHeading5"/>
      </w:pPr>
      <w:bookmarkStart w:id="581" w:name="_Toc201235746"/>
      <w:bookmarkStart w:id="582" w:name="_Toc201314560"/>
      <w:bookmarkStart w:id="583" w:name="_Toc201745924"/>
      <w:r>
        <w:rPr>
          <w:rStyle w:val="CharSClsNo"/>
        </w:rPr>
        <w:t>7</w:t>
      </w:r>
      <w:r>
        <w:t>.</w:t>
      </w:r>
      <w:r>
        <w:tab/>
        <w:t>Land from which trade waste is discharged into sewer</w:t>
      </w:r>
      <w:bookmarkEnd w:id="581"/>
      <w:bookmarkEnd w:id="582"/>
      <w:bookmarkEnd w:id="583"/>
    </w:p>
    <w:p>
      <w:pPr>
        <w:pStyle w:val="ySubsection"/>
        <w:tabs>
          <w:tab w:val="right" w:leader="dot" w:pos="6804"/>
        </w:tabs>
      </w:pPr>
      <w:r>
        <w:tab/>
        <w:t>(1)</w:t>
      </w:r>
      <w:r>
        <w:tab/>
        <w:t xml:space="preserve">For land from which there is a discharge </w:t>
      </w:r>
      <w:r>
        <w:br/>
        <w:t xml:space="preserve">of trade waste into a </w:t>
      </w:r>
      <w:r>
        <w:rPr>
          <w:szCs w:val="22"/>
        </w:rPr>
        <w:t>sewer</w:t>
      </w:r>
      <w:r>
        <w:t xml:space="preserve"> of the Water </w:t>
      </w:r>
      <w:r>
        <w:br/>
        <w:t xml:space="preserve">Corporation under an approval of the Water </w:t>
      </w:r>
      <w:r>
        <w:br/>
        <w:t xml:space="preserve">Corporation, the charge is </w:t>
      </w:r>
      <w:r>
        <w:tab/>
      </w:r>
      <w:r>
        <w:rPr>
          <w:szCs w:val="22"/>
        </w:rPr>
        <w:t>$258.62</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584" w:name="_Toc201235747"/>
      <w:bookmarkStart w:id="585" w:name="_Toc201314561"/>
      <w:bookmarkStart w:id="586" w:name="_Toc201745925"/>
      <w:r>
        <w:rPr>
          <w:rStyle w:val="CharSClsNo"/>
        </w:rPr>
        <w:t>8</w:t>
      </w:r>
      <w:r>
        <w:t>.</w:t>
      </w:r>
      <w:r>
        <w:tab/>
        <w:t>Land from which trade waste is discharged into sewer through grease arrestor</w:t>
      </w:r>
      <w:bookmarkEnd w:id="584"/>
      <w:bookmarkEnd w:id="585"/>
      <w:bookmarkEnd w:id="586"/>
    </w:p>
    <w:p>
      <w:pPr>
        <w:pStyle w:val="ySubsection"/>
      </w:pPr>
      <w:r>
        <w:tab/>
        <w:t>(1)</w:t>
      </w:r>
      <w:r>
        <w:tab/>
        <w:t xml:space="preserve">For land from which there is a discharge of trade waste into a sewer of the </w:t>
      </w:r>
      <w:r>
        <w:rPr>
          <w:szCs w:val="22"/>
        </w:rPr>
        <w:t>Water</w:t>
      </w:r>
      <w:r>
        <w:t xml:space="preserve"> Corporation through 1 or more grease arrestors under an approval of the Water Corporation, the charge is $103.33 for each grease arrestor.</w:t>
      </w:r>
    </w:p>
    <w:p>
      <w:pPr>
        <w:pStyle w:val="ySubsection"/>
      </w:pPr>
      <w:r>
        <w:tab/>
        <w:t>(2)</w:t>
      </w:r>
      <w:r>
        <w:tab/>
        <w:t>The charge under this item is in addition to any other charge applicable to the land under this Schedule.</w:t>
      </w:r>
    </w:p>
    <w:p>
      <w:pPr>
        <w:pStyle w:val="yHeading5"/>
      </w:pPr>
      <w:bookmarkStart w:id="587" w:name="_Toc201235748"/>
      <w:bookmarkStart w:id="588" w:name="_Toc201314562"/>
      <w:bookmarkStart w:id="589" w:name="_Toc201745926"/>
      <w:r>
        <w:rPr>
          <w:rStyle w:val="CharSClsNo"/>
        </w:rPr>
        <w:t>9</w:t>
      </w:r>
      <w:r>
        <w:t>.</w:t>
      </w:r>
      <w:r>
        <w:tab/>
        <w:t>Trade waste discharged from open area</w:t>
      </w:r>
      <w:bookmarkEnd w:id="587"/>
      <w:bookmarkEnd w:id="588"/>
      <w:bookmarkEnd w:id="589"/>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w:t>
      </w:r>
      <w:r>
        <w:rPr>
          <w:szCs w:val="22"/>
        </w:rPr>
        <w:t>the</w:t>
      </w:r>
      <w:r>
        <w:t xml:space="preserve"> Water Corporation, </w:t>
      </w:r>
      <w:r>
        <w:br/>
        <w:t xml:space="preserve">the charge is </w:t>
      </w:r>
      <w:r>
        <w:tab/>
      </w:r>
      <w:r>
        <w:rPr>
          <w:szCs w:val="22"/>
        </w:rPr>
        <w:t>$1.80</w:t>
      </w:r>
      <w:r>
        <w:t>/m</w:t>
      </w:r>
      <w:r>
        <w:rPr>
          <w:vertAlign w:val="superscript"/>
        </w:rPr>
        <w:t>2</w:t>
      </w:r>
    </w:p>
    <w:p>
      <w:pPr>
        <w:pStyle w:val="yMiscellaneousBody"/>
        <w:spacing w:before="0"/>
        <w:ind w:left="2183" w:right="284" w:hanging="851"/>
        <w:jc w:val="right"/>
      </w:pPr>
      <w:r>
        <w:t>of open area</w:t>
      </w:r>
    </w:p>
    <w:p>
      <w:pPr>
        <w:pStyle w:val="ySubsection"/>
      </w:pPr>
      <w:r>
        <w:tab/>
        <w:t>(2)</w:t>
      </w:r>
      <w:r>
        <w:tab/>
        <w:t>The charge under this item is in addition to any other charge applicable to the land under this Schedule.</w:t>
      </w:r>
    </w:p>
    <w:p>
      <w:pPr>
        <w:pStyle w:val="yHeading5"/>
      </w:pPr>
      <w:bookmarkStart w:id="590" w:name="_Toc201235749"/>
      <w:bookmarkStart w:id="591" w:name="_Toc201314563"/>
      <w:bookmarkStart w:id="592" w:name="_Toc201745927"/>
      <w:r>
        <w:rPr>
          <w:rStyle w:val="CharSClsNo"/>
        </w:rPr>
        <w:t>10</w:t>
      </w:r>
      <w:r>
        <w:t>.</w:t>
      </w:r>
      <w:r>
        <w:tab/>
        <w:t>Non</w:t>
      </w:r>
      <w:r>
        <w:noBreakHyphen/>
        <w:t>metropolitan concessional</w:t>
      </w:r>
      <w:bookmarkEnd w:id="590"/>
      <w:bookmarkEnd w:id="591"/>
      <w:bookmarkEnd w:id="592"/>
    </w:p>
    <w:p>
      <w:pPr>
        <w:pStyle w:val="ySubsection"/>
      </w:pPr>
      <w:r>
        <w:tab/>
        <w:t>(1)</w:t>
      </w:r>
      <w:r>
        <w:tab/>
        <w:t>For land in the non</w:t>
      </w:r>
      <w:r>
        <w:noBreakHyphen/>
        <w:t xml:space="preserve">metropolitan area that is classified as aged home, charitable purposes, community purpose, institutional public or local </w:t>
      </w:r>
      <w:r>
        <w:lastRenderedPageBreak/>
        <w:t>government, the charge, according to the number of major fixtures on the land, is the sum of the discounted charges for each fixture, as set out in the Table to this sub</w:t>
      </w:r>
      <w:r>
        <w:noBreakHyphen/>
        <w:t>item.</w:t>
      </w:r>
    </w:p>
    <w:p>
      <w:pPr>
        <w:pStyle w:val="yTHeadingNAm"/>
      </w:pPr>
      <w:r>
        <w:t>Table of charges and discounts</w:t>
      </w:r>
    </w:p>
    <w:tbl>
      <w:tblPr>
        <w:tblW w:w="5308" w:type="dxa"/>
        <w:tblInd w:w="1418" w:type="dxa"/>
        <w:tblLayout w:type="fixed"/>
        <w:tblLook w:val="0000" w:firstRow="0" w:lastRow="0" w:firstColumn="0" w:lastColumn="0" w:noHBand="0" w:noVBand="0"/>
      </w:tblPr>
      <w:tblGrid>
        <w:gridCol w:w="1347"/>
        <w:gridCol w:w="63"/>
        <w:gridCol w:w="1142"/>
        <w:gridCol w:w="63"/>
        <w:gridCol w:w="1213"/>
        <w:gridCol w:w="63"/>
        <w:gridCol w:w="1354"/>
        <w:gridCol w:w="63"/>
      </w:tblGrid>
      <w:tr>
        <w:trPr>
          <w:gridAfter w:val="1"/>
          <w:wAfter w:w="63" w:type="dxa"/>
          <w:cantSplit/>
          <w:tblHeader/>
        </w:trPr>
        <w:tc>
          <w:tcPr>
            <w:tcW w:w="1347" w:type="dxa"/>
            <w:tcBorders>
              <w:top w:val="single" w:sz="4" w:space="0" w:color="auto"/>
              <w:bottom w:val="single" w:sz="4" w:space="0" w:color="auto"/>
            </w:tcBorders>
            <w:noWrap/>
          </w:tcPr>
          <w:p>
            <w:pPr>
              <w:pStyle w:val="yTableNAm"/>
            </w:pPr>
          </w:p>
        </w:tc>
        <w:tc>
          <w:tcPr>
            <w:tcW w:w="1205" w:type="dxa"/>
            <w:gridSpan w:val="2"/>
            <w:tcBorders>
              <w:top w:val="single" w:sz="4" w:space="0" w:color="auto"/>
              <w:bottom w:val="single" w:sz="4" w:space="0" w:color="auto"/>
            </w:tcBorders>
            <w:noWrap/>
          </w:tcPr>
          <w:p>
            <w:pPr>
              <w:pStyle w:val="yTableNAm"/>
              <w:jc w:val="center"/>
            </w:pPr>
            <w:r>
              <w:rPr>
                <w:b/>
              </w:rPr>
              <w:t>Charge</w:t>
            </w:r>
            <w:r>
              <w:rPr>
                <w:b/>
              </w:rPr>
              <w:br/>
            </w:r>
            <w:r>
              <w:rPr>
                <w:b/>
              </w:rPr>
              <w:br/>
              <w:t>$</w:t>
            </w:r>
          </w:p>
        </w:tc>
        <w:tc>
          <w:tcPr>
            <w:tcW w:w="1276" w:type="dxa"/>
            <w:gridSpan w:val="2"/>
            <w:tcBorders>
              <w:top w:val="single" w:sz="4" w:space="0" w:color="auto"/>
              <w:bottom w:val="single" w:sz="4" w:space="0" w:color="auto"/>
            </w:tcBorders>
            <w:noWrap/>
          </w:tcPr>
          <w:p>
            <w:pPr>
              <w:pStyle w:val="yTableNAm"/>
              <w:jc w:val="center"/>
            </w:pPr>
            <w:r>
              <w:rPr>
                <w:b/>
                <w:szCs w:val="22"/>
              </w:rPr>
              <w:t>Discount</w:t>
            </w:r>
            <w:r>
              <w:rPr>
                <w:b/>
                <w:szCs w:val="22"/>
              </w:rPr>
              <w:br/>
            </w:r>
            <w:r>
              <w:rPr>
                <w:b/>
                <w:szCs w:val="22"/>
              </w:rPr>
              <w:br/>
              <w:t>$</w:t>
            </w:r>
          </w:p>
        </w:tc>
        <w:tc>
          <w:tcPr>
            <w:tcW w:w="1417" w:type="dxa"/>
            <w:gridSpan w:val="2"/>
            <w:tcBorders>
              <w:top w:val="single" w:sz="4" w:space="0" w:color="auto"/>
              <w:bottom w:val="single" w:sz="4" w:space="0" w:color="auto"/>
            </w:tcBorders>
            <w:noWrap/>
          </w:tcPr>
          <w:p>
            <w:pPr>
              <w:pStyle w:val="yTableNAm"/>
              <w:jc w:val="center"/>
            </w:pPr>
            <w:r>
              <w:rPr>
                <w:b/>
                <w:szCs w:val="22"/>
              </w:rPr>
              <w:t>Discounted charge</w:t>
            </w:r>
            <w:r>
              <w:rPr>
                <w:b/>
                <w:szCs w:val="22"/>
              </w:rPr>
              <w:br/>
              <w:t>$</w:t>
            </w:r>
          </w:p>
        </w:tc>
      </w:tr>
      <w:tr>
        <w:trPr>
          <w:cantSplit/>
        </w:trPr>
        <w:tc>
          <w:tcPr>
            <w:tcW w:w="1410" w:type="dxa"/>
            <w:gridSpan w:val="2"/>
            <w:noWrap/>
            <w:tcMar>
              <w:left w:w="62" w:type="dxa"/>
              <w:right w:w="62" w:type="dxa"/>
            </w:tcMar>
          </w:tcPr>
          <w:p>
            <w:pPr>
              <w:pStyle w:val="yTableNAm"/>
              <w:tabs>
                <w:tab w:val="clear" w:pos="567"/>
                <w:tab w:val="left" w:pos="679"/>
              </w:tabs>
              <w:ind w:left="334" w:hanging="334"/>
            </w:pPr>
            <w:r>
              <w:t>1</w:t>
            </w:r>
            <w:r>
              <w:rPr>
                <w:vertAlign w:val="superscript"/>
              </w:rPr>
              <w:t>st</w:t>
            </w:r>
            <w:r>
              <w:tab/>
              <w:t>fixture</w:t>
            </w:r>
          </w:p>
        </w:tc>
        <w:tc>
          <w:tcPr>
            <w:tcW w:w="1205" w:type="dxa"/>
            <w:gridSpan w:val="2"/>
            <w:noWrap/>
          </w:tcPr>
          <w:p>
            <w:pPr>
              <w:pStyle w:val="yTableNAm"/>
              <w:jc w:val="center"/>
            </w:pPr>
            <w:r>
              <w:t>1 184.25</w:t>
            </w:r>
          </w:p>
        </w:tc>
        <w:tc>
          <w:tcPr>
            <w:tcW w:w="1276" w:type="dxa"/>
            <w:gridSpan w:val="2"/>
            <w:noWrap/>
          </w:tcPr>
          <w:p>
            <w:pPr>
              <w:pStyle w:val="yTableNAm"/>
              <w:jc w:val="center"/>
            </w:pPr>
            <w:r>
              <w:t>866.07</w:t>
            </w:r>
          </w:p>
        </w:tc>
        <w:tc>
          <w:tcPr>
            <w:tcW w:w="1417" w:type="dxa"/>
            <w:gridSpan w:val="2"/>
            <w:noWrap/>
          </w:tcPr>
          <w:p>
            <w:pPr>
              <w:pStyle w:val="yTableNAm"/>
              <w:jc w:val="center"/>
            </w:pPr>
            <w:r>
              <w:t>318.18</w:t>
            </w:r>
          </w:p>
        </w:tc>
      </w:tr>
      <w:tr>
        <w:trPr>
          <w:cantSplit/>
        </w:trPr>
        <w:tc>
          <w:tcPr>
            <w:tcW w:w="1410" w:type="dxa"/>
            <w:gridSpan w:val="2"/>
            <w:noWrap/>
            <w:tcMar>
              <w:left w:w="62" w:type="dxa"/>
              <w:right w:w="62" w:type="dxa"/>
            </w:tcMar>
          </w:tcPr>
          <w:p>
            <w:pPr>
              <w:pStyle w:val="yTableNAm"/>
              <w:tabs>
                <w:tab w:val="clear" w:pos="567"/>
                <w:tab w:val="left" w:pos="679"/>
              </w:tabs>
              <w:ind w:left="334" w:hanging="334"/>
            </w:pPr>
            <w:r>
              <w:t>2</w:t>
            </w:r>
            <w:r>
              <w:rPr>
                <w:vertAlign w:val="superscript"/>
              </w:rPr>
              <w:t>nd</w:t>
            </w:r>
            <w:r>
              <w:t xml:space="preserve"> fixture</w:t>
            </w:r>
          </w:p>
        </w:tc>
        <w:tc>
          <w:tcPr>
            <w:tcW w:w="1205" w:type="dxa"/>
            <w:gridSpan w:val="2"/>
            <w:noWrap/>
          </w:tcPr>
          <w:p>
            <w:pPr>
              <w:pStyle w:val="yTableNAm"/>
              <w:jc w:val="center"/>
            </w:pPr>
            <w:r>
              <w:t>506.92</w:t>
            </w:r>
          </w:p>
        </w:tc>
        <w:tc>
          <w:tcPr>
            <w:tcW w:w="1276" w:type="dxa"/>
            <w:gridSpan w:val="2"/>
            <w:noWrap/>
          </w:tcPr>
          <w:p>
            <w:pPr>
              <w:pStyle w:val="yTableNAm"/>
              <w:jc w:val="center"/>
            </w:pPr>
            <w:r>
              <w:t>366.94</w:t>
            </w:r>
          </w:p>
        </w:tc>
        <w:tc>
          <w:tcPr>
            <w:tcW w:w="1417" w:type="dxa"/>
            <w:gridSpan w:val="2"/>
            <w:noWrap/>
          </w:tcPr>
          <w:p>
            <w:pPr>
              <w:pStyle w:val="yTableNAm"/>
              <w:jc w:val="center"/>
            </w:pPr>
            <w:r>
              <w:t>139.98</w:t>
            </w:r>
          </w:p>
        </w:tc>
      </w:tr>
      <w:tr>
        <w:trPr>
          <w:cantSplit/>
        </w:trPr>
        <w:tc>
          <w:tcPr>
            <w:tcW w:w="1410" w:type="dxa"/>
            <w:gridSpan w:val="2"/>
            <w:noWrap/>
            <w:tcMar>
              <w:left w:w="57" w:type="dxa"/>
              <w:right w:w="57" w:type="dxa"/>
            </w:tcMar>
          </w:tcPr>
          <w:p>
            <w:pPr>
              <w:pStyle w:val="yTableNAm"/>
              <w:tabs>
                <w:tab w:val="clear" w:pos="567"/>
                <w:tab w:val="left" w:pos="679"/>
              </w:tabs>
              <w:ind w:left="334" w:hanging="334"/>
            </w:pPr>
            <w:r>
              <w:t>3</w:t>
            </w:r>
            <w:r>
              <w:rPr>
                <w:vertAlign w:val="superscript"/>
              </w:rPr>
              <w:t>rd</w:t>
            </w:r>
            <w:r>
              <w:t xml:space="preserve"> fixture</w:t>
            </w:r>
          </w:p>
        </w:tc>
        <w:tc>
          <w:tcPr>
            <w:tcW w:w="1205" w:type="dxa"/>
            <w:gridSpan w:val="2"/>
            <w:noWrap/>
          </w:tcPr>
          <w:p>
            <w:pPr>
              <w:pStyle w:val="yTableNAm"/>
              <w:jc w:val="center"/>
            </w:pPr>
            <w:r>
              <w:t>676.99</w:t>
            </w:r>
          </w:p>
        </w:tc>
        <w:tc>
          <w:tcPr>
            <w:tcW w:w="1276" w:type="dxa"/>
            <w:gridSpan w:val="2"/>
            <w:noWrap/>
          </w:tcPr>
          <w:p>
            <w:pPr>
              <w:pStyle w:val="yTableNAm"/>
              <w:jc w:val="center"/>
            </w:pPr>
            <w:r>
              <w:t>537.01</w:t>
            </w:r>
          </w:p>
        </w:tc>
        <w:tc>
          <w:tcPr>
            <w:tcW w:w="1417" w:type="dxa"/>
            <w:gridSpan w:val="2"/>
            <w:noWrap/>
          </w:tcPr>
          <w:p>
            <w:pPr>
              <w:pStyle w:val="yTableNAm"/>
              <w:jc w:val="center"/>
            </w:pPr>
            <w:r>
              <w:t>139.98</w:t>
            </w:r>
          </w:p>
        </w:tc>
      </w:tr>
      <w:tr>
        <w:trPr>
          <w:cantSplit/>
        </w:trPr>
        <w:tc>
          <w:tcPr>
            <w:tcW w:w="1410" w:type="dxa"/>
            <w:gridSpan w:val="2"/>
            <w:tcBorders>
              <w:bottom w:val="single" w:sz="4" w:space="0" w:color="auto"/>
            </w:tcBorders>
            <w:noWrap/>
            <w:tcMar>
              <w:left w:w="57" w:type="dxa"/>
              <w:right w:w="57" w:type="dxa"/>
            </w:tcMar>
          </w:tcPr>
          <w:p>
            <w:pPr>
              <w:pStyle w:val="yTableNAm"/>
              <w:tabs>
                <w:tab w:val="clear" w:pos="567"/>
                <w:tab w:val="left" w:pos="679"/>
              </w:tabs>
              <w:ind w:left="298" w:hanging="334"/>
            </w:pPr>
            <w:r>
              <w:t>4</w:t>
            </w:r>
            <w:r>
              <w:rPr>
                <w:vertAlign w:val="superscript"/>
              </w:rPr>
              <w:t>th</w:t>
            </w:r>
            <w:r>
              <w:tab/>
              <w:t>and subsequent fixtures</w:t>
            </w:r>
          </w:p>
        </w:tc>
        <w:tc>
          <w:tcPr>
            <w:tcW w:w="1205" w:type="dxa"/>
            <w:gridSpan w:val="2"/>
            <w:tcBorders>
              <w:bottom w:val="single" w:sz="4" w:space="0" w:color="auto"/>
            </w:tcBorders>
            <w:noWrap/>
          </w:tcPr>
          <w:p>
            <w:pPr>
              <w:pStyle w:val="yTableNAm"/>
              <w:jc w:val="center"/>
            </w:pPr>
            <w:r>
              <w:t>736.19</w:t>
            </w:r>
          </w:p>
        </w:tc>
        <w:tc>
          <w:tcPr>
            <w:tcW w:w="1276" w:type="dxa"/>
            <w:gridSpan w:val="2"/>
            <w:tcBorders>
              <w:bottom w:val="single" w:sz="4" w:space="0" w:color="auto"/>
            </w:tcBorders>
            <w:noWrap/>
          </w:tcPr>
          <w:p>
            <w:pPr>
              <w:pStyle w:val="yTableNAm"/>
              <w:jc w:val="center"/>
            </w:pPr>
            <w:r>
              <w:t>596.21</w:t>
            </w:r>
          </w:p>
        </w:tc>
        <w:tc>
          <w:tcPr>
            <w:tcW w:w="1417" w:type="dxa"/>
            <w:gridSpan w:val="2"/>
            <w:tcBorders>
              <w:bottom w:val="single" w:sz="4" w:space="0" w:color="auto"/>
            </w:tcBorders>
            <w:noWrap/>
          </w:tcPr>
          <w:p>
            <w:pPr>
              <w:pStyle w:val="yTableNAm"/>
              <w:jc w:val="center"/>
            </w:pPr>
            <w:r>
              <w:t>139.98</w:t>
            </w:r>
          </w:p>
        </w:tc>
      </w:tr>
    </w:tbl>
    <w:p>
      <w:pPr>
        <w:pStyle w:val="ySubsection"/>
      </w:pPr>
      <w:r>
        <w:tab/>
        <w:t>(2)</w:t>
      </w:r>
      <w:r>
        <w:tab/>
        <w:t>For concessional land in the non</w:t>
      </w:r>
      <w:r>
        <w:noBreakHyphen/>
        <w:t>metropolitan area that, although a sewerage service is provided, is not connected to sewerage works of the Water Corporation, the charge is the discounted charge set out in the Table to this sub</w:t>
      </w:r>
      <w:r>
        <w:noBreakHyphen/>
        <w:t xml:space="preserve">item. </w:t>
      </w:r>
    </w:p>
    <w:p>
      <w:pPr>
        <w:pStyle w:val="yTHeadingNAm"/>
      </w:pPr>
      <w:r>
        <w:t>Table of charge and discount</w:t>
      </w:r>
    </w:p>
    <w:tbl>
      <w:tblPr>
        <w:tblW w:w="3947" w:type="dxa"/>
        <w:tblInd w:w="2127" w:type="dxa"/>
        <w:tblLayout w:type="fixed"/>
        <w:tblLook w:val="0000" w:firstRow="0" w:lastRow="0" w:firstColumn="0" w:lastColumn="0" w:noHBand="0" w:noVBand="0"/>
      </w:tblPr>
      <w:tblGrid>
        <w:gridCol w:w="1265"/>
        <w:gridCol w:w="1265"/>
        <w:gridCol w:w="1417"/>
      </w:tblGrid>
      <w:tr>
        <w:trPr>
          <w:cantSplit/>
          <w:tblHeader/>
        </w:trPr>
        <w:tc>
          <w:tcPr>
            <w:tcW w:w="1265" w:type="dxa"/>
            <w:tcBorders>
              <w:top w:val="single" w:sz="4" w:space="0" w:color="auto"/>
              <w:bottom w:val="single" w:sz="4" w:space="0" w:color="auto"/>
            </w:tcBorders>
            <w:noWrap/>
            <w:vAlign w:val="center"/>
          </w:tcPr>
          <w:p>
            <w:pPr>
              <w:pStyle w:val="yTableNAm"/>
              <w:jc w:val="center"/>
            </w:pPr>
            <w:r>
              <w:rPr>
                <w:b/>
                <w:szCs w:val="22"/>
              </w:rPr>
              <w:t>Charge</w:t>
            </w:r>
            <w:r>
              <w:rPr>
                <w:b/>
                <w:szCs w:val="22"/>
              </w:rPr>
              <w:br/>
            </w:r>
            <w:r>
              <w:rPr>
                <w:b/>
                <w:szCs w:val="22"/>
              </w:rPr>
              <w:br/>
              <w:t>$</w:t>
            </w:r>
          </w:p>
        </w:tc>
        <w:tc>
          <w:tcPr>
            <w:tcW w:w="1265" w:type="dxa"/>
            <w:tcBorders>
              <w:top w:val="single" w:sz="4" w:space="0" w:color="auto"/>
              <w:bottom w:val="single" w:sz="4" w:space="0" w:color="auto"/>
            </w:tcBorders>
            <w:noWrap/>
            <w:vAlign w:val="center"/>
          </w:tcPr>
          <w:p>
            <w:pPr>
              <w:pStyle w:val="yTableNAm"/>
              <w:jc w:val="center"/>
            </w:pPr>
            <w:r>
              <w:rPr>
                <w:b/>
                <w:szCs w:val="22"/>
              </w:rPr>
              <w:t>Discount</w:t>
            </w:r>
            <w:r>
              <w:rPr>
                <w:b/>
                <w:szCs w:val="22"/>
              </w:rPr>
              <w:br/>
            </w:r>
            <w:r>
              <w:rPr>
                <w:b/>
                <w:szCs w:val="22"/>
              </w:rPr>
              <w:br/>
              <w:t>$</w:t>
            </w:r>
          </w:p>
        </w:tc>
        <w:tc>
          <w:tcPr>
            <w:tcW w:w="1417" w:type="dxa"/>
            <w:tcBorders>
              <w:top w:val="single" w:sz="4" w:space="0" w:color="auto"/>
              <w:bottom w:val="single" w:sz="4" w:space="0" w:color="auto"/>
            </w:tcBorders>
            <w:noWrap/>
            <w:vAlign w:val="center"/>
          </w:tcPr>
          <w:p>
            <w:pPr>
              <w:pStyle w:val="yTableNAm"/>
              <w:jc w:val="center"/>
            </w:pPr>
            <w:r>
              <w:rPr>
                <w:b/>
                <w:szCs w:val="22"/>
              </w:rPr>
              <w:t>Discounted charge</w:t>
            </w:r>
            <w:r>
              <w:rPr>
                <w:b/>
                <w:szCs w:val="22"/>
              </w:rPr>
              <w:br/>
              <w:t>$</w:t>
            </w:r>
          </w:p>
        </w:tc>
      </w:tr>
      <w:tr>
        <w:trPr>
          <w:cantSplit/>
        </w:trPr>
        <w:tc>
          <w:tcPr>
            <w:tcW w:w="1265" w:type="dxa"/>
            <w:tcBorders>
              <w:bottom w:val="single" w:sz="4" w:space="0" w:color="auto"/>
            </w:tcBorders>
            <w:noWrap/>
          </w:tcPr>
          <w:p>
            <w:pPr>
              <w:pStyle w:val="yTableNAm"/>
              <w:jc w:val="center"/>
            </w:pPr>
            <w:r>
              <w:t>1 184.25</w:t>
            </w:r>
          </w:p>
        </w:tc>
        <w:tc>
          <w:tcPr>
            <w:tcW w:w="1265" w:type="dxa"/>
            <w:tcBorders>
              <w:bottom w:val="single" w:sz="4" w:space="0" w:color="auto"/>
            </w:tcBorders>
            <w:noWrap/>
          </w:tcPr>
          <w:p>
            <w:pPr>
              <w:pStyle w:val="yTableNAm"/>
              <w:jc w:val="center"/>
            </w:pPr>
            <w:r>
              <w:t>1 184.25</w:t>
            </w:r>
          </w:p>
        </w:tc>
        <w:tc>
          <w:tcPr>
            <w:tcW w:w="1417" w:type="dxa"/>
            <w:tcBorders>
              <w:bottom w:val="single" w:sz="4" w:space="0" w:color="auto"/>
            </w:tcBorders>
            <w:noWrap/>
          </w:tcPr>
          <w:p>
            <w:pPr>
              <w:pStyle w:val="yTableNAm"/>
              <w:jc w:val="center"/>
            </w:pPr>
            <w:r>
              <w:t>0.00</w:t>
            </w:r>
          </w:p>
        </w:tc>
      </w:tr>
    </w:tbl>
    <w:p>
      <w:pPr>
        <w:pStyle w:val="yHeading5"/>
      </w:pPr>
      <w:bookmarkStart w:id="593" w:name="_Toc201235750"/>
      <w:bookmarkStart w:id="594" w:name="_Toc201314564"/>
      <w:bookmarkStart w:id="595" w:name="_Toc201745928"/>
      <w:r>
        <w:rPr>
          <w:rStyle w:val="CharSClsNo"/>
        </w:rPr>
        <w:t>11</w:t>
      </w:r>
      <w:r>
        <w:t>.</w:t>
      </w:r>
      <w:r>
        <w:tab/>
        <w:t>Community residential</w:t>
      </w:r>
      <w:bookmarkEnd w:id="593"/>
      <w:bookmarkEnd w:id="594"/>
      <w:bookmarkEnd w:id="595"/>
    </w:p>
    <w:p>
      <w:pPr>
        <w:pStyle w:val="ySubsection"/>
      </w:pPr>
      <w:r>
        <w:tab/>
      </w:r>
      <w:r>
        <w:tab/>
        <w:t xml:space="preserve">For land that is classified as community residential, the charge, according to the number of major fixtures on the land, is the sum of the discounted charges for each fixture, as set out in the Table, according to whether the Housing Authority agrees to be responsible for payment of the charge. </w:t>
      </w:r>
    </w:p>
    <w:p>
      <w:pPr>
        <w:pStyle w:val="yTHeadingNAm"/>
      </w:pPr>
      <w:r>
        <w:lastRenderedPageBreak/>
        <w:t>Table of charges and discounts</w:t>
      </w:r>
    </w:p>
    <w:tbl>
      <w:tblPr>
        <w:tblW w:w="7088" w:type="dxa"/>
        <w:tblLayout w:type="fixed"/>
        <w:tblLook w:val="0000" w:firstRow="0" w:lastRow="0" w:firstColumn="0" w:lastColumn="0" w:noHBand="0" w:noVBand="0"/>
      </w:tblPr>
      <w:tblGrid>
        <w:gridCol w:w="1418"/>
        <w:gridCol w:w="992"/>
        <w:gridCol w:w="1134"/>
        <w:gridCol w:w="1134"/>
        <w:gridCol w:w="1134"/>
        <w:gridCol w:w="1276"/>
      </w:tblGrid>
      <w:tr>
        <w:trPr>
          <w:cantSplit/>
          <w:tblHeader/>
        </w:trPr>
        <w:tc>
          <w:tcPr>
            <w:tcW w:w="1418" w:type="dxa"/>
            <w:vMerge w:val="restart"/>
            <w:tcBorders>
              <w:top w:val="single" w:sz="4" w:space="0" w:color="auto"/>
            </w:tcBorders>
            <w:noWrap/>
            <w:vAlign w:val="center"/>
          </w:tcPr>
          <w:p>
            <w:pPr>
              <w:pStyle w:val="yTableNAm"/>
              <w:jc w:val="center"/>
            </w:pPr>
          </w:p>
        </w:tc>
        <w:tc>
          <w:tcPr>
            <w:tcW w:w="992" w:type="dxa"/>
            <w:tcBorders>
              <w:top w:val="single" w:sz="4" w:space="0" w:color="auto"/>
              <w:right w:val="single" w:sz="4" w:space="0" w:color="auto"/>
            </w:tcBorders>
            <w:noWrap/>
            <w:vAlign w:val="center"/>
          </w:tcPr>
          <w:p>
            <w:pPr>
              <w:pStyle w:val="yTableNAm"/>
              <w:jc w:val="center"/>
            </w:pPr>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pPr>
            <w:r>
              <w:rPr>
                <w:b/>
              </w:rPr>
              <w:t>If Housing Authority responsible for payment of charge</w:t>
            </w:r>
          </w:p>
        </w:tc>
        <w:tc>
          <w:tcPr>
            <w:tcW w:w="2410" w:type="dxa"/>
            <w:gridSpan w:val="2"/>
            <w:tcBorders>
              <w:top w:val="single" w:sz="4" w:space="0" w:color="auto"/>
              <w:left w:val="single" w:sz="4" w:space="0" w:color="auto"/>
              <w:bottom w:val="single" w:sz="4" w:space="0" w:color="auto"/>
            </w:tcBorders>
            <w:noWrap/>
          </w:tcPr>
          <w:p>
            <w:pPr>
              <w:pStyle w:val="yTableNAm"/>
              <w:jc w:val="center"/>
            </w:pPr>
            <w:r>
              <w:rPr>
                <w:b/>
              </w:rPr>
              <w:t>In any other case</w:t>
            </w:r>
          </w:p>
        </w:tc>
      </w:tr>
      <w:tr>
        <w:trPr>
          <w:cantSplit/>
          <w:tblHeader/>
        </w:trPr>
        <w:tc>
          <w:tcPr>
            <w:tcW w:w="1418" w:type="dxa"/>
            <w:vMerge/>
            <w:tcBorders>
              <w:bottom w:val="single" w:sz="4" w:space="0" w:color="auto"/>
            </w:tcBorders>
            <w:noWrap/>
            <w:vAlign w:val="center"/>
          </w:tcPr>
          <w:p>
            <w:pPr>
              <w:pStyle w:val="yTableNAm"/>
            </w:pPr>
          </w:p>
        </w:tc>
        <w:tc>
          <w:tcPr>
            <w:tcW w:w="992" w:type="dxa"/>
            <w:tcBorders>
              <w:bottom w:val="single" w:sz="4" w:space="0" w:color="auto"/>
              <w:right w:val="single" w:sz="4" w:space="0" w:color="auto"/>
            </w:tcBorders>
            <w:noWrap/>
          </w:tcPr>
          <w:p>
            <w:pPr>
              <w:pStyle w:val="yTableNAm"/>
              <w:jc w:val="center"/>
            </w:pPr>
            <w:r>
              <w:rPr>
                <w:b/>
                <w:sz w:val="20"/>
              </w:rPr>
              <w:t>Charge</w:t>
            </w:r>
            <w:r>
              <w:rPr>
                <w:b/>
                <w:sz w:val="20"/>
              </w:rPr>
              <w:br/>
            </w:r>
            <w:r>
              <w:rPr>
                <w:b/>
                <w:sz w:val="20"/>
              </w:rPr>
              <w:br/>
              <w:t>$</w:t>
            </w:r>
          </w:p>
        </w:tc>
        <w:tc>
          <w:tcPr>
            <w:tcW w:w="1134" w:type="dxa"/>
            <w:tcBorders>
              <w:top w:val="single" w:sz="4" w:space="0" w:color="auto"/>
              <w:left w:val="single" w:sz="4" w:space="0" w:color="auto"/>
              <w:bottom w:val="single" w:sz="4" w:space="0" w:color="auto"/>
            </w:tcBorders>
            <w:noWrap/>
          </w:tcPr>
          <w:p>
            <w:pPr>
              <w:pStyle w:val="yTableNAm"/>
              <w:jc w:val="center"/>
            </w:pPr>
            <w:r>
              <w:rPr>
                <w:b/>
                <w:sz w:val="20"/>
              </w:rPr>
              <w:t>Discount</w:t>
            </w:r>
            <w:r>
              <w:rPr>
                <w:b/>
                <w:sz w:val="20"/>
              </w:rPr>
              <w:br/>
            </w:r>
            <w:r>
              <w:rPr>
                <w:b/>
                <w:sz w:val="20"/>
              </w:rPr>
              <w:br/>
              <w:t>$</w:t>
            </w:r>
          </w:p>
        </w:tc>
        <w:tc>
          <w:tcPr>
            <w:tcW w:w="1134" w:type="dxa"/>
            <w:tcBorders>
              <w:top w:val="single" w:sz="4" w:space="0" w:color="auto"/>
              <w:bottom w:val="single" w:sz="4" w:space="0" w:color="auto"/>
              <w:right w:val="single" w:sz="4" w:space="0" w:color="auto"/>
            </w:tcBorders>
            <w:noWrap/>
          </w:tcPr>
          <w:p>
            <w:pPr>
              <w:pStyle w:val="yTableNAm"/>
              <w:jc w:val="center"/>
            </w:pPr>
            <w:r>
              <w:rPr>
                <w:b/>
                <w:sz w:val="20"/>
              </w:rPr>
              <w:t>Discounted charge</w:t>
            </w:r>
            <w:r>
              <w:rPr>
                <w:b/>
                <w:sz w:val="20"/>
              </w:rPr>
              <w:br/>
              <w:t>$</w:t>
            </w:r>
          </w:p>
        </w:tc>
        <w:tc>
          <w:tcPr>
            <w:tcW w:w="1134" w:type="dxa"/>
            <w:tcBorders>
              <w:top w:val="single" w:sz="4" w:space="0" w:color="auto"/>
              <w:left w:val="single" w:sz="4" w:space="0" w:color="auto"/>
              <w:bottom w:val="single" w:sz="4" w:space="0" w:color="auto"/>
            </w:tcBorders>
            <w:noWrap/>
          </w:tcPr>
          <w:p>
            <w:pPr>
              <w:pStyle w:val="yTableNAm"/>
              <w:jc w:val="center"/>
            </w:pPr>
            <w:r>
              <w:rPr>
                <w:b/>
                <w:sz w:val="20"/>
              </w:rPr>
              <w:t>Discount</w:t>
            </w:r>
            <w:r>
              <w:rPr>
                <w:b/>
                <w:sz w:val="20"/>
              </w:rPr>
              <w:br/>
            </w:r>
            <w:r>
              <w:rPr>
                <w:b/>
                <w:sz w:val="20"/>
              </w:rPr>
              <w:br/>
              <w:t>$</w:t>
            </w:r>
          </w:p>
        </w:tc>
        <w:tc>
          <w:tcPr>
            <w:tcW w:w="1276" w:type="dxa"/>
            <w:tcBorders>
              <w:top w:val="single" w:sz="4" w:space="0" w:color="auto"/>
              <w:bottom w:val="single" w:sz="4" w:space="0" w:color="auto"/>
            </w:tcBorders>
            <w:noWrap/>
          </w:tcPr>
          <w:p>
            <w:pPr>
              <w:pStyle w:val="yTableNAm"/>
              <w:jc w:val="center"/>
            </w:pPr>
            <w:r>
              <w:rPr>
                <w:b/>
                <w:sz w:val="20"/>
              </w:rPr>
              <w:t>Discounted charge</w:t>
            </w:r>
            <w:r>
              <w:rPr>
                <w:b/>
                <w:sz w:val="20"/>
              </w:rPr>
              <w:br/>
              <w:t>$</w:t>
            </w:r>
          </w:p>
        </w:tc>
      </w:tr>
      <w:tr>
        <w:trPr>
          <w:cantSplit/>
        </w:trPr>
        <w:tc>
          <w:tcPr>
            <w:tcW w:w="1418" w:type="dxa"/>
            <w:noWrap/>
            <w:tcMar>
              <w:left w:w="62" w:type="dxa"/>
              <w:right w:w="62" w:type="dxa"/>
            </w:tcMar>
          </w:tcPr>
          <w:p>
            <w:pPr>
              <w:pStyle w:val="yTableNAm"/>
              <w:tabs>
                <w:tab w:val="clear" w:pos="567"/>
                <w:tab w:val="left" w:pos="679"/>
              </w:tabs>
              <w:ind w:left="298" w:hanging="334"/>
            </w:pPr>
            <w:r>
              <w:t>1</w:t>
            </w:r>
            <w:r>
              <w:rPr>
                <w:vertAlign w:val="superscript"/>
              </w:rPr>
              <w:t>st</w:t>
            </w:r>
            <w:r>
              <w:tab/>
              <w:t>fixture</w:t>
            </w:r>
          </w:p>
        </w:tc>
        <w:tc>
          <w:tcPr>
            <w:tcW w:w="992" w:type="dxa"/>
            <w:tcBorders>
              <w:right w:val="single" w:sz="4" w:space="0" w:color="auto"/>
            </w:tcBorders>
            <w:noWrap/>
          </w:tcPr>
          <w:p>
            <w:pPr>
              <w:pStyle w:val="yTableNAm"/>
              <w:jc w:val="center"/>
            </w:pPr>
            <w:r>
              <w:t>1 184.25</w:t>
            </w:r>
          </w:p>
        </w:tc>
        <w:tc>
          <w:tcPr>
            <w:tcW w:w="1134" w:type="dxa"/>
            <w:tcBorders>
              <w:left w:val="single" w:sz="4" w:space="0" w:color="auto"/>
            </w:tcBorders>
            <w:noWrap/>
          </w:tcPr>
          <w:p>
            <w:pPr>
              <w:pStyle w:val="yTableNAm"/>
              <w:jc w:val="center"/>
            </w:pPr>
            <w:r>
              <w:t>1 048.67</w:t>
            </w:r>
          </w:p>
        </w:tc>
        <w:tc>
          <w:tcPr>
            <w:tcW w:w="1134" w:type="dxa"/>
            <w:tcBorders>
              <w:right w:val="single" w:sz="4" w:space="0" w:color="auto"/>
            </w:tcBorders>
            <w:noWrap/>
          </w:tcPr>
          <w:p>
            <w:pPr>
              <w:pStyle w:val="yTableNAm"/>
              <w:jc w:val="center"/>
            </w:pPr>
            <w:r>
              <w:t>135.58</w:t>
            </w:r>
          </w:p>
        </w:tc>
        <w:tc>
          <w:tcPr>
            <w:tcW w:w="1134" w:type="dxa"/>
            <w:tcBorders>
              <w:left w:val="single" w:sz="4" w:space="0" w:color="auto"/>
            </w:tcBorders>
            <w:noWrap/>
          </w:tcPr>
          <w:p>
            <w:pPr>
              <w:pStyle w:val="yTableNAm"/>
              <w:jc w:val="center"/>
            </w:pPr>
            <w:r>
              <w:t>1 184.25</w:t>
            </w:r>
          </w:p>
        </w:tc>
        <w:tc>
          <w:tcPr>
            <w:tcW w:w="1276" w:type="dxa"/>
            <w:noWrap/>
            <w:vAlign w:val="bottom"/>
          </w:tcPr>
          <w:p>
            <w:pPr>
              <w:pStyle w:val="yTableNAm"/>
              <w:jc w:val="center"/>
            </w:pPr>
            <w:r>
              <w:t>0.00</w:t>
            </w:r>
          </w:p>
        </w:tc>
      </w:tr>
      <w:tr>
        <w:trPr>
          <w:cantSplit/>
        </w:trPr>
        <w:tc>
          <w:tcPr>
            <w:tcW w:w="1418" w:type="dxa"/>
            <w:noWrap/>
            <w:tcMar>
              <w:left w:w="62" w:type="dxa"/>
              <w:right w:w="62" w:type="dxa"/>
            </w:tcMar>
          </w:tcPr>
          <w:p>
            <w:pPr>
              <w:pStyle w:val="yTableNAm"/>
              <w:tabs>
                <w:tab w:val="clear" w:pos="567"/>
                <w:tab w:val="left" w:pos="679"/>
              </w:tabs>
              <w:ind w:left="298" w:hanging="334"/>
            </w:pPr>
            <w:r>
              <w:t>2</w:t>
            </w:r>
            <w:r>
              <w:rPr>
                <w:vertAlign w:val="superscript"/>
              </w:rPr>
              <w:t>nd</w:t>
            </w:r>
            <w:r>
              <w:tab/>
              <w:t>fixture</w:t>
            </w:r>
          </w:p>
        </w:tc>
        <w:tc>
          <w:tcPr>
            <w:tcW w:w="992" w:type="dxa"/>
            <w:tcBorders>
              <w:right w:val="single" w:sz="4" w:space="0" w:color="auto"/>
            </w:tcBorders>
            <w:noWrap/>
          </w:tcPr>
          <w:p>
            <w:pPr>
              <w:pStyle w:val="yTableNAm"/>
              <w:jc w:val="center"/>
            </w:pPr>
            <w:r>
              <w:t>506.92</w:t>
            </w:r>
          </w:p>
        </w:tc>
        <w:tc>
          <w:tcPr>
            <w:tcW w:w="1134" w:type="dxa"/>
            <w:tcBorders>
              <w:left w:val="single" w:sz="4" w:space="0" w:color="auto"/>
            </w:tcBorders>
            <w:noWrap/>
          </w:tcPr>
          <w:p>
            <w:pPr>
              <w:pStyle w:val="yTableNAm"/>
              <w:jc w:val="center"/>
            </w:pPr>
            <w:r>
              <w:t>371.34</w:t>
            </w:r>
          </w:p>
        </w:tc>
        <w:tc>
          <w:tcPr>
            <w:tcW w:w="1134" w:type="dxa"/>
            <w:tcBorders>
              <w:right w:val="single" w:sz="4" w:space="0" w:color="auto"/>
            </w:tcBorders>
            <w:noWrap/>
          </w:tcPr>
          <w:p>
            <w:pPr>
              <w:pStyle w:val="yTableNAm"/>
              <w:jc w:val="center"/>
            </w:pPr>
            <w:r>
              <w:t>135.58</w:t>
            </w:r>
          </w:p>
        </w:tc>
        <w:tc>
          <w:tcPr>
            <w:tcW w:w="1134" w:type="dxa"/>
            <w:tcBorders>
              <w:left w:val="single" w:sz="4" w:space="0" w:color="auto"/>
            </w:tcBorders>
            <w:noWrap/>
          </w:tcPr>
          <w:p>
            <w:pPr>
              <w:pStyle w:val="yTableNAm"/>
              <w:jc w:val="center"/>
            </w:pPr>
            <w:r>
              <w:t>506.92</w:t>
            </w:r>
          </w:p>
        </w:tc>
        <w:tc>
          <w:tcPr>
            <w:tcW w:w="1276" w:type="dxa"/>
            <w:noWrap/>
            <w:vAlign w:val="bottom"/>
          </w:tcPr>
          <w:p>
            <w:pPr>
              <w:pStyle w:val="yTableNAm"/>
              <w:jc w:val="center"/>
            </w:pPr>
            <w:r>
              <w:t>0.00</w:t>
            </w:r>
          </w:p>
        </w:tc>
      </w:tr>
      <w:tr>
        <w:trPr>
          <w:cantSplit/>
        </w:trPr>
        <w:tc>
          <w:tcPr>
            <w:tcW w:w="1418" w:type="dxa"/>
            <w:noWrap/>
            <w:tcMar>
              <w:left w:w="57" w:type="dxa"/>
              <w:right w:w="57" w:type="dxa"/>
            </w:tcMar>
          </w:tcPr>
          <w:p>
            <w:pPr>
              <w:pStyle w:val="yTableNAm"/>
              <w:tabs>
                <w:tab w:val="clear" w:pos="567"/>
                <w:tab w:val="left" w:pos="679"/>
              </w:tabs>
              <w:ind w:left="298" w:hanging="334"/>
            </w:pPr>
            <w:r>
              <w:t>3</w:t>
            </w:r>
            <w:r>
              <w:rPr>
                <w:vertAlign w:val="superscript"/>
              </w:rPr>
              <w:t>rd</w:t>
            </w:r>
            <w:r>
              <w:tab/>
              <w:t>fixture</w:t>
            </w:r>
          </w:p>
        </w:tc>
        <w:tc>
          <w:tcPr>
            <w:tcW w:w="992" w:type="dxa"/>
            <w:tcBorders>
              <w:right w:val="single" w:sz="4" w:space="0" w:color="auto"/>
            </w:tcBorders>
            <w:noWrap/>
          </w:tcPr>
          <w:p>
            <w:pPr>
              <w:pStyle w:val="yTableNAm"/>
              <w:jc w:val="center"/>
            </w:pPr>
            <w:r>
              <w:t>676.99</w:t>
            </w:r>
          </w:p>
        </w:tc>
        <w:tc>
          <w:tcPr>
            <w:tcW w:w="1134" w:type="dxa"/>
            <w:tcBorders>
              <w:left w:val="single" w:sz="4" w:space="0" w:color="auto"/>
            </w:tcBorders>
            <w:noWrap/>
          </w:tcPr>
          <w:p>
            <w:pPr>
              <w:pStyle w:val="yTableNAm"/>
              <w:jc w:val="center"/>
            </w:pPr>
            <w:r>
              <w:t>541.41</w:t>
            </w:r>
          </w:p>
        </w:tc>
        <w:tc>
          <w:tcPr>
            <w:tcW w:w="1134" w:type="dxa"/>
            <w:tcBorders>
              <w:right w:val="single" w:sz="4" w:space="0" w:color="auto"/>
            </w:tcBorders>
            <w:noWrap/>
          </w:tcPr>
          <w:p>
            <w:pPr>
              <w:pStyle w:val="yTableNAm"/>
              <w:jc w:val="center"/>
            </w:pPr>
            <w:r>
              <w:t>135.58</w:t>
            </w:r>
          </w:p>
        </w:tc>
        <w:tc>
          <w:tcPr>
            <w:tcW w:w="1134" w:type="dxa"/>
            <w:tcBorders>
              <w:left w:val="single" w:sz="4" w:space="0" w:color="auto"/>
            </w:tcBorders>
            <w:noWrap/>
          </w:tcPr>
          <w:p>
            <w:pPr>
              <w:pStyle w:val="yTableNAm"/>
              <w:jc w:val="center"/>
            </w:pPr>
            <w:r>
              <w:t>676.99</w:t>
            </w:r>
          </w:p>
        </w:tc>
        <w:tc>
          <w:tcPr>
            <w:tcW w:w="1276" w:type="dxa"/>
            <w:noWrap/>
            <w:vAlign w:val="bottom"/>
          </w:tcPr>
          <w:p>
            <w:pPr>
              <w:pStyle w:val="yTableNAm"/>
              <w:jc w:val="center"/>
            </w:pPr>
            <w:r>
              <w:t>0.00</w:t>
            </w:r>
          </w:p>
        </w:tc>
      </w:tr>
      <w:tr>
        <w:trPr>
          <w:cantSplit/>
        </w:trPr>
        <w:tc>
          <w:tcPr>
            <w:tcW w:w="1418" w:type="dxa"/>
            <w:tcBorders>
              <w:bottom w:val="single" w:sz="4" w:space="0" w:color="auto"/>
            </w:tcBorders>
            <w:noWrap/>
            <w:tcMar>
              <w:left w:w="57" w:type="dxa"/>
              <w:right w:w="57" w:type="dxa"/>
            </w:tcMar>
          </w:tcPr>
          <w:p>
            <w:pPr>
              <w:pStyle w:val="yTableNAm"/>
              <w:tabs>
                <w:tab w:val="clear" w:pos="567"/>
                <w:tab w:val="left" w:pos="679"/>
              </w:tabs>
              <w:ind w:left="298" w:hanging="334"/>
            </w:pPr>
            <w:r>
              <w:t>4</w:t>
            </w:r>
            <w:r>
              <w:rPr>
                <w:vertAlign w:val="superscript"/>
              </w:rPr>
              <w:t>th</w:t>
            </w:r>
            <w:r>
              <w:tab/>
              <w:t>and subsequent fixtures</w:t>
            </w:r>
          </w:p>
        </w:tc>
        <w:tc>
          <w:tcPr>
            <w:tcW w:w="992" w:type="dxa"/>
            <w:tcBorders>
              <w:bottom w:val="single" w:sz="4" w:space="0" w:color="auto"/>
              <w:right w:val="single" w:sz="4" w:space="0" w:color="auto"/>
            </w:tcBorders>
            <w:noWrap/>
          </w:tcPr>
          <w:p>
            <w:pPr>
              <w:pStyle w:val="yTableNAm"/>
              <w:jc w:val="center"/>
            </w:pPr>
            <w:r>
              <w:t>736.19</w:t>
            </w:r>
          </w:p>
        </w:tc>
        <w:tc>
          <w:tcPr>
            <w:tcW w:w="1134" w:type="dxa"/>
            <w:tcBorders>
              <w:left w:val="single" w:sz="4" w:space="0" w:color="auto"/>
              <w:bottom w:val="single" w:sz="4" w:space="0" w:color="auto"/>
            </w:tcBorders>
            <w:noWrap/>
          </w:tcPr>
          <w:p>
            <w:pPr>
              <w:pStyle w:val="yTableNAm"/>
              <w:jc w:val="center"/>
            </w:pPr>
            <w:r>
              <w:t>600.61</w:t>
            </w:r>
          </w:p>
        </w:tc>
        <w:tc>
          <w:tcPr>
            <w:tcW w:w="1134" w:type="dxa"/>
            <w:tcBorders>
              <w:bottom w:val="single" w:sz="4" w:space="0" w:color="auto"/>
              <w:right w:val="single" w:sz="4" w:space="0" w:color="auto"/>
            </w:tcBorders>
            <w:noWrap/>
          </w:tcPr>
          <w:p>
            <w:pPr>
              <w:pStyle w:val="yTableNAm"/>
              <w:jc w:val="center"/>
            </w:pPr>
            <w:r>
              <w:t>135.58</w:t>
            </w:r>
          </w:p>
        </w:tc>
        <w:tc>
          <w:tcPr>
            <w:tcW w:w="1134" w:type="dxa"/>
            <w:tcBorders>
              <w:left w:val="single" w:sz="4" w:space="0" w:color="auto"/>
              <w:bottom w:val="single" w:sz="4" w:space="0" w:color="auto"/>
            </w:tcBorders>
            <w:noWrap/>
          </w:tcPr>
          <w:p>
            <w:pPr>
              <w:pStyle w:val="yTableNAm"/>
              <w:jc w:val="center"/>
            </w:pPr>
            <w:r>
              <w:t>736.19</w:t>
            </w:r>
          </w:p>
        </w:tc>
        <w:tc>
          <w:tcPr>
            <w:tcW w:w="1276" w:type="dxa"/>
            <w:tcBorders>
              <w:bottom w:val="single" w:sz="4" w:space="0" w:color="auto"/>
            </w:tcBorders>
            <w:noWrap/>
          </w:tcPr>
          <w:p>
            <w:pPr>
              <w:pStyle w:val="yTableNAm"/>
              <w:jc w:val="center"/>
            </w:pPr>
            <w:r>
              <w:t>0.00</w:t>
            </w:r>
          </w:p>
        </w:tc>
      </w:tr>
    </w:tbl>
    <w:p>
      <w:pPr>
        <w:pStyle w:val="yHeading5"/>
      </w:pPr>
      <w:bookmarkStart w:id="596" w:name="_Toc201235751"/>
      <w:bookmarkStart w:id="597" w:name="_Toc201314565"/>
      <w:bookmarkStart w:id="598" w:name="_Toc201745929"/>
      <w:r>
        <w:rPr>
          <w:rStyle w:val="CharSClsNo"/>
        </w:rPr>
        <w:t>12</w:t>
      </w:r>
      <w:r>
        <w:t>.</w:t>
      </w:r>
      <w:r>
        <w:tab/>
        <w:t>Non</w:t>
      </w:r>
      <w:r>
        <w:noBreakHyphen/>
        <w:t>metropolitan residential or vacant land</w:t>
      </w:r>
      <w:bookmarkEnd w:id="596"/>
      <w:bookmarkEnd w:id="597"/>
      <w:bookmarkEnd w:id="598"/>
    </w:p>
    <w:p>
      <w:pPr>
        <w:pStyle w:val="ySubsection"/>
      </w:pPr>
      <w:r>
        <w:tab/>
        <w:t>(1)</w:t>
      </w:r>
      <w:r>
        <w:tab/>
        <w:t>This item does not apply to land to which any other item in this Schedule applies.</w:t>
      </w:r>
    </w:p>
    <w:p>
      <w:pPr>
        <w:pStyle w:val="ySubsection"/>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pPr>
        <w:pStyle w:val="ySubsection"/>
        <w:tabs>
          <w:tab w:val="right" w:leader="dot" w:pos="6804"/>
        </w:tabs>
      </w:pPr>
      <w:r>
        <w:tab/>
        <w:t>(3)</w:t>
      </w:r>
      <w:r>
        <w:tab/>
        <w:t xml:space="preserve">The minimum charge per dwelling </w:t>
      </w:r>
      <w:r>
        <w:br/>
        <w:t>under sub</w:t>
      </w:r>
      <w:r>
        <w:noBreakHyphen/>
        <w:t xml:space="preserve">item (2) is </w:t>
      </w:r>
      <w:r>
        <w:tab/>
      </w:r>
      <w:r>
        <w:rPr>
          <w:szCs w:val="22"/>
        </w:rPr>
        <w:t>$493.17</w:t>
      </w:r>
    </w:p>
    <w:p>
      <w:pPr>
        <w:pStyle w:val="ySubsection"/>
        <w:tabs>
          <w:tab w:val="right" w:leader="dot" w:pos="6804"/>
        </w:tabs>
      </w:pPr>
      <w:r>
        <w:tab/>
        <w:t>(4)</w:t>
      </w:r>
      <w:r>
        <w:tab/>
        <w:t xml:space="preserve">The maximum charge per dwelling </w:t>
      </w:r>
      <w:r>
        <w:br/>
        <w:t>under sub</w:t>
      </w:r>
      <w:r>
        <w:noBreakHyphen/>
        <w:t xml:space="preserve">item (2) is </w:t>
      </w:r>
      <w:r>
        <w:tab/>
      </w:r>
      <w:r>
        <w:rPr>
          <w:szCs w:val="22"/>
        </w:rPr>
        <w:t>$1 346.39</w:t>
      </w:r>
    </w:p>
    <w:p>
      <w:pPr>
        <w:pStyle w:val="ySubsection"/>
      </w:pPr>
      <w:r>
        <w:tab/>
        <w:t>(5)</w:t>
      </w:r>
      <w:r>
        <w:tab/>
        <w:t>For vacant land in the non</w:t>
      </w:r>
      <w:r>
        <w:noBreakHyphen/>
        <w:t>metropolitan area that is in a sewerage area referred to in the Table, the charge is, subject to sub</w:t>
      </w:r>
      <w:r>
        <w:noBreakHyphen/>
        <w:t>items (6) and (7), the amount worked out by multiplying the GRV of the land by the relevant rate for the sewerage area set out in the Table for vacant land.</w:t>
      </w:r>
    </w:p>
    <w:p>
      <w:pPr>
        <w:pStyle w:val="ySubsection"/>
        <w:tabs>
          <w:tab w:val="right" w:leader="dot" w:pos="6804"/>
        </w:tabs>
      </w:pPr>
      <w:r>
        <w:tab/>
        <w:t>(6)</w:t>
      </w:r>
      <w:r>
        <w:tab/>
        <w:t>The minimum charge under sub</w:t>
      </w:r>
      <w:r>
        <w:noBreakHyphen/>
        <w:t xml:space="preserve">item (5) is </w:t>
      </w:r>
      <w:r>
        <w:tab/>
      </w:r>
      <w:r>
        <w:rPr>
          <w:szCs w:val="22"/>
        </w:rPr>
        <w:t>$324.52</w:t>
      </w:r>
    </w:p>
    <w:p>
      <w:pPr>
        <w:pStyle w:val="ySubsection"/>
        <w:tabs>
          <w:tab w:val="right" w:leader="dot" w:pos="6804"/>
        </w:tabs>
      </w:pPr>
      <w:r>
        <w:lastRenderedPageBreak/>
        <w:tab/>
        <w:t>(7)</w:t>
      </w:r>
      <w:r>
        <w:tab/>
        <w:t xml:space="preserve">The maximum charge under </w:t>
      </w:r>
      <w:r>
        <w:br/>
        <w:t>sub</w:t>
      </w:r>
      <w:r>
        <w:noBreakHyphen/>
        <w:t xml:space="preserve">item (5) for vacant land that is </w:t>
      </w:r>
      <w:r>
        <w:br/>
        <w:t xml:space="preserve">held for residential purposes is </w:t>
      </w:r>
      <w:r>
        <w:tab/>
      </w:r>
      <w:r>
        <w:rPr>
          <w:szCs w:val="22"/>
        </w:rPr>
        <w:t>$1 346.39</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trPr>
          <w:cantSplit/>
          <w:tblHeader/>
        </w:trPr>
        <w:tc>
          <w:tcPr>
            <w:tcW w:w="2159" w:type="dxa"/>
            <w:tcBorders>
              <w:left w:val="nil"/>
              <w:bottom w:val="single" w:sz="4" w:space="0" w:color="auto"/>
              <w:right w:val="nil"/>
            </w:tcBorders>
            <w:noWrap/>
            <w:vAlign w:val="center"/>
          </w:tcPr>
          <w:p>
            <w:pPr>
              <w:pStyle w:val="yTableNAm"/>
            </w:pPr>
            <w:r>
              <w:rPr>
                <w:b/>
              </w:rPr>
              <w:t>Sewerage area</w:t>
            </w:r>
          </w:p>
        </w:tc>
        <w:tc>
          <w:tcPr>
            <w:tcW w:w="1985" w:type="dxa"/>
            <w:tcBorders>
              <w:left w:val="nil"/>
              <w:bottom w:val="single" w:sz="4" w:space="0" w:color="auto"/>
              <w:right w:val="nil"/>
            </w:tcBorders>
            <w:noWrap/>
            <w:vAlign w:val="center"/>
          </w:tcPr>
          <w:p>
            <w:pPr>
              <w:pStyle w:val="yTableNAm"/>
              <w:jc w:val="center"/>
            </w:pPr>
            <w:r>
              <w:rPr>
                <w:b/>
              </w:rPr>
              <w:t xml:space="preserve">Residential rate </w:t>
            </w:r>
            <w:r>
              <w:rPr>
                <w:b/>
              </w:rPr>
              <w:br/>
              <w:t>cents/$ of GRV</w:t>
            </w:r>
          </w:p>
        </w:tc>
        <w:tc>
          <w:tcPr>
            <w:tcW w:w="1985" w:type="dxa"/>
            <w:tcBorders>
              <w:left w:val="nil"/>
              <w:bottom w:val="single" w:sz="4" w:space="0" w:color="auto"/>
              <w:right w:val="nil"/>
            </w:tcBorders>
            <w:noWrap/>
            <w:vAlign w:val="center"/>
          </w:tcPr>
          <w:p>
            <w:pPr>
              <w:pStyle w:val="yTableNAm"/>
              <w:jc w:val="center"/>
            </w:pPr>
            <w:r>
              <w:rPr>
                <w:b/>
              </w:rPr>
              <w:t xml:space="preserve">Vacant land rate </w:t>
            </w:r>
            <w:r>
              <w:rPr>
                <w:b/>
              </w:rPr>
              <w:br/>
              <w:t>cents/$ of GRV</w:t>
            </w:r>
          </w:p>
        </w:tc>
      </w:tr>
      <w:tr>
        <w:trPr>
          <w:cantSplit/>
        </w:trPr>
        <w:tc>
          <w:tcPr>
            <w:tcW w:w="2159" w:type="dxa"/>
            <w:tcBorders>
              <w:top w:val="single" w:sz="4" w:space="0" w:color="auto"/>
              <w:left w:val="nil"/>
              <w:bottom w:val="nil"/>
              <w:right w:val="nil"/>
            </w:tcBorders>
            <w:noWrap/>
          </w:tcPr>
          <w:p>
            <w:pPr>
              <w:pStyle w:val="yTableNAm"/>
            </w:pPr>
            <w:r>
              <w:t>Albany</w:t>
            </w:r>
          </w:p>
        </w:tc>
        <w:tc>
          <w:tcPr>
            <w:tcW w:w="1985" w:type="dxa"/>
            <w:tcBorders>
              <w:top w:val="single" w:sz="4" w:space="0" w:color="auto"/>
              <w:left w:val="nil"/>
              <w:bottom w:val="nil"/>
              <w:right w:val="nil"/>
            </w:tcBorders>
            <w:noWrap/>
          </w:tcPr>
          <w:p>
            <w:pPr>
              <w:pStyle w:val="yTableNAm"/>
              <w:ind w:right="600"/>
              <w:jc w:val="right"/>
            </w:pPr>
            <w:r>
              <w:t>10.341</w:t>
            </w:r>
          </w:p>
        </w:tc>
        <w:tc>
          <w:tcPr>
            <w:tcW w:w="1985" w:type="dxa"/>
            <w:tcBorders>
              <w:top w:val="single" w:sz="4" w:space="0" w:color="auto"/>
              <w:left w:val="nil"/>
              <w:bottom w:val="nil"/>
              <w:right w:val="nil"/>
            </w:tcBorders>
            <w:noWrap/>
          </w:tcPr>
          <w:p>
            <w:pPr>
              <w:pStyle w:val="yTableNAm"/>
              <w:ind w:right="600"/>
              <w:jc w:val="right"/>
            </w:pPr>
            <w:r>
              <w:t>25.136</w:t>
            </w:r>
          </w:p>
        </w:tc>
      </w:tr>
      <w:tr>
        <w:trPr>
          <w:cantSplit/>
        </w:trPr>
        <w:tc>
          <w:tcPr>
            <w:tcW w:w="2159" w:type="dxa"/>
            <w:tcBorders>
              <w:top w:val="nil"/>
              <w:left w:val="nil"/>
              <w:bottom w:val="nil"/>
              <w:right w:val="nil"/>
            </w:tcBorders>
            <w:noWrap/>
          </w:tcPr>
          <w:p>
            <w:pPr>
              <w:pStyle w:val="yTableNAm"/>
            </w:pPr>
            <w:r>
              <w:t>Augusta</w:t>
            </w:r>
          </w:p>
        </w:tc>
        <w:tc>
          <w:tcPr>
            <w:tcW w:w="1985" w:type="dxa"/>
            <w:tcBorders>
              <w:top w:val="nil"/>
              <w:left w:val="nil"/>
              <w:bottom w:val="nil"/>
              <w:right w:val="nil"/>
            </w:tcBorders>
            <w:noWrap/>
          </w:tcPr>
          <w:p>
            <w:pPr>
              <w:pStyle w:val="yTableNAm"/>
              <w:ind w:right="600"/>
              <w:jc w:val="right"/>
            </w:pPr>
            <w:r>
              <w:t>5.884</w:t>
            </w:r>
          </w:p>
        </w:tc>
        <w:tc>
          <w:tcPr>
            <w:tcW w:w="1985" w:type="dxa"/>
            <w:tcBorders>
              <w:top w:val="nil"/>
              <w:left w:val="nil"/>
              <w:bottom w:val="nil"/>
              <w:right w:val="nil"/>
            </w:tcBorders>
            <w:noWrap/>
          </w:tcPr>
          <w:p>
            <w:pPr>
              <w:pStyle w:val="yTableNAm"/>
              <w:ind w:right="600"/>
              <w:jc w:val="right"/>
            </w:pPr>
            <w:r>
              <w:t>7.782</w:t>
            </w:r>
          </w:p>
        </w:tc>
      </w:tr>
      <w:tr>
        <w:trPr>
          <w:cantSplit/>
        </w:trPr>
        <w:tc>
          <w:tcPr>
            <w:tcW w:w="2159" w:type="dxa"/>
            <w:tcBorders>
              <w:top w:val="nil"/>
              <w:left w:val="nil"/>
              <w:bottom w:val="nil"/>
              <w:right w:val="nil"/>
            </w:tcBorders>
            <w:noWrap/>
          </w:tcPr>
          <w:p>
            <w:pPr>
              <w:pStyle w:val="yTableNAm"/>
            </w:pPr>
            <w:r>
              <w:t>Australind</w:t>
            </w:r>
          </w:p>
        </w:tc>
        <w:tc>
          <w:tcPr>
            <w:tcW w:w="1985" w:type="dxa"/>
            <w:tcBorders>
              <w:top w:val="nil"/>
              <w:left w:val="nil"/>
              <w:bottom w:val="nil"/>
              <w:right w:val="nil"/>
            </w:tcBorders>
            <w:noWrap/>
          </w:tcPr>
          <w:p>
            <w:pPr>
              <w:pStyle w:val="yTableNAm"/>
              <w:ind w:right="600"/>
              <w:jc w:val="right"/>
            </w:pPr>
            <w:r>
              <w:t>3.917</w:t>
            </w:r>
          </w:p>
        </w:tc>
        <w:tc>
          <w:tcPr>
            <w:tcW w:w="1985" w:type="dxa"/>
            <w:tcBorders>
              <w:top w:val="nil"/>
              <w:left w:val="nil"/>
              <w:bottom w:val="nil"/>
              <w:right w:val="nil"/>
            </w:tcBorders>
            <w:noWrap/>
          </w:tcPr>
          <w:p>
            <w:pPr>
              <w:pStyle w:val="yTableNAm"/>
              <w:ind w:right="600"/>
              <w:jc w:val="right"/>
            </w:pPr>
            <w:r>
              <w:t>3.929</w:t>
            </w:r>
          </w:p>
        </w:tc>
      </w:tr>
      <w:tr>
        <w:trPr>
          <w:cantSplit/>
        </w:trPr>
        <w:tc>
          <w:tcPr>
            <w:tcW w:w="2159" w:type="dxa"/>
            <w:tcBorders>
              <w:top w:val="nil"/>
              <w:left w:val="nil"/>
              <w:bottom w:val="nil"/>
              <w:right w:val="nil"/>
            </w:tcBorders>
            <w:noWrap/>
          </w:tcPr>
          <w:p>
            <w:pPr>
              <w:pStyle w:val="yTableNAm"/>
            </w:pPr>
            <w:r>
              <w:t>Beverley</w:t>
            </w:r>
          </w:p>
        </w:tc>
        <w:tc>
          <w:tcPr>
            <w:tcW w:w="1985" w:type="dxa"/>
            <w:tcBorders>
              <w:top w:val="nil"/>
              <w:left w:val="nil"/>
              <w:bottom w:val="nil"/>
              <w:right w:val="nil"/>
            </w:tcBorders>
            <w:noWrap/>
          </w:tcPr>
          <w:p>
            <w:pPr>
              <w:pStyle w:val="yTableNAm"/>
              <w:ind w:right="600"/>
              <w:jc w:val="right"/>
            </w:pPr>
            <w:r>
              <w:t>14.491</w:t>
            </w:r>
          </w:p>
        </w:tc>
        <w:tc>
          <w:tcPr>
            <w:tcW w:w="1985" w:type="dxa"/>
            <w:tcBorders>
              <w:top w:val="nil"/>
              <w:left w:val="nil"/>
              <w:bottom w:val="nil"/>
              <w:right w:val="nil"/>
            </w:tcBorders>
            <w:noWrap/>
          </w:tcPr>
          <w:p>
            <w:pPr>
              <w:pStyle w:val="yTableNAm"/>
              <w:ind w:right="600"/>
              <w:jc w:val="right"/>
            </w:pPr>
            <w:r>
              <w:t>52.143</w:t>
            </w:r>
          </w:p>
        </w:tc>
      </w:tr>
      <w:tr>
        <w:trPr>
          <w:cantSplit/>
        </w:trPr>
        <w:tc>
          <w:tcPr>
            <w:tcW w:w="2159" w:type="dxa"/>
            <w:tcBorders>
              <w:top w:val="nil"/>
              <w:left w:val="nil"/>
              <w:bottom w:val="nil"/>
              <w:right w:val="nil"/>
            </w:tcBorders>
            <w:noWrap/>
          </w:tcPr>
          <w:p>
            <w:pPr>
              <w:pStyle w:val="yTableNAm"/>
            </w:pPr>
            <w:r>
              <w:t>Binningup</w:t>
            </w:r>
          </w:p>
        </w:tc>
        <w:tc>
          <w:tcPr>
            <w:tcW w:w="1985" w:type="dxa"/>
            <w:tcBorders>
              <w:top w:val="nil"/>
              <w:left w:val="nil"/>
              <w:bottom w:val="nil"/>
              <w:right w:val="nil"/>
            </w:tcBorders>
            <w:noWrap/>
          </w:tcPr>
          <w:p>
            <w:pPr>
              <w:pStyle w:val="yTableNAm"/>
              <w:ind w:right="600"/>
              <w:jc w:val="right"/>
            </w:pPr>
            <w:r>
              <w:t>7.476</w:t>
            </w:r>
          </w:p>
        </w:tc>
        <w:tc>
          <w:tcPr>
            <w:tcW w:w="1985" w:type="dxa"/>
            <w:tcBorders>
              <w:top w:val="nil"/>
              <w:left w:val="nil"/>
              <w:bottom w:val="nil"/>
              <w:right w:val="nil"/>
            </w:tcBorders>
            <w:noWrap/>
          </w:tcPr>
          <w:p>
            <w:pPr>
              <w:pStyle w:val="yTableNAm"/>
              <w:ind w:right="600"/>
              <w:jc w:val="right"/>
            </w:pPr>
            <w:r>
              <w:t>26.112</w:t>
            </w:r>
          </w:p>
        </w:tc>
      </w:tr>
      <w:tr>
        <w:trPr>
          <w:cantSplit/>
        </w:trPr>
        <w:tc>
          <w:tcPr>
            <w:tcW w:w="2159" w:type="dxa"/>
            <w:tcBorders>
              <w:top w:val="nil"/>
              <w:left w:val="nil"/>
              <w:bottom w:val="nil"/>
              <w:right w:val="nil"/>
            </w:tcBorders>
            <w:noWrap/>
          </w:tcPr>
          <w:p>
            <w:pPr>
              <w:pStyle w:val="yTableNAm"/>
            </w:pPr>
            <w:r>
              <w:t>Boddington</w:t>
            </w:r>
          </w:p>
        </w:tc>
        <w:tc>
          <w:tcPr>
            <w:tcW w:w="1985" w:type="dxa"/>
            <w:tcBorders>
              <w:top w:val="nil"/>
              <w:left w:val="nil"/>
              <w:bottom w:val="nil"/>
              <w:right w:val="nil"/>
            </w:tcBorders>
            <w:noWrap/>
          </w:tcPr>
          <w:p>
            <w:pPr>
              <w:pStyle w:val="yTableNAm"/>
              <w:ind w:right="600"/>
              <w:jc w:val="right"/>
            </w:pPr>
            <w:r>
              <w:t>23.747</w:t>
            </w:r>
          </w:p>
        </w:tc>
        <w:tc>
          <w:tcPr>
            <w:tcW w:w="1985" w:type="dxa"/>
            <w:tcBorders>
              <w:top w:val="nil"/>
              <w:left w:val="nil"/>
              <w:bottom w:val="nil"/>
              <w:right w:val="nil"/>
            </w:tcBorders>
            <w:noWrap/>
          </w:tcPr>
          <w:p>
            <w:pPr>
              <w:pStyle w:val="yTableNAm"/>
              <w:ind w:right="600"/>
              <w:jc w:val="right"/>
            </w:pPr>
            <w:r>
              <w:t>209.708</w:t>
            </w:r>
          </w:p>
        </w:tc>
      </w:tr>
      <w:tr>
        <w:trPr>
          <w:cantSplit/>
        </w:trPr>
        <w:tc>
          <w:tcPr>
            <w:tcW w:w="2159" w:type="dxa"/>
            <w:tcBorders>
              <w:top w:val="nil"/>
              <w:left w:val="nil"/>
              <w:bottom w:val="nil"/>
              <w:right w:val="nil"/>
            </w:tcBorders>
            <w:noWrap/>
          </w:tcPr>
          <w:p>
            <w:pPr>
              <w:pStyle w:val="yTableNAm"/>
            </w:pPr>
            <w:r>
              <w:t>Boyanup</w:t>
            </w:r>
          </w:p>
        </w:tc>
        <w:tc>
          <w:tcPr>
            <w:tcW w:w="1985" w:type="dxa"/>
            <w:tcBorders>
              <w:top w:val="nil"/>
              <w:left w:val="nil"/>
              <w:bottom w:val="nil"/>
              <w:right w:val="nil"/>
            </w:tcBorders>
            <w:noWrap/>
          </w:tcPr>
          <w:p>
            <w:pPr>
              <w:pStyle w:val="yTableNAm"/>
              <w:ind w:right="600"/>
              <w:jc w:val="right"/>
            </w:pPr>
            <w:r>
              <w:t>10.256</w:t>
            </w:r>
          </w:p>
        </w:tc>
        <w:tc>
          <w:tcPr>
            <w:tcW w:w="1985" w:type="dxa"/>
            <w:tcBorders>
              <w:top w:val="nil"/>
              <w:left w:val="nil"/>
              <w:bottom w:val="nil"/>
              <w:right w:val="nil"/>
            </w:tcBorders>
            <w:noWrap/>
          </w:tcPr>
          <w:p>
            <w:pPr>
              <w:pStyle w:val="yTableNAm"/>
              <w:ind w:right="600"/>
              <w:jc w:val="right"/>
            </w:pPr>
            <w:r>
              <w:t>26.383</w:t>
            </w:r>
          </w:p>
        </w:tc>
      </w:tr>
      <w:tr>
        <w:trPr>
          <w:cantSplit/>
        </w:trPr>
        <w:tc>
          <w:tcPr>
            <w:tcW w:w="2159" w:type="dxa"/>
            <w:tcBorders>
              <w:top w:val="nil"/>
              <w:left w:val="nil"/>
              <w:bottom w:val="nil"/>
              <w:right w:val="nil"/>
            </w:tcBorders>
            <w:noWrap/>
          </w:tcPr>
          <w:p>
            <w:pPr>
              <w:pStyle w:val="yTableNAm"/>
            </w:pPr>
            <w:r>
              <w:t>Bremer Bay</w:t>
            </w:r>
          </w:p>
        </w:tc>
        <w:tc>
          <w:tcPr>
            <w:tcW w:w="1985" w:type="dxa"/>
            <w:tcBorders>
              <w:top w:val="nil"/>
              <w:left w:val="nil"/>
              <w:bottom w:val="nil"/>
              <w:right w:val="nil"/>
            </w:tcBorders>
            <w:noWrap/>
          </w:tcPr>
          <w:p>
            <w:pPr>
              <w:pStyle w:val="yTableNAm"/>
              <w:ind w:right="600"/>
              <w:jc w:val="right"/>
            </w:pPr>
            <w:r>
              <w:t>13.687</w:t>
            </w:r>
          </w:p>
        </w:tc>
        <w:tc>
          <w:tcPr>
            <w:tcW w:w="1985" w:type="dxa"/>
            <w:tcBorders>
              <w:top w:val="nil"/>
              <w:left w:val="nil"/>
              <w:bottom w:val="nil"/>
              <w:right w:val="nil"/>
            </w:tcBorders>
            <w:noWrap/>
          </w:tcPr>
          <w:p>
            <w:pPr>
              <w:pStyle w:val="yTableNAm"/>
              <w:ind w:right="600"/>
              <w:jc w:val="right"/>
            </w:pPr>
            <w:r>
              <w:t>19.762</w:t>
            </w:r>
          </w:p>
        </w:tc>
      </w:tr>
      <w:tr>
        <w:trPr>
          <w:cantSplit/>
        </w:trPr>
        <w:tc>
          <w:tcPr>
            <w:tcW w:w="2159" w:type="dxa"/>
            <w:tcBorders>
              <w:top w:val="nil"/>
              <w:left w:val="nil"/>
              <w:bottom w:val="nil"/>
              <w:right w:val="nil"/>
            </w:tcBorders>
            <w:noWrap/>
          </w:tcPr>
          <w:p>
            <w:pPr>
              <w:pStyle w:val="yTableNAm"/>
            </w:pPr>
            <w:r>
              <w:t>Bridgetown</w:t>
            </w:r>
          </w:p>
        </w:tc>
        <w:tc>
          <w:tcPr>
            <w:tcW w:w="1985" w:type="dxa"/>
            <w:tcBorders>
              <w:top w:val="nil"/>
              <w:left w:val="nil"/>
              <w:bottom w:val="nil"/>
              <w:right w:val="nil"/>
            </w:tcBorders>
            <w:noWrap/>
          </w:tcPr>
          <w:p>
            <w:pPr>
              <w:pStyle w:val="yTableNAm"/>
              <w:ind w:right="600"/>
              <w:jc w:val="right"/>
            </w:pPr>
            <w:r>
              <w:t>26.838</w:t>
            </w:r>
          </w:p>
        </w:tc>
        <w:tc>
          <w:tcPr>
            <w:tcW w:w="1985" w:type="dxa"/>
            <w:tcBorders>
              <w:top w:val="nil"/>
              <w:left w:val="nil"/>
              <w:bottom w:val="nil"/>
              <w:right w:val="nil"/>
            </w:tcBorders>
            <w:noWrap/>
          </w:tcPr>
          <w:p>
            <w:pPr>
              <w:pStyle w:val="yTableNAm"/>
              <w:ind w:right="600"/>
              <w:jc w:val="right"/>
            </w:pPr>
            <w:r>
              <w:t>124.734</w:t>
            </w:r>
          </w:p>
        </w:tc>
      </w:tr>
      <w:tr>
        <w:trPr>
          <w:cantSplit/>
        </w:trPr>
        <w:tc>
          <w:tcPr>
            <w:tcW w:w="2159" w:type="dxa"/>
            <w:tcBorders>
              <w:top w:val="nil"/>
              <w:left w:val="nil"/>
              <w:bottom w:val="nil"/>
              <w:right w:val="nil"/>
            </w:tcBorders>
            <w:noWrap/>
          </w:tcPr>
          <w:p>
            <w:pPr>
              <w:pStyle w:val="yTableNAm"/>
            </w:pPr>
            <w:r>
              <w:t>Broome</w:t>
            </w:r>
          </w:p>
        </w:tc>
        <w:tc>
          <w:tcPr>
            <w:tcW w:w="1985" w:type="dxa"/>
            <w:tcBorders>
              <w:top w:val="nil"/>
              <w:left w:val="nil"/>
              <w:bottom w:val="nil"/>
              <w:right w:val="nil"/>
            </w:tcBorders>
            <w:noWrap/>
          </w:tcPr>
          <w:p>
            <w:pPr>
              <w:pStyle w:val="yTableNAm"/>
              <w:ind w:right="600"/>
              <w:jc w:val="right"/>
            </w:pPr>
            <w:r>
              <w:t>6.752</w:t>
            </w:r>
          </w:p>
        </w:tc>
        <w:tc>
          <w:tcPr>
            <w:tcW w:w="1985" w:type="dxa"/>
            <w:tcBorders>
              <w:top w:val="nil"/>
              <w:left w:val="nil"/>
              <w:bottom w:val="nil"/>
              <w:right w:val="nil"/>
            </w:tcBorders>
            <w:noWrap/>
          </w:tcPr>
          <w:p>
            <w:pPr>
              <w:pStyle w:val="yTableNAm"/>
              <w:ind w:right="600"/>
              <w:jc w:val="right"/>
            </w:pPr>
            <w:r>
              <w:t>21.048</w:t>
            </w:r>
          </w:p>
        </w:tc>
      </w:tr>
      <w:tr>
        <w:trPr>
          <w:cantSplit/>
        </w:trPr>
        <w:tc>
          <w:tcPr>
            <w:tcW w:w="2159" w:type="dxa"/>
            <w:tcBorders>
              <w:top w:val="nil"/>
              <w:left w:val="nil"/>
              <w:bottom w:val="nil"/>
              <w:right w:val="nil"/>
            </w:tcBorders>
            <w:noWrap/>
          </w:tcPr>
          <w:p>
            <w:pPr>
              <w:pStyle w:val="yTableNAm"/>
            </w:pPr>
            <w:r>
              <w:t>Brunswick</w:t>
            </w:r>
          </w:p>
        </w:tc>
        <w:tc>
          <w:tcPr>
            <w:tcW w:w="1985" w:type="dxa"/>
            <w:tcBorders>
              <w:top w:val="nil"/>
              <w:left w:val="nil"/>
              <w:bottom w:val="nil"/>
              <w:right w:val="nil"/>
            </w:tcBorders>
            <w:noWrap/>
          </w:tcPr>
          <w:p>
            <w:pPr>
              <w:pStyle w:val="yTableNAm"/>
              <w:ind w:right="600"/>
              <w:jc w:val="right"/>
            </w:pPr>
            <w:r>
              <w:t>9.493</w:t>
            </w:r>
          </w:p>
        </w:tc>
        <w:tc>
          <w:tcPr>
            <w:tcW w:w="1985" w:type="dxa"/>
            <w:tcBorders>
              <w:top w:val="nil"/>
              <w:left w:val="nil"/>
              <w:bottom w:val="nil"/>
              <w:right w:val="nil"/>
            </w:tcBorders>
            <w:noWrap/>
          </w:tcPr>
          <w:p>
            <w:pPr>
              <w:pStyle w:val="yTableNAm"/>
              <w:ind w:right="600"/>
              <w:jc w:val="right"/>
            </w:pPr>
            <w:r>
              <w:t>24.341</w:t>
            </w:r>
          </w:p>
        </w:tc>
      </w:tr>
      <w:tr>
        <w:trPr>
          <w:cantSplit/>
        </w:trPr>
        <w:tc>
          <w:tcPr>
            <w:tcW w:w="2159" w:type="dxa"/>
            <w:tcBorders>
              <w:top w:val="nil"/>
              <w:left w:val="nil"/>
              <w:bottom w:val="nil"/>
              <w:right w:val="nil"/>
            </w:tcBorders>
            <w:noWrap/>
          </w:tcPr>
          <w:p>
            <w:pPr>
              <w:pStyle w:val="yTableNAm"/>
            </w:pPr>
            <w:r>
              <w:t>Bruce Rock</w:t>
            </w:r>
          </w:p>
        </w:tc>
        <w:tc>
          <w:tcPr>
            <w:tcW w:w="1985" w:type="dxa"/>
            <w:tcBorders>
              <w:top w:val="nil"/>
              <w:left w:val="nil"/>
              <w:bottom w:val="nil"/>
              <w:right w:val="nil"/>
            </w:tcBorders>
            <w:noWrap/>
          </w:tcPr>
          <w:p>
            <w:pPr>
              <w:pStyle w:val="yTableNAm"/>
              <w:ind w:right="600"/>
              <w:jc w:val="right"/>
            </w:pPr>
            <w:r>
              <w:t>68.512</w:t>
            </w:r>
          </w:p>
        </w:tc>
        <w:tc>
          <w:tcPr>
            <w:tcW w:w="1985" w:type="dxa"/>
            <w:tcBorders>
              <w:top w:val="nil"/>
              <w:left w:val="nil"/>
              <w:bottom w:val="nil"/>
              <w:right w:val="nil"/>
            </w:tcBorders>
            <w:noWrap/>
          </w:tcPr>
          <w:p>
            <w:pPr>
              <w:pStyle w:val="yTableNAm"/>
              <w:ind w:right="600"/>
              <w:jc w:val="right"/>
            </w:pPr>
            <w:r>
              <w:t>453.770</w:t>
            </w:r>
          </w:p>
        </w:tc>
      </w:tr>
      <w:tr>
        <w:trPr>
          <w:cantSplit/>
        </w:trPr>
        <w:tc>
          <w:tcPr>
            <w:tcW w:w="2159" w:type="dxa"/>
            <w:tcBorders>
              <w:top w:val="nil"/>
              <w:left w:val="nil"/>
              <w:bottom w:val="nil"/>
              <w:right w:val="nil"/>
            </w:tcBorders>
            <w:noWrap/>
          </w:tcPr>
          <w:p>
            <w:pPr>
              <w:pStyle w:val="yTableNAm"/>
            </w:pPr>
            <w:r>
              <w:t>Bunbury</w:t>
            </w:r>
          </w:p>
        </w:tc>
        <w:tc>
          <w:tcPr>
            <w:tcW w:w="1985" w:type="dxa"/>
            <w:tcBorders>
              <w:top w:val="nil"/>
              <w:left w:val="nil"/>
              <w:bottom w:val="nil"/>
              <w:right w:val="nil"/>
            </w:tcBorders>
            <w:noWrap/>
          </w:tcPr>
          <w:p>
            <w:pPr>
              <w:pStyle w:val="yTableNAm"/>
              <w:ind w:right="600"/>
              <w:jc w:val="right"/>
            </w:pPr>
            <w:r>
              <w:t>7.350</w:t>
            </w:r>
          </w:p>
        </w:tc>
        <w:tc>
          <w:tcPr>
            <w:tcW w:w="1985" w:type="dxa"/>
            <w:tcBorders>
              <w:top w:val="nil"/>
              <w:left w:val="nil"/>
              <w:bottom w:val="nil"/>
              <w:right w:val="nil"/>
            </w:tcBorders>
            <w:noWrap/>
          </w:tcPr>
          <w:p>
            <w:pPr>
              <w:pStyle w:val="yTableNAm"/>
              <w:ind w:right="600"/>
              <w:jc w:val="right"/>
            </w:pPr>
            <w:r>
              <w:t>14.141</w:t>
            </w:r>
          </w:p>
        </w:tc>
      </w:tr>
      <w:tr>
        <w:trPr>
          <w:cantSplit/>
        </w:trPr>
        <w:tc>
          <w:tcPr>
            <w:tcW w:w="2159" w:type="dxa"/>
            <w:tcBorders>
              <w:top w:val="nil"/>
              <w:left w:val="nil"/>
              <w:bottom w:val="nil"/>
              <w:right w:val="nil"/>
            </w:tcBorders>
            <w:noWrap/>
          </w:tcPr>
          <w:p>
            <w:pPr>
              <w:pStyle w:val="yTableNAm"/>
            </w:pPr>
            <w:r>
              <w:t>Burekup</w:t>
            </w:r>
          </w:p>
        </w:tc>
        <w:tc>
          <w:tcPr>
            <w:tcW w:w="1985" w:type="dxa"/>
            <w:tcBorders>
              <w:top w:val="nil"/>
              <w:left w:val="nil"/>
              <w:bottom w:val="nil"/>
              <w:right w:val="nil"/>
            </w:tcBorders>
            <w:noWrap/>
          </w:tcPr>
          <w:p>
            <w:pPr>
              <w:pStyle w:val="yTableNAm"/>
              <w:ind w:right="600"/>
              <w:jc w:val="right"/>
            </w:pPr>
            <w:r>
              <w:t>6.518</w:t>
            </w:r>
          </w:p>
        </w:tc>
        <w:tc>
          <w:tcPr>
            <w:tcW w:w="1985" w:type="dxa"/>
            <w:tcBorders>
              <w:top w:val="nil"/>
              <w:left w:val="nil"/>
              <w:bottom w:val="nil"/>
              <w:right w:val="nil"/>
            </w:tcBorders>
            <w:noWrap/>
          </w:tcPr>
          <w:p>
            <w:pPr>
              <w:pStyle w:val="yTableNAm"/>
              <w:ind w:right="600"/>
              <w:jc w:val="right"/>
            </w:pPr>
            <w:r>
              <w:t>8.879</w:t>
            </w:r>
          </w:p>
        </w:tc>
      </w:tr>
      <w:tr>
        <w:trPr>
          <w:cantSplit/>
        </w:trPr>
        <w:tc>
          <w:tcPr>
            <w:tcW w:w="2159" w:type="dxa"/>
            <w:tcBorders>
              <w:top w:val="nil"/>
              <w:left w:val="nil"/>
              <w:bottom w:val="nil"/>
              <w:right w:val="nil"/>
            </w:tcBorders>
            <w:noWrap/>
          </w:tcPr>
          <w:p>
            <w:pPr>
              <w:pStyle w:val="yTableNAm"/>
            </w:pPr>
            <w:r>
              <w:t>Busselton</w:t>
            </w:r>
          </w:p>
        </w:tc>
        <w:tc>
          <w:tcPr>
            <w:tcW w:w="1985" w:type="dxa"/>
            <w:tcBorders>
              <w:top w:val="nil"/>
              <w:left w:val="nil"/>
              <w:bottom w:val="nil"/>
              <w:right w:val="nil"/>
            </w:tcBorders>
            <w:noWrap/>
          </w:tcPr>
          <w:p>
            <w:pPr>
              <w:pStyle w:val="yTableNAm"/>
              <w:ind w:right="600"/>
              <w:jc w:val="right"/>
            </w:pPr>
            <w:r>
              <w:t>3.957</w:t>
            </w:r>
          </w:p>
        </w:tc>
        <w:tc>
          <w:tcPr>
            <w:tcW w:w="1985" w:type="dxa"/>
            <w:tcBorders>
              <w:top w:val="nil"/>
              <w:left w:val="nil"/>
              <w:bottom w:val="nil"/>
              <w:right w:val="nil"/>
            </w:tcBorders>
            <w:noWrap/>
          </w:tcPr>
          <w:p>
            <w:pPr>
              <w:pStyle w:val="yTableNAm"/>
              <w:ind w:right="600"/>
              <w:jc w:val="right"/>
            </w:pPr>
            <w:r>
              <w:t>3.628</w:t>
            </w:r>
          </w:p>
        </w:tc>
      </w:tr>
      <w:tr>
        <w:trPr>
          <w:cantSplit/>
        </w:trPr>
        <w:tc>
          <w:tcPr>
            <w:tcW w:w="2159" w:type="dxa"/>
            <w:tcBorders>
              <w:top w:val="nil"/>
              <w:left w:val="nil"/>
              <w:bottom w:val="nil"/>
              <w:right w:val="nil"/>
            </w:tcBorders>
            <w:noWrap/>
          </w:tcPr>
          <w:p>
            <w:pPr>
              <w:pStyle w:val="yTableNAm"/>
            </w:pPr>
            <w:r>
              <w:t>Capel</w:t>
            </w:r>
          </w:p>
        </w:tc>
        <w:tc>
          <w:tcPr>
            <w:tcW w:w="1985" w:type="dxa"/>
            <w:tcBorders>
              <w:top w:val="nil"/>
              <w:left w:val="nil"/>
              <w:bottom w:val="nil"/>
              <w:right w:val="nil"/>
            </w:tcBorders>
            <w:noWrap/>
          </w:tcPr>
          <w:p>
            <w:pPr>
              <w:pStyle w:val="yTableNAm"/>
              <w:ind w:right="600"/>
              <w:jc w:val="right"/>
            </w:pPr>
            <w:r>
              <w:t>7.250</w:t>
            </w:r>
          </w:p>
        </w:tc>
        <w:tc>
          <w:tcPr>
            <w:tcW w:w="1985" w:type="dxa"/>
            <w:tcBorders>
              <w:top w:val="nil"/>
              <w:left w:val="nil"/>
              <w:bottom w:val="nil"/>
              <w:right w:val="nil"/>
            </w:tcBorders>
            <w:noWrap/>
          </w:tcPr>
          <w:p>
            <w:pPr>
              <w:pStyle w:val="yTableNAm"/>
              <w:ind w:right="600"/>
              <w:jc w:val="right"/>
            </w:pPr>
            <w:r>
              <w:t>12.200</w:t>
            </w:r>
          </w:p>
        </w:tc>
      </w:tr>
      <w:tr>
        <w:trPr>
          <w:cantSplit/>
        </w:trPr>
        <w:tc>
          <w:tcPr>
            <w:tcW w:w="2159" w:type="dxa"/>
            <w:tcBorders>
              <w:top w:val="nil"/>
              <w:left w:val="nil"/>
              <w:bottom w:val="nil"/>
              <w:right w:val="nil"/>
            </w:tcBorders>
            <w:noWrap/>
          </w:tcPr>
          <w:p>
            <w:pPr>
              <w:pStyle w:val="yTableNAm"/>
            </w:pPr>
            <w:r>
              <w:lastRenderedPageBreak/>
              <w:t>Carnarvon</w:t>
            </w:r>
          </w:p>
        </w:tc>
        <w:tc>
          <w:tcPr>
            <w:tcW w:w="1985" w:type="dxa"/>
            <w:tcBorders>
              <w:top w:val="nil"/>
              <w:left w:val="nil"/>
              <w:bottom w:val="nil"/>
              <w:right w:val="nil"/>
            </w:tcBorders>
            <w:noWrap/>
          </w:tcPr>
          <w:p>
            <w:pPr>
              <w:pStyle w:val="yTableNAm"/>
              <w:ind w:right="600"/>
              <w:jc w:val="right"/>
            </w:pPr>
            <w:r>
              <w:t>10.513</w:t>
            </w:r>
          </w:p>
        </w:tc>
        <w:tc>
          <w:tcPr>
            <w:tcW w:w="1985" w:type="dxa"/>
            <w:tcBorders>
              <w:top w:val="nil"/>
              <w:left w:val="nil"/>
              <w:bottom w:val="nil"/>
              <w:right w:val="nil"/>
            </w:tcBorders>
            <w:noWrap/>
          </w:tcPr>
          <w:p>
            <w:pPr>
              <w:pStyle w:val="yTableNAm"/>
              <w:ind w:right="600"/>
              <w:jc w:val="right"/>
            </w:pPr>
            <w:r>
              <w:t>25.232</w:t>
            </w:r>
          </w:p>
        </w:tc>
      </w:tr>
      <w:tr>
        <w:trPr>
          <w:cantSplit/>
        </w:trPr>
        <w:tc>
          <w:tcPr>
            <w:tcW w:w="2159" w:type="dxa"/>
            <w:tcBorders>
              <w:top w:val="nil"/>
              <w:left w:val="nil"/>
              <w:bottom w:val="nil"/>
              <w:right w:val="nil"/>
            </w:tcBorders>
            <w:noWrap/>
          </w:tcPr>
          <w:p>
            <w:pPr>
              <w:pStyle w:val="yTableNAm"/>
            </w:pPr>
            <w:r>
              <w:t>Cervantes</w:t>
            </w:r>
          </w:p>
        </w:tc>
        <w:tc>
          <w:tcPr>
            <w:tcW w:w="1985" w:type="dxa"/>
            <w:tcBorders>
              <w:top w:val="nil"/>
              <w:left w:val="nil"/>
              <w:bottom w:val="nil"/>
              <w:right w:val="nil"/>
            </w:tcBorders>
            <w:noWrap/>
          </w:tcPr>
          <w:p>
            <w:pPr>
              <w:pStyle w:val="yTableNAm"/>
              <w:ind w:right="600"/>
              <w:jc w:val="right"/>
            </w:pPr>
            <w:r>
              <w:t>9.957</w:t>
            </w:r>
          </w:p>
        </w:tc>
        <w:tc>
          <w:tcPr>
            <w:tcW w:w="1985" w:type="dxa"/>
            <w:tcBorders>
              <w:top w:val="nil"/>
              <w:left w:val="nil"/>
              <w:bottom w:val="nil"/>
              <w:right w:val="nil"/>
            </w:tcBorders>
            <w:noWrap/>
          </w:tcPr>
          <w:p>
            <w:pPr>
              <w:pStyle w:val="yTableNAm"/>
              <w:ind w:right="600"/>
              <w:jc w:val="right"/>
            </w:pPr>
            <w:r>
              <w:t>17.700</w:t>
            </w:r>
          </w:p>
        </w:tc>
      </w:tr>
      <w:tr>
        <w:trPr>
          <w:cantSplit/>
        </w:trPr>
        <w:tc>
          <w:tcPr>
            <w:tcW w:w="2159" w:type="dxa"/>
            <w:tcBorders>
              <w:top w:val="nil"/>
              <w:left w:val="nil"/>
              <w:bottom w:val="nil"/>
              <w:right w:val="nil"/>
            </w:tcBorders>
            <w:noWrap/>
          </w:tcPr>
          <w:p>
            <w:pPr>
              <w:pStyle w:val="yTableNAm"/>
            </w:pPr>
            <w:r>
              <w:t>Collie</w:t>
            </w:r>
          </w:p>
        </w:tc>
        <w:tc>
          <w:tcPr>
            <w:tcW w:w="1985" w:type="dxa"/>
            <w:tcBorders>
              <w:top w:val="nil"/>
              <w:left w:val="nil"/>
              <w:bottom w:val="nil"/>
              <w:right w:val="nil"/>
            </w:tcBorders>
            <w:noWrap/>
          </w:tcPr>
          <w:p>
            <w:pPr>
              <w:pStyle w:val="yTableNAm"/>
              <w:ind w:right="600"/>
              <w:jc w:val="right"/>
            </w:pPr>
            <w:r>
              <w:t>14.048</w:t>
            </w:r>
          </w:p>
        </w:tc>
        <w:tc>
          <w:tcPr>
            <w:tcW w:w="1985" w:type="dxa"/>
            <w:tcBorders>
              <w:top w:val="nil"/>
              <w:left w:val="nil"/>
              <w:bottom w:val="nil"/>
              <w:right w:val="nil"/>
            </w:tcBorders>
            <w:noWrap/>
          </w:tcPr>
          <w:p>
            <w:pPr>
              <w:pStyle w:val="yTableNAm"/>
              <w:ind w:right="600"/>
              <w:jc w:val="right"/>
            </w:pPr>
            <w:r>
              <w:t>44.145</w:t>
            </w:r>
          </w:p>
        </w:tc>
      </w:tr>
      <w:tr>
        <w:trPr>
          <w:cantSplit/>
        </w:trPr>
        <w:tc>
          <w:tcPr>
            <w:tcW w:w="2159" w:type="dxa"/>
            <w:tcBorders>
              <w:top w:val="nil"/>
              <w:left w:val="nil"/>
              <w:bottom w:val="nil"/>
              <w:right w:val="nil"/>
            </w:tcBorders>
            <w:noWrap/>
          </w:tcPr>
          <w:p>
            <w:pPr>
              <w:pStyle w:val="yTableNAm"/>
            </w:pPr>
            <w:r>
              <w:t>Coral Bay</w:t>
            </w:r>
          </w:p>
        </w:tc>
        <w:tc>
          <w:tcPr>
            <w:tcW w:w="1985" w:type="dxa"/>
            <w:tcBorders>
              <w:top w:val="nil"/>
              <w:left w:val="nil"/>
              <w:bottom w:val="nil"/>
              <w:right w:val="nil"/>
            </w:tcBorders>
            <w:noWrap/>
          </w:tcPr>
          <w:p>
            <w:pPr>
              <w:pStyle w:val="yTableNAm"/>
              <w:ind w:right="600"/>
              <w:jc w:val="right"/>
            </w:pPr>
            <w:r>
              <w:t>230.789</w:t>
            </w:r>
          </w:p>
        </w:tc>
        <w:tc>
          <w:tcPr>
            <w:tcW w:w="1985" w:type="dxa"/>
            <w:tcBorders>
              <w:top w:val="nil"/>
              <w:left w:val="nil"/>
              <w:bottom w:val="nil"/>
              <w:right w:val="nil"/>
            </w:tcBorders>
            <w:noWrap/>
          </w:tcPr>
          <w:p>
            <w:pPr>
              <w:pStyle w:val="yTableNAm"/>
              <w:ind w:right="600"/>
              <w:jc w:val="right"/>
            </w:pPr>
            <w:r>
              <w:t>445.288</w:t>
            </w:r>
          </w:p>
        </w:tc>
      </w:tr>
      <w:tr>
        <w:trPr>
          <w:cantSplit/>
        </w:trPr>
        <w:tc>
          <w:tcPr>
            <w:tcW w:w="2159" w:type="dxa"/>
            <w:tcBorders>
              <w:top w:val="nil"/>
              <w:left w:val="nil"/>
              <w:bottom w:val="nil"/>
              <w:right w:val="nil"/>
            </w:tcBorders>
            <w:noWrap/>
          </w:tcPr>
          <w:p>
            <w:pPr>
              <w:pStyle w:val="yTableNAm"/>
            </w:pPr>
            <w:r>
              <w:t>Corrigin</w:t>
            </w:r>
          </w:p>
        </w:tc>
        <w:tc>
          <w:tcPr>
            <w:tcW w:w="1985" w:type="dxa"/>
            <w:tcBorders>
              <w:top w:val="nil"/>
              <w:left w:val="nil"/>
              <w:bottom w:val="nil"/>
              <w:right w:val="nil"/>
            </w:tcBorders>
            <w:noWrap/>
          </w:tcPr>
          <w:p>
            <w:pPr>
              <w:pStyle w:val="yTableNAm"/>
              <w:ind w:right="600"/>
              <w:jc w:val="right"/>
            </w:pPr>
            <w:r>
              <w:t>27.273</w:t>
            </w:r>
          </w:p>
        </w:tc>
        <w:tc>
          <w:tcPr>
            <w:tcW w:w="1985" w:type="dxa"/>
            <w:tcBorders>
              <w:top w:val="nil"/>
              <w:left w:val="nil"/>
              <w:bottom w:val="nil"/>
              <w:right w:val="nil"/>
            </w:tcBorders>
            <w:noWrap/>
          </w:tcPr>
          <w:p>
            <w:pPr>
              <w:pStyle w:val="yTableNAm"/>
              <w:ind w:right="600"/>
              <w:jc w:val="right"/>
            </w:pPr>
            <w:r>
              <w:t>183.382</w:t>
            </w:r>
          </w:p>
        </w:tc>
      </w:tr>
      <w:tr>
        <w:trPr>
          <w:cantSplit/>
        </w:trPr>
        <w:tc>
          <w:tcPr>
            <w:tcW w:w="2159" w:type="dxa"/>
            <w:tcBorders>
              <w:top w:val="nil"/>
              <w:left w:val="nil"/>
              <w:bottom w:val="nil"/>
              <w:right w:val="nil"/>
            </w:tcBorders>
            <w:noWrap/>
          </w:tcPr>
          <w:p>
            <w:pPr>
              <w:pStyle w:val="yTableNAm"/>
            </w:pPr>
            <w:r>
              <w:t>Cowaramup</w:t>
            </w:r>
          </w:p>
        </w:tc>
        <w:tc>
          <w:tcPr>
            <w:tcW w:w="1985" w:type="dxa"/>
            <w:tcBorders>
              <w:top w:val="nil"/>
              <w:left w:val="nil"/>
              <w:bottom w:val="nil"/>
              <w:right w:val="nil"/>
            </w:tcBorders>
            <w:noWrap/>
          </w:tcPr>
          <w:p>
            <w:pPr>
              <w:pStyle w:val="yTableNAm"/>
              <w:ind w:right="600"/>
              <w:jc w:val="right"/>
            </w:pPr>
            <w:r>
              <w:t>3.542</w:t>
            </w:r>
          </w:p>
        </w:tc>
        <w:tc>
          <w:tcPr>
            <w:tcW w:w="1985" w:type="dxa"/>
            <w:tcBorders>
              <w:top w:val="nil"/>
              <w:left w:val="nil"/>
              <w:bottom w:val="nil"/>
              <w:right w:val="nil"/>
            </w:tcBorders>
            <w:noWrap/>
          </w:tcPr>
          <w:p>
            <w:pPr>
              <w:pStyle w:val="yTableNAm"/>
              <w:ind w:right="600"/>
              <w:jc w:val="right"/>
            </w:pPr>
            <w:r>
              <w:t>3.100</w:t>
            </w:r>
          </w:p>
        </w:tc>
      </w:tr>
      <w:tr>
        <w:trPr>
          <w:cantSplit/>
        </w:trPr>
        <w:tc>
          <w:tcPr>
            <w:tcW w:w="2159" w:type="dxa"/>
            <w:tcBorders>
              <w:top w:val="nil"/>
              <w:left w:val="nil"/>
              <w:bottom w:val="nil"/>
              <w:right w:val="nil"/>
            </w:tcBorders>
            <w:noWrap/>
          </w:tcPr>
          <w:p>
            <w:pPr>
              <w:pStyle w:val="yTableNAm"/>
            </w:pPr>
            <w:r>
              <w:t>Cranbrook</w:t>
            </w:r>
          </w:p>
        </w:tc>
        <w:tc>
          <w:tcPr>
            <w:tcW w:w="1985" w:type="dxa"/>
            <w:tcBorders>
              <w:top w:val="nil"/>
              <w:left w:val="nil"/>
              <w:bottom w:val="nil"/>
              <w:right w:val="nil"/>
            </w:tcBorders>
            <w:noWrap/>
          </w:tcPr>
          <w:p>
            <w:pPr>
              <w:pStyle w:val="yTableNAm"/>
              <w:ind w:right="600"/>
              <w:jc w:val="right"/>
            </w:pPr>
            <w:r>
              <w:t>13.904</w:t>
            </w:r>
          </w:p>
        </w:tc>
        <w:tc>
          <w:tcPr>
            <w:tcW w:w="1985" w:type="dxa"/>
            <w:tcBorders>
              <w:top w:val="nil"/>
              <w:left w:val="nil"/>
              <w:bottom w:val="nil"/>
              <w:right w:val="nil"/>
            </w:tcBorders>
            <w:noWrap/>
          </w:tcPr>
          <w:p>
            <w:pPr>
              <w:pStyle w:val="yTableNAm"/>
              <w:ind w:right="600"/>
              <w:jc w:val="right"/>
            </w:pPr>
            <w:r>
              <w:t>88.096</w:t>
            </w:r>
          </w:p>
        </w:tc>
      </w:tr>
      <w:tr>
        <w:trPr>
          <w:cantSplit/>
        </w:trPr>
        <w:tc>
          <w:tcPr>
            <w:tcW w:w="2159" w:type="dxa"/>
            <w:tcBorders>
              <w:top w:val="nil"/>
              <w:left w:val="nil"/>
              <w:bottom w:val="nil"/>
              <w:right w:val="nil"/>
            </w:tcBorders>
            <w:noWrap/>
          </w:tcPr>
          <w:p>
            <w:pPr>
              <w:pStyle w:val="yTableNAm"/>
            </w:pPr>
            <w:r>
              <w:t>Cunderdin</w:t>
            </w:r>
          </w:p>
        </w:tc>
        <w:tc>
          <w:tcPr>
            <w:tcW w:w="1985" w:type="dxa"/>
            <w:tcBorders>
              <w:top w:val="nil"/>
              <w:left w:val="nil"/>
              <w:bottom w:val="nil"/>
              <w:right w:val="nil"/>
            </w:tcBorders>
            <w:noWrap/>
          </w:tcPr>
          <w:p>
            <w:pPr>
              <w:pStyle w:val="yTableNAm"/>
              <w:ind w:right="600"/>
              <w:jc w:val="right"/>
            </w:pPr>
            <w:r>
              <w:t>25.457</w:t>
            </w:r>
          </w:p>
        </w:tc>
        <w:tc>
          <w:tcPr>
            <w:tcW w:w="1985" w:type="dxa"/>
            <w:tcBorders>
              <w:top w:val="nil"/>
              <w:left w:val="nil"/>
              <w:bottom w:val="nil"/>
              <w:right w:val="nil"/>
            </w:tcBorders>
            <w:noWrap/>
          </w:tcPr>
          <w:p>
            <w:pPr>
              <w:pStyle w:val="yTableNAm"/>
              <w:ind w:right="600"/>
              <w:jc w:val="right"/>
            </w:pPr>
            <w:r>
              <w:t>88.047</w:t>
            </w:r>
          </w:p>
        </w:tc>
      </w:tr>
      <w:tr>
        <w:trPr>
          <w:cantSplit/>
        </w:trPr>
        <w:tc>
          <w:tcPr>
            <w:tcW w:w="2159" w:type="dxa"/>
            <w:tcBorders>
              <w:top w:val="nil"/>
              <w:left w:val="nil"/>
              <w:bottom w:val="nil"/>
              <w:right w:val="nil"/>
            </w:tcBorders>
            <w:noWrap/>
          </w:tcPr>
          <w:p>
            <w:pPr>
              <w:pStyle w:val="yTableNAm"/>
            </w:pPr>
            <w:r>
              <w:t>Dalyellup</w:t>
            </w:r>
          </w:p>
        </w:tc>
        <w:tc>
          <w:tcPr>
            <w:tcW w:w="1985" w:type="dxa"/>
            <w:tcBorders>
              <w:top w:val="nil"/>
              <w:left w:val="nil"/>
              <w:bottom w:val="nil"/>
              <w:right w:val="nil"/>
            </w:tcBorders>
            <w:noWrap/>
          </w:tcPr>
          <w:p>
            <w:pPr>
              <w:pStyle w:val="yTableNAm"/>
              <w:ind w:right="600"/>
              <w:jc w:val="right"/>
            </w:pPr>
            <w:r>
              <w:t>3.354</w:t>
            </w:r>
          </w:p>
        </w:tc>
        <w:tc>
          <w:tcPr>
            <w:tcW w:w="1985" w:type="dxa"/>
            <w:tcBorders>
              <w:top w:val="nil"/>
              <w:left w:val="nil"/>
              <w:bottom w:val="nil"/>
              <w:right w:val="nil"/>
            </w:tcBorders>
            <w:noWrap/>
          </w:tcPr>
          <w:p>
            <w:pPr>
              <w:pStyle w:val="yTableNAm"/>
              <w:ind w:right="600"/>
              <w:jc w:val="right"/>
            </w:pPr>
            <w:r>
              <w:t>5.431</w:t>
            </w:r>
          </w:p>
        </w:tc>
      </w:tr>
      <w:tr>
        <w:trPr>
          <w:cantSplit/>
        </w:trPr>
        <w:tc>
          <w:tcPr>
            <w:tcW w:w="2159" w:type="dxa"/>
            <w:tcBorders>
              <w:top w:val="nil"/>
              <w:left w:val="nil"/>
              <w:bottom w:val="nil"/>
              <w:right w:val="nil"/>
            </w:tcBorders>
            <w:noWrap/>
          </w:tcPr>
          <w:p>
            <w:pPr>
              <w:pStyle w:val="yTableNAm"/>
            </w:pPr>
            <w:r>
              <w:t>Dardanup</w:t>
            </w:r>
          </w:p>
        </w:tc>
        <w:tc>
          <w:tcPr>
            <w:tcW w:w="1985" w:type="dxa"/>
            <w:tcBorders>
              <w:top w:val="nil"/>
              <w:left w:val="nil"/>
              <w:bottom w:val="nil"/>
              <w:right w:val="nil"/>
            </w:tcBorders>
            <w:noWrap/>
          </w:tcPr>
          <w:p>
            <w:pPr>
              <w:pStyle w:val="yTableNAm"/>
              <w:ind w:right="600"/>
              <w:jc w:val="right"/>
            </w:pPr>
            <w:r>
              <w:t>15.681</w:t>
            </w:r>
          </w:p>
        </w:tc>
        <w:tc>
          <w:tcPr>
            <w:tcW w:w="1985" w:type="dxa"/>
            <w:tcBorders>
              <w:top w:val="nil"/>
              <w:left w:val="nil"/>
              <w:bottom w:val="nil"/>
              <w:right w:val="nil"/>
            </w:tcBorders>
            <w:noWrap/>
          </w:tcPr>
          <w:p>
            <w:pPr>
              <w:pStyle w:val="yTableNAm"/>
              <w:ind w:right="600"/>
              <w:jc w:val="right"/>
            </w:pPr>
            <w:r>
              <w:t>64.902</w:t>
            </w:r>
          </w:p>
        </w:tc>
      </w:tr>
      <w:tr>
        <w:trPr>
          <w:cantSplit/>
        </w:trPr>
        <w:tc>
          <w:tcPr>
            <w:tcW w:w="2159" w:type="dxa"/>
            <w:tcBorders>
              <w:top w:val="nil"/>
              <w:left w:val="nil"/>
              <w:bottom w:val="nil"/>
              <w:right w:val="nil"/>
            </w:tcBorders>
            <w:noWrap/>
          </w:tcPr>
          <w:p>
            <w:pPr>
              <w:pStyle w:val="yTableNAm"/>
            </w:pPr>
            <w:r>
              <w:t>Denham</w:t>
            </w:r>
          </w:p>
        </w:tc>
        <w:tc>
          <w:tcPr>
            <w:tcW w:w="1985" w:type="dxa"/>
            <w:tcBorders>
              <w:top w:val="nil"/>
              <w:left w:val="nil"/>
              <w:bottom w:val="nil"/>
              <w:right w:val="nil"/>
            </w:tcBorders>
            <w:noWrap/>
          </w:tcPr>
          <w:p>
            <w:pPr>
              <w:pStyle w:val="yTableNAm"/>
              <w:ind w:right="600"/>
              <w:jc w:val="right"/>
            </w:pPr>
            <w:r>
              <w:t>11.192</w:t>
            </w:r>
          </w:p>
        </w:tc>
        <w:tc>
          <w:tcPr>
            <w:tcW w:w="1985" w:type="dxa"/>
            <w:tcBorders>
              <w:top w:val="nil"/>
              <w:left w:val="nil"/>
              <w:bottom w:val="nil"/>
              <w:right w:val="nil"/>
            </w:tcBorders>
            <w:noWrap/>
          </w:tcPr>
          <w:p>
            <w:pPr>
              <w:pStyle w:val="yTableNAm"/>
              <w:ind w:right="600"/>
              <w:jc w:val="right"/>
            </w:pPr>
            <w:r>
              <w:t>21.787</w:t>
            </w:r>
          </w:p>
        </w:tc>
      </w:tr>
      <w:tr>
        <w:trPr>
          <w:cantSplit/>
        </w:trPr>
        <w:tc>
          <w:tcPr>
            <w:tcW w:w="2159" w:type="dxa"/>
            <w:tcBorders>
              <w:top w:val="nil"/>
              <w:left w:val="nil"/>
              <w:bottom w:val="nil"/>
              <w:right w:val="nil"/>
            </w:tcBorders>
            <w:noWrap/>
          </w:tcPr>
          <w:p>
            <w:pPr>
              <w:pStyle w:val="yTableNAm"/>
            </w:pPr>
            <w:r>
              <w:t>Denmark</w:t>
            </w:r>
          </w:p>
        </w:tc>
        <w:tc>
          <w:tcPr>
            <w:tcW w:w="1985" w:type="dxa"/>
            <w:tcBorders>
              <w:top w:val="nil"/>
              <w:left w:val="nil"/>
              <w:bottom w:val="nil"/>
              <w:right w:val="nil"/>
            </w:tcBorders>
            <w:noWrap/>
          </w:tcPr>
          <w:p>
            <w:pPr>
              <w:pStyle w:val="yTableNAm"/>
              <w:ind w:right="600"/>
              <w:jc w:val="right"/>
            </w:pPr>
            <w:r>
              <w:t>17.630</w:t>
            </w:r>
          </w:p>
        </w:tc>
        <w:tc>
          <w:tcPr>
            <w:tcW w:w="1985" w:type="dxa"/>
            <w:tcBorders>
              <w:top w:val="nil"/>
              <w:left w:val="nil"/>
              <w:bottom w:val="nil"/>
              <w:right w:val="nil"/>
            </w:tcBorders>
            <w:noWrap/>
          </w:tcPr>
          <w:p>
            <w:pPr>
              <w:pStyle w:val="yTableNAm"/>
              <w:ind w:right="600"/>
              <w:jc w:val="right"/>
            </w:pPr>
            <w:r>
              <w:t>47.108</w:t>
            </w:r>
          </w:p>
        </w:tc>
      </w:tr>
      <w:tr>
        <w:trPr>
          <w:cantSplit/>
        </w:trPr>
        <w:tc>
          <w:tcPr>
            <w:tcW w:w="2159" w:type="dxa"/>
            <w:tcBorders>
              <w:top w:val="nil"/>
              <w:left w:val="nil"/>
              <w:bottom w:val="nil"/>
              <w:right w:val="nil"/>
            </w:tcBorders>
            <w:noWrap/>
          </w:tcPr>
          <w:p>
            <w:pPr>
              <w:pStyle w:val="yTableNAm"/>
            </w:pPr>
            <w:r>
              <w:t>Derby</w:t>
            </w:r>
          </w:p>
        </w:tc>
        <w:tc>
          <w:tcPr>
            <w:tcW w:w="1985" w:type="dxa"/>
            <w:tcBorders>
              <w:top w:val="nil"/>
              <w:left w:val="nil"/>
              <w:bottom w:val="nil"/>
              <w:right w:val="nil"/>
            </w:tcBorders>
            <w:noWrap/>
          </w:tcPr>
          <w:p>
            <w:pPr>
              <w:pStyle w:val="yTableNAm"/>
              <w:ind w:right="600"/>
              <w:jc w:val="right"/>
            </w:pPr>
            <w:r>
              <w:t>12.594</w:t>
            </w:r>
          </w:p>
        </w:tc>
        <w:tc>
          <w:tcPr>
            <w:tcW w:w="1985" w:type="dxa"/>
            <w:tcBorders>
              <w:top w:val="nil"/>
              <w:left w:val="nil"/>
              <w:bottom w:val="nil"/>
              <w:right w:val="nil"/>
            </w:tcBorders>
            <w:noWrap/>
          </w:tcPr>
          <w:p>
            <w:pPr>
              <w:pStyle w:val="yTableNAm"/>
              <w:ind w:right="600"/>
              <w:jc w:val="right"/>
            </w:pPr>
            <w:r>
              <w:t>66.917</w:t>
            </w:r>
          </w:p>
        </w:tc>
      </w:tr>
      <w:tr>
        <w:trPr>
          <w:cantSplit/>
        </w:trPr>
        <w:tc>
          <w:tcPr>
            <w:tcW w:w="2159" w:type="dxa"/>
            <w:tcBorders>
              <w:top w:val="nil"/>
              <w:left w:val="nil"/>
              <w:bottom w:val="nil"/>
              <w:right w:val="nil"/>
            </w:tcBorders>
            <w:noWrap/>
          </w:tcPr>
          <w:p>
            <w:pPr>
              <w:pStyle w:val="yTableNAm"/>
            </w:pPr>
            <w:r>
              <w:t>Dongara/Denison</w:t>
            </w:r>
          </w:p>
        </w:tc>
        <w:tc>
          <w:tcPr>
            <w:tcW w:w="1985" w:type="dxa"/>
            <w:tcBorders>
              <w:top w:val="nil"/>
              <w:left w:val="nil"/>
              <w:bottom w:val="nil"/>
              <w:right w:val="nil"/>
            </w:tcBorders>
            <w:noWrap/>
          </w:tcPr>
          <w:p>
            <w:pPr>
              <w:pStyle w:val="yTableNAm"/>
              <w:ind w:right="600"/>
              <w:jc w:val="right"/>
            </w:pPr>
            <w:r>
              <w:t>13.226</w:t>
            </w:r>
          </w:p>
        </w:tc>
        <w:tc>
          <w:tcPr>
            <w:tcW w:w="1985" w:type="dxa"/>
            <w:tcBorders>
              <w:top w:val="nil"/>
              <w:left w:val="nil"/>
              <w:bottom w:val="nil"/>
              <w:right w:val="nil"/>
            </w:tcBorders>
            <w:noWrap/>
          </w:tcPr>
          <w:p>
            <w:pPr>
              <w:pStyle w:val="yTableNAm"/>
              <w:ind w:right="600"/>
              <w:jc w:val="right"/>
            </w:pPr>
            <w:r>
              <w:t>34.555</w:t>
            </w:r>
          </w:p>
        </w:tc>
      </w:tr>
      <w:tr>
        <w:trPr>
          <w:cantSplit/>
        </w:trPr>
        <w:tc>
          <w:tcPr>
            <w:tcW w:w="2159" w:type="dxa"/>
            <w:tcBorders>
              <w:top w:val="nil"/>
              <w:left w:val="nil"/>
              <w:bottom w:val="nil"/>
              <w:right w:val="nil"/>
            </w:tcBorders>
            <w:noWrap/>
          </w:tcPr>
          <w:p>
            <w:pPr>
              <w:pStyle w:val="yTableNAm"/>
            </w:pPr>
            <w:r>
              <w:t>Donnybrook</w:t>
            </w:r>
          </w:p>
        </w:tc>
        <w:tc>
          <w:tcPr>
            <w:tcW w:w="1985" w:type="dxa"/>
            <w:tcBorders>
              <w:top w:val="nil"/>
              <w:left w:val="nil"/>
              <w:bottom w:val="nil"/>
              <w:right w:val="nil"/>
            </w:tcBorders>
            <w:noWrap/>
          </w:tcPr>
          <w:p>
            <w:pPr>
              <w:pStyle w:val="yTableNAm"/>
              <w:ind w:right="600"/>
              <w:jc w:val="right"/>
            </w:pPr>
            <w:r>
              <w:t>28.100</w:t>
            </w:r>
          </w:p>
        </w:tc>
        <w:tc>
          <w:tcPr>
            <w:tcW w:w="1985" w:type="dxa"/>
            <w:tcBorders>
              <w:top w:val="nil"/>
              <w:left w:val="nil"/>
              <w:bottom w:val="nil"/>
              <w:right w:val="nil"/>
            </w:tcBorders>
            <w:noWrap/>
          </w:tcPr>
          <w:p>
            <w:pPr>
              <w:pStyle w:val="yTableNAm"/>
              <w:ind w:right="600"/>
              <w:jc w:val="right"/>
            </w:pPr>
            <w:r>
              <w:t>96.311</w:t>
            </w:r>
          </w:p>
        </w:tc>
      </w:tr>
      <w:tr>
        <w:trPr>
          <w:cantSplit/>
        </w:trPr>
        <w:tc>
          <w:tcPr>
            <w:tcW w:w="2159" w:type="dxa"/>
            <w:tcBorders>
              <w:top w:val="nil"/>
              <w:left w:val="nil"/>
              <w:bottom w:val="nil"/>
              <w:right w:val="nil"/>
            </w:tcBorders>
            <w:noWrap/>
          </w:tcPr>
          <w:p>
            <w:pPr>
              <w:pStyle w:val="yTableNAm"/>
            </w:pPr>
            <w:r>
              <w:t>Dunsborough</w:t>
            </w:r>
          </w:p>
        </w:tc>
        <w:tc>
          <w:tcPr>
            <w:tcW w:w="1985" w:type="dxa"/>
            <w:tcBorders>
              <w:top w:val="nil"/>
              <w:left w:val="nil"/>
              <w:bottom w:val="nil"/>
              <w:right w:val="nil"/>
            </w:tcBorders>
            <w:noWrap/>
          </w:tcPr>
          <w:p>
            <w:pPr>
              <w:pStyle w:val="yTableNAm"/>
              <w:ind w:right="600"/>
              <w:jc w:val="right"/>
            </w:pPr>
            <w:r>
              <w:t>4.112</w:t>
            </w:r>
          </w:p>
        </w:tc>
        <w:tc>
          <w:tcPr>
            <w:tcW w:w="1985" w:type="dxa"/>
            <w:tcBorders>
              <w:top w:val="nil"/>
              <w:left w:val="nil"/>
              <w:bottom w:val="nil"/>
              <w:right w:val="nil"/>
            </w:tcBorders>
            <w:noWrap/>
          </w:tcPr>
          <w:p>
            <w:pPr>
              <w:pStyle w:val="yTableNAm"/>
              <w:ind w:right="600"/>
              <w:jc w:val="right"/>
            </w:pPr>
            <w:r>
              <w:t>2.679</w:t>
            </w:r>
          </w:p>
        </w:tc>
      </w:tr>
      <w:tr>
        <w:trPr>
          <w:cantSplit/>
        </w:trPr>
        <w:tc>
          <w:tcPr>
            <w:tcW w:w="2159" w:type="dxa"/>
            <w:tcBorders>
              <w:top w:val="nil"/>
              <w:left w:val="nil"/>
              <w:bottom w:val="nil"/>
              <w:right w:val="nil"/>
            </w:tcBorders>
            <w:noWrap/>
          </w:tcPr>
          <w:p>
            <w:pPr>
              <w:pStyle w:val="yTableNAm"/>
            </w:pPr>
            <w:r>
              <w:t>Eaton</w:t>
            </w:r>
          </w:p>
        </w:tc>
        <w:tc>
          <w:tcPr>
            <w:tcW w:w="1985" w:type="dxa"/>
            <w:tcBorders>
              <w:top w:val="nil"/>
              <w:left w:val="nil"/>
              <w:bottom w:val="nil"/>
              <w:right w:val="nil"/>
            </w:tcBorders>
            <w:noWrap/>
          </w:tcPr>
          <w:p>
            <w:pPr>
              <w:pStyle w:val="yTableNAm"/>
              <w:ind w:right="600"/>
              <w:jc w:val="right"/>
            </w:pPr>
            <w:r>
              <w:t>5.789</w:t>
            </w:r>
          </w:p>
        </w:tc>
        <w:tc>
          <w:tcPr>
            <w:tcW w:w="1985" w:type="dxa"/>
            <w:tcBorders>
              <w:top w:val="nil"/>
              <w:left w:val="nil"/>
              <w:bottom w:val="nil"/>
              <w:right w:val="nil"/>
            </w:tcBorders>
            <w:noWrap/>
          </w:tcPr>
          <w:p>
            <w:pPr>
              <w:pStyle w:val="yTableNAm"/>
              <w:ind w:right="600"/>
              <w:jc w:val="right"/>
            </w:pPr>
            <w:r>
              <w:t>8.307</w:t>
            </w:r>
          </w:p>
        </w:tc>
      </w:tr>
      <w:tr>
        <w:trPr>
          <w:cantSplit/>
        </w:trPr>
        <w:tc>
          <w:tcPr>
            <w:tcW w:w="2159" w:type="dxa"/>
            <w:tcBorders>
              <w:top w:val="nil"/>
              <w:left w:val="nil"/>
              <w:bottom w:val="nil"/>
              <w:right w:val="nil"/>
            </w:tcBorders>
            <w:noWrap/>
          </w:tcPr>
          <w:p>
            <w:pPr>
              <w:pStyle w:val="yTableNAm"/>
            </w:pPr>
            <w:r>
              <w:t>Eneabba</w:t>
            </w:r>
          </w:p>
        </w:tc>
        <w:tc>
          <w:tcPr>
            <w:tcW w:w="1985" w:type="dxa"/>
            <w:tcBorders>
              <w:top w:val="nil"/>
              <w:left w:val="nil"/>
              <w:bottom w:val="nil"/>
              <w:right w:val="nil"/>
            </w:tcBorders>
            <w:noWrap/>
          </w:tcPr>
          <w:p>
            <w:pPr>
              <w:pStyle w:val="yTableNAm"/>
              <w:ind w:right="600"/>
              <w:jc w:val="right"/>
            </w:pPr>
            <w:r>
              <w:t>24.460</w:t>
            </w:r>
          </w:p>
        </w:tc>
        <w:tc>
          <w:tcPr>
            <w:tcW w:w="1985" w:type="dxa"/>
            <w:tcBorders>
              <w:top w:val="nil"/>
              <w:left w:val="nil"/>
              <w:bottom w:val="nil"/>
              <w:right w:val="nil"/>
            </w:tcBorders>
            <w:noWrap/>
          </w:tcPr>
          <w:p>
            <w:pPr>
              <w:pStyle w:val="yTableNAm"/>
              <w:ind w:right="600"/>
              <w:jc w:val="right"/>
            </w:pPr>
            <w:r>
              <w:t>188.575</w:t>
            </w:r>
          </w:p>
        </w:tc>
      </w:tr>
      <w:tr>
        <w:trPr>
          <w:cantSplit/>
        </w:trPr>
        <w:tc>
          <w:tcPr>
            <w:tcW w:w="2159" w:type="dxa"/>
            <w:tcBorders>
              <w:top w:val="nil"/>
              <w:left w:val="nil"/>
              <w:bottom w:val="nil"/>
              <w:right w:val="nil"/>
            </w:tcBorders>
            <w:noWrap/>
          </w:tcPr>
          <w:p>
            <w:pPr>
              <w:pStyle w:val="yTableNAm"/>
            </w:pPr>
            <w:r>
              <w:t>Esperance</w:t>
            </w:r>
          </w:p>
        </w:tc>
        <w:tc>
          <w:tcPr>
            <w:tcW w:w="1985" w:type="dxa"/>
            <w:tcBorders>
              <w:top w:val="nil"/>
              <w:left w:val="nil"/>
              <w:bottom w:val="nil"/>
              <w:right w:val="nil"/>
            </w:tcBorders>
            <w:noWrap/>
          </w:tcPr>
          <w:p>
            <w:pPr>
              <w:pStyle w:val="yTableNAm"/>
              <w:ind w:right="600"/>
              <w:jc w:val="right"/>
            </w:pPr>
            <w:r>
              <w:t>7.880</w:t>
            </w:r>
          </w:p>
        </w:tc>
        <w:tc>
          <w:tcPr>
            <w:tcW w:w="1985" w:type="dxa"/>
            <w:tcBorders>
              <w:top w:val="nil"/>
              <w:left w:val="nil"/>
              <w:bottom w:val="nil"/>
              <w:right w:val="nil"/>
            </w:tcBorders>
            <w:noWrap/>
          </w:tcPr>
          <w:p>
            <w:pPr>
              <w:pStyle w:val="yTableNAm"/>
              <w:ind w:right="600"/>
              <w:jc w:val="right"/>
            </w:pPr>
            <w:r>
              <w:t>16.211</w:t>
            </w:r>
          </w:p>
        </w:tc>
      </w:tr>
      <w:tr>
        <w:trPr>
          <w:cantSplit/>
        </w:trPr>
        <w:tc>
          <w:tcPr>
            <w:tcW w:w="2159" w:type="dxa"/>
            <w:tcBorders>
              <w:top w:val="nil"/>
              <w:left w:val="nil"/>
              <w:bottom w:val="nil"/>
              <w:right w:val="nil"/>
            </w:tcBorders>
            <w:noWrap/>
          </w:tcPr>
          <w:p>
            <w:pPr>
              <w:pStyle w:val="yTableNAm"/>
            </w:pPr>
            <w:r>
              <w:lastRenderedPageBreak/>
              <w:t>Exmouth</w:t>
            </w:r>
          </w:p>
        </w:tc>
        <w:tc>
          <w:tcPr>
            <w:tcW w:w="1985" w:type="dxa"/>
            <w:tcBorders>
              <w:top w:val="nil"/>
              <w:left w:val="nil"/>
              <w:bottom w:val="nil"/>
              <w:right w:val="nil"/>
            </w:tcBorders>
            <w:noWrap/>
          </w:tcPr>
          <w:p>
            <w:pPr>
              <w:pStyle w:val="yTableNAm"/>
              <w:ind w:right="600"/>
              <w:jc w:val="right"/>
            </w:pPr>
            <w:r>
              <w:t>2.127</w:t>
            </w:r>
          </w:p>
        </w:tc>
        <w:tc>
          <w:tcPr>
            <w:tcW w:w="1985" w:type="dxa"/>
            <w:tcBorders>
              <w:top w:val="nil"/>
              <w:left w:val="nil"/>
              <w:bottom w:val="nil"/>
              <w:right w:val="nil"/>
            </w:tcBorders>
            <w:noWrap/>
          </w:tcPr>
          <w:p>
            <w:pPr>
              <w:pStyle w:val="yTableNAm"/>
              <w:ind w:right="600"/>
              <w:jc w:val="right"/>
            </w:pPr>
            <w:r>
              <w:t>3.942</w:t>
            </w:r>
          </w:p>
        </w:tc>
      </w:tr>
      <w:tr>
        <w:trPr>
          <w:cantSplit/>
        </w:trPr>
        <w:tc>
          <w:tcPr>
            <w:tcW w:w="2159" w:type="dxa"/>
            <w:tcBorders>
              <w:top w:val="nil"/>
              <w:left w:val="nil"/>
              <w:bottom w:val="nil"/>
              <w:right w:val="nil"/>
            </w:tcBorders>
            <w:noWrap/>
          </w:tcPr>
          <w:p>
            <w:pPr>
              <w:pStyle w:val="yTableNAm"/>
            </w:pPr>
            <w:r>
              <w:t>Fitzroy Crossing</w:t>
            </w:r>
          </w:p>
        </w:tc>
        <w:tc>
          <w:tcPr>
            <w:tcW w:w="1985" w:type="dxa"/>
            <w:tcBorders>
              <w:top w:val="nil"/>
              <w:left w:val="nil"/>
              <w:bottom w:val="nil"/>
              <w:right w:val="nil"/>
            </w:tcBorders>
            <w:noWrap/>
          </w:tcPr>
          <w:p>
            <w:pPr>
              <w:pStyle w:val="yTableNAm"/>
              <w:ind w:right="600"/>
              <w:jc w:val="right"/>
            </w:pPr>
            <w:r>
              <w:t>9.329</w:t>
            </w:r>
          </w:p>
        </w:tc>
        <w:tc>
          <w:tcPr>
            <w:tcW w:w="1985" w:type="dxa"/>
            <w:tcBorders>
              <w:top w:val="nil"/>
              <w:left w:val="nil"/>
              <w:bottom w:val="nil"/>
              <w:right w:val="nil"/>
            </w:tcBorders>
            <w:noWrap/>
          </w:tcPr>
          <w:p>
            <w:pPr>
              <w:pStyle w:val="yTableNAm"/>
              <w:ind w:right="600"/>
              <w:jc w:val="right"/>
            </w:pPr>
            <w:r>
              <w:t>16.701</w:t>
            </w:r>
          </w:p>
        </w:tc>
      </w:tr>
      <w:tr>
        <w:trPr>
          <w:cantSplit/>
        </w:trPr>
        <w:tc>
          <w:tcPr>
            <w:tcW w:w="2159" w:type="dxa"/>
            <w:tcBorders>
              <w:top w:val="nil"/>
              <w:left w:val="nil"/>
              <w:bottom w:val="nil"/>
              <w:right w:val="nil"/>
            </w:tcBorders>
            <w:noWrap/>
          </w:tcPr>
          <w:p>
            <w:pPr>
              <w:pStyle w:val="yTableNAm"/>
            </w:pPr>
            <w:r>
              <w:t>Geraldton</w:t>
            </w:r>
          </w:p>
        </w:tc>
        <w:tc>
          <w:tcPr>
            <w:tcW w:w="1985" w:type="dxa"/>
            <w:tcBorders>
              <w:top w:val="nil"/>
              <w:left w:val="nil"/>
              <w:bottom w:val="nil"/>
              <w:right w:val="nil"/>
            </w:tcBorders>
            <w:noWrap/>
          </w:tcPr>
          <w:p>
            <w:pPr>
              <w:pStyle w:val="yTableNAm"/>
              <w:ind w:right="600"/>
              <w:jc w:val="right"/>
            </w:pPr>
            <w:r>
              <w:t>7.321</w:t>
            </w:r>
          </w:p>
        </w:tc>
        <w:tc>
          <w:tcPr>
            <w:tcW w:w="1985" w:type="dxa"/>
            <w:tcBorders>
              <w:top w:val="nil"/>
              <w:left w:val="nil"/>
              <w:bottom w:val="nil"/>
              <w:right w:val="nil"/>
            </w:tcBorders>
            <w:noWrap/>
          </w:tcPr>
          <w:p>
            <w:pPr>
              <w:pStyle w:val="yTableNAm"/>
              <w:ind w:right="600"/>
              <w:jc w:val="right"/>
            </w:pPr>
            <w:r>
              <w:t>18.846</w:t>
            </w:r>
          </w:p>
        </w:tc>
      </w:tr>
      <w:tr>
        <w:trPr>
          <w:cantSplit/>
        </w:trPr>
        <w:tc>
          <w:tcPr>
            <w:tcW w:w="2159" w:type="dxa"/>
            <w:tcBorders>
              <w:top w:val="nil"/>
              <w:left w:val="nil"/>
              <w:bottom w:val="nil"/>
              <w:right w:val="nil"/>
            </w:tcBorders>
            <w:noWrap/>
          </w:tcPr>
          <w:p>
            <w:pPr>
              <w:pStyle w:val="yTableNAm"/>
            </w:pPr>
            <w:r>
              <w:t>Gnowangerup</w:t>
            </w:r>
          </w:p>
        </w:tc>
        <w:tc>
          <w:tcPr>
            <w:tcW w:w="1985" w:type="dxa"/>
            <w:tcBorders>
              <w:top w:val="nil"/>
              <w:left w:val="nil"/>
              <w:bottom w:val="nil"/>
              <w:right w:val="nil"/>
            </w:tcBorders>
            <w:noWrap/>
          </w:tcPr>
          <w:p>
            <w:pPr>
              <w:pStyle w:val="yTableNAm"/>
              <w:ind w:right="600"/>
              <w:jc w:val="right"/>
            </w:pPr>
            <w:r>
              <w:t>14.930</w:t>
            </w:r>
          </w:p>
        </w:tc>
        <w:tc>
          <w:tcPr>
            <w:tcW w:w="1985" w:type="dxa"/>
            <w:tcBorders>
              <w:top w:val="nil"/>
              <w:left w:val="nil"/>
              <w:bottom w:val="nil"/>
              <w:right w:val="nil"/>
            </w:tcBorders>
            <w:noWrap/>
          </w:tcPr>
          <w:p>
            <w:pPr>
              <w:pStyle w:val="yTableNAm"/>
              <w:ind w:right="600"/>
              <w:jc w:val="right"/>
            </w:pPr>
            <w:r>
              <w:t>72.472</w:t>
            </w:r>
          </w:p>
        </w:tc>
      </w:tr>
      <w:tr>
        <w:trPr>
          <w:cantSplit/>
        </w:trPr>
        <w:tc>
          <w:tcPr>
            <w:tcW w:w="2159" w:type="dxa"/>
            <w:tcBorders>
              <w:top w:val="nil"/>
              <w:left w:val="nil"/>
              <w:bottom w:val="nil"/>
              <w:right w:val="nil"/>
            </w:tcBorders>
            <w:noWrap/>
          </w:tcPr>
          <w:p>
            <w:pPr>
              <w:pStyle w:val="yTableNAm"/>
            </w:pPr>
            <w:r>
              <w:t>Greenhead</w:t>
            </w:r>
          </w:p>
        </w:tc>
        <w:tc>
          <w:tcPr>
            <w:tcW w:w="1985" w:type="dxa"/>
            <w:tcBorders>
              <w:top w:val="nil"/>
              <w:left w:val="nil"/>
              <w:bottom w:val="nil"/>
              <w:right w:val="nil"/>
            </w:tcBorders>
            <w:noWrap/>
          </w:tcPr>
          <w:p>
            <w:pPr>
              <w:pStyle w:val="yTableNAm"/>
              <w:ind w:right="600"/>
              <w:jc w:val="right"/>
            </w:pPr>
            <w:r>
              <w:t>7.578</w:t>
            </w:r>
          </w:p>
        </w:tc>
        <w:tc>
          <w:tcPr>
            <w:tcW w:w="1985" w:type="dxa"/>
            <w:tcBorders>
              <w:top w:val="nil"/>
              <w:left w:val="nil"/>
              <w:bottom w:val="nil"/>
              <w:right w:val="nil"/>
            </w:tcBorders>
            <w:noWrap/>
          </w:tcPr>
          <w:p>
            <w:pPr>
              <w:pStyle w:val="yTableNAm"/>
              <w:ind w:right="600"/>
              <w:jc w:val="right"/>
            </w:pPr>
            <w:r>
              <w:t>22.294</w:t>
            </w:r>
          </w:p>
        </w:tc>
      </w:tr>
      <w:tr>
        <w:trPr>
          <w:cantSplit/>
        </w:trPr>
        <w:tc>
          <w:tcPr>
            <w:tcW w:w="2159" w:type="dxa"/>
            <w:tcBorders>
              <w:top w:val="nil"/>
              <w:left w:val="nil"/>
              <w:bottom w:val="nil"/>
              <w:right w:val="nil"/>
            </w:tcBorders>
            <w:noWrap/>
          </w:tcPr>
          <w:p>
            <w:pPr>
              <w:pStyle w:val="yTableNAm"/>
            </w:pPr>
            <w:r>
              <w:t>Halls Creek</w:t>
            </w:r>
          </w:p>
        </w:tc>
        <w:tc>
          <w:tcPr>
            <w:tcW w:w="1985" w:type="dxa"/>
            <w:tcBorders>
              <w:top w:val="nil"/>
              <w:left w:val="nil"/>
              <w:bottom w:val="nil"/>
              <w:right w:val="nil"/>
            </w:tcBorders>
            <w:noWrap/>
          </w:tcPr>
          <w:p>
            <w:pPr>
              <w:pStyle w:val="yTableNAm"/>
              <w:ind w:right="600"/>
              <w:jc w:val="right"/>
            </w:pPr>
            <w:r>
              <w:t>16.417</w:t>
            </w:r>
          </w:p>
        </w:tc>
        <w:tc>
          <w:tcPr>
            <w:tcW w:w="1985" w:type="dxa"/>
            <w:tcBorders>
              <w:top w:val="nil"/>
              <w:left w:val="nil"/>
              <w:bottom w:val="nil"/>
              <w:right w:val="nil"/>
            </w:tcBorders>
            <w:noWrap/>
          </w:tcPr>
          <w:p>
            <w:pPr>
              <w:pStyle w:val="yTableNAm"/>
              <w:ind w:right="600"/>
              <w:jc w:val="right"/>
            </w:pPr>
            <w:r>
              <w:t>139.151</w:t>
            </w:r>
          </w:p>
        </w:tc>
      </w:tr>
      <w:tr>
        <w:trPr>
          <w:cantSplit/>
        </w:trPr>
        <w:tc>
          <w:tcPr>
            <w:tcW w:w="2159" w:type="dxa"/>
            <w:tcBorders>
              <w:top w:val="nil"/>
              <w:left w:val="nil"/>
              <w:bottom w:val="nil"/>
              <w:right w:val="nil"/>
            </w:tcBorders>
            <w:noWrap/>
          </w:tcPr>
          <w:p>
            <w:pPr>
              <w:pStyle w:val="yTableNAm"/>
            </w:pPr>
            <w:r>
              <w:t>Harvey</w:t>
            </w:r>
          </w:p>
        </w:tc>
        <w:tc>
          <w:tcPr>
            <w:tcW w:w="1985" w:type="dxa"/>
            <w:tcBorders>
              <w:top w:val="nil"/>
              <w:left w:val="nil"/>
              <w:bottom w:val="nil"/>
              <w:right w:val="nil"/>
            </w:tcBorders>
            <w:noWrap/>
          </w:tcPr>
          <w:p>
            <w:pPr>
              <w:pStyle w:val="yTableNAm"/>
              <w:ind w:right="600"/>
              <w:jc w:val="right"/>
            </w:pPr>
            <w:r>
              <w:t>8.482</w:t>
            </w:r>
          </w:p>
        </w:tc>
        <w:tc>
          <w:tcPr>
            <w:tcW w:w="1985" w:type="dxa"/>
            <w:tcBorders>
              <w:top w:val="nil"/>
              <w:left w:val="nil"/>
              <w:bottom w:val="nil"/>
              <w:right w:val="nil"/>
            </w:tcBorders>
            <w:noWrap/>
          </w:tcPr>
          <w:p>
            <w:pPr>
              <w:pStyle w:val="yTableNAm"/>
              <w:ind w:right="600"/>
              <w:jc w:val="right"/>
            </w:pPr>
            <w:r>
              <w:t>16.927</w:t>
            </w:r>
          </w:p>
        </w:tc>
      </w:tr>
      <w:tr>
        <w:trPr>
          <w:cantSplit/>
        </w:trPr>
        <w:tc>
          <w:tcPr>
            <w:tcW w:w="2159" w:type="dxa"/>
            <w:tcBorders>
              <w:top w:val="nil"/>
              <w:left w:val="nil"/>
              <w:bottom w:val="nil"/>
              <w:right w:val="nil"/>
            </w:tcBorders>
            <w:noWrap/>
          </w:tcPr>
          <w:p>
            <w:pPr>
              <w:pStyle w:val="yTableNAm"/>
            </w:pPr>
            <w:r>
              <w:t>Hopetoun</w:t>
            </w:r>
          </w:p>
        </w:tc>
        <w:tc>
          <w:tcPr>
            <w:tcW w:w="1985" w:type="dxa"/>
            <w:tcBorders>
              <w:top w:val="nil"/>
              <w:left w:val="nil"/>
              <w:bottom w:val="nil"/>
              <w:right w:val="nil"/>
            </w:tcBorders>
            <w:noWrap/>
          </w:tcPr>
          <w:p>
            <w:pPr>
              <w:pStyle w:val="yTableNAm"/>
              <w:ind w:right="600"/>
              <w:jc w:val="right"/>
            </w:pPr>
            <w:r>
              <w:t>53.259</w:t>
            </w:r>
          </w:p>
        </w:tc>
        <w:tc>
          <w:tcPr>
            <w:tcW w:w="1985" w:type="dxa"/>
            <w:tcBorders>
              <w:top w:val="nil"/>
              <w:left w:val="nil"/>
              <w:bottom w:val="nil"/>
              <w:right w:val="nil"/>
            </w:tcBorders>
            <w:noWrap/>
          </w:tcPr>
          <w:p>
            <w:pPr>
              <w:pStyle w:val="yTableNAm"/>
              <w:ind w:right="600"/>
              <w:jc w:val="right"/>
            </w:pPr>
            <w:r>
              <w:t>177.355</w:t>
            </w:r>
          </w:p>
        </w:tc>
      </w:tr>
      <w:tr>
        <w:trPr>
          <w:cantSplit/>
        </w:trPr>
        <w:tc>
          <w:tcPr>
            <w:tcW w:w="2159" w:type="dxa"/>
            <w:tcBorders>
              <w:top w:val="nil"/>
              <w:left w:val="nil"/>
              <w:bottom w:val="nil"/>
              <w:right w:val="nil"/>
            </w:tcBorders>
            <w:noWrap/>
          </w:tcPr>
          <w:p>
            <w:pPr>
              <w:pStyle w:val="yTableNAm"/>
            </w:pPr>
            <w:r>
              <w:t>Horrocks</w:t>
            </w:r>
          </w:p>
        </w:tc>
        <w:tc>
          <w:tcPr>
            <w:tcW w:w="1985" w:type="dxa"/>
            <w:tcBorders>
              <w:top w:val="nil"/>
              <w:left w:val="nil"/>
              <w:bottom w:val="nil"/>
              <w:right w:val="nil"/>
            </w:tcBorders>
            <w:noWrap/>
          </w:tcPr>
          <w:p>
            <w:pPr>
              <w:pStyle w:val="yTableNAm"/>
              <w:ind w:right="600"/>
              <w:jc w:val="right"/>
            </w:pPr>
            <w:r>
              <w:t>23.811</w:t>
            </w:r>
          </w:p>
        </w:tc>
        <w:tc>
          <w:tcPr>
            <w:tcW w:w="1985" w:type="dxa"/>
            <w:tcBorders>
              <w:top w:val="nil"/>
              <w:left w:val="nil"/>
              <w:bottom w:val="nil"/>
              <w:right w:val="nil"/>
            </w:tcBorders>
            <w:noWrap/>
          </w:tcPr>
          <w:p>
            <w:pPr>
              <w:pStyle w:val="yTableNAm"/>
              <w:ind w:right="600"/>
              <w:jc w:val="right"/>
            </w:pPr>
            <w:r>
              <w:t>30.275</w:t>
            </w:r>
          </w:p>
        </w:tc>
      </w:tr>
      <w:tr>
        <w:trPr>
          <w:cantSplit/>
        </w:trPr>
        <w:tc>
          <w:tcPr>
            <w:tcW w:w="2159" w:type="dxa"/>
            <w:tcBorders>
              <w:top w:val="nil"/>
              <w:left w:val="nil"/>
              <w:bottom w:val="nil"/>
              <w:right w:val="nil"/>
            </w:tcBorders>
            <w:noWrap/>
          </w:tcPr>
          <w:p>
            <w:pPr>
              <w:pStyle w:val="yTableNAm"/>
            </w:pPr>
            <w:r>
              <w:t>Hyden</w:t>
            </w:r>
          </w:p>
        </w:tc>
        <w:tc>
          <w:tcPr>
            <w:tcW w:w="1985" w:type="dxa"/>
            <w:tcBorders>
              <w:top w:val="nil"/>
              <w:left w:val="nil"/>
              <w:bottom w:val="nil"/>
              <w:right w:val="nil"/>
            </w:tcBorders>
            <w:noWrap/>
          </w:tcPr>
          <w:p>
            <w:pPr>
              <w:pStyle w:val="yTableNAm"/>
              <w:ind w:right="600"/>
              <w:jc w:val="right"/>
            </w:pPr>
            <w:r>
              <w:t>90.900</w:t>
            </w:r>
          </w:p>
        </w:tc>
        <w:tc>
          <w:tcPr>
            <w:tcW w:w="1985" w:type="dxa"/>
            <w:tcBorders>
              <w:top w:val="nil"/>
              <w:left w:val="nil"/>
              <w:bottom w:val="nil"/>
              <w:right w:val="nil"/>
            </w:tcBorders>
            <w:noWrap/>
          </w:tcPr>
          <w:p>
            <w:pPr>
              <w:pStyle w:val="yTableNAm"/>
              <w:ind w:right="600"/>
              <w:jc w:val="right"/>
            </w:pPr>
            <w:r>
              <w:t>516.548</w:t>
            </w:r>
          </w:p>
        </w:tc>
      </w:tr>
      <w:tr>
        <w:trPr>
          <w:cantSplit/>
        </w:trPr>
        <w:tc>
          <w:tcPr>
            <w:tcW w:w="2159" w:type="dxa"/>
            <w:tcBorders>
              <w:top w:val="nil"/>
              <w:left w:val="nil"/>
              <w:bottom w:val="nil"/>
              <w:right w:val="nil"/>
            </w:tcBorders>
            <w:noWrap/>
          </w:tcPr>
          <w:p>
            <w:pPr>
              <w:pStyle w:val="yTableNAm"/>
            </w:pPr>
            <w:r>
              <w:t>Jurien</w:t>
            </w:r>
          </w:p>
        </w:tc>
        <w:tc>
          <w:tcPr>
            <w:tcW w:w="1985" w:type="dxa"/>
            <w:tcBorders>
              <w:top w:val="nil"/>
              <w:left w:val="nil"/>
              <w:bottom w:val="nil"/>
              <w:right w:val="nil"/>
            </w:tcBorders>
            <w:noWrap/>
          </w:tcPr>
          <w:p>
            <w:pPr>
              <w:pStyle w:val="yTableNAm"/>
              <w:ind w:right="600"/>
              <w:jc w:val="right"/>
            </w:pPr>
            <w:r>
              <w:t>3.962</w:t>
            </w:r>
          </w:p>
        </w:tc>
        <w:tc>
          <w:tcPr>
            <w:tcW w:w="1985" w:type="dxa"/>
            <w:tcBorders>
              <w:top w:val="nil"/>
              <w:left w:val="nil"/>
              <w:bottom w:val="nil"/>
              <w:right w:val="nil"/>
            </w:tcBorders>
            <w:noWrap/>
          </w:tcPr>
          <w:p>
            <w:pPr>
              <w:pStyle w:val="yTableNAm"/>
              <w:ind w:right="600"/>
              <w:jc w:val="right"/>
            </w:pPr>
            <w:r>
              <w:t>7.949</w:t>
            </w:r>
          </w:p>
        </w:tc>
      </w:tr>
      <w:tr>
        <w:trPr>
          <w:cantSplit/>
        </w:trPr>
        <w:tc>
          <w:tcPr>
            <w:tcW w:w="2159" w:type="dxa"/>
            <w:tcBorders>
              <w:top w:val="nil"/>
              <w:left w:val="nil"/>
              <w:bottom w:val="nil"/>
              <w:right w:val="nil"/>
            </w:tcBorders>
            <w:noWrap/>
          </w:tcPr>
          <w:p>
            <w:pPr>
              <w:pStyle w:val="yTableNAm"/>
            </w:pPr>
            <w:r>
              <w:t>Kalbarri</w:t>
            </w:r>
          </w:p>
        </w:tc>
        <w:tc>
          <w:tcPr>
            <w:tcW w:w="1985" w:type="dxa"/>
            <w:tcBorders>
              <w:top w:val="nil"/>
              <w:left w:val="nil"/>
              <w:bottom w:val="nil"/>
              <w:right w:val="nil"/>
            </w:tcBorders>
            <w:noWrap/>
          </w:tcPr>
          <w:p>
            <w:pPr>
              <w:pStyle w:val="yTableNAm"/>
              <w:ind w:right="600"/>
              <w:jc w:val="right"/>
            </w:pPr>
            <w:r>
              <w:t>9.608</w:t>
            </w:r>
          </w:p>
        </w:tc>
        <w:tc>
          <w:tcPr>
            <w:tcW w:w="1985" w:type="dxa"/>
            <w:tcBorders>
              <w:top w:val="nil"/>
              <w:left w:val="nil"/>
              <w:bottom w:val="nil"/>
              <w:right w:val="nil"/>
            </w:tcBorders>
            <w:noWrap/>
          </w:tcPr>
          <w:p>
            <w:pPr>
              <w:pStyle w:val="yTableNAm"/>
              <w:ind w:right="600"/>
              <w:jc w:val="right"/>
            </w:pPr>
            <w:r>
              <w:t>19.429</w:t>
            </w:r>
          </w:p>
        </w:tc>
      </w:tr>
      <w:tr>
        <w:trPr>
          <w:cantSplit/>
        </w:trPr>
        <w:tc>
          <w:tcPr>
            <w:tcW w:w="2159" w:type="dxa"/>
            <w:tcBorders>
              <w:top w:val="nil"/>
              <w:left w:val="nil"/>
              <w:bottom w:val="nil"/>
              <w:right w:val="nil"/>
            </w:tcBorders>
            <w:noWrap/>
          </w:tcPr>
          <w:p>
            <w:pPr>
              <w:pStyle w:val="yTableNAm"/>
            </w:pPr>
            <w:r>
              <w:t>Kambalda</w:t>
            </w:r>
          </w:p>
        </w:tc>
        <w:tc>
          <w:tcPr>
            <w:tcW w:w="1985" w:type="dxa"/>
            <w:tcBorders>
              <w:top w:val="nil"/>
              <w:left w:val="nil"/>
              <w:bottom w:val="nil"/>
              <w:right w:val="nil"/>
            </w:tcBorders>
            <w:noWrap/>
          </w:tcPr>
          <w:p>
            <w:pPr>
              <w:pStyle w:val="yTableNAm"/>
              <w:ind w:right="600"/>
              <w:jc w:val="right"/>
            </w:pPr>
            <w:r>
              <w:t>9.503</w:t>
            </w:r>
          </w:p>
        </w:tc>
        <w:tc>
          <w:tcPr>
            <w:tcW w:w="1985" w:type="dxa"/>
            <w:tcBorders>
              <w:top w:val="nil"/>
              <w:left w:val="nil"/>
              <w:bottom w:val="nil"/>
              <w:right w:val="nil"/>
            </w:tcBorders>
            <w:noWrap/>
          </w:tcPr>
          <w:p>
            <w:pPr>
              <w:pStyle w:val="yTableNAm"/>
              <w:ind w:right="600"/>
              <w:jc w:val="right"/>
            </w:pPr>
            <w:r>
              <w:t>81.341</w:t>
            </w:r>
          </w:p>
        </w:tc>
      </w:tr>
      <w:tr>
        <w:trPr>
          <w:cantSplit/>
        </w:trPr>
        <w:tc>
          <w:tcPr>
            <w:tcW w:w="2159" w:type="dxa"/>
            <w:tcBorders>
              <w:top w:val="nil"/>
              <w:left w:val="nil"/>
              <w:bottom w:val="nil"/>
              <w:right w:val="nil"/>
            </w:tcBorders>
            <w:noWrap/>
          </w:tcPr>
          <w:p>
            <w:pPr>
              <w:pStyle w:val="yTableNAm"/>
            </w:pPr>
            <w:r>
              <w:t>Karratha</w:t>
            </w:r>
          </w:p>
        </w:tc>
        <w:tc>
          <w:tcPr>
            <w:tcW w:w="1985" w:type="dxa"/>
            <w:tcBorders>
              <w:top w:val="nil"/>
              <w:left w:val="nil"/>
              <w:bottom w:val="nil"/>
              <w:right w:val="nil"/>
            </w:tcBorders>
            <w:noWrap/>
          </w:tcPr>
          <w:p>
            <w:pPr>
              <w:pStyle w:val="yTableNAm"/>
              <w:ind w:right="600"/>
              <w:jc w:val="right"/>
            </w:pPr>
            <w:r>
              <w:t>2.166</w:t>
            </w:r>
          </w:p>
        </w:tc>
        <w:tc>
          <w:tcPr>
            <w:tcW w:w="1985" w:type="dxa"/>
            <w:tcBorders>
              <w:top w:val="nil"/>
              <w:left w:val="nil"/>
              <w:bottom w:val="nil"/>
              <w:right w:val="nil"/>
            </w:tcBorders>
            <w:noWrap/>
          </w:tcPr>
          <w:p>
            <w:pPr>
              <w:pStyle w:val="yTableNAm"/>
              <w:ind w:right="600"/>
              <w:jc w:val="right"/>
            </w:pPr>
            <w:r>
              <w:t>6.095</w:t>
            </w:r>
          </w:p>
        </w:tc>
      </w:tr>
      <w:tr>
        <w:trPr>
          <w:cantSplit/>
        </w:trPr>
        <w:tc>
          <w:tcPr>
            <w:tcW w:w="2159" w:type="dxa"/>
            <w:tcBorders>
              <w:top w:val="nil"/>
              <w:left w:val="nil"/>
              <w:bottom w:val="nil"/>
              <w:right w:val="nil"/>
            </w:tcBorders>
            <w:noWrap/>
          </w:tcPr>
          <w:p>
            <w:pPr>
              <w:pStyle w:val="yTableNAm"/>
            </w:pPr>
            <w:r>
              <w:t>Katanning</w:t>
            </w:r>
          </w:p>
        </w:tc>
        <w:tc>
          <w:tcPr>
            <w:tcW w:w="1985" w:type="dxa"/>
            <w:tcBorders>
              <w:top w:val="nil"/>
              <w:left w:val="nil"/>
              <w:bottom w:val="nil"/>
              <w:right w:val="nil"/>
            </w:tcBorders>
            <w:noWrap/>
          </w:tcPr>
          <w:p>
            <w:pPr>
              <w:pStyle w:val="yTableNAm"/>
              <w:ind w:right="600"/>
              <w:jc w:val="right"/>
            </w:pPr>
            <w:r>
              <w:t>13.766</w:t>
            </w:r>
          </w:p>
        </w:tc>
        <w:tc>
          <w:tcPr>
            <w:tcW w:w="1985" w:type="dxa"/>
            <w:tcBorders>
              <w:top w:val="nil"/>
              <w:left w:val="nil"/>
              <w:bottom w:val="nil"/>
              <w:right w:val="nil"/>
            </w:tcBorders>
            <w:noWrap/>
          </w:tcPr>
          <w:p>
            <w:pPr>
              <w:pStyle w:val="yTableNAm"/>
              <w:ind w:right="600"/>
              <w:jc w:val="right"/>
            </w:pPr>
            <w:r>
              <w:t>75.278</w:t>
            </w:r>
          </w:p>
        </w:tc>
      </w:tr>
      <w:tr>
        <w:trPr>
          <w:cantSplit/>
        </w:trPr>
        <w:tc>
          <w:tcPr>
            <w:tcW w:w="2159" w:type="dxa"/>
            <w:tcBorders>
              <w:top w:val="nil"/>
              <w:left w:val="nil"/>
              <w:bottom w:val="nil"/>
              <w:right w:val="nil"/>
            </w:tcBorders>
            <w:noWrap/>
          </w:tcPr>
          <w:p>
            <w:pPr>
              <w:pStyle w:val="yTableNAm"/>
            </w:pPr>
            <w:r>
              <w:t>Kellerberrin</w:t>
            </w:r>
          </w:p>
        </w:tc>
        <w:tc>
          <w:tcPr>
            <w:tcW w:w="1985" w:type="dxa"/>
            <w:tcBorders>
              <w:top w:val="nil"/>
              <w:left w:val="nil"/>
              <w:bottom w:val="nil"/>
              <w:right w:val="nil"/>
            </w:tcBorders>
            <w:noWrap/>
          </w:tcPr>
          <w:p>
            <w:pPr>
              <w:pStyle w:val="yTableNAm"/>
              <w:ind w:right="600"/>
              <w:jc w:val="right"/>
            </w:pPr>
            <w:r>
              <w:t>24.959</w:t>
            </w:r>
          </w:p>
        </w:tc>
        <w:tc>
          <w:tcPr>
            <w:tcW w:w="1985" w:type="dxa"/>
            <w:tcBorders>
              <w:top w:val="nil"/>
              <w:left w:val="nil"/>
              <w:bottom w:val="nil"/>
              <w:right w:val="nil"/>
            </w:tcBorders>
            <w:noWrap/>
          </w:tcPr>
          <w:p>
            <w:pPr>
              <w:pStyle w:val="yTableNAm"/>
              <w:ind w:right="600"/>
              <w:jc w:val="right"/>
            </w:pPr>
            <w:r>
              <w:t>325.809</w:t>
            </w:r>
          </w:p>
        </w:tc>
      </w:tr>
      <w:tr>
        <w:trPr>
          <w:cantSplit/>
        </w:trPr>
        <w:tc>
          <w:tcPr>
            <w:tcW w:w="2159" w:type="dxa"/>
            <w:tcBorders>
              <w:top w:val="nil"/>
              <w:left w:val="nil"/>
              <w:bottom w:val="nil"/>
              <w:right w:val="nil"/>
            </w:tcBorders>
            <w:noWrap/>
          </w:tcPr>
          <w:p>
            <w:pPr>
              <w:pStyle w:val="yTableNAm"/>
            </w:pPr>
            <w:r>
              <w:t>Kojonup</w:t>
            </w:r>
          </w:p>
        </w:tc>
        <w:tc>
          <w:tcPr>
            <w:tcW w:w="1985" w:type="dxa"/>
            <w:tcBorders>
              <w:top w:val="nil"/>
              <w:left w:val="nil"/>
              <w:bottom w:val="nil"/>
              <w:right w:val="nil"/>
            </w:tcBorders>
            <w:noWrap/>
          </w:tcPr>
          <w:p>
            <w:pPr>
              <w:pStyle w:val="yTableNAm"/>
              <w:ind w:right="600"/>
              <w:jc w:val="right"/>
            </w:pPr>
            <w:r>
              <w:t>20.555</w:t>
            </w:r>
          </w:p>
        </w:tc>
        <w:tc>
          <w:tcPr>
            <w:tcW w:w="1985" w:type="dxa"/>
            <w:tcBorders>
              <w:top w:val="nil"/>
              <w:left w:val="nil"/>
              <w:bottom w:val="nil"/>
              <w:right w:val="nil"/>
            </w:tcBorders>
            <w:noWrap/>
          </w:tcPr>
          <w:p>
            <w:pPr>
              <w:pStyle w:val="yTableNAm"/>
              <w:ind w:right="600"/>
              <w:jc w:val="right"/>
            </w:pPr>
            <w:r>
              <w:t>175.258</w:t>
            </w:r>
          </w:p>
        </w:tc>
      </w:tr>
      <w:tr>
        <w:trPr>
          <w:cantSplit/>
        </w:trPr>
        <w:tc>
          <w:tcPr>
            <w:tcW w:w="2159" w:type="dxa"/>
            <w:tcBorders>
              <w:top w:val="nil"/>
              <w:left w:val="nil"/>
              <w:bottom w:val="nil"/>
              <w:right w:val="nil"/>
            </w:tcBorders>
            <w:noWrap/>
          </w:tcPr>
          <w:p>
            <w:pPr>
              <w:pStyle w:val="yTableNAm"/>
            </w:pPr>
            <w:r>
              <w:t>Kulin</w:t>
            </w:r>
          </w:p>
        </w:tc>
        <w:tc>
          <w:tcPr>
            <w:tcW w:w="1985" w:type="dxa"/>
            <w:tcBorders>
              <w:top w:val="nil"/>
              <w:left w:val="nil"/>
              <w:bottom w:val="nil"/>
              <w:right w:val="nil"/>
            </w:tcBorders>
            <w:noWrap/>
          </w:tcPr>
          <w:p>
            <w:pPr>
              <w:pStyle w:val="yTableNAm"/>
              <w:ind w:right="600"/>
              <w:jc w:val="right"/>
            </w:pPr>
            <w:r>
              <w:t>40.796</w:t>
            </w:r>
          </w:p>
        </w:tc>
        <w:tc>
          <w:tcPr>
            <w:tcW w:w="1985" w:type="dxa"/>
            <w:tcBorders>
              <w:top w:val="nil"/>
              <w:left w:val="nil"/>
              <w:bottom w:val="nil"/>
              <w:right w:val="nil"/>
            </w:tcBorders>
            <w:noWrap/>
          </w:tcPr>
          <w:p>
            <w:pPr>
              <w:pStyle w:val="yTableNAm"/>
              <w:ind w:right="600"/>
              <w:jc w:val="right"/>
            </w:pPr>
            <w:r>
              <w:t>1004.123</w:t>
            </w:r>
          </w:p>
        </w:tc>
      </w:tr>
      <w:tr>
        <w:trPr>
          <w:cantSplit/>
        </w:trPr>
        <w:tc>
          <w:tcPr>
            <w:tcW w:w="2159" w:type="dxa"/>
            <w:tcBorders>
              <w:top w:val="nil"/>
              <w:left w:val="nil"/>
              <w:bottom w:val="nil"/>
              <w:right w:val="nil"/>
            </w:tcBorders>
            <w:noWrap/>
          </w:tcPr>
          <w:p>
            <w:pPr>
              <w:pStyle w:val="yTableNAm"/>
            </w:pPr>
            <w:r>
              <w:t>Kununurra</w:t>
            </w:r>
          </w:p>
        </w:tc>
        <w:tc>
          <w:tcPr>
            <w:tcW w:w="1985" w:type="dxa"/>
            <w:tcBorders>
              <w:top w:val="nil"/>
              <w:left w:val="nil"/>
              <w:bottom w:val="nil"/>
              <w:right w:val="nil"/>
            </w:tcBorders>
            <w:noWrap/>
          </w:tcPr>
          <w:p>
            <w:pPr>
              <w:pStyle w:val="yTableNAm"/>
              <w:ind w:right="600"/>
              <w:jc w:val="right"/>
            </w:pPr>
            <w:r>
              <w:t>7.478</w:t>
            </w:r>
          </w:p>
        </w:tc>
        <w:tc>
          <w:tcPr>
            <w:tcW w:w="1985" w:type="dxa"/>
            <w:tcBorders>
              <w:top w:val="nil"/>
              <w:left w:val="nil"/>
              <w:bottom w:val="nil"/>
              <w:right w:val="nil"/>
            </w:tcBorders>
            <w:noWrap/>
          </w:tcPr>
          <w:p>
            <w:pPr>
              <w:pStyle w:val="yTableNAm"/>
              <w:ind w:right="600"/>
              <w:jc w:val="right"/>
            </w:pPr>
            <w:r>
              <w:t>21.144</w:t>
            </w:r>
          </w:p>
        </w:tc>
      </w:tr>
      <w:tr>
        <w:trPr>
          <w:cantSplit/>
        </w:trPr>
        <w:tc>
          <w:tcPr>
            <w:tcW w:w="2159" w:type="dxa"/>
            <w:tcBorders>
              <w:top w:val="nil"/>
              <w:left w:val="nil"/>
              <w:bottom w:val="nil"/>
              <w:right w:val="nil"/>
            </w:tcBorders>
            <w:noWrap/>
          </w:tcPr>
          <w:p>
            <w:pPr>
              <w:pStyle w:val="yTableNAm"/>
            </w:pPr>
            <w:r>
              <w:lastRenderedPageBreak/>
              <w:t>Lancelin</w:t>
            </w:r>
          </w:p>
        </w:tc>
        <w:tc>
          <w:tcPr>
            <w:tcW w:w="1985" w:type="dxa"/>
            <w:tcBorders>
              <w:top w:val="nil"/>
              <w:left w:val="nil"/>
              <w:bottom w:val="nil"/>
              <w:right w:val="nil"/>
            </w:tcBorders>
            <w:noWrap/>
          </w:tcPr>
          <w:p>
            <w:pPr>
              <w:pStyle w:val="yTableNAm"/>
              <w:ind w:right="600"/>
              <w:jc w:val="right"/>
            </w:pPr>
            <w:r>
              <w:t>18.348</w:t>
            </w:r>
          </w:p>
        </w:tc>
        <w:tc>
          <w:tcPr>
            <w:tcW w:w="1985" w:type="dxa"/>
            <w:tcBorders>
              <w:top w:val="nil"/>
              <w:left w:val="nil"/>
              <w:bottom w:val="nil"/>
              <w:right w:val="nil"/>
            </w:tcBorders>
            <w:noWrap/>
          </w:tcPr>
          <w:p>
            <w:pPr>
              <w:pStyle w:val="yTableNAm"/>
              <w:ind w:right="600"/>
              <w:jc w:val="right"/>
            </w:pPr>
            <w:r>
              <w:t>20.923</w:t>
            </w:r>
          </w:p>
        </w:tc>
      </w:tr>
      <w:tr>
        <w:trPr>
          <w:cantSplit/>
        </w:trPr>
        <w:tc>
          <w:tcPr>
            <w:tcW w:w="2159" w:type="dxa"/>
            <w:tcBorders>
              <w:top w:val="nil"/>
              <w:left w:val="nil"/>
              <w:bottom w:val="nil"/>
              <w:right w:val="nil"/>
            </w:tcBorders>
            <w:noWrap/>
          </w:tcPr>
          <w:p>
            <w:pPr>
              <w:pStyle w:val="yTableNAm"/>
            </w:pPr>
            <w:r>
              <w:t>Laverton</w:t>
            </w:r>
          </w:p>
        </w:tc>
        <w:tc>
          <w:tcPr>
            <w:tcW w:w="1985" w:type="dxa"/>
            <w:tcBorders>
              <w:top w:val="nil"/>
              <w:left w:val="nil"/>
              <w:bottom w:val="nil"/>
              <w:right w:val="nil"/>
            </w:tcBorders>
            <w:noWrap/>
          </w:tcPr>
          <w:p>
            <w:pPr>
              <w:pStyle w:val="yTableNAm"/>
              <w:ind w:right="600"/>
              <w:jc w:val="right"/>
            </w:pPr>
            <w:r>
              <w:t>25.720</w:t>
            </w:r>
          </w:p>
        </w:tc>
        <w:tc>
          <w:tcPr>
            <w:tcW w:w="1985" w:type="dxa"/>
            <w:tcBorders>
              <w:top w:val="nil"/>
              <w:left w:val="nil"/>
              <w:bottom w:val="nil"/>
              <w:right w:val="nil"/>
            </w:tcBorders>
            <w:noWrap/>
          </w:tcPr>
          <w:p>
            <w:pPr>
              <w:pStyle w:val="yTableNAm"/>
              <w:ind w:right="600"/>
              <w:jc w:val="right"/>
            </w:pPr>
            <w:r>
              <w:t>989.473</w:t>
            </w:r>
          </w:p>
        </w:tc>
      </w:tr>
      <w:tr>
        <w:trPr>
          <w:cantSplit/>
        </w:trPr>
        <w:tc>
          <w:tcPr>
            <w:tcW w:w="2159" w:type="dxa"/>
            <w:tcBorders>
              <w:top w:val="nil"/>
              <w:left w:val="nil"/>
              <w:bottom w:val="nil"/>
              <w:right w:val="nil"/>
            </w:tcBorders>
            <w:noWrap/>
          </w:tcPr>
          <w:p>
            <w:pPr>
              <w:pStyle w:val="yTableNAm"/>
            </w:pPr>
            <w:r>
              <w:t>Ledge Point</w:t>
            </w:r>
          </w:p>
        </w:tc>
        <w:tc>
          <w:tcPr>
            <w:tcW w:w="1985" w:type="dxa"/>
            <w:tcBorders>
              <w:top w:val="nil"/>
              <w:left w:val="nil"/>
              <w:bottom w:val="nil"/>
              <w:right w:val="nil"/>
            </w:tcBorders>
            <w:noWrap/>
          </w:tcPr>
          <w:p>
            <w:pPr>
              <w:pStyle w:val="yTableNAm"/>
              <w:ind w:right="600"/>
              <w:jc w:val="right"/>
            </w:pPr>
            <w:r>
              <w:t>7.672</w:t>
            </w:r>
          </w:p>
        </w:tc>
        <w:tc>
          <w:tcPr>
            <w:tcW w:w="1985" w:type="dxa"/>
            <w:tcBorders>
              <w:top w:val="nil"/>
              <w:left w:val="nil"/>
              <w:bottom w:val="nil"/>
              <w:right w:val="nil"/>
            </w:tcBorders>
            <w:noWrap/>
          </w:tcPr>
          <w:p>
            <w:pPr>
              <w:pStyle w:val="yTableNAm"/>
              <w:ind w:right="600"/>
              <w:jc w:val="right"/>
            </w:pPr>
            <w:r>
              <w:t>15.584</w:t>
            </w:r>
          </w:p>
        </w:tc>
      </w:tr>
      <w:tr>
        <w:trPr>
          <w:cantSplit/>
        </w:trPr>
        <w:tc>
          <w:tcPr>
            <w:tcW w:w="2159" w:type="dxa"/>
            <w:tcBorders>
              <w:top w:val="nil"/>
              <w:left w:val="nil"/>
              <w:bottom w:val="nil"/>
              <w:right w:val="nil"/>
            </w:tcBorders>
            <w:noWrap/>
          </w:tcPr>
          <w:p>
            <w:pPr>
              <w:pStyle w:val="yTableNAm"/>
            </w:pPr>
            <w:r>
              <w:t>Leeman</w:t>
            </w:r>
          </w:p>
        </w:tc>
        <w:tc>
          <w:tcPr>
            <w:tcW w:w="1985" w:type="dxa"/>
            <w:tcBorders>
              <w:top w:val="nil"/>
              <w:left w:val="nil"/>
              <w:bottom w:val="nil"/>
              <w:right w:val="nil"/>
            </w:tcBorders>
            <w:noWrap/>
          </w:tcPr>
          <w:p>
            <w:pPr>
              <w:pStyle w:val="yTableNAm"/>
              <w:ind w:right="600"/>
              <w:jc w:val="right"/>
            </w:pPr>
            <w:r>
              <w:t>13.635</w:t>
            </w:r>
          </w:p>
        </w:tc>
        <w:tc>
          <w:tcPr>
            <w:tcW w:w="1985" w:type="dxa"/>
            <w:tcBorders>
              <w:top w:val="nil"/>
              <w:left w:val="nil"/>
              <w:bottom w:val="nil"/>
              <w:right w:val="nil"/>
            </w:tcBorders>
            <w:noWrap/>
          </w:tcPr>
          <w:p>
            <w:pPr>
              <w:pStyle w:val="yTableNAm"/>
              <w:ind w:right="600"/>
              <w:jc w:val="right"/>
            </w:pPr>
            <w:r>
              <w:t>33.672</w:t>
            </w:r>
          </w:p>
        </w:tc>
      </w:tr>
      <w:tr>
        <w:trPr>
          <w:cantSplit/>
        </w:trPr>
        <w:tc>
          <w:tcPr>
            <w:tcW w:w="2159" w:type="dxa"/>
            <w:tcBorders>
              <w:top w:val="nil"/>
              <w:left w:val="nil"/>
              <w:bottom w:val="nil"/>
              <w:right w:val="nil"/>
            </w:tcBorders>
            <w:noWrap/>
          </w:tcPr>
          <w:p>
            <w:pPr>
              <w:pStyle w:val="yTableNAm"/>
            </w:pPr>
            <w:r>
              <w:t>Leonora</w:t>
            </w:r>
          </w:p>
        </w:tc>
        <w:tc>
          <w:tcPr>
            <w:tcW w:w="1985" w:type="dxa"/>
            <w:tcBorders>
              <w:top w:val="nil"/>
              <w:left w:val="nil"/>
              <w:bottom w:val="nil"/>
              <w:right w:val="nil"/>
            </w:tcBorders>
            <w:noWrap/>
          </w:tcPr>
          <w:p>
            <w:pPr>
              <w:pStyle w:val="yTableNAm"/>
              <w:ind w:right="600"/>
              <w:jc w:val="right"/>
            </w:pPr>
            <w:r>
              <w:t>2.262</w:t>
            </w:r>
          </w:p>
        </w:tc>
        <w:tc>
          <w:tcPr>
            <w:tcW w:w="1985" w:type="dxa"/>
            <w:tcBorders>
              <w:top w:val="nil"/>
              <w:left w:val="nil"/>
              <w:bottom w:val="nil"/>
              <w:right w:val="nil"/>
            </w:tcBorders>
            <w:noWrap/>
          </w:tcPr>
          <w:p>
            <w:pPr>
              <w:pStyle w:val="yTableNAm"/>
              <w:ind w:right="600"/>
              <w:jc w:val="right"/>
            </w:pPr>
            <w:r>
              <w:t>38.054</w:t>
            </w:r>
          </w:p>
        </w:tc>
      </w:tr>
      <w:tr>
        <w:trPr>
          <w:cantSplit/>
        </w:trPr>
        <w:tc>
          <w:tcPr>
            <w:tcW w:w="2159" w:type="dxa"/>
            <w:tcBorders>
              <w:top w:val="nil"/>
              <w:left w:val="nil"/>
              <w:bottom w:val="nil"/>
              <w:right w:val="nil"/>
            </w:tcBorders>
            <w:noWrap/>
          </w:tcPr>
          <w:p>
            <w:pPr>
              <w:pStyle w:val="yTableNAm"/>
            </w:pPr>
            <w:r>
              <w:t>Mandurah</w:t>
            </w:r>
          </w:p>
        </w:tc>
        <w:tc>
          <w:tcPr>
            <w:tcW w:w="1985" w:type="dxa"/>
            <w:tcBorders>
              <w:top w:val="nil"/>
              <w:left w:val="nil"/>
              <w:bottom w:val="nil"/>
              <w:right w:val="nil"/>
            </w:tcBorders>
            <w:noWrap/>
          </w:tcPr>
          <w:p>
            <w:pPr>
              <w:pStyle w:val="yTableNAm"/>
              <w:ind w:right="600"/>
              <w:jc w:val="right"/>
            </w:pPr>
            <w:r>
              <w:t>6.959</w:t>
            </w:r>
          </w:p>
        </w:tc>
        <w:tc>
          <w:tcPr>
            <w:tcW w:w="1985" w:type="dxa"/>
            <w:tcBorders>
              <w:top w:val="nil"/>
              <w:left w:val="nil"/>
              <w:bottom w:val="nil"/>
              <w:right w:val="nil"/>
            </w:tcBorders>
            <w:noWrap/>
          </w:tcPr>
          <w:p>
            <w:pPr>
              <w:pStyle w:val="yTableNAm"/>
              <w:ind w:right="600"/>
              <w:jc w:val="right"/>
            </w:pPr>
            <w:r>
              <w:t>6.940</w:t>
            </w:r>
          </w:p>
        </w:tc>
      </w:tr>
      <w:tr>
        <w:trPr>
          <w:cantSplit/>
        </w:trPr>
        <w:tc>
          <w:tcPr>
            <w:tcW w:w="2159" w:type="dxa"/>
            <w:tcBorders>
              <w:top w:val="nil"/>
              <w:left w:val="nil"/>
              <w:bottom w:val="nil"/>
              <w:right w:val="nil"/>
            </w:tcBorders>
            <w:noWrap/>
          </w:tcPr>
          <w:p>
            <w:pPr>
              <w:pStyle w:val="yTableNAm"/>
            </w:pPr>
            <w:r>
              <w:t>Manjimup</w:t>
            </w:r>
          </w:p>
        </w:tc>
        <w:tc>
          <w:tcPr>
            <w:tcW w:w="1985" w:type="dxa"/>
            <w:tcBorders>
              <w:top w:val="nil"/>
              <w:left w:val="nil"/>
              <w:bottom w:val="nil"/>
              <w:right w:val="nil"/>
            </w:tcBorders>
            <w:noWrap/>
          </w:tcPr>
          <w:p>
            <w:pPr>
              <w:pStyle w:val="yTableNAm"/>
              <w:ind w:right="600"/>
              <w:jc w:val="right"/>
            </w:pPr>
            <w:r>
              <w:t>16.219</w:t>
            </w:r>
          </w:p>
        </w:tc>
        <w:tc>
          <w:tcPr>
            <w:tcW w:w="1985" w:type="dxa"/>
            <w:tcBorders>
              <w:top w:val="nil"/>
              <w:left w:val="nil"/>
              <w:bottom w:val="nil"/>
              <w:right w:val="nil"/>
            </w:tcBorders>
            <w:noWrap/>
          </w:tcPr>
          <w:p>
            <w:pPr>
              <w:pStyle w:val="yTableNAm"/>
              <w:ind w:right="600"/>
              <w:jc w:val="right"/>
            </w:pPr>
            <w:r>
              <w:t>44.614</w:t>
            </w:r>
          </w:p>
        </w:tc>
      </w:tr>
      <w:tr>
        <w:trPr>
          <w:cantSplit/>
        </w:trPr>
        <w:tc>
          <w:tcPr>
            <w:tcW w:w="2159" w:type="dxa"/>
            <w:tcBorders>
              <w:top w:val="nil"/>
              <w:left w:val="nil"/>
              <w:bottom w:val="nil"/>
              <w:right w:val="nil"/>
            </w:tcBorders>
            <w:noWrap/>
          </w:tcPr>
          <w:p>
            <w:pPr>
              <w:pStyle w:val="yTableNAm"/>
            </w:pPr>
            <w:r>
              <w:t>Margaret River</w:t>
            </w:r>
          </w:p>
        </w:tc>
        <w:tc>
          <w:tcPr>
            <w:tcW w:w="1985" w:type="dxa"/>
            <w:tcBorders>
              <w:top w:val="nil"/>
              <w:left w:val="nil"/>
              <w:bottom w:val="nil"/>
              <w:right w:val="nil"/>
            </w:tcBorders>
            <w:noWrap/>
          </w:tcPr>
          <w:p>
            <w:pPr>
              <w:pStyle w:val="yTableNAm"/>
              <w:ind w:right="600"/>
              <w:jc w:val="right"/>
            </w:pPr>
            <w:r>
              <w:t>9.001</w:t>
            </w:r>
          </w:p>
        </w:tc>
        <w:tc>
          <w:tcPr>
            <w:tcW w:w="1985" w:type="dxa"/>
            <w:tcBorders>
              <w:top w:val="nil"/>
              <w:left w:val="nil"/>
              <w:bottom w:val="nil"/>
              <w:right w:val="nil"/>
            </w:tcBorders>
            <w:noWrap/>
          </w:tcPr>
          <w:p>
            <w:pPr>
              <w:pStyle w:val="yTableNAm"/>
              <w:ind w:right="600"/>
              <w:jc w:val="right"/>
            </w:pPr>
            <w:r>
              <w:t>18.955</w:t>
            </w:r>
          </w:p>
        </w:tc>
      </w:tr>
      <w:tr>
        <w:trPr>
          <w:cantSplit/>
        </w:trPr>
        <w:tc>
          <w:tcPr>
            <w:tcW w:w="2159" w:type="dxa"/>
            <w:tcBorders>
              <w:top w:val="nil"/>
              <w:left w:val="nil"/>
              <w:bottom w:val="nil"/>
              <w:right w:val="nil"/>
            </w:tcBorders>
            <w:noWrap/>
          </w:tcPr>
          <w:p>
            <w:pPr>
              <w:pStyle w:val="yTableNAm"/>
            </w:pPr>
            <w:r>
              <w:t>Meckering</w:t>
            </w:r>
          </w:p>
        </w:tc>
        <w:tc>
          <w:tcPr>
            <w:tcW w:w="1985" w:type="dxa"/>
            <w:tcBorders>
              <w:top w:val="nil"/>
              <w:left w:val="nil"/>
              <w:bottom w:val="nil"/>
              <w:right w:val="nil"/>
            </w:tcBorders>
            <w:noWrap/>
          </w:tcPr>
          <w:p>
            <w:pPr>
              <w:pStyle w:val="yTableNAm"/>
              <w:ind w:right="600"/>
              <w:jc w:val="right"/>
            </w:pPr>
            <w:r>
              <w:t>92.141</w:t>
            </w:r>
          </w:p>
        </w:tc>
        <w:tc>
          <w:tcPr>
            <w:tcW w:w="1985" w:type="dxa"/>
            <w:tcBorders>
              <w:top w:val="nil"/>
              <w:left w:val="nil"/>
              <w:bottom w:val="nil"/>
              <w:right w:val="nil"/>
            </w:tcBorders>
            <w:noWrap/>
          </w:tcPr>
          <w:p>
            <w:pPr>
              <w:pStyle w:val="yTableNAm"/>
              <w:ind w:right="600"/>
              <w:jc w:val="right"/>
            </w:pPr>
            <w:r>
              <w:t>538.218</w:t>
            </w:r>
          </w:p>
        </w:tc>
      </w:tr>
      <w:tr>
        <w:trPr>
          <w:cantSplit/>
        </w:trPr>
        <w:tc>
          <w:tcPr>
            <w:tcW w:w="2159" w:type="dxa"/>
            <w:tcBorders>
              <w:top w:val="nil"/>
              <w:left w:val="nil"/>
              <w:bottom w:val="nil"/>
              <w:right w:val="nil"/>
            </w:tcBorders>
            <w:noWrap/>
          </w:tcPr>
          <w:p>
            <w:pPr>
              <w:pStyle w:val="yTableNAm"/>
            </w:pPr>
            <w:r>
              <w:t>Merredin</w:t>
            </w:r>
          </w:p>
        </w:tc>
        <w:tc>
          <w:tcPr>
            <w:tcW w:w="1985" w:type="dxa"/>
            <w:tcBorders>
              <w:top w:val="nil"/>
              <w:left w:val="nil"/>
              <w:bottom w:val="nil"/>
              <w:right w:val="nil"/>
            </w:tcBorders>
            <w:noWrap/>
          </w:tcPr>
          <w:p>
            <w:pPr>
              <w:pStyle w:val="yTableNAm"/>
              <w:ind w:right="600"/>
              <w:jc w:val="right"/>
            </w:pPr>
            <w:r>
              <w:t>14.966</w:t>
            </w:r>
          </w:p>
        </w:tc>
        <w:tc>
          <w:tcPr>
            <w:tcW w:w="1985" w:type="dxa"/>
            <w:tcBorders>
              <w:top w:val="nil"/>
              <w:left w:val="nil"/>
              <w:bottom w:val="nil"/>
              <w:right w:val="nil"/>
            </w:tcBorders>
            <w:noWrap/>
          </w:tcPr>
          <w:p>
            <w:pPr>
              <w:pStyle w:val="yTableNAm"/>
              <w:ind w:right="600"/>
              <w:jc w:val="right"/>
            </w:pPr>
            <w:r>
              <w:t>97.401</w:t>
            </w:r>
          </w:p>
        </w:tc>
      </w:tr>
      <w:tr>
        <w:trPr>
          <w:cantSplit/>
        </w:trPr>
        <w:tc>
          <w:tcPr>
            <w:tcW w:w="2159" w:type="dxa"/>
            <w:tcBorders>
              <w:top w:val="nil"/>
              <w:left w:val="nil"/>
              <w:bottom w:val="nil"/>
              <w:right w:val="nil"/>
            </w:tcBorders>
            <w:noWrap/>
          </w:tcPr>
          <w:p>
            <w:pPr>
              <w:pStyle w:val="yTableNAm"/>
            </w:pPr>
            <w:r>
              <w:t>Mount Barker</w:t>
            </w:r>
          </w:p>
        </w:tc>
        <w:tc>
          <w:tcPr>
            <w:tcW w:w="1985" w:type="dxa"/>
            <w:tcBorders>
              <w:top w:val="nil"/>
              <w:left w:val="nil"/>
              <w:bottom w:val="nil"/>
              <w:right w:val="nil"/>
            </w:tcBorders>
            <w:noWrap/>
          </w:tcPr>
          <w:p>
            <w:pPr>
              <w:pStyle w:val="yTableNAm"/>
              <w:ind w:right="600"/>
              <w:jc w:val="right"/>
            </w:pPr>
            <w:r>
              <w:t>10.991</w:t>
            </w:r>
          </w:p>
        </w:tc>
        <w:tc>
          <w:tcPr>
            <w:tcW w:w="1985" w:type="dxa"/>
            <w:tcBorders>
              <w:top w:val="nil"/>
              <w:left w:val="nil"/>
              <w:bottom w:val="nil"/>
              <w:right w:val="nil"/>
            </w:tcBorders>
            <w:noWrap/>
          </w:tcPr>
          <w:p>
            <w:pPr>
              <w:pStyle w:val="yTableNAm"/>
              <w:ind w:right="600"/>
              <w:jc w:val="right"/>
            </w:pPr>
            <w:r>
              <w:t>44.544</w:t>
            </w:r>
          </w:p>
        </w:tc>
      </w:tr>
      <w:tr>
        <w:trPr>
          <w:cantSplit/>
        </w:trPr>
        <w:tc>
          <w:tcPr>
            <w:tcW w:w="2159" w:type="dxa"/>
            <w:tcBorders>
              <w:top w:val="nil"/>
              <w:left w:val="nil"/>
              <w:bottom w:val="nil"/>
              <w:right w:val="nil"/>
            </w:tcBorders>
            <w:noWrap/>
          </w:tcPr>
          <w:p>
            <w:pPr>
              <w:pStyle w:val="yTableNAm"/>
            </w:pPr>
            <w:r>
              <w:t>Mukinbudin</w:t>
            </w:r>
          </w:p>
        </w:tc>
        <w:tc>
          <w:tcPr>
            <w:tcW w:w="1985" w:type="dxa"/>
            <w:tcBorders>
              <w:top w:val="nil"/>
              <w:left w:val="nil"/>
              <w:bottom w:val="nil"/>
              <w:right w:val="nil"/>
            </w:tcBorders>
            <w:noWrap/>
          </w:tcPr>
          <w:p>
            <w:pPr>
              <w:pStyle w:val="yTableNAm"/>
              <w:ind w:right="600"/>
              <w:jc w:val="right"/>
            </w:pPr>
            <w:r>
              <w:t>30.284</w:t>
            </w:r>
          </w:p>
        </w:tc>
        <w:tc>
          <w:tcPr>
            <w:tcW w:w="1985" w:type="dxa"/>
            <w:tcBorders>
              <w:top w:val="nil"/>
              <w:left w:val="nil"/>
              <w:bottom w:val="nil"/>
              <w:right w:val="nil"/>
            </w:tcBorders>
            <w:noWrap/>
          </w:tcPr>
          <w:p>
            <w:pPr>
              <w:pStyle w:val="yTableNAm"/>
              <w:ind w:right="600"/>
              <w:jc w:val="right"/>
            </w:pPr>
            <w:r>
              <w:t>312.833</w:t>
            </w:r>
          </w:p>
        </w:tc>
      </w:tr>
      <w:tr>
        <w:trPr>
          <w:cantSplit/>
        </w:trPr>
        <w:tc>
          <w:tcPr>
            <w:tcW w:w="2159" w:type="dxa"/>
            <w:tcBorders>
              <w:top w:val="nil"/>
              <w:left w:val="nil"/>
              <w:bottom w:val="nil"/>
              <w:right w:val="nil"/>
            </w:tcBorders>
            <w:noWrap/>
          </w:tcPr>
          <w:p>
            <w:pPr>
              <w:pStyle w:val="yTableNAm"/>
            </w:pPr>
            <w:r>
              <w:t>Nannup</w:t>
            </w:r>
          </w:p>
        </w:tc>
        <w:tc>
          <w:tcPr>
            <w:tcW w:w="1985" w:type="dxa"/>
            <w:tcBorders>
              <w:top w:val="nil"/>
              <w:left w:val="nil"/>
              <w:bottom w:val="nil"/>
              <w:right w:val="nil"/>
            </w:tcBorders>
            <w:noWrap/>
          </w:tcPr>
          <w:p>
            <w:pPr>
              <w:pStyle w:val="yTableNAm"/>
              <w:ind w:right="600"/>
              <w:jc w:val="right"/>
            </w:pPr>
            <w:r>
              <w:t>11.874</w:t>
            </w:r>
          </w:p>
        </w:tc>
        <w:tc>
          <w:tcPr>
            <w:tcW w:w="1985" w:type="dxa"/>
            <w:tcBorders>
              <w:top w:val="nil"/>
              <w:left w:val="nil"/>
              <w:bottom w:val="nil"/>
              <w:right w:val="nil"/>
            </w:tcBorders>
            <w:noWrap/>
          </w:tcPr>
          <w:p>
            <w:pPr>
              <w:pStyle w:val="yTableNAm"/>
              <w:ind w:right="600"/>
              <w:jc w:val="right"/>
            </w:pPr>
            <w:r>
              <w:t>27.192</w:t>
            </w:r>
          </w:p>
        </w:tc>
      </w:tr>
      <w:tr>
        <w:trPr>
          <w:cantSplit/>
        </w:trPr>
        <w:tc>
          <w:tcPr>
            <w:tcW w:w="2159" w:type="dxa"/>
            <w:tcBorders>
              <w:top w:val="nil"/>
              <w:left w:val="nil"/>
              <w:bottom w:val="nil"/>
              <w:right w:val="nil"/>
            </w:tcBorders>
            <w:noWrap/>
          </w:tcPr>
          <w:p>
            <w:pPr>
              <w:pStyle w:val="yTableNAm"/>
            </w:pPr>
            <w:r>
              <w:t>Narembeen</w:t>
            </w:r>
          </w:p>
        </w:tc>
        <w:tc>
          <w:tcPr>
            <w:tcW w:w="1985" w:type="dxa"/>
            <w:tcBorders>
              <w:top w:val="nil"/>
              <w:left w:val="nil"/>
              <w:bottom w:val="nil"/>
              <w:right w:val="nil"/>
            </w:tcBorders>
            <w:noWrap/>
          </w:tcPr>
          <w:p>
            <w:pPr>
              <w:pStyle w:val="yTableNAm"/>
              <w:ind w:right="600"/>
              <w:jc w:val="right"/>
            </w:pPr>
            <w:r>
              <w:t>23.307</w:t>
            </w:r>
          </w:p>
        </w:tc>
        <w:tc>
          <w:tcPr>
            <w:tcW w:w="1985" w:type="dxa"/>
            <w:tcBorders>
              <w:top w:val="nil"/>
              <w:left w:val="nil"/>
              <w:bottom w:val="nil"/>
              <w:right w:val="nil"/>
            </w:tcBorders>
            <w:noWrap/>
          </w:tcPr>
          <w:p>
            <w:pPr>
              <w:pStyle w:val="yTableNAm"/>
              <w:ind w:right="600"/>
              <w:jc w:val="right"/>
            </w:pPr>
            <w:r>
              <w:t>372.261</w:t>
            </w:r>
          </w:p>
        </w:tc>
      </w:tr>
      <w:tr>
        <w:trPr>
          <w:cantSplit/>
        </w:trPr>
        <w:tc>
          <w:tcPr>
            <w:tcW w:w="2159" w:type="dxa"/>
            <w:tcBorders>
              <w:top w:val="nil"/>
              <w:left w:val="nil"/>
              <w:bottom w:val="nil"/>
              <w:right w:val="nil"/>
            </w:tcBorders>
            <w:noWrap/>
          </w:tcPr>
          <w:p>
            <w:pPr>
              <w:pStyle w:val="yTableNAm"/>
            </w:pPr>
            <w:r>
              <w:t>Narrogin</w:t>
            </w:r>
          </w:p>
        </w:tc>
        <w:tc>
          <w:tcPr>
            <w:tcW w:w="1985" w:type="dxa"/>
            <w:tcBorders>
              <w:top w:val="nil"/>
              <w:left w:val="nil"/>
              <w:bottom w:val="nil"/>
              <w:right w:val="nil"/>
            </w:tcBorders>
            <w:noWrap/>
          </w:tcPr>
          <w:p>
            <w:pPr>
              <w:pStyle w:val="yTableNAm"/>
              <w:ind w:right="600"/>
              <w:jc w:val="right"/>
            </w:pPr>
            <w:r>
              <w:t>12.098</w:t>
            </w:r>
          </w:p>
        </w:tc>
        <w:tc>
          <w:tcPr>
            <w:tcW w:w="1985" w:type="dxa"/>
            <w:tcBorders>
              <w:top w:val="nil"/>
              <w:left w:val="nil"/>
              <w:bottom w:val="nil"/>
              <w:right w:val="nil"/>
            </w:tcBorders>
            <w:noWrap/>
          </w:tcPr>
          <w:p>
            <w:pPr>
              <w:pStyle w:val="yTableNAm"/>
              <w:ind w:right="600"/>
              <w:jc w:val="right"/>
            </w:pPr>
            <w:r>
              <w:t>27.231</w:t>
            </w:r>
          </w:p>
        </w:tc>
      </w:tr>
      <w:tr>
        <w:trPr>
          <w:cantSplit/>
        </w:trPr>
        <w:tc>
          <w:tcPr>
            <w:tcW w:w="2159" w:type="dxa"/>
            <w:tcBorders>
              <w:top w:val="nil"/>
              <w:left w:val="nil"/>
              <w:bottom w:val="nil"/>
              <w:right w:val="nil"/>
            </w:tcBorders>
            <w:noWrap/>
          </w:tcPr>
          <w:p>
            <w:pPr>
              <w:pStyle w:val="yTableNAm"/>
            </w:pPr>
            <w:r>
              <w:t>Newdegate</w:t>
            </w:r>
          </w:p>
        </w:tc>
        <w:tc>
          <w:tcPr>
            <w:tcW w:w="1985" w:type="dxa"/>
            <w:tcBorders>
              <w:top w:val="nil"/>
              <w:left w:val="nil"/>
              <w:bottom w:val="nil"/>
              <w:right w:val="nil"/>
            </w:tcBorders>
            <w:noWrap/>
          </w:tcPr>
          <w:p>
            <w:pPr>
              <w:pStyle w:val="yTableNAm"/>
              <w:ind w:right="600"/>
              <w:jc w:val="right"/>
            </w:pPr>
            <w:r>
              <w:t>36.439</w:t>
            </w:r>
          </w:p>
        </w:tc>
        <w:tc>
          <w:tcPr>
            <w:tcW w:w="1985" w:type="dxa"/>
            <w:tcBorders>
              <w:top w:val="nil"/>
              <w:left w:val="nil"/>
              <w:bottom w:val="nil"/>
              <w:right w:val="nil"/>
            </w:tcBorders>
            <w:noWrap/>
          </w:tcPr>
          <w:p>
            <w:pPr>
              <w:pStyle w:val="yTableNAm"/>
              <w:ind w:right="600"/>
              <w:jc w:val="right"/>
            </w:pPr>
            <w:r>
              <w:t>528.640</w:t>
            </w:r>
          </w:p>
        </w:tc>
      </w:tr>
      <w:tr>
        <w:trPr>
          <w:cantSplit/>
        </w:trPr>
        <w:tc>
          <w:tcPr>
            <w:tcW w:w="2159" w:type="dxa"/>
            <w:tcBorders>
              <w:top w:val="nil"/>
              <w:left w:val="nil"/>
              <w:bottom w:val="nil"/>
              <w:right w:val="nil"/>
            </w:tcBorders>
            <w:noWrap/>
          </w:tcPr>
          <w:p>
            <w:pPr>
              <w:pStyle w:val="yTableNAm"/>
            </w:pPr>
            <w:r>
              <w:t>Newman</w:t>
            </w:r>
          </w:p>
        </w:tc>
        <w:tc>
          <w:tcPr>
            <w:tcW w:w="1985" w:type="dxa"/>
            <w:tcBorders>
              <w:top w:val="nil"/>
              <w:left w:val="nil"/>
              <w:bottom w:val="nil"/>
              <w:right w:val="nil"/>
            </w:tcBorders>
            <w:noWrap/>
          </w:tcPr>
          <w:p>
            <w:pPr>
              <w:pStyle w:val="yTableNAm"/>
              <w:ind w:right="600"/>
              <w:jc w:val="right"/>
            </w:pPr>
            <w:r>
              <w:t>1.321</w:t>
            </w:r>
          </w:p>
        </w:tc>
        <w:tc>
          <w:tcPr>
            <w:tcW w:w="1985" w:type="dxa"/>
            <w:tcBorders>
              <w:top w:val="nil"/>
              <w:left w:val="nil"/>
              <w:bottom w:val="nil"/>
              <w:right w:val="nil"/>
            </w:tcBorders>
            <w:noWrap/>
          </w:tcPr>
          <w:p>
            <w:pPr>
              <w:pStyle w:val="yTableNAm"/>
              <w:ind w:right="600"/>
              <w:jc w:val="right"/>
            </w:pPr>
            <w:r>
              <w:t>1.148</w:t>
            </w:r>
          </w:p>
        </w:tc>
      </w:tr>
      <w:tr>
        <w:trPr>
          <w:cantSplit/>
        </w:trPr>
        <w:tc>
          <w:tcPr>
            <w:tcW w:w="2159" w:type="dxa"/>
            <w:tcBorders>
              <w:top w:val="nil"/>
              <w:left w:val="nil"/>
              <w:bottom w:val="nil"/>
              <w:right w:val="nil"/>
            </w:tcBorders>
            <w:noWrap/>
          </w:tcPr>
          <w:p>
            <w:pPr>
              <w:pStyle w:val="yTableNAm"/>
            </w:pPr>
            <w:r>
              <w:t>Northam</w:t>
            </w:r>
          </w:p>
        </w:tc>
        <w:tc>
          <w:tcPr>
            <w:tcW w:w="1985" w:type="dxa"/>
            <w:tcBorders>
              <w:top w:val="nil"/>
              <w:left w:val="nil"/>
              <w:bottom w:val="nil"/>
              <w:right w:val="nil"/>
            </w:tcBorders>
            <w:noWrap/>
          </w:tcPr>
          <w:p>
            <w:pPr>
              <w:pStyle w:val="yTableNAm"/>
              <w:ind w:right="600"/>
              <w:jc w:val="right"/>
            </w:pPr>
            <w:r>
              <w:t>14.008</w:t>
            </w:r>
          </w:p>
        </w:tc>
        <w:tc>
          <w:tcPr>
            <w:tcW w:w="1985" w:type="dxa"/>
            <w:tcBorders>
              <w:top w:val="nil"/>
              <w:left w:val="nil"/>
              <w:bottom w:val="nil"/>
              <w:right w:val="nil"/>
            </w:tcBorders>
            <w:noWrap/>
          </w:tcPr>
          <w:p>
            <w:pPr>
              <w:pStyle w:val="yTableNAm"/>
              <w:ind w:right="600"/>
              <w:jc w:val="right"/>
            </w:pPr>
            <w:r>
              <w:t>48.972</w:t>
            </w:r>
          </w:p>
        </w:tc>
      </w:tr>
      <w:tr>
        <w:trPr>
          <w:cantSplit/>
        </w:trPr>
        <w:tc>
          <w:tcPr>
            <w:tcW w:w="2159" w:type="dxa"/>
            <w:tcBorders>
              <w:top w:val="nil"/>
              <w:left w:val="nil"/>
              <w:bottom w:val="nil"/>
              <w:right w:val="nil"/>
            </w:tcBorders>
            <w:noWrap/>
          </w:tcPr>
          <w:p>
            <w:pPr>
              <w:pStyle w:val="yTableNAm"/>
            </w:pPr>
            <w:r>
              <w:t>Onslow</w:t>
            </w:r>
          </w:p>
        </w:tc>
        <w:tc>
          <w:tcPr>
            <w:tcW w:w="1985" w:type="dxa"/>
            <w:tcBorders>
              <w:top w:val="nil"/>
              <w:left w:val="nil"/>
              <w:bottom w:val="nil"/>
              <w:right w:val="nil"/>
            </w:tcBorders>
            <w:noWrap/>
          </w:tcPr>
          <w:p>
            <w:pPr>
              <w:pStyle w:val="yTableNAm"/>
              <w:ind w:right="600"/>
              <w:jc w:val="right"/>
            </w:pPr>
            <w:r>
              <w:t>2.899</w:t>
            </w:r>
          </w:p>
        </w:tc>
        <w:tc>
          <w:tcPr>
            <w:tcW w:w="1985" w:type="dxa"/>
            <w:tcBorders>
              <w:top w:val="nil"/>
              <w:left w:val="nil"/>
              <w:bottom w:val="nil"/>
              <w:right w:val="nil"/>
            </w:tcBorders>
            <w:noWrap/>
          </w:tcPr>
          <w:p>
            <w:pPr>
              <w:pStyle w:val="yTableNAm"/>
              <w:ind w:right="600"/>
              <w:jc w:val="right"/>
            </w:pPr>
            <w:r>
              <w:t>9.286</w:t>
            </w:r>
          </w:p>
        </w:tc>
      </w:tr>
      <w:tr>
        <w:trPr>
          <w:cantSplit/>
        </w:trPr>
        <w:tc>
          <w:tcPr>
            <w:tcW w:w="2159" w:type="dxa"/>
            <w:tcBorders>
              <w:top w:val="nil"/>
              <w:left w:val="nil"/>
              <w:bottom w:val="nil"/>
              <w:right w:val="nil"/>
            </w:tcBorders>
            <w:noWrap/>
          </w:tcPr>
          <w:p>
            <w:pPr>
              <w:pStyle w:val="yTableNAm"/>
            </w:pPr>
            <w:r>
              <w:lastRenderedPageBreak/>
              <w:t>Pemberton</w:t>
            </w:r>
          </w:p>
        </w:tc>
        <w:tc>
          <w:tcPr>
            <w:tcW w:w="1985" w:type="dxa"/>
            <w:tcBorders>
              <w:top w:val="nil"/>
              <w:left w:val="nil"/>
              <w:bottom w:val="nil"/>
              <w:right w:val="nil"/>
            </w:tcBorders>
            <w:noWrap/>
          </w:tcPr>
          <w:p>
            <w:pPr>
              <w:pStyle w:val="yTableNAm"/>
              <w:ind w:right="600"/>
              <w:jc w:val="right"/>
            </w:pPr>
            <w:r>
              <w:t>23.388</w:t>
            </w:r>
          </w:p>
        </w:tc>
        <w:tc>
          <w:tcPr>
            <w:tcW w:w="1985" w:type="dxa"/>
            <w:tcBorders>
              <w:top w:val="nil"/>
              <w:left w:val="nil"/>
              <w:bottom w:val="nil"/>
              <w:right w:val="nil"/>
            </w:tcBorders>
            <w:noWrap/>
          </w:tcPr>
          <w:p>
            <w:pPr>
              <w:pStyle w:val="yTableNAm"/>
              <w:ind w:right="600"/>
              <w:jc w:val="right"/>
            </w:pPr>
            <w:r>
              <w:t>98.477</w:t>
            </w:r>
          </w:p>
        </w:tc>
      </w:tr>
      <w:tr>
        <w:trPr>
          <w:cantSplit/>
        </w:trPr>
        <w:tc>
          <w:tcPr>
            <w:tcW w:w="2159" w:type="dxa"/>
            <w:tcBorders>
              <w:top w:val="nil"/>
              <w:left w:val="nil"/>
              <w:bottom w:val="nil"/>
              <w:right w:val="nil"/>
            </w:tcBorders>
            <w:noWrap/>
          </w:tcPr>
          <w:p>
            <w:pPr>
              <w:pStyle w:val="yTableNAm"/>
            </w:pPr>
            <w:r>
              <w:t>Pingelly</w:t>
            </w:r>
          </w:p>
        </w:tc>
        <w:tc>
          <w:tcPr>
            <w:tcW w:w="1985" w:type="dxa"/>
            <w:tcBorders>
              <w:top w:val="nil"/>
              <w:left w:val="nil"/>
              <w:bottom w:val="nil"/>
              <w:right w:val="nil"/>
            </w:tcBorders>
            <w:noWrap/>
          </w:tcPr>
          <w:p>
            <w:pPr>
              <w:pStyle w:val="yTableNAm"/>
              <w:ind w:right="600"/>
              <w:jc w:val="right"/>
            </w:pPr>
            <w:r>
              <w:t>18.376</w:t>
            </w:r>
          </w:p>
        </w:tc>
        <w:tc>
          <w:tcPr>
            <w:tcW w:w="1985" w:type="dxa"/>
            <w:tcBorders>
              <w:top w:val="nil"/>
              <w:left w:val="nil"/>
              <w:bottom w:val="nil"/>
              <w:right w:val="nil"/>
            </w:tcBorders>
            <w:noWrap/>
          </w:tcPr>
          <w:p>
            <w:pPr>
              <w:pStyle w:val="yTableNAm"/>
              <w:ind w:right="600"/>
              <w:jc w:val="right"/>
            </w:pPr>
            <w:r>
              <w:t>151.489</w:t>
            </w:r>
          </w:p>
        </w:tc>
      </w:tr>
      <w:tr>
        <w:trPr>
          <w:cantSplit/>
        </w:trPr>
        <w:tc>
          <w:tcPr>
            <w:tcW w:w="2159" w:type="dxa"/>
            <w:tcBorders>
              <w:top w:val="nil"/>
              <w:left w:val="nil"/>
              <w:bottom w:val="nil"/>
              <w:right w:val="nil"/>
            </w:tcBorders>
            <w:noWrap/>
          </w:tcPr>
          <w:p>
            <w:pPr>
              <w:pStyle w:val="yTableNAm"/>
            </w:pPr>
            <w:r>
              <w:t>Pinjarra</w:t>
            </w:r>
          </w:p>
        </w:tc>
        <w:tc>
          <w:tcPr>
            <w:tcW w:w="1985" w:type="dxa"/>
            <w:tcBorders>
              <w:top w:val="nil"/>
              <w:left w:val="nil"/>
              <w:bottom w:val="nil"/>
              <w:right w:val="nil"/>
            </w:tcBorders>
            <w:noWrap/>
          </w:tcPr>
          <w:p>
            <w:pPr>
              <w:pStyle w:val="yTableNAm"/>
              <w:ind w:right="600"/>
              <w:jc w:val="right"/>
            </w:pPr>
            <w:r>
              <w:t>9.528</w:t>
            </w:r>
          </w:p>
        </w:tc>
        <w:tc>
          <w:tcPr>
            <w:tcW w:w="1985" w:type="dxa"/>
            <w:tcBorders>
              <w:top w:val="nil"/>
              <w:left w:val="nil"/>
              <w:bottom w:val="nil"/>
              <w:right w:val="nil"/>
            </w:tcBorders>
            <w:noWrap/>
          </w:tcPr>
          <w:p>
            <w:pPr>
              <w:pStyle w:val="yTableNAm"/>
              <w:ind w:right="600"/>
              <w:jc w:val="right"/>
            </w:pPr>
            <w:r>
              <w:t>11.831</w:t>
            </w:r>
          </w:p>
        </w:tc>
      </w:tr>
      <w:tr>
        <w:trPr>
          <w:cantSplit/>
        </w:trPr>
        <w:tc>
          <w:tcPr>
            <w:tcW w:w="2159" w:type="dxa"/>
            <w:tcBorders>
              <w:top w:val="nil"/>
              <w:left w:val="nil"/>
              <w:bottom w:val="nil"/>
              <w:right w:val="nil"/>
            </w:tcBorders>
            <w:noWrap/>
          </w:tcPr>
          <w:p>
            <w:pPr>
              <w:pStyle w:val="yTableNAm"/>
            </w:pPr>
            <w:r>
              <w:t>Port Hedland</w:t>
            </w:r>
          </w:p>
        </w:tc>
        <w:tc>
          <w:tcPr>
            <w:tcW w:w="1985" w:type="dxa"/>
            <w:tcBorders>
              <w:top w:val="nil"/>
              <w:left w:val="nil"/>
              <w:bottom w:val="nil"/>
              <w:right w:val="nil"/>
            </w:tcBorders>
            <w:noWrap/>
          </w:tcPr>
          <w:p>
            <w:pPr>
              <w:pStyle w:val="yTableNAm"/>
              <w:ind w:right="600"/>
              <w:jc w:val="right"/>
            </w:pPr>
            <w:r>
              <w:t>4.549</w:t>
            </w:r>
          </w:p>
        </w:tc>
        <w:tc>
          <w:tcPr>
            <w:tcW w:w="1985" w:type="dxa"/>
            <w:tcBorders>
              <w:top w:val="nil"/>
              <w:left w:val="nil"/>
              <w:bottom w:val="nil"/>
              <w:right w:val="nil"/>
            </w:tcBorders>
            <w:noWrap/>
          </w:tcPr>
          <w:p>
            <w:pPr>
              <w:pStyle w:val="yTableNAm"/>
              <w:ind w:right="600"/>
              <w:jc w:val="right"/>
            </w:pPr>
            <w:r>
              <w:t>19.071</w:t>
            </w:r>
          </w:p>
        </w:tc>
      </w:tr>
      <w:tr>
        <w:trPr>
          <w:cantSplit/>
        </w:trPr>
        <w:tc>
          <w:tcPr>
            <w:tcW w:w="2159" w:type="dxa"/>
            <w:tcBorders>
              <w:top w:val="nil"/>
              <w:left w:val="nil"/>
              <w:bottom w:val="nil"/>
              <w:right w:val="nil"/>
            </w:tcBorders>
            <w:noWrap/>
          </w:tcPr>
          <w:p>
            <w:pPr>
              <w:pStyle w:val="yTableNAm"/>
            </w:pPr>
            <w:r>
              <w:t>Prevelly</w:t>
            </w:r>
          </w:p>
        </w:tc>
        <w:tc>
          <w:tcPr>
            <w:tcW w:w="1985" w:type="dxa"/>
            <w:tcBorders>
              <w:top w:val="nil"/>
              <w:left w:val="nil"/>
              <w:bottom w:val="nil"/>
              <w:right w:val="nil"/>
            </w:tcBorders>
            <w:noWrap/>
          </w:tcPr>
          <w:p>
            <w:pPr>
              <w:pStyle w:val="yTableNAm"/>
              <w:ind w:right="600"/>
              <w:jc w:val="right"/>
            </w:pPr>
            <w:r>
              <w:t>7.046</w:t>
            </w:r>
          </w:p>
        </w:tc>
        <w:tc>
          <w:tcPr>
            <w:tcW w:w="1985" w:type="dxa"/>
            <w:tcBorders>
              <w:top w:val="nil"/>
              <w:left w:val="nil"/>
              <w:bottom w:val="nil"/>
              <w:right w:val="nil"/>
            </w:tcBorders>
            <w:noWrap/>
          </w:tcPr>
          <w:p>
            <w:pPr>
              <w:pStyle w:val="yTableNAm"/>
              <w:ind w:right="600"/>
              <w:jc w:val="right"/>
            </w:pPr>
            <w:r>
              <w:t>10.324</w:t>
            </w:r>
          </w:p>
        </w:tc>
      </w:tr>
      <w:tr>
        <w:trPr>
          <w:cantSplit/>
        </w:trPr>
        <w:tc>
          <w:tcPr>
            <w:tcW w:w="2159" w:type="dxa"/>
            <w:tcBorders>
              <w:top w:val="nil"/>
              <w:left w:val="nil"/>
              <w:bottom w:val="nil"/>
              <w:right w:val="nil"/>
            </w:tcBorders>
            <w:noWrap/>
          </w:tcPr>
          <w:p>
            <w:pPr>
              <w:pStyle w:val="yTableNAm"/>
            </w:pPr>
            <w:r>
              <w:t>Quairading</w:t>
            </w:r>
          </w:p>
        </w:tc>
        <w:tc>
          <w:tcPr>
            <w:tcW w:w="1985" w:type="dxa"/>
            <w:tcBorders>
              <w:top w:val="nil"/>
              <w:left w:val="nil"/>
              <w:bottom w:val="nil"/>
              <w:right w:val="nil"/>
            </w:tcBorders>
            <w:noWrap/>
          </w:tcPr>
          <w:p>
            <w:pPr>
              <w:pStyle w:val="yTableNAm"/>
              <w:ind w:right="600"/>
              <w:jc w:val="right"/>
            </w:pPr>
            <w:r>
              <w:t>24.031</w:t>
            </w:r>
          </w:p>
        </w:tc>
        <w:tc>
          <w:tcPr>
            <w:tcW w:w="1985" w:type="dxa"/>
            <w:tcBorders>
              <w:top w:val="nil"/>
              <w:left w:val="nil"/>
              <w:bottom w:val="nil"/>
              <w:right w:val="nil"/>
            </w:tcBorders>
            <w:noWrap/>
          </w:tcPr>
          <w:p>
            <w:pPr>
              <w:pStyle w:val="yTableNAm"/>
              <w:ind w:right="600"/>
              <w:jc w:val="right"/>
            </w:pPr>
            <w:r>
              <w:t>128.974</w:t>
            </w:r>
          </w:p>
        </w:tc>
      </w:tr>
      <w:tr>
        <w:trPr>
          <w:cantSplit/>
        </w:trPr>
        <w:tc>
          <w:tcPr>
            <w:tcW w:w="2159" w:type="dxa"/>
            <w:tcBorders>
              <w:top w:val="nil"/>
              <w:left w:val="nil"/>
              <w:bottom w:val="nil"/>
              <w:right w:val="nil"/>
            </w:tcBorders>
            <w:noWrap/>
          </w:tcPr>
          <w:p>
            <w:pPr>
              <w:pStyle w:val="yTableNAm"/>
            </w:pPr>
            <w:r>
              <w:t>Roebourne</w:t>
            </w:r>
          </w:p>
        </w:tc>
        <w:tc>
          <w:tcPr>
            <w:tcW w:w="1985" w:type="dxa"/>
            <w:tcBorders>
              <w:top w:val="nil"/>
              <w:left w:val="nil"/>
              <w:bottom w:val="nil"/>
              <w:right w:val="nil"/>
            </w:tcBorders>
            <w:noWrap/>
          </w:tcPr>
          <w:p>
            <w:pPr>
              <w:pStyle w:val="yTableNAm"/>
              <w:ind w:right="600"/>
              <w:jc w:val="right"/>
            </w:pPr>
            <w:r>
              <w:t>19.456</w:t>
            </w:r>
          </w:p>
        </w:tc>
        <w:tc>
          <w:tcPr>
            <w:tcW w:w="1985" w:type="dxa"/>
            <w:tcBorders>
              <w:top w:val="nil"/>
              <w:left w:val="nil"/>
              <w:bottom w:val="nil"/>
              <w:right w:val="nil"/>
            </w:tcBorders>
            <w:noWrap/>
          </w:tcPr>
          <w:p>
            <w:pPr>
              <w:pStyle w:val="yTableNAm"/>
              <w:ind w:right="600"/>
              <w:jc w:val="right"/>
            </w:pPr>
            <w:r>
              <w:t>356.950</w:t>
            </w:r>
          </w:p>
        </w:tc>
      </w:tr>
      <w:tr>
        <w:trPr>
          <w:cantSplit/>
        </w:trPr>
        <w:tc>
          <w:tcPr>
            <w:tcW w:w="2159" w:type="dxa"/>
            <w:tcBorders>
              <w:top w:val="nil"/>
              <w:left w:val="nil"/>
              <w:bottom w:val="nil"/>
              <w:right w:val="nil"/>
            </w:tcBorders>
            <w:noWrap/>
          </w:tcPr>
          <w:p>
            <w:pPr>
              <w:pStyle w:val="yTableNAm"/>
            </w:pPr>
            <w:r>
              <w:t>Seabird</w:t>
            </w:r>
          </w:p>
        </w:tc>
        <w:tc>
          <w:tcPr>
            <w:tcW w:w="1985" w:type="dxa"/>
            <w:tcBorders>
              <w:top w:val="nil"/>
              <w:left w:val="nil"/>
              <w:bottom w:val="nil"/>
              <w:right w:val="nil"/>
            </w:tcBorders>
            <w:noWrap/>
          </w:tcPr>
          <w:p>
            <w:pPr>
              <w:pStyle w:val="yTableNAm"/>
              <w:ind w:right="600"/>
              <w:jc w:val="right"/>
            </w:pPr>
            <w:r>
              <w:t>62.699</w:t>
            </w:r>
          </w:p>
        </w:tc>
        <w:tc>
          <w:tcPr>
            <w:tcW w:w="1985" w:type="dxa"/>
            <w:tcBorders>
              <w:top w:val="nil"/>
              <w:left w:val="nil"/>
              <w:bottom w:val="nil"/>
              <w:right w:val="nil"/>
            </w:tcBorders>
            <w:noWrap/>
          </w:tcPr>
          <w:p>
            <w:pPr>
              <w:pStyle w:val="yTableNAm"/>
              <w:ind w:right="600"/>
              <w:jc w:val="right"/>
            </w:pPr>
            <w:r>
              <w:t>200.762</w:t>
            </w:r>
          </w:p>
        </w:tc>
      </w:tr>
      <w:tr>
        <w:trPr>
          <w:cantSplit/>
        </w:trPr>
        <w:tc>
          <w:tcPr>
            <w:tcW w:w="2159" w:type="dxa"/>
            <w:tcBorders>
              <w:top w:val="nil"/>
              <w:left w:val="nil"/>
              <w:bottom w:val="nil"/>
              <w:right w:val="nil"/>
            </w:tcBorders>
            <w:noWrap/>
          </w:tcPr>
          <w:p>
            <w:pPr>
              <w:pStyle w:val="yTableNAm"/>
            </w:pPr>
            <w:r>
              <w:t>Tambellup</w:t>
            </w:r>
          </w:p>
        </w:tc>
        <w:tc>
          <w:tcPr>
            <w:tcW w:w="1985" w:type="dxa"/>
            <w:tcBorders>
              <w:top w:val="nil"/>
              <w:left w:val="nil"/>
              <w:bottom w:val="nil"/>
              <w:right w:val="nil"/>
            </w:tcBorders>
            <w:noWrap/>
          </w:tcPr>
          <w:p>
            <w:pPr>
              <w:pStyle w:val="yTableNAm"/>
              <w:ind w:right="600"/>
              <w:jc w:val="right"/>
            </w:pPr>
            <w:r>
              <w:t>35.031</w:t>
            </w:r>
          </w:p>
        </w:tc>
        <w:tc>
          <w:tcPr>
            <w:tcW w:w="1985" w:type="dxa"/>
            <w:tcBorders>
              <w:top w:val="nil"/>
              <w:left w:val="nil"/>
              <w:bottom w:val="nil"/>
              <w:right w:val="nil"/>
            </w:tcBorders>
            <w:noWrap/>
          </w:tcPr>
          <w:p>
            <w:pPr>
              <w:pStyle w:val="yTableNAm"/>
              <w:ind w:right="600"/>
              <w:jc w:val="right"/>
            </w:pPr>
            <w:r>
              <w:t>375.495</w:t>
            </w:r>
          </w:p>
        </w:tc>
      </w:tr>
      <w:tr>
        <w:trPr>
          <w:cantSplit/>
        </w:trPr>
        <w:tc>
          <w:tcPr>
            <w:tcW w:w="2159" w:type="dxa"/>
            <w:tcBorders>
              <w:top w:val="nil"/>
              <w:left w:val="nil"/>
              <w:bottom w:val="nil"/>
              <w:right w:val="nil"/>
            </w:tcBorders>
            <w:noWrap/>
          </w:tcPr>
          <w:p>
            <w:pPr>
              <w:pStyle w:val="yTableNAm"/>
            </w:pPr>
            <w:r>
              <w:t>Three Springs</w:t>
            </w:r>
          </w:p>
        </w:tc>
        <w:tc>
          <w:tcPr>
            <w:tcW w:w="1985" w:type="dxa"/>
            <w:tcBorders>
              <w:top w:val="nil"/>
              <w:left w:val="nil"/>
              <w:bottom w:val="nil"/>
              <w:right w:val="nil"/>
            </w:tcBorders>
            <w:noWrap/>
          </w:tcPr>
          <w:p>
            <w:pPr>
              <w:pStyle w:val="yTableNAm"/>
              <w:ind w:right="600"/>
              <w:jc w:val="right"/>
            </w:pPr>
            <w:r>
              <w:t>4.981</w:t>
            </w:r>
          </w:p>
        </w:tc>
        <w:tc>
          <w:tcPr>
            <w:tcW w:w="1985" w:type="dxa"/>
            <w:tcBorders>
              <w:top w:val="nil"/>
              <w:left w:val="nil"/>
              <w:bottom w:val="nil"/>
              <w:right w:val="nil"/>
            </w:tcBorders>
            <w:noWrap/>
          </w:tcPr>
          <w:p>
            <w:pPr>
              <w:pStyle w:val="yTableNAm"/>
              <w:ind w:right="600"/>
              <w:jc w:val="right"/>
            </w:pPr>
            <w:r>
              <w:t>70.715</w:t>
            </w:r>
          </w:p>
        </w:tc>
      </w:tr>
      <w:tr>
        <w:trPr>
          <w:cantSplit/>
        </w:trPr>
        <w:tc>
          <w:tcPr>
            <w:tcW w:w="2159" w:type="dxa"/>
            <w:tcBorders>
              <w:top w:val="nil"/>
              <w:left w:val="nil"/>
              <w:bottom w:val="nil"/>
              <w:right w:val="nil"/>
            </w:tcBorders>
            <w:noWrap/>
          </w:tcPr>
          <w:p>
            <w:pPr>
              <w:pStyle w:val="yTableNAm"/>
            </w:pPr>
            <w:r>
              <w:t>Toodyay</w:t>
            </w:r>
          </w:p>
        </w:tc>
        <w:tc>
          <w:tcPr>
            <w:tcW w:w="1985" w:type="dxa"/>
            <w:tcBorders>
              <w:top w:val="nil"/>
              <w:left w:val="nil"/>
              <w:bottom w:val="nil"/>
              <w:right w:val="nil"/>
            </w:tcBorders>
            <w:noWrap/>
          </w:tcPr>
          <w:p>
            <w:pPr>
              <w:pStyle w:val="yTableNAm"/>
              <w:ind w:right="600"/>
              <w:jc w:val="right"/>
            </w:pPr>
            <w:r>
              <w:t>7.982</w:t>
            </w:r>
          </w:p>
        </w:tc>
        <w:tc>
          <w:tcPr>
            <w:tcW w:w="1985" w:type="dxa"/>
            <w:tcBorders>
              <w:top w:val="nil"/>
              <w:left w:val="nil"/>
              <w:bottom w:val="nil"/>
              <w:right w:val="nil"/>
            </w:tcBorders>
            <w:noWrap/>
          </w:tcPr>
          <w:p>
            <w:pPr>
              <w:pStyle w:val="yTableNAm"/>
              <w:ind w:right="600"/>
              <w:jc w:val="right"/>
            </w:pPr>
            <w:r>
              <w:t>29.060</w:t>
            </w:r>
          </w:p>
        </w:tc>
      </w:tr>
      <w:tr>
        <w:trPr>
          <w:cantSplit/>
        </w:trPr>
        <w:tc>
          <w:tcPr>
            <w:tcW w:w="2159" w:type="dxa"/>
            <w:tcBorders>
              <w:top w:val="nil"/>
              <w:left w:val="nil"/>
              <w:bottom w:val="nil"/>
              <w:right w:val="nil"/>
            </w:tcBorders>
            <w:noWrap/>
          </w:tcPr>
          <w:p>
            <w:pPr>
              <w:pStyle w:val="yTableNAm"/>
            </w:pPr>
            <w:r>
              <w:t>Wagin</w:t>
            </w:r>
          </w:p>
        </w:tc>
        <w:tc>
          <w:tcPr>
            <w:tcW w:w="1985" w:type="dxa"/>
            <w:tcBorders>
              <w:top w:val="nil"/>
              <w:left w:val="nil"/>
              <w:bottom w:val="nil"/>
              <w:right w:val="nil"/>
            </w:tcBorders>
            <w:noWrap/>
          </w:tcPr>
          <w:p>
            <w:pPr>
              <w:pStyle w:val="yTableNAm"/>
              <w:ind w:right="600"/>
              <w:jc w:val="right"/>
            </w:pPr>
            <w:r>
              <w:t>14.593</w:t>
            </w:r>
          </w:p>
        </w:tc>
        <w:tc>
          <w:tcPr>
            <w:tcW w:w="1985" w:type="dxa"/>
            <w:tcBorders>
              <w:top w:val="nil"/>
              <w:left w:val="nil"/>
              <w:bottom w:val="nil"/>
              <w:right w:val="nil"/>
            </w:tcBorders>
            <w:noWrap/>
          </w:tcPr>
          <w:p>
            <w:pPr>
              <w:pStyle w:val="yTableNAm"/>
              <w:ind w:right="600"/>
              <w:jc w:val="right"/>
            </w:pPr>
            <w:r>
              <w:t>115.906</w:t>
            </w:r>
          </w:p>
        </w:tc>
      </w:tr>
      <w:tr>
        <w:trPr>
          <w:cantSplit/>
        </w:trPr>
        <w:tc>
          <w:tcPr>
            <w:tcW w:w="2159" w:type="dxa"/>
            <w:tcBorders>
              <w:top w:val="nil"/>
              <w:left w:val="nil"/>
              <w:bottom w:val="nil"/>
              <w:right w:val="nil"/>
            </w:tcBorders>
            <w:noWrap/>
          </w:tcPr>
          <w:p>
            <w:pPr>
              <w:pStyle w:val="yTableNAm"/>
            </w:pPr>
            <w:r>
              <w:t>Walpole</w:t>
            </w:r>
          </w:p>
        </w:tc>
        <w:tc>
          <w:tcPr>
            <w:tcW w:w="1985" w:type="dxa"/>
            <w:tcBorders>
              <w:top w:val="nil"/>
              <w:left w:val="nil"/>
              <w:bottom w:val="nil"/>
              <w:right w:val="nil"/>
            </w:tcBorders>
            <w:noWrap/>
          </w:tcPr>
          <w:p>
            <w:pPr>
              <w:pStyle w:val="yTableNAm"/>
              <w:ind w:right="600"/>
              <w:jc w:val="right"/>
            </w:pPr>
            <w:r>
              <w:t>15.144</w:t>
            </w:r>
          </w:p>
        </w:tc>
        <w:tc>
          <w:tcPr>
            <w:tcW w:w="1985" w:type="dxa"/>
            <w:tcBorders>
              <w:top w:val="nil"/>
              <w:left w:val="nil"/>
              <w:bottom w:val="nil"/>
              <w:right w:val="nil"/>
            </w:tcBorders>
            <w:noWrap/>
          </w:tcPr>
          <w:p>
            <w:pPr>
              <w:pStyle w:val="yTableNAm"/>
              <w:ind w:right="600"/>
              <w:jc w:val="right"/>
            </w:pPr>
            <w:r>
              <w:t>42.503</w:t>
            </w:r>
          </w:p>
        </w:tc>
      </w:tr>
      <w:tr>
        <w:trPr>
          <w:cantSplit/>
        </w:trPr>
        <w:tc>
          <w:tcPr>
            <w:tcW w:w="2159" w:type="dxa"/>
            <w:tcBorders>
              <w:top w:val="nil"/>
              <w:left w:val="nil"/>
              <w:bottom w:val="nil"/>
              <w:right w:val="nil"/>
            </w:tcBorders>
            <w:noWrap/>
          </w:tcPr>
          <w:p>
            <w:pPr>
              <w:pStyle w:val="yTableNAm"/>
            </w:pPr>
            <w:r>
              <w:t>Waroona</w:t>
            </w:r>
          </w:p>
        </w:tc>
        <w:tc>
          <w:tcPr>
            <w:tcW w:w="1985" w:type="dxa"/>
            <w:tcBorders>
              <w:top w:val="nil"/>
              <w:left w:val="nil"/>
              <w:bottom w:val="nil"/>
              <w:right w:val="nil"/>
            </w:tcBorders>
            <w:noWrap/>
          </w:tcPr>
          <w:p>
            <w:pPr>
              <w:pStyle w:val="yTableNAm"/>
              <w:ind w:right="600"/>
              <w:jc w:val="right"/>
            </w:pPr>
            <w:r>
              <w:t>9.297</w:t>
            </w:r>
          </w:p>
        </w:tc>
        <w:tc>
          <w:tcPr>
            <w:tcW w:w="1985" w:type="dxa"/>
            <w:tcBorders>
              <w:top w:val="nil"/>
              <w:left w:val="nil"/>
              <w:bottom w:val="nil"/>
              <w:right w:val="nil"/>
            </w:tcBorders>
            <w:noWrap/>
          </w:tcPr>
          <w:p>
            <w:pPr>
              <w:pStyle w:val="yTableNAm"/>
              <w:ind w:right="600"/>
              <w:jc w:val="right"/>
            </w:pPr>
            <w:r>
              <w:t>22.868</w:t>
            </w:r>
          </w:p>
        </w:tc>
      </w:tr>
      <w:tr>
        <w:trPr>
          <w:cantSplit/>
        </w:trPr>
        <w:tc>
          <w:tcPr>
            <w:tcW w:w="2159" w:type="dxa"/>
            <w:tcBorders>
              <w:top w:val="nil"/>
              <w:left w:val="nil"/>
              <w:bottom w:val="nil"/>
              <w:right w:val="nil"/>
            </w:tcBorders>
            <w:noWrap/>
          </w:tcPr>
          <w:p>
            <w:pPr>
              <w:pStyle w:val="yTableNAm"/>
            </w:pPr>
            <w:r>
              <w:t>Wickham</w:t>
            </w:r>
          </w:p>
        </w:tc>
        <w:tc>
          <w:tcPr>
            <w:tcW w:w="1985" w:type="dxa"/>
            <w:tcBorders>
              <w:top w:val="nil"/>
              <w:left w:val="nil"/>
              <w:bottom w:val="nil"/>
              <w:right w:val="nil"/>
            </w:tcBorders>
            <w:noWrap/>
          </w:tcPr>
          <w:p>
            <w:pPr>
              <w:pStyle w:val="yTableNAm"/>
              <w:ind w:right="600"/>
              <w:jc w:val="right"/>
            </w:pPr>
            <w:r>
              <w:t>7.560</w:t>
            </w:r>
          </w:p>
        </w:tc>
        <w:tc>
          <w:tcPr>
            <w:tcW w:w="1985" w:type="dxa"/>
            <w:tcBorders>
              <w:top w:val="nil"/>
              <w:left w:val="nil"/>
              <w:bottom w:val="nil"/>
              <w:right w:val="nil"/>
            </w:tcBorders>
            <w:noWrap/>
          </w:tcPr>
          <w:p>
            <w:pPr>
              <w:pStyle w:val="yTableNAm"/>
              <w:ind w:right="600"/>
              <w:jc w:val="right"/>
            </w:pPr>
            <w:r>
              <w:t>143.258</w:t>
            </w:r>
          </w:p>
        </w:tc>
      </w:tr>
      <w:tr>
        <w:trPr>
          <w:cantSplit/>
        </w:trPr>
        <w:tc>
          <w:tcPr>
            <w:tcW w:w="2159" w:type="dxa"/>
            <w:tcBorders>
              <w:top w:val="nil"/>
              <w:left w:val="nil"/>
              <w:bottom w:val="nil"/>
              <w:right w:val="nil"/>
            </w:tcBorders>
            <w:noWrap/>
          </w:tcPr>
          <w:p>
            <w:pPr>
              <w:pStyle w:val="yTableNAm"/>
            </w:pPr>
            <w:r>
              <w:t>Williams</w:t>
            </w:r>
          </w:p>
        </w:tc>
        <w:tc>
          <w:tcPr>
            <w:tcW w:w="1985" w:type="dxa"/>
            <w:tcBorders>
              <w:top w:val="nil"/>
              <w:left w:val="nil"/>
              <w:bottom w:val="nil"/>
              <w:right w:val="nil"/>
            </w:tcBorders>
            <w:noWrap/>
          </w:tcPr>
          <w:p>
            <w:pPr>
              <w:pStyle w:val="yTableNAm"/>
              <w:ind w:right="600"/>
              <w:jc w:val="right"/>
            </w:pPr>
            <w:r>
              <w:t>25.649</w:t>
            </w:r>
          </w:p>
        </w:tc>
        <w:tc>
          <w:tcPr>
            <w:tcW w:w="1985" w:type="dxa"/>
            <w:tcBorders>
              <w:top w:val="nil"/>
              <w:left w:val="nil"/>
              <w:bottom w:val="nil"/>
              <w:right w:val="nil"/>
            </w:tcBorders>
            <w:noWrap/>
          </w:tcPr>
          <w:p>
            <w:pPr>
              <w:pStyle w:val="yTableNAm"/>
              <w:ind w:right="600"/>
              <w:jc w:val="right"/>
            </w:pPr>
            <w:r>
              <w:t>125.518</w:t>
            </w:r>
          </w:p>
        </w:tc>
      </w:tr>
      <w:tr>
        <w:trPr>
          <w:cantSplit/>
        </w:trPr>
        <w:tc>
          <w:tcPr>
            <w:tcW w:w="2159" w:type="dxa"/>
            <w:tcBorders>
              <w:top w:val="nil"/>
              <w:left w:val="nil"/>
              <w:bottom w:val="nil"/>
              <w:right w:val="nil"/>
            </w:tcBorders>
            <w:noWrap/>
          </w:tcPr>
          <w:p>
            <w:pPr>
              <w:pStyle w:val="yTableNAm"/>
            </w:pPr>
            <w:r>
              <w:t>Wiluna</w:t>
            </w:r>
          </w:p>
        </w:tc>
        <w:tc>
          <w:tcPr>
            <w:tcW w:w="1985" w:type="dxa"/>
            <w:tcBorders>
              <w:top w:val="nil"/>
              <w:left w:val="nil"/>
              <w:bottom w:val="nil"/>
              <w:right w:val="nil"/>
            </w:tcBorders>
            <w:noWrap/>
          </w:tcPr>
          <w:p>
            <w:pPr>
              <w:pStyle w:val="yTableNAm"/>
              <w:ind w:right="600"/>
              <w:jc w:val="right"/>
            </w:pPr>
            <w:r>
              <w:t>16.948</w:t>
            </w:r>
          </w:p>
        </w:tc>
        <w:tc>
          <w:tcPr>
            <w:tcW w:w="1985" w:type="dxa"/>
            <w:tcBorders>
              <w:top w:val="nil"/>
              <w:left w:val="nil"/>
              <w:bottom w:val="nil"/>
              <w:right w:val="nil"/>
            </w:tcBorders>
            <w:noWrap/>
          </w:tcPr>
          <w:p>
            <w:pPr>
              <w:pStyle w:val="yTableNAm"/>
              <w:ind w:right="600"/>
              <w:jc w:val="right"/>
            </w:pPr>
            <w:r>
              <w:t>16.221</w:t>
            </w:r>
          </w:p>
        </w:tc>
      </w:tr>
      <w:tr>
        <w:trPr>
          <w:cantSplit/>
        </w:trPr>
        <w:tc>
          <w:tcPr>
            <w:tcW w:w="2159" w:type="dxa"/>
            <w:tcBorders>
              <w:top w:val="nil"/>
              <w:left w:val="nil"/>
              <w:bottom w:val="nil"/>
              <w:right w:val="nil"/>
            </w:tcBorders>
            <w:noWrap/>
          </w:tcPr>
          <w:p>
            <w:pPr>
              <w:pStyle w:val="yTableNAm"/>
            </w:pPr>
            <w:r>
              <w:t>Wongan Hills</w:t>
            </w:r>
          </w:p>
        </w:tc>
        <w:tc>
          <w:tcPr>
            <w:tcW w:w="1985" w:type="dxa"/>
            <w:tcBorders>
              <w:top w:val="nil"/>
              <w:left w:val="nil"/>
              <w:bottom w:val="nil"/>
              <w:right w:val="nil"/>
            </w:tcBorders>
            <w:noWrap/>
          </w:tcPr>
          <w:p>
            <w:pPr>
              <w:pStyle w:val="yTableNAm"/>
              <w:ind w:right="600"/>
              <w:jc w:val="right"/>
            </w:pPr>
            <w:r>
              <w:t>15.438</w:t>
            </w:r>
          </w:p>
        </w:tc>
        <w:tc>
          <w:tcPr>
            <w:tcW w:w="1985" w:type="dxa"/>
            <w:tcBorders>
              <w:top w:val="nil"/>
              <w:left w:val="nil"/>
              <w:bottom w:val="nil"/>
              <w:right w:val="nil"/>
            </w:tcBorders>
            <w:noWrap/>
          </w:tcPr>
          <w:p>
            <w:pPr>
              <w:pStyle w:val="yTableNAm"/>
              <w:ind w:right="600"/>
              <w:jc w:val="right"/>
            </w:pPr>
            <w:r>
              <w:t>69.799</w:t>
            </w:r>
          </w:p>
        </w:tc>
      </w:tr>
      <w:tr>
        <w:trPr>
          <w:cantSplit/>
        </w:trPr>
        <w:tc>
          <w:tcPr>
            <w:tcW w:w="2159" w:type="dxa"/>
            <w:tcBorders>
              <w:top w:val="nil"/>
              <w:left w:val="nil"/>
              <w:bottom w:val="nil"/>
              <w:right w:val="nil"/>
            </w:tcBorders>
            <w:noWrap/>
          </w:tcPr>
          <w:p>
            <w:pPr>
              <w:pStyle w:val="yTableNAm"/>
            </w:pPr>
            <w:r>
              <w:t>Wundowie</w:t>
            </w:r>
          </w:p>
        </w:tc>
        <w:tc>
          <w:tcPr>
            <w:tcW w:w="1985" w:type="dxa"/>
            <w:tcBorders>
              <w:top w:val="nil"/>
              <w:left w:val="nil"/>
              <w:bottom w:val="nil"/>
              <w:right w:val="nil"/>
            </w:tcBorders>
            <w:noWrap/>
          </w:tcPr>
          <w:p>
            <w:pPr>
              <w:pStyle w:val="yTableNAm"/>
              <w:ind w:right="600"/>
              <w:jc w:val="right"/>
            </w:pPr>
            <w:r>
              <w:t>18.879</w:t>
            </w:r>
          </w:p>
        </w:tc>
        <w:tc>
          <w:tcPr>
            <w:tcW w:w="1985" w:type="dxa"/>
            <w:tcBorders>
              <w:top w:val="nil"/>
              <w:left w:val="nil"/>
              <w:bottom w:val="nil"/>
              <w:right w:val="nil"/>
            </w:tcBorders>
            <w:noWrap/>
          </w:tcPr>
          <w:p>
            <w:pPr>
              <w:pStyle w:val="yTableNAm"/>
              <w:ind w:right="600"/>
              <w:jc w:val="right"/>
            </w:pPr>
            <w:r>
              <w:t>57.480</w:t>
            </w:r>
          </w:p>
        </w:tc>
      </w:tr>
      <w:tr>
        <w:trPr>
          <w:cantSplit/>
        </w:trPr>
        <w:tc>
          <w:tcPr>
            <w:tcW w:w="2159" w:type="dxa"/>
            <w:tcBorders>
              <w:top w:val="nil"/>
              <w:left w:val="nil"/>
              <w:bottom w:val="nil"/>
              <w:right w:val="nil"/>
            </w:tcBorders>
            <w:noWrap/>
          </w:tcPr>
          <w:p>
            <w:pPr>
              <w:pStyle w:val="yTableNAm"/>
            </w:pPr>
            <w:r>
              <w:lastRenderedPageBreak/>
              <w:t>Wyalkatchem</w:t>
            </w:r>
          </w:p>
        </w:tc>
        <w:tc>
          <w:tcPr>
            <w:tcW w:w="1985" w:type="dxa"/>
            <w:tcBorders>
              <w:top w:val="nil"/>
              <w:left w:val="nil"/>
              <w:bottom w:val="nil"/>
              <w:right w:val="nil"/>
            </w:tcBorders>
            <w:noWrap/>
          </w:tcPr>
          <w:p>
            <w:pPr>
              <w:pStyle w:val="yTableNAm"/>
              <w:ind w:right="600"/>
              <w:jc w:val="right"/>
            </w:pPr>
            <w:r>
              <w:t>28.412</w:t>
            </w:r>
          </w:p>
        </w:tc>
        <w:tc>
          <w:tcPr>
            <w:tcW w:w="1985" w:type="dxa"/>
            <w:tcBorders>
              <w:top w:val="nil"/>
              <w:left w:val="nil"/>
              <w:bottom w:val="nil"/>
              <w:right w:val="nil"/>
            </w:tcBorders>
            <w:noWrap/>
          </w:tcPr>
          <w:p>
            <w:pPr>
              <w:pStyle w:val="yTableNAm"/>
              <w:ind w:right="600"/>
              <w:jc w:val="right"/>
            </w:pPr>
            <w:r>
              <w:t>336.699</w:t>
            </w:r>
          </w:p>
        </w:tc>
      </w:tr>
      <w:tr>
        <w:trPr>
          <w:cantSplit/>
        </w:trPr>
        <w:tc>
          <w:tcPr>
            <w:tcW w:w="2159" w:type="dxa"/>
            <w:tcBorders>
              <w:top w:val="nil"/>
              <w:left w:val="nil"/>
              <w:bottom w:val="nil"/>
              <w:right w:val="nil"/>
            </w:tcBorders>
            <w:noWrap/>
          </w:tcPr>
          <w:p>
            <w:pPr>
              <w:pStyle w:val="yTableNAm"/>
            </w:pPr>
            <w:r>
              <w:t>Wyndham</w:t>
            </w:r>
          </w:p>
        </w:tc>
        <w:tc>
          <w:tcPr>
            <w:tcW w:w="1985" w:type="dxa"/>
            <w:tcBorders>
              <w:top w:val="nil"/>
              <w:left w:val="nil"/>
              <w:bottom w:val="nil"/>
              <w:right w:val="nil"/>
            </w:tcBorders>
            <w:noWrap/>
          </w:tcPr>
          <w:p>
            <w:pPr>
              <w:pStyle w:val="yTableNAm"/>
              <w:ind w:right="600"/>
              <w:jc w:val="right"/>
            </w:pPr>
            <w:r>
              <w:t>39.868</w:t>
            </w:r>
          </w:p>
        </w:tc>
        <w:tc>
          <w:tcPr>
            <w:tcW w:w="1985" w:type="dxa"/>
            <w:tcBorders>
              <w:top w:val="nil"/>
              <w:left w:val="nil"/>
              <w:bottom w:val="nil"/>
              <w:right w:val="nil"/>
            </w:tcBorders>
            <w:noWrap/>
          </w:tcPr>
          <w:p>
            <w:pPr>
              <w:pStyle w:val="yTableNAm"/>
              <w:ind w:right="600"/>
              <w:jc w:val="right"/>
            </w:pPr>
            <w:r>
              <w:t>332.745</w:t>
            </w:r>
          </w:p>
        </w:tc>
      </w:tr>
      <w:tr>
        <w:trPr>
          <w:cantSplit/>
        </w:trPr>
        <w:tc>
          <w:tcPr>
            <w:tcW w:w="2159" w:type="dxa"/>
            <w:tcBorders>
              <w:top w:val="nil"/>
              <w:left w:val="nil"/>
              <w:bottom w:val="nil"/>
              <w:right w:val="nil"/>
            </w:tcBorders>
            <w:noWrap/>
          </w:tcPr>
          <w:p>
            <w:pPr>
              <w:pStyle w:val="yTableNAm"/>
            </w:pPr>
            <w:r>
              <w:t>York</w:t>
            </w:r>
          </w:p>
        </w:tc>
        <w:tc>
          <w:tcPr>
            <w:tcW w:w="1985" w:type="dxa"/>
            <w:tcBorders>
              <w:top w:val="nil"/>
              <w:left w:val="nil"/>
              <w:bottom w:val="nil"/>
              <w:right w:val="nil"/>
            </w:tcBorders>
            <w:noWrap/>
          </w:tcPr>
          <w:p>
            <w:pPr>
              <w:pStyle w:val="yTableNAm"/>
              <w:ind w:right="600"/>
              <w:jc w:val="right"/>
            </w:pPr>
            <w:r>
              <w:t>1.622</w:t>
            </w:r>
          </w:p>
        </w:tc>
        <w:tc>
          <w:tcPr>
            <w:tcW w:w="1985" w:type="dxa"/>
            <w:tcBorders>
              <w:top w:val="nil"/>
              <w:left w:val="nil"/>
              <w:bottom w:val="nil"/>
              <w:right w:val="nil"/>
            </w:tcBorders>
            <w:noWrap/>
          </w:tcPr>
          <w:p>
            <w:pPr>
              <w:pStyle w:val="yTableNAm"/>
              <w:ind w:right="600"/>
              <w:jc w:val="right"/>
            </w:pPr>
            <w:r>
              <w:t>5.421</w:t>
            </w:r>
          </w:p>
        </w:tc>
      </w:tr>
      <w:tr>
        <w:trPr>
          <w:cantSplit/>
        </w:trPr>
        <w:tc>
          <w:tcPr>
            <w:tcW w:w="2159" w:type="dxa"/>
            <w:tcBorders>
              <w:top w:val="nil"/>
              <w:left w:val="nil"/>
              <w:bottom w:val="single" w:sz="4" w:space="0" w:color="auto"/>
              <w:right w:val="nil"/>
            </w:tcBorders>
            <w:noWrap/>
          </w:tcPr>
          <w:p>
            <w:pPr>
              <w:pStyle w:val="yTableNAm"/>
            </w:pPr>
            <w:r>
              <w:t>Yunderup</w:t>
            </w:r>
          </w:p>
        </w:tc>
        <w:tc>
          <w:tcPr>
            <w:tcW w:w="1985" w:type="dxa"/>
            <w:tcBorders>
              <w:top w:val="nil"/>
              <w:left w:val="nil"/>
              <w:bottom w:val="single" w:sz="4" w:space="0" w:color="auto"/>
              <w:right w:val="nil"/>
            </w:tcBorders>
            <w:noWrap/>
          </w:tcPr>
          <w:p>
            <w:pPr>
              <w:pStyle w:val="yTableNAm"/>
              <w:ind w:right="600"/>
              <w:jc w:val="right"/>
            </w:pPr>
            <w:r>
              <w:t>5.364</w:t>
            </w:r>
          </w:p>
        </w:tc>
        <w:tc>
          <w:tcPr>
            <w:tcW w:w="1985" w:type="dxa"/>
            <w:tcBorders>
              <w:top w:val="nil"/>
              <w:left w:val="nil"/>
              <w:bottom w:val="single" w:sz="4" w:space="0" w:color="auto"/>
              <w:right w:val="nil"/>
            </w:tcBorders>
            <w:noWrap/>
          </w:tcPr>
          <w:p>
            <w:pPr>
              <w:pStyle w:val="yTableNAm"/>
              <w:ind w:right="600"/>
              <w:jc w:val="right"/>
            </w:pPr>
            <w:r>
              <w:t>4.875</w:t>
            </w:r>
          </w:p>
        </w:tc>
      </w:tr>
    </w:tbl>
    <w:p>
      <w:pPr>
        <w:pStyle w:val="yFootnotesection"/>
      </w:pPr>
      <w:bookmarkStart w:id="599" w:name="_Toc201235752"/>
      <w:bookmarkStart w:id="600" w:name="_Toc201236003"/>
      <w:bookmarkStart w:id="601" w:name="_Toc201236159"/>
      <w:bookmarkStart w:id="602" w:name="_Toc201314566"/>
      <w:r>
        <w:tab/>
        <w:t>[Division 1 inserted: SL 2025/101 r. 10.]</w:t>
      </w:r>
    </w:p>
    <w:p>
      <w:pPr>
        <w:pStyle w:val="yHeading3"/>
      </w:pPr>
      <w:bookmarkStart w:id="603" w:name="_Toc201323525"/>
      <w:bookmarkStart w:id="604" w:name="_Toc201324334"/>
      <w:bookmarkStart w:id="605" w:name="_Toc201325017"/>
      <w:bookmarkStart w:id="606" w:name="_Toc201325246"/>
      <w:bookmarkStart w:id="607" w:name="_Toc201325475"/>
      <w:bookmarkStart w:id="608" w:name="_Toc201325937"/>
      <w:bookmarkStart w:id="609" w:name="_Toc201745930"/>
      <w:r>
        <w:rPr>
          <w:rStyle w:val="CharSDivNo"/>
        </w:rPr>
        <w:t>Division 2</w:t>
      </w:r>
      <w:r>
        <w:t> — </w:t>
      </w:r>
      <w:r>
        <w:rPr>
          <w:rStyle w:val="CharSDivText"/>
        </w:rPr>
        <w:t>Combined charges for certain non</w:t>
      </w:r>
      <w:r>
        <w:rPr>
          <w:rStyle w:val="CharSDivText"/>
        </w:rPr>
        <w:noBreakHyphen/>
        <w:t>residential property</w:t>
      </w:r>
      <w:bookmarkEnd w:id="599"/>
      <w:bookmarkEnd w:id="600"/>
      <w:bookmarkEnd w:id="601"/>
      <w:bookmarkEnd w:id="602"/>
      <w:bookmarkEnd w:id="603"/>
      <w:bookmarkEnd w:id="604"/>
      <w:bookmarkEnd w:id="605"/>
      <w:bookmarkEnd w:id="606"/>
      <w:bookmarkEnd w:id="607"/>
      <w:bookmarkEnd w:id="608"/>
      <w:bookmarkEnd w:id="609"/>
    </w:p>
    <w:p>
      <w:pPr>
        <w:pStyle w:val="yFootnoteheading"/>
      </w:pPr>
      <w:bookmarkStart w:id="610" w:name="_Toc201235753"/>
      <w:bookmarkStart w:id="611" w:name="_Toc201236004"/>
      <w:bookmarkStart w:id="612" w:name="_Toc201236160"/>
      <w:bookmarkStart w:id="613" w:name="_Toc201314567"/>
      <w:r>
        <w:tab/>
        <w:t>[Heading inserted: SL 2025/101 r. 10.]</w:t>
      </w:r>
    </w:p>
    <w:p>
      <w:pPr>
        <w:pStyle w:val="yHeading4"/>
      </w:pPr>
      <w:bookmarkStart w:id="614" w:name="_Toc201323526"/>
      <w:bookmarkStart w:id="615" w:name="_Toc201324335"/>
      <w:bookmarkStart w:id="616" w:name="_Toc201325018"/>
      <w:bookmarkStart w:id="617" w:name="_Toc201325247"/>
      <w:bookmarkStart w:id="618" w:name="_Toc201325476"/>
      <w:bookmarkStart w:id="619" w:name="_Toc201325938"/>
      <w:bookmarkStart w:id="620" w:name="_Toc201745931"/>
      <w:r>
        <w:t>Subdivision 1 — Preliminary</w:t>
      </w:r>
      <w:bookmarkEnd w:id="610"/>
      <w:bookmarkEnd w:id="611"/>
      <w:bookmarkEnd w:id="612"/>
      <w:bookmarkEnd w:id="613"/>
      <w:bookmarkEnd w:id="614"/>
      <w:bookmarkEnd w:id="615"/>
      <w:bookmarkEnd w:id="616"/>
      <w:bookmarkEnd w:id="617"/>
      <w:bookmarkEnd w:id="618"/>
      <w:bookmarkEnd w:id="619"/>
      <w:bookmarkEnd w:id="620"/>
    </w:p>
    <w:p>
      <w:pPr>
        <w:pStyle w:val="yFootnoteheading"/>
      </w:pPr>
      <w:bookmarkStart w:id="621" w:name="_Toc201235754"/>
      <w:bookmarkStart w:id="622" w:name="_Toc201314568"/>
      <w:r>
        <w:tab/>
        <w:t>[Heading inserted: SL 2025/101 r. 10.]</w:t>
      </w:r>
    </w:p>
    <w:p>
      <w:pPr>
        <w:pStyle w:val="yHeading5"/>
      </w:pPr>
      <w:bookmarkStart w:id="623" w:name="_Toc201745932"/>
      <w:r>
        <w:rPr>
          <w:rStyle w:val="CharSClsNo"/>
        </w:rPr>
        <w:t>13</w:t>
      </w:r>
      <w:r>
        <w:t>.</w:t>
      </w:r>
      <w:r>
        <w:tab/>
        <w:t>Combined charges for 2025/26 and subsequent years</w:t>
      </w:r>
      <w:bookmarkEnd w:id="621"/>
      <w:bookmarkEnd w:id="622"/>
      <w:bookmarkEnd w:id="623"/>
    </w:p>
    <w:p>
      <w:pPr>
        <w:pStyle w:val="ySubsection"/>
      </w:pPr>
      <w:r>
        <w:tab/>
      </w:r>
      <w:r>
        <w:tab/>
        <w:t>The charges set out in this Division apply for sewerage services provided and wastewater discharged in the 2025/26 financial year and each subsequent year.</w:t>
      </w:r>
    </w:p>
    <w:p>
      <w:pPr>
        <w:pStyle w:val="yHeading4"/>
      </w:pPr>
      <w:bookmarkStart w:id="624" w:name="_Toc201235755"/>
      <w:bookmarkStart w:id="625" w:name="_Toc201236006"/>
      <w:bookmarkStart w:id="626" w:name="_Toc201236162"/>
      <w:bookmarkStart w:id="627" w:name="_Toc201314569"/>
      <w:bookmarkStart w:id="628" w:name="_Toc201323528"/>
      <w:bookmarkStart w:id="629" w:name="_Toc201324337"/>
      <w:bookmarkStart w:id="630" w:name="_Toc201325020"/>
      <w:bookmarkStart w:id="631" w:name="_Toc201325249"/>
      <w:bookmarkStart w:id="632" w:name="_Toc201325478"/>
      <w:bookmarkStart w:id="633" w:name="_Toc201325940"/>
      <w:bookmarkStart w:id="634" w:name="_Toc201745933"/>
      <w:r>
        <w:t>Subdivision 2 — Combined charges: metropolitan</w:t>
      </w:r>
      <w:bookmarkEnd w:id="624"/>
      <w:bookmarkEnd w:id="625"/>
      <w:bookmarkEnd w:id="626"/>
      <w:bookmarkEnd w:id="627"/>
      <w:bookmarkEnd w:id="628"/>
      <w:bookmarkEnd w:id="629"/>
      <w:bookmarkEnd w:id="630"/>
      <w:bookmarkEnd w:id="631"/>
      <w:bookmarkEnd w:id="632"/>
      <w:bookmarkEnd w:id="633"/>
      <w:bookmarkEnd w:id="634"/>
    </w:p>
    <w:p>
      <w:pPr>
        <w:pStyle w:val="yFootnoteheading"/>
      </w:pPr>
      <w:bookmarkStart w:id="635" w:name="_Toc201235756"/>
      <w:bookmarkStart w:id="636" w:name="_Toc201314570"/>
      <w:r>
        <w:tab/>
        <w:t>[Heading inserted: SL 2025/101 r. 10.]</w:t>
      </w:r>
    </w:p>
    <w:p>
      <w:pPr>
        <w:pStyle w:val="yHeading5"/>
      </w:pPr>
      <w:bookmarkStart w:id="637" w:name="_Toc201745934"/>
      <w:r>
        <w:rPr>
          <w:rStyle w:val="CharSClsNo"/>
        </w:rPr>
        <w:t>14</w:t>
      </w:r>
      <w:r>
        <w:t>.</w:t>
      </w:r>
      <w:r>
        <w:tab/>
        <w:t>Metropolitan non</w:t>
      </w:r>
      <w:r>
        <w:noBreakHyphen/>
        <w:t>residential</w:t>
      </w:r>
      <w:bookmarkEnd w:id="635"/>
      <w:bookmarkEnd w:id="636"/>
      <w:bookmarkEnd w:id="637"/>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15, 16, 17 or 18,</w:t>
      </w:r>
    </w:p>
    <w:p>
      <w:pPr>
        <w:pStyle w:val="ySubsection"/>
      </w:pPr>
      <w:r>
        <w:tab/>
      </w:r>
      <w:r>
        <w:tab/>
        <w:t>the charge is —</w:t>
      </w:r>
    </w:p>
    <w:p>
      <w:pPr>
        <w:pStyle w:val="Equation"/>
        <w:spacing w:before="120"/>
        <w:ind w:left="879"/>
        <w:rPr>
          <w:b/>
          <w:sz w:val="22"/>
        </w:rPr>
      </w:pPr>
      <m:oMathPara>
        <m:oMathParaPr>
          <m:jc m:val="left"/>
        </m:oMathParaPr>
        <m:oMath>
          <m:r>
            <m:rPr>
              <m:sty m:val="b"/>
            </m:rPr>
            <w:rPr>
              <w:rFonts w:ascii="Cambria Math" w:hAnsi="Cambria Math"/>
              <w:sz w:val="22"/>
            </w:rPr>
            <m:t>P+Q</m:t>
          </m:r>
        </m:oMath>
      </m:oMathPara>
    </w:p>
    <w:p>
      <w:pPr>
        <w:pStyle w:val="yMiscellaneousBody"/>
        <w:keepNext/>
        <w:tabs>
          <w:tab w:val="left" w:pos="284"/>
          <w:tab w:val="right" w:leader="dot" w:pos="6804"/>
        </w:tabs>
        <w:ind w:left="1021" w:hanging="142"/>
      </w:pPr>
      <w:r>
        <w:lastRenderedPageBreak/>
        <w:t xml:space="preserve">where — </w:t>
      </w:r>
    </w:p>
    <w:p>
      <w:pPr>
        <w:pStyle w:val="yMiscellaneousBody"/>
        <w:tabs>
          <w:tab w:val="left" w:pos="284"/>
          <w:tab w:val="left" w:pos="1985"/>
        </w:tabs>
        <w:ind w:left="1304" w:hanging="425"/>
      </w:pPr>
      <w:r>
        <w:rPr>
          <w:b/>
        </w:rPr>
        <w:t>P</w:t>
      </w:r>
      <w:r>
        <w:tab/>
        <w:t>is the service charge calculated in accordance with item 19;</w:t>
      </w:r>
    </w:p>
    <w:p>
      <w:pPr>
        <w:pStyle w:val="yMiscellaneousBody"/>
        <w:tabs>
          <w:tab w:val="left" w:pos="284"/>
          <w:tab w:val="left" w:pos="1985"/>
        </w:tabs>
        <w:ind w:left="1304" w:hanging="425"/>
      </w:pPr>
      <w:r>
        <w:rPr>
          <w:b/>
        </w:rPr>
        <w:t>Q</w:t>
      </w:r>
      <w:r>
        <w:tab/>
        <w:t>is the discharge charge calculated in accordance with item 20.</w:t>
      </w:r>
    </w:p>
    <w:p>
      <w:pPr>
        <w:pStyle w:val="yHeading5"/>
      </w:pPr>
      <w:bookmarkStart w:id="638" w:name="_Toc201235757"/>
      <w:bookmarkStart w:id="639" w:name="_Toc201314571"/>
      <w:bookmarkStart w:id="640" w:name="_Toc201745935"/>
      <w:r>
        <w:rPr>
          <w:rStyle w:val="CharSClsNo"/>
        </w:rPr>
        <w:t>15</w:t>
      </w:r>
      <w:r>
        <w:t>.</w:t>
      </w:r>
      <w:r>
        <w:tab/>
        <w:t>Metropolitan government trading organisation and non</w:t>
      </w:r>
      <w:r>
        <w:noBreakHyphen/>
        <w:t>commercial government property</w:t>
      </w:r>
      <w:bookmarkEnd w:id="638"/>
      <w:bookmarkEnd w:id="639"/>
      <w:bookmarkEnd w:id="640"/>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is the charge according to the number of connected major fixtures calculated in accordance with item 19;</w:t>
      </w:r>
    </w:p>
    <w:p>
      <w:pPr>
        <w:pStyle w:val="yMiscellaneousBody"/>
        <w:tabs>
          <w:tab w:val="left" w:pos="284"/>
          <w:tab w:val="left" w:pos="1985"/>
        </w:tabs>
        <w:ind w:left="1305" w:hanging="425"/>
      </w:pPr>
      <w:r>
        <w:rPr>
          <w:b/>
        </w:rPr>
        <w:t>Q</w:t>
      </w:r>
      <w:r>
        <w:tab/>
        <w:t>is the discharge charge calculated in accordance with item 20.</w:t>
      </w:r>
    </w:p>
    <w:p>
      <w:pPr>
        <w:pStyle w:val="ySubsection"/>
      </w:pPr>
      <w:r>
        <w:tab/>
        <w:t>(2)</w:t>
      </w:r>
      <w:r>
        <w:tab/>
        <w:t>Sub</w:t>
      </w:r>
      <w:r>
        <w:noBreakHyphen/>
        <w:t>item (1) does not apply to public land.</w:t>
      </w:r>
    </w:p>
    <w:p>
      <w:pPr>
        <w:pStyle w:val="yHeading5"/>
      </w:pPr>
      <w:bookmarkStart w:id="641" w:name="_Toc201235758"/>
      <w:bookmarkStart w:id="642" w:name="_Toc201314572"/>
      <w:bookmarkStart w:id="643" w:name="_Toc201745936"/>
      <w:r>
        <w:rPr>
          <w:rStyle w:val="CharSClsNo"/>
        </w:rPr>
        <w:t>16</w:t>
      </w:r>
      <w:r>
        <w:t>.</w:t>
      </w:r>
      <w:r>
        <w:tab/>
        <w:t>Metropolitan non</w:t>
      </w:r>
      <w:r>
        <w:noBreakHyphen/>
        <w:t>strata titled caravan park with long</w:t>
      </w:r>
      <w:r>
        <w:noBreakHyphen/>
        <w:t>term residential caravan bays</w:t>
      </w:r>
      <w:bookmarkEnd w:id="641"/>
      <w:bookmarkEnd w:id="642"/>
      <w:bookmarkEnd w:id="643"/>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keepNext/>
      </w:pPr>
      <w:r>
        <w:tab/>
        <w:t>(b)</w:t>
      </w:r>
      <w:r>
        <w:tab/>
        <w:t>has long</w:t>
      </w:r>
      <w:r>
        <w:noBreakHyphen/>
        <w:t>term residential caravan bays,</w:t>
      </w:r>
    </w:p>
    <w:p>
      <w:pPr>
        <w:pStyle w:val="ySubsection"/>
        <w:keepNext/>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is </w:t>
      </w:r>
      <w:r>
        <w:rPr>
          <w:szCs w:val="22"/>
        </w:rPr>
        <w:t xml:space="preserve">$378.70 </w:t>
      </w:r>
      <w:r>
        <w:t>for each long</w:t>
      </w:r>
      <w:r>
        <w:noBreakHyphen/>
        <w:t>term residential caravan bay;</w:t>
      </w:r>
    </w:p>
    <w:p>
      <w:pPr>
        <w:pStyle w:val="yMiscellaneousBody"/>
        <w:tabs>
          <w:tab w:val="left" w:pos="284"/>
          <w:tab w:val="left" w:pos="1985"/>
        </w:tabs>
        <w:ind w:left="1305" w:hanging="425"/>
      </w:pPr>
      <w:r>
        <w:rPr>
          <w:b/>
        </w:rPr>
        <w:t>AB</w:t>
      </w:r>
      <w:r>
        <w:tab/>
        <w:t>is, for those parts of the caravan park not contained in long</w:t>
      </w:r>
      <w:r>
        <w:noBreakHyphen/>
        <w:t xml:space="preserve">term residential caravan bays, </w:t>
      </w:r>
      <m:oMath>
        <m:r>
          <m:rPr>
            <m:sty m:val="b"/>
          </m:rPr>
          <w:rPr>
            <w:rFonts w:ascii="Cambria Math" w:hAnsi="Cambria Math"/>
          </w:rPr>
          <m:t>Y</m:t>
        </m:r>
        <m:r>
          <m:rPr>
            <m:sty m:val="p"/>
          </m:rPr>
          <w:rPr>
            <w:rFonts w:ascii="Cambria Math" w:hAnsi="Cambria Math"/>
          </w:rPr>
          <m:t>+</m:t>
        </m:r>
        <m:r>
          <m:rPr>
            <m:sty m:val="b"/>
          </m:rPr>
          <w:rPr>
            <w:rFonts w:ascii="Cambria Math" w:hAnsi="Cambria Math"/>
          </w:rPr>
          <m:t>Q</m:t>
        </m:r>
      </m:oMath>
    </w:p>
    <w:p>
      <w:pPr>
        <w:pStyle w:val="yMiscellaneousBody"/>
        <w:tabs>
          <w:tab w:val="left" w:pos="284"/>
          <w:tab w:val="left" w:pos="1985"/>
        </w:tabs>
        <w:ind w:left="1305" w:hanging="425"/>
      </w:pPr>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pPr>
        <w:pStyle w:val="yMiscellaneousBody"/>
        <w:tabs>
          <w:tab w:val="left" w:pos="284"/>
          <w:tab w:val="left" w:pos="1985"/>
        </w:tabs>
        <w:ind w:left="1305" w:hanging="425"/>
        <w:rPr>
          <w:bCs/>
        </w:rPr>
      </w:pPr>
      <w:r>
        <w:rPr>
          <w:b/>
        </w:rPr>
        <w:t>Q</w:t>
      </w:r>
      <w:r>
        <w:tab/>
        <w:t>is the</w:t>
      </w:r>
      <w:r>
        <w:rPr>
          <w:bCs/>
        </w:rPr>
        <w:t xml:space="preserve"> discharge charge calculated in accordance with item 20.</w:t>
      </w:r>
    </w:p>
    <w:p>
      <w:pPr>
        <w:pStyle w:val="yHeading5"/>
      </w:pPr>
      <w:bookmarkStart w:id="644" w:name="_Toc201235759"/>
      <w:bookmarkStart w:id="645" w:name="_Toc201314573"/>
      <w:bookmarkStart w:id="646" w:name="_Toc201745937"/>
      <w:r>
        <w:rPr>
          <w:rStyle w:val="CharSClsNo"/>
        </w:rPr>
        <w:lastRenderedPageBreak/>
        <w:t>17</w:t>
      </w:r>
      <w:r>
        <w:t>.</w:t>
      </w:r>
      <w:r>
        <w:tab/>
        <w:t>Metropolitan nursing home</w:t>
      </w:r>
      <w:bookmarkEnd w:id="644"/>
      <w:bookmarkEnd w:id="645"/>
      <w:bookmarkEnd w:id="646"/>
    </w:p>
    <w:p>
      <w:pPr>
        <w:pStyle w:val="ySubsection"/>
        <w:keepNext/>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20;</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$214.29.</w:t>
      </w:r>
    </w:p>
    <w:p>
      <w:pPr>
        <w:pStyle w:val="yHeading5"/>
      </w:pPr>
      <w:bookmarkStart w:id="647" w:name="_Toc201235760"/>
      <w:bookmarkStart w:id="648" w:name="_Toc201314574"/>
      <w:bookmarkStart w:id="649" w:name="_Toc201745938"/>
      <w:r>
        <w:rPr>
          <w:rStyle w:val="CharSClsNo"/>
        </w:rPr>
        <w:t>18</w:t>
      </w:r>
      <w:r>
        <w:t>.</w:t>
      </w:r>
      <w:r>
        <w:tab/>
        <w:t>Certain metropolitan units</w:t>
      </w:r>
      <w:bookmarkEnd w:id="647"/>
      <w:bookmarkEnd w:id="648"/>
      <w:bookmarkEnd w:id="649"/>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1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 xml:space="preserve">is </w:t>
      </w:r>
      <w:r>
        <w:rPr>
          <w:szCs w:val="22"/>
        </w:rPr>
        <w:t>$736.19</w:t>
      </w:r>
      <w:r>
        <w:t>;</w:t>
      </w:r>
    </w:p>
    <w:p>
      <w:pPr>
        <w:pStyle w:val="yMiscellaneousBody"/>
        <w:tabs>
          <w:tab w:val="left" w:pos="284"/>
          <w:tab w:val="left" w:pos="1985"/>
        </w:tabs>
        <w:ind w:left="1305" w:hanging="425"/>
      </w:pPr>
      <w:r>
        <w:rPr>
          <w:b/>
        </w:rPr>
        <w:t>Q</w:t>
      </w:r>
      <w:r>
        <w:tab/>
        <w:t>is the discharge charge calculated in accordance with item 20.</w:t>
      </w:r>
    </w:p>
    <w:p>
      <w:pPr>
        <w:pStyle w:val="yHeading4"/>
      </w:pPr>
      <w:bookmarkStart w:id="650" w:name="_Toc201235761"/>
      <w:bookmarkStart w:id="651" w:name="_Toc201236012"/>
      <w:bookmarkStart w:id="652" w:name="_Toc201236168"/>
      <w:bookmarkStart w:id="653" w:name="_Toc201314575"/>
      <w:bookmarkStart w:id="654" w:name="_Toc201323534"/>
      <w:bookmarkStart w:id="655" w:name="_Toc201324343"/>
      <w:bookmarkStart w:id="656" w:name="_Toc201325026"/>
      <w:bookmarkStart w:id="657" w:name="_Toc201325255"/>
      <w:bookmarkStart w:id="658" w:name="_Toc201325484"/>
      <w:bookmarkStart w:id="659" w:name="_Toc201325946"/>
      <w:bookmarkStart w:id="660" w:name="_Toc201745939"/>
      <w:r>
        <w:lastRenderedPageBreak/>
        <w:t>Subdivision 3 — Calculation of certain factors for Subdivision 2</w:t>
      </w:r>
      <w:bookmarkEnd w:id="650"/>
      <w:bookmarkEnd w:id="651"/>
      <w:bookmarkEnd w:id="652"/>
      <w:bookmarkEnd w:id="653"/>
      <w:bookmarkEnd w:id="654"/>
      <w:bookmarkEnd w:id="655"/>
      <w:bookmarkEnd w:id="656"/>
      <w:bookmarkEnd w:id="657"/>
      <w:bookmarkEnd w:id="658"/>
      <w:bookmarkEnd w:id="659"/>
      <w:bookmarkEnd w:id="660"/>
    </w:p>
    <w:p>
      <w:pPr>
        <w:pStyle w:val="yFootnoteheading"/>
        <w:keepNext/>
      </w:pPr>
      <w:bookmarkStart w:id="661" w:name="_Toc201235762"/>
      <w:bookmarkStart w:id="662" w:name="_Toc201314576"/>
      <w:r>
        <w:tab/>
        <w:t>[Heading inserted: SL 2025/101 r. 10.]</w:t>
      </w:r>
    </w:p>
    <w:p>
      <w:pPr>
        <w:pStyle w:val="yHeading5"/>
      </w:pPr>
      <w:bookmarkStart w:id="663" w:name="_Toc201745940"/>
      <w:r>
        <w:rPr>
          <w:rStyle w:val="CharSClsNo"/>
        </w:rPr>
        <w:t>19</w:t>
      </w:r>
      <w:r>
        <w:t>.</w:t>
      </w:r>
      <w:r>
        <w:tab/>
        <w:t>Service charge</w:t>
      </w:r>
      <w:bookmarkEnd w:id="661"/>
      <w:bookmarkEnd w:id="662"/>
      <w:bookmarkEnd w:id="663"/>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trPr>
          <w:tblHeader/>
        </w:trPr>
        <w:tc>
          <w:tcPr>
            <w:tcW w:w="2154" w:type="dxa"/>
            <w:tcBorders>
              <w:top w:val="single" w:sz="4" w:space="0" w:color="auto"/>
              <w:bottom w:val="single" w:sz="4" w:space="0" w:color="auto"/>
            </w:tcBorders>
            <w:noWrap/>
          </w:tcPr>
          <w:p>
            <w:pPr>
              <w:pStyle w:val="yTableNAm"/>
              <w:jc w:val="center"/>
              <w:rPr>
                <w:b/>
              </w:rPr>
            </w:pPr>
          </w:p>
        </w:tc>
        <w:tc>
          <w:tcPr>
            <w:tcW w:w="2268" w:type="dxa"/>
            <w:tcBorders>
              <w:top w:val="single" w:sz="4" w:space="0" w:color="auto"/>
              <w:bottom w:val="single" w:sz="4" w:space="0" w:color="auto"/>
            </w:tcBorders>
            <w:noWrap/>
          </w:tcPr>
          <w:p>
            <w:pPr>
              <w:pStyle w:val="yTableNAm"/>
              <w:jc w:val="center"/>
            </w:pPr>
            <w:r>
              <w:rPr>
                <w:b/>
              </w:rPr>
              <w:t>Charge</w:t>
            </w:r>
            <w:r>
              <w:rPr>
                <w:b/>
              </w:rPr>
              <w:br/>
              <w:t>$</w:t>
            </w:r>
          </w:p>
        </w:tc>
      </w:tr>
      <w:tr>
        <w:tc>
          <w:tcPr>
            <w:tcW w:w="2154" w:type="dxa"/>
            <w:noWrap/>
            <w:tcMar>
              <w:left w:w="482" w:type="dxa"/>
            </w:tcMar>
          </w:tcPr>
          <w:p>
            <w:pPr>
              <w:pStyle w:val="yTableNAm"/>
              <w:tabs>
                <w:tab w:val="clear" w:pos="567"/>
                <w:tab w:val="left" w:pos="679"/>
              </w:tabs>
              <w:ind w:left="298" w:hanging="334"/>
            </w:pPr>
            <w:r>
              <w:t>1</w:t>
            </w:r>
            <w:r>
              <w:rPr>
                <w:vertAlign w:val="superscript"/>
              </w:rPr>
              <w:t>st</w:t>
            </w:r>
            <w:r>
              <w:tab/>
              <w:t>fixture</w:t>
            </w:r>
          </w:p>
        </w:tc>
        <w:tc>
          <w:tcPr>
            <w:tcW w:w="2268" w:type="dxa"/>
            <w:noWrap/>
          </w:tcPr>
          <w:p>
            <w:pPr>
              <w:pStyle w:val="yTableNAm"/>
              <w:jc w:val="center"/>
            </w:pPr>
            <w:r>
              <w:t>1 184.25</w:t>
            </w:r>
          </w:p>
        </w:tc>
      </w:tr>
      <w:tr>
        <w:tc>
          <w:tcPr>
            <w:tcW w:w="2154" w:type="dxa"/>
            <w:noWrap/>
            <w:tcMar>
              <w:left w:w="482" w:type="dxa"/>
            </w:tcMar>
          </w:tcPr>
          <w:p>
            <w:pPr>
              <w:pStyle w:val="yTableNAm"/>
              <w:tabs>
                <w:tab w:val="clear" w:pos="567"/>
                <w:tab w:val="left" w:pos="679"/>
              </w:tabs>
              <w:ind w:left="298" w:hanging="334"/>
            </w:pPr>
            <w:r>
              <w:t>2</w:t>
            </w:r>
            <w:r>
              <w:rPr>
                <w:vertAlign w:val="superscript"/>
              </w:rPr>
              <w:t>nd</w:t>
            </w:r>
            <w:r>
              <w:tab/>
              <w:t>fixture</w:t>
            </w:r>
          </w:p>
        </w:tc>
        <w:tc>
          <w:tcPr>
            <w:tcW w:w="2268" w:type="dxa"/>
            <w:noWrap/>
          </w:tcPr>
          <w:p>
            <w:pPr>
              <w:pStyle w:val="yTableNAm"/>
              <w:jc w:val="center"/>
            </w:pPr>
            <w:r>
              <w:t>506.92</w:t>
            </w:r>
          </w:p>
        </w:tc>
      </w:tr>
      <w:tr>
        <w:tc>
          <w:tcPr>
            <w:tcW w:w="2154" w:type="dxa"/>
            <w:noWrap/>
            <w:tcMar>
              <w:left w:w="482" w:type="dxa"/>
            </w:tcMar>
          </w:tcPr>
          <w:p>
            <w:pPr>
              <w:pStyle w:val="yTableNAm"/>
              <w:tabs>
                <w:tab w:val="clear" w:pos="567"/>
                <w:tab w:val="left" w:pos="679"/>
              </w:tabs>
              <w:ind w:left="298" w:hanging="334"/>
            </w:pPr>
            <w:r>
              <w:t>3</w:t>
            </w:r>
            <w:r>
              <w:rPr>
                <w:vertAlign w:val="superscript"/>
              </w:rPr>
              <w:t>rd</w:t>
            </w:r>
            <w:r>
              <w:tab/>
              <w:t>fixture</w:t>
            </w:r>
          </w:p>
        </w:tc>
        <w:tc>
          <w:tcPr>
            <w:tcW w:w="2268" w:type="dxa"/>
            <w:noWrap/>
          </w:tcPr>
          <w:p>
            <w:pPr>
              <w:pStyle w:val="yTableNAm"/>
              <w:jc w:val="center"/>
            </w:pPr>
            <w:r>
              <w:t>676.99</w:t>
            </w:r>
          </w:p>
        </w:tc>
      </w:tr>
      <w:tr>
        <w:tc>
          <w:tcPr>
            <w:tcW w:w="2154" w:type="dxa"/>
            <w:tcBorders>
              <w:bottom w:val="single" w:sz="4" w:space="0" w:color="auto"/>
            </w:tcBorders>
            <w:noWrap/>
            <w:tcMar>
              <w:left w:w="482" w:type="dxa"/>
            </w:tcMar>
          </w:tcPr>
          <w:p>
            <w:pPr>
              <w:pStyle w:val="yTableNAm"/>
              <w:tabs>
                <w:tab w:val="clear" w:pos="567"/>
                <w:tab w:val="left" w:pos="679"/>
              </w:tabs>
              <w:ind w:left="298" w:hanging="334"/>
            </w:pPr>
            <w:r>
              <w:t>4</w:t>
            </w:r>
            <w:r>
              <w:rPr>
                <w:vertAlign w:val="superscript"/>
              </w:rPr>
              <w:t>th</w:t>
            </w:r>
            <w:r>
              <w:tab/>
              <w:t>and subsequent fixtures</w:t>
            </w:r>
          </w:p>
        </w:tc>
        <w:tc>
          <w:tcPr>
            <w:tcW w:w="2268" w:type="dxa"/>
            <w:tcBorders>
              <w:bottom w:val="single" w:sz="4" w:space="0" w:color="auto"/>
            </w:tcBorders>
            <w:noWrap/>
          </w:tcPr>
          <w:p>
            <w:pPr>
              <w:pStyle w:val="yTableNAm"/>
              <w:jc w:val="center"/>
            </w:pPr>
            <w:r>
              <w:rPr>
                <w:szCs w:val="22"/>
              </w:rPr>
              <w:t>736.19</w:t>
            </w:r>
          </w:p>
        </w:tc>
      </w:tr>
    </w:tbl>
    <w:p>
      <w:pPr>
        <w:pStyle w:val="yHeading5"/>
      </w:pPr>
      <w:bookmarkStart w:id="664" w:name="_Toc201235763"/>
      <w:bookmarkStart w:id="665" w:name="_Toc201314577"/>
      <w:bookmarkStart w:id="666" w:name="_Toc201745941"/>
      <w:r>
        <w:rPr>
          <w:rStyle w:val="CharSClsNo"/>
        </w:rPr>
        <w:t>20</w:t>
      </w:r>
      <w:r>
        <w:t>.</w:t>
      </w:r>
      <w:r>
        <w:tab/>
        <w:t>Discharge charge</w:t>
      </w:r>
      <w:bookmarkEnd w:id="664"/>
      <w:bookmarkEnd w:id="665"/>
      <w:bookmarkEnd w:id="666"/>
    </w:p>
    <w:p>
      <w:pPr>
        <w:pStyle w:val="ySubsection"/>
        <w:keepNext/>
        <w:tabs>
          <w:tab w:val="right" w:leader="dot" w:pos="6804"/>
        </w:tabs>
      </w:pPr>
      <w:r>
        <w:rPr>
          <w:szCs w:val="22"/>
        </w:rPr>
        <w:tab/>
      </w:r>
      <w:r>
        <w:rPr>
          <w:szCs w:val="22"/>
        </w:rPr>
        <w:tab/>
        <w:t xml:space="preserve">The </w:t>
      </w:r>
      <w:r>
        <w:t>discharge</w:t>
      </w:r>
      <w:r>
        <w:rPr>
          <w:szCs w:val="22"/>
        </w:rPr>
        <w:t xml:space="preserve"> charge (</w:t>
      </w:r>
      <w:r>
        <w:rPr>
          <w:b/>
          <w:i/>
          <w:szCs w:val="22"/>
        </w:rPr>
        <w:t>Q</w:t>
      </w:r>
      <w:r>
        <w:rPr>
          <w:szCs w:val="22"/>
        </w:rPr>
        <w:t>) is —</w:t>
      </w:r>
    </w:p>
    <w:p>
      <w:pPr>
        <w:pStyle w:val="yMiscellaneousBody"/>
        <w:tabs>
          <w:tab w:val="left" w:pos="284"/>
          <w:tab w:val="right" w:leader="dot" w:pos="6804"/>
        </w:tabs>
        <w:ind w:left="1021" w:hanging="142"/>
        <w:rPr>
          <w:szCs w:val="22"/>
        </w:rPr>
      </w:pPr>
      <w:r>
        <w:rPr>
          <w:szCs w:val="22"/>
        </w:rPr>
        <w:t xml:space="preserve">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rPr>
          <w:szCs w:val="22"/>
        </w:rPr>
      </w:pPr>
      <w:r>
        <w:rPr>
          <w:szCs w:val="22"/>
        </w:rPr>
        <w:t xml:space="preserve">or 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rPr>
          <w:b/>
        </w:rPr>
        <w:tab/>
      </w:r>
      <w:r>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21;</w:t>
      </w:r>
    </w:p>
    <w:p>
      <w:pPr>
        <w:pStyle w:val="yMiscellaneousBody"/>
        <w:keepNext/>
        <w:tabs>
          <w:tab w:val="left" w:pos="284"/>
          <w:tab w:val="left" w:pos="1701"/>
          <w:tab w:val="right" w:leader="dot" w:pos="6804"/>
        </w:tabs>
        <w:ind w:left="1276" w:hanging="397"/>
      </w:pPr>
      <w:r>
        <w:rPr>
          <w:b/>
          <w:szCs w:val="22"/>
        </w:rPr>
        <w:lastRenderedPageBreak/>
        <w:t>I</w:t>
      </w:r>
      <w:r>
        <w:rPr>
          <w:szCs w:val="22"/>
        </w:rPr>
        <w:tab/>
        <w:t>is $4.352</w:t>
      </w:r>
      <w:r>
        <w:t>,</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667" w:name="_Toc201235764"/>
      <w:bookmarkStart w:id="668" w:name="_Toc201314578"/>
      <w:bookmarkStart w:id="669" w:name="_Toc201745942"/>
      <w:r>
        <w:rPr>
          <w:rStyle w:val="CharSClsNo"/>
        </w:rPr>
        <w:t>21</w:t>
      </w:r>
      <w:r>
        <w:t>.</w:t>
      </w:r>
      <w:r>
        <w:tab/>
        <w:t>Discharge allowance</w:t>
      </w:r>
      <w:bookmarkEnd w:id="667"/>
      <w:bookmarkEnd w:id="668"/>
      <w:bookmarkEnd w:id="669"/>
    </w:p>
    <w:p>
      <w:pPr>
        <w:pStyle w:val="ySubsection"/>
      </w:pPr>
      <w:r>
        <w:tab/>
        <w:t>(1)</w:t>
      </w:r>
      <w:r>
        <w:tab/>
        <w:t>The discharge allowance for the current discharge year is —</w:t>
      </w:r>
    </w:p>
    <w:p>
      <w:pPr>
        <w:pStyle w:val="yIndenta"/>
      </w:pPr>
      <w:r>
        <w:tab/>
        <w:t>(a)</w:t>
      </w:r>
      <w:r>
        <w:tab/>
        <w:t>for land to which item 14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16, the amount (in kL) calculated in accordance with the formula in sub</w:t>
      </w:r>
      <w:r>
        <w:noBreakHyphen/>
        <w:t>item (2);</w:t>
      </w:r>
    </w:p>
    <w:p>
      <w:pPr>
        <w:pStyle w:val="yIndenta"/>
      </w:pPr>
      <w:r>
        <w:tab/>
        <w:t>(d)</w:t>
      </w:r>
      <w:r>
        <w:tab/>
        <w:t>for a nursing home referred to in item 17 — 75 kL per bed;</w:t>
      </w:r>
    </w:p>
    <w:p>
      <w:pPr>
        <w:pStyle w:val="yIndenta"/>
      </w:pPr>
      <w:r>
        <w:tab/>
        <w:t>(e)</w:t>
      </w:r>
      <w:r>
        <w:tab/>
        <w:t>for properties that share a metered property water supply connection — 200 kL for each property.</w:t>
      </w:r>
    </w:p>
    <w:p>
      <w:pPr>
        <w:pStyle w:val="ySubsection"/>
        <w:keepNext/>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M</w:t>
      </w:r>
      <w:r>
        <w:tab/>
        <w:t xml:space="preserve">is 75 kL for </w:t>
      </w:r>
      <w:r>
        <w:rPr>
          <w:szCs w:val="22"/>
        </w:rPr>
        <w:t>each</w:t>
      </w:r>
      <w:r>
        <w:t xml:space="preserve"> long</w:t>
      </w:r>
      <w:r>
        <w:noBreakHyphen/>
        <w:t>term residential caravan bay.</w:t>
      </w:r>
    </w:p>
    <w:p>
      <w:pPr>
        <w:pStyle w:val="yHeading4"/>
      </w:pPr>
      <w:bookmarkStart w:id="670" w:name="_Toc201235765"/>
      <w:bookmarkStart w:id="671" w:name="_Toc201236016"/>
      <w:bookmarkStart w:id="672" w:name="_Toc201236172"/>
      <w:bookmarkStart w:id="673" w:name="_Toc201314579"/>
      <w:bookmarkStart w:id="674" w:name="_Toc201323538"/>
      <w:bookmarkStart w:id="675" w:name="_Toc201324347"/>
      <w:bookmarkStart w:id="676" w:name="_Toc201325030"/>
      <w:bookmarkStart w:id="677" w:name="_Toc201325259"/>
      <w:bookmarkStart w:id="678" w:name="_Toc201325488"/>
      <w:bookmarkStart w:id="679" w:name="_Toc201325950"/>
      <w:bookmarkStart w:id="680" w:name="_Toc201745943"/>
      <w:r>
        <w:t>Subdivision 4 — Combined charges: non</w:t>
      </w:r>
      <w:r>
        <w:noBreakHyphen/>
        <w:t>metropolitan</w:t>
      </w:r>
      <w:bookmarkEnd w:id="670"/>
      <w:bookmarkEnd w:id="671"/>
      <w:bookmarkEnd w:id="672"/>
      <w:bookmarkEnd w:id="673"/>
      <w:bookmarkEnd w:id="674"/>
      <w:bookmarkEnd w:id="675"/>
      <w:bookmarkEnd w:id="676"/>
      <w:bookmarkEnd w:id="677"/>
      <w:bookmarkEnd w:id="678"/>
      <w:bookmarkEnd w:id="679"/>
      <w:bookmarkEnd w:id="680"/>
    </w:p>
    <w:p>
      <w:pPr>
        <w:pStyle w:val="yFootnoteheading"/>
      </w:pPr>
      <w:bookmarkStart w:id="681" w:name="_Toc201235766"/>
      <w:bookmarkStart w:id="682" w:name="_Toc201314580"/>
      <w:r>
        <w:tab/>
        <w:t>[Heading inserted: SL 2025/101 r. 10.]</w:t>
      </w:r>
    </w:p>
    <w:p>
      <w:pPr>
        <w:pStyle w:val="yHeading5"/>
      </w:pPr>
      <w:bookmarkStart w:id="683" w:name="_Toc201745944"/>
      <w:r>
        <w:rPr>
          <w:rStyle w:val="CharSClsNo"/>
        </w:rPr>
        <w:t>22</w:t>
      </w:r>
      <w:r>
        <w:t>.</w:t>
      </w:r>
      <w:r>
        <w:tab/>
        <w:t>Non</w:t>
      </w:r>
      <w:r>
        <w:noBreakHyphen/>
        <w:t>metropolitan non</w:t>
      </w:r>
      <w:r>
        <w:noBreakHyphen/>
        <w:t>residential</w:t>
      </w:r>
      <w:bookmarkEnd w:id="681"/>
      <w:bookmarkEnd w:id="682"/>
      <w:bookmarkEnd w:id="683"/>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23, 24, 25 or 26,</w:t>
      </w:r>
    </w:p>
    <w:p>
      <w:pPr>
        <w:pStyle w:val="ySubsection"/>
      </w:pPr>
      <w:r>
        <w:tab/>
      </w:r>
      <w:r>
        <w:tab/>
        <w:t>the charge is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P+Q</m:t>
        </m:r>
      </m:oMath>
    </w:p>
    <w:p>
      <w:pPr>
        <w:pStyle w:val="yMiscellaneousBody"/>
        <w:keepNext/>
        <w:tabs>
          <w:tab w:val="left" w:pos="284"/>
          <w:tab w:val="right" w:leader="dot" w:pos="6804"/>
        </w:tabs>
        <w:ind w:left="1021" w:hanging="142"/>
      </w:pPr>
      <w:r>
        <w:rPr>
          <w:szCs w:val="22"/>
        </w:rPr>
        <w:lastRenderedPageBreak/>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282" w:hanging="142"/>
        <w:rPr>
          <w:rFonts w:ascii="Cambria Math" w:hAnsi="Cambria Math"/>
          <w:b/>
          <w:bCs/>
        </w:rPr>
      </w:pPr>
      <m:oMath>
        <m:r>
          <m:rPr>
            <m:sty m:val="b"/>
          </m:rPr>
          <w:rPr>
            <w:rFonts w:ascii="Cambria Math" w:hAnsi="Cambria Math"/>
          </w:rPr>
          <m:t>N≤W</m:t>
        </m:r>
      </m:oMath>
      <w:r>
        <w:rPr>
          <w:rFonts w:ascii="Cambria Math" w:hAnsi="Cambria Math"/>
          <w:b/>
          <w:bCs/>
        </w:rPr>
        <w:t>,</w:t>
      </w:r>
    </w:p>
    <w:p>
      <w:pPr>
        <w:pStyle w:val="yMiscellaneousBody"/>
        <w:tabs>
          <w:tab w:val="left" w:pos="284"/>
          <w:tab w:val="left" w:pos="1985"/>
          <w:tab w:val="right" w:leader="dot" w:pos="6804"/>
        </w:tabs>
        <w:ind w:left="1424" w:hanging="142"/>
      </w:pPr>
      <w:r>
        <w:tab/>
        <w:t xml:space="preserve">then </w:t>
      </w:r>
      <w:r>
        <w:rPr>
          <w:b/>
        </w:rPr>
        <w:t>R</w:t>
      </w:r>
    </w:p>
    <w:p>
      <w:pPr>
        <w:pStyle w:val="yMiscellaneousBody"/>
        <w:tabs>
          <w:tab w:val="left" w:pos="284"/>
          <w:tab w:val="left" w:pos="1985"/>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424" w:hanging="142"/>
        <w:rPr>
          <w:rFonts w:ascii="Cambria Math" w:hAnsi="Cambria Math"/>
          <w:b/>
          <w:bCs/>
        </w:rPr>
      </w:pPr>
      <m:oMath>
        <m:r>
          <m:rPr>
            <m:sty m:val="b"/>
          </m:rPr>
          <w:rPr>
            <w:rFonts w:ascii="Cambria Math" w:hAnsi="Cambria Math"/>
          </w:rPr>
          <m:t>N&gt;W</m:t>
        </m:r>
      </m:oMath>
      <w:r>
        <w:rPr>
          <w:rFonts w:ascii="Cambria Math" w:hAnsi="Cambria Math"/>
          <w:b/>
          <w:bCs/>
        </w:rPr>
        <w:t>,</w:t>
      </w:r>
    </w:p>
    <w:p>
      <w:pPr>
        <w:pStyle w:val="yMiscellaneousBody"/>
        <w:tabs>
          <w:tab w:val="left" w:pos="284"/>
          <w:tab w:val="left" w:pos="1985"/>
          <w:tab w:val="right" w:leader="dot" w:pos="6804"/>
        </w:tabs>
        <w:ind w:left="1566"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282" w:hanging="142"/>
      </w:pPr>
      <w:r>
        <w:t xml:space="preserve">where — </w:t>
      </w:r>
    </w:p>
    <w:p>
      <w:pPr>
        <w:pStyle w:val="yMiscellaneousBody"/>
        <w:tabs>
          <w:tab w:val="left" w:pos="284"/>
          <w:tab w:val="left" w:pos="1985"/>
        </w:tabs>
        <w:ind w:left="1566" w:hanging="425"/>
      </w:pPr>
      <w:r>
        <w:rPr>
          <w:b/>
        </w:rPr>
        <w:t>P</w:t>
      </w:r>
      <w:r>
        <w:tab/>
        <w:t>is the service charge calculated in accordance with item 27;</w:t>
      </w:r>
    </w:p>
    <w:p>
      <w:pPr>
        <w:pStyle w:val="yMiscellaneousBody"/>
        <w:tabs>
          <w:tab w:val="left" w:pos="284"/>
          <w:tab w:val="left" w:pos="1985"/>
        </w:tabs>
        <w:ind w:left="1566" w:hanging="425"/>
      </w:pPr>
      <w:r>
        <w:rPr>
          <w:b/>
        </w:rPr>
        <w:t>Q</w:t>
      </w:r>
      <w:r>
        <w:tab/>
        <w:t>is the discharge charge calculated in accordance with item 28;</w:t>
      </w:r>
    </w:p>
    <w:p>
      <w:pPr>
        <w:pStyle w:val="yMiscellaneousBody"/>
        <w:tabs>
          <w:tab w:val="left" w:pos="284"/>
          <w:tab w:val="left" w:pos="1985"/>
        </w:tabs>
        <w:ind w:left="1566" w:hanging="425"/>
      </w:pPr>
      <w:r>
        <w:rPr>
          <w:b/>
        </w:rPr>
        <w:t>R</w:t>
      </w:r>
      <w:r>
        <w:tab/>
        <w:t>is the maximum charge calculated in accordance with item 30;</w:t>
      </w:r>
    </w:p>
    <w:p>
      <w:pPr>
        <w:pStyle w:val="yMiscellaneousBody"/>
        <w:tabs>
          <w:tab w:val="left" w:pos="284"/>
          <w:tab w:val="left" w:pos="1985"/>
        </w:tabs>
        <w:ind w:left="1566" w:hanging="425"/>
      </w:pPr>
      <w:r>
        <w:rPr>
          <w:b/>
        </w:rPr>
        <w:t>N</w:t>
      </w:r>
      <w:r>
        <w:tab/>
        <w:t>is the discharge volume for the current discharge year;</w:t>
      </w:r>
    </w:p>
    <w:p>
      <w:pPr>
        <w:pStyle w:val="yMiscellaneousBody"/>
        <w:tabs>
          <w:tab w:val="left" w:pos="284"/>
          <w:tab w:val="left" w:pos="1985"/>
        </w:tabs>
        <w:ind w:left="1566" w:hanging="425"/>
      </w:pPr>
      <w:r>
        <w:rPr>
          <w:b/>
        </w:rPr>
        <w:t>W</w:t>
      </w:r>
      <w:r>
        <w:tab/>
        <w:t>is the discharge volume for the most recently completed discharge year;</w:t>
      </w:r>
    </w:p>
    <w:p>
      <w:pPr>
        <w:pStyle w:val="yMiscellaneousBody"/>
        <w:tabs>
          <w:tab w:val="left" w:pos="284"/>
          <w:tab w:val="left" w:pos="1985"/>
        </w:tabs>
        <w:ind w:left="1566" w:hanging="425"/>
      </w:pPr>
      <w:r>
        <w:rPr>
          <w:b/>
        </w:rPr>
        <w:t>I</w:t>
      </w:r>
      <w:r>
        <w:tab/>
        <w:t>is $4.352.</w:t>
      </w:r>
    </w:p>
    <w:p>
      <w:pPr>
        <w:pStyle w:val="yHeading5"/>
      </w:pPr>
      <w:bookmarkStart w:id="684" w:name="_Toc201235767"/>
      <w:bookmarkStart w:id="685" w:name="_Toc201314581"/>
      <w:bookmarkStart w:id="686" w:name="_Toc201745945"/>
      <w:r>
        <w:rPr>
          <w:rStyle w:val="CharSClsNo"/>
        </w:rPr>
        <w:t>23</w:t>
      </w:r>
      <w:r>
        <w:t>.</w:t>
      </w:r>
      <w:r>
        <w:tab/>
        <w:t>Non</w:t>
      </w:r>
      <w:r>
        <w:noBreakHyphen/>
        <w:t>metropolitan non</w:t>
      </w:r>
      <w:r>
        <w:noBreakHyphen/>
        <w:t>strata titled caravan park with long</w:t>
      </w:r>
      <w:r>
        <w:noBreakHyphen/>
        <w:t>term residential caravan bays</w:t>
      </w:r>
      <w:bookmarkEnd w:id="684"/>
      <w:bookmarkEnd w:id="685"/>
      <w:bookmarkEnd w:id="686"/>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 is</w:t>
      </w:r>
      <w:r>
        <w:rPr>
          <w:szCs w:val="22"/>
        </w:rPr>
        <w:t xml:space="preserve"> $378.70 </w:t>
      </w:r>
      <w:r>
        <w:t>for each long</w:t>
      </w:r>
      <w:r>
        <w:noBreakHyphen/>
        <w:t>term residential caravan bay;</w:t>
      </w:r>
    </w:p>
    <w:p>
      <w:pPr>
        <w:pStyle w:val="yMiscellaneousBody"/>
        <w:keepNext/>
        <w:tabs>
          <w:tab w:val="left" w:pos="284"/>
          <w:tab w:val="left" w:pos="1985"/>
        </w:tabs>
        <w:ind w:left="1305" w:hanging="425"/>
      </w:pPr>
      <w:r>
        <w:rPr>
          <w:b/>
        </w:rPr>
        <w:lastRenderedPageBreak/>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keepNext/>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Y+Q</m:t>
        </m:r>
      </m:oMath>
    </w:p>
    <w:p>
      <w:pPr>
        <w:pStyle w:val="yMiscellaneousBody"/>
        <w:tabs>
          <w:tab w:val="left" w:pos="284"/>
          <w:tab w:val="left" w:pos="1985"/>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rPr>
          <w:rFonts w:ascii="Cambria Math" w:hAnsi="Cambria Math"/>
          <w:bCs/>
        </w:rPr>
      </w:pPr>
      <m:oMath>
        <m:r>
          <m:rPr>
            <m:sty m:val="b"/>
          </m:rPr>
          <w:rPr>
            <w:rFonts w:ascii="Cambria Math" w:hAnsi="Cambria Math"/>
          </w:rPr>
          <m:t>N≤W</m:t>
        </m:r>
      </m:oMath>
      <w:r>
        <w:rPr>
          <w:rFonts w:ascii="Cambria Math" w:hAnsi="Cambria Math"/>
          <w:bCs/>
        </w:rPr>
        <w:t>,</w:t>
      </w:r>
    </w:p>
    <w:p>
      <w:pPr>
        <w:pStyle w:val="yMiscellaneousBody"/>
        <w:tabs>
          <w:tab w:val="left" w:pos="284"/>
          <w:tab w:val="left" w:pos="1985"/>
          <w:tab w:val="right" w:leader="dot" w:pos="6804"/>
        </w:tabs>
        <w:ind w:left="1163" w:hanging="142"/>
        <w:rPr>
          <w:b/>
        </w:rPr>
      </w:pPr>
      <w:r>
        <w:tab/>
        <w:t xml:space="preserve">then </w:t>
      </w:r>
      <w:r>
        <w:rPr>
          <w:b/>
        </w:rPr>
        <w:t>R</w:t>
      </w:r>
    </w:p>
    <w:p>
      <w:pPr>
        <w:pStyle w:val="yMiscellaneousBody"/>
        <w:tabs>
          <w:tab w:val="left" w:pos="284"/>
          <w:tab w:val="left" w:pos="1985"/>
          <w:tab w:val="right" w:leader="dot" w:pos="6804"/>
        </w:tabs>
        <w:ind w:left="1021" w:hanging="142"/>
        <w:rPr>
          <w:b/>
        </w:rPr>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985"/>
          <w:tab w:val="right" w:leader="dot" w:pos="6804"/>
        </w:tabs>
        <w:ind w:left="1163"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63" w:hanging="142"/>
      </w:pPr>
      <w:r>
        <w:t xml:space="preserve">where — </w:t>
      </w:r>
    </w:p>
    <w:p>
      <w:pPr>
        <w:pStyle w:val="yMiscellaneousBody"/>
        <w:tabs>
          <w:tab w:val="left" w:pos="284"/>
          <w:tab w:val="left" w:pos="1985"/>
        </w:tabs>
        <w:ind w:left="1446" w:hanging="425"/>
      </w:pPr>
      <w:r>
        <w:rPr>
          <w:b/>
        </w:rPr>
        <w:t>Y</w:t>
      </w:r>
      <w:r>
        <w:tab/>
        <w:t xml:space="preserve">is the charge according to the number of major </w:t>
      </w:r>
      <w:r>
        <w:rPr>
          <w:szCs w:val="22"/>
        </w:rPr>
        <w:t>fixtures</w:t>
      </w:r>
      <w:r>
        <w:t xml:space="preserve"> for the relevant part of the caravan park, that is, “</w:t>
      </w:r>
      <w:r>
        <w:rPr>
          <w:b/>
        </w:rPr>
        <w:t>C</w:t>
      </w:r>
      <w:r>
        <w:t>” in item 27;</w:t>
      </w:r>
    </w:p>
    <w:p>
      <w:pPr>
        <w:pStyle w:val="yMiscellaneousBody"/>
        <w:tabs>
          <w:tab w:val="left" w:pos="284"/>
          <w:tab w:val="left" w:pos="1985"/>
        </w:tabs>
        <w:ind w:left="1446" w:hanging="425"/>
      </w:pPr>
      <w:r>
        <w:rPr>
          <w:b/>
        </w:rPr>
        <w:t>Q</w:t>
      </w:r>
      <w:r>
        <w:tab/>
        <w:t xml:space="preserve">is </w:t>
      </w:r>
      <w:r>
        <w:rPr>
          <w:szCs w:val="22"/>
        </w:rPr>
        <w:t>the</w:t>
      </w:r>
      <w:r>
        <w:t xml:space="preserve"> discharge charge calculated in accordance with item 28;</w:t>
      </w:r>
    </w:p>
    <w:p>
      <w:pPr>
        <w:pStyle w:val="yMiscellaneousBody"/>
        <w:tabs>
          <w:tab w:val="left" w:pos="284"/>
          <w:tab w:val="left" w:pos="1985"/>
        </w:tabs>
        <w:ind w:left="1446" w:hanging="425"/>
      </w:pPr>
      <w:r>
        <w:rPr>
          <w:b/>
        </w:rPr>
        <w:t>R</w:t>
      </w:r>
      <w:r>
        <w:tab/>
        <w:t>is the maximum charge calculated in accordance with item 30;</w:t>
      </w:r>
    </w:p>
    <w:p>
      <w:pPr>
        <w:pStyle w:val="yMiscellaneousBody"/>
        <w:tabs>
          <w:tab w:val="left" w:pos="284"/>
          <w:tab w:val="left" w:pos="1985"/>
        </w:tabs>
        <w:ind w:left="1446" w:hanging="425"/>
      </w:pPr>
      <w:r>
        <w:rPr>
          <w:b/>
        </w:rPr>
        <w:t>N</w:t>
      </w:r>
      <w:r>
        <w:tab/>
        <w:t>is the discharge volume for the current discharge year;</w:t>
      </w:r>
    </w:p>
    <w:p>
      <w:pPr>
        <w:pStyle w:val="yMiscellaneousBody"/>
        <w:tabs>
          <w:tab w:val="left" w:pos="284"/>
          <w:tab w:val="left" w:pos="1985"/>
        </w:tabs>
        <w:ind w:left="1446" w:hanging="425"/>
      </w:pPr>
      <w:r>
        <w:rPr>
          <w:b/>
        </w:rPr>
        <w:t>W</w:t>
      </w:r>
      <w:r>
        <w:tab/>
        <w:t xml:space="preserve">is the discharge volume for the most recently </w:t>
      </w:r>
      <w:r>
        <w:rPr>
          <w:szCs w:val="22"/>
        </w:rPr>
        <w:t>completed</w:t>
      </w:r>
      <w:r>
        <w:t xml:space="preserve"> discharge year;</w:t>
      </w:r>
    </w:p>
    <w:p>
      <w:pPr>
        <w:pStyle w:val="yMiscellaneousBody"/>
        <w:tabs>
          <w:tab w:val="left" w:pos="284"/>
          <w:tab w:val="left" w:pos="1985"/>
        </w:tabs>
        <w:ind w:left="1446" w:hanging="425"/>
      </w:pPr>
      <w:r>
        <w:rPr>
          <w:b/>
        </w:rPr>
        <w:t>I</w:t>
      </w:r>
      <w:r>
        <w:rPr>
          <w:b/>
        </w:rPr>
        <w:tab/>
      </w:r>
      <w:r>
        <w:t>is</w:t>
      </w:r>
      <w:r>
        <w:rPr>
          <w:szCs w:val="22"/>
        </w:rPr>
        <w:t xml:space="preserve"> </w:t>
      </w:r>
      <w:r>
        <w:t>$4.352.</w:t>
      </w:r>
    </w:p>
    <w:p>
      <w:pPr>
        <w:pStyle w:val="yHeading5"/>
      </w:pPr>
      <w:bookmarkStart w:id="687" w:name="_Toc201235768"/>
      <w:bookmarkStart w:id="688" w:name="_Toc201314582"/>
      <w:bookmarkStart w:id="689" w:name="_Toc201745946"/>
      <w:r>
        <w:rPr>
          <w:rStyle w:val="CharSClsNo"/>
        </w:rPr>
        <w:t>24</w:t>
      </w:r>
      <w:r>
        <w:t>.</w:t>
      </w:r>
      <w:r>
        <w:tab/>
        <w:t>Non</w:t>
      </w:r>
      <w:r>
        <w:noBreakHyphen/>
        <w:t>metropolitan nursing home</w:t>
      </w:r>
      <w:bookmarkEnd w:id="687"/>
      <w:bookmarkEnd w:id="688"/>
      <w:bookmarkEnd w:id="689"/>
    </w:p>
    <w:p>
      <w:pPr>
        <w:pStyle w:val="ySubsection"/>
      </w:pPr>
      <w:r>
        <w:tab/>
      </w:r>
      <w:r>
        <w:tab/>
        <w:t>For a nursing home in the non</w:t>
      </w:r>
      <w:r>
        <w:noBreakHyphen/>
        <w:t>metropolitan area, other than a nursing home that is, or is part of, an aged home, the charge is —</w:t>
      </w:r>
    </w:p>
    <w:p>
      <w:pPr>
        <w:pStyle w:val="Equation"/>
        <w:spacing w:before="120"/>
        <w:ind w:left="879"/>
        <w:rPr>
          <w:b/>
          <w:noProof w:val="0"/>
          <w:sz w:val="22"/>
        </w:rPr>
      </w:pPr>
      <m:oMathPara>
        <m:oMathParaPr>
          <m:jc m:val="left"/>
        </m:oMathParaPr>
        <m:oMath>
          <m:r>
            <m:rPr>
              <m:sty m:val="b"/>
            </m:rPr>
            <w:rPr>
              <w:rFonts w:ascii="Cambria Math" w:hAnsi="Cambria Math"/>
              <w:noProof w:val="0"/>
              <w:sz w:val="22"/>
            </w:rPr>
            <m:t>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28;</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985"/>
        </w:tabs>
        <w:ind w:left="1305" w:hanging="425"/>
      </w:pPr>
      <w:r>
        <w:rPr>
          <w:b/>
        </w:rPr>
        <w:lastRenderedPageBreak/>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$214.29.</w:t>
      </w:r>
    </w:p>
    <w:p>
      <w:pPr>
        <w:pStyle w:val="yHeading5"/>
      </w:pPr>
      <w:bookmarkStart w:id="690" w:name="_Toc201235769"/>
      <w:bookmarkStart w:id="691" w:name="_Toc201314583"/>
      <w:bookmarkStart w:id="692" w:name="_Toc201745947"/>
      <w:r>
        <w:rPr>
          <w:rStyle w:val="CharSClsNo"/>
        </w:rPr>
        <w:t>25</w:t>
      </w:r>
      <w:r>
        <w:t>.</w:t>
      </w:r>
      <w:r>
        <w:tab/>
        <w:t>Certain non</w:t>
      </w:r>
      <w:r>
        <w:noBreakHyphen/>
        <w:t>metropolitan units</w:t>
      </w:r>
      <w:bookmarkEnd w:id="690"/>
      <w:bookmarkEnd w:id="691"/>
      <w:bookmarkEnd w:id="692"/>
      <w:r>
        <w:t xml:space="preserve"> </w:t>
      </w:r>
    </w:p>
    <w:p>
      <w:pPr>
        <w:pStyle w:val="ySubsection"/>
        <w:keepNext/>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1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w:t>
      </w:r>
      <w:r>
        <w:rPr>
          <w:szCs w:val="22"/>
        </w:rPr>
        <w:t xml:space="preserve"> $736.19</w:t>
      </w:r>
      <w:r>
        <w:t>;</w:t>
      </w:r>
    </w:p>
    <w:p>
      <w:pPr>
        <w:pStyle w:val="yMiscellaneousBody"/>
        <w:tabs>
          <w:tab w:val="left" w:pos="284"/>
          <w:tab w:val="left" w:pos="1985"/>
        </w:tabs>
        <w:ind w:left="1305" w:hanging="425"/>
      </w:pPr>
      <w:r>
        <w:rPr>
          <w:b/>
        </w:rPr>
        <w:t>Q</w:t>
      </w:r>
      <w:r>
        <w:tab/>
        <w:t xml:space="preserve">is the </w:t>
      </w:r>
      <w:r>
        <w:rPr>
          <w:szCs w:val="22"/>
        </w:rPr>
        <w:t>discharge</w:t>
      </w:r>
      <w:r>
        <w:t xml:space="preserve"> charge calculated in accordance with item 28.</w:t>
      </w:r>
    </w:p>
    <w:p>
      <w:pPr>
        <w:pStyle w:val="yHeading5"/>
      </w:pPr>
      <w:bookmarkStart w:id="693" w:name="_Toc201235770"/>
      <w:bookmarkStart w:id="694" w:name="_Toc201314584"/>
      <w:bookmarkStart w:id="695" w:name="_Toc201745948"/>
      <w:r>
        <w:rPr>
          <w:rStyle w:val="CharSClsNo"/>
        </w:rPr>
        <w:t>26</w:t>
      </w:r>
      <w:r>
        <w:t>.</w:t>
      </w:r>
      <w:r>
        <w:tab/>
        <w:t>Non</w:t>
      </w:r>
      <w:r>
        <w:noBreakHyphen/>
        <w:t>metropolitan government trading organisation and non</w:t>
      </w:r>
      <w:r>
        <w:noBreakHyphen/>
        <w:t>commercial government property</w:t>
      </w:r>
      <w:bookmarkEnd w:id="693"/>
      <w:bookmarkEnd w:id="694"/>
      <w:bookmarkEnd w:id="695"/>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 xml:space="preserve">is </w:t>
      </w:r>
      <w:r>
        <w:rPr>
          <w:szCs w:val="22"/>
        </w:rPr>
        <w:t xml:space="preserve">the charge </w:t>
      </w:r>
      <w:r>
        <w:t>according</w:t>
      </w:r>
      <w:r>
        <w:rPr>
          <w:szCs w:val="22"/>
        </w:rPr>
        <w:t xml:space="preserve"> to the number of connected </w:t>
      </w:r>
      <w:r>
        <w:t>major</w:t>
      </w:r>
      <w:r>
        <w:rPr>
          <w:szCs w:val="22"/>
        </w:rPr>
        <w:t xml:space="preserve"> fixtures for the land, that is, “</w:t>
      </w:r>
      <w:r>
        <w:rPr>
          <w:b/>
          <w:szCs w:val="22"/>
        </w:rPr>
        <w:t>C</w:t>
      </w:r>
      <w:r>
        <w:rPr>
          <w:szCs w:val="22"/>
        </w:rPr>
        <w:t>” in item 27</w:t>
      </w:r>
      <w:r>
        <w:t>;</w:t>
      </w:r>
    </w:p>
    <w:p>
      <w:pPr>
        <w:pStyle w:val="yMiscellaneousBody"/>
        <w:tabs>
          <w:tab w:val="left" w:pos="284"/>
          <w:tab w:val="left" w:pos="1985"/>
        </w:tabs>
        <w:ind w:left="1305" w:hanging="425"/>
      </w:pPr>
      <w:r>
        <w:rPr>
          <w:b/>
        </w:rPr>
        <w:t>Q</w:t>
      </w:r>
      <w:r>
        <w:tab/>
        <w:t>is the discharge charge calculated in accordance with item 28.</w:t>
      </w:r>
    </w:p>
    <w:p>
      <w:pPr>
        <w:pStyle w:val="ySubsection"/>
        <w:tabs>
          <w:tab w:val="right" w:leader="dot" w:pos="6804"/>
        </w:tabs>
      </w:pPr>
      <w:r>
        <w:lastRenderedPageBreak/>
        <w:tab/>
        <w:t>(2)</w:t>
      </w:r>
      <w:r>
        <w:tab/>
        <w:t>Sub</w:t>
      </w:r>
      <w:r>
        <w:noBreakHyphen/>
        <w:t>item (1) does not apply to public land.</w:t>
      </w:r>
    </w:p>
    <w:p>
      <w:pPr>
        <w:pStyle w:val="yHeading4"/>
      </w:pPr>
      <w:bookmarkStart w:id="696" w:name="_Toc201235771"/>
      <w:bookmarkStart w:id="697" w:name="_Toc201236022"/>
      <w:bookmarkStart w:id="698" w:name="_Toc201236178"/>
      <w:bookmarkStart w:id="699" w:name="_Toc201314585"/>
      <w:bookmarkStart w:id="700" w:name="_Toc201323544"/>
      <w:bookmarkStart w:id="701" w:name="_Toc201324353"/>
      <w:bookmarkStart w:id="702" w:name="_Toc201325036"/>
      <w:bookmarkStart w:id="703" w:name="_Toc201325265"/>
      <w:bookmarkStart w:id="704" w:name="_Toc201325494"/>
      <w:bookmarkStart w:id="705" w:name="_Toc201325956"/>
      <w:bookmarkStart w:id="706" w:name="_Toc201745949"/>
      <w:r>
        <w:t>Subdivision 5 — Calculation of certain factors for Subdivision 4</w:t>
      </w:r>
      <w:bookmarkEnd w:id="696"/>
      <w:bookmarkEnd w:id="697"/>
      <w:bookmarkEnd w:id="698"/>
      <w:bookmarkEnd w:id="699"/>
      <w:bookmarkEnd w:id="700"/>
      <w:bookmarkEnd w:id="701"/>
      <w:bookmarkEnd w:id="702"/>
      <w:bookmarkEnd w:id="703"/>
      <w:bookmarkEnd w:id="704"/>
      <w:bookmarkEnd w:id="705"/>
      <w:bookmarkEnd w:id="706"/>
    </w:p>
    <w:p>
      <w:pPr>
        <w:pStyle w:val="yFootnoteheading"/>
      </w:pPr>
      <w:bookmarkStart w:id="707" w:name="_Toc201235772"/>
      <w:bookmarkStart w:id="708" w:name="_Toc201314586"/>
      <w:r>
        <w:tab/>
        <w:t>[Heading inserted: SL 2025/101 r. 10.]</w:t>
      </w:r>
    </w:p>
    <w:p>
      <w:pPr>
        <w:pStyle w:val="yHeading5"/>
      </w:pPr>
      <w:bookmarkStart w:id="709" w:name="_Toc201745950"/>
      <w:r>
        <w:rPr>
          <w:rStyle w:val="CharSClsNo"/>
        </w:rPr>
        <w:t>27</w:t>
      </w:r>
      <w:r>
        <w:t>.</w:t>
      </w:r>
      <w:r>
        <w:tab/>
        <w:t>Service charge</w:t>
      </w:r>
      <w:bookmarkEnd w:id="707"/>
      <w:bookmarkEnd w:id="708"/>
      <w:bookmarkEnd w:id="709"/>
    </w:p>
    <w:p>
      <w:pPr>
        <w:pStyle w:val="ySubsection"/>
      </w:pPr>
      <w:r>
        <w:tab/>
      </w:r>
      <w:r>
        <w:tab/>
        <w:t>The service charge (</w:t>
      </w:r>
      <w:r>
        <w:rPr>
          <w:b/>
          <w:i/>
        </w:rPr>
        <w:t>P</w:t>
      </w:r>
      <w:r>
        <w:t>) is —</w:t>
      </w:r>
    </w:p>
    <w:p>
      <w:pPr>
        <w:pStyle w:val="yMiscellaneousBody"/>
        <w:tabs>
          <w:tab w:val="left" w:pos="284"/>
          <w:tab w:val="right" w:leader="dot" w:pos="6804"/>
        </w:tabs>
        <w:ind w:left="1021" w:hanging="142"/>
      </w:pPr>
      <w:r>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R</w:t>
      </w:r>
    </w:p>
    <w:p>
      <w:pPr>
        <w:pStyle w:val="yMiscellaneousBody"/>
        <w:tabs>
          <w:tab w:val="left" w:pos="284"/>
          <w:tab w:val="right" w:leader="dot" w:pos="6804"/>
        </w:tabs>
        <w:ind w:left="1021" w:hanging="142"/>
      </w:pPr>
      <w:r>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C</w:t>
      </w:r>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R</w:t>
      </w:r>
      <w:r>
        <w:tab/>
        <w:t>is the maximum charge calculated in accordance with item 30;</w:t>
      </w:r>
    </w:p>
    <w:p>
      <w:pPr>
        <w:pStyle w:val="yMiscellaneousBody"/>
        <w:tabs>
          <w:tab w:val="left" w:pos="284"/>
          <w:tab w:val="left" w:pos="1985"/>
        </w:tabs>
        <w:ind w:left="130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305" w:hanging="425"/>
      </w:pPr>
      <w:r>
        <w:rPr>
          <w:b/>
        </w:rPr>
        <w:t>D</w:t>
      </w:r>
      <w:r>
        <w:tab/>
        <w:t>is the discharge charge calculated in accordance with item 28.</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cantSplit/>
          <w:tblHeader/>
        </w:trPr>
        <w:tc>
          <w:tcPr>
            <w:tcW w:w="2268" w:type="dxa"/>
            <w:tcBorders>
              <w:top w:val="single" w:sz="4" w:space="0" w:color="auto"/>
              <w:bottom w:val="single" w:sz="4" w:space="0" w:color="auto"/>
            </w:tcBorders>
            <w:noWrap/>
          </w:tcPr>
          <w:p>
            <w:pPr>
              <w:pStyle w:val="yTableNAm"/>
              <w:jc w:val="center"/>
            </w:pPr>
          </w:p>
        </w:tc>
        <w:tc>
          <w:tcPr>
            <w:tcW w:w="2268" w:type="dxa"/>
            <w:tcBorders>
              <w:top w:val="single" w:sz="4" w:space="0" w:color="auto"/>
              <w:bottom w:val="single" w:sz="4" w:space="0" w:color="auto"/>
            </w:tcBorders>
            <w:noWrap/>
          </w:tcPr>
          <w:p>
            <w:pPr>
              <w:pStyle w:val="yTableNAm"/>
              <w:jc w:val="center"/>
            </w:pPr>
            <w:r>
              <w:rPr>
                <w:b/>
              </w:rPr>
              <w:t>Charge</w:t>
            </w:r>
            <w:r>
              <w:rPr>
                <w:b/>
              </w:rPr>
              <w:br/>
              <w:t>$</w:t>
            </w:r>
          </w:p>
        </w:tc>
      </w:tr>
      <w:tr>
        <w:trPr>
          <w:cantSplit/>
        </w:trPr>
        <w:tc>
          <w:tcPr>
            <w:tcW w:w="2268" w:type="dxa"/>
            <w:noWrap/>
            <w:tcMar>
              <w:left w:w="284" w:type="dxa"/>
            </w:tcMar>
          </w:tcPr>
          <w:p>
            <w:pPr>
              <w:pStyle w:val="yTableNAm"/>
              <w:tabs>
                <w:tab w:val="clear" w:pos="567"/>
                <w:tab w:val="left" w:pos="679"/>
              </w:tabs>
              <w:ind w:left="356" w:hanging="392"/>
            </w:pPr>
            <w:r>
              <w:t>1</w:t>
            </w:r>
            <w:r>
              <w:rPr>
                <w:vertAlign w:val="superscript"/>
              </w:rPr>
              <w:t>st</w:t>
            </w:r>
            <w:r>
              <w:tab/>
              <w:t>fixture</w:t>
            </w:r>
          </w:p>
        </w:tc>
        <w:tc>
          <w:tcPr>
            <w:tcW w:w="2268" w:type="dxa"/>
            <w:noWrap/>
          </w:tcPr>
          <w:p>
            <w:pPr>
              <w:pStyle w:val="yTableNAm"/>
              <w:jc w:val="center"/>
            </w:pPr>
            <w:r>
              <w:t>1 184.25</w:t>
            </w:r>
          </w:p>
        </w:tc>
      </w:tr>
      <w:tr>
        <w:trPr>
          <w:cantSplit/>
        </w:trPr>
        <w:tc>
          <w:tcPr>
            <w:tcW w:w="2268" w:type="dxa"/>
            <w:noWrap/>
            <w:tcMar>
              <w:left w:w="284" w:type="dxa"/>
            </w:tcMar>
          </w:tcPr>
          <w:p>
            <w:pPr>
              <w:pStyle w:val="yTableNAm"/>
              <w:tabs>
                <w:tab w:val="clear" w:pos="567"/>
                <w:tab w:val="left" w:pos="679"/>
              </w:tabs>
              <w:ind w:left="356" w:hanging="392"/>
            </w:pPr>
            <w:r>
              <w:t>2</w:t>
            </w:r>
            <w:r>
              <w:rPr>
                <w:vertAlign w:val="superscript"/>
              </w:rPr>
              <w:t>nd</w:t>
            </w:r>
            <w:r>
              <w:tab/>
              <w:t>fixture</w:t>
            </w:r>
          </w:p>
        </w:tc>
        <w:tc>
          <w:tcPr>
            <w:tcW w:w="2268" w:type="dxa"/>
            <w:noWrap/>
          </w:tcPr>
          <w:p>
            <w:pPr>
              <w:pStyle w:val="yTableNAm"/>
              <w:jc w:val="center"/>
            </w:pPr>
            <w:r>
              <w:t>506.92</w:t>
            </w:r>
          </w:p>
        </w:tc>
      </w:tr>
      <w:tr>
        <w:trPr>
          <w:cantSplit/>
        </w:trPr>
        <w:tc>
          <w:tcPr>
            <w:tcW w:w="2268" w:type="dxa"/>
            <w:noWrap/>
            <w:tcMar>
              <w:left w:w="284" w:type="dxa"/>
            </w:tcMar>
          </w:tcPr>
          <w:p>
            <w:pPr>
              <w:pStyle w:val="yTableNAm"/>
              <w:tabs>
                <w:tab w:val="clear" w:pos="567"/>
                <w:tab w:val="left" w:pos="679"/>
              </w:tabs>
              <w:ind w:left="356" w:hanging="392"/>
            </w:pPr>
            <w:r>
              <w:t>3</w:t>
            </w:r>
            <w:r>
              <w:rPr>
                <w:vertAlign w:val="superscript"/>
              </w:rPr>
              <w:t>rd</w:t>
            </w:r>
            <w:r>
              <w:tab/>
              <w:t>fixture</w:t>
            </w:r>
          </w:p>
        </w:tc>
        <w:tc>
          <w:tcPr>
            <w:tcW w:w="2268" w:type="dxa"/>
            <w:noWrap/>
          </w:tcPr>
          <w:p>
            <w:pPr>
              <w:pStyle w:val="yTableNAm"/>
              <w:jc w:val="center"/>
            </w:pPr>
            <w:r>
              <w:t>676.99</w:t>
            </w:r>
          </w:p>
        </w:tc>
      </w:tr>
      <w:tr>
        <w:trPr>
          <w:cantSplit/>
        </w:trPr>
        <w:tc>
          <w:tcPr>
            <w:tcW w:w="2268" w:type="dxa"/>
            <w:tcBorders>
              <w:bottom w:val="single" w:sz="4" w:space="0" w:color="auto"/>
            </w:tcBorders>
            <w:noWrap/>
            <w:tcMar>
              <w:left w:w="284" w:type="dxa"/>
            </w:tcMar>
          </w:tcPr>
          <w:p>
            <w:pPr>
              <w:pStyle w:val="yTableNAm"/>
              <w:tabs>
                <w:tab w:val="clear" w:pos="567"/>
                <w:tab w:val="left" w:pos="679"/>
              </w:tabs>
              <w:ind w:left="356" w:hanging="392"/>
            </w:pPr>
            <w:r>
              <w:t>4</w:t>
            </w:r>
            <w:r>
              <w:rPr>
                <w:vertAlign w:val="superscript"/>
              </w:rPr>
              <w:t>th</w:t>
            </w:r>
            <w:r>
              <w:tab/>
              <w:t>and subsequent fixtures</w:t>
            </w:r>
          </w:p>
        </w:tc>
        <w:tc>
          <w:tcPr>
            <w:tcW w:w="2268" w:type="dxa"/>
            <w:tcBorders>
              <w:bottom w:val="single" w:sz="4" w:space="0" w:color="auto"/>
            </w:tcBorders>
            <w:noWrap/>
            <w:vAlign w:val="bottom"/>
          </w:tcPr>
          <w:p>
            <w:pPr>
              <w:pStyle w:val="yTableNAm"/>
              <w:jc w:val="center"/>
            </w:pPr>
            <w:r>
              <w:rPr>
                <w:szCs w:val="22"/>
              </w:rPr>
              <w:t>736.19</w:t>
            </w:r>
          </w:p>
        </w:tc>
      </w:tr>
    </w:tbl>
    <w:p>
      <w:pPr>
        <w:pStyle w:val="yHeading5"/>
      </w:pPr>
      <w:bookmarkStart w:id="710" w:name="_Toc201235773"/>
      <w:bookmarkStart w:id="711" w:name="_Toc201314587"/>
      <w:bookmarkStart w:id="712" w:name="_Toc201745951"/>
      <w:r>
        <w:rPr>
          <w:rStyle w:val="CharSClsNo"/>
        </w:rPr>
        <w:lastRenderedPageBreak/>
        <w:t>28</w:t>
      </w:r>
      <w:r>
        <w:t>.</w:t>
      </w:r>
      <w:r>
        <w:tab/>
        <w:t>Discharge charge</w:t>
      </w:r>
      <w:bookmarkEnd w:id="710"/>
      <w:bookmarkEnd w:id="711"/>
      <w:bookmarkEnd w:id="712"/>
    </w:p>
    <w:p>
      <w:pPr>
        <w:pStyle w:val="ySubsection"/>
        <w:keepNext/>
      </w:pPr>
      <w:r>
        <w:tab/>
      </w:r>
      <w:r>
        <w:tab/>
        <w:t>The discharge charge (</w:t>
      </w:r>
      <w:r>
        <w:rPr>
          <w:b/>
          <w:i/>
        </w:rPr>
        <w:t>Q</w:t>
      </w:r>
      <w:r>
        <w:t>) is —</w:t>
      </w:r>
    </w:p>
    <w:p>
      <w:pPr>
        <w:pStyle w:val="yMiscellaneousBody"/>
        <w:keepNext/>
        <w:tabs>
          <w:tab w:val="left" w:pos="284"/>
          <w:tab w:val="right" w:leader="dot" w:pos="6804"/>
        </w:tabs>
        <w:ind w:left="1021" w:hanging="142"/>
      </w:pPr>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tab/>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29;</w:t>
      </w:r>
    </w:p>
    <w:p>
      <w:pPr>
        <w:pStyle w:val="yMiscellaneousBody"/>
        <w:tabs>
          <w:tab w:val="left" w:pos="284"/>
          <w:tab w:val="left" w:pos="1985"/>
        </w:tabs>
        <w:ind w:left="1305" w:hanging="425"/>
      </w:pPr>
      <w:r>
        <w:rPr>
          <w:b/>
        </w:rPr>
        <w:t>I</w:t>
      </w:r>
      <w:r>
        <w:tab/>
        <w:t>is</w:t>
      </w:r>
      <w:r>
        <w:rPr>
          <w:szCs w:val="22"/>
        </w:rPr>
        <w:t xml:space="preserve"> </w:t>
      </w:r>
      <w:r>
        <w:t>$4.352,</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713" w:name="_Toc201235774"/>
      <w:bookmarkStart w:id="714" w:name="_Toc201314588"/>
      <w:bookmarkStart w:id="715" w:name="_Toc201745952"/>
      <w:r>
        <w:rPr>
          <w:rStyle w:val="CharSClsNo"/>
        </w:rPr>
        <w:t>29</w:t>
      </w:r>
      <w:r>
        <w:t>.</w:t>
      </w:r>
      <w:r>
        <w:tab/>
        <w:t>Discharge allowance</w:t>
      </w:r>
      <w:bookmarkEnd w:id="713"/>
      <w:bookmarkEnd w:id="714"/>
      <w:bookmarkEnd w:id="715"/>
    </w:p>
    <w:p>
      <w:pPr>
        <w:pStyle w:val="ySubsection"/>
      </w:pPr>
      <w:r>
        <w:tab/>
        <w:t>(1)</w:t>
      </w:r>
      <w:r>
        <w:tab/>
        <w:t>The discharge allowance for the current discharge year is —</w:t>
      </w:r>
    </w:p>
    <w:p>
      <w:pPr>
        <w:pStyle w:val="yIndenta"/>
      </w:pPr>
      <w:r>
        <w:tab/>
        <w:t>(a)</w:t>
      </w:r>
      <w:r>
        <w:tab/>
        <w:t>for land to which item 22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23 — the amount (in kL) calculated in accordance with the formula in sub</w:t>
      </w:r>
      <w:r>
        <w:noBreakHyphen/>
        <w:t>item (2);</w:t>
      </w:r>
    </w:p>
    <w:p>
      <w:pPr>
        <w:pStyle w:val="yIndenta"/>
      </w:pPr>
      <w:r>
        <w:tab/>
        <w:t>(d)</w:t>
      </w:r>
      <w:r>
        <w:tab/>
        <w:t>for a nursing home referred to in item 24 — 75 kL per bed;</w:t>
      </w:r>
    </w:p>
    <w:p>
      <w:pPr>
        <w:pStyle w:val="yIndenta"/>
      </w:pPr>
      <w:r>
        <w:tab/>
        <w:t>(e)</w:t>
      </w:r>
      <w:r>
        <w:tab/>
        <w:t>for properties that share a metered property water supply connection — 200 kL for each property.</w:t>
      </w:r>
    </w:p>
    <w:p>
      <w:pPr>
        <w:pStyle w:val="ySubsection"/>
        <w:keepNext/>
      </w:pPr>
      <w:r>
        <w:lastRenderedPageBreak/>
        <w:tab/>
        <w:t>(2)</w:t>
      </w:r>
      <w:r>
        <w:tab/>
        <w:t>The formula for the purposes of sub</w:t>
      </w:r>
      <w:r>
        <w:noBreakHyphen/>
        <w:t>item (1)(c) is —</w:t>
      </w:r>
    </w:p>
    <w:p>
      <w:pPr>
        <w:pStyle w:val="Equation"/>
        <w:spacing w:before="120"/>
        <w:ind w:left="879"/>
        <w:rPr>
          <w:b/>
          <w:sz w:val="22"/>
        </w:rPr>
      </w:pPr>
      <m:oMathPara>
        <m:oMathParaPr>
          <m:jc m:val="left"/>
        </m:oMathParaPr>
        <m:oMath>
          <m:r>
            <m:rPr>
              <m:sty m:val="b"/>
            </m:rPr>
            <w:rPr>
              <w:rFonts w:ascii="Cambria Math" w:hAnsi="Cambria Math"/>
              <w:sz w:val="22"/>
            </w:rPr>
            <m:t>200 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716" w:name="_Toc201235775"/>
      <w:bookmarkStart w:id="717" w:name="_Toc201314589"/>
      <w:bookmarkStart w:id="718" w:name="_Toc201745953"/>
      <w:r>
        <w:rPr>
          <w:rStyle w:val="CharSClsNo"/>
        </w:rPr>
        <w:t>30</w:t>
      </w:r>
      <w:r>
        <w:t>.</w:t>
      </w:r>
      <w:r>
        <w:tab/>
        <w:t>Maximum charge</w:t>
      </w:r>
      <w:bookmarkEnd w:id="716"/>
      <w:bookmarkEnd w:id="717"/>
      <w:bookmarkEnd w:id="718"/>
    </w:p>
    <w:p>
      <w:pPr>
        <w:pStyle w:val="ySubsection"/>
        <w:keepNext/>
      </w:pPr>
      <w:r>
        <w:tab/>
      </w:r>
      <w:r>
        <w:tab/>
        <w:t>The maximum charge (</w:t>
      </w:r>
      <w:r>
        <w:rPr>
          <w:b/>
          <w:i/>
        </w:rPr>
        <w:t>R</w:t>
      </w:r>
      <w:r>
        <w:t>) is —</w:t>
      </w:r>
    </w:p>
    <w:p>
      <w:pPr>
        <w:pStyle w:val="yMiscellaneousBody"/>
        <w:tabs>
          <w:tab w:val="left" w:pos="284"/>
          <w:tab w:val="right" w:leader="dot" w:pos="6804"/>
        </w:tabs>
        <w:ind w:left="1282"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 </w:t>
      </w:r>
    </w:p>
    <w:p>
      <w:pPr>
        <w:pStyle w:val="yMiscellaneousBody"/>
        <w:tabs>
          <w:tab w:val="left" w:pos="284"/>
          <w:tab w:val="right" w:leader="dot" w:pos="6804"/>
        </w:tabs>
        <w:ind w:left="1282" w:hanging="142"/>
      </w:pPr>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82" w:hanging="142"/>
      </w:pPr>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left" w:pos="1985"/>
        </w:tabs>
        <w:ind w:left="1305" w:hanging="425"/>
      </w:pPr>
      <w:r>
        <w:t xml:space="preserve">where — </w:t>
      </w:r>
    </w:p>
    <w:p>
      <w:pPr>
        <w:pStyle w:val="yMiscellaneousBody"/>
        <w:tabs>
          <w:tab w:val="left" w:pos="284"/>
          <w:tab w:val="left" w:pos="1985"/>
        </w:tabs>
        <w:ind w:left="1305" w:hanging="425"/>
      </w:pPr>
      <w:r>
        <w:rPr>
          <w:b/>
        </w:rPr>
        <w:t>P</w:t>
      </w:r>
      <w:r>
        <w:rPr>
          <w:b/>
        </w:rPr>
        <w:tab/>
      </w:r>
      <w:r>
        <w:t>is the service charge calculated in accordance with item 27;</w:t>
      </w:r>
    </w:p>
    <w:p>
      <w:pPr>
        <w:pStyle w:val="yMiscellaneousBody"/>
        <w:tabs>
          <w:tab w:val="left" w:pos="284"/>
          <w:tab w:val="left" w:pos="1985"/>
        </w:tabs>
        <w:ind w:left="1305" w:hanging="425"/>
      </w:pPr>
      <w:r>
        <w:rPr>
          <w:b/>
        </w:rPr>
        <w:t>Q</w:t>
      </w:r>
      <w:r>
        <w:rPr>
          <w:b/>
        </w:rPr>
        <w:tab/>
      </w:r>
      <w:r>
        <w:t>is the discharge charge calculated in accordance with item 28;</w:t>
      </w:r>
    </w:p>
    <w:p>
      <w:pPr>
        <w:pStyle w:val="yMiscellaneousBody"/>
        <w:tabs>
          <w:tab w:val="left" w:pos="284"/>
          <w:tab w:val="left" w:pos="1985"/>
        </w:tabs>
        <w:ind w:left="1305" w:hanging="425"/>
      </w:pPr>
      <w:r>
        <w:rPr>
          <w:b/>
        </w:rPr>
        <w:t>A</w:t>
      </w:r>
      <w:r>
        <w:rPr>
          <w:b/>
        </w:rPr>
        <w:tab/>
      </w:r>
      <w:r>
        <w:t>is the charge payable, for the previous financial year, under the item in Subdivision 4 for which this item is being applied;</w:t>
      </w:r>
    </w:p>
    <w:p>
      <w:pPr>
        <w:pStyle w:val="yMiscellaneousBody"/>
        <w:tabs>
          <w:tab w:val="left" w:pos="284"/>
          <w:tab w:val="left" w:pos="1985"/>
        </w:tabs>
        <w:ind w:left="1305" w:hanging="425"/>
      </w:pPr>
      <w:r>
        <w:rPr>
          <w:b/>
        </w:rPr>
        <w:t>S</w:t>
      </w:r>
      <w:r>
        <w:rPr>
          <w:b/>
        </w:rPr>
        <w:tab/>
      </w:r>
      <w:r>
        <w:t>is 1.1250;</w:t>
      </w:r>
    </w:p>
    <w:p>
      <w:pPr>
        <w:pStyle w:val="yMiscellaneousBody"/>
        <w:tabs>
          <w:tab w:val="left" w:pos="284"/>
          <w:tab w:val="left" w:pos="1985"/>
        </w:tabs>
        <w:ind w:left="1305" w:hanging="425"/>
      </w:pPr>
      <w:r>
        <w:rPr>
          <w:b/>
        </w:rPr>
        <w:t>B</w:t>
      </w:r>
      <w:r>
        <w:rPr>
          <w:b/>
        </w:rPr>
        <w:tab/>
      </w:r>
      <w:r>
        <w:t>is $166.67.</w:t>
      </w:r>
    </w:p>
    <w:p>
      <w:pPr>
        <w:pStyle w:val="yFootnotesection"/>
      </w:pPr>
      <w:bookmarkStart w:id="719" w:name="_Toc201235776"/>
      <w:bookmarkStart w:id="720" w:name="_Toc201236027"/>
      <w:bookmarkStart w:id="721" w:name="_Toc201236183"/>
      <w:bookmarkStart w:id="722" w:name="_Toc201314590"/>
      <w:r>
        <w:tab/>
        <w:t>[Division 2 inserted: SL 2025/101 r. 10.]</w:t>
      </w:r>
    </w:p>
    <w:p>
      <w:pPr>
        <w:pStyle w:val="yHeading3"/>
      </w:pPr>
      <w:bookmarkStart w:id="723" w:name="_Toc201323549"/>
      <w:bookmarkStart w:id="724" w:name="_Toc201324358"/>
      <w:bookmarkStart w:id="725" w:name="_Toc201325041"/>
      <w:bookmarkStart w:id="726" w:name="_Toc201325270"/>
      <w:bookmarkStart w:id="727" w:name="_Toc201325499"/>
      <w:bookmarkStart w:id="728" w:name="_Toc201325961"/>
      <w:bookmarkStart w:id="729" w:name="_Toc201745954"/>
      <w:r>
        <w:rPr>
          <w:rStyle w:val="CharSDivNo"/>
        </w:rPr>
        <w:lastRenderedPageBreak/>
        <w:t>Division 3</w:t>
      </w:r>
      <w:r>
        <w:t> — </w:t>
      </w:r>
      <w:r>
        <w:rPr>
          <w:rStyle w:val="CharSDivText"/>
        </w:rPr>
        <w:t>Discharge charges: trade waste and effluent</w:t>
      </w:r>
      <w:bookmarkEnd w:id="719"/>
      <w:bookmarkEnd w:id="720"/>
      <w:bookmarkEnd w:id="721"/>
      <w:bookmarkEnd w:id="722"/>
      <w:bookmarkEnd w:id="723"/>
      <w:bookmarkEnd w:id="724"/>
      <w:bookmarkEnd w:id="725"/>
      <w:bookmarkEnd w:id="726"/>
      <w:bookmarkEnd w:id="727"/>
      <w:bookmarkEnd w:id="728"/>
      <w:bookmarkEnd w:id="729"/>
    </w:p>
    <w:p>
      <w:pPr>
        <w:pStyle w:val="yFootnoteheading"/>
        <w:keepNext/>
      </w:pPr>
      <w:bookmarkStart w:id="730" w:name="_Toc201235777"/>
      <w:bookmarkStart w:id="731" w:name="_Toc201314591"/>
      <w:r>
        <w:tab/>
        <w:t>[Heading inserted: SL 2025/101 r. 10.]</w:t>
      </w:r>
    </w:p>
    <w:p>
      <w:pPr>
        <w:pStyle w:val="yHeading5"/>
      </w:pPr>
      <w:bookmarkStart w:id="732" w:name="_Toc201745955"/>
      <w:r>
        <w:rPr>
          <w:rStyle w:val="CharSClsNo"/>
        </w:rPr>
        <w:t>31</w:t>
      </w:r>
      <w:r>
        <w:t>.</w:t>
      </w:r>
      <w:r>
        <w:tab/>
        <w:t>Discharge charges for 2025/26 and subsequent years</w:t>
      </w:r>
      <w:bookmarkEnd w:id="730"/>
      <w:bookmarkEnd w:id="731"/>
      <w:bookmarkEnd w:id="732"/>
    </w:p>
    <w:p>
      <w:pPr>
        <w:pStyle w:val="ySubsection"/>
      </w:pPr>
      <w:r>
        <w:tab/>
      </w:r>
      <w:r>
        <w:tab/>
        <w:t>The charges set out in this Division apply for trade waste or effluent discharged in the 2025/26 financial year and each subsequent year.</w:t>
      </w:r>
    </w:p>
    <w:p>
      <w:pPr>
        <w:pStyle w:val="yHeading5"/>
      </w:pPr>
      <w:bookmarkStart w:id="733" w:name="_Toc201235778"/>
      <w:bookmarkStart w:id="734" w:name="_Toc201314592"/>
      <w:bookmarkStart w:id="735" w:name="_Toc201745956"/>
      <w:r>
        <w:rPr>
          <w:rStyle w:val="CharSClsNo"/>
        </w:rPr>
        <w:t>32</w:t>
      </w:r>
      <w:r>
        <w:t>.</w:t>
      </w:r>
      <w:r>
        <w:tab/>
        <w:t>Trade waste discharged into sewer under approval</w:t>
      </w:r>
      <w:bookmarkEnd w:id="733"/>
      <w:bookmarkEnd w:id="734"/>
      <w:bookmarkEnd w:id="735"/>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168.6 c/kL</w:t>
      </w:r>
    </w:p>
    <w:p>
      <w:pPr>
        <w:pStyle w:val="yIndenta"/>
        <w:tabs>
          <w:tab w:val="right" w:leader="dot" w:pos="6804"/>
        </w:tabs>
      </w:pPr>
      <w:r>
        <w:tab/>
        <w:t>(b)</w:t>
      </w:r>
      <w:r>
        <w:tab/>
        <w:t>for B.O.D. with a concentration of —</w:t>
      </w:r>
    </w:p>
    <w:p>
      <w:pPr>
        <w:pStyle w:val="yIndenti0"/>
        <w:tabs>
          <w:tab w:val="right" w:leader="dot" w:pos="6804"/>
        </w:tabs>
      </w:pPr>
      <w:r>
        <w:tab/>
        <w:t>(i)</w:t>
      </w:r>
      <w:r>
        <w:tab/>
        <w:t xml:space="preserve">up to 5 kg/kL </w:t>
      </w:r>
      <w:r>
        <w:tab/>
        <w:t>140.7 c/kg</w:t>
      </w:r>
    </w:p>
    <w:p>
      <w:pPr>
        <w:pStyle w:val="yIndenti0"/>
        <w:tabs>
          <w:tab w:val="right" w:leader="dot" w:pos="6804"/>
        </w:tabs>
      </w:pPr>
      <w:r>
        <w:tab/>
        <w:t>(ii)</w:t>
      </w:r>
      <w:r>
        <w:tab/>
        <w:t xml:space="preserve">over 5 kg/kL </w:t>
      </w:r>
      <w:r>
        <w:tab/>
        <w:t>287.2 c/kg</w:t>
      </w:r>
    </w:p>
    <w:p>
      <w:pPr>
        <w:pStyle w:val="yIndenta"/>
        <w:tabs>
          <w:tab w:val="right" w:leader="dot" w:pos="6804"/>
        </w:tabs>
      </w:pPr>
      <w:r>
        <w:tab/>
        <w:t>(c)</w:t>
      </w:r>
      <w:r>
        <w:tab/>
        <w:t>for suspended solids with a concentration of —</w:t>
      </w:r>
    </w:p>
    <w:p>
      <w:pPr>
        <w:pStyle w:val="yIndenti0"/>
        <w:tabs>
          <w:tab w:val="right" w:leader="dot" w:pos="6804"/>
        </w:tabs>
      </w:pPr>
      <w:r>
        <w:tab/>
        <w:t>(i)</w:t>
      </w:r>
      <w:r>
        <w:tab/>
        <w:t xml:space="preserve">up to 2 kg/kL </w:t>
      </w:r>
      <w:r>
        <w:tab/>
        <w:t>191.9 c/kg</w:t>
      </w:r>
    </w:p>
    <w:p>
      <w:pPr>
        <w:pStyle w:val="yIndenti0"/>
        <w:tabs>
          <w:tab w:val="right" w:leader="dot" w:pos="6804"/>
        </w:tabs>
      </w:pPr>
      <w:r>
        <w:tab/>
        <w:t>(ii)</w:t>
      </w:r>
      <w:r>
        <w:tab/>
        <w:t xml:space="preserve">over 2 kg/kL </w:t>
      </w:r>
      <w:r>
        <w:tab/>
        <w:t>386.1 c/kg</w:t>
      </w:r>
    </w:p>
    <w:p>
      <w:pPr>
        <w:pStyle w:val="yIndenta"/>
        <w:tabs>
          <w:tab w:val="right" w:leader="dot" w:pos="6804"/>
        </w:tabs>
      </w:pPr>
      <w:r>
        <w:tab/>
        <w:t>(d)</w:t>
      </w:r>
      <w:r>
        <w:tab/>
        <w:t>for oil and grease with a concentration of —</w:t>
      </w:r>
    </w:p>
    <w:p>
      <w:pPr>
        <w:pStyle w:val="yIndenti0"/>
        <w:tabs>
          <w:tab w:val="right" w:leader="dot" w:pos="6804"/>
        </w:tabs>
      </w:pPr>
      <w:r>
        <w:tab/>
        <w:t>(i)</w:t>
      </w:r>
      <w:r>
        <w:tab/>
        <w:t xml:space="preserve">up to 0.3 kg/kL </w:t>
      </w:r>
      <w:r>
        <w:tab/>
        <w:t>173.3 c/kg</w:t>
      </w:r>
    </w:p>
    <w:p>
      <w:pPr>
        <w:pStyle w:val="yIndenti0"/>
        <w:tabs>
          <w:tab w:val="right" w:leader="dot" w:pos="6804"/>
        </w:tabs>
      </w:pPr>
      <w:r>
        <w:tab/>
        <w:t>(ii)</w:t>
      </w:r>
      <w:r>
        <w:tab/>
        <w:t xml:space="preserve">over 0.3 kg/kL but </w:t>
      </w:r>
      <w:r>
        <w:br/>
        <w:t xml:space="preserve">not over 0.6 kg/kL </w:t>
      </w:r>
      <w:r>
        <w:tab/>
        <w:t>339.5 c/kg</w:t>
      </w:r>
    </w:p>
    <w:p>
      <w:pPr>
        <w:pStyle w:val="yIndenti0"/>
        <w:tabs>
          <w:tab w:val="right" w:leader="dot" w:pos="6804"/>
        </w:tabs>
      </w:pPr>
      <w:r>
        <w:tab/>
        <w:t>(iii)</w:t>
      </w:r>
      <w:r>
        <w:tab/>
        <w:t xml:space="preserve">over 0.6 kg/kL </w:t>
      </w:r>
      <w:r>
        <w:tab/>
        <w:t>684.9 c/kg</w:t>
      </w:r>
    </w:p>
    <w:p>
      <w:pPr>
        <w:pStyle w:val="yIndenta"/>
        <w:tabs>
          <w:tab w:val="right" w:leader="dot" w:pos="6804"/>
        </w:tabs>
      </w:pPr>
      <w:r>
        <w:tab/>
        <w:t>(e)</w:t>
      </w:r>
      <w:r>
        <w:tab/>
        <w:t>for acidity to pH 6 (expressed as calcium carbonate) —</w:t>
      </w:r>
    </w:p>
    <w:p>
      <w:pPr>
        <w:pStyle w:val="yIndenti0"/>
        <w:tabs>
          <w:tab w:val="right" w:leader="dot" w:pos="6804"/>
        </w:tabs>
      </w:pPr>
      <w:r>
        <w:tab/>
        <w:t>(i)</w:t>
      </w:r>
      <w:r>
        <w:tab/>
        <w:t xml:space="preserve">up to 0.1 kg/kL </w:t>
      </w:r>
      <w:r>
        <w:tab/>
        <w:t>47.7 c/kg</w:t>
      </w:r>
    </w:p>
    <w:p>
      <w:pPr>
        <w:pStyle w:val="yIndenti0"/>
        <w:tabs>
          <w:tab w:val="right" w:leader="dot" w:pos="6804"/>
        </w:tabs>
      </w:pPr>
      <w:r>
        <w:tab/>
        <w:t>(ii)</w:t>
      </w:r>
      <w:r>
        <w:tab/>
        <w:t xml:space="preserve">over 0.1 kg/kL but </w:t>
      </w:r>
      <w:r>
        <w:br/>
        <w:t xml:space="preserve">not over 0.3 kg/kL </w:t>
      </w:r>
      <w:r>
        <w:tab/>
        <w:t>100.0 c/kg</w:t>
      </w:r>
    </w:p>
    <w:p>
      <w:pPr>
        <w:pStyle w:val="yIndenti0"/>
        <w:tabs>
          <w:tab w:val="right" w:leader="dot" w:pos="6804"/>
        </w:tabs>
      </w:pPr>
      <w:r>
        <w:tab/>
        <w:t>(iii)</w:t>
      </w:r>
      <w:r>
        <w:tab/>
        <w:t xml:space="preserve">over 0.3 kg/kL </w:t>
      </w:r>
      <w:r>
        <w:tab/>
        <w:t>198.8 c/kg</w:t>
      </w:r>
    </w:p>
    <w:p>
      <w:pPr>
        <w:pStyle w:val="yIndenta"/>
        <w:keepNext/>
        <w:tabs>
          <w:tab w:val="right" w:leader="dot" w:pos="6804"/>
        </w:tabs>
      </w:pPr>
      <w:r>
        <w:lastRenderedPageBreak/>
        <w:tab/>
        <w:t>(f)</w:t>
      </w:r>
      <w:r>
        <w:tab/>
        <w:t>for alkalinity to pH 10 (expressed as calcium carbonate) —</w:t>
      </w:r>
    </w:p>
    <w:p>
      <w:pPr>
        <w:pStyle w:val="yIndenti0"/>
        <w:tabs>
          <w:tab w:val="right" w:leader="dot" w:pos="6804"/>
        </w:tabs>
      </w:pPr>
      <w:r>
        <w:tab/>
        <w:t>(i)</w:t>
      </w:r>
      <w:r>
        <w:tab/>
        <w:t xml:space="preserve">up to 0.1 kg/kL </w:t>
      </w:r>
      <w:r>
        <w:tab/>
        <w:t>15.1 c/kg</w:t>
      </w:r>
    </w:p>
    <w:p>
      <w:pPr>
        <w:pStyle w:val="yIndenti0"/>
        <w:tabs>
          <w:tab w:val="right" w:leader="dot" w:pos="6804"/>
        </w:tabs>
      </w:pPr>
      <w:r>
        <w:tab/>
        <w:t>(ii)</w:t>
      </w:r>
      <w:r>
        <w:tab/>
        <w:t xml:space="preserve">over 0.1 kg/kL but </w:t>
      </w:r>
      <w:r>
        <w:br/>
        <w:t xml:space="preserve">not over 0.2 kg/kL </w:t>
      </w:r>
      <w:r>
        <w:tab/>
        <w:t>36.0 c/kg</w:t>
      </w:r>
    </w:p>
    <w:p>
      <w:pPr>
        <w:pStyle w:val="yIndenti0"/>
        <w:tabs>
          <w:tab w:val="right" w:leader="dot" w:pos="6804"/>
        </w:tabs>
      </w:pPr>
      <w:r>
        <w:tab/>
        <w:t>(iii)</w:t>
      </w:r>
      <w:r>
        <w:tab/>
        <w:t xml:space="preserve">over 0.2 kg/kL </w:t>
      </w:r>
      <w:r>
        <w:tab/>
        <w:t>72.1 c/kg</w:t>
      </w:r>
    </w:p>
    <w:p>
      <w:pPr>
        <w:pStyle w:val="yIndenta"/>
        <w:tabs>
          <w:tab w:val="right" w:leader="dot" w:pos="6804"/>
        </w:tabs>
      </w:pPr>
      <w:r>
        <w:tab/>
        <w:t>(g)</w:t>
      </w:r>
      <w:r>
        <w:tab/>
        <w:t xml:space="preserve">for nitrogen </w:t>
      </w:r>
      <w:r>
        <w:tab/>
        <w:t>153.5 c/kg</w:t>
      </w:r>
    </w:p>
    <w:p>
      <w:pPr>
        <w:pStyle w:val="yIndenta"/>
        <w:tabs>
          <w:tab w:val="right" w:leader="dot" w:pos="6804"/>
        </w:tabs>
      </w:pPr>
      <w:r>
        <w:tab/>
        <w:t>(h)</w:t>
      </w:r>
      <w:r>
        <w:tab/>
        <w:t xml:space="preserve">for phosphorus </w:t>
      </w:r>
      <w:r>
        <w:tab/>
        <w:t>43.0 c/kg</w:t>
      </w:r>
    </w:p>
    <w:p>
      <w:pPr>
        <w:pStyle w:val="yIndenta"/>
        <w:tabs>
          <w:tab w:val="right" w:leader="dot" w:pos="6804"/>
        </w:tabs>
        <w:rPr>
          <w:szCs w:val="22"/>
        </w:rPr>
      </w:pPr>
      <w:r>
        <w:tab/>
        <w:t>(i)</w:t>
      </w:r>
      <w:r>
        <w:tab/>
        <w:t>for 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81.4 c/kg</w:t>
      </w:r>
    </w:p>
    <w:p>
      <w:pPr>
        <w:pStyle w:val="yIndenta"/>
        <w:keepNext/>
        <w:tabs>
          <w:tab w:val="right" w:leader="dot" w:pos="6804"/>
        </w:tabs>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4.5 c/kg</w:t>
      </w:r>
    </w:p>
    <w:p>
      <w:pPr>
        <w:pStyle w:val="yIndenti0"/>
        <w:tabs>
          <w:tab w:val="right" w:leader="dot" w:pos="6804"/>
        </w:tabs>
      </w:pPr>
      <w:r>
        <w:tab/>
        <w:t>(iv)</w:t>
      </w:r>
      <w:r>
        <w:tab/>
        <w:t xml:space="preserve">over 6 kg/kL </w:t>
      </w:r>
      <w:r>
        <w:tab/>
        <w:t>16.2 c/kg</w:t>
      </w:r>
    </w:p>
    <w:p>
      <w:pPr>
        <w:pStyle w:val="yIndenta"/>
        <w:tabs>
          <w:tab w:val="right" w:leader="dot" w:pos="6804"/>
        </w:tabs>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1 274.4 c/kg</w:t>
      </w:r>
    </w:p>
    <w:p>
      <w:pPr>
        <w:pStyle w:val="yIndenti0"/>
        <w:tabs>
          <w:tab w:val="right" w:leader="dot" w:pos="6804"/>
        </w:tabs>
      </w:pPr>
      <w:r>
        <w:tab/>
        <w:t>(ii)</w:t>
      </w:r>
      <w:r>
        <w:tab/>
        <w:t xml:space="preserve">over 0.03 kg/day but not </w:t>
      </w:r>
      <w:r>
        <w:br/>
        <w:t xml:space="preserve">over 1 kg/day </w:t>
      </w:r>
      <w:r>
        <w:tab/>
        <w:t>2 541.9 c/kg</w:t>
      </w:r>
    </w:p>
    <w:p>
      <w:pPr>
        <w:pStyle w:val="yIndenti0"/>
        <w:tabs>
          <w:tab w:val="right" w:leader="dot" w:pos="6804"/>
        </w:tabs>
      </w:pPr>
      <w:r>
        <w:tab/>
        <w:t>(iii)</w:t>
      </w:r>
      <w:r>
        <w:tab/>
        <w:t xml:space="preserve">over 1 kg/day </w:t>
      </w:r>
      <w:r>
        <w:tab/>
        <w:t>10 185.0 c/kg</w:t>
      </w:r>
    </w:p>
    <w:p>
      <w:pPr>
        <w:pStyle w:val="yIndenta"/>
        <w:tabs>
          <w:tab w:val="right" w:leader="dot" w:pos="6804"/>
        </w:tabs>
      </w:pPr>
      <w:r>
        <w:rPr>
          <w:szCs w:val="22"/>
        </w:rPr>
        <w:tab/>
        <w:t>(l)</w:t>
      </w:r>
      <w:r>
        <w:rPr>
          <w:szCs w:val="22"/>
        </w:rPr>
        <w:tab/>
        <w:t xml:space="preserve">for </w:t>
      </w:r>
      <w:r>
        <w:t>copper</w:t>
      </w:r>
      <w:r>
        <w:rPr>
          <w:szCs w:val="22"/>
        </w:rPr>
        <w:t xml:space="preserve"> with a discharge rate of —</w:t>
      </w:r>
    </w:p>
    <w:p>
      <w:pPr>
        <w:pStyle w:val="yIndenti0"/>
        <w:tabs>
          <w:tab w:val="right" w:leader="dot" w:pos="6804"/>
        </w:tabs>
      </w:pPr>
      <w:r>
        <w:tab/>
        <w:t>(i)</w:t>
      </w:r>
      <w:r>
        <w:tab/>
        <w:t xml:space="preserve">up to 0.03 kg/day </w:t>
      </w:r>
      <w:r>
        <w:tab/>
        <w:t>1 274.4 c/kg</w:t>
      </w:r>
    </w:p>
    <w:p>
      <w:pPr>
        <w:pStyle w:val="yIndenti0"/>
        <w:tabs>
          <w:tab w:val="right" w:leader="dot" w:pos="6804"/>
        </w:tabs>
      </w:pPr>
      <w:r>
        <w:tab/>
        <w:t>(ii)</w:t>
      </w:r>
      <w:r>
        <w:tab/>
        <w:t xml:space="preserve">over 0.03 kg/day but </w:t>
      </w:r>
      <w:r>
        <w:br/>
        <w:t xml:space="preserve">not over 0.12 kg/day </w:t>
      </w:r>
      <w:r>
        <w:tab/>
        <w:t>2 541.9 c/kg</w:t>
      </w:r>
    </w:p>
    <w:p>
      <w:pPr>
        <w:pStyle w:val="yIndenti0"/>
        <w:tabs>
          <w:tab w:val="right" w:leader="dot" w:pos="6804"/>
        </w:tabs>
      </w:pPr>
      <w:r>
        <w:tab/>
        <w:t>(iii)</w:t>
      </w:r>
      <w:r>
        <w:tab/>
        <w:t xml:space="preserve">over 0.12 kg/day </w:t>
      </w:r>
      <w:r>
        <w:tab/>
        <w:t>10 185.0 c/kg</w:t>
      </w:r>
    </w:p>
    <w:p>
      <w:pPr>
        <w:pStyle w:val="yIndenta"/>
        <w:tabs>
          <w:tab w:val="right" w:leader="dot" w:pos="6804"/>
        </w:tabs>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1 274.4 c/kg</w:t>
      </w:r>
    </w:p>
    <w:p>
      <w:pPr>
        <w:pStyle w:val="yIndenti0"/>
        <w:tabs>
          <w:tab w:val="right" w:leader="dot" w:pos="6804"/>
        </w:tabs>
      </w:pPr>
      <w:r>
        <w:tab/>
        <w:t>(ii)</w:t>
      </w:r>
      <w:r>
        <w:tab/>
        <w:t xml:space="preserve">over 0.03 kg/day but </w:t>
      </w:r>
      <w:r>
        <w:br/>
        <w:t xml:space="preserve">not over 0.3 kg/day </w:t>
      </w:r>
      <w:r>
        <w:tab/>
        <w:t>2 541.9 c/kg</w:t>
      </w:r>
    </w:p>
    <w:p>
      <w:pPr>
        <w:pStyle w:val="yIndenti0"/>
        <w:tabs>
          <w:tab w:val="right" w:leader="dot" w:pos="6804"/>
        </w:tabs>
      </w:pPr>
      <w:r>
        <w:tab/>
        <w:t>(iii)</w:t>
      </w:r>
      <w:r>
        <w:tab/>
        <w:t xml:space="preserve">over 0.3 kg/day </w:t>
      </w:r>
      <w:r>
        <w:tab/>
        <w:t>10 185.0 c/kg</w:t>
      </w:r>
    </w:p>
    <w:p>
      <w:pPr>
        <w:pStyle w:val="yIndenta"/>
        <w:tabs>
          <w:tab w:val="right" w:leader="dot" w:pos="6804"/>
        </w:tabs>
      </w:pPr>
      <w:r>
        <w:lastRenderedPageBreak/>
        <w:tab/>
        <w:t>(n)</w:t>
      </w:r>
      <w:r>
        <w:tab/>
        <w:t xml:space="preserve">for nickel with a </w:t>
      </w:r>
      <w:r>
        <w:rPr>
          <w:szCs w:val="22"/>
        </w:rPr>
        <w:t>discharge</w:t>
      </w:r>
      <w:r>
        <w:t xml:space="preserve"> rate of —</w:t>
      </w:r>
    </w:p>
    <w:p>
      <w:pPr>
        <w:pStyle w:val="yIndenti0"/>
        <w:tabs>
          <w:tab w:val="right" w:leader="dot" w:pos="6804"/>
        </w:tabs>
      </w:pPr>
      <w:r>
        <w:tab/>
        <w:t>(i)</w:t>
      </w:r>
      <w:r>
        <w:tab/>
        <w:t xml:space="preserve">up to 0.006 kg/day </w:t>
      </w:r>
      <w:r>
        <w:tab/>
        <w:t>1 274.4 c/kg</w:t>
      </w:r>
    </w:p>
    <w:p>
      <w:pPr>
        <w:pStyle w:val="yIndenti0"/>
        <w:tabs>
          <w:tab w:val="right" w:leader="dot" w:pos="6804"/>
        </w:tabs>
      </w:pPr>
      <w:r>
        <w:tab/>
        <w:t>(ii)</w:t>
      </w:r>
      <w:r>
        <w:tab/>
        <w:t xml:space="preserve">over 0.006 kg/day but </w:t>
      </w:r>
      <w:r>
        <w:br/>
        <w:t xml:space="preserve">not over 0.15 kg/day </w:t>
      </w:r>
      <w:r>
        <w:tab/>
        <w:t>2 541.9 c/kg</w:t>
      </w:r>
    </w:p>
    <w:p>
      <w:pPr>
        <w:pStyle w:val="yIndenti0"/>
        <w:tabs>
          <w:tab w:val="right" w:leader="dot" w:pos="6804"/>
        </w:tabs>
      </w:pPr>
      <w:r>
        <w:tab/>
        <w:t>(iii)</w:t>
      </w:r>
      <w:r>
        <w:tab/>
        <w:t xml:space="preserve">over 0.15 kg/day </w:t>
      </w:r>
      <w:r>
        <w:tab/>
        <w:t>10 185.0 c/kg</w:t>
      </w:r>
    </w:p>
    <w:p>
      <w:pPr>
        <w:pStyle w:val="yIndenta"/>
        <w:keepNext/>
        <w:tabs>
          <w:tab w:val="right" w:leader="dot" w:pos="6804"/>
        </w:tabs>
      </w:pPr>
      <w:r>
        <w:tab/>
        <w:t>(o)</w:t>
      </w:r>
      <w:r>
        <w:tab/>
        <w:t xml:space="preserve">for zinc </w:t>
      </w:r>
      <w:r>
        <w:rPr>
          <w:szCs w:val="22"/>
        </w:rPr>
        <w:t>with</w:t>
      </w:r>
      <w:r>
        <w:t xml:space="preserve"> a discharge rate of —</w:t>
      </w:r>
    </w:p>
    <w:p>
      <w:pPr>
        <w:pStyle w:val="yIndenti0"/>
        <w:keepNext/>
        <w:tabs>
          <w:tab w:val="right" w:leader="dot" w:pos="6804"/>
        </w:tabs>
      </w:pPr>
      <w:r>
        <w:tab/>
        <w:t>(i)</w:t>
      </w:r>
      <w:r>
        <w:tab/>
        <w:t xml:space="preserve">up to 0.05 kg/day </w:t>
      </w:r>
      <w:r>
        <w:tab/>
        <w:t>1 274.4 c/kg</w:t>
      </w:r>
    </w:p>
    <w:p>
      <w:pPr>
        <w:pStyle w:val="yIndenti0"/>
        <w:tabs>
          <w:tab w:val="right" w:leader="dot" w:pos="6804"/>
        </w:tabs>
      </w:pPr>
      <w:r>
        <w:tab/>
        <w:t>(ii)</w:t>
      </w:r>
      <w:r>
        <w:tab/>
        <w:t xml:space="preserve">over 0.05 kg/day but </w:t>
      </w:r>
      <w:r>
        <w:br/>
        <w:t xml:space="preserve">not over 0.5 kg/day </w:t>
      </w:r>
      <w:r>
        <w:tab/>
        <w:t>2 541.9 c/kg</w:t>
      </w:r>
    </w:p>
    <w:p>
      <w:pPr>
        <w:pStyle w:val="yIndenti0"/>
        <w:tabs>
          <w:tab w:val="right" w:leader="dot" w:pos="6804"/>
        </w:tabs>
      </w:pPr>
      <w:r>
        <w:tab/>
        <w:t>(iii)</w:t>
      </w:r>
      <w:r>
        <w:tab/>
        <w:t xml:space="preserve">over 0.5 kg/day </w:t>
      </w:r>
      <w:r>
        <w:tab/>
        <w:t>10 185.0 c/kg</w:t>
      </w:r>
    </w:p>
    <w:p>
      <w:pPr>
        <w:pStyle w:val="yIndenta"/>
      </w:pPr>
      <w:r>
        <w:tab/>
        <w:t>(p)</w:t>
      </w:r>
      <w:r>
        <w:tab/>
        <w:t xml:space="preserve">for arsenic </w:t>
      </w:r>
      <w:r>
        <w:rPr>
          <w:szCs w:val="22"/>
        </w:rPr>
        <w:t>with</w:t>
      </w:r>
      <w:r>
        <w:t xml:space="preserve"> a discharge rate of —</w:t>
      </w:r>
    </w:p>
    <w:p>
      <w:pPr>
        <w:pStyle w:val="yIndenti0"/>
        <w:tabs>
          <w:tab w:val="right" w:leader="dot" w:pos="6804"/>
        </w:tabs>
      </w:pPr>
      <w:r>
        <w:tab/>
        <w:t>(i)</w:t>
      </w:r>
      <w:r>
        <w:tab/>
        <w:t xml:space="preserve">up to 0.001 kg/day </w:t>
      </w:r>
      <w:r>
        <w:tab/>
        <w:t>1 274.4 c/kg</w:t>
      </w:r>
    </w:p>
    <w:p>
      <w:pPr>
        <w:pStyle w:val="yIndenti0"/>
        <w:tabs>
          <w:tab w:val="right" w:leader="dot" w:pos="6804"/>
        </w:tabs>
      </w:pPr>
      <w:r>
        <w:tab/>
        <w:t>(ii)</w:t>
      </w:r>
      <w:r>
        <w:tab/>
        <w:t xml:space="preserve">over 0.001 kg/day but </w:t>
      </w:r>
      <w:r>
        <w:br/>
        <w:t xml:space="preserve">not over 0.04 kg/day </w:t>
      </w:r>
      <w:r>
        <w:tab/>
        <w:t>12 728.1 c/kg</w:t>
      </w:r>
    </w:p>
    <w:p>
      <w:pPr>
        <w:pStyle w:val="yIndenti0"/>
        <w:tabs>
          <w:tab w:val="right" w:leader="dot" w:pos="6804"/>
        </w:tabs>
      </w:pPr>
      <w:r>
        <w:tab/>
        <w:t>(iii)</w:t>
      </w:r>
      <w:r>
        <w:tab/>
        <w:t xml:space="preserve">over 0.04 kg/day </w:t>
      </w:r>
      <w:r>
        <w:tab/>
        <w:t>127 278.2 c/kg</w:t>
      </w:r>
    </w:p>
    <w:p>
      <w:pPr>
        <w:pStyle w:val="yIndenta"/>
        <w:tabs>
          <w:tab w:val="right" w:leader="dot" w:pos="6804"/>
        </w:tabs>
      </w:pPr>
      <w:r>
        <w:tab/>
        <w:t>(q)</w:t>
      </w:r>
      <w:r>
        <w:tab/>
        <w:t>for cadmium with a discharge rate of —</w:t>
      </w:r>
    </w:p>
    <w:p>
      <w:pPr>
        <w:pStyle w:val="yIndenti0"/>
        <w:tabs>
          <w:tab w:val="right" w:leader="dot" w:pos="6804"/>
        </w:tabs>
      </w:pPr>
      <w:r>
        <w:tab/>
        <w:t>(i)</w:t>
      </w:r>
      <w:r>
        <w:tab/>
        <w:t xml:space="preserve">up to 0.001 kg/day </w:t>
      </w:r>
      <w:r>
        <w:tab/>
        <w:t>1 274.4 c/kg</w:t>
      </w:r>
    </w:p>
    <w:p>
      <w:pPr>
        <w:pStyle w:val="yIndenti0"/>
        <w:tabs>
          <w:tab w:val="right" w:leader="dot" w:pos="6804"/>
        </w:tabs>
      </w:pPr>
      <w:r>
        <w:tab/>
        <w:t>(ii)</w:t>
      </w:r>
      <w:r>
        <w:tab/>
        <w:t xml:space="preserve">over 0.001 kg/day but </w:t>
      </w:r>
      <w:r>
        <w:br/>
        <w:t xml:space="preserve">not over 0.015 kg/day </w:t>
      </w:r>
      <w:r>
        <w:tab/>
        <w:t>12 728.1 c/kg</w:t>
      </w:r>
    </w:p>
    <w:p>
      <w:pPr>
        <w:pStyle w:val="yIndenti0"/>
        <w:tabs>
          <w:tab w:val="right" w:leader="dot" w:pos="6804"/>
        </w:tabs>
      </w:pPr>
      <w:r>
        <w:tab/>
        <w:t>(iii)</w:t>
      </w:r>
      <w:r>
        <w:tab/>
        <w:t xml:space="preserve">over 0.015 kg/day </w:t>
      </w:r>
      <w:r>
        <w:tab/>
        <w:t>127 278.2 c/kg</w:t>
      </w:r>
    </w:p>
    <w:p>
      <w:pPr>
        <w:pStyle w:val="yIndenta"/>
        <w:tabs>
          <w:tab w:val="right" w:leader="dot" w:pos="6804"/>
        </w:tabs>
      </w:pPr>
      <w:r>
        <w:tab/>
        <w:t>(r)</w:t>
      </w:r>
      <w:r>
        <w:tab/>
        <w:t>for molybdenum or selenium with a discharge rate of —</w:t>
      </w:r>
    </w:p>
    <w:p>
      <w:pPr>
        <w:pStyle w:val="yIndenti0"/>
        <w:tabs>
          <w:tab w:val="right" w:leader="dot" w:pos="6804"/>
        </w:tabs>
      </w:pPr>
      <w:r>
        <w:tab/>
        <w:t>(i)</w:t>
      </w:r>
      <w:r>
        <w:tab/>
        <w:t xml:space="preserve">up to 0.001 kg/day </w:t>
      </w:r>
      <w:r>
        <w:tab/>
        <w:t>1 274.4 c/kg</w:t>
      </w:r>
    </w:p>
    <w:p>
      <w:pPr>
        <w:pStyle w:val="yIndenti0"/>
        <w:tabs>
          <w:tab w:val="right" w:leader="dot" w:pos="6804"/>
        </w:tabs>
      </w:pPr>
      <w:r>
        <w:tab/>
        <w:t>(ii)</w:t>
      </w:r>
      <w:r>
        <w:tab/>
        <w:t xml:space="preserve">over 0.001 kg/day but </w:t>
      </w:r>
      <w:r>
        <w:br/>
        <w:t xml:space="preserve">not over 0.02 kg/day </w:t>
      </w:r>
      <w:r>
        <w:tab/>
        <w:t>12 728.1 c/kg</w:t>
      </w:r>
    </w:p>
    <w:p>
      <w:pPr>
        <w:pStyle w:val="yIndenti0"/>
        <w:tabs>
          <w:tab w:val="right" w:leader="dot" w:pos="6804"/>
        </w:tabs>
      </w:pPr>
      <w:r>
        <w:tab/>
        <w:t>(iii)</w:t>
      </w:r>
      <w:r>
        <w:tab/>
        <w:t xml:space="preserve">over 0.02 kg/day </w:t>
      </w:r>
      <w:r>
        <w:tab/>
        <w:t>127 278.2 c/kg</w:t>
      </w:r>
    </w:p>
    <w:p>
      <w:pPr>
        <w:pStyle w:val="yIndenta"/>
        <w:keepNext/>
        <w:tabs>
          <w:tab w:val="right" w:leader="dot" w:pos="6804"/>
        </w:tabs>
      </w:pPr>
      <w:r>
        <w:tab/>
        <w:t>(s)</w:t>
      </w:r>
      <w:r>
        <w:tab/>
        <w:t>for silver with a discharge rate of —</w:t>
      </w:r>
    </w:p>
    <w:p>
      <w:pPr>
        <w:pStyle w:val="yIndenti0"/>
        <w:tabs>
          <w:tab w:val="right" w:leader="dot" w:pos="6804"/>
        </w:tabs>
      </w:pPr>
      <w:r>
        <w:tab/>
        <w:t>(i)</w:t>
      </w:r>
      <w:r>
        <w:tab/>
        <w:t xml:space="preserve">up to 0.002 kg/day </w:t>
      </w:r>
      <w:r>
        <w:tab/>
        <w:t>1 274.4 c/kg</w:t>
      </w:r>
    </w:p>
    <w:p>
      <w:pPr>
        <w:pStyle w:val="yIndenti0"/>
        <w:tabs>
          <w:tab w:val="right" w:leader="dot" w:pos="6804"/>
        </w:tabs>
      </w:pPr>
      <w:r>
        <w:tab/>
        <w:t>(ii)</w:t>
      </w:r>
      <w:r>
        <w:tab/>
        <w:t xml:space="preserve">over 0.002 kg/day but </w:t>
      </w:r>
      <w:r>
        <w:br/>
        <w:t xml:space="preserve">not over 0.01 kg/day </w:t>
      </w:r>
      <w:r>
        <w:tab/>
        <w:t>12 728.1 c/kg</w:t>
      </w:r>
    </w:p>
    <w:p>
      <w:pPr>
        <w:pStyle w:val="yIndenti0"/>
        <w:tabs>
          <w:tab w:val="right" w:leader="dot" w:pos="6804"/>
        </w:tabs>
      </w:pPr>
      <w:r>
        <w:tab/>
        <w:t>(iii)</w:t>
      </w:r>
      <w:r>
        <w:tab/>
        <w:t xml:space="preserve">over 0.01 kg/day </w:t>
      </w:r>
      <w:r>
        <w:tab/>
        <w:t>127 278.2 c/kg</w:t>
      </w:r>
    </w:p>
    <w:p>
      <w:pPr>
        <w:pStyle w:val="yIndenta"/>
        <w:tabs>
          <w:tab w:val="right" w:leader="dot" w:pos="6804"/>
        </w:tabs>
      </w:pPr>
      <w:r>
        <w:tab/>
        <w:t>(t)</w:t>
      </w:r>
      <w:r>
        <w:tab/>
        <w:t>for mercury with a discharge rate of —</w:t>
      </w:r>
    </w:p>
    <w:p>
      <w:pPr>
        <w:pStyle w:val="yIndenti0"/>
        <w:tabs>
          <w:tab w:val="right" w:leader="dot" w:pos="6804"/>
        </w:tabs>
      </w:pPr>
      <w:r>
        <w:tab/>
        <w:t>(i)</w:t>
      </w:r>
      <w:r>
        <w:tab/>
        <w:t xml:space="preserve">up to 0.0001 kg/day </w:t>
      </w:r>
      <w:r>
        <w:tab/>
        <w:t>1 274.4 c/kg</w:t>
      </w:r>
    </w:p>
    <w:p>
      <w:pPr>
        <w:pStyle w:val="yIndenti0"/>
        <w:tabs>
          <w:tab w:val="right" w:leader="dot" w:pos="6804"/>
        </w:tabs>
      </w:pPr>
      <w:r>
        <w:lastRenderedPageBreak/>
        <w:tab/>
        <w:t>(ii)</w:t>
      </w:r>
      <w:r>
        <w:tab/>
        <w:t xml:space="preserve">over 0.0001 kg/day but </w:t>
      </w:r>
      <w:r>
        <w:br/>
        <w:t xml:space="preserve">not over 0.001 kg/day </w:t>
      </w:r>
      <w:r>
        <w:tab/>
        <w:t>127 278.2 c/kg</w:t>
      </w:r>
    </w:p>
    <w:p>
      <w:pPr>
        <w:pStyle w:val="yIndenti0"/>
        <w:tabs>
          <w:tab w:val="right" w:leader="dot" w:pos="6804"/>
        </w:tabs>
      </w:pPr>
      <w:r>
        <w:tab/>
        <w:t>(iii)</w:t>
      </w:r>
      <w:r>
        <w:tab/>
        <w:t xml:space="preserve">over 0.001 kg/day </w:t>
      </w:r>
      <w:r>
        <w:tab/>
        <w:t>954 622.6 c/kg</w:t>
      </w:r>
    </w:p>
    <w:p>
      <w:pPr>
        <w:pStyle w:val="yHeading5"/>
      </w:pPr>
      <w:bookmarkStart w:id="736" w:name="_Toc201235779"/>
      <w:bookmarkStart w:id="737" w:name="_Toc201314593"/>
      <w:bookmarkStart w:id="738" w:name="_Toc201745957"/>
      <w:r>
        <w:rPr>
          <w:rStyle w:val="CharSClsNo"/>
        </w:rPr>
        <w:t>33</w:t>
      </w:r>
      <w:r>
        <w:t>.</w:t>
      </w:r>
      <w:r>
        <w:tab/>
        <w:t>Effluent discharged from septic tank effluent pumping system into sewer</w:t>
      </w:r>
      <w:bookmarkEnd w:id="736"/>
      <w:bookmarkEnd w:id="737"/>
      <w:bookmarkEnd w:id="738"/>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193.0 cents/kL</w:t>
      </w:r>
    </w:p>
    <w:p>
      <w:pPr>
        <w:pStyle w:val="yFootnotesection"/>
      </w:pPr>
      <w:bookmarkStart w:id="739" w:name="_Toc201235780"/>
      <w:bookmarkStart w:id="740" w:name="_Toc201236031"/>
      <w:bookmarkStart w:id="741" w:name="_Toc201236187"/>
      <w:bookmarkStart w:id="742" w:name="_Toc201314594"/>
      <w:r>
        <w:tab/>
        <w:t>[Division 3 inserted: SL 2025/101 r. 10.]</w:t>
      </w:r>
    </w:p>
    <w:p>
      <w:pPr>
        <w:pStyle w:val="yScheduleHeading"/>
      </w:pPr>
      <w:bookmarkStart w:id="743" w:name="_Toc201323553"/>
      <w:bookmarkStart w:id="744" w:name="_Toc201324362"/>
      <w:bookmarkStart w:id="745" w:name="_Toc201325045"/>
      <w:bookmarkStart w:id="746" w:name="_Toc201325274"/>
      <w:bookmarkStart w:id="747" w:name="_Toc201325503"/>
      <w:bookmarkStart w:id="748" w:name="_Toc201325965"/>
      <w:bookmarkStart w:id="749" w:name="_Toc201745958"/>
      <w:r>
        <w:rPr>
          <w:rStyle w:val="CharSchNo"/>
        </w:rPr>
        <w:lastRenderedPageBreak/>
        <w:t>Schedule 5</w:t>
      </w:r>
      <w:r>
        <w:rPr>
          <w:rStyle w:val="CharSDivNo"/>
        </w:rPr>
        <w:t> </w:t>
      </w:r>
      <w:r>
        <w:t>—</w:t>
      </w:r>
      <w:r>
        <w:rPr>
          <w:rStyle w:val="CharSDivText"/>
        </w:rPr>
        <w:t> </w:t>
      </w:r>
      <w:r>
        <w:rPr>
          <w:rStyle w:val="CharSchText"/>
        </w:rPr>
        <w:t>Drainage charges for Water Corporation</w:t>
      </w:r>
      <w:bookmarkEnd w:id="739"/>
      <w:bookmarkEnd w:id="740"/>
      <w:bookmarkEnd w:id="741"/>
      <w:bookmarkEnd w:id="742"/>
      <w:bookmarkEnd w:id="743"/>
      <w:bookmarkEnd w:id="744"/>
      <w:bookmarkEnd w:id="745"/>
      <w:bookmarkEnd w:id="746"/>
      <w:bookmarkEnd w:id="747"/>
      <w:bookmarkEnd w:id="748"/>
      <w:bookmarkEnd w:id="749"/>
    </w:p>
    <w:p>
      <w:pPr>
        <w:pStyle w:val="yShoulderClause"/>
      </w:pPr>
      <w:r>
        <w:t>[r. 24 and 47]</w:t>
      </w:r>
    </w:p>
    <w:p>
      <w:pPr>
        <w:pStyle w:val="yFootnoteheading"/>
      </w:pPr>
      <w:bookmarkStart w:id="750" w:name="_Toc201235781"/>
      <w:bookmarkStart w:id="751" w:name="_Toc201314595"/>
      <w:r>
        <w:tab/>
        <w:t>[Heading inserted: SL 2025/101 r. 10.]</w:t>
      </w:r>
    </w:p>
    <w:p>
      <w:pPr>
        <w:pStyle w:val="yHeading5"/>
      </w:pPr>
      <w:bookmarkStart w:id="752" w:name="_Toc201745959"/>
      <w:r>
        <w:rPr>
          <w:rStyle w:val="CharSClsNo"/>
        </w:rPr>
        <w:t>1</w:t>
      </w:r>
      <w:r>
        <w:t>.</w:t>
      </w:r>
      <w:r>
        <w:tab/>
        <w:t>Drainage charges for 2025/26 and subsequent years</w:t>
      </w:r>
      <w:bookmarkEnd w:id="750"/>
      <w:bookmarkEnd w:id="751"/>
      <w:bookmarkEnd w:id="752"/>
    </w:p>
    <w:p>
      <w:pPr>
        <w:pStyle w:val="ySubsection"/>
      </w:pPr>
      <w:r>
        <w:tab/>
      </w:r>
      <w:r>
        <w:tab/>
      </w:r>
      <w:r>
        <w:rPr>
          <w:szCs w:val="22"/>
        </w:rPr>
        <w:t>The</w:t>
      </w:r>
      <w:r>
        <w:t xml:space="preserve"> charges set out in this Schedule apply for drainage </w:t>
      </w:r>
      <w:r>
        <w:rPr>
          <w:szCs w:val="22"/>
        </w:rPr>
        <w:t>services</w:t>
      </w:r>
      <w:r>
        <w:t xml:space="preserve"> provided in the 2025/26</w:t>
      </w:r>
      <w:r>
        <w:rPr>
          <w:szCs w:val="22"/>
        </w:rPr>
        <w:t xml:space="preserve"> </w:t>
      </w:r>
      <w:r>
        <w:t>financial year and each subsequent year.</w:t>
      </w:r>
    </w:p>
    <w:p>
      <w:pPr>
        <w:pStyle w:val="yHeading5"/>
      </w:pPr>
      <w:bookmarkStart w:id="753" w:name="_Toc201235782"/>
      <w:bookmarkStart w:id="754" w:name="_Toc201314596"/>
      <w:bookmarkStart w:id="755" w:name="_Toc201745960"/>
      <w:r>
        <w:rPr>
          <w:rStyle w:val="CharSClsNo"/>
        </w:rPr>
        <w:t>2</w:t>
      </w:r>
      <w:r>
        <w:t>.</w:t>
      </w:r>
      <w:r>
        <w:tab/>
        <w:t>Strata</w:t>
      </w:r>
      <w:r>
        <w:noBreakHyphen/>
        <w:t>titled long</w:t>
      </w:r>
      <w:r>
        <w:noBreakHyphen/>
        <w:t>term residential caravan bays and park homes</w:t>
      </w:r>
      <w:bookmarkEnd w:id="753"/>
      <w:bookmarkEnd w:id="754"/>
      <w:bookmarkEnd w:id="755"/>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$42.05</w:t>
      </w:r>
    </w:p>
    <w:p>
      <w:pPr>
        <w:pStyle w:val="yHeading5"/>
      </w:pPr>
      <w:bookmarkStart w:id="756" w:name="_Toc201235783"/>
      <w:bookmarkStart w:id="757" w:name="_Toc201314597"/>
      <w:bookmarkStart w:id="758" w:name="_Toc201745961"/>
      <w:r>
        <w:rPr>
          <w:rStyle w:val="CharSClsNo"/>
        </w:rPr>
        <w:t>3</w:t>
      </w:r>
      <w:r>
        <w:t>.</w:t>
      </w:r>
      <w:r>
        <w:tab/>
        <w:t>Storage units or parking bays in strata titles scheme or community titles scheme</w:t>
      </w:r>
      <w:bookmarkEnd w:id="756"/>
      <w:bookmarkEnd w:id="757"/>
      <w:bookmarkEnd w:id="758"/>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$16.20</w:t>
      </w:r>
    </w:p>
    <w:p>
      <w:pPr>
        <w:pStyle w:val="yHeading5"/>
      </w:pPr>
      <w:bookmarkStart w:id="759" w:name="_Toc201235784"/>
      <w:bookmarkStart w:id="760" w:name="_Toc201314598"/>
      <w:bookmarkStart w:id="761" w:name="_Toc201745962"/>
      <w:r>
        <w:rPr>
          <w:rStyle w:val="CharSClsNo"/>
        </w:rPr>
        <w:t>4</w:t>
      </w:r>
      <w:r>
        <w:t>.</w:t>
      </w:r>
      <w:r>
        <w:tab/>
        <w:t>Residential or semi</w:t>
      </w:r>
      <w:r>
        <w:noBreakHyphen/>
        <w:t>rural residential</w:t>
      </w:r>
      <w:bookmarkEnd w:id="759"/>
      <w:bookmarkEnd w:id="760"/>
      <w:bookmarkEnd w:id="761"/>
    </w:p>
    <w:p>
      <w:pPr>
        <w:pStyle w:val="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0.603 cents/$</w:t>
      </w:r>
    </w:p>
    <w:p>
      <w:pPr>
        <w:pStyle w:val="yMiscellaneousBody"/>
        <w:spacing w:before="0"/>
        <w:ind w:left="2183" w:right="284" w:hanging="851"/>
        <w:jc w:val="right"/>
      </w:pPr>
      <w:r>
        <w:t>of GRV</w:t>
      </w:r>
    </w:p>
    <w:p>
      <w:pPr>
        <w:pStyle w:val="ySubsection"/>
        <w:tabs>
          <w:tab w:val="right" w:leader="dot" w:pos="6804"/>
        </w:tabs>
      </w:pPr>
      <w:r>
        <w:tab/>
        <w:t>(2)</w:t>
      </w:r>
      <w:r>
        <w:tab/>
        <w:t xml:space="preserve">The minimum charge per dwelling under </w:t>
      </w:r>
      <w:r>
        <w:br/>
        <w:t xml:space="preserve">this item is </w:t>
      </w:r>
      <w:r>
        <w:tab/>
      </w:r>
      <w:r>
        <w:rPr>
          <w:szCs w:val="22"/>
        </w:rPr>
        <w:t>$139.04</w:t>
      </w:r>
    </w:p>
    <w:p>
      <w:pPr>
        <w:pStyle w:val="yHeading5"/>
      </w:pPr>
      <w:bookmarkStart w:id="762" w:name="_Toc201235785"/>
      <w:bookmarkStart w:id="763" w:name="_Toc201314599"/>
      <w:bookmarkStart w:id="764" w:name="_Toc201745963"/>
      <w:r>
        <w:rPr>
          <w:rStyle w:val="CharSClsNo"/>
        </w:rPr>
        <w:t>5</w:t>
      </w:r>
      <w:r>
        <w:t>.</w:t>
      </w:r>
      <w:r>
        <w:tab/>
        <w:t>Vacant land</w:t>
      </w:r>
      <w:bookmarkEnd w:id="762"/>
      <w:bookmarkEnd w:id="763"/>
      <w:bookmarkEnd w:id="764"/>
    </w:p>
    <w:p>
      <w:pPr>
        <w:pStyle w:val="ySubsection"/>
        <w:tabs>
          <w:tab w:val="right" w:leader="dot" w:pos="6804"/>
        </w:tabs>
      </w:pPr>
      <w:r>
        <w:tab/>
        <w:t>(1)</w:t>
      </w:r>
      <w:r>
        <w:tab/>
      </w:r>
      <w:r>
        <w:rPr>
          <w:szCs w:val="22"/>
        </w:rPr>
        <w:t xml:space="preserve">For </w:t>
      </w:r>
      <w:r>
        <w:t>land</w:t>
      </w:r>
      <w:r>
        <w:rPr>
          <w:szCs w:val="22"/>
        </w:rPr>
        <w:t xml:space="preserve">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r>
      <w:r>
        <w:t>0.741 cents/$</w:t>
      </w:r>
    </w:p>
    <w:p>
      <w:pPr>
        <w:pStyle w:val="yMiscellaneousBody"/>
        <w:spacing w:before="0"/>
        <w:ind w:left="2183" w:right="284" w:hanging="851"/>
        <w:jc w:val="right"/>
      </w:pPr>
      <w:r>
        <w:t>of GRV</w:t>
      </w:r>
    </w:p>
    <w:p>
      <w:pPr>
        <w:pStyle w:val="ySubsection"/>
        <w:tabs>
          <w:tab w:val="right" w:leader="dot" w:pos="6804"/>
        </w:tabs>
      </w:pPr>
      <w:r>
        <w:tab/>
        <w:t>(2)</w:t>
      </w:r>
      <w:r>
        <w:tab/>
        <w:t xml:space="preserve">The minimum charge under this item is </w:t>
      </w:r>
      <w:r>
        <w:tab/>
      </w:r>
      <w:r>
        <w:rPr>
          <w:szCs w:val="22"/>
        </w:rPr>
        <w:t>$139.04</w:t>
      </w:r>
    </w:p>
    <w:p>
      <w:pPr>
        <w:pStyle w:val="yHeading5"/>
      </w:pPr>
      <w:bookmarkStart w:id="765" w:name="_Toc201235786"/>
      <w:bookmarkStart w:id="766" w:name="_Toc201314600"/>
      <w:bookmarkStart w:id="767" w:name="_Toc201745964"/>
      <w:r>
        <w:rPr>
          <w:rStyle w:val="CharSClsNo"/>
        </w:rPr>
        <w:lastRenderedPageBreak/>
        <w:t>6</w:t>
      </w:r>
      <w:r>
        <w:t>.</w:t>
      </w:r>
      <w:r>
        <w:tab/>
        <w:t>Non</w:t>
      </w:r>
      <w:r>
        <w:noBreakHyphen/>
        <w:t>residential (except strata titled caravan bays and storage units or parking bays in strata titles scheme or community titles scheme)</w:t>
      </w:r>
      <w:bookmarkEnd w:id="765"/>
      <w:bookmarkEnd w:id="766"/>
      <w:bookmarkEnd w:id="767"/>
    </w:p>
    <w:p>
      <w:pPr>
        <w:pStyle w:val="ySubsection"/>
        <w:tabs>
          <w:tab w:val="right" w:leader="dot" w:pos="6804"/>
        </w:tabs>
      </w:pPr>
      <w:r>
        <w:tab/>
        <w:t>(1)</w:t>
      </w:r>
      <w:r>
        <w:tab/>
      </w:r>
      <w:r>
        <w:rPr>
          <w:szCs w:val="22"/>
        </w:rPr>
        <w:t xml:space="preserve">For land that </w:t>
      </w:r>
      <w:r>
        <w:t>is</w:t>
      </w:r>
      <w:r>
        <w:rPr>
          <w:szCs w:val="22"/>
        </w:rPr>
        <w:t xml:space="preserve">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r>
      <w:r>
        <w:t>0.385 cents/$</w:t>
      </w:r>
    </w:p>
    <w:p>
      <w:pPr>
        <w:pStyle w:val="yMiscellaneousBody"/>
        <w:spacing w:before="0"/>
        <w:ind w:left="2183" w:right="284" w:hanging="851"/>
        <w:jc w:val="right"/>
      </w:pPr>
      <w:r>
        <w:t>of GRV</w:t>
      </w:r>
    </w:p>
    <w:p>
      <w:pPr>
        <w:pStyle w:val="ySubsection"/>
        <w:tabs>
          <w:tab w:val="right" w:leader="dot" w:pos="6804"/>
        </w:tabs>
        <w:rPr>
          <w:szCs w:val="22"/>
        </w:rPr>
      </w:pPr>
      <w:r>
        <w:tab/>
        <w:t>(2)</w:t>
      </w:r>
      <w:r>
        <w:tab/>
        <w:t xml:space="preserve">The minimum </w:t>
      </w:r>
      <w:r>
        <w:rPr>
          <w:szCs w:val="22"/>
        </w:rPr>
        <w:t>charge</w:t>
      </w:r>
      <w:r>
        <w:t xml:space="preserve"> under this item is </w:t>
      </w:r>
      <w:r>
        <w:tab/>
      </w:r>
      <w:r>
        <w:rPr>
          <w:szCs w:val="22"/>
        </w:rPr>
        <w:t>$140.05</w:t>
      </w:r>
    </w:p>
    <w:p>
      <w:pPr>
        <w:pStyle w:val="yHeading5"/>
      </w:pPr>
      <w:bookmarkStart w:id="768" w:name="_Toc201235787"/>
      <w:bookmarkStart w:id="769" w:name="_Toc201314601"/>
      <w:bookmarkStart w:id="770" w:name="_Toc201745965"/>
      <w:r>
        <w:rPr>
          <w:rStyle w:val="CharSClsNo"/>
        </w:rPr>
        <w:t>7</w:t>
      </w:r>
      <w:r>
        <w:t>.</w:t>
      </w:r>
      <w:r>
        <w:tab/>
        <w:t>Concessional land</w:t>
      </w:r>
      <w:bookmarkEnd w:id="768"/>
      <w:bookmarkEnd w:id="769"/>
      <w:bookmarkEnd w:id="770"/>
    </w:p>
    <w:p>
      <w:pPr>
        <w:pStyle w:val="ySubsection"/>
      </w:pPr>
      <w:r>
        <w:tab/>
      </w:r>
      <w:r>
        <w:tab/>
        <w:t>For concessional land, the charge is the charge set out in item 6, less a discount of 100%.</w:t>
      </w:r>
    </w:p>
    <w:p>
      <w:pPr>
        <w:pStyle w:val="yFootnotesection"/>
      </w:pPr>
      <w:bookmarkStart w:id="771" w:name="_Toc201235788"/>
      <w:bookmarkStart w:id="772" w:name="_Toc201236039"/>
      <w:bookmarkStart w:id="773" w:name="_Toc201236195"/>
      <w:bookmarkStart w:id="774" w:name="_Toc201314602"/>
      <w:r>
        <w:tab/>
        <w:t>[Schedule 5 inserted: SL 2025/101 r. 10.]</w:t>
      </w:r>
    </w:p>
    <w:p>
      <w:pPr>
        <w:pStyle w:val="yScheduleHeading"/>
      </w:pPr>
      <w:bookmarkStart w:id="775" w:name="_Toc201323561"/>
      <w:bookmarkStart w:id="776" w:name="_Toc201324370"/>
      <w:bookmarkStart w:id="777" w:name="_Toc201325053"/>
      <w:bookmarkStart w:id="778" w:name="_Toc201325282"/>
      <w:bookmarkStart w:id="779" w:name="_Toc201325511"/>
      <w:bookmarkStart w:id="780" w:name="_Toc201325973"/>
      <w:bookmarkStart w:id="781" w:name="_Toc201745966"/>
      <w:r>
        <w:rPr>
          <w:rStyle w:val="CharSchNo"/>
        </w:rPr>
        <w:lastRenderedPageBreak/>
        <w:t>Schedule 6</w:t>
      </w:r>
      <w:r>
        <w:t> — </w:t>
      </w:r>
      <w:r>
        <w:rPr>
          <w:rStyle w:val="CharSchText"/>
        </w:rPr>
        <w:t>Irrigation charges for Water Corporation (Ord Irrigation District)</w:t>
      </w:r>
      <w:bookmarkEnd w:id="771"/>
      <w:bookmarkEnd w:id="772"/>
      <w:bookmarkEnd w:id="773"/>
      <w:bookmarkEnd w:id="774"/>
      <w:bookmarkEnd w:id="775"/>
      <w:bookmarkEnd w:id="776"/>
      <w:bookmarkEnd w:id="777"/>
      <w:bookmarkEnd w:id="778"/>
      <w:bookmarkEnd w:id="779"/>
      <w:bookmarkEnd w:id="780"/>
      <w:bookmarkEnd w:id="781"/>
    </w:p>
    <w:p>
      <w:pPr>
        <w:pStyle w:val="yShoulderClause"/>
      </w:pPr>
      <w:r>
        <w:t>[r. 50]</w:t>
      </w:r>
    </w:p>
    <w:p>
      <w:pPr>
        <w:pStyle w:val="yFootnoteheading"/>
      </w:pPr>
      <w:bookmarkStart w:id="782" w:name="_Toc201235789"/>
      <w:bookmarkStart w:id="783" w:name="_Toc201314603"/>
      <w:r>
        <w:tab/>
        <w:t>[Heading inserted: SL 2025/101 r. 10.]</w:t>
      </w:r>
    </w:p>
    <w:p>
      <w:pPr>
        <w:pStyle w:val="yHeading5"/>
      </w:pPr>
      <w:bookmarkStart w:id="784" w:name="_Toc201745967"/>
      <w:r>
        <w:rPr>
          <w:rStyle w:val="CharSClsNo"/>
        </w:rPr>
        <w:t>1</w:t>
      </w:r>
      <w:r>
        <w:t>.</w:t>
      </w:r>
      <w:r>
        <w:tab/>
        <w:t>Irrigation charges for 2025/26 and subsequent years</w:t>
      </w:r>
      <w:bookmarkEnd w:id="782"/>
      <w:bookmarkEnd w:id="783"/>
      <w:bookmarkEnd w:id="784"/>
    </w:p>
    <w:p>
      <w:pPr>
        <w:pStyle w:val="ySubsection"/>
      </w:pPr>
      <w:r>
        <w:tab/>
      </w:r>
      <w:r>
        <w:tab/>
        <w:t>The charges set out in this Schedule apply for irrigation services provided in the</w:t>
      </w:r>
      <w:r>
        <w:rPr>
          <w:szCs w:val="22"/>
        </w:rPr>
        <w:t xml:space="preserve"> </w:t>
      </w:r>
      <w:r>
        <w:t>2025/26 financial year and each subsequent year.</w:t>
      </w:r>
    </w:p>
    <w:p>
      <w:pPr>
        <w:pStyle w:val="yHeading5"/>
      </w:pPr>
      <w:bookmarkStart w:id="785" w:name="_Toc201235790"/>
      <w:bookmarkStart w:id="786" w:name="_Toc201314604"/>
      <w:bookmarkStart w:id="787" w:name="_Toc201745968"/>
      <w:r>
        <w:rPr>
          <w:rStyle w:val="CharSClsNo"/>
        </w:rPr>
        <w:t>2</w:t>
      </w:r>
      <w:r>
        <w:t>.</w:t>
      </w:r>
      <w:r>
        <w:tab/>
        <w:t>Water provided as irrigation service</w:t>
      </w:r>
      <w:bookmarkEnd w:id="785"/>
      <w:bookmarkEnd w:id="786"/>
      <w:bookmarkEnd w:id="787"/>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$338.40</w:t>
      </w:r>
    </w:p>
    <w:p>
      <w:pPr>
        <w:pStyle w:val="yIndenta"/>
        <w:tabs>
          <w:tab w:val="right" w:leader="dot" w:pos="6804"/>
        </w:tabs>
      </w:pPr>
      <w:r>
        <w:tab/>
        <w:t>(b)</w:t>
      </w:r>
      <w:r>
        <w:tab/>
        <w:t>if the maximum area of</w:t>
      </w:r>
      <w:r>
        <w:br/>
        <w:t>land is more than</w:t>
      </w:r>
      <w:r>
        <w:br/>
        <w:t xml:space="preserve">1 hectare </w:t>
      </w:r>
      <w:r>
        <w:tab/>
        <w:t>$338.40 per ha (pro rata)</w:t>
      </w:r>
    </w:p>
    <w:p>
      <w:pPr>
        <w:pStyle w:val="yFootnotesection"/>
      </w:pPr>
      <w:bookmarkStart w:id="788" w:name="_Toc201235791"/>
      <w:bookmarkStart w:id="789" w:name="_Toc201236042"/>
      <w:bookmarkStart w:id="790" w:name="_Toc201236198"/>
      <w:bookmarkStart w:id="791" w:name="_Toc201314605"/>
      <w:r>
        <w:tab/>
        <w:t>[Schedule 6 inserted: SL 2025/101 r. 10.]</w:t>
      </w:r>
    </w:p>
    <w:p>
      <w:pPr>
        <w:pStyle w:val="yScheduleHeading"/>
      </w:pPr>
      <w:bookmarkStart w:id="792" w:name="_Toc201323564"/>
      <w:bookmarkStart w:id="793" w:name="_Toc201324373"/>
      <w:bookmarkStart w:id="794" w:name="_Toc201325056"/>
      <w:bookmarkStart w:id="795" w:name="_Toc201325285"/>
      <w:bookmarkStart w:id="796" w:name="_Toc201325514"/>
      <w:bookmarkStart w:id="797" w:name="_Toc201325976"/>
      <w:bookmarkStart w:id="798" w:name="_Toc201745969"/>
      <w:r>
        <w:rPr>
          <w:rStyle w:val="CharSchNo"/>
        </w:rPr>
        <w:lastRenderedPageBreak/>
        <w:t>Schedule 7</w:t>
      </w:r>
      <w:r>
        <w:t> —</w:t>
      </w:r>
      <w:r>
        <w:rPr>
          <w:rStyle w:val="CharSchText"/>
        </w:rPr>
        <w:t> Miscellaneous charges for Water Corporation</w:t>
      </w:r>
      <w:bookmarkEnd w:id="788"/>
      <w:bookmarkEnd w:id="789"/>
      <w:bookmarkEnd w:id="790"/>
      <w:bookmarkEnd w:id="791"/>
      <w:bookmarkEnd w:id="792"/>
      <w:bookmarkEnd w:id="793"/>
      <w:bookmarkEnd w:id="794"/>
      <w:bookmarkEnd w:id="795"/>
      <w:bookmarkEnd w:id="796"/>
      <w:bookmarkEnd w:id="797"/>
      <w:bookmarkEnd w:id="798"/>
    </w:p>
    <w:p>
      <w:pPr>
        <w:pStyle w:val="yShoulderClause"/>
        <w:keepNext/>
      </w:pPr>
      <w:r>
        <w:t>[r. 51]</w:t>
      </w:r>
    </w:p>
    <w:p>
      <w:pPr>
        <w:pStyle w:val="yFootnoteheading"/>
      </w:pPr>
      <w:bookmarkStart w:id="799" w:name="_Toc201235792"/>
      <w:bookmarkStart w:id="800" w:name="_Toc201314606"/>
      <w:r>
        <w:tab/>
        <w:t>[Heading inserted: SL 2025/101 r. 10.]</w:t>
      </w:r>
    </w:p>
    <w:p>
      <w:pPr>
        <w:pStyle w:val="yHeading5"/>
      </w:pPr>
      <w:bookmarkStart w:id="801" w:name="_Toc201745970"/>
      <w:r>
        <w:rPr>
          <w:rStyle w:val="CharSClsNo"/>
        </w:rPr>
        <w:t>1</w:t>
      </w:r>
      <w:r>
        <w:t>.</w:t>
      </w:r>
      <w:r>
        <w:tab/>
        <w:t>Requests for sub</w:t>
      </w:r>
      <w:r>
        <w:noBreakHyphen/>
        <w:t>meter installations: multi</w:t>
      </w:r>
      <w:r>
        <w:noBreakHyphen/>
        <w:t>unit developments</w:t>
      </w:r>
      <w:bookmarkEnd w:id="799"/>
      <w:bookmarkEnd w:id="800"/>
      <w:bookmarkEnd w:id="801"/>
    </w:p>
    <w:p>
      <w:pPr>
        <w:pStyle w:val="ySubsection"/>
        <w:tabs>
          <w:tab w:val="right" w:leader="dot" w:pos="6804"/>
        </w:tabs>
      </w:pPr>
      <w:r>
        <w:tab/>
      </w:r>
      <w:r>
        <w:tab/>
        <w:t>For assessing a request to supply and connect</w:t>
      </w:r>
      <w:r>
        <w:br/>
        <w:t>1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$130.39</w:t>
      </w:r>
    </w:p>
    <w:p>
      <w:pPr>
        <w:pStyle w:val="yHeading5"/>
      </w:pPr>
      <w:bookmarkStart w:id="802" w:name="_Toc201235793"/>
      <w:bookmarkStart w:id="803" w:name="_Toc201314607"/>
      <w:bookmarkStart w:id="804" w:name="_Toc201745971"/>
      <w:r>
        <w:rPr>
          <w:rStyle w:val="CharSClsNo"/>
        </w:rPr>
        <w:t>2</w:t>
      </w:r>
      <w:r>
        <w:t>.</w:t>
      </w:r>
      <w:r>
        <w:tab/>
        <w:t>Sub</w:t>
      </w:r>
      <w:r>
        <w:noBreakHyphen/>
        <w:t>meter installations: multi</w:t>
      </w:r>
      <w:r>
        <w:noBreakHyphen/>
        <w:t>unit developments</w:t>
      </w:r>
      <w:bookmarkEnd w:id="802"/>
      <w:bookmarkEnd w:id="803"/>
      <w:bookmarkEnd w:id="804"/>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$203.93</w:t>
      </w:r>
    </w:p>
    <w:p>
      <w:pPr>
        <w:pStyle w:val="yHeading5"/>
      </w:pPr>
      <w:bookmarkStart w:id="805" w:name="_Toc201235794"/>
      <w:bookmarkStart w:id="806" w:name="_Toc201314608"/>
      <w:bookmarkStart w:id="807" w:name="_Toc201745972"/>
      <w:r>
        <w:rPr>
          <w:rStyle w:val="CharSClsNo"/>
        </w:rPr>
        <w:t>3</w:t>
      </w:r>
      <w:r>
        <w:t>.</w:t>
      </w:r>
      <w:r>
        <w:tab/>
        <w:t>Testing meters</w:t>
      </w:r>
      <w:bookmarkEnd w:id="805"/>
      <w:bookmarkEnd w:id="806"/>
      <w:bookmarkEnd w:id="807"/>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993"/>
      </w:pPr>
      <w:r>
        <w:t>20</w:t>
      </w:r>
      <w:r>
        <w:noBreakHyphen/>
        <w:t xml:space="preserve">25 mm </w:t>
      </w:r>
      <w:r>
        <w:tab/>
      </w:r>
      <w:r>
        <w:rPr>
          <w:szCs w:val="22"/>
        </w:rPr>
        <w:t>$129.08</w:t>
      </w:r>
    </w:p>
    <w:p>
      <w:pPr>
        <w:pStyle w:val="yMiscellaneousBody"/>
        <w:tabs>
          <w:tab w:val="right" w:leader="dot" w:pos="6804"/>
        </w:tabs>
        <w:ind w:left="993"/>
      </w:pPr>
      <w:r>
        <w:t xml:space="preserve">more than 25 mm </w:t>
      </w:r>
      <w:r>
        <w:tab/>
        <w:t>an amount</w:t>
      </w:r>
    </w:p>
    <w:p>
      <w:pPr>
        <w:pStyle w:val="yMiscellaneousBody"/>
        <w:spacing w:before="0"/>
        <w:ind w:left="2183" w:right="284" w:hanging="851"/>
        <w:jc w:val="right"/>
      </w:pPr>
      <w:r>
        <w:tab/>
        <w:t>equal to the</w:t>
      </w:r>
      <w:r>
        <w:br/>
        <w:t>cost of testing</w:t>
      </w:r>
    </w:p>
    <w:p>
      <w:pPr>
        <w:pStyle w:val="yHeading5"/>
      </w:pPr>
      <w:bookmarkStart w:id="808" w:name="_Toc201235795"/>
      <w:bookmarkStart w:id="809" w:name="_Toc201314609"/>
      <w:bookmarkStart w:id="810" w:name="_Toc201745973"/>
      <w:r>
        <w:rPr>
          <w:rStyle w:val="CharSClsNo"/>
        </w:rPr>
        <w:t>4</w:t>
      </w:r>
      <w:r>
        <w:t>.</w:t>
      </w:r>
      <w:r>
        <w:tab/>
        <w:t>Installing water supply connection</w:t>
      </w:r>
      <w:bookmarkEnd w:id="808"/>
      <w:bookmarkEnd w:id="809"/>
      <w:bookmarkEnd w:id="810"/>
    </w:p>
    <w:p>
      <w:pPr>
        <w:pStyle w:val="ySubsection"/>
        <w:keepNext/>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$1 826.69</w:t>
      </w:r>
    </w:p>
    <w:p>
      <w:pPr>
        <w:pStyle w:val="yMiscellaneousBody"/>
        <w:tabs>
          <w:tab w:val="right" w:leader="dot" w:pos="6804"/>
        </w:tabs>
        <w:ind w:left="993"/>
      </w:pPr>
      <w:r>
        <w:t xml:space="preserve">25 mm </w:t>
      </w:r>
      <w:r>
        <w:tab/>
        <w:t>$2 340.75</w:t>
      </w:r>
    </w:p>
    <w:p>
      <w:pPr>
        <w:pStyle w:val="yMiscellaneousBody"/>
        <w:tabs>
          <w:tab w:val="right" w:leader="dot" w:pos="6804"/>
        </w:tabs>
        <w:ind w:left="993"/>
      </w:pPr>
      <w:r>
        <w:lastRenderedPageBreak/>
        <w:t xml:space="preserve">40 mm </w:t>
      </w:r>
      <w:r>
        <w:tab/>
        <w:t>$4 139.98</w:t>
      </w:r>
    </w:p>
    <w:p>
      <w:pPr>
        <w:pStyle w:val="yMiscellaneousBody"/>
        <w:tabs>
          <w:tab w:val="right" w:leader="dot" w:pos="6804"/>
        </w:tabs>
        <w:ind w:left="993"/>
      </w:pPr>
      <w:r>
        <w:t xml:space="preserve">50 mm </w:t>
      </w:r>
      <w:r>
        <w:tab/>
        <w:t>$5 572.33</w:t>
      </w:r>
    </w:p>
    <w:p>
      <w:pPr>
        <w:pStyle w:val="yMiscellaneousBody"/>
        <w:tabs>
          <w:tab w:val="right" w:leader="dot" w:pos="6804"/>
        </w:tabs>
        <w:ind w:left="993"/>
      </w:pPr>
      <w:r>
        <w:t>80</w:t>
      </w:r>
      <w:r>
        <w:noBreakHyphen/>
        <w:t xml:space="preserve">100 mm </w:t>
      </w:r>
      <w:r>
        <w:tab/>
        <w:t>$9 508.00</w:t>
      </w:r>
    </w:p>
    <w:p>
      <w:pPr>
        <w:pStyle w:val="yMiscellaneousBody"/>
        <w:tabs>
          <w:tab w:val="right" w:leader="dot" w:pos="6804"/>
        </w:tabs>
        <w:ind w:left="993"/>
      </w:pPr>
      <w:r>
        <w:t xml:space="preserve">150 mm </w:t>
      </w:r>
      <w:r>
        <w:tab/>
        <w:t>$12 497.92</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MiscellaneousBody"/>
        <w:tabs>
          <w:tab w:val="left" w:pos="910"/>
          <w:tab w:val="right" w:leader="dot" w:pos="6804"/>
        </w:tabs>
        <w:ind w:left="896" w:hanging="560"/>
      </w:pPr>
      <w:r>
        <w:t>(2)</w:t>
      </w:r>
      <w:r>
        <w:tab/>
        <w:t>For installing a water supply connection in</w:t>
      </w:r>
      <w:r>
        <w:br/>
        <w:t>relation to land in the metropolitan area in</w:t>
      </w:r>
      <w:r>
        <w:br/>
        <w:t xml:space="preserve">the central business districts, the charge is </w:t>
      </w:r>
      <w:r>
        <w:tab/>
        <w:t>an amount</w:t>
      </w:r>
    </w:p>
    <w:p>
      <w:pPr>
        <w:pStyle w:val="yMiscellaneousBody"/>
        <w:tabs>
          <w:tab w:val="right" w:pos="6804"/>
        </w:tabs>
        <w:spacing w:before="0"/>
      </w:pPr>
      <w:r>
        <w:tab/>
        <w:t>equal to the</w:t>
      </w:r>
      <w:r>
        <w:br/>
      </w:r>
      <w:r>
        <w:tab/>
        <w:t>cost of</w:t>
      </w:r>
      <w:r>
        <w:br/>
      </w:r>
      <w:r>
        <w:tab/>
        <w:t>installation</w:t>
      </w:r>
    </w:p>
    <w:p>
      <w:pPr>
        <w:pStyle w:val="yMiscellaneousBody"/>
        <w:tabs>
          <w:tab w:val="left" w:pos="910"/>
          <w:tab w:val="right" w:leader="dot" w:pos="6804"/>
        </w:tabs>
        <w:ind w:left="896" w:hanging="560"/>
      </w:pPr>
      <w:r>
        <w:t>(3)</w:t>
      </w:r>
      <w:r>
        <w:tab/>
        <w:t>For installing a water supply connection in</w:t>
      </w:r>
      <w:r>
        <w:br/>
        <w:t>relation to land in the non</w:t>
      </w:r>
      <w:r>
        <w:noBreakHyphen/>
        <w:t>metropolitan</w:t>
      </w:r>
      <w:r>
        <w:br/>
        <w:t xml:space="preserve">area,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811" w:name="_Toc201235796"/>
      <w:bookmarkStart w:id="812" w:name="_Toc201314610"/>
      <w:bookmarkStart w:id="813" w:name="_Toc201745974"/>
      <w:r>
        <w:rPr>
          <w:rStyle w:val="CharSClsNo"/>
        </w:rPr>
        <w:t>5</w:t>
      </w:r>
      <w:r>
        <w:t>.</w:t>
      </w:r>
      <w:r>
        <w:tab/>
        <w:t>Activating water supply connection</w:t>
      </w:r>
      <w:bookmarkEnd w:id="811"/>
      <w:bookmarkEnd w:id="812"/>
      <w:bookmarkEnd w:id="813"/>
    </w:p>
    <w:p>
      <w:pPr>
        <w:pStyle w:val="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Pr>
          <w:szCs w:val="22"/>
        </w:rPr>
        <w:t>$215.30</w:t>
      </w:r>
    </w:p>
    <w:p>
      <w:pPr>
        <w:pStyle w:val="ySubsection"/>
      </w:pPr>
      <w:r>
        <w:tab/>
        <w:t>(2)</w:t>
      </w:r>
      <w:r>
        <w:tab/>
        <w:t>The charge under this item covers the supply of a meter, stopcock and, if required, a temporary standpipe.</w:t>
      </w:r>
    </w:p>
    <w:p>
      <w:pPr>
        <w:pStyle w:val="yHeading5"/>
      </w:pPr>
      <w:bookmarkStart w:id="814" w:name="_Toc201235797"/>
      <w:bookmarkStart w:id="815" w:name="_Toc201314611"/>
      <w:bookmarkStart w:id="816" w:name="_Toc201745975"/>
      <w:r>
        <w:rPr>
          <w:rStyle w:val="CharSClsNo"/>
        </w:rPr>
        <w:t>6</w:t>
      </w:r>
      <w:r>
        <w:t>.</w:t>
      </w:r>
      <w:r>
        <w:tab/>
        <w:t>Disconnecting water supply connection</w:t>
      </w:r>
      <w:bookmarkEnd w:id="814"/>
      <w:bookmarkEnd w:id="815"/>
      <w:bookmarkEnd w:id="816"/>
    </w:p>
    <w:p>
      <w:pPr>
        <w:pStyle w:val="ySubsection"/>
        <w:tabs>
          <w:tab w:val="right" w:leader="dot" w:pos="6804"/>
        </w:tabs>
      </w:pPr>
      <w:r>
        <w:tab/>
        <w:t>(1)</w:t>
      </w:r>
      <w:r>
        <w:tab/>
        <w:t xml:space="preserve">For disconnecting a water supply connection </w:t>
      </w:r>
      <w:r>
        <w:br/>
        <w:t xml:space="preserve">to land, the charge is </w:t>
      </w:r>
      <w:r>
        <w:tab/>
      </w:r>
      <w:r>
        <w:rPr>
          <w:szCs w:val="22"/>
        </w:rPr>
        <w:t>$1 297.24</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817" w:name="_Toc201235798"/>
      <w:bookmarkStart w:id="818" w:name="_Toc201314612"/>
      <w:bookmarkStart w:id="819" w:name="_Toc201745976"/>
      <w:r>
        <w:rPr>
          <w:rStyle w:val="CharSClsNo"/>
        </w:rPr>
        <w:lastRenderedPageBreak/>
        <w:t>7</w:t>
      </w:r>
      <w:r>
        <w:t>.</w:t>
      </w:r>
      <w:r>
        <w:tab/>
        <w:t>Relocating water supply connection</w:t>
      </w:r>
      <w:bookmarkEnd w:id="817"/>
      <w:bookmarkEnd w:id="818"/>
      <w:bookmarkEnd w:id="819"/>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$797.00</w:t>
      </w:r>
    </w:p>
    <w:p>
      <w:pPr>
        <w:pStyle w:val="yMiscellaneousBody"/>
        <w:tabs>
          <w:tab w:val="right" w:leader="dot" w:pos="6804"/>
        </w:tabs>
        <w:ind w:left="993"/>
      </w:pPr>
      <w:r>
        <w:t xml:space="preserve">25 mm </w:t>
      </w:r>
      <w:r>
        <w:tab/>
        <w:t>$1 300.54</w:t>
      </w:r>
    </w:p>
    <w:p>
      <w:pPr>
        <w:pStyle w:val="yMiscellaneousBody"/>
        <w:tabs>
          <w:tab w:val="right" w:leader="dot" w:pos="6804"/>
        </w:tabs>
        <w:ind w:left="993"/>
      </w:pPr>
      <w:r>
        <w:t xml:space="preserve">40 mm </w:t>
      </w:r>
      <w:r>
        <w:tab/>
        <w:t>$2 286.93</w:t>
      </w:r>
    </w:p>
    <w:p>
      <w:pPr>
        <w:pStyle w:val="yMiscellaneousBody"/>
        <w:tabs>
          <w:tab w:val="right" w:leader="dot" w:pos="6804"/>
        </w:tabs>
        <w:ind w:left="993"/>
      </w:pPr>
      <w:r>
        <w:t xml:space="preserve">50 mm </w:t>
      </w:r>
      <w:r>
        <w:tab/>
        <w:t>$3 072.30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the cost of</w:t>
      </w:r>
      <w:r>
        <w:br/>
      </w:r>
      <w:r>
        <w:tab/>
        <w:t>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$2 016.71</w:t>
      </w:r>
    </w:p>
    <w:p>
      <w:pPr>
        <w:pStyle w:val="yMiscellaneousBody"/>
        <w:tabs>
          <w:tab w:val="right" w:leader="dot" w:pos="6804"/>
        </w:tabs>
        <w:ind w:left="993"/>
      </w:pPr>
      <w:r>
        <w:t xml:space="preserve">25 mm </w:t>
      </w:r>
      <w:r>
        <w:tab/>
        <w:t>$2 529.68</w:t>
      </w:r>
    </w:p>
    <w:p>
      <w:pPr>
        <w:pStyle w:val="yMiscellaneousBody"/>
        <w:tabs>
          <w:tab w:val="right" w:leader="dot" w:pos="6804"/>
        </w:tabs>
        <w:ind w:left="993"/>
      </w:pPr>
      <w:r>
        <w:t xml:space="preserve">40 mm </w:t>
      </w:r>
      <w:r>
        <w:tab/>
        <w:t>$4 330.00</w:t>
      </w:r>
    </w:p>
    <w:p>
      <w:pPr>
        <w:pStyle w:val="yMiscellaneousBody"/>
        <w:tabs>
          <w:tab w:val="right" w:leader="dot" w:pos="6804"/>
        </w:tabs>
        <w:ind w:left="993"/>
      </w:pPr>
      <w:r>
        <w:t xml:space="preserve">50 mm </w:t>
      </w:r>
      <w:r>
        <w:tab/>
        <w:t>$5 760.16</w:t>
      </w:r>
    </w:p>
    <w:p>
      <w:pPr>
        <w:pStyle w:val="yMiscellaneousBody"/>
        <w:tabs>
          <w:tab w:val="right" w:leader="dot" w:pos="6804"/>
        </w:tabs>
        <w:ind w:left="993"/>
      </w:pPr>
      <w:r>
        <w:t>80</w:t>
      </w:r>
      <w:r>
        <w:noBreakHyphen/>
        <w:t xml:space="preserve">100 mm </w:t>
      </w:r>
      <w:r>
        <w:tab/>
        <w:t>$9 696.93</w:t>
      </w:r>
    </w:p>
    <w:p>
      <w:pPr>
        <w:pStyle w:val="yMiscellaneousBody"/>
        <w:tabs>
          <w:tab w:val="right" w:leader="dot" w:pos="6804"/>
        </w:tabs>
        <w:ind w:left="993"/>
      </w:pPr>
      <w:r>
        <w:t xml:space="preserve">150 mm </w:t>
      </w:r>
      <w:r>
        <w:tab/>
        <w:t>$12 687.95</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keepNext/>
        <w:tabs>
          <w:tab w:val="right" w:leader="dot" w:pos="6804"/>
        </w:tabs>
      </w:pPr>
      <w:r>
        <w:lastRenderedPageBreak/>
        <w:tab/>
        <w:t>(3)</w:t>
      </w:r>
      <w:r>
        <w:tab/>
        <w:t xml:space="preserve">For relocating a water supply connection </w:t>
      </w:r>
      <w:r>
        <w:br/>
        <w:t xml:space="preserve">in relation to land in the central business </w:t>
      </w:r>
      <w:r>
        <w:br/>
        <w:t xml:space="preserve">districts, the charge is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(4)</w:t>
      </w:r>
      <w:r>
        <w:tab/>
        <w:t xml:space="preserve">For relocating a water supply connection </w:t>
      </w:r>
      <w:r>
        <w:br/>
        <w:t>in relation to land in the non</w:t>
      </w:r>
      <w:r>
        <w:noBreakHyphen/>
        <w:t>metropolitan</w:t>
      </w:r>
      <w:r>
        <w:br/>
        <w:t xml:space="preserve">area,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820" w:name="_Toc201235799"/>
      <w:bookmarkStart w:id="821" w:name="_Toc201314613"/>
      <w:bookmarkStart w:id="822" w:name="_Toc201745977"/>
      <w:r>
        <w:rPr>
          <w:rStyle w:val="CharSClsNo"/>
        </w:rPr>
        <w:t>8</w:t>
      </w:r>
      <w:r>
        <w:t>.</w:t>
      </w:r>
      <w:r>
        <w:tab/>
        <w:t>Proposal to connect to sewer</w:t>
      </w:r>
      <w:bookmarkEnd w:id="820"/>
      <w:bookmarkEnd w:id="821"/>
      <w:bookmarkEnd w:id="822"/>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$37.08</w:t>
      </w:r>
    </w:p>
    <w:p>
      <w:pPr>
        <w:pStyle w:val="yHeading5"/>
      </w:pPr>
      <w:bookmarkStart w:id="823" w:name="_Toc201235800"/>
      <w:bookmarkStart w:id="824" w:name="_Toc201314614"/>
      <w:bookmarkStart w:id="825" w:name="_Toc201745978"/>
      <w:r>
        <w:rPr>
          <w:rStyle w:val="CharSClsNo"/>
        </w:rPr>
        <w:t>9</w:t>
      </w:r>
      <w:r>
        <w:t>.</w:t>
      </w:r>
      <w:r>
        <w:tab/>
        <w:t>Installing sewer junction</w:t>
      </w:r>
      <w:bookmarkEnd w:id="823"/>
      <w:bookmarkEnd w:id="824"/>
      <w:bookmarkEnd w:id="825"/>
    </w:p>
    <w:p>
      <w:pPr>
        <w:pStyle w:val="ySubsection"/>
      </w:pPr>
      <w:r>
        <w:tab/>
      </w:r>
      <w:r>
        <w:tab/>
        <w:t xml:space="preserve">For </w:t>
      </w:r>
      <w:r>
        <w:rPr>
          <w:szCs w:val="22"/>
        </w:rPr>
        <w:t>installing</w:t>
      </w:r>
      <w:r>
        <w:t xml:space="preserve"> a sewer junction for land, the charge, according to the size of the sewer, is —</w:t>
      </w:r>
    </w:p>
    <w:p>
      <w:pPr>
        <w:pStyle w:val="yMiscellaneousBody"/>
        <w:tabs>
          <w:tab w:val="right" w:leader="dot" w:pos="6804"/>
        </w:tabs>
        <w:ind w:left="993"/>
      </w:pPr>
      <w:r>
        <w:t xml:space="preserve">100 mm </w:t>
      </w:r>
      <w:r>
        <w:tab/>
        <w:t>$950.43</w:t>
      </w:r>
    </w:p>
    <w:p>
      <w:pPr>
        <w:pStyle w:val="yMiscellaneousBody"/>
        <w:tabs>
          <w:tab w:val="right" w:leader="dot" w:pos="6804"/>
        </w:tabs>
        <w:ind w:left="993"/>
      </w:pPr>
      <w:r>
        <w:t xml:space="preserve">150 mm </w:t>
      </w:r>
      <w:r>
        <w:tab/>
        <w:t>$1 164.81</w:t>
      </w:r>
    </w:p>
    <w:p>
      <w:pPr>
        <w:pStyle w:val="yHeading5"/>
      </w:pPr>
      <w:bookmarkStart w:id="826" w:name="_Toc201235801"/>
      <w:bookmarkStart w:id="827" w:name="_Toc201314615"/>
      <w:bookmarkStart w:id="828" w:name="_Toc201745979"/>
      <w:r>
        <w:rPr>
          <w:rStyle w:val="CharSClsNo"/>
        </w:rPr>
        <w:t>10</w:t>
      </w:r>
      <w:r>
        <w:t>.</w:t>
      </w:r>
      <w:r>
        <w:tab/>
        <w:t>Hire of standpipe for fire hydrant</w:t>
      </w:r>
      <w:bookmarkEnd w:id="826"/>
      <w:bookmarkEnd w:id="827"/>
      <w:bookmarkEnd w:id="828"/>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$132.44</w:t>
      </w:r>
    </w:p>
    <w:p>
      <w:pPr>
        <w:pStyle w:val="ySubsection"/>
        <w:keepNext/>
      </w:pPr>
      <w:r>
        <w:tab/>
        <w:t>(2)</w:t>
      </w:r>
      <w:r>
        <w:tab/>
        <w:t xml:space="preserve">For the hire of a standpipe from the Water </w:t>
      </w:r>
      <w:r>
        <w:br/>
        <w:t xml:space="preserve">Corporation for attachment to a fire hydrant </w:t>
      </w:r>
      <w:r>
        <w:br/>
        <w:t xml:space="preserve">connected to water supply works of the Water </w:t>
      </w:r>
      <w:r>
        <w:br/>
      </w:r>
      <w:r>
        <w:lastRenderedPageBreak/>
        <w:t xml:space="preserve">Corporation in the metropolitan area, the charge, </w:t>
      </w:r>
      <w:r>
        <w:br/>
        <w:t>according to the size of the standpipe’s meter, is —</w:t>
      </w:r>
    </w:p>
    <w:p>
      <w:pPr>
        <w:pStyle w:val="yMiscellaneousBody"/>
        <w:keepNext/>
        <w:tabs>
          <w:tab w:val="right" w:leader="dot" w:pos="6804"/>
        </w:tabs>
        <w:ind w:left="993"/>
      </w:pPr>
      <w:r>
        <w:t xml:space="preserve">25 mm or less </w:t>
      </w:r>
      <w:r>
        <w:tab/>
      </w:r>
      <w:r>
        <w:rPr>
          <w:szCs w:val="22"/>
        </w:rPr>
        <w:t>$272.38</w:t>
      </w:r>
      <w:r>
        <w:t>/month</w:t>
      </w:r>
    </w:p>
    <w:p>
      <w:pPr>
        <w:pStyle w:val="yMiscellaneousBody"/>
        <w:tabs>
          <w:tab w:val="right" w:pos="6804"/>
        </w:tabs>
        <w:spacing w:before="0"/>
      </w:pPr>
      <w:r>
        <w:tab/>
        <w:t>pro </w:t>
      </w:r>
      <w:r>
        <w:rPr>
          <w:szCs w:val="22"/>
        </w:rPr>
        <w:t>rata</w:t>
      </w:r>
    </w:p>
    <w:p>
      <w:pPr>
        <w:pStyle w:val="yMiscellaneousBody"/>
        <w:tabs>
          <w:tab w:val="right" w:leader="dot" w:pos="6804"/>
        </w:tabs>
        <w:ind w:left="993"/>
      </w:pPr>
      <w:r>
        <w:t xml:space="preserve">more than 25 mm </w:t>
      </w:r>
      <w:r>
        <w:tab/>
      </w:r>
      <w:r>
        <w:rPr>
          <w:szCs w:val="22"/>
        </w:rPr>
        <w:t>$455.81</w:t>
      </w:r>
      <w:r>
        <w:t>/month</w:t>
      </w:r>
    </w:p>
    <w:p>
      <w:pPr>
        <w:pStyle w:val="yMiscellaneousBody"/>
        <w:tabs>
          <w:tab w:val="right" w:pos="6804"/>
        </w:tabs>
        <w:spacing w:before="0"/>
      </w:pPr>
      <w:r>
        <w:tab/>
        <w:t>pro </w:t>
      </w:r>
      <w:r>
        <w:rPr>
          <w:szCs w:val="22"/>
        </w:rPr>
        <w:t>rata</w:t>
      </w:r>
    </w:p>
    <w:p>
      <w:pPr>
        <w:pStyle w:val="yHeading5"/>
      </w:pPr>
      <w:bookmarkStart w:id="829" w:name="_Toc201235802"/>
      <w:bookmarkStart w:id="830" w:name="_Toc201314616"/>
      <w:bookmarkStart w:id="831" w:name="_Toc201745980"/>
      <w:r>
        <w:rPr>
          <w:rStyle w:val="CharSClsNo"/>
        </w:rPr>
        <w:t>11</w:t>
      </w:r>
      <w:r>
        <w:t>.</w:t>
      </w:r>
      <w:r>
        <w:tab/>
        <w:t>Trade waste: services in relation to discharge</w:t>
      </w:r>
      <w:bookmarkEnd w:id="829"/>
      <w:bookmarkEnd w:id="830"/>
      <w:bookmarkEnd w:id="831"/>
    </w:p>
    <w:p>
      <w:pPr>
        <w:pStyle w:val="ySubsection"/>
      </w:pPr>
      <w:r>
        <w:tab/>
        <w:t>(1)</w:t>
      </w:r>
      <w:r>
        <w:tab/>
        <w:t xml:space="preserve">In this item — </w:t>
      </w:r>
    </w:p>
    <w:p>
      <w:pPr>
        <w:pStyle w:val="yDefstart"/>
      </w:pPr>
      <w:r>
        <w:tab/>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pPr>
        <w:pStyle w:val="ySubsection"/>
      </w:pPr>
      <w:r>
        <w:tab/>
        <w:t>(2)</w:t>
      </w:r>
      <w:r>
        <w:tab/>
        <w:t>For the following services in relation to the discharge of trade waste into a sewer of the Water Corporation, the charge is —</w:t>
      </w:r>
    </w:p>
    <w:p>
      <w:pPr>
        <w:pStyle w:val="yIndenta"/>
        <w:tabs>
          <w:tab w:val="right" w:leader="dot" w:pos="6804"/>
        </w:tabs>
      </w:pPr>
      <w:r>
        <w:tab/>
        <w:t>(a)</w:t>
      </w:r>
      <w:r>
        <w:tab/>
        <w:t xml:space="preserve">for inspection </w:t>
      </w:r>
      <w:r>
        <w:tab/>
        <w:t>$169.18/hour</w:t>
      </w:r>
    </w:p>
    <w:p>
      <w:pPr>
        <w:pStyle w:val="yIndenta"/>
        <w:tabs>
          <w:tab w:val="right" w:leader="dot" w:pos="6804"/>
        </w:tabs>
      </w:pPr>
      <w:r>
        <w:tab/>
        <w:t>(b)</w:t>
      </w:r>
      <w:r>
        <w:tab/>
        <w:t xml:space="preserve">for a meter reading </w:t>
      </w:r>
      <w:r>
        <w:tab/>
        <w:t>$46.16</w:t>
      </w:r>
    </w:p>
    <w:p>
      <w:pPr>
        <w:pStyle w:val="yIndenta"/>
        <w:tabs>
          <w:tab w:val="right" w:leader="dot" w:pos="6804"/>
        </w:tabs>
      </w:pPr>
      <w:r>
        <w:tab/>
        <w:t>(c)</w:t>
      </w:r>
      <w:r>
        <w:tab/>
        <w:t xml:space="preserve">for a grab sample </w:t>
      </w:r>
      <w:r>
        <w:tab/>
        <w:t>$521.73</w:t>
      </w:r>
    </w:p>
    <w:p>
      <w:pPr>
        <w:pStyle w:val="yIndenta"/>
        <w:tabs>
          <w:tab w:val="right" w:leader="dot" w:pos="6804"/>
        </w:tabs>
      </w:pPr>
      <w:r>
        <w:tab/>
        <w:t>(d)</w:t>
      </w:r>
      <w:r>
        <w:tab/>
        <w:t xml:space="preserve">for a composite sample </w:t>
      </w:r>
      <w:r>
        <w:tab/>
        <w:t>$826.43</w:t>
      </w:r>
    </w:p>
    <w:p>
      <w:pPr>
        <w:pStyle w:val="yIndenta"/>
        <w:tabs>
          <w:tab w:val="right" w:leader="dot" w:pos="6804"/>
        </w:tabs>
        <w:rPr>
          <w:szCs w:val="22"/>
        </w:rPr>
      </w:pPr>
      <w:r>
        <w:tab/>
        <w:t>(e)</w:t>
      </w:r>
      <w:r>
        <w:tab/>
        <w:t xml:space="preserve">for additional analysis </w:t>
      </w:r>
      <w:r>
        <w:tab/>
      </w:r>
      <w:r>
        <w:rPr>
          <w:szCs w:val="22"/>
        </w:rPr>
        <w:t xml:space="preserve">an amount equal to </w:t>
      </w:r>
    </w:p>
    <w:p>
      <w:pPr>
        <w:pStyle w:val="yMiscellaneousBody"/>
        <w:spacing w:before="0"/>
        <w:ind w:left="2183" w:right="284" w:hanging="851"/>
        <w:jc w:val="right"/>
      </w:pPr>
      <w:r>
        <w:t xml:space="preserve">the actual cost to the </w:t>
      </w:r>
      <w:r>
        <w:br/>
        <w:t xml:space="preserve">Water Corporation </w:t>
      </w:r>
      <w:r>
        <w:br/>
        <w:t xml:space="preserve">of conducting the </w:t>
      </w:r>
      <w:r>
        <w:br/>
        <w:t>additional analysis</w:t>
      </w:r>
    </w:p>
    <w:p>
      <w:pPr>
        <w:pStyle w:val="yIndenta"/>
        <w:tabs>
          <w:tab w:val="right" w:leader="dot" w:pos="6804"/>
        </w:tabs>
      </w:pPr>
      <w:r>
        <w:tab/>
        <w:t>(f)</w:t>
      </w:r>
      <w:r>
        <w:tab/>
        <w:t>for assessing an application to</w:t>
      </w:r>
      <w:r>
        <w:br/>
        <w:t xml:space="preserve">discharge </w:t>
      </w:r>
      <w:r>
        <w:tab/>
      </w:r>
      <w:r>
        <w:rPr>
          <w:szCs w:val="22"/>
        </w:rPr>
        <w:t>$153.88/hour</w:t>
      </w:r>
    </w:p>
    <w:p>
      <w:pPr>
        <w:pStyle w:val="yHeading5"/>
      </w:pPr>
      <w:bookmarkStart w:id="832" w:name="_Toc201235803"/>
      <w:bookmarkStart w:id="833" w:name="_Toc201314617"/>
      <w:bookmarkStart w:id="834" w:name="_Toc201745981"/>
      <w:r>
        <w:rPr>
          <w:rStyle w:val="CharSClsNo"/>
        </w:rPr>
        <w:t>12</w:t>
      </w:r>
      <w:r>
        <w:t>.</w:t>
      </w:r>
      <w:r>
        <w:tab/>
        <w:t>Trade waste: product evaluation services</w:t>
      </w:r>
      <w:bookmarkEnd w:id="832"/>
      <w:bookmarkEnd w:id="833"/>
      <w:bookmarkEnd w:id="834"/>
    </w:p>
    <w:p>
      <w:pPr>
        <w:pStyle w:val="ySubsection"/>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tabs>
          <w:tab w:val="right" w:leader="dot" w:pos="6804"/>
        </w:tabs>
      </w:pPr>
      <w:r>
        <w:lastRenderedPageBreak/>
        <w:tab/>
        <w:t>(2)</w:t>
      </w:r>
      <w:r>
        <w:tab/>
        <w:t>For product evaluation in relation to the</w:t>
      </w:r>
      <w:r>
        <w:br/>
        <w:t>discharge of trade waste into a sewer of</w:t>
      </w:r>
      <w:r>
        <w:br/>
        <w:t xml:space="preserve">the Water Corporation, the charge is </w:t>
      </w:r>
      <w:r>
        <w:tab/>
      </w:r>
      <w:r>
        <w:rPr>
          <w:szCs w:val="22"/>
        </w:rPr>
        <w:t>$201.97</w:t>
      </w:r>
      <w:r>
        <w:t>/hour</w:t>
      </w:r>
    </w:p>
    <w:p>
      <w:pPr>
        <w:pStyle w:val="yHeading5"/>
      </w:pPr>
      <w:bookmarkStart w:id="835" w:name="_Toc201235804"/>
      <w:bookmarkStart w:id="836" w:name="_Toc201314618"/>
      <w:bookmarkStart w:id="837" w:name="_Toc201745982"/>
      <w:r>
        <w:rPr>
          <w:rStyle w:val="CharSClsNo"/>
        </w:rPr>
        <w:t>13</w:t>
      </w:r>
      <w:r>
        <w:t>.</w:t>
      </w:r>
      <w:r>
        <w:tab/>
        <w:t>Trade waste: one</w:t>
      </w:r>
      <w:r>
        <w:noBreakHyphen/>
        <w:t>off discharge services</w:t>
      </w:r>
      <w:bookmarkEnd w:id="835"/>
      <w:bookmarkEnd w:id="836"/>
      <w:bookmarkEnd w:id="837"/>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$153.88</w:t>
      </w:r>
      <w:r>
        <w:t>/hour</w:t>
      </w:r>
    </w:p>
    <w:p>
      <w:pPr>
        <w:pStyle w:val="yHeading5"/>
      </w:pPr>
      <w:bookmarkStart w:id="838" w:name="_Toc201235805"/>
      <w:bookmarkStart w:id="839" w:name="_Toc201314619"/>
      <w:bookmarkStart w:id="840" w:name="_Toc201745983"/>
      <w:r>
        <w:rPr>
          <w:rStyle w:val="CharSClsNo"/>
        </w:rPr>
        <w:t>14</w:t>
      </w:r>
      <w:r>
        <w:t>.</w:t>
      </w:r>
      <w:r>
        <w:tab/>
        <w:t>Meter reading and other information</w:t>
      </w:r>
      <w:bookmarkEnd w:id="838"/>
      <w:bookmarkEnd w:id="839"/>
      <w:bookmarkEnd w:id="840"/>
    </w:p>
    <w:p>
      <w:pPr>
        <w:pStyle w:val="ySubsection"/>
      </w:pPr>
      <w:r>
        <w:tab/>
      </w:r>
      <w:r>
        <w:tab/>
        <w:t xml:space="preserve">For — </w:t>
      </w:r>
    </w:p>
    <w:p>
      <w:pPr>
        <w:pStyle w:val="yIndenta"/>
        <w:tabs>
          <w:tab w:val="right" w:leader="dot" w:pos="6804"/>
        </w:tabs>
      </w:pPr>
      <w:r>
        <w:tab/>
        <w:t>(a)</w:t>
      </w:r>
      <w:r>
        <w:tab/>
        <w:t xml:space="preserve">a meter reading, the charge is </w:t>
      </w:r>
      <w:r>
        <w:tab/>
        <w:t>$24.63</w:t>
      </w:r>
    </w:p>
    <w:p>
      <w:pPr>
        <w:pStyle w:val="yIndenta"/>
        <w:tabs>
          <w:tab w:val="right" w:leader="dot" w:pos="6804"/>
        </w:tabs>
      </w:pPr>
      <w:r>
        <w:tab/>
        <w:t>(b)</w:t>
      </w:r>
      <w:r>
        <w:tab/>
        <w:t xml:space="preserve">an urgent meter reading, the charge is </w:t>
      </w:r>
      <w:r>
        <w:tab/>
        <w:t>$37.79</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$33.73</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$46.88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$105.28</w:t>
      </w:r>
      <w:r>
        <w:t>/hour</w:t>
      </w:r>
    </w:p>
    <w:p>
      <w:pPr>
        <w:pStyle w:val="yIndenta"/>
        <w:spacing w:before="0"/>
        <w:ind w:right="284"/>
        <w:jc w:val="right"/>
      </w:pPr>
      <w:r>
        <w:t>or part hour</w:t>
      </w:r>
    </w:p>
    <w:p>
      <w:pPr>
        <w:pStyle w:val="yHeading5"/>
      </w:pPr>
      <w:bookmarkStart w:id="841" w:name="_Toc201235806"/>
      <w:bookmarkStart w:id="842" w:name="_Toc201314620"/>
      <w:bookmarkStart w:id="843" w:name="_Toc201745984"/>
      <w:r>
        <w:rPr>
          <w:rStyle w:val="CharSClsNo"/>
        </w:rPr>
        <w:t>15</w:t>
      </w:r>
      <w:r>
        <w:t>.</w:t>
      </w:r>
      <w:r>
        <w:tab/>
        <w:t>Copies of records</w:t>
      </w:r>
      <w:bookmarkEnd w:id="841"/>
      <w:bookmarkEnd w:id="842"/>
      <w:bookmarkEnd w:id="843"/>
    </w:p>
    <w:p>
      <w:pPr>
        <w:pStyle w:val="ySubsection"/>
        <w:tabs>
          <w:tab w:val="right" w:leader="dot" w:pos="6804"/>
        </w:tabs>
      </w:pPr>
      <w:r>
        <w:tab/>
      </w:r>
      <w:r>
        <w:tab/>
        <w:t xml:space="preserve">For a copy of records under the </w:t>
      </w:r>
      <w:r>
        <w:br/>
      </w:r>
      <w:r>
        <w:rPr>
          <w:i/>
          <w:iCs/>
        </w:rPr>
        <w:t>Water Services Regulations 2013</w:t>
      </w:r>
      <w:r>
        <w:t xml:space="preserve"> </w:t>
      </w:r>
      <w:r>
        <w:br/>
        <w:t xml:space="preserve">regulation 65(4)(b), the charge is </w:t>
      </w:r>
      <w:r>
        <w:tab/>
        <w:t>$20.35 per record</w:t>
      </w:r>
    </w:p>
    <w:p>
      <w:pPr>
        <w:pStyle w:val="yFootnotesection"/>
      </w:pPr>
      <w:r>
        <w:tab/>
        <w:t>[Schedule 7 inserted: SL 2025/101 r. 10.]</w:t>
      </w:r>
    </w:p>
    <w:bookmarkEnd w:id="221"/>
    <w:p>
      <w:pPr>
        <w:pStyle w:val="yFootnotesection"/>
      </w:pPr>
    </w:p>
    <w:p>
      <w:pPr>
        <w:sectPr>
          <w:headerReference w:type="even" r:id="rId26"/>
          <w:headerReference w:type="default" r:id="rId27"/>
          <w:pgSz w:w="11907" w:h="16840" w:code="9"/>
          <w:pgMar w:top="2381" w:right="2410" w:bottom="3544" w:left="2410" w:header="720" w:footer="3544" w:gutter="0"/>
          <w:cols w:space="720"/>
          <w:docGrid w:linePitch="326"/>
        </w:sectPr>
      </w:pPr>
    </w:p>
    <w:p>
      <w:pPr>
        <w:pStyle w:val="yScheduleHeading"/>
      </w:pPr>
      <w:bookmarkStart w:id="844" w:name="_Toc201314457"/>
      <w:bookmarkStart w:id="845" w:name="_Toc201323580"/>
      <w:bookmarkStart w:id="846" w:name="_Toc201324389"/>
      <w:bookmarkStart w:id="847" w:name="_Toc201325072"/>
      <w:bookmarkStart w:id="848" w:name="_Toc201325301"/>
      <w:bookmarkStart w:id="849" w:name="_Toc201325530"/>
      <w:bookmarkStart w:id="850" w:name="_Toc201325992"/>
      <w:bookmarkStart w:id="851" w:name="_Toc201745985"/>
      <w:r>
        <w:rPr>
          <w:rStyle w:val="CharSchNo"/>
        </w:rPr>
        <w:lastRenderedPageBreak/>
        <w:t>Schedule 8</w:t>
      </w:r>
      <w:r>
        <w:rPr>
          <w:rStyle w:val="CharSDivNo"/>
        </w:rPr>
        <w:t> </w:t>
      </w:r>
      <w:r>
        <w:t>—</w:t>
      </w:r>
      <w:r>
        <w:rPr>
          <w:rStyle w:val="CharSDivText"/>
        </w:rPr>
        <w:t> </w:t>
      </w:r>
      <w:r>
        <w:rPr>
          <w:rStyle w:val="CharSchText"/>
        </w:rPr>
        <w:t>Government trading organisations</w:t>
      </w:r>
      <w:bookmarkEnd w:id="844"/>
      <w:bookmarkEnd w:id="845"/>
      <w:bookmarkEnd w:id="846"/>
      <w:bookmarkEnd w:id="847"/>
      <w:bookmarkEnd w:id="848"/>
      <w:bookmarkEnd w:id="849"/>
      <w:bookmarkEnd w:id="850"/>
      <w:bookmarkEnd w:id="851"/>
    </w:p>
    <w:p>
      <w:pPr>
        <w:pStyle w:val="yShoulderClause"/>
      </w:pPr>
      <w:r>
        <w:t>[r. 16(1)]</w:t>
      </w:r>
    </w:p>
    <w:p>
      <w:pPr>
        <w:pStyle w:val="yMiscellaneousHeading"/>
        <w:rPr>
          <w:b/>
          <w:bCs/>
          <w:snapToGrid w:val="0"/>
        </w:rPr>
      </w:pPr>
      <w:r>
        <w:rPr>
          <w:b/>
          <w:bCs/>
          <w:snapToGrid w:val="0"/>
        </w:rPr>
        <w:t>Government trading organisations</w:t>
      </w:r>
    </w:p>
    <w:p>
      <w:pPr>
        <w:pStyle w:val="yEdnotesubsection"/>
      </w:pPr>
      <w:r>
        <w:t>[1, 2.</w:t>
      </w:r>
      <w:r>
        <w:tab/>
      </w:r>
      <w:r>
        <w:tab/>
        <w:t>deleted]</w:t>
      </w:r>
    </w:p>
    <w:p>
      <w:pPr>
        <w:pStyle w:val="yNumberedItem"/>
      </w:pPr>
      <w:r>
        <w:t>2A.</w:t>
      </w:r>
      <w:r>
        <w:tab/>
        <w:t xml:space="preserve">Arts and Culture Trust established under the </w:t>
      </w:r>
      <w:r>
        <w:rPr>
          <w:i/>
        </w:rPr>
        <w:t xml:space="preserve">Arts and Culture Trust Act 2021 </w:t>
      </w:r>
      <w:r>
        <w:t>section 7.</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referred to in the </w:t>
      </w:r>
      <w:r>
        <w:rPr>
          <w:i/>
        </w:rPr>
        <w:t>Housing Act 1980</w:t>
      </w:r>
      <w:r>
        <w:t xml:space="preserve"> section 6(4).</w:t>
      </w:r>
    </w:p>
    <w:p>
      <w:pPr>
        <w:pStyle w:val="yNumberedItem"/>
      </w:pPr>
      <w:r>
        <w:t>11.</w:t>
      </w:r>
      <w:r>
        <w:tab/>
        <w:t xml:space="preserve">Kimberley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Ednotesubsection"/>
      </w:pPr>
      <w:r>
        <w:t>[16.</w:t>
      </w:r>
      <w:r>
        <w:tab/>
      </w:r>
      <w:r>
        <w:tab/>
        <w:t>deleted]</w:t>
      </w:r>
    </w:p>
    <w:p>
      <w:pPr>
        <w:pStyle w:val="yNumberedItem"/>
      </w:pPr>
      <w:r>
        <w:lastRenderedPageBreak/>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 SL 2022/2 r. 4; SL 2022/82 r. 20.]</w:t>
      </w:r>
    </w:p>
    <w:p>
      <w:pPr>
        <w:pStyle w:val="yFootnotesection"/>
        <w:sectPr>
          <w:headerReference w:type="even" r:id="rId28"/>
          <w:headerReference w:type="default" r:id="rId29"/>
          <w:headerReference w:type="first" r:id="rId30"/>
          <w:pgSz w:w="11907" w:h="16840" w:code="9"/>
          <w:pgMar w:top="2376" w:right="2405" w:bottom="3542" w:left="2405" w:header="706" w:footer="3544" w:gutter="0"/>
          <w:cols w:space="720"/>
          <w:noEndnote/>
          <w:docGrid w:linePitch="326"/>
        </w:sectPr>
      </w:pPr>
    </w:p>
    <w:p>
      <w:pPr>
        <w:pStyle w:val="yScheduleHeading"/>
      </w:pPr>
      <w:bookmarkStart w:id="852" w:name="_Toc201314458"/>
      <w:bookmarkStart w:id="853" w:name="_Toc201323581"/>
      <w:bookmarkStart w:id="854" w:name="_Toc201324390"/>
      <w:bookmarkStart w:id="855" w:name="_Toc201325073"/>
      <w:bookmarkStart w:id="856" w:name="_Toc201325302"/>
      <w:bookmarkStart w:id="857" w:name="_Toc201325531"/>
      <w:bookmarkStart w:id="858" w:name="_Toc201325993"/>
      <w:bookmarkStart w:id="859" w:name="_Toc201745986"/>
      <w:r>
        <w:rPr>
          <w:rStyle w:val="CharSchNo"/>
        </w:rPr>
        <w:lastRenderedPageBreak/>
        <w:t>Schedule 9</w:t>
      </w:r>
      <w:r>
        <w:rPr>
          <w:rStyle w:val="CharSDivNo"/>
        </w:rPr>
        <w:t> </w:t>
      </w:r>
      <w:r>
        <w:t>—</w:t>
      </w:r>
      <w:r>
        <w:rPr>
          <w:rStyle w:val="CharSDivText"/>
        </w:rPr>
        <w:t> </w:t>
      </w:r>
      <w:r>
        <w:rPr>
          <w:rStyle w:val="CharSchText"/>
        </w:rPr>
        <w:t>Central business districts</w:t>
      </w:r>
      <w:bookmarkEnd w:id="852"/>
      <w:bookmarkEnd w:id="853"/>
      <w:bookmarkEnd w:id="854"/>
      <w:bookmarkEnd w:id="855"/>
      <w:bookmarkEnd w:id="856"/>
      <w:bookmarkEnd w:id="857"/>
      <w:bookmarkEnd w:id="858"/>
      <w:bookmarkEnd w:id="859"/>
    </w:p>
    <w:p>
      <w:pPr>
        <w:pStyle w:val="yShoulderClause"/>
      </w:pPr>
      <w:r>
        <w:t>[r. 16(1)]</w:t>
      </w:r>
    </w:p>
    <w:p>
      <w:pPr>
        <w:pStyle w:val="yHeading5"/>
      </w:pPr>
      <w:bookmarkStart w:id="860" w:name="_Toc201745987"/>
      <w:r>
        <w:rPr>
          <w:rStyle w:val="CharSClsNo"/>
        </w:rPr>
        <w:t>1</w:t>
      </w:r>
      <w:r>
        <w:t>.</w:t>
      </w:r>
      <w:r>
        <w:tab/>
        <w:t>Central business districts</w:t>
      </w:r>
      <w:bookmarkEnd w:id="860"/>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31"/>
          <w:headerReference w:type="default" r:id="rId32"/>
          <w:pgSz w:w="11907" w:h="16840" w:code="9"/>
          <w:pgMar w:top="2376" w:right="2405" w:bottom="3542" w:left="2405" w:header="706" w:footer="3544" w:gutter="0"/>
          <w:cols w:space="720"/>
          <w:noEndnote/>
          <w:docGrid w:linePitch="326"/>
        </w:sectPr>
      </w:pPr>
    </w:p>
    <w:p>
      <w:pPr>
        <w:pStyle w:val="yScheduleHeading"/>
      </w:pPr>
      <w:bookmarkStart w:id="861" w:name="_Toc201314460"/>
      <w:bookmarkStart w:id="862" w:name="_Toc201323583"/>
      <w:bookmarkStart w:id="863" w:name="_Toc201324392"/>
      <w:bookmarkStart w:id="864" w:name="_Toc201325075"/>
      <w:bookmarkStart w:id="865" w:name="_Toc201325304"/>
      <w:bookmarkStart w:id="866" w:name="_Toc201325533"/>
      <w:bookmarkStart w:id="867" w:name="_Toc201325995"/>
      <w:bookmarkStart w:id="868" w:name="_Toc201745988"/>
      <w:r>
        <w:rPr>
          <w:rStyle w:val="CharSchNo"/>
        </w:rPr>
        <w:lastRenderedPageBreak/>
        <w:t>Schedule 10</w:t>
      </w:r>
      <w:r>
        <w:t> — </w:t>
      </w:r>
      <w:r>
        <w:rPr>
          <w:rStyle w:val="CharSchText"/>
        </w:rPr>
        <w:t>Class of town or area: current consumption year</w:t>
      </w:r>
      <w:bookmarkEnd w:id="861"/>
      <w:bookmarkEnd w:id="862"/>
      <w:bookmarkEnd w:id="863"/>
      <w:bookmarkEnd w:id="864"/>
      <w:bookmarkEnd w:id="865"/>
      <w:bookmarkEnd w:id="866"/>
      <w:bookmarkEnd w:id="867"/>
      <w:bookmarkEnd w:id="868"/>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lastRenderedPageBreak/>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lastRenderedPageBreak/>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 amended: SL 2022/82 r. 21; SL 2023/66 r. 9; SL 2024/117 r. 10.]</w:t>
      </w:r>
    </w:p>
    <w:p>
      <w:pPr>
        <w:pStyle w:val="yScheduleHeading"/>
      </w:pPr>
      <w:bookmarkStart w:id="869" w:name="_Toc201314461"/>
      <w:bookmarkStart w:id="870" w:name="_Toc201323584"/>
      <w:bookmarkStart w:id="871" w:name="_Toc201324393"/>
      <w:bookmarkStart w:id="872" w:name="_Toc201325076"/>
      <w:bookmarkStart w:id="873" w:name="_Toc201325305"/>
      <w:bookmarkStart w:id="874" w:name="_Toc201325534"/>
      <w:bookmarkStart w:id="875" w:name="_Toc201325996"/>
      <w:bookmarkStart w:id="876" w:name="_Toc201745989"/>
      <w:r>
        <w:rPr>
          <w:rStyle w:val="CharSchNo"/>
        </w:rPr>
        <w:lastRenderedPageBreak/>
        <w:t>Schedule 11</w:t>
      </w:r>
      <w:r>
        <w:t> — </w:t>
      </w:r>
      <w:r>
        <w:rPr>
          <w:rStyle w:val="CharSchText"/>
        </w:rPr>
        <w:t>Class of town or area: previous consumption year</w:t>
      </w:r>
      <w:bookmarkEnd w:id="869"/>
      <w:bookmarkEnd w:id="870"/>
      <w:bookmarkEnd w:id="871"/>
      <w:bookmarkEnd w:id="872"/>
      <w:bookmarkEnd w:id="873"/>
      <w:bookmarkEnd w:id="874"/>
      <w:bookmarkEnd w:id="875"/>
      <w:bookmarkEnd w:id="876"/>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lastRenderedPageBreak/>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rPr>
                <w:szCs w:val="18"/>
              </w:rPr>
              <w:t>15</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lastRenderedPageBreak/>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lastRenderedPageBreak/>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 amended: SL 2022/82 r. 22; SL 2023/66 r. 10; SL 2024/117 r. 11; SL 2025/101 r. 11.]</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pgSz w:w="11907" w:h="16840" w:code="9"/>
          <w:pgMar w:top="2376" w:right="2405" w:bottom="3542" w:left="2405" w:header="706" w:footer="3544" w:gutter="0"/>
          <w:cols w:space="720"/>
          <w:noEndnote/>
          <w:docGrid w:linePitch="326"/>
        </w:sectPr>
      </w:pPr>
    </w:p>
    <w:p>
      <w:pPr>
        <w:pStyle w:val="nHeading2"/>
      </w:pPr>
      <w:bookmarkStart w:id="877" w:name="_Toc201314462"/>
      <w:bookmarkStart w:id="878" w:name="_Toc201323585"/>
      <w:bookmarkStart w:id="879" w:name="_Toc201324394"/>
      <w:bookmarkStart w:id="880" w:name="_Toc201325077"/>
      <w:bookmarkStart w:id="881" w:name="_Toc201325306"/>
      <w:bookmarkStart w:id="882" w:name="_Toc201325535"/>
      <w:bookmarkStart w:id="883" w:name="_Toc201325997"/>
      <w:bookmarkStart w:id="884" w:name="_Toc201745990"/>
      <w:r>
        <w:lastRenderedPageBreak/>
        <w:t>Notes</w:t>
      </w:r>
      <w:bookmarkEnd w:id="877"/>
      <w:bookmarkEnd w:id="878"/>
      <w:bookmarkEnd w:id="879"/>
      <w:bookmarkEnd w:id="880"/>
      <w:bookmarkEnd w:id="881"/>
      <w:bookmarkEnd w:id="882"/>
      <w:bookmarkEnd w:id="883"/>
      <w:bookmarkEnd w:id="884"/>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p>
    <w:p>
      <w:pPr>
        <w:pStyle w:val="nHeading3"/>
      </w:pPr>
      <w:bookmarkStart w:id="885" w:name="_Toc201745991"/>
      <w:r>
        <w:t>Compilation table</w:t>
      </w:r>
      <w:bookmarkEnd w:id="88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886" w:name="OLE_LINK1"/>
            <w:r>
              <w:rPr>
                <w:i/>
              </w:rPr>
              <w:t>Water Services (Water Corporations Charges) Amendment Regulations 2017</w:t>
            </w:r>
            <w:bookmarkEnd w:id="886"/>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pPr>
              <w:pStyle w:val="nTable"/>
              <w:spacing w:after="40"/>
            </w:pPr>
            <w:r>
              <w:t>SL 2021/144 13 Aug 2021</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2022</w:t>
            </w:r>
          </w:p>
        </w:tc>
        <w:tc>
          <w:tcPr>
            <w:tcW w:w="1276" w:type="dxa"/>
            <w:gridSpan w:val="2"/>
            <w:tcBorders>
              <w:top w:val="nil"/>
              <w:bottom w:val="nil"/>
            </w:tcBorders>
            <w:shd w:val="clear" w:color="auto" w:fill="auto"/>
          </w:tcPr>
          <w:p>
            <w:pPr>
              <w:pStyle w:val="nTable"/>
              <w:spacing w:after="40"/>
            </w:pPr>
            <w:r>
              <w:t>SL 2022/2 18 Jan 2022</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18 Jan 2022</w:t>
            </w:r>
            <w:r>
              <w:rPr>
                <w:bCs/>
                <w:snapToGrid w:val="0"/>
              </w:rPr>
              <w:t xml:space="preserve"> (see r. 2(a));</w:t>
            </w:r>
            <w:r>
              <w:rPr>
                <w:bCs/>
                <w:snapToGrid w:val="0"/>
              </w:rPr>
              <w:br/>
            </w:r>
            <w:r>
              <w:t>Regulations other than r. 1 and 2: 1 Jul 2022 (see r. 2(b) and SL 2022/77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2022</w:t>
            </w:r>
            <w:r>
              <w:t xml:space="preserve"> Pt. 2</w:t>
            </w:r>
          </w:p>
        </w:tc>
        <w:tc>
          <w:tcPr>
            <w:tcW w:w="1276" w:type="dxa"/>
            <w:gridSpan w:val="2"/>
            <w:tcBorders>
              <w:top w:val="nil"/>
              <w:bottom w:val="nil"/>
            </w:tcBorders>
            <w:shd w:val="clear" w:color="auto" w:fill="auto"/>
          </w:tcPr>
          <w:p>
            <w:pPr>
              <w:pStyle w:val="nTable"/>
              <w:spacing w:after="40"/>
            </w:pPr>
            <w:r>
              <w:t>SL 2022/82 17 Jun 2022</w:t>
            </w:r>
          </w:p>
        </w:tc>
        <w:tc>
          <w:tcPr>
            <w:tcW w:w="2693" w:type="dxa"/>
            <w:gridSpan w:val="2"/>
            <w:tcBorders>
              <w:top w:val="nil"/>
              <w:bottom w:val="nil"/>
            </w:tcBorders>
            <w:shd w:val="clear" w:color="auto" w:fill="auto"/>
          </w:tcPr>
          <w:p>
            <w:pPr>
              <w:pStyle w:val="nTable"/>
              <w:spacing w:after="40"/>
              <w:rPr>
                <w:bCs/>
                <w:snapToGrid w:val="0"/>
              </w:rPr>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2023</w:t>
            </w:r>
            <w:r>
              <w:t xml:space="preserve"> Pt. 2</w:t>
            </w:r>
          </w:p>
        </w:tc>
        <w:tc>
          <w:tcPr>
            <w:tcW w:w="1276" w:type="dxa"/>
            <w:gridSpan w:val="2"/>
            <w:tcBorders>
              <w:top w:val="nil"/>
              <w:bottom w:val="nil"/>
            </w:tcBorders>
            <w:shd w:val="clear" w:color="auto" w:fill="auto"/>
          </w:tcPr>
          <w:p>
            <w:pPr>
              <w:pStyle w:val="nTable"/>
              <w:spacing w:after="40"/>
            </w:pPr>
            <w:r>
              <w:t>SL 2023/66 16 Jun 2023</w:t>
            </w:r>
          </w:p>
        </w:tc>
        <w:tc>
          <w:tcPr>
            <w:tcW w:w="2693" w:type="dxa"/>
            <w:gridSpan w:val="2"/>
            <w:tcBorders>
              <w:top w:val="nil"/>
              <w:bottom w:val="nil"/>
            </w:tcBorders>
            <w:shd w:val="clear" w:color="auto" w:fill="auto"/>
          </w:tcPr>
          <w:p>
            <w:pPr>
              <w:pStyle w:val="nTable"/>
              <w:spacing w:after="40"/>
            </w:pPr>
            <w:r>
              <w:t>1 Jul 2023 (see r. 2(b))</w:t>
            </w:r>
          </w:p>
        </w:tc>
      </w:tr>
      <w:tr>
        <w:trPr>
          <w:cantSplit/>
        </w:trPr>
        <w:tc>
          <w:tcPr>
            <w:tcW w:w="3118" w:type="dxa"/>
            <w:tcBorders>
              <w:top w:val="nil"/>
              <w:bottom w:val="nil"/>
            </w:tcBorders>
            <w:shd w:val="clear" w:color="auto" w:fill="auto"/>
          </w:tcPr>
          <w:p>
            <w:pPr>
              <w:pStyle w:val="nTable"/>
              <w:spacing w:after="40"/>
              <w:ind w:right="113"/>
              <w:rPr>
                <w:i/>
              </w:rPr>
            </w:pPr>
            <w:r>
              <w:rPr>
                <w:i/>
              </w:rPr>
              <w:lastRenderedPageBreak/>
              <w:t xml:space="preserve">Water Services Regulations Amendment (Fees and Charges) Regulations 2024 </w:t>
            </w:r>
            <w:r>
              <w:rPr>
                <w:iCs/>
              </w:rPr>
              <w:t>Pt. 3</w:t>
            </w:r>
          </w:p>
        </w:tc>
        <w:tc>
          <w:tcPr>
            <w:tcW w:w="1276" w:type="dxa"/>
            <w:gridSpan w:val="2"/>
            <w:tcBorders>
              <w:top w:val="nil"/>
              <w:bottom w:val="nil"/>
            </w:tcBorders>
            <w:shd w:val="clear" w:color="auto" w:fill="auto"/>
          </w:tcPr>
          <w:p>
            <w:pPr>
              <w:pStyle w:val="nTable"/>
              <w:spacing w:after="40"/>
            </w:pPr>
            <w:r>
              <w:t>SL 2024/117 26 Jun 2024</w:t>
            </w:r>
          </w:p>
        </w:tc>
        <w:tc>
          <w:tcPr>
            <w:tcW w:w="2693" w:type="dxa"/>
            <w:gridSpan w:val="2"/>
            <w:tcBorders>
              <w:top w:val="nil"/>
              <w:bottom w:val="nil"/>
            </w:tcBorders>
            <w:shd w:val="clear" w:color="auto" w:fill="auto"/>
          </w:tcPr>
          <w:p>
            <w:pPr>
              <w:pStyle w:val="nTable"/>
              <w:spacing w:after="40"/>
            </w:pPr>
            <w:r>
              <w:t>1 Jul 2024 (see r. 2(b))</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 xml:space="preserve">Water Services Regulations Amendment (Fees and Charges) Regulations 2025 </w:t>
            </w:r>
            <w:r>
              <w:rPr>
                <w:iCs/>
              </w:rPr>
              <w:t>Pt. 3</w:t>
            </w:r>
          </w:p>
        </w:tc>
        <w:tc>
          <w:tcPr>
            <w:tcW w:w="1276" w:type="dxa"/>
            <w:gridSpan w:val="2"/>
            <w:tcBorders>
              <w:top w:val="nil"/>
              <w:bottom w:val="single" w:sz="4" w:space="0" w:color="auto"/>
            </w:tcBorders>
            <w:shd w:val="clear" w:color="auto" w:fill="auto"/>
          </w:tcPr>
          <w:p>
            <w:pPr>
              <w:pStyle w:val="nTable"/>
              <w:spacing w:after="40"/>
            </w:pPr>
            <w:r>
              <w:t>SL 2025/101 25 Jun 2024</w:t>
            </w:r>
          </w:p>
        </w:tc>
        <w:tc>
          <w:tcPr>
            <w:tcW w:w="2693" w:type="dxa"/>
            <w:gridSpan w:val="2"/>
            <w:tcBorders>
              <w:top w:val="nil"/>
              <w:bottom w:val="single" w:sz="4" w:space="0" w:color="auto"/>
            </w:tcBorders>
            <w:shd w:val="clear" w:color="auto" w:fill="auto"/>
          </w:tcPr>
          <w:p>
            <w:pPr>
              <w:pStyle w:val="nTable"/>
              <w:spacing w:after="40"/>
            </w:pPr>
            <w:r>
              <w:t>1 Jul 2025 (see r. 2(b))</w:t>
            </w:r>
          </w:p>
        </w:tc>
      </w:tr>
    </w:tbl>
    <w:p>
      <w:pPr>
        <w:pStyle w:val="nHeading3"/>
      </w:pPr>
      <w:bookmarkStart w:id="887" w:name="_Toc201745992"/>
      <w:r>
        <w:t>Other notes</w:t>
      </w:r>
      <w:bookmarkEnd w:id="887"/>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6"/>
          <w:headerReference w:type="default" r:id="rId37"/>
          <w:pgSz w:w="11907" w:h="16840" w:code="9"/>
          <w:pgMar w:top="2376" w:right="2404" w:bottom="3544" w:left="2404" w:header="720" w:footer="3544" w:gutter="0"/>
          <w:cols w:space="720"/>
          <w:noEndnote/>
          <w:docGrid w:linePitch="326"/>
        </w:sectPr>
      </w:pPr>
    </w:p>
    <w:p>
      <w:pPr>
        <w:pStyle w:val="nHeading2"/>
        <w:rPr>
          <w:sz w:val="28"/>
        </w:rPr>
      </w:pPr>
      <w:bookmarkStart w:id="889" w:name="_Toc201314465"/>
      <w:bookmarkStart w:id="890" w:name="_Toc201323588"/>
      <w:bookmarkStart w:id="891" w:name="_Toc201324397"/>
      <w:bookmarkStart w:id="892" w:name="_Toc201325080"/>
      <w:bookmarkStart w:id="893" w:name="_Toc201325309"/>
      <w:bookmarkStart w:id="894" w:name="_Toc201325538"/>
      <w:bookmarkStart w:id="895" w:name="_Toc201326000"/>
      <w:bookmarkStart w:id="896" w:name="_Toc201745993"/>
      <w:r>
        <w:rPr>
          <w:sz w:val="28"/>
        </w:rPr>
        <w:lastRenderedPageBreak/>
        <w:t>Defined terms</w:t>
      </w:r>
      <w:bookmarkEnd w:id="889"/>
      <w:bookmarkEnd w:id="890"/>
      <w:bookmarkEnd w:id="891"/>
      <w:bookmarkEnd w:id="892"/>
      <w:bookmarkEnd w:id="893"/>
      <w:bookmarkEnd w:id="894"/>
      <w:bookmarkEnd w:id="895"/>
      <w:bookmarkEnd w:id="8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additional analysis</w:t>
      </w:r>
      <w:r>
        <w:tab/>
        <w:t>Sch. 7 cl. 11(1)</w:t>
      </w:r>
    </w:p>
    <w:p>
      <w:pPr>
        <w:pStyle w:val="DefinedTerms"/>
      </w:pPr>
      <w:r>
        <w:t>aged home</w:t>
      </w:r>
      <w:r>
        <w:tab/>
        <w:t>16(1)</w:t>
      </w:r>
    </w:p>
    <w:p>
      <w:pPr>
        <w:pStyle w:val="DefinedTerms"/>
      </w:pPr>
      <w:r>
        <w:t>alienated land</w:t>
      </w:r>
      <w:r>
        <w:tab/>
        <w:t>16(1)</w:t>
      </w:r>
    </w:p>
    <w:p>
      <w:pPr>
        <w:pStyle w:val="DefinedTerms"/>
      </w:pPr>
      <w:r>
        <w:t>approved meter</w:t>
      </w:r>
      <w:r>
        <w:tab/>
        <w:t>23(1)</w:t>
      </w:r>
    </w:p>
    <w:p>
      <w:pPr>
        <w:pStyle w:val="DefinedTerms"/>
      </w:pPr>
      <w:r>
        <w:t>B.O.D.</w:t>
      </w:r>
      <w:r>
        <w:tab/>
        <w:t>Sch. 4 cl. 32(1)</w:t>
      </w:r>
    </w:p>
    <w:p>
      <w:pPr>
        <w:pStyle w:val="DefinedTerms"/>
      </w:pPr>
      <w:r>
        <w:t>boundary volume</w:t>
      </w:r>
      <w:r>
        <w:tab/>
        <w:t>16(1)</w:t>
      </w:r>
    </w:p>
    <w:p>
      <w:pPr>
        <w:pStyle w:val="DefinedTerms"/>
      </w:pPr>
      <w:r>
        <w:t>caravan bay</w:t>
      </w:r>
      <w:r>
        <w:tab/>
        <w:t>16(1)</w:t>
      </w:r>
    </w:p>
    <w:p>
      <w:pPr>
        <w:pStyle w:val="DefinedTerms"/>
      </w:pPr>
      <w:r>
        <w:t>central business districts</w:t>
      </w:r>
      <w:r>
        <w:tab/>
        <w:t>16(1)</w:t>
      </w:r>
    </w:p>
    <w:p>
      <w:pPr>
        <w:pStyle w:val="DefinedTerms"/>
      </w:pPr>
      <w:r>
        <w:t>change of circumstances</w:t>
      </w:r>
      <w:r>
        <w:tab/>
        <w:t>16(1)</w:t>
      </w:r>
    </w:p>
    <w:p>
      <w:pPr>
        <w:pStyle w:val="DefinedTerms"/>
      </w:pPr>
      <w:r>
        <w:t>charge period</w:t>
      </w:r>
      <w:r>
        <w:tab/>
        <w:t>3(1)</w:t>
      </w:r>
    </w:p>
    <w:p>
      <w:pPr>
        <w:pStyle w:val="DefinedTerms"/>
      </w:pPr>
      <w:r>
        <w:t>charitable purposes</w:t>
      </w:r>
      <w:r>
        <w:tab/>
        <w:t>16(1)</w:t>
      </w:r>
    </w:p>
    <w:p>
      <w:pPr>
        <w:pStyle w:val="DefinedTerms"/>
      </w:pPr>
      <w:r>
        <w:t>c/kg</w:t>
      </w:r>
      <w:r>
        <w:tab/>
        <w:t>Sch. 4 cl. 32(1)</w:t>
      </w:r>
    </w:p>
    <w:p>
      <w:pPr>
        <w:pStyle w:val="DefinedTerms"/>
      </w:pPr>
      <w:r>
        <w:t>c/kL</w:t>
      </w:r>
      <w:r>
        <w:tab/>
        <w:t>Sch. 4 cl. 32(1)</w:t>
      </w:r>
    </w:p>
    <w:p>
      <w:pPr>
        <w:pStyle w:val="DefinedTerms"/>
      </w:pPr>
      <w:r>
        <w:t>combined charge</w:t>
      </w:r>
      <w:r>
        <w:tab/>
        <w:t>42(1)</w:t>
      </w:r>
    </w:p>
    <w:p>
      <w:pPr>
        <w:pStyle w:val="DefinedTerms"/>
      </w:pPr>
      <w:r>
        <w:t>commercial standpipe</w:t>
      </w:r>
      <w:r>
        <w:tab/>
        <w:t>36A(1)</w:t>
      </w:r>
    </w:p>
    <w:p>
      <w:pPr>
        <w:pStyle w:val="DefinedTerms"/>
      </w:pPr>
      <w:r>
        <w:t>Commonwealth seniors health card</w:t>
      </w:r>
      <w:r>
        <w:tab/>
        <w:t>3(1)</w:t>
      </w:r>
    </w:p>
    <w:p>
      <w:pPr>
        <w:pStyle w:val="DefinedTerms"/>
      </w:pPr>
      <w:r>
        <w:t>community titles scheme</w:t>
      </w:r>
      <w:r>
        <w:tab/>
        <w:t>16(1)</w:t>
      </w:r>
    </w:p>
    <w:p>
      <w:pPr>
        <w:pStyle w:val="DefinedTerms"/>
      </w:pPr>
      <w:r>
        <w:t>concessional land</w:t>
      </w:r>
      <w:r>
        <w:tab/>
        <w:t>16(1)</w:t>
      </w:r>
    </w:p>
    <w:p>
      <w:pPr>
        <w:pStyle w:val="DefinedTerms"/>
      </w:pPr>
      <w:r>
        <w:t>concession card holder</w:t>
      </w:r>
      <w:r>
        <w:tab/>
        <w:t>16(1)</w:t>
      </w:r>
    </w:p>
    <w:p>
      <w:pPr>
        <w:pStyle w:val="DefinedTerms"/>
      </w:pPr>
      <w:r>
        <w:t>consumption year</w:t>
      </w:r>
      <w:r>
        <w:tab/>
        <w:t>6, 11, 16(1)</w:t>
      </w:r>
    </w:p>
    <w:p>
      <w:pPr>
        <w:pStyle w:val="DefinedTerms"/>
      </w:pPr>
      <w:r>
        <w:t>desalinated water</w:t>
      </w:r>
      <w:r>
        <w:tab/>
        <w:t>16(1)</w:t>
      </w:r>
    </w:p>
    <w:p>
      <w:pPr>
        <w:pStyle w:val="DefinedTerms"/>
      </w:pPr>
      <w:r>
        <w:t>development</w:t>
      </w:r>
      <w:r>
        <w:tab/>
        <w:t>47(4)</w:t>
      </w:r>
    </w:p>
    <w:p>
      <w:pPr>
        <w:pStyle w:val="DefinedTerms"/>
      </w:pPr>
      <w:r>
        <w:t>discharge factor</w:t>
      </w:r>
      <w:r>
        <w:tab/>
        <w:t>16(1)</w:t>
      </w:r>
    </w:p>
    <w:p>
      <w:pPr>
        <w:pStyle w:val="DefinedTerms"/>
      </w:pPr>
      <w:r>
        <w:t>discharge volume</w:t>
      </w:r>
      <w:r>
        <w:tab/>
        <w:t>16(1)</w:t>
      </w:r>
    </w:p>
    <w:p>
      <w:pPr>
        <w:pStyle w:val="DefinedTerms"/>
      </w:pPr>
      <w:r>
        <w:t>discharge year</w:t>
      </w:r>
      <w:r>
        <w:tab/>
        <w:t>16(1)</w:t>
      </w:r>
    </w:p>
    <w:p>
      <w:pPr>
        <w:pStyle w:val="DefinedTerms"/>
      </w:pPr>
      <w:r>
        <w:t>drainage area</w:t>
      </w:r>
      <w:r>
        <w:tab/>
        <w:t>16(1)</w:t>
      </w:r>
    </w:p>
    <w:p>
      <w:pPr>
        <w:pStyle w:val="DefinedTerms"/>
      </w:pPr>
      <w:r>
        <w:t>drainage charge</w:t>
      </w:r>
      <w:r>
        <w:tab/>
        <w:t>16(1)</w:t>
      </w:r>
    </w:p>
    <w:p>
      <w:pPr>
        <w:pStyle w:val="DefinedTerms"/>
      </w:pPr>
      <w:r>
        <w:t>eligible pensioner</w:t>
      </w:r>
      <w:r>
        <w:tab/>
        <w:t>3(1)</w:t>
      </w:r>
    </w:p>
    <w:p>
      <w:pPr>
        <w:pStyle w:val="DefinedTerms"/>
      </w:pPr>
      <w:r>
        <w:t>financial year</w:t>
      </w:r>
      <w:r>
        <w:tab/>
        <w:t>6, 11, 16(1)</w:t>
      </w:r>
    </w:p>
    <w:p>
      <w:pPr>
        <w:pStyle w:val="DefinedTerms"/>
      </w:pPr>
      <w:r>
        <w:t>garden service connection</w:t>
      </w:r>
      <w:r>
        <w:tab/>
        <w:t>3(1)</w:t>
      </w:r>
    </w:p>
    <w:p>
      <w:pPr>
        <w:pStyle w:val="DefinedTerms"/>
      </w:pPr>
      <w:r>
        <w:t>government trading organisation</w:t>
      </w:r>
      <w:r>
        <w:tab/>
        <w:t>16(1)</w:t>
      </w:r>
    </w:p>
    <w:p>
      <w:pPr>
        <w:pStyle w:val="DefinedTerms"/>
      </w:pPr>
      <w:r>
        <w:t>GRV</w:t>
      </w:r>
      <w:r>
        <w:tab/>
        <w:t>16(1)</w:t>
      </w:r>
    </w:p>
    <w:p>
      <w:pPr>
        <w:pStyle w:val="DefinedTerms"/>
      </w:pPr>
      <w:r>
        <w:t>holiday accommodation</w:t>
      </w:r>
      <w:r>
        <w:tab/>
        <w:t>16(1)</w:t>
      </w:r>
    </w:p>
    <w:p>
      <w:pPr>
        <w:pStyle w:val="DefinedTerms"/>
      </w:pPr>
      <w:r>
        <w:t>Housing Authority</w:t>
      </w:r>
      <w:r>
        <w:tab/>
        <w:t>16(1)</w:t>
      </w:r>
    </w:p>
    <w:p>
      <w:pPr>
        <w:pStyle w:val="DefinedTerms"/>
      </w:pPr>
      <w:r>
        <w:t>hydrant standpipe</w:t>
      </w:r>
      <w:r>
        <w:tab/>
        <w:t>16(1)</w:t>
      </w:r>
    </w:p>
    <w:p>
      <w:pPr>
        <w:pStyle w:val="DefinedTerms"/>
      </w:pPr>
      <w:r>
        <w:t>irrigation district</w:t>
      </w:r>
      <w:r>
        <w:tab/>
        <w:t>16(1)</w:t>
      </w:r>
    </w:p>
    <w:p>
      <w:pPr>
        <w:pStyle w:val="DefinedTerms"/>
      </w:pPr>
      <w:r>
        <w:t>irrigation works</w:t>
      </w:r>
      <w:r>
        <w:tab/>
        <w:t>16(1)</w:t>
      </w:r>
    </w:p>
    <w:p>
      <w:pPr>
        <w:pStyle w:val="DefinedTerms"/>
      </w:pPr>
      <w:r>
        <w:t>local government standpipe</w:t>
      </w:r>
      <w:r>
        <w:tab/>
        <w:t>16(1)</w:t>
      </w:r>
    </w:p>
    <w:p>
      <w:pPr>
        <w:pStyle w:val="DefinedTerms"/>
      </w:pPr>
      <w:r>
        <w:t>long-term residential caravan bay</w:t>
      </w:r>
      <w:r>
        <w:tab/>
        <w:t>16(1)</w:t>
      </w:r>
    </w:p>
    <w:p>
      <w:pPr>
        <w:pStyle w:val="DefinedTerms"/>
      </w:pPr>
      <w:r>
        <w:lastRenderedPageBreak/>
        <w:t>lot</w:t>
      </w:r>
      <w:r>
        <w:tab/>
        <w:t>6, 11, 16(1)</w:t>
      </w:r>
    </w:p>
    <w:p>
      <w:pPr>
        <w:pStyle w:val="DefinedTerms"/>
      </w:pPr>
      <w:r>
        <w:t>major fixture</w:t>
      </w:r>
      <w:r>
        <w:tab/>
        <w:t>16(1)</w:t>
      </w:r>
    </w:p>
    <w:p>
      <w:pPr>
        <w:pStyle w:val="DefinedTerms"/>
      </w:pPr>
      <w:r>
        <w:t>non-commercial government property</w:t>
      </w:r>
      <w:r>
        <w:tab/>
        <w:t>16(1)</w:t>
      </w:r>
    </w:p>
    <w:p>
      <w:pPr>
        <w:pStyle w:val="DefinedTerms"/>
      </w:pPr>
      <w:r>
        <w:t>non-profit private organisation</w:t>
      </w:r>
      <w:r>
        <w:tab/>
        <w:t>16(1)</w:t>
      </w:r>
    </w:p>
    <w:p>
      <w:pPr>
        <w:pStyle w:val="DefinedTerms"/>
      </w:pPr>
      <w:r>
        <w:t>non-residential lot</w:t>
      </w:r>
      <w:r>
        <w:tab/>
        <w:t>6, 11</w:t>
      </w:r>
    </w:p>
    <w:p>
      <w:pPr>
        <w:pStyle w:val="DefinedTerms"/>
      </w:pPr>
      <w:r>
        <w:t>nursing home</w:t>
      </w:r>
      <w:r>
        <w:tab/>
        <w:t>16(1)</w:t>
      </w:r>
    </w:p>
    <w:p>
      <w:pPr>
        <w:pStyle w:val="DefinedTerms"/>
      </w:pPr>
      <w:r>
        <w:t>old provision</w:t>
      </w:r>
      <w:r>
        <w:tab/>
        <w:t>55(1)</w:t>
      </w:r>
    </w:p>
    <w:p>
      <w:pPr>
        <w:pStyle w:val="DefinedTerms"/>
      </w:pPr>
      <w:r>
        <w:t>park home</w:t>
      </w:r>
      <w:r>
        <w:tab/>
        <w:t>16(1)</w:t>
      </w:r>
    </w:p>
    <w:p>
      <w:pPr>
        <w:pStyle w:val="DefinedTerms"/>
      </w:pPr>
      <w:r>
        <w:t>permitted surcharge</w:t>
      </w:r>
      <w:r>
        <w:tab/>
        <w:t>15A(1), 20(1)</w:t>
      </w:r>
    </w:p>
    <w:p>
      <w:pPr>
        <w:pStyle w:val="DefinedTerms"/>
      </w:pPr>
      <w:r>
        <w:t>product evaluation</w:t>
      </w:r>
      <w:r>
        <w:tab/>
        <w:t>Sch. 7 cl. 12(1)</w:t>
      </w:r>
    </w:p>
    <w:p>
      <w:pPr>
        <w:pStyle w:val="DefinedTerms"/>
      </w:pPr>
      <w:r>
        <w:t>public land</w:t>
      </w:r>
      <w:r>
        <w:tab/>
        <w:t>16(1)</w:t>
      </w:r>
    </w:p>
    <w:p>
      <w:pPr>
        <w:pStyle w:val="DefinedTerms"/>
      </w:pPr>
      <w:r>
        <w:t>RBA Standard No. 3 of 2016</w:t>
      </w:r>
      <w:r>
        <w:tab/>
        <w:t>15A(1), 20(1)</w:t>
      </w:r>
    </w:p>
    <w:p>
      <w:pPr>
        <w:pStyle w:val="DefinedTerms"/>
      </w:pPr>
      <w:r>
        <w:t>registered pensioner</w:t>
      </w:r>
      <w:r>
        <w:tab/>
        <w:t>3(1)</w:t>
      </w:r>
    </w:p>
    <w:p>
      <w:pPr>
        <w:pStyle w:val="DefinedTerms"/>
      </w:pPr>
      <w:r>
        <w:t>registered senior</w:t>
      </w:r>
      <w:r>
        <w:tab/>
        <w:t>3(1)</w:t>
      </w:r>
    </w:p>
    <w:p>
      <w:pPr>
        <w:pStyle w:val="DefinedTerms"/>
      </w:pPr>
      <w:r>
        <w:t>residential lot</w:t>
      </w:r>
      <w:r>
        <w:tab/>
        <w:t>6, 11</w:t>
      </w:r>
    </w:p>
    <w:p>
      <w:pPr>
        <w:pStyle w:val="DefinedTerms"/>
      </w:pPr>
      <w:r>
        <w:t>residential property</w:t>
      </w:r>
      <w:r>
        <w:tab/>
        <w:t>16(1)</w:t>
      </w:r>
    </w:p>
    <w:p>
      <w:pPr>
        <w:pStyle w:val="DefinedTerms"/>
      </w:pPr>
      <w:r>
        <w:t>residential rate</w:t>
      </w:r>
      <w:r>
        <w:tab/>
        <w:t>27(3)</w:t>
      </w:r>
    </w:p>
    <w:p>
      <w:pPr>
        <w:pStyle w:val="DefinedTerms"/>
      </w:pPr>
      <w:r>
        <w:t>retirement village</w:t>
      </w:r>
      <w:r>
        <w:tab/>
        <w:t>16(1)</w:t>
      </w:r>
    </w:p>
    <w:p>
      <w:pPr>
        <w:pStyle w:val="DefinedTerms"/>
      </w:pPr>
      <w:r>
        <w:t>rural land</w:t>
      </w:r>
      <w:r>
        <w:tab/>
        <w:t>47(4)</w:t>
      </w:r>
    </w:p>
    <w:p>
      <w:pPr>
        <w:pStyle w:val="DefinedTerms"/>
      </w:pPr>
      <w:r>
        <w:t>scheme plan</w:t>
      </w:r>
      <w:r>
        <w:tab/>
        <w:t>16(1)</w:t>
      </w:r>
    </w:p>
    <w:p>
      <w:pPr>
        <w:pStyle w:val="DefinedTerms"/>
      </w:pPr>
      <w:r>
        <w:t>semi-rural residential property</w:t>
      </w:r>
      <w:r>
        <w:tab/>
        <w:t>16(1)</w:t>
      </w:r>
    </w:p>
    <w:p>
      <w:pPr>
        <w:pStyle w:val="DefinedTerms"/>
      </w:pPr>
      <w:r>
        <w:t>sewerage area</w:t>
      </w:r>
      <w:r>
        <w:tab/>
        <w:t>16(1)</w:t>
      </w:r>
    </w:p>
    <w:p>
      <w:pPr>
        <w:pStyle w:val="DefinedTerms"/>
      </w:pPr>
      <w:r>
        <w:t>sewerage charge</w:t>
      </w:r>
      <w:r>
        <w:tab/>
        <w:t>16(1)</w:t>
      </w:r>
    </w:p>
    <w:p>
      <w:pPr>
        <w:pStyle w:val="DefinedTerms"/>
      </w:pPr>
      <w:r>
        <w:t>special meter reading</w:t>
      </w:r>
      <w:r>
        <w:tab/>
        <w:t>16(1)</w:t>
      </w:r>
    </w:p>
    <w:p>
      <w:pPr>
        <w:pStyle w:val="DefinedTerms"/>
      </w:pPr>
      <w:r>
        <w:t>strata-titled caravan bay</w:t>
      </w:r>
      <w:r>
        <w:tab/>
        <w:t>16(1)</w:t>
      </w:r>
    </w:p>
    <w:p>
      <w:pPr>
        <w:pStyle w:val="DefinedTerms"/>
      </w:pPr>
      <w:r>
        <w:t>strata titles scheme</w:t>
      </w:r>
      <w:r>
        <w:tab/>
        <w:t>16(1)</w:t>
      </w:r>
    </w:p>
    <w:p>
      <w:pPr>
        <w:pStyle w:val="DefinedTerms"/>
      </w:pPr>
      <w:r>
        <w:t>trade waste charge</w:t>
      </w:r>
      <w:r>
        <w:tab/>
        <w:t>19(1)</w:t>
      </w:r>
    </w:p>
    <w:p>
      <w:pPr>
        <w:pStyle w:val="DefinedTerms"/>
      </w:pPr>
      <w:r>
        <w:t>vacant land</w:t>
      </w:r>
      <w:r>
        <w:tab/>
        <w:t>3(1)</w:t>
      </w:r>
    </w:p>
    <w:p>
      <w:pPr>
        <w:pStyle w:val="DefinedTerms"/>
      </w:pPr>
      <w:r>
        <w:t>water deficiency declaration</w:t>
      </w:r>
      <w:r>
        <w:tab/>
        <w:t>36A(1)</w:t>
      </w:r>
    </w:p>
    <w:p>
      <w:pPr>
        <w:pStyle w:val="DefinedTerms"/>
      </w:pPr>
      <w:r>
        <w:t>water supply charge</w:t>
      </w:r>
      <w:r>
        <w:tab/>
        <w:t>16(1)</w:t>
      </w:r>
    </w:p>
    <w:p/>
    <w:p>
      <w:pPr>
        <w:sectPr>
          <w:headerReference w:type="even" r:id="rId38"/>
          <w:headerReference w:type="default" r:id="rId3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A22CB5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14:paraId="28695486" w14:textId="67AD5CA7" w:rsidR="00B17290" w:rsidRDefault="009977F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7759C">
                        <w:rPr>
                          <w:sz w:val="16"/>
                        </w:rPr>
                        <w:t>2025</w:t>
                      </w:r>
                      <w:r>
                        <w:rPr>
                          <w:sz w:val="16"/>
                        </w:rPr>
                        <w:fldChar w:fldCharType="end"/>
                      </w:r>
                      <w:r>
                        <w:rPr>
                          <w:sz w:val="16"/>
                        </w:rPr>
                        <w:t>.</w:t>
                      </w:r>
                    </w:p>
                    <w:p w14:paraId="6BDC52E6" w14:textId="77777777" w:rsidR="00B17290" w:rsidRDefault="009977F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E65208F" w14:textId="5D36D232" w:rsidR="00B17290" w:rsidRDefault="009977F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7759C">
                        <w:rPr>
                          <w:sz w:val="16"/>
                        </w:rPr>
                        <w:t>2025</w:t>
                      </w:r>
                      <w:r>
                        <w:rPr>
                          <w:sz w:val="16"/>
                        </w:rPr>
                        <w:fldChar w:fldCharType="end"/>
                      </w:r>
                      <w:r>
                        <w:rPr>
                          <w:sz w:val="16"/>
                        </w:rPr>
                        <w:t>.</w:t>
                      </w:r>
                    </w:p>
                    <w:p w14:paraId="089F1A72" w14:textId="77777777" w:rsidR="00B17290" w:rsidRDefault="009977F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01-z0-00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01-z0-00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01-z0-00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cxc</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01-z0-00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cxc</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01-z0-00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01-z0-00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15</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15</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15</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15</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88" w:name="Compilation"/>
    <w:bookmarkEnd w:id="888"/>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897" w:name="DefinedTerms"/>
    <w:bookmarkEnd w:id="897"/>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98" w:name="Coversheet"/>
    <w:bookmarkEnd w:id="89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BBA1437"/>
    <w:multiLevelType w:val="singleLevel"/>
    <w:tmpl w:val="0C09000F"/>
    <w:lvl w:ilvl="0">
      <w:start w:val="1"/>
      <w:numFmt w:val="decimal"/>
      <w:lvlText w:val="%1."/>
      <w:lvlJc w:val="left"/>
      <w:pPr>
        <w:ind w:left="720" w:hanging="360"/>
      </w:pPr>
    </w:lvl>
  </w:abstractNum>
  <w:abstractNum w:abstractNumId="19"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0"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2"/>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9"/>
  </w:num>
  <w:num w:numId="17">
    <w:abstractNumId w:val="21"/>
  </w:num>
  <w:num w:numId="18">
    <w:abstractNumId w:val="14"/>
  </w:num>
  <w:num w:numId="19">
    <w:abstractNumId w:val="17"/>
  </w:num>
  <w:num w:numId="20">
    <w:abstractNumId w:val="24"/>
  </w:num>
  <w:num w:numId="21">
    <w:abstractNumId w:val="23"/>
  </w:num>
  <w:num w:numId="22">
    <w:abstractNumId w:val="27"/>
  </w:num>
  <w:num w:numId="23">
    <w:abstractNumId w:val="12"/>
  </w:num>
  <w:num w:numId="24">
    <w:abstractNumId w:val="20"/>
  </w:num>
  <w:num w:numId="25">
    <w:abstractNumId w:val="25"/>
  </w:num>
  <w:num w:numId="26">
    <w:abstractNumId w:val="1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560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21315"/>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 w:name="WAFER_20230613162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13162117_GUID" w:val="a8b28dd0-0880-46be-af6f-5ac3007906fc"/>
    <w:docVar w:name="WAFER_202306131622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13162216_GUID" w:val="81983de7-4513-42a6-8231-2a5274c07cfe"/>
    <w:docVar w:name="WAFER_20230626131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31518_GUID" w:val="4f10c604-bcb8-4d99-a5b0-9d7b4cdc17a6"/>
    <w:docVar w:name="WAFER_202306291211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29121154_GUID" w:val="b9549638-7427-4454-a497-cc885123be84"/>
    <w:docVar w:name="WAFER_2023122909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4_GUID" w:val="c3182774-c021-495a-b7e6-99485c3c0fff"/>
    <w:docVar w:name="WAFER_202406241542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54223_GUID" w:val="9bca0de0-90c6-4fdf-ae97-1cb7a52ff776"/>
    <w:docVar w:name="WAFER_202506201213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620121315_GUID" w:val="8d732dca-f03b-4839-b81b-d1f3621278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01"/>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yTableNAm + Bol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6DB3A-B781-400D-9688-F6B1888A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28730</Words>
  <Characters>138192</Characters>
  <Application>Microsoft Office Word</Application>
  <DocSecurity>0</DocSecurity>
  <Lines>6008</Lines>
  <Paragraphs>4909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162013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2014 - 01-z0-00</dc:title>
  <dc:subject/>
  <dc:creator/>
  <cp:keywords/>
  <dc:description/>
  <cp:lastModifiedBy>Master Repository Process</cp:lastModifiedBy>
  <cp:revision>4</cp:revision>
  <cp:lastPrinted>2019-06-24T04:53:00Z</cp:lastPrinted>
  <dcterms:created xsi:type="dcterms:W3CDTF">2025-06-27T04:31:00Z</dcterms:created>
  <dcterms:modified xsi:type="dcterms:W3CDTF">2025-06-27T04:32:00Z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20250701</vt:lpwstr>
  </property>
  <property fmtid="{D5CDD505-2E9C-101B-9397-08002B2CF9AE}" pid="7" name="CommencementAsAt">
    <vt:filetime>2025-06-30T16:00:00Z</vt:filetime>
  </property>
  <property fmtid="{D5CDD505-2E9C-101B-9397-08002B2CF9AE}" pid="8" name="CommencementYear">
    <vt:lpwstr>2025</vt:lpwstr>
  </property>
  <property fmtid="{D5CDD505-2E9C-101B-9397-08002B2CF9AE}" pid="9" name="AsAtDate">
    <vt:lpwstr>01 Jul 2025</vt:lpwstr>
  </property>
  <property fmtid="{D5CDD505-2E9C-101B-9397-08002B2CF9AE}" pid="10" name="Suffix">
    <vt:lpwstr>01-z0-00</vt:lpwstr>
  </property>
  <property fmtid="{D5CDD505-2E9C-101B-9397-08002B2CF9AE}" pid="11" name="Official">
    <vt:lpwstr/>
  </property>
</Properties>
</file>