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_Toc201827537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_Toc201827538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_Toc201827539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_Toc201827541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_Toc201827542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_Toc201827543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_Toc201827544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approved form</w:t>
      </w:r>
      <w:r>
        <w:tab/>
      </w:r>
      <w:r>
        <w:fldChar w:fldCharType="begin"/>
      </w:r>
      <w:r>
        <w:instrText xml:space="preserve"> PAGEREF _Toc201827545 \h </w:instrText>
      </w:r>
      <w:r>
        <w:fldChar w:fldCharType="separate"/>
      </w:r>
      <w:r>
        <w:t>4</w:t>
      </w:r>
      <w:r>
        <w:fldChar w:fldCharType="end"/>
      </w:r>
    </w:p>
    <w:p>
      <w:pPr>
        <w:pStyle w:val="TOC8"/>
        <w:rPr>
          <w:rFonts w:asciiTheme="minorHAnsi" w:eastAsiaTheme="minorEastAsia" w:hAnsiTheme="minorHAnsi" w:cstheme="minorBidi"/>
          <w:szCs w:val="22"/>
        </w:rPr>
      </w:pPr>
      <w:r>
        <w:t>5ABA.</w:t>
      </w:r>
      <w:r>
        <w:tab/>
        <w:t>Modified application of Act s. 27A — lessor may enter into agreement amended to reflect lawful terms</w:t>
      </w:r>
      <w:r>
        <w:tab/>
      </w:r>
      <w:r>
        <w:fldChar w:fldCharType="begin"/>
      </w:r>
      <w:r>
        <w:instrText xml:space="preserve"> PAGEREF _Toc201827546 \h </w:instrText>
      </w:r>
      <w:r>
        <w:fldChar w:fldCharType="separate"/>
      </w:r>
      <w:r>
        <w:t>5</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_Toc201827547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_Toc201827548 \h </w:instrText>
      </w:r>
      <w:r>
        <w:fldChar w:fldCharType="separate"/>
      </w:r>
      <w:r>
        <w:t>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_Toc201827549 \h </w:instrText>
      </w:r>
      <w:r>
        <w:fldChar w:fldCharType="separate"/>
      </w:r>
      <w:r>
        <w:t>7</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_Toc201827550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_Toc201827551 \h </w:instrText>
      </w:r>
      <w:r>
        <w:fldChar w:fldCharType="separate"/>
      </w:r>
      <w:r>
        <w:t>8</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_Toc201827552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Exemption from section 33 of Act for employment</w:t>
      </w:r>
      <w:r>
        <w:noBreakHyphen/>
        <w:t>linked residential tenancy agreements</w:t>
      </w:r>
      <w:r>
        <w:tab/>
      </w:r>
      <w:r>
        <w:fldChar w:fldCharType="begin"/>
      </w:r>
      <w:r>
        <w:instrText xml:space="preserve"> PAGEREF _Toc201827553 \h </w:instrText>
      </w:r>
      <w:r>
        <w:fldChar w:fldCharType="separate"/>
      </w:r>
      <w:r>
        <w:t>11</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_Toc201827554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_Toc201827555 \h </w:instrText>
      </w:r>
      <w:r>
        <w:fldChar w:fldCharType="separate"/>
      </w:r>
      <w:r>
        <w:t>12</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_Toc201827556 \h </w:instrText>
      </w:r>
      <w:r>
        <w:fldChar w:fldCharType="separate"/>
      </w:r>
      <w:r>
        <w:t>12</w:t>
      </w:r>
      <w:r>
        <w:fldChar w:fldCharType="end"/>
      </w:r>
    </w:p>
    <w:p>
      <w:pPr>
        <w:pStyle w:val="TOC8"/>
        <w:rPr>
          <w:rFonts w:asciiTheme="minorHAnsi" w:eastAsiaTheme="minorEastAsia" w:hAnsiTheme="minorHAnsi" w:cstheme="minorBidi"/>
          <w:szCs w:val="22"/>
        </w:rPr>
      </w:pPr>
      <w:r>
        <w:t>6B.</w:t>
      </w:r>
      <w:r>
        <w:tab/>
        <w:t>Exemption from Act s. 45(2)(b) if Housing Authority is lessor</w:t>
      </w:r>
      <w:r>
        <w:tab/>
      </w:r>
      <w:r>
        <w:fldChar w:fldCharType="begin"/>
      </w:r>
      <w:r>
        <w:instrText xml:space="preserve"> PAGEREF _Toc201827557 \h </w:instrText>
      </w:r>
      <w:r>
        <w:fldChar w:fldCharType="separate"/>
      </w:r>
      <w:r>
        <w:t>13</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_Toc201827558 \h </w:instrText>
      </w:r>
      <w:r>
        <w:fldChar w:fldCharType="separate"/>
      </w:r>
      <w:r>
        <w:t>13</w:t>
      </w:r>
      <w:r>
        <w:fldChar w:fldCharType="end"/>
      </w:r>
    </w:p>
    <w:p>
      <w:pPr>
        <w:pStyle w:val="TOC8"/>
        <w:rPr>
          <w:rFonts w:asciiTheme="minorHAnsi" w:eastAsiaTheme="minorEastAsia" w:hAnsiTheme="minorHAnsi" w:cstheme="minorBidi"/>
          <w:szCs w:val="22"/>
        </w:rPr>
      </w:pPr>
      <w:r>
        <w:t>7BA.</w:t>
      </w:r>
      <w:r>
        <w:tab/>
        <w:t>Modified application of section 50W of Act</w:t>
      </w:r>
      <w:r>
        <w:tab/>
      </w:r>
      <w:r>
        <w:fldChar w:fldCharType="begin"/>
      </w:r>
      <w:r>
        <w:instrText xml:space="preserve"> PAGEREF _Toc201827559 \h </w:instrText>
      </w:r>
      <w:r>
        <w:fldChar w:fldCharType="separate"/>
      </w:r>
      <w:r>
        <w:t>14</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_Toc201827560 \h </w:instrText>
      </w:r>
      <w:r>
        <w:fldChar w:fldCharType="separate"/>
      </w:r>
      <w:r>
        <w:t>16</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_Toc201827561 \h </w:instrText>
      </w:r>
      <w:r>
        <w:fldChar w:fldCharType="separate"/>
      </w:r>
      <w:r>
        <w:t>17</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_Toc201827562 \h </w:instrText>
      </w:r>
      <w:r>
        <w:fldChar w:fldCharType="separate"/>
      </w:r>
      <w:r>
        <w:t>17</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_Toc201827563 \h </w:instrText>
      </w:r>
      <w:r>
        <w:fldChar w:fldCharType="separate"/>
      </w:r>
      <w:r>
        <w:t>18</w:t>
      </w:r>
      <w:r>
        <w:fldChar w:fldCharType="end"/>
      </w:r>
    </w:p>
    <w:p>
      <w:pPr>
        <w:pStyle w:val="TOC8"/>
        <w:rPr>
          <w:rFonts w:asciiTheme="minorHAnsi" w:eastAsiaTheme="minorEastAsia" w:hAnsiTheme="minorHAnsi" w:cstheme="minorBidi"/>
          <w:szCs w:val="22"/>
        </w:rPr>
      </w:pPr>
      <w:r>
        <w:t>7FA.</w:t>
      </w:r>
      <w:r>
        <w:tab/>
        <w:t>Modified application of Act s. 85 for Housing Authority</w:t>
      </w:r>
      <w:r>
        <w:tab/>
      </w:r>
      <w:r>
        <w:fldChar w:fldCharType="begin"/>
      </w:r>
      <w:r>
        <w:instrText xml:space="preserve"> PAGEREF _Toc201827564 \h </w:instrText>
      </w:r>
      <w:r>
        <w:fldChar w:fldCharType="separate"/>
      </w:r>
      <w:r>
        <w:t>18</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_Toc201827565 \h </w:instrText>
      </w:r>
      <w:r>
        <w:fldChar w:fldCharType="separate"/>
      </w:r>
      <w:r>
        <w:t>19</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_Toc201827566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7I.</w:t>
      </w:r>
      <w:r>
        <w:tab/>
        <w:t>Minor modification (s. 3 of Act)</w:t>
      </w:r>
      <w:r>
        <w:tab/>
      </w:r>
      <w:r>
        <w:fldChar w:fldCharType="begin"/>
      </w:r>
      <w:r>
        <w:instrText xml:space="preserve"> PAGEREF _Toc201827568 \h </w:instrText>
      </w:r>
      <w:r>
        <w:fldChar w:fldCharType="separate"/>
      </w:r>
      <w:r>
        <w:t>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_Toc201827569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_Toc201827570 \h </w:instrText>
      </w:r>
      <w:r>
        <w:fldChar w:fldCharType="separate"/>
      </w:r>
      <w:r>
        <w:t>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_Toc201827571 \h </w:instrText>
      </w:r>
      <w:r>
        <w:fldChar w:fldCharType="separate"/>
      </w:r>
      <w:r>
        <w:t>24</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_Toc201827572 \h </w:instrText>
      </w:r>
      <w:r>
        <w:fldChar w:fldCharType="separate"/>
      </w:r>
      <w:r>
        <w:t>25</w:t>
      </w:r>
      <w:r>
        <w:fldChar w:fldCharType="end"/>
      </w:r>
    </w:p>
    <w:p>
      <w:pPr>
        <w:pStyle w:val="TOC8"/>
        <w:rPr>
          <w:rFonts w:asciiTheme="minorHAnsi" w:eastAsiaTheme="minorEastAsia" w:hAnsiTheme="minorHAnsi" w:cstheme="minorBidi"/>
          <w:szCs w:val="22"/>
        </w:rPr>
      </w:pPr>
      <w:r>
        <w:t>10ABA.</w:t>
      </w:r>
      <w:r>
        <w:tab/>
        <w:t>Information prescribed by regulation 10AB must be given to tenant in approved form</w:t>
      </w:r>
      <w:r>
        <w:tab/>
      </w:r>
      <w:r>
        <w:fldChar w:fldCharType="begin"/>
      </w:r>
      <w:r>
        <w:instrText xml:space="preserve"> PAGEREF _Toc201827573 \h </w:instrText>
      </w:r>
      <w:r>
        <w:fldChar w:fldCharType="separate"/>
      </w:r>
      <w:r>
        <w:t>26</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_Toc201827574 \h </w:instrText>
      </w:r>
      <w:r>
        <w:fldChar w:fldCharType="separate"/>
      </w:r>
      <w:r>
        <w:t>27</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_Toc201827575 \h </w:instrText>
      </w:r>
      <w:r>
        <w:fldChar w:fldCharType="separate"/>
      </w:r>
      <w:r>
        <w:t>27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_Toc201827576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_Toc201827577 \h </w:instrText>
      </w:r>
      <w:r>
        <w:fldChar w:fldCharType="separate"/>
      </w:r>
      <w:r>
        <w:t>28</w:t>
      </w:r>
      <w:r>
        <w:fldChar w:fldCharType="end"/>
      </w:r>
    </w:p>
    <w:p>
      <w:pPr>
        <w:pStyle w:val="TOC8"/>
        <w:rPr>
          <w:rFonts w:asciiTheme="minorHAnsi" w:eastAsiaTheme="minorEastAsia" w:hAnsiTheme="minorHAnsi" w:cstheme="minorBidi"/>
          <w:szCs w:val="22"/>
        </w:rPr>
      </w:pPr>
      <w:r>
        <w:lastRenderedPageBreak/>
        <w:t>12A.</w:t>
      </w:r>
      <w:r>
        <w:tab/>
        <w:t>Essential services prescribed for section 43(1) of Act</w:t>
      </w:r>
      <w:r>
        <w:tab/>
      </w:r>
      <w:r>
        <w:fldChar w:fldCharType="begin"/>
      </w:r>
      <w:r>
        <w:instrText xml:space="preserve"> PAGEREF _Toc201827578 \h </w:instrText>
      </w:r>
      <w:r>
        <w:fldChar w:fldCharType="separate"/>
      </w:r>
      <w:r>
        <w:t>28</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_Toc201827579 \h </w:instrText>
      </w:r>
      <w:r>
        <w:fldChar w:fldCharType="separate"/>
      </w:r>
      <w:r>
        <w:t>28</w:t>
      </w:r>
      <w:r>
        <w:fldChar w:fldCharType="end"/>
      </w:r>
    </w:p>
    <w:p>
      <w:pPr>
        <w:pStyle w:val="TOC8"/>
        <w:rPr>
          <w:rFonts w:asciiTheme="minorHAnsi" w:eastAsiaTheme="minorEastAsia" w:hAnsiTheme="minorHAnsi" w:cstheme="minorBidi"/>
          <w:szCs w:val="22"/>
        </w:rPr>
      </w:pPr>
      <w:r>
        <w:t>12BB.</w:t>
      </w:r>
      <w:r>
        <w:tab/>
        <w:t>Ground for approval to refuse consent for pet prescribed for section 50E(3)(f) of Act</w:t>
      </w:r>
      <w:r>
        <w:tab/>
      </w:r>
      <w:r>
        <w:fldChar w:fldCharType="begin"/>
      </w:r>
      <w:r>
        <w:instrText xml:space="preserve"> PAGEREF _Toc201827580 \h </w:instrText>
      </w:r>
      <w:r>
        <w:fldChar w:fldCharType="separate"/>
      </w:r>
      <w:r>
        <w:t>30</w:t>
      </w:r>
      <w:r>
        <w:fldChar w:fldCharType="end"/>
      </w:r>
    </w:p>
    <w:p>
      <w:pPr>
        <w:pStyle w:val="TOC8"/>
        <w:rPr>
          <w:rFonts w:asciiTheme="minorHAnsi" w:eastAsiaTheme="minorEastAsia" w:hAnsiTheme="minorHAnsi" w:cstheme="minorBidi"/>
          <w:szCs w:val="22"/>
        </w:rPr>
      </w:pPr>
      <w:r>
        <w:t>12BC.</w:t>
      </w:r>
      <w:r>
        <w:tab/>
        <w:t>Prescribed modifications to prevent entry in circumstances of family violence for section 50M(2) of Act</w:t>
      </w:r>
      <w:r>
        <w:tab/>
      </w:r>
      <w:r>
        <w:fldChar w:fldCharType="begin"/>
      </w:r>
      <w:r>
        <w:instrText xml:space="preserve"> PAGEREF _Toc201827581 \h </w:instrText>
      </w:r>
      <w:r>
        <w:fldChar w:fldCharType="separate"/>
      </w:r>
      <w:r>
        <w:t>30</w:t>
      </w:r>
      <w:r>
        <w:fldChar w:fldCharType="end"/>
      </w:r>
    </w:p>
    <w:p>
      <w:pPr>
        <w:pStyle w:val="TOC8"/>
        <w:rPr>
          <w:rFonts w:asciiTheme="minorHAnsi" w:eastAsiaTheme="minorEastAsia" w:hAnsiTheme="minorHAnsi" w:cstheme="minorBidi"/>
          <w:szCs w:val="22"/>
        </w:rPr>
      </w:pPr>
      <w:r>
        <w:t>12BD.</w:t>
      </w:r>
      <w:r>
        <w:tab/>
        <w:t>Types of modifications which may be subject to condition prescribed for section 50P(a) of Act</w:t>
      </w:r>
      <w:r>
        <w:tab/>
      </w:r>
      <w:r>
        <w:fldChar w:fldCharType="begin"/>
      </w:r>
      <w:r>
        <w:instrText xml:space="preserve"> PAGEREF _Toc201827582 \h </w:instrText>
      </w:r>
      <w:r>
        <w:fldChar w:fldCharType="separate"/>
      </w:r>
      <w:r>
        <w:t>31</w:t>
      </w:r>
      <w:r>
        <w:fldChar w:fldCharType="end"/>
      </w:r>
    </w:p>
    <w:p>
      <w:pPr>
        <w:pStyle w:val="TOC8"/>
        <w:rPr>
          <w:rFonts w:asciiTheme="minorHAnsi" w:eastAsiaTheme="minorEastAsia" w:hAnsiTheme="minorHAnsi" w:cstheme="minorBidi"/>
          <w:szCs w:val="22"/>
        </w:rPr>
      </w:pPr>
      <w:r>
        <w:t>12BE.</w:t>
      </w:r>
      <w:r>
        <w:tab/>
        <w:t>Matters prescribed for section 50P(b) of Act</w:t>
      </w:r>
      <w:r>
        <w:tab/>
      </w:r>
      <w:r>
        <w:fldChar w:fldCharType="begin"/>
      </w:r>
      <w:r>
        <w:instrText xml:space="preserve"> PAGEREF _Toc201827583 \h </w:instrText>
      </w:r>
      <w:r>
        <w:fldChar w:fldCharType="separate"/>
      </w:r>
      <w:r>
        <w:t>31</w:t>
      </w:r>
      <w:r>
        <w:fldChar w:fldCharType="end"/>
      </w:r>
    </w:p>
    <w:p>
      <w:pPr>
        <w:pStyle w:val="TOC8"/>
        <w:rPr>
          <w:rFonts w:asciiTheme="minorHAnsi" w:eastAsiaTheme="minorEastAsia" w:hAnsiTheme="minorHAnsi" w:cstheme="minorBidi"/>
          <w:szCs w:val="22"/>
        </w:rPr>
      </w:pPr>
      <w:r>
        <w:t>12BF.</w:t>
      </w:r>
      <w:r>
        <w:tab/>
        <w:t>Grounds for approval to refuse consent prescribed for section 50S(3)(g) of Act</w:t>
      </w:r>
      <w:r>
        <w:tab/>
      </w:r>
      <w:r>
        <w:fldChar w:fldCharType="begin"/>
      </w:r>
      <w:r>
        <w:instrText xml:space="preserve"> PAGEREF _Toc201827584 \h </w:instrText>
      </w:r>
      <w:r>
        <w:fldChar w:fldCharType="separate"/>
      </w:r>
      <w:r>
        <w:t>32</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_Toc201827585 \h </w:instrText>
      </w:r>
      <w:r>
        <w:fldChar w:fldCharType="separate"/>
      </w:r>
      <w:r>
        <w:t>32</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_Toc201827586 \h </w:instrText>
      </w:r>
      <w:r>
        <w:fldChar w:fldCharType="separate"/>
      </w:r>
      <w:r>
        <w:t>33</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_Toc201827587 \h </w:instrText>
      </w:r>
      <w:r>
        <w:fldChar w:fldCharType="separate"/>
      </w:r>
      <w:r>
        <w:t>33</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_Toc201827588 \h </w:instrText>
      </w:r>
      <w:r>
        <w:fldChar w:fldCharType="separate"/>
      </w:r>
      <w:r>
        <w:t>33</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_Toc201827589 \h </w:instrText>
      </w:r>
      <w:r>
        <w:fldChar w:fldCharType="separate"/>
      </w:r>
      <w:r>
        <w:t>34</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_Toc201827590 \h </w:instrText>
      </w:r>
      <w:r>
        <w:fldChar w:fldCharType="separate"/>
      </w:r>
      <w:r>
        <w:t>34</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_Toc201827591 \h </w:instrText>
      </w:r>
      <w:r>
        <w:fldChar w:fldCharType="separate"/>
      </w:r>
      <w:r>
        <w:t>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_Toc201827592 \h </w:instrText>
      </w:r>
      <w:r>
        <w:fldChar w:fldCharType="separate"/>
      </w:r>
      <w:r>
        <w:t>35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_Toc201827593 \h </w:instrText>
      </w:r>
      <w:r>
        <w:fldChar w:fldCharType="separate"/>
      </w:r>
      <w:r>
        <w:t>37</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_Toc201827594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19.</w:t>
      </w:r>
      <w:r>
        <w:tab/>
        <w:t xml:space="preserve">Transitional provision — </w:t>
      </w:r>
      <w:r>
        <w:rPr>
          <w:i/>
          <w:iCs/>
        </w:rPr>
        <w:t>Residential Tenancies Amendment Regulations (No. 2) 2024</w:t>
      </w:r>
      <w:r>
        <w:tab/>
      </w:r>
      <w:r>
        <w:fldChar w:fldCharType="begin"/>
      </w:r>
      <w:r>
        <w:instrText xml:space="preserve"> PAGEREF _Toc201827596 \h </w:instrText>
      </w:r>
      <w:r>
        <w:fldChar w:fldCharType="separate"/>
      </w:r>
      <w:r>
        <w:t>38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3</w:t>
      </w:r>
    </w:p>
    <w:p>
      <w:pPr>
        <w:pStyle w:val="TOC2"/>
        <w:keepNext w:val="0"/>
        <w:tabs>
          <w:tab w:val="right" w:leader="dot" w:pos="7077"/>
        </w:tabs>
        <w:rPr>
          <w:rFonts w:asciiTheme="minorHAnsi" w:eastAsiaTheme="minorEastAsia" w:hAnsiTheme="minorHAnsi" w:cstheme="minorBidi"/>
          <w:b w:val="0"/>
          <w:sz w:val="22"/>
          <w:szCs w:val="22"/>
        </w:rPr>
      </w:pPr>
      <w:r>
        <w:t>Schedule 4 — Forms</w:t>
      </w:r>
    </w:p>
    <w:p>
      <w:pPr>
        <w:pStyle w:val="TOC2"/>
        <w:keepNext w:val="0"/>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_Toc201827601 \h </w:instrText>
      </w:r>
      <w:r>
        <w:fldChar w:fldCharType="separate"/>
      </w:r>
      <w:r>
        <w:t>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_Toc201827602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2" w:name="_Toc201752133"/>
      <w:bookmarkStart w:id="3" w:name="_Toc201752619"/>
      <w:bookmarkStart w:id="4" w:name="_Toc20182753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spacing w:before="100"/>
      </w:pPr>
      <w:r>
        <w:tab/>
        <w:t>[Heading inserted: Gazette 3 May 2013 p. 1737.]</w:t>
      </w:r>
    </w:p>
    <w:p>
      <w:pPr>
        <w:pStyle w:val="Heading5"/>
        <w:rPr>
          <w:snapToGrid w:val="0"/>
        </w:rPr>
      </w:pPr>
      <w:bookmarkStart w:id="5" w:name="_Toc201827537"/>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6" w:name="_Toc20182753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7" w:name="_Toc201827539"/>
      <w:r>
        <w:rPr>
          <w:rStyle w:val="CharSectno"/>
        </w:rPr>
        <w:t>3A</w:t>
      </w:r>
      <w:r>
        <w:t>.</w:t>
      </w:r>
      <w:r>
        <w:tab/>
        <w:t>Terms used</w:t>
      </w:r>
      <w:bookmarkEnd w:id="7"/>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Defstart"/>
      </w:pPr>
      <w:r>
        <w:tab/>
      </w:r>
      <w:r>
        <w:rPr>
          <w:rStyle w:val="CharDefText"/>
        </w:rPr>
        <w:t>installing</w:t>
      </w:r>
      <w:r>
        <w:t xml:space="preserve"> includes replacing but does not include altering.</w:t>
      </w:r>
    </w:p>
    <w:p>
      <w:pPr>
        <w:pStyle w:val="Footnotesection"/>
        <w:spacing w:before="100"/>
      </w:pPr>
      <w:r>
        <w:tab/>
        <w:t>[Regulation 3A inserted: Gazette 3 May 2013 p. 1738; amended: SL 2024/149 r. 4.]</w:t>
      </w:r>
    </w:p>
    <w:p>
      <w:pPr>
        <w:pStyle w:val="Heading2"/>
      </w:pPr>
      <w:bookmarkStart w:id="8" w:name="_Toc201752137"/>
      <w:bookmarkStart w:id="9" w:name="_Toc201752623"/>
      <w:bookmarkStart w:id="10" w:name="_Toc201827540"/>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8"/>
      <w:bookmarkEnd w:id="9"/>
      <w:bookmarkEnd w:id="10"/>
    </w:p>
    <w:p>
      <w:pPr>
        <w:pStyle w:val="Footnoteheading"/>
      </w:pPr>
      <w:r>
        <w:tab/>
        <w:t>[Heading inserted: Gazette 21 Mar 2014 p. 731.]</w:t>
      </w:r>
    </w:p>
    <w:p>
      <w:pPr>
        <w:pStyle w:val="Heading5"/>
        <w:spacing w:before="200"/>
        <w:rPr>
          <w:snapToGrid w:val="0"/>
        </w:rPr>
      </w:pPr>
      <w:bookmarkStart w:id="11" w:name="_Toc201827541"/>
      <w:r>
        <w:rPr>
          <w:rStyle w:val="CharSectno"/>
        </w:rPr>
        <w:t>3</w:t>
      </w:r>
      <w:r>
        <w:rPr>
          <w:snapToGrid w:val="0"/>
        </w:rPr>
        <w:t>.</w:t>
      </w:r>
      <w:r>
        <w:rPr>
          <w:snapToGrid w:val="0"/>
        </w:rPr>
        <w:tab/>
        <w:t>Exemption for retirement villages</w:t>
      </w:r>
      <w:bookmarkEnd w:id="11"/>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2" w:name="_Toc201827542"/>
      <w:r>
        <w:rPr>
          <w:rStyle w:val="CharSectno"/>
        </w:rPr>
        <w:t>4</w:t>
      </w:r>
      <w:r>
        <w:rPr>
          <w:snapToGrid w:val="0"/>
        </w:rPr>
        <w:t>.</w:t>
      </w:r>
      <w:r>
        <w:rPr>
          <w:snapToGrid w:val="0"/>
        </w:rPr>
        <w:tab/>
        <w:t>Exemption for certain agreements with squatters</w:t>
      </w:r>
      <w:bookmarkEnd w:id="12"/>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3" w:name="_Toc201827543"/>
      <w:r>
        <w:rPr>
          <w:rStyle w:val="CharSectno"/>
        </w:rPr>
        <w:t>5</w:t>
      </w:r>
      <w:r>
        <w:rPr>
          <w:snapToGrid w:val="0"/>
        </w:rPr>
        <w:t>.</w:t>
      </w:r>
      <w:r>
        <w:rPr>
          <w:snapToGrid w:val="0"/>
        </w:rPr>
        <w:tab/>
        <w:t xml:space="preserve">Exemption for certain agreements under </w:t>
      </w:r>
      <w:r>
        <w:rPr>
          <w:i/>
          <w:snapToGrid w:val="0"/>
        </w:rPr>
        <w:t>Land Act 1933</w:t>
      </w:r>
      <w:bookmarkEnd w:id="13"/>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14" w:name="_Toc201827544"/>
      <w:r>
        <w:rPr>
          <w:rStyle w:val="CharSectno"/>
        </w:rPr>
        <w:t>5AAA</w:t>
      </w:r>
      <w:r>
        <w:t>.</w:t>
      </w:r>
      <w:r>
        <w:tab/>
        <w:t>Application of Act to certain accommodation at St Thomas More College</w:t>
      </w:r>
      <w:bookmarkEnd w:id="14"/>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keepNext/>
      </w:pPr>
      <w:r>
        <w:lastRenderedPageBreak/>
        <w:tab/>
        <w:t>(b)</w:t>
      </w:r>
      <w:r>
        <w:tab/>
        <w:t>the student accommodation provided in the southern</w:t>
      </w:r>
      <w:r>
        <w:noBreakHyphen/>
        <w:t>most building of the College.</w:t>
      </w:r>
    </w:p>
    <w:p>
      <w:pPr>
        <w:pStyle w:val="Footnotesection"/>
      </w:pPr>
      <w:r>
        <w:tab/>
        <w:t>[Regulation 5AAA inserted: Gazette 21 Mar 2014 p. 731.]</w:t>
      </w:r>
    </w:p>
    <w:p>
      <w:pPr>
        <w:pStyle w:val="Ednotesection"/>
      </w:pPr>
      <w:r>
        <w:t>[</w:t>
      </w:r>
      <w:r>
        <w:rPr>
          <w:b/>
          <w:bCs/>
        </w:rPr>
        <w:t>5AA.</w:t>
      </w:r>
      <w:r>
        <w:rPr>
          <w:b/>
          <w:bCs/>
        </w:rPr>
        <w:tab/>
      </w:r>
      <w:r>
        <w:t>Deleted: SL 2024/149 r. 5.]</w:t>
      </w:r>
    </w:p>
    <w:p>
      <w:pPr>
        <w:pStyle w:val="Heading5"/>
      </w:pPr>
      <w:bookmarkStart w:id="15" w:name="_Toc201827545"/>
      <w:r>
        <w:rPr>
          <w:rStyle w:val="CharSectno"/>
        </w:rPr>
        <w:t>5AB</w:t>
      </w:r>
      <w:r>
        <w:t>.</w:t>
      </w:r>
      <w:r>
        <w:tab/>
        <w:t>Exemptions from section 27A of Act — residential agreements not required to be in approved form</w:t>
      </w:r>
      <w:bookmarkEnd w:id="15"/>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keepNext/>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6" w:name="_Toc201827546"/>
      <w:r>
        <w:rPr>
          <w:rStyle w:val="CharSectno"/>
        </w:rPr>
        <w:lastRenderedPageBreak/>
        <w:t>5ABA</w:t>
      </w:r>
      <w:r>
        <w:t>.</w:t>
      </w:r>
      <w:r>
        <w:tab/>
        <w:t>Modified application of Act s. 27A — lessor may enter into agreement amended to reflect lawful terms</w:t>
      </w:r>
      <w:bookmarkEnd w:id="16"/>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4; amended: SL 2024/149 r. 6.]</w:t>
      </w:r>
    </w:p>
    <w:p>
      <w:pPr>
        <w:pStyle w:val="Heading5"/>
      </w:pPr>
      <w:bookmarkStart w:id="17" w:name="_Toc201827547"/>
      <w:r>
        <w:rPr>
          <w:rStyle w:val="CharSectno"/>
        </w:rPr>
        <w:t>5AC</w:t>
      </w:r>
      <w:r>
        <w:t>.</w:t>
      </w:r>
      <w:r>
        <w:tab/>
        <w:t>Exemption from section 27B of Act if residential tenancy agreement extended or renewed</w:t>
      </w:r>
      <w:bookmarkEnd w:id="17"/>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18" w:name="_Toc201827548"/>
      <w:r>
        <w:rPr>
          <w:rStyle w:val="CharSectno"/>
        </w:rPr>
        <w:lastRenderedPageBreak/>
        <w:t>5AD</w:t>
      </w:r>
      <w:r>
        <w:t>.</w:t>
      </w:r>
      <w:r>
        <w:tab/>
        <w:t>Modified application of section 27C(4) of Act for Housing Authority</w:t>
      </w:r>
      <w:bookmarkEnd w:id="18"/>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19" w:name="_Toc201827549"/>
      <w:r>
        <w:rPr>
          <w:rStyle w:val="CharSectno"/>
        </w:rPr>
        <w:lastRenderedPageBreak/>
        <w:t>5A</w:t>
      </w:r>
      <w:r>
        <w:rPr>
          <w:snapToGrid w:val="0"/>
        </w:rPr>
        <w:t>.</w:t>
      </w:r>
      <w:r>
        <w:rPr>
          <w:snapToGrid w:val="0"/>
        </w:rPr>
        <w:tab/>
        <w:t>Exemption of Housing Authority from sections 29(4)(b) and 33 of Act</w:t>
      </w:r>
      <w:bookmarkEnd w:id="19"/>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0" w:name="_Toc201827550"/>
      <w:r>
        <w:rPr>
          <w:rStyle w:val="CharSectno"/>
        </w:rPr>
        <w:t>5BA</w:t>
      </w:r>
      <w:r>
        <w:t>.</w:t>
      </w:r>
      <w:r>
        <w:tab/>
        <w:t>Exemptions from section 29(8) of Act</w:t>
      </w:r>
      <w:bookmarkEnd w:id="20"/>
    </w:p>
    <w:p>
      <w:pPr>
        <w:pStyle w:val="Subsection"/>
        <w:keepNext/>
      </w:pPr>
      <w:r>
        <w:tab/>
      </w:r>
      <w:r>
        <w:tab/>
        <w:t xml:space="preserve">Under section 6(a) of the Act it is provided that section 29(8) of the Act does not apply in relation to a residential tenancy agreement if the application form referred to in Schedule 1 </w:t>
      </w:r>
      <w:r>
        <w:lastRenderedPageBreak/>
        <w:t xml:space="preserve">clause 5(1)(a) is signed by the tenant in the following circumstances — </w:t>
      </w:r>
    </w:p>
    <w:p>
      <w:pPr>
        <w:pStyle w:val="Indenta"/>
        <w:keepNext/>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1" w:name="_Toc201827551"/>
      <w:r>
        <w:rPr>
          <w:rStyle w:val="CharSectno"/>
        </w:rPr>
        <w:t>5B</w:t>
      </w:r>
      <w:r>
        <w:rPr>
          <w:snapToGrid w:val="0"/>
        </w:rPr>
        <w:t>.</w:t>
      </w:r>
      <w:r>
        <w:rPr>
          <w:snapToGrid w:val="0"/>
        </w:rPr>
        <w:tab/>
        <w:t>Exemptions from section 30(1) of Act</w:t>
      </w:r>
      <w:bookmarkEnd w:id="21"/>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keepNext/>
      </w:pPr>
      <w:r>
        <w:lastRenderedPageBreak/>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lastRenderedPageBreak/>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22" w:name="_Toc201827552"/>
      <w:r>
        <w:rPr>
          <w:rStyle w:val="CharSectno"/>
        </w:rPr>
        <w:t>5CA</w:t>
      </w:r>
      <w:r>
        <w:t>.</w:t>
      </w:r>
      <w:r>
        <w:tab/>
        <w:t>Modified application of section 30(2)(a) of Act</w:t>
      </w:r>
      <w:bookmarkEnd w:id="22"/>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keepLines/>
      </w:pPr>
      <w:r>
        <w:lastRenderedPageBreak/>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3" w:name="_Toc201827553"/>
      <w:r>
        <w:rPr>
          <w:rStyle w:val="CharSectno"/>
        </w:rPr>
        <w:t>5C</w:t>
      </w:r>
      <w:r>
        <w:t>.</w:t>
      </w:r>
      <w:r>
        <w:tab/>
        <w:t>Exemption from section 33 of Act for employment</w:t>
      </w:r>
      <w:r>
        <w:noBreakHyphen/>
        <w:t>linked residential tenancy agreements</w:t>
      </w:r>
      <w:bookmarkEnd w:id="23"/>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4" w:name="_Toc201827554"/>
      <w:r>
        <w:rPr>
          <w:rStyle w:val="CharSectno"/>
        </w:rPr>
        <w:t>5D</w:t>
      </w:r>
      <w:r>
        <w:t>.</w:t>
      </w:r>
      <w:r>
        <w:tab/>
        <w:t xml:space="preserve">Exemption for certain agreements under </w:t>
      </w:r>
      <w:r>
        <w:rPr>
          <w:i/>
        </w:rPr>
        <w:t>Land Administration Act 1997</w:t>
      </w:r>
      <w:bookmarkEnd w:id="24"/>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lastRenderedPageBreak/>
        <w:tab/>
        <w:t>(2)</w:t>
      </w:r>
      <w:r>
        <w:tab/>
        <w:t>In subregulation (1) —</w:t>
      </w:r>
    </w:p>
    <w:p>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25" w:name="_Toc201827555"/>
      <w:r>
        <w:rPr>
          <w:rStyle w:val="CharSectno"/>
        </w:rPr>
        <w:t>6</w:t>
      </w:r>
      <w:r>
        <w:t>.</w:t>
      </w:r>
      <w:r>
        <w:tab/>
        <w:t>Modified application of section 43(3) of Act when Housing Authority is lessor of premises outside metropolitan region</w:t>
      </w:r>
      <w:bookmarkEnd w:id="25"/>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26" w:name="_Toc201827556"/>
      <w:r>
        <w:rPr>
          <w:rStyle w:val="CharSectno"/>
        </w:rPr>
        <w:t>6A</w:t>
      </w:r>
      <w:r>
        <w:t>.</w:t>
      </w:r>
      <w:r>
        <w:tab/>
        <w:t>Modified application of s. 71AD(2) of Act when Housing Authority is lessor of premises</w:t>
      </w:r>
      <w:bookmarkEnd w:id="26"/>
    </w:p>
    <w:p>
      <w:pPr>
        <w:pStyle w:val="Subsection"/>
      </w:pPr>
      <w:r>
        <w:tab/>
        <w:t>(1)</w:t>
      </w:r>
      <w:r>
        <w:tab/>
        <w:t>This regulation applies to a residential tenancy agreement under which the Housing Authority is the lessor.</w:t>
      </w:r>
    </w:p>
    <w:p>
      <w:pPr>
        <w:pStyle w:val="Subsection"/>
        <w:keepNext/>
      </w:pPr>
      <w:r>
        <w:tab/>
        <w:t>(2)</w:t>
      </w:r>
      <w:r>
        <w:tab/>
        <w:t xml:space="preserve">Under section 6(a) of the Act it is provided that section 71AD(2) of the Act applies to a residential tenancy </w:t>
      </w:r>
      <w:r>
        <w:lastRenderedPageBreak/>
        <w:t>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27" w:name="_Toc201827557"/>
      <w:r>
        <w:rPr>
          <w:rStyle w:val="CharSectno"/>
        </w:rPr>
        <w:t>6B</w:t>
      </w:r>
      <w:r>
        <w:t>.</w:t>
      </w:r>
      <w:r>
        <w:tab/>
        <w:t>Exemption from Act s. 45(2)(b) if Housing Authority is lessor</w:t>
      </w:r>
      <w:bookmarkEnd w:id="27"/>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28" w:name="_Toc201827558"/>
      <w:r>
        <w:rPr>
          <w:rStyle w:val="CharSectno"/>
        </w:rPr>
        <w:t>7A</w:t>
      </w:r>
      <w:r>
        <w:t>.</w:t>
      </w:r>
      <w:r>
        <w:tab/>
        <w:t>Modified application of s. 45(1) of Act</w:t>
      </w:r>
      <w:bookmarkEnd w:id="28"/>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lastRenderedPageBreak/>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Ednotesection"/>
      </w:pPr>
      <w:r>
        <w:t>[</w:t>
      </w:r>
      <w:r>
        <w:rPr>
          <w:b/>
          <w:bCs/>
        </w:rPr>
        <w:t>7B.</w:t>
      </w:r>
      <w:r>
        <w:tab/>
        <w:t>Deleted: SL 2024/149 r. 7.]</w:t>
      </w:r>
    </w:p>
    <w:p>
      <w:pPr>
        <w:pStyle w:val="Heading5"/>
      </w:pPr>
      <w:bookmarkStart w:id="29" w:name="_Toc201827559"/>
      <w:r>
        <w:rPr>
          <w:rStyle w:val="CharSectno"/>
        </w:rPr>
        <w:t>7BA</w:t>
      </w:r>
      <w:r>
        <w:t>.</w:t>
      </w:r>
      <w:r>
        <w:tab/>
        <w:t>Modified application of section 50W of Act</w:t>
      </w:r>
      <w:bookmarkEnd w:id="29"/>
    </w:p>
    <w:p>
      <w:pPr>
        <w:pStyle w:val="Subsection"/>
      </w:pPr>
      <w:r>
        <w:tab/>
      </w:r>
      <w:r>
        <w:tab/>
        <w:t>Under section 6(a) of the Act it is provided that section 50W of the Act applies to a residential tenancy agreement of the following classes as if it were modified by inserting the following after section 50W(2):</w:t>
      </w:r>
    </w:p>
    <w:p>
      <w:pPr>
        <w:pStyle w:val="Indenta"/>
      </w:pPr>
      <w:r>
        <w:tab/>
        <w:t>(a)</w:t>
      </w:r>
      <w:r>
        <w:tab/>
        <w:t>in relation to a residential tenancy agreement that includes a provision under section 50W(2)(a):</w:t>
      </w:r>
    </w:p>
    <w:p>
      <w:pPr>
        <w:pStyle w:val="BlankOpen"/>
      </w:pPr>
    </w:p>
    <w:p>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pPr>
        <w:pStyle w:val="MiscellaneousBody"/>
        <w:tabs>
          <w:tab w:val="left" w:pos="1246"/>
          <w:tab w:val="left" w:pos="2410"/>
        </w:tabs>
        <w:ind w:left="2977" w:hanging="1087"/>
      </w:pPr>
      <w:r>
        <w:tab/>
        <w:t>(a)</w:t>
      </w:r>
      <w:r>
        <w:tab/>
        <w:t xml:space="preserve">the tenant may make a major modification not stated in the agreement that is </w:t>
      </w:r>
      <w:r>
        <w:lastRenderedPageBreak/>
        <w:t>reasonably required to enable a person with disability to access and use the premises with the lessor’s consent (which must not be refused in the circumstances described in section 50Z); and</w:t>
      </w:r>
    </w:p>
    <w:p>
      <w:pPr>
        <w:pStyle w:val="MiscellaneousBody"/>
        <w:tabs>
          <w:tab w:val="left" w:pos="1246"/>
          <w:tab w:val="left" w:pos="2410"/>
        </w:tabs>
        <w:ind w:left="2977" w:hanging="1087"/>
      </w:pPr>
      <w:r>
        <w:tab/>
        <w:t>(b)</w:t>
      </w:r>
      <w:r>
        <w:tab/>
        <w:t>the making of a major modification of the kind referred to in paragraph (a) is subject to any reasonable conditions of the lessor’s approval for the tenant to make the major modification.</w:t>
      </w:r>
    </w:p>
    <w:p>
      <w:pPr>
        <w:pStyle w:val="BlankClose"/>
      </w:pPr>
    </w:p>
    <w:p>
      <w:pPr>
        <w:pStyle w:val="Indenta"/>
      </w:pPr>
      <w:r>
        <w:tab/>
        <w:t>(b)</w:t>
      </w:r>
      <w:r>
        <w:tab/>
        <w:t>in relation to a residential tenancy agreement that includes a provision under section 50W(2)(c):</w:t>
      </w:r>
    </w:p>
    <w:p>
      <w:pPr>
        <w:pStyle w:val="BlankOpen"/>
      </w:pPr>
    </w:p>
    <w:p>
      <w:pPr>
        <w:pStyle w:val="MiscellaneousBody"/>
        <w:keepNext/>
        <w:tabs>
          <w:tab w:val="right" w:pos="2127"/>
        </w:tabs>
        <w:ind w:left="2282" w:hanging="851"/>
      </w:pPr>
      <w:r>
        <w:tab/>
        <w:t>(2B)</w:t>
      </w:r>
      <w:r>
        <w:tab/>
        <w:t xml:space="preserve">If a residential tenancy agreement includes a provision referred to in subsection (2)(c) — </w:t>
      </w:r>
    </w:p>
    <w:p>
      <w:pPr>
        <w:pStyle w:val="MiscellaneousBody"/>
        <w:tabs>
          <w:tab w:val="left" w:pos="1246"/>
          <w:tab w:val="left" w:pos="2410"/>
        </w:tabs>
        <w:ind w:left="2977" w:hanging="1087"/>
      </w:pPr>
      <w:r>
        <w:tab/>
        <w:t>(a)</w:t>
      </w:r>
      <w:r>
        <w:tab/>
        <w:t>the provision does not apply to a major modification that is reasonably required to enable a person with disability to access and use the premises; and</w:t>
      </w:r>
    </w:p>
    <w:p>
      <w:pPr>
        <w:pStyle w:val="MiscellaneousBody"/>
        <w:tabs>
          <w:tab w:val="left" w:pos="1246"/>
          <w:tab w:val="left" w:pos="2410"/>
        </w:tabs>
        <w:ind w:left="2977" w:hanging="1087"/>
      </w:pPr>
      <w:r>
        <w:tab/>
        <w:t>(b)</w:t>
      </w:r>
      <w:r>
        <w:tab/>
        <w:t xml:space="preserve">it is also a term of the agreement that — </w:t>
      </w:r>
    </w:p>
    <w:p>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pPr>
        <w:pStyle w:val="zMiscellaneousBodyLeft459cm"/>
        <w:keepNext/>
        <w:ind w:left="3402"/>
        <w:rPr>
          <w:sz w:val="24"/>
          <w:szCs w:val="24"/>
        </w:rPr>
      </w:pPr>
      <w:r>
        <w:rPr>
          <w:sz w:val="24"/>
          <w:szCs w:val="24"/>
        </w:rPr>
        <w:t>(ii)</w:t>
      </w:r>
      <w:r>
        <w:rPr>
          <w:sz w:val="24"/>
          <w:szCs w:val="24"/>
        </w:rPr>
        <w:tab/>
        <w:t xml:space="preserve">the making of a major modification of the kind referred to in paragraph (a) is subject to any reasonable conditions of the </w:t>
      </w:r>
      <w:r>
        <w:rPr>
          <w:sz w:val="24"/>
          <w:szCs w:val="24"/>
        </w:rPr>
        <w:lastRenderedPageBreak/>
        <w:t>lessor’s approval for the tenant to make the major modification.</w:t>
      </w:r>
    </w:p>
    <w:p>
      <w:pPr>
        <w:pStyle w:val="BlankClose"/>
      </w:pPr>
    </w:p>
    <w:p>
      <w:pPr>
        <w:pStyle w:val="Indenta"/>
        <w:keepNext/>
      </w:pPr>
      <w:r>
        <w:tab/>
        <w:t>(c)</w:t>
      </w:r>
      <w:r>
        <w:tab/>
        <w:t>in relation to any residential tenancy agreement to which section 50W(2) may apply:</w:t>
      </w:r>
    </w:p>
    <w:p>
      <w:pPr>
        <w:pStyle w:val="BlankOpen"/>
      </w:pPr>
    </w:p>
    <w:p>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pPr>
        <w:pStyle w:val="BlankClose"/>
      </w:pPr>
    </w:p>
    <w:p>
      <w:pPr>
        <w:pStyle w:val="Footnotesection"/>
      </w:pPr>
      <w:r>
        <w:tab/>
        <w:t>[Regulation 7BA inserted: SL 2024/149 r. 8.]</w:t>
      </w:r>
    </w:p>
    <w:p>
      <w:pPr>
        <w:pStyle w:val="Heading5"/>
        <w:spacing w:before="280"/>
      </w:pPr>
      <w:bookmarkStart w:id="30" w:name="_Toc201827560"/>
      <w:r>
        <w:rPr>
          <w:rStyle w:val="CharSectno"/>
        </w:rPr>
        <w:t>7C</w:t>
      </w:r>
      <w:r>
        <w:t>.</w:t>
      </w:r>
      <w:r>
        <w:tab/>
        <w:t>Modified application of s. 60(1) of Act</w:t>
      </w:r>
      <w:bookmarkEnd w:id="30"/>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1" w:name="_Toc201827561"/>
      <w:r>
        <w:rPr>
          <w:rStyle w:val="CharSectno"/>
        </w:rPr>
        <w:lastRenderedPageBreak/>
        <w:t>7D</w:t>
      </w:r>
      <w:r>
        <w:t>.</w:t>
      </w:r>
      <w:r>
        <w:tab/>
        <w:t>Modified application of section 70A of Act for Foyer Oxford</w:t>
      </w:r>
      <w:bookmarkEnd w:id="31"/>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2" w:name="_Toc201827562"/>
      <w:r>
        <w:rPr>
          <w:rStyle w:val="CharSectno"/>
        </w:rPr>
        <w:t>7E</w:t>
      </w:r>
      <w:r>
        <w:t>.</w:t>
      </w:r>
      <w:r>
        <w:tab/>
        <w:t>Modified application of section 72 of Act</w:t>
      </w:r>
      <w:bookmarkEnd w:id="32"/>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t>
      </w:r>
      <w:r>
        <w:rPr>
          <w:snapToGrid w:val="0"/>
        </w:rPr>
        <w:lastRenderedPageBreak/>
        <w:t xml:space="preserve">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3" w:name="_Toc201827563"/>
      <w:r>
        <w:rPr>
          <w:rStyle w:val="CharSectno"/>
        </w:rPr>
        <w:t>7F</w:t>
      </w:r>
      <w:r>
        <w:t>.</w:t>
      </w:r>
      <w:r>
        <w:tab/>
        <w:t>Exemption from section 82 of Act</w:t>
      </w:r>
      <w:bookmarkEnd w:id="33"/>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4" w:name="_Toc201827564"/>
      <w:r>
        <w:rPr>
          <w:rStyle w:val="CharSectno"/>
        </w:rPr>
        <w:t>7FA</w:t>
      </w:r>
      <w:r>
        <w:t>.</w:t>
      </w:r>
      <w:r>
        <w:tab/>
        <w:t>Modified application of Act s. 85 for Housing Authority</w:t>
      </w:r>
      <w:bookmarkEnd w:id="34"/>
    </w:p>
    <w:p>
      <w:pPr>
        <w:pStyle w:val="Subsection"/>
      </w:pPr>
      <w:r>
        <w:tab/>
        <w:t>(1)</w:t>
      </w:r>
      <w:r>
        <w:tab/>
        <w:t>This regulation applies if the Housing Authority is the lessor of residential premises.</w:t>
      </w:r>
    </w:p>
    <w:p>
      <w:pPr>
        <w:pStyle w:val="Subsection"/>
      </w:pPr>
      <w:r>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35" w:name="_Toc201827565"/>
      <w:r>
        <w:rPr>
          <w:rStyle w:val="CharSectno"/>
        </w:rPr>
        <w:lastRenderedPageBreak/>
        <w:t>7G</w:t>
      </w:r>
      <w:r>
        <w:t>.</w:t>
      </w:r>
      <w:r>
        <w:tab/>
        <w:t>Modified application of section 93 of Act for Housing Authority</w:t>
      </w:r>
      <w:bookmarkEnd w:id="35"/>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6" w:name="_Toc201827566"/>
      <w:r>
        <w:rPr>
          <w:rStyle w:val="CharSectno"/>
        </w:rPr>
        <w:t>7H</w:t>
      </w:r>
      <w:r>
        <w:t>.</w:t>
      </w:r>
      <w:r>
        <w:tab/>
        <w:t>Modified application of Schedule 1 clauses 5A and 5 of Act</w:t>
      </w:r>
      <w:bookmarkEnd w:id="36"/>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lastRenderedPageBreak/>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keepNext/>
        <w:ind w:left="1985" w:hanging="567"/>
      </w:pPr>
      <w:r>
        <w:t>(c)</w:t>
      </w:r>
      <w:r>
        <w:tab/>
        <w:t xml:space="preserve">otherwise, an application made by all parties to the residential tenancy agreement to which the security bond relates using the Bonds Online eTransaction system administered by the bond administrator and available on the website maintained by the Department at </w:t>
      </w:r>
      <w:r>
        <w:lastRenderedPageBreak/>
        <w:t>&lt;www.commerce.wa.gov.au/consumer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37" w:name="_Toc201752164"/>
      <w:bookmarkStart w:id="38" w:name="_Toc201752650"/>
      <w:bookmarkStart w:id="39" w:name="_Toc201827567"/>
      <w:r>
        <w:rPr>
          <w:rStyle w:val="CharPartNo"/>
        </w:rPr>
        <w:lastRenderedPageBreak/>
        <w:t>Part 3</w:t>
      </w:r>
      <w:r>
        <w:rPr>
          <w:rStyle w:val="CharDivNo"/>
        </w:rPr>
        <w:t> </w:t>
      </w:r>
      <w:r>
        <w:t>—</w:t>
      </w:r>
      <w:r>
        <w:rPr>
          <w:rStyle w:val="CharDivText"/>
        </w:rPr>
        <w:t> </w:t>
      </w:r>
      <w:r>
        <w:rPr>
          <w:rStyle w:val="CharPartText"/>
        </w:rPr>
        <w:t>Other matters</w:t>
      </w:r>
      <w:bookmarkEnd w:id="37"/>
      <w:bookmarkEnd w:id="38"/>
      <w:bookmarkEnd w:id="39"/>
    </w:p>
    <w:p>
      <w:pPr>
        <w:pStyle w:val="Footnoteheading"/>
      </w:pPr>
      <w:r>
        <w:tab/>
        <w:t>[Heading inserted: Gazette 3 May 2013 p. 1749.]</w:t>
      </w:r>
    </w:p>
    <w:p>
      <w:pPr>
        <w:pStyle w:val="Heading5"/>
        <w:rPr>
          <w:rStyle w:val="DraftersNotes"/>
          <w:b/>
          <w:i w:val="0"/>
        </w:rPr>
      </w:pPr>
      <w:bookmarkStart w:id="40" w:name="_Toc201827568"/>
      <w:r>
        <w:rPr>
          <w:rStyle w:val="CharSectno"/>
        </w:rPr>
        <w:t>7I</w:t>
      </w:r>
      <w:r>
        <w:t>.</w:t>
      </w:r>
      <w:r>
        <w:tab/>
        <w:t>Minor modification (s. 3 of Act)</w:t>
      </w:r>
      <w:bookmarkEnd w:id="40"/>
    </w:p>
    <w:p>
      <w:pPr>
        <w:pStyle w:val="Subsection"/>
      </w:pPr>
      <w:r>
        <w:tab/>
        <w:t>(1)</w:t>
      </w:r>
      <w:r>
        <w:tab/>
        <w:t>In this regulation —</w:t>
      </w:r>
    </w:p>
    <w:p>
      <w:pPr>
        <w:pStyle w:val="Defstart"/>
      </w:pPr>
      <w:r>
        <w:tab/>
      </w:r>
      <w:r>
        <w:rPr>
          <w:rStyle w:val="CharDefText"/>
        </w:rPr>
        <w:t>draughtproofing</w:t>
      </w:r>
      <w:r>
        <w:t xml:space="preserve"> includes installing weather seals, caulking or gap filling around windows, doors, skirting and floorboards;</w:t>
      </w:r>
    </w:p>
    <w:p>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pPr>
        <w:pStyle w:val="Indenta"/>
      </w:pPr>
      <w:r>
        <w:tab/>
        <w:t>(a)</w:t>
      </w:r>
      <w:r>
        <w:tab/>
        <w:t xml:space="preserve">installing any of the following — </w:t>
      </w:r>
    </w:p>
    <w:p>
      <w:pPr>
        <w:pStyle w:val="Indenti"/>
      </w:pPr>
      <w:r>
        <w:tab/>
        <w:t>(i)</w:t>
      </w:r>
      <w:r>
        <w:tab/>
        <w:t>a picture hook;</w:t>
      </w:r>
    </w:p>
    <w:p>
      <w:pPr>
        <w:pStyle w:val="Indenti"/>
      </w:pPr>
      <w:r>
        <w:tab/>
        <w:t>(ii)</w:t>
      </w:r>
      <w:r>
        <w:tab/>
        <w:t>a screw for a wall mount, shelf or bracket;</w:t>
      </w:r>
    </w:p>
    <w:p>
      <w:pPr>
        <w:pStyle w:val="Indenti"/>
      </w:pPr>
      <w:r>
        <w:tab/>
        <w:t>(iii)</w:t>
      </w:r>
      <w:r>
        <w:tab/>
        <w:t>a wall</w:t>
      </w:r>
      <w:r>
        <w:noBreakHyphen/>
        <w:t>anchoring device;</w:t>
      </w:r>
    </w:p>
    <w:p>
      <w:pPr>
        <w:pStyle w:val="Indenti"/>
      </w:pPr>
      <w:r>
        <w:tab/>
        <w:t>(iv)</w:t>
      </w:r>
      <w:r>
        <w:tab/>
        <w:t>a water</w:t>
      </w:r>
      <w:r>
        <w:noBreakHyphen/>
        <w:t xml:space="preserve">efficient shower head; </w:t>
      </w:r>
    </w:p>
    <w:p>
      <w:pPr>
        <w:pStyle w:val="Indenti"/>
      </w:pPr>
      <w:r>
        <w:tab/>
        <w:t>(v)</w:t>
      </w:r>
      <w:r>
        <w:tab/>
        <w:t>a hand</w:t>
      </w:r>
      <w:r>
        <w:noBreakHyphen/>
        <w:t>held shower head;</w:t>
      </w:r>
    </w:p>
    <w:p>
      <w:pPr>
        <w:pStyle w:val="Indenti"/>
      </w:pPr>
      <w:r>
        <w:tab/>
        <w:t>(vi)</w:t>
      </w:r>
      <w:r>
        <w:tab/>
        <w:t>a lever</w:t>
      </w:r>
      <w:r>
        <w:noBreakHyphen/>
        <w:t>style tap;</w:t>
      </w:r>
    </w:p>
    <w:p>
      <w:pPr>
        <w:pStyle w:val="Indenti"/>
      </w:pPr>
      <w:r>
        <w:tab/>
        <w:t>(vii)</w:t>
      </w:r>
      <w:r>
        <w:tab/>
        <w:t>a security light, alarm system or security camera;</w:t>
      </w:r>
    </w:p>
    <w:p>
      <w:pPr>
        <w:pStyle w:val="Indenti"/>
      </w:pPr>
      <w:r>
        <w:tab/>
        <w:t>(viii)</w:t>
      </w:r>
      <w:r>
        <w:tab/>
        <w:t>a wireless doorbell;</w:t>
      </w:r>
    </w:p>
    <w:p>
      <w:pPr>
        <w:pStyle w:val="Indenti"/>
      </w:pPr>
      <w:r>
        <w:tab/>
        <w:t>(ix)</w:t>
      </w:r>
      <w:r>
        <w:tab/>
        <w:t>a window covering;</w:t>
      </w:r>
    </w:p>
    <w:p>
      <w:pPr>
        <w:pStyle w:val="Indenti"/>
      </w:pPr>
      <w:r>
        <w:tab/>
        <w:t>(x)</w:t>
      </w:r>
      <w:r>
        <w:tab/>
        <w:t>an adhesive child</w:t>
      </w:r>
      <w:r>
        <w:noBreakHyphen/>
        <w:t>safety lock on a drawer or door;</w:t>
      </w:r>
    </w:p>
    <w:p>
      <w:pPr>
        <w:pStyle w:val="Indenti"/>
      </w:pPr>
      <w:r>
        <w:tab/>
        <w:t>(xi)</w:t>
      </w:r>
      <w:r>
        <w:tab/>
        <w:t>a pressure</w:t>
      </w:r>
      <w:r>
        <w:noBreakHyphen/>
        <w:t>mounted safety gate;</w:t>
      </w:r>
    </w:p>
    <w:p>
      <w:pPr>
        <w:pStyle w:val="Indenti"/>
      </w:pPr>
      <w:r>
        <w:tab/>
        <w:t>(xii)</w:t>
      </w:r>
      <w:r>
        <w:tab/>
        <w:t>a lock on a gate;</w:t>
      </w:r>
    </w:p>
    <w:p>
      <w:pPr>
        <w:pStyle w:val="Indenti"/>
      </w:pPr>
      <w:r>
        <w:tab/>
        <w:t>(xiii)</w:t>
      </w:r>
      <w:r>
        <w:tab/>
        <w:t>a child</w:t>
      </w:r>
      <w:r>
        <w:noBreakHyphen/>
        <w:t>safety device on a window;</w:t>
      </w:r>
    </w:p>
    <w:p>
      <w:pPr>
        <w:pStyle w:val="Indenti"/>
      </w:pPr>
      <w:r>
        <w:lastRenderedPageBreak/>
        <w:tab/>
        <w:t>(xiv)</w:t>
      </w:r>
      <w:r>
        <w:tab/>
        <w:t>a lock on a letterbox;</w:t>
      </w:r>
    </w:p>
    <w:p>
      <w:pPr>
        <w:pStyle w:val="Indenti"/>
      </w:pPr>
      <w:r>
        <w:tab/>
        <w:t>(xv)</w:t>
      </w:r>
      <w:r>
        <w:tab/>
        <w:t xml:space="preserve">draughtproofing; </w:t>
      </w:r>
    </w:p>
    <w:p>
      <w:pPr>
        <w:pStyle w:val="Indenti"/>
      </w:pPr>
      <w:r>
        <w:tab/>
        <w:t>(xvi)</w:t>
      </w:r>
      <w:r>
        <w:tab/>
        <w:t>a telephone or internet connection;</w:t>
      </w:r>
    </w:p>
    <w:p>
      <w:pPr>
        <w:pStyle w:val="Indenti"/>
      </w:pPr>
      <w:r>
        <w:tab/>
        <w:t>(xvii)</w:t>
      </w:r>
      <w:r>
        <w:tab/>
        <w:t>an LED light bulb which does not require a new light fitting;</w:t>
      </w:r>
    </w:p>
    <w:p>
      <w:pPr>
        <w:pStyle w:val="Indenti"/>
      </w:pPr>
      <w:r>
        <w:tab/>
        <w:t>(xviii)</w:t>
      </w:r>
      <w:r>
        <w:tab/>
        <w:t>an anchor for a blind or cord;</w:t>
      </w:r>
    </w:p>
    <w:p>
      <w:pPr>
        <w:pStyle w:val="Indenti"/>
      </w:pPr>
      <w:r>
        <w:tab/>
        <w:t>(xix)</w:t>
      </w:r>
      <w:r>
        <w:tab/>
        <w:t>non</w:t>
      </w:r>
      <w:r>
        <w:noBreakHyphen/>
        <w:t>permanent window film;</w:t>
      </w:r>
    </w:p>
    <w:p>
      <w:pPr>
        <w:pStyle w:val="Indenti"/>
      </w:pPr>
      <w:r>
        <w:tab/>
        <w:t>(xx)</w:t>
      </w:r>
      <w:r>
        <w:tab/>
        <w:t>a flyscreen on a door or window;</w:t>
      </w:r>
    </w:p>
    <w:p>
      <w:pPr>
        <w:pStyle w:val="Indenti"/>
      </w:pPr>
      <w:r>
        <w:tab/>
        <w:t>(xxi)</w:t>
      </w:r>
      <w:r>
        <w:tab/>
        <w:t>a vegetable garden or herb garden;</w:t>
      </w:r>
    </w:p>
    <w:p>
      <w:pPr>
        <w:pStyle w:val="Indenta"/>
      </w:pPr>
      <w:r>
        <w:tab/>
        <w:t>(b)</w:t>
      </w:r>
      <w:r>
        <w:tab/>
        <w:t>painting a room.</w:t>
      </w:r>
    </w:p>
    <w:p>
      <w:pPr>
        <w:pStyle w:val="PermNoteHeading"/>
      </w:pPr>
      <w:r>
        <w:tab/>
        <w:t>Example for this subsection:</w:t>
      </w:r>
    </w:p>
    <w:p>
      <w:pPr>
        <w:pStyle w:val="PermNoteText"/>
      </w:pPr>
      <w:r>
        <w:tab/>
      </w:r>
      <w:r>
        <w:tab/>
        <w:t>For the purposes of paragraph (a)(ix) — a curtain or blind.</w:t>
      </w:r>
    </w:p>
    <w:p>
      <w:pPr>
        <w:pStyle w:val="Footnotesection"/>
      </w:pPr>
      <w:r>
        <w:tab/>
        <w:t>[Regulation 7I inserted: SL 2024/149 r. 9.]</w:t>
      </w:r>
    </w:p>
    <w:p>
      <w:pPr>
        <w:pStyle w:val="Heading5"/>
        <w:rPr>
          <w:snapToGrid w:val="0"/>
        </w:rPr>
      </w:pPr>
      <w:bookmarkStart w:id="41" w:name="_Toc201827569"/>
      <w:r>
        <w:rPr>
          <w:rStyle w:val="CharSectno"/>
        </w:rPr>
        <w:t>7</w:t>
      </w:r>
      <w:r>
        <w:rPr>
          <w:snapToGrid w:val="0"/>
        </w:rPr>
        <w:t>.</w:t>
      </w:r>
      <w:r>
        <w:rPr>
          <w:snapToGrid w:val="0"/>
        </w:rPr>
        <w:tab/>
        <w:t>Applications prescribed for the purposes of section 13A(2)(a) of Act</w:t>
      </w:r>
      <w:bookmarkEnd w:id="41"/>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 xml:space="preserve">any other application under the Act that is not an application in respect of which a party objects to a </w:t>
      </w:r>
      <w:r>
        <w:lastRenderedPageBreak/>
        <w:t>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42" w:name="_Toc201827570"/>
      <w:r>
        <w:rPr>
          <w:rStyle w:val="CharSectno"/>
        </w:rPr>
        <w:t>9</w:t>
      </w:r>
      <w:r>
        <w:rPr>
          <w:snapToGrid w:val="0"/>
        </w:rPr>
        <w:t>.</w:t>
      </w:r>
      <w:r>
        <w:rPr>
          <w:snapToGrid w:val="0"/>
        </w:rPr>
        <w:tab/>
        <w:t>Determination of nearest Magistrates Court</w:t>
      </w:r>
      <w:bookmarkEnd w:id="42"/>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43" w:name="_Toc201827571"/>
      <w:r>
        <w:rPr>
          <w:rStyle w:val="CharSectno"/>
        </w:rPr>
        <w:t>10</w:t>
      </w:r>
      <w:r>
        <w:rPr>
          <w:snapToGrid w:val="0"/>
        </w:rPr>
        <w:t>.</w:t>
      </w:r>
      <w:r>
        <w:rPr>
          <w:snapToGrid w:val="0"/>
        </w:rPr>
        <w:tab/>
        <w:t>Scale of costs for section 24 of Act</w:t>
      </w:r>
      <w:bookmarkEnd w:id="43"/>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Ednotesection"/>
      </w:pPr>
      <w:r>
        <w:lastRenderedPageBreak/>
        <w:t>[</w:t>
      </w:r>
      <w:r>
        <w:rPr>
          <w:b/>
          <w:bCs/>
        </w:rPr>
        <w:t>10AA.</w:t>
      </w:r>
      <w:r>
        <w:tab/>
        <w:t>Deleted: SL 2024/149 r. 10.]</w:t>
      </w:r>
    </w:p>
    <w:p>
      <w:pPr>
        <w:pStyle w:val="Heading5"/>
      </w:pPr>
      <w:bookmarkStart w:id="44" w:name="_Toc201827572"/>
      <w:r>
        <w:rPr>
          <w:rStyle w:val="CharSectno"/>
        </w:rPr>
        <w:t>10AB</w:t>
      </w:r>
      <w:r>
        <w:t>.</w:t>
      </w:r>
      <w:r>
        <w:tab/>
        <w:t>Information to be given to tenant for section 27B of Act</w:t>
      </w:r>
      <w:bookmarkEnd w:id="44"/>
    </w:p>
    <w:p>
      <w:pPr>
        <w:pStyle w:val="Subsection"/>
      </w:pPr>
      <w:r>
        <w:tab/>
        <w:t>(1)</w:t>
      </w:r>
      <w:r>
        <w:tab/>
        <w:t xml:space="preserve">For the purposes of section 27B of the Act, the following information is prescribed in the case of a written residential tenancy agreement — </w:t>
      </w:r>
    </w:p>
    <w:p>
      <w:pPr>
        <w:pStyle w:val="Indenta"/>
      </w:pPr>
      <w:r>
        <w:tab/>
        <w:t>(a)</w:t>
      </w:r>
      <w:r>
        <w:tab/>
        <w:t xml:space="preserve">information about processes or requirements under the Act in relation to the following — </w:t>
      </w:r>
    </w:p>
    <w:p>
      <w:pPr>
        <w:pStyle w:val="Indenti"/>
      </w:pPr>
      <w:r>
        <w:tab/>
        <w:t>(i)</w:t>
      </w:r>
      <w:r>
        <w:tab/>
        <w:t xml:space="preserve">documents or other items that the lessor must give to the tenant at the start of the tenancy; </w:t>
      </w:r>
    </w:p>
    <w:p>
      <w:pPr>
        <w:pStyle w:val="Indenti"/>
      </w:pPr>
      <w:r>
        <w:tab/>
        <w:t>(ii)</w:t>
      </w:r>
      <w:r>
        <w:tab/>
        <w:t xml:space="preserve">restrictions on amounts that the lessor may require the tenant to pay in relation to the tenancy; </w:t>
      </w:r>
    </w:p>
    <w:p>
      <w:pPr>
        <w:pStyle w:val="Indenti"/>
      </w:pPr>
      <w:r>
        <w:tab/>
        <w:t>(iii)</w:t>
      </w:r>
      <w:r>
        <w:tab/>
        <w:t xml:space="preserve">the lessor’s obligations in relation to amounts that the lessor may require the tenant to pay in relation to the tenancy; </w:t>
      </w:r>
    </w:p>
    <w:p>
      <w:pPr>
        <w:pStyle w:val="Indenti"/>
      </w:pPr>
      <w:r>
        <w:tab/>
        <w:t>(iv)</w:t>
      </w:r>
      <w:r>
        <w:tab/>
        <w:t xml:space="preserve">the property condition report; </w:t>
      </w:r>
    </w:p>
    <w:p>
      <w:pPr>
        <w:pStyle w:val="Indenti"/>
      </w:pPr>
      <w:r>
        <w:tab/>
        <w:t>(v)</w:t>
      </w:r>
      <w:r>
        <w:tab/>
        <w:t xml:space="preserve">the obligation to pay rent; </w:t>
      </w:r>
    </w:p>
    <w:p>
      <w:pPr>
        <w:pStyle w:val="Indenti"/>
      </w:pPr>
      <w:r>
        <w:tab/>
        <w:t>(vi)</w:t>
      </w:r>
      <w:r>
        <w:tab/>
        <w:t>the end of the tenancy;</w:t>
      </w:r>
    </w:p>
    <w:p>
      <w:pPr>
        <w:pStyle w:val="Indenti"/>
      </w:pPr>
      <w:r>
        <w:tab/>
        <w:t>(vii)</w:t>
      </w:r>
      <w:r>
        <w:tab/>
        <w:t>how to give notice;</w:t>
      </w:r>
    </w:p>
    <w:p>
      <w:pPr>
        <w:pStyle w:val="Indenta"/>
      </w:pPr>
      <w:r>
        <w:tab/>
        <w:t>(b)</w:t>
      </w:r>
      <w:r>
        <w:tab/>
        <w:t>information relating to safety on the premises, including matters arising under a written law or a law of the Commonwealth;</w:t>
      </w:r>
    </w:p>
    <w:p>
      <w:pPr>
        <w:pStyle w:val="Indenta"/>
      </w:pPr>
      <w:r>
        <w:tab/>
        <w:t>(c)</w:t>
      </w:r>
      <w:r>
        <w:tab/>
        <w:t xml:space="preserve">information about clarifying the tenant’s and the lessor’s respective obligations in relation to maintaining the premises; </w:t>
      </w:r>
    </w:p>
    <w:p>
      <w:pPr>
        <w:pStyle w:val="Indenta"/>
      </w:pPr>
      <w:r>
        <w:tab/>
        <w:t>(d)</w:t>
      </w:r>
      <w:r>
        <w:tab/>
        <w:t>information about the execution of documents in relation to the tenancy;</w:t>
      </w:r>
    </w:p>
    <w:p>
      <w:pPr>
        <w:pStyle w:val="Indenta"/>
      </w:pPr>
      <w:r>
        <w:tab/>
        <w:t>(e)</w:t>
      </w:r>
      <w:r>
        <w:tab/>
        <w:t>information about the importance of the tenant keeping copies of documents in relation to the tenancy;</w:t>
      </w:r>
    </w:p>
    <w:p>
      <w:pPr>
        <w:pStyle w:val="Indenta"/>
        <w:keepNext/>
      </w:pPr>
      <w:r>
        <w:lastRenderedPageBreak/>
        <w:tab/>
        <w:t>(f)</w:t>
      </w:r>
      <w:r>
        <w:tab/>
        <w:t>information about complaint or dispute resolution procedures under the Act;</w:t>
      </w:r>
    </w:p>
    <w:p>
      <w:pPr>
        <w:pStyle w:val="Indenta"/>
      </w:pPr>
      <w:r>
        <w:tab/>
        <w:t>(g)</w:t>
      </w:r>
      <w:r>
        <w:tab/>
        <w:t xml:space="preserve">information about how to seek advice or assistance in relation to the tenancy. </w:t>
      </w:r>
    </w:p>
    <w:p>
      <w:pPr>
        <w:pStyle w:val="Subsection"/>
      </w:pPr>
      <w:r>
        <w:tab/>
        <w:t>(2)</w:t>
      </w:r>
      <w:r>
        <w:tab/>
        <w:t xml:space="preserve">For the purposes of section 27B of the Act, the following information is prescribed in the case of a residential tenancy agreement (other than a written residential tenancy agreement) — </w:t>
      </w:r>
    </w:p>
    <w:p>
      <w:pPr>
        <w:pStyle w:val="Indenta"/>
      </w:pPr>
      <w:r>
        <w:tab/>
        <w:t>(a)</w:t>
      </w:r>
      <w:r>
        <w:tab/>
        <w:t>information listed in subregulation (1);</w:t>
      </w:r>
    </w:p>
    <w:p>
      <w:pPr>
        <w:pStyle w:val="Indenta"/>
      </w:pPr>
      <w:r>
        <w:tab/>
        <w:t>(b)</w:t>
      </w:r>
      <w:r>
        <w:tab/>
        <w:t>a summary of the terms under the Act applicable to every residential tenancy agreement.</w:t>
      </w:r>
    </w:p>
    <w:p>
      <w:pPr>
        <w:pStyle w:val="Footnotesection"/>
      </w:pPr>
      <w:r>
        <w:tab/>
        <w:t>[Regulation 10AB inserted: SL 2024/149 r. 10.]</w:t>
      </w:r>
    </w:p>
    <w:p>
      <w:pPr>
        <w:pStyle w:val="Heading5"/>
      </w:pPr>
      <w:bookmarkStart w:id="45" w:name="_Toc201827573"/>
      <w:r>
        <w:rPr>
          <w:rStyle w:val="CharSectno"/>
        </w:rPr>
        <w:t>10ABA</w:t>
      </w:r>
      <w:r>
        <w:t>.</w:t>
      </w:r>
      <w:r>
        <w:tab/>
        <w:t>Information prescribed by regulation 10AB must be given to tenant in approved form</w:t>
      </w:r>
      <w:bookmarkEnd w:id="45"/>
    </w:p>
    <w:p>
      <w:pPr>
        <w:pStyle w:val="Subsection"/>
      </w:pPr>
      <w:r>
        <w:tab/>
        <w:t>(1)</w:t>
      </w:r>
      <w:r>
        <w:tab/>
        <w:t>A lessor or property manager must give the information prescribed by regulation 10AB to the tenant in the approved form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for this subregulation: a fine of $5 000.</w:t>
      </w:r>
    </w:p>
    <w:p>
      <w:pPr>
        <w:pStyle w:val="Subsection"/>
      </w:pPr>
      <w:r>
        <w:tab/>
        <w:t>(2)</w:t>
      </w:r>
      <w:r>
        <w:tab/>
        <w:t>Subregulation (1) does not apply in relation to a residential tenancy agreement if —</w:t>
      </w:r>
    </w:p>
    <w:p>
      <w:pPr>
        <w:pStyle w:val="Indenta"/>
      </w:pPr>
      <w:r>
        <w:tab/>
        <w:t>(a)</w:t>
      </w:r>
      <w:r>
        <w:tab/>
        <w:t>the agreement is renewed or extended; and</w:t>
      </w:r>
    </w:p>
    <w:p>
      <w:pPr>
        <w:pStyle w:val="Indenta"/>
      </w:pPr>
      <w:r>
        <w:tab/>
        <w:t>(b)</w:t>
      </w:r>
      <w:r>
        <w:tab/>
        <w:t>there has been no change in the parties to the agreement.</w:t>
      </w:r>
    </w:p>
    <w:p>
      <w:pPr>
        <w:pStyle w:val="Footnotesection"/>
      </w:pPr>
      <w:r>
        <w:tab/>
        <w:t>[Regulation 10ABA inserted: SL 2024/149 r. 10.]</w:t>
      </w:r>
    </w:p>
    <w:p>
      <w:pPr>
        <w:pStyle w:val="Heading5"/>
      </w:pPr>
      <w:bookmarkStart w:id="46" w:name="_Toc201827574"/>
      <w:r>
        <w:rPr>
          <w:rStyle w:val="CharSectno"/>
        </w:rPr>
        <w:lastRenderedPageBreak/>
        <w:t>10AC</w:t>
      </w:r>
      <w:r>
        <w:t>.</w:t>
      </w:r>
      <w:r>
        <w:tab/>
        <w:t>Information to be included in property condition report for section 27C(6) of Act</w:t>
      </w:r>
      <w:bookmarkEnd w:id="46"/>
    </w:p>
    <w:p>
      <w:pPr>
        <w:pStyle w:val="Subsection"/>
        <w:keepNext/>
      </w:pPr>
      <w:r>
        <w:tab/>
      </w:r>
      <w:r>
        <w:tab/>
        <w:t>For the purposes of section 27C(6) of the Act, the information set out in Schedule 4 Form 1 is prescribed as the information that is to be included in a property condition report.</w:t>
      </w:r>
    </w:p>
    <w:p>
      <w:pPr>
        <w:pStyle w:val="Footnotesection"/>
        <w:spacing w:before="100"/>
        <w:ind w:left="890" w:hanging="890"/>
      </w:pPr>
      <w:r>
        <w:tab/>
        <w:t xml:space="preserve">[Regulation 10AC inserted: Gazette 3 May 2013 p. 1751.] </w:t>
      </w:r>
    </w:p>
    <w:p>
      <w:pPr>
        <w:pStyle w:val="Heading5"/>
      </w:pPr>
      <w:bookmarkStart w:id="47" w:name="_Toc201827575"/>
      <w:r>
        <w:rPr>
          <w:rStyle w:val="CharSectno"/>
        </w:rPr>
        <w:t>10AD</w:t>
      </w:r>
      <w:r>
        <w:t>.</w:t>
      </w:r>
      <w:r>
        <w:tab/>
        <w:t>Amount prescribed for section 27(2)(a) of Act</w:t>
      </w:r>
      <w:bookmarkEnd w:id="47"/>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spacing w:before="100"/>
        <w:ind w:left="890" w:hanging="890"/>
      </w:pPr>
      <w:r>
        <w:tab/>
        <w:t xml:space="preserve">[Regulation 10AD inserted: Gazette 3 May 2013 p. 1751.] </w:t>
      </w:r>
    </w:p>
    <w:p>
      <w:pPr>
        <w:pStyle w:val="Heading5"/>
        <w:spacing w:before="180"/>
        <w:rPr>
          <w:snapToGrid w:val="0"/>
        </w:rPr>
      </w:pPr>
      <w:bookmarkStart w:id="48" w:name="_Toc201827576"/>
      <w:r>
        <w:rPr>
          <w:rStyle w:val="CharSectno"/>
        </w:rPr>
        <w:t>10A</w:t>
      </w:r>
      <w:r>
        <w:rPr>
          <w:snapToGrid w:val="0"/>
        </w:rPr>
        <w:t>.</w:t>
      </w:r>
      <w:r>
        <w:rPr>
          <w:snapToGrid w:val="0"/>
        </w:rPr>
        <w:tab/>
        <w:t>Amount prescribed for section 29(1)(b)(ii) of Act</w:t>
      </w:r>
      <w:bookmarkEnd w:id="48"/>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49" w:name="_Toc201827577"/>
      <w:r>
        <w:rPr>
          <w:rStyle w:val="CharSectno"/>
        </w:rPr>
        <w:lastRenderedPageBreak/>
        <w:t>11</w:t>
      </w:r>
      <w:r>
        <w:rPr>
          <w:snapToGrid w:val="0"/>
        </w:rPr>
        <w:t>.</w:t>
      </w:r>
      <w:r>
        <w:rPr>
          <w:snapToGrid w:val="0"/>
        </w:rPr>
        <w:tab/>
        <w:t>Amount prescribed for section 29(2) of Act</w:t>
      </w:r>
      <w:bookmarkEnd w:id="49"/>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50" w:name="_Toc201827578"/>
      <w:r>
        <w:rPr>
          <w:rStyle w:val="CharSectno"/>
        </w:rPr>
        <w:t>12A</w:t>
      </w:r>
      <w:r>
        <w:t>.</w:t>
      </w:r>
      <w:r>
        <w:tab/>
        <w:t>Essential services prescribed for section 43(1) of Act</w:t>
      </w:r>
      <w:bookmarkEnd w:id="50"/>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51" w:name="_Toc201827579"/>
      <w:r>
        <w:rPr>
          <w:rStyle w:val="CharSectno"/>
        </w:rPr>
        <w:t>12B</w:t>
      </w:r>
      <w:r>
        <w:t>.</w:t>
      </w:r>
      <w:r>
        <w:tab/>
        <w:t>Means to secure residential premises prescribed for s. 45(1)(a) of Act</w:t>
      </w:r>
      <w:bookmarkEnd w:id="51"/>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lastRenderedPageBreak/>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keepNext/>
      </w:pPr>
      <w:r>
        <w:lastRenderedPageBreak/>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Ednotesection"/>
      </w:pPr>
      <w:r>
        <w:t>[</w:t>
      </w:r>
      <w:r>
        <w:rPr>
          <w:b/>
          <w:bCs/>
        </w:rPr>
        <w:t>12BA.</w:t>
      </w:r>
      <w:r>
        <w:tab/>
        <w:t>Deleted: SL 2024/149 r. 11.]</w:t>
      </w:r>
    </w:p>
    <w:p>
      <w:pPr>
        <w:pStyle w:val="Heading5"/>
      </w:pPr>
      <w:bookmarkStart w:id="52" w:name="_Toc201827580"/>
      <w:r>
        <w:rPr>
          <w:rStyle w:val="CharSectno"/>
        </w:rPr>
        <w:t>12BB</w:t>
      </w:r>
      <w:r>
        <w:t>.</w:t>
      </w:r>
      <w:r>
        <w:tab/>
        <w:t>Ground for approval to refuse consent for pet prescribed for section 50E(3)(f) of Act</w:t>
      </w:r>
      <w:bookmarkEnd w:id="52"/>
    </w:p>
    <w:p>
      <w:pPr>
        <w:pStyle w:val="Subsection"/>
      </w:pPr>
      <w:r>
        <w:tab/>
        <w:t>(1)</w:t>
      </w:r>
      <w:r>
        <w:tab/>
        <w:t xml:space="preserve">In this regulation — </w:t>
      </w:r>
    </w:p>
    <w:p>
      <w:pPr>
        <w:pStyle w:val="Defstart"/>
      </w:pPr>
      <w:r>
        <w:tab/>
      </w:r>
      <w:r>
        <w:rPr>
          <w:rStyle w:val="CharDefText"/>
        </w:rPr>
        <w:t>dangerous dog</w:t>
      </w:r>
      <w:r>
        <w:t xml:space="preserve"> has the meaning given in the </w:t>
      </w:r>
      <w:r>
        <w:rPr>
          <w:i/>
        </w:rPr>
        <w:t xml:space="preserve">Dog Act 1976 </w:t>
      </w:r>
      <w:r>
        <w:t>section 3(1).</w:t>
      </w:r>
    </w:p>
    <w:p>
      <w:pPr>
        <w:pStyle w:val="Subsection"/>
      </w:pPr>
      <w:r>
        <w:tab/>
        <w:t>(2)</w:t>
      </w:r>
      <w:r>
        <w:tab/>
        <w:t>For the purposes of section 50E(3)(f) of the Act, a prescribed ground is the pet is a dangerous dog.</w:t>
      </w:r>
    </w:p>
    <w:p>
      <w:pPr>
        <w:pStyle w:val="Footnotesection"/>
      </w:pPr>
      <w:r>
        <w:tab/>
        <w:t>[Regulation 12BB inserted: SL 2024/149 r. 12.]</w:t>
      </w:r>
    </w:p>
    <w:p>
      <w:pPr>
        <w:pStyle w:val="Heading5"/>
      </w:pPr>
      <w:bookmarkStart w:id="53" w:name="_Toc201827581"/>
      <w:r>
        <w:rPr>
          <w:rStyle w:val="CharSectno"/>
        </w:rPr>
        <w:t>12BC</w:t>
      </w:r>
      <w:r>
        <w:t>.</w:t>
      </w:r>
      <w:r>
        <w:tab/>
        <w:t>Prescribed modifications to prevent entry in circumstances of family violence for section 50M(2) of Act</w:t>
      </w:r>
      <w:bookmarkEnd w:id="53"/>
    </w:p>
    <w:p>
      <w:pPr>
        <w:pStyle w:val="Subsection"/>
      </w:pPr>
      <w:r>
        <w:tab/>
      </w:r>
      <w:r>
        <w:tab/>
        <w:t xml:space="preserve">For the purposes of section 50M(2) of the Act, prescribed modifications are 1 or more of the following — </w:t>
      </w:r>
    </w:p>
    <w:p>
      <w:pPr>
        <w:pStyle w:val="Indenta"/>
      </w:pPr>
      <w:r>
        <w:tab/>
        <w:t>(a)</w:t>
      </w:r>
      <w:r>
        <w:tab/>
        <w:t xml:space="preserve">installing or altering any of the following — </w:t>
      </w:r>
    </w:p>
    <w:p>
      <w:pPr>
        <w:pStyle w:val="Indenti"/>
      </w:pPr>
      <w:r>
        <w:tab/>
        <w:t>(i)</w:t>
      </w:r>
      <w:r>
        <w:tab/>
        <w:t>a security alarm or camera;</w:t>
      </w:r>
    </w:p>
    <w:p>
      <w:pPr>
        <w:pStyle w:val="Indenti"/>
      </w:pPr>
      <w:r>
        <w:tab/>
        <w:t>(ii)</w:t>
      </w:r>
      <w:r>
        <w:tab/>
        <w:t>a lock, screen or shutter on a window;</w:t>
      </w:r>
    </w:p>
    <w:p>
      <w:pPr>
        <w:pStyle w:val="Indenti"/>
      </w:pPr>
      <w:r>
        <w:lastRenderedPageBreak/>
        <w:tab/>
        <w:t>(iii)</w:t>
      </w:r>
      <w:r>
        <w:tab/>
        <w:t>a security screen on a door;</w:t>
      </w:r>
    </w:p>
    <w:p>
      <w:pPr>
        <w:pStyle w:val="Indenti"/>
      </w:pPr>
      <w:r>
        <w:tab/>
        <w:t>(iv)</w:t>
      </w:r>
      <w:r>
        <w:tab/>
        <w:t>an exterior light;</w:t>
      </w:r>
    </w:p>
    <w:p>
      <w:pPr>
        <w:pStyle w:val="Indenti"/>
      </w:pPr>
      <w:r>
        <w:tab/>
        <w:t>(v)</w:t>
      </w:r>
      <w:r>
        <w:tab/>
        <w:t>a lock on a gate;</w:t>
      </w:r>
    </w:p>
    <w:p>
      <w:pPr>
        <w:pStyle w:val="Indenta"/>
      </w:pPr>
      <w:r>
        <w:tab/>
        <w:t>(b)</w:t>
      </w:r>
      <w:r>
        <w:tab/>
        <w:t>pruning a shrub or tree that limits visibility around the residential premises.</w:t>
      </w:r>
    </w:p>
    <w:p>
      <w:pPr>
        <w:pStyle w:val="Footnotesection"/>
      </w:pPr>
      <w:r>
        <w:tab/>
        <w:t>[Regulation 12BC inserted: SL 2024/149 r. 12.]</w:t>
      </w:r>
    </w:p>
    <w:p>
      <w:pPr>
        <w:pStyle w:val="Heading5"/>
      </w:pPr>
      <w:bookmarkStart w:id="54" w:name="_Toc201827582"/>
      <w:r>
        <w:rPr>
          <w:rStyle w:val="CharSectno"/>
        </w:rPr>
        <w:t>12BD</w:t>
      </w:r>
      <w:r>
        <w:t>.</w:t>
      </w:r>
      <w:r>
        <w:tab/>
        <w:t>Types of modifications which may be subject to condition prescribed for section 50P(a) of Act</w:t>
      </w:r>
      <w:bookmarkEnd w:id="54"/>
    </w:p>
    <w:p>
      <w:pPr>
        <w:pStyle w:val="Subsection"/>
      </w:pPr>
      <w:r>
        <w:tab/>
      </w:r>
      <w:r>
        <w:tab/>
        <w:t xml:space="preserve">For the purposes of section 50P(a) of the Act, the following are types of prescribed modifications — </w:t>
      </w:r>
    </w:p>
    <w:p>
      <w:pPr>
        <w:pStyle w:val="Indenta"/>
      </w:pPr>
      <w:r>
        <w:tab/>
        <w:t>(a)</w:t>
      </w:r>
      <w:r>
        <w:tab/>
        <w:t xml:space="preserve">installing any of the following — </w:t>
      </w:r>
    </w:p>
    <w:p>
      <w:pPr>
        <w:pStyle w:val="Indenti"/>
      </w:pPr>
      <w:r>
        <w:tab/>
        <w:t>(i)</w:t>
      </w:r>
      <w:r>
        <w:tab/>
        <w:t>a lever</w:t>
      </w:r>
      <w:r>
        <w:noBreakHyphen/>
        <w:t>style tap;</w:t>
      </w:r>
    </w:p>
    <w:p>
      <w:pPr>
        <w:pStyle w:val="Indenti"/>
      </w:pPr>
      <w:r>
        <w:tab/>
        <w:t>(ii)</w:t>
      </w:r>
      <w:r>
        <w:tab/>
        <w:t>a hardwired alarm system, security camera or security light;</w:t>
      </w:r>
    </w:p>
    <w:p>
      <w:pPr>
        <w:pStyle w:val="Indenti"/>
      </w:pPr>
      <w:r>
        <w:tab/>
        <w:t>(iii)</w:t>
      </w:r>
      <w:r>
        <w:tab/>
        <w:t>a telephone or internet connection;</w:t>
      </w:r>
    </w:p>
    <w:p>
      <w:pPr>
        <w:pStyle w:val="Indenti"/>
      </w:pPr>
      <w:r>
        <w:tab/>
        <w:t>(iv)</w:t>
      </w:r>
      <w:r>
        <w:tab/>
        <w:t>non</w:t>
      </w:r>
      <w:r>
        <w:noBreakHyphen/>
        <w:t>permanent window film;</w:t>
      </w:r>
    </w:p>
    <w:p>
      <w:pPr>
        <w:pStyle w:val="Indenta"/>
      </w:pPr>
      <w:r>
        <w:tab/>
        <w:t>(b)</w:t>
      </w:r>
      <w:r>
        <w:tab/>
        <w:t>painting a room.</w:t>
      </w:r>
    </w:p>
    <w:p>
      <w:pPr>
        <w:pStyle w:val="Footnotesection"/>
      </w:pPr>
      <w:r>
        <w:tab/>
        <w:t>[Regulation 12BD inserted: SL 2024/149 r. 12.]</w:t>
      </w:r>
    </w:p>
    <w:p>
      <w:pPr>
        <w:pStyle w:val="Heading5"/>
      </w:pPr>
      <w:bookmarkStart w:id="55" w:name="_Toc201827583"/>
      <w:r>
        <w:rPr>
          <w:rStyle w:val="CharSectno"/>
        </w:rPr>
        <w:t>12BE</w:t>
      </w:r>
      <w:r>
        <w:t>.</w:t>
      </w:r>
      <w:r>
        <w:tab/>
        <w:t>Matters prescribed for section 50P(b) of Act</w:t>
      </w:r>
      <w:bookmarkEnd w:id="55"/>
    </w:p>
    <w:p>
      <w:pPr>
        <w:pStyle w:val="Subsection"/>
      </w:pPr>
      <w:r>
        <w:tab/>
      </w:r>
      <w:r>
        <w:tab/>
        <w:t xml:space="preserve">For the purposes of section 50P(b) of the Act, the following are prescribed matters — </w:t>
      </w:r>
    </w:p>
    <w:p>
      <w:pPr>
        <w:pStyle w:val="Indenta"/>
      </w:pPr>
      <w:r>
        <w:tab/>
        <w:t>(a)</w:t>
      </w:r>
      <w:r>
        <w:tab/>
        <w:t>the provision by the tenant to the lessor of the codes to an alarm system;</w:t>
      </w:r>
    </w:p>
    <w:p>
      <w:pPr>
        <w:pStyle w:val="Indenta"/>
      </w:pPr>
      <w:r>
        <w:tab/>
        <w:t>(b)</w:t>
      </w:r>
      <w:r>
        <w:tab/>
        <w:t>the provision by the tenant to the lessor of copies of keys for locks on gates or letterboxes;</w:t>
      </w:r>
    </w:p>
    <w:p>
      <w:pPr>
        <w:pStyle w:val="Indenta"/>
        <w:keepNext/>
      </w:pPr>
      <w:r>
        <w:tab/>
        <w:t>(c)</w:t>
      </w:r>
      <w:r>
        <w:tab/>
        <w:t xml:space="preserve">if the lessor’s consent for the tenant to make the minor modification is subject to a condition under section 50P(a), the provision by the tenant to the lessor </w:t>
      </w:r>
      <w:r>
        <w:lastRenderedPageBreak/>
        <w:t>of a copy of the invoice of the person who carried out the modification.</w:t>
      </w:r>
    </w:p>
    <w:p>
      <w:pPr>
        <w:pStyle w:val="Footnotesection"/>
      </w:pPr>
      <w:r>
        <w:tab/>
        <w:t>[Regulation 12BE inserted: SL 2024/149 r. 12.]</w:t>
      </w:r>
    </w:p>
    <w:p>
      <w:pPr>
        <w:pStyle w:val="Heading5"/>
      </w:pPr>
      <w:bookmarkStart w:id="56" w:name="_Toc201827584"/>
      <w:r>
        <w:rPr>
          <w:rStyle w:val="CharSectno"/>
        </w:rPr>
        <w:t>12BF</w:t>
      </w:r>
      <w:r>
        <w:t>.</w:t>
      </w:r>
      <w:r>
        <w:tab/>
        <w:t>Grounds for approval to refuse consent prescribed for section 50S(3)(g) of Act</w:t>
      </w:r>
      <w:bookmarkEnd w:id="56"/>
    </w:p>
    <w:p>
      <w:pPr>
        <w:pStyle w:val="Subsection"/>
        <w:keepNext/>
      </w:pPr>
      <w:r>
        <w:tab/>
      </w:r>
      <w:r>
        <w:tab/>
        <w:t xml:space="preserve">For the purposes of section 50S(3)(g) of the Act, a prescribed matter is — </w:t>
      </w:r>
    </w:p>
    <w:p>
      <w:pPr>
        <w:pStyle w:val="Indenta"/>
      </w:pPr>
      <w:r>
        <w:tab/>
        <w:t>(a)</w:t>
      </w:r>
      <w:r>
        <w:tab/>
        <w:t>the tenant is making a minor modification on a surface that is tile, exposed brick or exposed concrete that involves drilling, nailing or otherwise permanently altering the surface; and</w:t>
      </w:r>
    </w:p>
    <w:p>
      <w:pPr>
        <w:pStyle w:val="Indenta"/>
      </w:pPr>
      <w:r>
        <w:tab/>
        <w:t>(b)</w:t>
      </w:r>
      <w:r>
        <w:tab/>
        <w:t>there is a significant risk of damage from the modification referred to in paragraph (a).</w:t>
      </w:r>
    </w:p>
    <w:p>
      <w:pPr>
        <w:pStyle w:val="Footnotesection"/>
      </w:pPr>
      <w:r>
        <w:tab/>
        <w:t>[Regulation 12BF inserted: SL 2024/149 r. 12.]</w:t>
      </w:r>
    </w:p>
    <w:p>
      <w:pPr>
        <w:pStyle w:val="Heading5"/>
        <w:spacing w:before="180"/>
      </w:pPr>
      <w:bookmarkStart w:id="57" w:name="_Toc201827585"/>
      <w:r>
        <w:rPr>
          <w:rStyle w:val="CharSectno"/>
        </w:rPr>
        <w:t>12C</w:t>
      </w:r>
      <w:r>
        <w:t>.</w:t>
      </w:r>
      <w:r>
        <w:tab/>
        <w:t>Social housing tenancy agreement for the purposes of section 71A of Act</w:t>
      </w:r>
      <w:bookmarkEnd w:id="57"/>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before the agreement is entered into, the Housing Authority determines, as the result of an assessment carried out under section 71D of the </w:t>
      </w:r>
      <w:r>
        <w:lastRenderedPageBreak/>
        <w:t>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58" w:name="_Toc201827586"/>
      <w:r>
        <w:rPr>
          <w:rStyle w:val="CharSectno"/>
        </w:rPr>
        <w:t>12CA</w:t>
      </w:r>
      <w:r>
        <w:t>.</w:t>
      </w:r>
      <w:r>
        <w:tab/>
        <w:t>Prescribed person for s. 71AB(2)(d)(vi) of Act</w:t>
      </w:r>
      <w:bookmarkEnd w:id="58"/>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59" w:name="_Toc201827587"/>
      <w:r>
        <w:rPr>
          <w:rStyle w:val="CharSectno"/>
        </w:rPr>
        <w:t>12D</w:t>
      </w:r>
      <w:r>
        <w:t>.</w:t>
      </w:r>
      <w:r>
        <w:tab/>
        <w:t>Manner prescribed for purposes of section 79(3)(b) of Act</w:t>
      </w:r>
      <w:bookmarkEnd w:id="59"/>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60" w:name="_Toc201827588"/>
      <w:r>
        <w:rPr>
          <w:rStyle w:val="CharSectno"/>
        </w:rPr>
        <w:t>12E</w:t>
      </w:r>
      <w:r>
        <w:t>.</w:t>
      </w:r>
      <w:r>
        <w:tab/>
        <w:t>Information prescribed for section 79(10) of Act</w:t>
      </w:r>
      <w:bookmarkEnd w:id="60"/>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lastRenderedPageBreak/>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keepNext/>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61" w:name="_Toc201827589"/>
      <w:r>
        <w:rPr>
          <w:rStyle w:val="CharSectno"/>
        </w:rPr>
        <w:t>12</w:t>
      </w:r>
      <w:r>
        <w:t>.</w:t>
      </w:r>
      <w:r>
        <w:tab/>
        <w:t>Manner prescribed for purposes of section 85(3)(c) of Act</w:t>
      </w:r>
      <w:bookmarkEnd w:id="61"/>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62" w:name="_Toc201827590"/>
      <w:r>
        <w:rPr>
          <w:rStyle w:val="CharSectno"/>
        </w:rPr>
        <w:t>13</w:t>
      </w:r>
      <w:r>
        <w:t>.</w:t>
      </w:r>
      <w:r>
        <w:tab/>
        <w:t>Infringement notices</w:t>
      </w:r>
      <w:bookmarkEnd w:id="62"/>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63" w:name="_Toc201827591"/>
      <w:r>
        <w:rPr>
          <w:rStyle w:val="CharSectno"/>
        </w:rPr>
        <w:t>14</w:t>
      </w:r>
      <w:r>
        <w:t>.</w:t>
      </w:r>
      <w:r>
        <w:tab/>
        <w:t>Matters prescribed for section 94 of Act</w:t>
      </w:r>
      <w:bookmarkEnd w:id="63"/>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w:t>
      </w:r>
      <w:r>
        <w:lastRenderedPageBreak/>
        <w:t>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keepNext/>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64" w:name="_Toc201827592"/>
      <w:r>
        <w:rPr>
          <w:rStyle w:val="CharSectno"/>
        </w:rPr>
        <w:t>15</w:t>
      </w:r>
      <w:r>
        <w:rPr>
          <w:snapToGrid w:val="0"/>
        </w:rPr>
        <w:t>.</w:t>
      </w:r>
      <w:r>
        <w:rPr>
          <w:snapToGrid w:val="0"/>
        </w:rPr>
        <w:tab/>
        <w:t>Disposal of unclaimed security bonds</w:t>
      </w:r>
      <w:bookmarkEnd w:id="64"/>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 xml:space="preserve">informing them that the bond holder has reason to believe that 6 months have elapsed since the termination </w:t>
      </w:r>
      <w:r>
        <w:rPr>
          <w:snapToGrid w:val="0"/>
        </w:rPr>
        <w:lastRenderedPageBreak/>
        <w:t>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lastRenderedPageBreak/>
        <w:t>[</w:t>
      </w:r>
      <w:r>
        <w:rPr>
          <w:b/>
        </w:rPr>
        <w:t>16.</w:t>
      </w:r>
      <w:r>
        <w:tab/>
        <w:t>Deleted: Gazette 3 May 2013 p. 1756.]</w:t>
      </w:r>
    </w:p>
    <w:p>
      <w:pPr>
        <w:pStyle w:val="Heading5"/>
        <w:keepLines w:val="0"/>
        <w:spacing w:before="180"/>
        <w:rPr>
          <w:snapToGrid w:val="0"/>
        </w:rPr>
      </w:pPr>
      <w:bookmarkStart w:id="65" w:name="_Toc201827593"/>
      <w:r>
        <w:rPr>
          <w:rStyle w:val="CharSectno"/>
        </w:rPr>
        <w:t>17</w:t>
      </w:r>
      <w:r>
        <w:rPr>
          <w:snapToGrid w:val="0"/>
        </w:rPr>
        <w:t>.</w:t>
      </w:r>
      <w:r>
        <w:rPr>
          <w:snapToGrid w:val="0"/>
        </w:rPr>
        <w:tab/>
        <w:t>Fees prescribed</w:t>
      </w:r>
      <w:bookmarkEnd w:id="65"/>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66" w:name="_Toc201827594"/>
      <w:r>
        <w:rPr>
          <w:rStyle w:val="CharSectno"/>
        </w:rPr>
        <w:t>18</w:t>
      </w:r>
      <w:r>
        <w:t>.</w:t>
      </w:r>
      <w:r>
        <w:tab/>
        <w:t>Forms</w:t>
      </w:r>
      <w:bookmarkEnd w:id="66"/>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Heading2"/>
      </w:pPr>
      <w:bookmarkStart w:id="67" w:name="_Toc201752192"/>
      <w:bookmarkStart w:id="68" w:name="_Toc201752678"/>
      <w:bookmarkStart w:id="69" w:name="_Toc201827595"/>
      <w:r>
        <w:rPr>
          <w:rStyle w:val="CharPartNo"/>
        </w:rPr>
        <w:lastRenderedPageBreak/>
        <w:t>Part 4</w:t>
      </w:r>
      <w:r>
        <w:t> — </w:t>
      </w:r>
      <w:r>
        <w:rPr>
          <w:rStyle w:val="CharPartText"/>
        </w:rPr>
        <w:t>Transitional provisions</w:t>
      </w:r>
      <w:bookmarkEnd w:id="67"/>
      <w:bookmarkEnd w:id="68"/>
      <w:bookmarkEnd w:id="69"/>
    </w:p>
    <w:p>
      <w:pPr>
        <w:pStyle w:val="Footnoteheading"/>
      </w:pPr>
      <w:r>
        <w:tab/>
        <w:t>[Heading inserted: SL 2024/149 r. 13.]</w:t>
      </w:r>
    </w:p>
    <w:p>
      <w:pPr>
        <w:pStyle w:val="Heading5"/>
      </w:pPr>
      <w:bookmarkStart w:id="70" w:name="_Toc201827596"/>
      <w:r>
        <w:rPr>
          <w:rStyle w:val="CharSectno"/>
        </w:rPr>
        <w:t>19</w:t>
      </w:r>
      <w:r>
        <w:t>.</w:t>
      </w:r>
      <w:r>
        <w:tab/>
        <w:t xml:space="preserve">Transitional provision — </w:t>
      </w:r>
      <w:r>
        <w:rPr>
          <w:i/>
          <w:iCs/>
        </w:rPr>
        <w:t>Residential Tenancies Amendment Regulations (No. 2) 2024</w:t>
      </w:r>
      <w:bookmarkEnd w:id="70"/>
    </w:p>
    <w:p>
      <w:pPr>
        <w:pStyle w:val="Subsection"/>
      </w:pPr>
      <w:r>
        <w:tab/>
        <w:t>(1)</w:t>
      </w:r>
      <w:r>
        <w:tab/>
        <w:t>In this regulation —</w:t>
      </w:r>
    </w:p>
    <w:p>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pPr>
        <w:pStyle w:val="Subsection"/>
      </w:pPr>
      <w:r>
        <w:tab/>
        <w:t>(2)</w:t>
      </w:r>
      <w:r>
        <w:tab/>
        <w:t>Regulation 10ABA(1)(b) does not apply in relation to a residential tenancy agreement entered into before commencement day, other than a written agreement, if —</w:t>
      </w:r>
    </w:p>
    <w:p>
      <w:pPr>
        <w:pStyle w:val="Indenta"/>
      </w:pPr>
      <w:r>
        <w:tab/>
        <w:t>(a)</w:t>
      </w:r>
      <w:r>
        <w:tab/>
        <w:t>the lessor or property manager gives the information prescribed in regulation 10AB as in force immediately before commencement day to the tenant; and</w:t>
      </w:r>
    </w:p>
    <w:p>
      <w:pPr>
        <w:pStyle w:val="Indenta"/>
      </w:pPr>
      <w:r>
        <w:tab/>
        <w:t>(b)</w:t>
      </w:r>
      <w:r>
        <w:tab/>
        <w:t>the information is given to the tenant within 14 days after the tenant has taken possession of the residential premises.</w:t>
      </w:r>
    </w:p>
    <w:p>
      <w:pPr>
        <w:pStyle w:val="Footnotesection"/>
      </w:pPr>
      <w:r>
        <w:tab/>
        <w:t>[Regulation 19 inserted: SL 2024/149 r. 13.]</w:t>
      </w:r>
    </w:p>
    <w:p>
      <w:pPr>
        <w:pStyle w:val="Ednotesection"/>
      </w:pPr>
      <w:r>
        <w:t>[</w:t>
      </w:r>
      <w:r>
        <w:rPr>
          <w:b/>
        </w:rPr>
        <w:t>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1" w:name="_Toc201752194"/>
      <w:bookmarkStart w:id="72" w:name="_Toc201752680"/>
      <w:bookmarkStart w:id="73" w:name="_Toc201827597"/>
      <w:r>
        <w:rPr>
          <w:rStyle w:val="CharSchNo"/>
        </w:rPr>
        <w:lastRenderedPageBreak/>
        <w:t>Schedule 3</w:t>
      </w:r>
      <w:bookmarkEnd w:id="71"/>
      <w:bookmarkEnd w:id="72"/>
      <w:bookmarkEnd w:id="73"/>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23.10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81.00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21.60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 SL 2024/96 r. 54; SL 2025/89 r. 44.]</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75" w:name="_Toc201752195"/>
      <w:bookmarkStart w:id="76" w:name="_Toc201752681"/>
      <w:bookmarkStart w:id="77" w:name="_Toc201827598"/>
      <w:r>
        <w:rPr>
          <w:rStyle w:val="CharSchNo"/>
        </w:rPr>
        <w:lastRenderedPageBreak/>
        <w:t>Schedule 4</w:t>
      </w:r>
      <w:r>
        <w:rPr>
          <w:rStyle w:val="CharSDivNo"/>
        </w:rPr>
        <w:t> </w:t>
      </w:r>
      <w:r>
        <w:t>—</w:t>
      </w:r>
      <w:r>
        <w:rPr>
          <w:rStyle w:val="CharSDivText"/>
        </w:rPr>
        <w:t> </w:t>
      </w:r>
      <w:r>
        <w:rPr>
          <w:rStyle w:val="CharSchText"/>
        </w:rPr>
        <w:t>Forms</w:t>
      </w:r>
      <w:bookmarkEnd w:id="75"/>
      <w:bookmarkEnd w:id="76"/>
      <w:bookmarkEnd w:id="77"/>
    </w:p>
    <w:p>
      <w:pPr>
        <w:pStyle w:val="yShoulderClause"/>
        <w:spacing w:before="100"/>
      </w:pPr>
      <w:r>
        <w:t>[r. 10AC and 18]</w:t>
      </w:r>
    </w:p>
    <w:p>
      <w:pPr>
        <w:pStyle w:val="yFootnoteheading"/>
        <w:spacing w:before="100"/>
      </w:pPr>
      <w:r>
        <w:tab/>
        <w:t>[Heading inserted: Gazette 3 May 2013 p. 1757; amended: SL 2024/149 r. 14.]</w:t>
      </w:r>
    </w:p>
    <w:p>
      <w:pPr>
        <w:pStyle w:val="yEdnotedivision"/>
      </w:pPr>
      <w:r>
        <w:t>[Form 1AA to 1AD deleted: SL 2024/149 r. 15.]</w:t>
      </w:r>
    </w:p>
    <w:p>
      <w:pPr>
        <w:pStyle w:val="yMiscellaneousBody"/>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 xml:space="preserve">If photographs or video recordings are taken at the time the property inspection is carried out, it is recommended that all photographs or video recordings are signed and dated by all parties.  NOTE: Photographs </w:t>
      </w:r>
      <w:r>
        <w:lastRenderedPageBreak/>
        <w:t>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lastRenderedPageBreak/>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lastRenderedPageBreak/>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 amended: SL 2024/149 r. 16.]</w:t>
      </w:r>
    </w:p>
    <w:p>
      <w:pPr>
        <w:pStyle w:val="yTable"/>
        <w:pageBreakBefore/>
        <w:tabs>
          <w:tab w:val="right" w:leader="dot" w:pos="7088"/>
        </w:tabs>
        <w:spacing w:before="0"/>
        <w:jc w:val="center"/>
        <w:rPr>
          <w:b/>
        </w:rPr>
      </w:pPr>
      <w:r>
        <w:rPr>
          <w:b/>
        </w:rPr>
        <w:lastRenderedPageBreak/>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lastRenderedPageBreak/>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lastRenderedPageBreak/>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 amended: SL 2024/149 r. 17.]</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NAm"/>
              <w:spacing w:before="0"/>
              <w:ind w:left="601"/>
              <w:rPr>
                <w:sz w:val="20"/>
              </w:rPr>
            </w:pPr>
            <w:r>
              <w:rPr>
                <w:sz w:val="20"/>
              </w:rPr>
              <w:t xml:space="preserve">Authorised Person — </w:t>
            </w:r>
            <w:r>
              <w:rPr>
                <w:i/>
                <w:iCs/>
                <w:sz w:val="20"/>
              </w:rPr>
              <w:t>Residential Tenancies Act 1987</w:t>
            </w:r>
          </w:p>
          <w:p>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601"/>
              <w:rPr>
                <w:sz w:val="20"/>
              </w:rPr>
            </w:pPr>
            <w:r>
              <w:rPr>
                <w:sz w:val="20"/>
              </w:rPr>
              <w:t>Locked Bag 100</w:t>
            </w:r>
          </w:p>
          <w:p>
            <w:pPr>
              <w:pStyle w:val="yTableNAm"/>
              <w:spacing w:before="0"/>
              <w:ind w:left="601"/>
              <w:rPr>
                <w:sz w:val="20"/>
              </w:rPr>
            </w:pPr>
            <w:r>
              <w:rPr>
                <w:sz w:val="20"/>
              </w:rPr>
              <w:t>East Perth WA 6892</w:t>
            </w:r>
          </w:p>
          <w:p>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pPr>
              <w:pStyle w:val="yTableNAm"/>
              <w:spacing w:before="0"/>
              <w:ind w:left="601"/>
              <w:rPr>
                <w:sz w:val="20"/>
              </w:rPr>
            </w:pPr>
            <w:r>
              <w:rPr>
                <w:sz w:val="20"/>
              </w:rPr>
              <w:t>Card type:</w:t>
            </w:r>
          </w:p>
          <w:p>
            <w:pPr>
              <w:pStyle w:val="yTableNAm"/>
              <w:spacing w:before="0"/>
              <w:ind w:left="601"/>
              <w:rPr>
                <w:sz w:val="20"/>
              </w:rPr>
            </w:pPr>
            <w:r>
              <w:rPr>
                <w:sz w:val="20"/>
              </w:rPr>
              <w:t>Cardholder name:</w:t>
            </w:r>
          </w:p>
          <w:p>
            <w:pPr>
              <w:pStyle w:val="yTableNAm"/>
              <w:spacing w:before="0"/>
              <w:ind w:left="601"/>
              <w:rPr>
                <w:sz w:val="20"/>
              </w:rPr>
            </w:pPr>
            <w:r>
              <w:rPr>
                <w:sz w:val="20"/>
              </w:rPr>
              <w:t>Card number:</w:t>
            </w:r>
          </w:p>
          <w:p>
            <w:pPr>
              <w:pStyle w:val="yTableNAm"/>
              <w:spacing w:before="0"/>
              <w:ind w:left="601"/>
              <w:rPr>
                <w:sz w:val="20"/>
              </w:rPr>
            </w:pPr>
            <w:r>
              <w:rPr>
                <w:sz w:val="20"/>
              </w:rPr>
              <w:t>Expiry date of card:</w:t>
            </w:r>
          </w:p>
          <w:p>
            <w:pPr>
              <w:pStyle w:val="yTableNAm"/>
              <w:spacing w:before="0"/>
              <w:ind w:left="601"/>
              <w:rPr>
                <w:sz w:val="20"/>
              </w:rPr>
            </w:pPr>
            <w:r>
              <w:rPr>
                <w:sz w:val="20"/>
              </w:rPr>
              <w:t>Amount:</w:t>
            </w:r>
          </w:p>
          <w:p>
            <w:pPr>
              <w:pStyle w:val="yTableNAm"/>
              <w:spacing w:before="0"/>
              <w:ind w:left="601"/>
              <w:rPr>
                <w:sz w:val="20"/>
              </w:rPr>
            </w:pPr>
            <w:r>
              <w:rPr>
                <w:sz w:val="20"/>
              </w:rPr>
              <w:t>Signature:</w:t>
            </w:r>
          </w:p>
          <w:p>
            <w:pPr>
              <w:pStyle w:val="yTableNAm"/>
              <w:keepNext/>
              <w:ind w:left="601" w:hanging="425"/>
              <w:rPr>
                <w:sz w:val="20"/>
              </w:rPr>
            </w:pPr>
            <w:r>
              <w:rPr>
                <w:b/>
                <w:bCs/>
                <w:sz w:val="20"/>
              </w:rPr>
              <w:lastRenderedPageBreak/>
              <w:t>In person:</w:t>
            </w:r>
            <w:r>
              <w:rPr>
                <w:sz w:val="20"/>
              </w:rPr>
              <w:t xml:space="preserve"> Pay the cashier at: </w:t>
            </w:r>
          </w:p>
          <w:p>
            <w:pPr>
              <w:pStyle w:val="yTableNAm"/>
              <w:keepNext/>
              <w:spacing w:before="0"/>
              <w:ind w:left="601"/>
              <w:rPr>
                <w:sz w:val="20"/>
              </w:rPr>
            </w:pPr>
            <w:r>
              <w:rPr>
                <w:sz w:val="20"/>
              </w:rPr>
              <w:t>Department of Energy, Mines, Industry Regulation and Safety, at any of the following locations:</w:t>
            </w:r>
          </w:p>
          <w:p>
            <w:pPr>
              <w:pStyle w:val="yTableNAm"/>
              <w:spacing w:before="0"/>
              <w:ind w:left="601"/>
              <w:rPr>
                <w:sz w:val="20"/>
              </w:rPr>
            </w:pPr>
            <w:r>
              <w:rPr>
                <w:sz w:val="20"/>
              </w:rPr>
              <w:t>Cannington: Level 1, Mason Bird Building, 303 Sevenoaks Street Cannington</w:t>
            </w:r>
          </w:p>
          <w:p>
            <w:pPr>
              <w:pStyle w:val="yTableNAm"/>
              <w:spacing w:before="0"/>
              <w:ind w:left="601"/>
              <w:rPr>
                <w:sz w:val="20"/>
              </w:rPr>
            </w:pPr>
            <w:r>
              <w:rPr>
                <w:sz w:val="20"/>
              </w:rPr>
              <w:t>Albany: Unit 2/129 Aberdeen Street</w:t>
            </w:r>
          </w:p>
          <w:p>
            <w:pPr>
              <w:pStyle w:val="yTableNAm"/>
              <w:spacing w:before="0"/>
              <w:ind w:left="601"/>
              <w:rPr>
                <w:sz w:val="20"/>
              </w:rPr>
            </w:pPr>
            <w:r>
              <w:rPr>
                <w:sz w:val="20"/>
              </w:rPr>
              <w:t>Broome: Woody’s Arcade, 6/15 Dampier Terrace</w:t>
            </w:r>
          </w:p>
          <w:p>
            <w:pPr>
              <w:pStyle w:val="yTableNAm"/>
              <w:spacing w:before="0"/>
              <w:ind w:left="601"/>
              <w:rPr>
                <w:sz w:val="20"/>
              </w:rPr>
            </w:pPr>
            <w:r>
              <w:rPr>
                <w:sz w:val="20"/>
              </w:rPr>
              <w:t>Bunbury: 8th Floor, 61 Victoria Street</w:t>
            </w:r>
          </w:p>
          <w:p>
            <w:pPr>
              <w:pStyle w:val="yTableNAm"/>
              <w:spacing w:before="0"/>
              <w:ind w:left="601"/>
              <w:rPr>
                <w:sz w:val="20"/>
              </w:rPr>
            </w:pPr>
            <w:r>
              <w:rPr>
                <w:sz w:val="20"/>
              </w:rPr>
              <w:t>Geraldton: Post Office Plaza, 50</w:t>
            </w:r>
            <w:r>
              <w:rPr>
                <w:sz w:val="20"/>
              </w:rPr>
              <w:noBreakHyphen/>
              <w:t>52 Durlacher Street</w:t>
            </w:r>
          </w:p>
          <w:p>
            <w:pPr>
              <w:pStyle w:val="yTableNAm"/>
              <w:spacing w:before="0"/>
              <w:ind w:left="601"/>
              <w:rPr>
                <w:sz w:val="20"/>
              </w:rPr>
            </w:pPr>
            <w:r>
              <w:rPr>
                <w:sz w:val="20"/>
              </w:rPr>
              <w:t xml:space="preserve">Kalgoorlie: Corner of Hunter and Broadwood Streets, West Kalgoorlie </w:t>
            </w:r>
          </w:p>
        </w:tc>
      </w:tr>
      <w:t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 SL 2024/149 r. 18.]</w:t>
      </w:r>
    </w:p>
    <w:p>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510"/>
              <w:rPr>
                <w:sz w:val="20"/>
              </w:rPr>
            </w:pPr>
            <w:r>
              <w:rPr>
                <w:sz w:val="20"/>
              </w:rPr>
              <w:t>Locked Bag 100</w:t>
            </w:r>
          </w:p>
          <w:p>
            <w:pPr>
              <w:pStyle w:val="yTable"/>
              <w:spacing w:before="0"/>
              <w:ind w:left="510"/>
              <w:rPr>
                <w:sz w:val="20"/>
              </w:rPr>
            </w:pPr>
            <w:r>
              <w:rPr>
                <w:sz w:val="20"/>
              </w:rPr>
              <w:t>East Perth WA 6892</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 SL 2024/149 r. 19.]</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78" w:name="_Toc201752196"/>
      <w:bookmarkStart w:id="79" w:name="_Toc201752682"/>
      <w:bookmarkStart w:id="80" w:name="_Toc201827599"/>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78"/>
      <w:bookmarkEnd w:id="79"/>
      <w:bookmarkEnd w:id="80"/>
    </w:p>
    <w:p>
      <w:pPr>
        <w:pStyle w:val="zyShoulderClause"/>
        <w:spacing w:after="120"/>
        <w:ind w:right="284"/>
      </w:pPr>
      <w:r>
        <w:t>[r. 13]</w:t>
      </w:r>
    </w:p>
    <w:p>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pPr>
              <w:pStyle w:val="yTableNAm"/>
              <w:keepNext/>
              <w:keepLines/>
              <w:rPr>
                <w:b/>
              </w:rPr>
            </w:pPr>
            <w:r>
              <w:rPr>
                <w:b/>
              </w:rPr>
              <w:t>Modified penalty</w:t>
            </w:r>
          </w:p>
        </w:tc>
      </w:tr>
      <w:tr>
        <w:trPr>
          <w:cantSplit/>
          <w:trHeight w:val="21"/>
        </w:trPr>
        <w:tc>
          <w:tcPr>
            <w:tcW w:w="1333" w:type="dxa"/>
          </w:tcPr>
          <w:p>
            <w:pPr>
              <w:pStyle w:val="yTableNAm"/>
              <w:keepNext/>
              <w:keepLines/>
              <w:spacing w:before="60"/>
              <w:ind w:right="-145"/>
            </w:pPr>
            <w:r>
              <w:rPr>
                <w:spacing w:val="-10"/>
              </w:rPr>
              <w:t>r. 10ABA(1)(a)</w:t>
            </w:r>
          </w:p>
        </w:tc>
        <w:tc>
          <w:tcPr>
            <w:tcW w:w="4820" w:type="dxa"/>
          </w:tcPr>
          <w:p>
            <w:pPr>
              <w:pStyle w:val="yTableNAm"/>
              <w:keepNext/>
              <w:keepLines/>
              <w:spacing w:before="60"/>
            </w:pPr>
            <w:r>
              <w:t>Failing to give information in approved form in relation to written residential tenancy agreement</w:t>
            </w:r>
          </w:p>
        </w:tc>
        <w:tc>
          <w:tcPr>
            <w:tcW w:w="992" w:type="dxa"/>
            <w:vAlign w:val="bottom"/>
          </w:tcPr>
          <w:p>
            <w:pPr>
              <w:pStyle w:val="yTableNAm"/>
              <w:keepNext/>
              <w:keepLines/>
              <w:spacing w:before="60"/>
            </w:pPr>
            <w:r>
              <w:t>$1 000</w:t>
            </w:r>
          </w:p>
        </w:tc>
      </w:tr>
      <w:tr>
        <w:trPr>
          <w:cantSplit/>
          <w:trHeight w:val="21"/>
        </w:trPr>
        <w:tc>
          <w:tcPr>
            <w:tcW w:w="1333" w:type="dxa"/>
          </w:tcPr>
          <w:p>
            <w:pPr>
              <w:pStyle w:val="yTableNAm"/>
              <w:spacing w:before="60"/>
              <w:ind w:right="-145"/>
            </w:pPr>
            <w:r>
              <w:rPr>
                <w:spacing w:val="-10"/>
              </w:rPr>
              <w:t>r. 10ABA(1)(b)</w:t>
            </w:r>
          </w:p>
        </w:tc>
        <w:tc>
          <w:tcPr>
            <w:tcW w:w="4820" w:type="dxa"/>
          </w:tcPr>
          <w:p>
            <w:pPr>
              <w:pStyle w:val="yTableNAm"/>
              <w:spacing w:before="60"/>
            </w:pPr>
            <w:r>
              <w:t>Failing to give information in approved form in relation to residential tenancy agreement other than written agreement</w:t>
            </w:r>
          </w:p>
        </w:tc>
        <w:tc>
          <w:tcPr>
            <w:tcW w:w="992" w:type="dxa"/>
            <w:vAlign w:val="bottom"/>
          </w:tcPr>
          <w:p>
            <w:pPr>
              <w:pStyle w:val="yTableNAm"/>
              <w:spacing w:before="60"/>
            </w:pPr>
            <w:r>
              <w:t>$1 000</w:t>
            </w:r>
          </w:p>
        </w:tc>
      </w:tr>
    </w:tbl>
    <w:p>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blHeader/>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333" w:type="dxa"/>
          </w:tcPr>
          <w:p>
            <w:pPr>
              <w:pStyle w:val="yTableNAm"/>
              <w:keepNext/>
              <w:keepLines/>
              <w:spacing w:before="60"/>
            </w:pPr>
            <w:r>
              <w:t>s. 11H(1)</w:t>
            </w:r>
          </w:p>
        </w:tc>
        <w:tc>
          <w:tcPr>
            <w:tcW w:w="4820" w:type="dxa"/>
          </w:tcPr>
          <w:p>
            <w:pPr>
              <w:pStyle w:val="yTableNAm"/>
              <w:keepNext/>
              <w:keepLines/>
              <w:spacing w:before="60"/>
            </w:pPr>
            <w:r>
              <w:t>Giving Commissioner false or misleading information</w:t>
            </w:r>
          </w:p>
        </w:tc>
        <w:tc>
          <w:tcPr>
            <w:tcW w:w="992" w:type="dxa"/>
            <w:vAlign w:val="bottom"/>
          </w:tcPr>
          <w:p>
            <w:pPr>
              <w:pStyle w:val="yTableNAm"/>
              <w:keepNext/>
              <w:keepLines/>
              <w:spacing w:before="60"/>
            </w:pPr>
            <w:r>
              <w:t>$2 000</w:t>
            </w:r>
          </w:p>
        </w:tc>
      </w:tr>
      <w:tr>
        <w:trPr>
          <w:cantSplit/>
          <w:trHeight w:val="21"/>
        </w:trPr>
        <w:tc>
          <w:tcPr>
            <w:tcW w:w="1333"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27A</w:t>
            </w:r>
          </w:p>
        </w:tc>
        <w:tc>
          <w:tcPr>
            <w:tcW w:w="4820" w:type="dxa"/>
          </w:tcPr>
          <w:p>
            <w:pPr>
              <w:pStyle w:val="yTableNAm"/>
              <w:spacing w:before="60"/>
            </w:pPr>
            <w:r>
              <w:t>Failing to use approved form of written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27AA(1)</w:t>
            </w:r>
          </w:p>
        </w:tc>
        <w:tc>
          <w:tcPr>
            <w:tcW w:w="4820" w:type="dxa"/>
          </w:tcPr>
          <w:p>
            <w:pPr>
              <w:pStyle w:val="yTableNAm"/>
              <w:spacing w:before="60"/>
            </w:pPr>
            <w:r>
              <w:t>Advertising or offering tenancy other than for rent at fixed amount or for rent calculated by reference to tenant’s income</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27AA(3)</w:t>
            </w:r>
          </w:p>
        </w:tc>
        <w:tc>
          <w:tcPr>
            <w:tcW w:w="4820" w:type="dxa"/>
          </w:tcPr>
          <w:p>
            <w:pPr>
              <w:pStyle w:val="yTableNAm"/>
              <w:spacing w:before="60"/>
            </w:pPr>
            <w:r>
              <w:t>Soliciting or inviting offer of rent at amount higher than advertised</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333"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333" w:type="dxa"/>
          </w:tcPr>
          <w:p>
            <w:pPr>
              <w:pStyle w:val="yTableNAm"/>
              <w:spacing w:before="60"/>
            </w:pPr>
            <w:r>
              <w:lastRenderedPageBreak/>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333"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333"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333"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333"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333"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333"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333"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333"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333"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333"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333"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lastRenderedPageBreak/>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333"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333"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333"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333"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333"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333"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333"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333"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333"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lastRenderedPageBreak/>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333"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333"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333"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333"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333"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333"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333"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 SL 2024/149 r. 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81" w:name="_Toc201752197"/>
      <w:bookmarkStart w:id="82" w:name="_Toc201752683"/>
      <w:bookmarkStart w:id="83" w:name="_Toc201827600"/>
      <w:r>
        <w:lastRenderedPageBreak/>
        <w:t>Notes</w:t>
      </w:r>
      <w:bookmarkEnd w:id="81"/>
      <w:bookmarkEnd w:id="82"/>
      <w:bookmarkEnd w:id="83"/>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w:t>
      </w:r>
    </w:p>
    <w:p>
      <w:pPr>
        <w:pStyle w:val="nHeading3"/>
      </w:pPr>
      <w:bookmarkStart w:id="84" w:name="_Toc201827601"/>
      <w:r>
        <w:t>Compilation table</w:t>
      </w:r>
      <w:bookmarkEnd w:id="8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lastRenderedPageBreak/>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nil"/>
            </w:tcBorders>
          </w:tcPr>
          <w:p>
            <w:pPr>
              <w:pStyle w:val="nTable"/>
              <w:spacing w:after="40"/>
              <w:rPr>
                <w:i/>
              </w:rPr>
            </w:pPr>
            <w:r>
              <w:rPr>
                <w:i/>
              </w:rPr>
              <w:lastRenderedPageBreak/>
              <w:t>Residential Tenancies Amendment Regulations (No. 2) 2023</w:t>
            </w:r>
          </w:p>
        </w:tc>
        <w:tc>
          <w:tcPr>
            <w:tcW w:w="1276" w:type="dxa"/>
            <w:tcBorders>
              <w:top w:val="nil"/>
              <w:bottom w:val="nil"/>
            </w:tcBorders>
          </w:tcPr>
          <w:p>
            <w:pPr>
              <w:pStyle w:val="nTable"/>
              <w:spacing w:after="40"/>
            </w:pPr>
            <w:r>
              <w:t>SL 2023/206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8" w:type="dxa"/>
            <w:tcBorders>
              <w:top w:val="nil"/>
              <w:bottom w:val="nil"/>
            </w:tcBorders>
          </w:tcPr>
          <w:p>
            <w:pPr>
              <w:pStyle w:val="nTable"/>
              <w:spacing w:after="40"/>
              <w:rPr>
                <w:i/>
              </w:rPr>
            </w:pPr>
            <w:r>
              <w:rPr>
                <w:i/>
              </w:rPr>
              <w:t>Residential Tenancies Amendment Regulations (No. 2) 2024</w:t>
            </w:r>
          </w:p>
        </w:tc>
        <w:tc>
          <w:tcPr>
            <w:tcW w:w="1276" w:type="dxa"/>
            <w:tcBorders>
              <w:top w:val="nil"/>
              <w:bottom w:val="nil"/>
            </w:tcBorders>
          </w:tcPr>
          <w:p>
            <w:pPr>
              <w:pStyle w:val="nTable"/>
              <w:spacing w:after="40"/>
            </w:pPr>
            <w:r>
              <w:t>SL 2024/149 10 Jul 2024</w:t>
            </w:r>
          </w:p>
        </w:tc>
        <w:tc>
          <w:tcPr>
            <w:tcW w:w="2693" w:type="dxa"/>
            <w:tcBorders>
              <w:top w:val="nil"/>
              <w:bottom w:val="nil"/>
            </w:tcBorders>
          </w:tcPr>
          <w:p>
            <w:pPr>
              <w:pStyle w:val="nTable"/>
              <w:spacing w:after="40"/>
            </w:pPr>
            <w:r>
              <w:t>r. 1 and 2: 10 Jul 2024 (see r. 2(a));</w:t>
            </w:r>
            <w:r>
              <w:br/>
              <w:t>Regulations other than r. 1 and 2: 29 Jul 2024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17</w:t>
            </w:r>
          </w:p>
        </w:tc>
        <w:tc>
          <w:tcPr>
            <w:tcW w:w="1276" w:type="dxa"/>
            <w:tcBorders>
              <w:top w:val="nil"/>
              <w:bottom w:val="single" w:sz="4" w:space="0" w:color="auto"/>
            </w:tcBorders>
          </w:tcPr>
          <w:p>
            <w:pPr>
              <w:pStyle w:val="nTable"/>
              <w:spacing w:after="40"/>
            </w:pPr>
            <w:r>
              <w:t>SL 2025/89 11 Jun 2025</w:t>
            </w:r>
          </w:p>
        </w:tc>
        <w:tc>
          <w:tcPr>
            <w:tcW w:w="2693" w:type="dxa"/>
            <w:tcBorders>
              <w:top w:val="nil"/>
              <w:bottom w:val="single" w:sz="4" w:space="0" w:color="auto"/>
            </w:tcBorders>
          </w:tcPr>
          <w:p>
            <w:pPr>
              <w:pStyle w:val="nTable"/>
              <w:spacing w:after="40"/>
            </w:pPr>
            <w:r>
              <w:t>1 Jul 2025 (see r. 2(b))</w:t>
            </w:r>
          </w:p>
        </w:tc>
      </w:tr>
    </w:tbl>
    <w:p>
      <w:pPr>
        <w:pStyle w:val="nHeading3"/>
      </w:pPr>
      <w:bookmarkStart w:id="85" w:name="_Toc201827602"/>
      <w:r>
        <w:t>Other notes</w:t>
      </w:r>
      <w:bookmarkEnd w:id="85"/>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87" w:name="_Toc201752201"/>
      <w:bookmarkStart w:id="88" w:name="_Toc201752686"/>
      <w:bookmarkStart w:id="89" w:name="_Toc201827603"/>
      <w:r>
        <w:rPr>
          <w:sz w:val="28"/>
        </w:rPr>
        <w:lastRenderedPageBreak/>
        <w:t>Defined terms</w:t>
      </w:r>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5039-2008</w:t>
      </w:r>
      <w:r>
        <w:tab/>
        <w:t>12B(1)</w:t>
      </w:r>
    </w:p>
    <w:p>
      <w:pPr>
        <w:pStyle w:val="DefinedTerms"/>
      </w:pPr>
      <w:r>
        <w:t>bond holder</w:t>
      </w:r>
      <w:r>
        <w:tab/>
        <w:t>15(7)</w:t>
      </w:r>
    </w:p>
    <w:p>
      <w:pPr>
        <w:pStyle w:val="DefinedTerms"/>
      </w:pPr>
      <w:r>
        <w:t>commencement day</w:t>
      </w:r>
      <w:r>
        <w:tab/>
        <w:t>5A(1A), 19(1)</w:t>
      </w:r>
    </w:p>
    <w:p>
      <w:pPr>
        <w:pStyle w:val="DefinedTerms"/>
      </w:pPr>
      <w:r>
        <w:t>dangerous dog</w:t>
      </w:r>
      <w:r>
        <w:tab/>
        <w:t>12BB(1)</w:t>
      </w:r>
    </w:p>
    <w:p>
      <w:pPr>
        <w:pStyle w:val="DefinedTerms"/>
      </w:pPr>
      <w:r>
        <w:t>deadlock</w:t>
      </w:r>
      <w:r>
        <w:tab/>
        <w:t>12B(1)</w:t>
      </w:r>
    </w:p>
    <w:p>
      <w:pPr>
        <w:pStyle w:val="DefinedTerms"/>
      </w:pPr>
      <w:r>
        <w:t>draughtproofing</w:t>
      </w:r>
      <w:r>
        <w:tab/>
        <w:t>7I(1)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installing</w:t>
      </w:r>
      <w:r>
        <w:tab/>
        <w:t>3A</w:t>
      </w:r>
    </w:p>
    <w:p>
      <w:pPr>
        <w:pStyle w:val="DefinedTerms"/>
      </w:pPr>
      <w:r>
        <w:t>minor modification</w:t>
      </w:r>
      <w:r>
        <w:tab/>
        <w:t>7I(2)</w:t>
      </w:r>
    </w:p>
    <w:p>
      <w:pPr>
        <w:pStyle w:val="DefinedTerms"/>
      </w:pPr>
      <w:r>
        <w:t>person of Aboriginal descent</w:t>
      </w:r>
      <w:r>
        <w:tab/>
        <w:t>5AD(1)</w:t>
      </w:r>
    </w:p>
    <w:p>
      <w:pPr>
        <w:pStyle w:val="DefinedTerms"/>
      </w:pPr>
      <w:r>
        <w:t>premises</w:t>
      </w:r>
      <w:r>
        <w:tab/>
        <w:t>5AD(2)</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Pr>
        <w:pStyle w:val="DefinedTerms"/>
      </w:pPr>
      <w:r>
        <w:t>water-efficient shower head</w:t>
      </w:r>
      <w:r>
        <w:tab/>
        <w:t>7I(1)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053EC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5EC688F" w14:textId="3F3AE346" w:rsidR="00606AA6" w:rsidRDefault="00F374A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E630B">
                        <w:rPr>
                          <w:sz w:val="16"/>
                        </w:rPr>
                        <w:t>2025</w:t>
                      </w:r>
                      <w:r>
                        <w:rPr>
                          <w:sz w:val="16"/>
                        </w:rPr>
                        <w:fldChar w:fldCharType="end"/>
                      </w:r>
                      <w:r>
                        <w:rPr>
                          <w:sz w:val="16"/>
                        </w:rPr>
                        <w:t>.</w:t>
                      </w:r>
                    </w:p>
                    <w:p w14:paraId="5973DAF7" w14:textId="77777777" w:rsidR="00606AA6" w:rsidRDefault="00F374A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A4139A" w14:textId="1535F88B" w:rsidR="00606AA6" w:rsidRDefault="00F374A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E630B">
                        <w:rPr>
                          <w:sz w:val="16"/>
                        </w:rPr>
                        <w:t>2025</w:t>
                      </w:r>
                      <w:r>
                        <w:rPr>
                          <w:sz w:val="16"/>
                        </w:rPr>
                        <w:fldChar w:fldCharType="end"/>
                      </w:r>
                      <w:r>
                        <w:rPr>
                          <w:sz w:val="16"/>
                        </w:rPr>
                        <w:t>.</w:t>
                      </w:r>
                    </w:p>
                    <w:p w14:paraId="4D90D4C9" w14:textId="77777777" w:rsidR="00606AA6" w:rsidRDefault="00F374A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74" w:name="Schedule"/>
    <w:bookmarkEnd w:id="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5"/>
  </w:num>
  <w:num w:numId="13">
    <w:abstractNumId w:val="20"/>
  </w:num>
  <w:num w:numId="14">
    <w:abstractNumId w:val="22"/>
  </w:num>
  <w:num w:numId="15">
    <w:abstractNumId w:val="24"/>
  </w:num>
  <w:num w:numId="16">
    <w:abstractNumId w:val="14"/>
  </w:num>
  <w:num w:numId="17">
    <w:abstractNumId w:val="10"/>
  </w:num>
  <w:num w:numId="18">
    <w:abstractNumId w:val="25"/>
  </w:num>
  <w:num w:numId="19">
    <w:abstractNumId w:val="16"/>
  </w:num>
  <w:num w:numId="20">
    <w:abstractNumId w:val="12"/>
  </w:num>
  <w:num w:numId="21">
    <w:abstractNumId w:val="26"/>
  </w:num>
  <w:num w:numId="22">
    <w:abstractNumId w:val="13"/>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35428"/>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 w:name="WAFER_20250606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43_GUID" w:val="4024e952-32f8-44f7-994f-9cccc2032a7e"/>
    <w:docVar w:name="WAFER_20250625135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428_GUID" w:val="403ee1c2-ab13-4529-a698-d0ee4f6fe3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15540</Words>
  <Characters>79877</Characters>
  <Application>Microsoft Office Word</Application>
  <DocSecurity>0</DocSecurity>
  <Lines>3195</Lines>
  <Paragraphs>1703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93714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1989 - 05-y0-00</dc:title>
  <dc:subject/>
  <dc:creator/>
  <cp:keywords/>
  <dc:description/>
  <cp:lastModifiedBy>Master Repository Process</cp:lastModifiedBy>
  <cp:revision>4</cp:revision>
  <cp:lastPrinted>2025-06-25T05:56:00Z</cp:lastPrinted>
  <dcterms:created xsi:type="dcterms:W3CDTF">2025-06-27T05:18:00Z</dcterms:created>
  <dcterms:modified xsi:type="dcterms:W3CDTF">2025-06-27T05:18:00Z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AsAtDate">
    <vt:lpwstr>01 Jul 2025</vt:lpwstr>
  </property>
  <property fmtid="{D5CDD505-2E9C-101B-9397-08002B2CF9AE}" pid="11" name="Suffix">
    <vt:lpwstr>05-y0-00</vt:lpwstr>
  </property>
  <property fmtid="{D5CDD505-2E9C-101B-9397-08002B2CF9AE}" pid="12" name="Official">
    <vt:lpwstr/>
  </property>
</Properties>
</file>