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(Administration)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(Administration)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_Toc201827176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_Toc201827177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Terms used</w:t>
      </w:r>
      <w:r>
        <w:tab/>
      </w:r>
      <w:r>
        <w:fldChar w:fldCharType="begin"/>
      </w:r>
      <w:r>
        <w:instrText xml:space="preserve"> PAGEREF _Toc201827178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Matters prescribed for terms used in road laws</w:t>
      </w:r>
    </w:p>
    <w:p>
      <w:pPr>
        <w:pStyle w:val="TOC8"/>
        <w:rPr>
          <w:rFonts w:asciiTheme="minorHAnsi" w:eastAsiaTheme="minorEastAsia" w:hAnsiTheme="minorHAnsi" w:cstheme="minorBidi"/>
          <w:szCs w:val="22"/>
        </w:rPr>
      </w:pPr>
      <w:r>
        <w:t>4.</w:t>
      </w:r>
      <w:r>
        <w:tab/>
        <w:t>Power assisted pedal cycles</w:t>
      </w:r>
      <w:r>
        <w:tab/>
      </w:r>
      <w:r>
        <w:fldChar w:fldCharType="begin"/>
      </w:r>
      <w:r>
        <w:instrText xml:space="preserve"> PAGEREF _Toc201827180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w:t>
      </w:r>
    </w:p>
    <w:p>
      <w:pPr>
        <w:pStyle w:val="TOC8"/>
        <w:rPr>
          <w:rFonts w:asciiTheme="minorHAnsi" w:eastAsiaTheme="minorEastAsia" w:hAnsiTheme="minorHAnsi" w:cstheme="minorBidi"/>
          <w:szCs w:val="22"/>
        </w:rPr>
      </w:pPr>
      <w:r>
        <w:t>5.</w:t>
      </w:r>
      <w:r>
        <w:tab/>
        <w:t>Information to be disclosed by Commissioner of Police to CEO: s. 12(4)(d)</w:t>
      </w:r>
      <w:r>
        <w:tab/>
      </w:r>
      <w:r>
        <w:fldChar w:fldCharType="begin"/>
      </w:r>
      <w:r>
        <w:instrText xml:space="preserve"> PAGEREF _Toc201827182 \h </w:instrText>
      </w:r>
      <w:r>
        <w:fldChar w:fldCharType="separate"/>
      </w:r>
      <w:r>
        <w:t>3</w:t>
      </w:r>
      <w:r>
        <w:fldChar w:fldCharType="end"/>
      </w:r>
    </w:p>
    <w:p>
      <w:pPr>
        <w:pStyle w:val="TOC8"/>
        <w:rPr>
          <w:rFonts w:asciiTheme="minorHAnsi" w:eastAsiaTheme="minorEastAsia" w:hAnsiTheme="minorHAnsi" w:cstheme="minorBidi"/>
          <w:szCs w:val="22"/>
        </w:rPr>
      </w:pPr>
      <w:r>
        <w:t>6.</w:t>
      </w:r>
      <w:r>
        <w:tab/>
        <w:t>Exchange of information between CEO and other authorities</w:t>
      </w:r>
      <w:r>
        <w:tab/>
      </w:r>
      <w:r>
        <w:fldChar w:fldCharType="begin"/>
      </w:r>
      <w:r>
        <w:instrText xml:space="preserve"> PAGEREF _Toc201827183 \h </w:instrText>
      </w:r>
      <w:r>
        <w:fldChar w:fldCharType="separate"/>
      </w:r>
      <w:r>
        <w:t>3</w:t>
      </w:r>
      <w:r>
        <w:fldChar w:fldCharType="end"/>
      </w:r>
    </w:p>
    <w:p>
      <w:pPr>
        <w:pStyle w:val="TOC8"/>
        <w:rPr>
          <w:rFonts w:asciiTheme="minorHAnsi" w:eastAsiaTheme="minorEastAsia" w:hAnsiTheme="minorHAnsi" w:cstheme="minorBidi"/>
          <w:szCs w:val="22"/>
        </w:rPr>
      </w:pPr>
      <w:r>
        <w:t>7.</w:t>
      </w:r>
      <w:r>
        <w:tab/>
        <w:t>Disclosure of information to prescribed persons</w:t>
      </w:r>
      <w:r>
        <w:tab/>
      </w:r>
      <w:r>
        <w:fldChar w:fldCharType="begin"/>
      </w:r>
      <w:r>
        <w:instrText xml:space="preserve"> PAGEREF _Toc201827184 \h </w:instrText>
      </w:r>
      <w:r>
        <w:fldChar w:fldCharType="separate"/>
      </w:r>
      <w:r>
        <w:t>3</w:t>
      </w:r>
      <w:r>
        <w:fldChar w:fldCharType="end"/>
      </w:r>
    </w:p>
    <w:p>
      <w:pPr>
        <w:pStyle w:val="TOC8"/>
        <w:rPr>
          <w:rFonts w:asciiTheme="minorHAnsi" w:eastAsiaTheme="minorEastAsia" w:hAnsiTheme="minorHAnsi" w:cstheme="minorBidi"/>
          <w:szCs w:val="22"/>
        </w:rPr>
      </w:pPr>
      <w:r>
        <w:t>8A.</w:t>
      </w:r>
      <w:r>
        <w:tab/>
        <w:t>Authorised purposes for disclosure of information to prescribed persons</w:t>
      </w:r>
      <w:r>
        <w:tab/>
      </w:r>
      <w:r>
        <w:fldChar w:fldCharType="begin"/>
      </w:r>
      <w:r>
        <w:instrText xml:space="preserve"> PAGEREF _Toc201827185 \h </w:instrText>
      </w:r>
      <w:r>
        <w:fldChar w:fldCharType="separate"/>
      </w:r>
      <w:r>
        <w:t>8</w:t>
      </w:r>
      <w:r>
        <w:fldChar w:fldCharType="end"/>
      </w:r>
    </w:p>
    <w:p>
      <w:pPr>
        <w:pStyle w:val="TOC8"/>
        <w:rPr>
          <w:rFonts w:asciiTheme="minorHAnsi" w:eastAsiaTheme="minorEastAsia" w:hAnsiTheme="minorHAnsi" w:cstheme="minorBidi"/>
          <w:szCs w:val="22"/>
        </w:rPr>
      </w:pPr>
      <w:r>
        <w:t>8.</w:t>
      </w:r>
      <w:r>
        <w:tab/>
        <w:t>Disclosure of written</w:t>
      </w:r>
      <w:r>
        <w:noBreakHyphen/>
        <w:t>off vehicle register information</w:t>
      </w:r>
      <w:r>
        <w:tab/>
      </w:r>
      <w:r>
        <w:fldChar w:fldCharType="begin"/>
      </w:r>
      <w:r>
        <w:instrText xml:space="preserve"> PAGEREF _Toc201827186 \h </w:instrText>
      </w:r>
      <w:r>
        <w:fldChar w:fldCharType="separate"/>
      </w:r>
      <w:r>
        <w:t>9</w:t>
      </w:r>
      <w:r>
        <w:fldChar w:fldCharType="end"/>
      </w:r>
    </w:p>
    <w:p>
      <w:pPr>
        <w:pStyle w:val="TOC8"/>
        <w:rPr>
          <w:rFonts w:asciiTheme="minorHAnsi" w:eastAsiaTheme="minorEastAsia" w:hAnsiTheme="minorHAnsi" w:cstheme="minorBidi"/>
          <w:szCs w:val="22"/>
        </w:rPr>
      </w:pPr>
      <w:r>
        <w:t>9A.</w:t>
      </w:r>
      <w:r>
        <w:tab/>
        <w:t>Recording, disclosing or making use of information: s. 143A(1)(d)</w:t>
      </w:r>
      <w:r>
        <w:tab/>
      </w:r>
      <w:r>
        <w:fldChar w:fldCharType="begin"/>
      </w:r>
      <w:r>
        <w:instrText xml:space="preserve"> PAGEREF _Toc201827187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Other jurisdictions</w:t>
      </w:r>
    </w:p>
    <w:p>
      <w:pPr>
        <w:pStyle w:val="TOC8"/>
        <w:rPr>
          <w:rFonts w:asciiTheme="minorHAnsi" w:eastAsiaTheme="minorEastAsia" w:hAnsiTheme="minorHAnsi" w:cstheme="minorBidi"/>
          <w:szCs w:val="22"/>
        </w:rPr>
      </w:pPr>
      <w:r>
        <w:t>9.</w:t>
      </w:r>
      <w:r>
        <w:tab/>
        <w:t>Effect of directions etc., administrative actions of other jurisdictions: s. 18</w:t>
      </w:r>
      <w:r>
        <w:tab/>
      </w:r>
      <w:r>
        <w:fldChar w:fldCharType="begin"/>
      </w:r>
      <w:r>
        <w:instrText xml:space="preserve"> PAGEREF _Toc201827189 \h </w:instrText>
      </w:r>
      <w:r>
        <w:fldChar w:fldCharType="separate"/>
      </w:r>
      <w:r>
        <w:t>12</w:t>
      </w:r>
      <w:r>
        <w:fldChar w:fldCharType="end"/>
      </w:r>
    </w:p>
    <w:p>
      <w:pPr>
        <w:pStyle w:val="TOC8"/>
        <w:rPr>
          <w:rFonts w:asciiTheme="minorHAnsi" w:eastAsiaTheme="minorEastAsia" w:hAnsiTheme="minorHAnsi" w:cstheme="minorBidi"/>
          <w:szCs w:val="22"/>
        </w:rPr>
      </w:pPr>
      <w:r>
        <w:t>10.</w:t>
      </w:r>
      <w:r>
        <w:tab/>
        <w:t>Effect of orders of courts, tribunals of other jurisdictions: s. 19</w:t>
      </w:r>
      <w:r>
        <w:tab/>
      </w:r>
      <w:r>
        <w:fldChar w:fldCharType="begin"/>
      </w:r>
      <w:r>
        <w:instrText xml:space="preserve"> PAGEREF _Toc201827190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Wardens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11.</w:t>
      </w:r>
      <w:r>
        <w:tab/>
        <w:t>No use of force against a person</w:t>
      </w:r>
      <w:r>
        <w:tab/>
      </w:r>
      <w:r>
        <w:fldChar w:fldCharType="begin"/>
      </w:r>
      <w:r>
        <w:instrText xml:space="preserve"> PAGEREF _Toc201827193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Warden functions for persons authorised by CEO</w:t>
      </w:r>
    </w:p>
    <w:p>
      <w:pPr>
        <w:pStyle w:val="TOC8"/>
        <w:rPr>
          <w:rFonts w:asciiTheme="minorHAnsi" w:eastAsiaTheme="minorEastAsia" w:hAnsiTheme="minorHAnsi" w:cstheme="minorBidi"/>
          <w:szCs w:val="22"/>
        </w:rPr>
      </w:pPr>
      <w:r>
        <w:t>12.</w:t>
      </w:r>
      <w:r>
        <w:tab/>
        <w:t>Transport wardens</w:t>
      </w:r>
      <w:r>
        <w:tab/>
      </w:r>
      <w:r>
        <w:fldChar w:fldCharType="begin"/>
      </w:r>
      <w:r>
        <w:instrText xml:space="preserve"> PAGEREF _Toc201827195 \h </w:instrText>
      </w:r>
      <w:r>
        <w:fldChar w:fldCharType="separate"/>
      </w:r>
      <w:r>
        <w:t>17</w:t>
      </w:r>
      <w:r>
        <w:fldChar w:fldCharType="end"/>
      </w:r>
    </w:p>
    <w:p>
      <w:pPr>
        <w:pStyle w:val="TOC8"/>
        <w:rPr>
          <w:rFonts w:asciiTheme="minorHAnsi" w:eastAsiaTheme="minorEastAsia" w:hAnsiTheme="minorHAnsi" w:cstheme="minorBidi"/>
          <w:szCs w:val="22"/>
        </w:rPr>
      </w:pPr>
      <w:r>
        <w:t>13.</w:t>
      </w:r>
      <w:r>
        <w:tab/>
        <w:t>Transport inspection wardens</w:t>
      </w:r>
      <w:r>
        <w:tab/>
      </w:r>
      <w:r>
        <w:fldChar w:fldCharType="begin"/>
      </w:r>
      <w:r>
        <w:instrText xml:space="preserve"> PAGEREF _Toc201827196 \h </w:instrText>
      </w:r>
      <w:r>
        <w:fldChar w:fldCharType="separate"/>
      </w:r>
      <w:r>
        <w:t>19</w:t>
      </w:r>
      <w:r>
        <w:fldChar w:fldCharType="end"/>
      </w:r>
    </w:p>
    <w:p>
      <w:pPr>
        <w:pStyle w:val="TOC8"/>
        <w:rPr>
          <w:rFonts w:asciiTheme="minorHAnsi" w:eastAsiaTheme="minorEastAsia" w:hAnsiTheme="minorHAnsi" w:cstheme="minorBidi"/>
          <w:szCs w:val="22"/>
        </w:rPr>
      </w:pPr>
      <w:r>
        <w:t>14.</w:t>
      </w:r>
      <w:r>
        <w:tab/>
        <w:t>Transport investigation wardens</w:t>
      </w:r>
      <w:r>
        <w:tab/>
      </w:r>
      <w:r>
        <w:fldChar w:fldCharType="begin"/>
      </w:r>
      <w:r>
        <w:instrText xml:space="preserve"> PAGEREF _Toc201827197 \h </w:instrText>
      </w:r>
      <w:r>
        <w:fldChar w:fldCharType="separate"/>
      </w:r>
      <w:r>
        <w:t>23</w:t>
      </w:r>
      <w:r>
        <w:fldChar w:fldCharType="end"/>
      </w:r>
    </w:p>
    <w:p>
      <w:pPr>
        <w:pStyle w:val="TOC8"/>
        <w:rPr>
          <w:rFonts w:asciiTheme="minorHAnsi" w:eastAsiaTheme="minorEastAsia" w:hAnsiTheme="minorHAnsi" w:cstheme="minorBidi"/>
          <w:szCs w:val="22"/>
        </w:rPr>
      </w:pPr>
      <w:r>
        <w:t>14A.</w:t>
      </w:r>
      <w:r>
        <w:tab/>
        <w:t>Parking wardens</w:t>
      </w:r>
      <w:r>
        <w:tab/>
      </w:r>
      <w:r>
        <w:fldChar w:fldCharType="begin"/>
      </w:r>
      <w:r>
        <w:instrText xml:space="preserve"> PAGEREF _Toc201827198 \h </w:instrText>
      </w:r>
      <w:r>
        <w:fldChar w:fldCharType="separate"/>
      </w:r>
      <w:r>
        <w:t>25</w:t>
      </w:r>
      <w:r>
        <w:fldChar w:fldCharType="end"/>
      </w:r>
    </w:p>
    <w:p>
      <w:pPr>
        <w:pStyle w:val="TOC8"/>
        <w:rPr>
          <w:rFonts w:asciiTheme="minorHAnsi" w:eastAsiaTheme="minorEastAsia" w:hAnsiTheme="minorHAnsi" w:cstheme="minorBidi"/>
          <w:szCs w:val="22"/>
        </w:rPr>
      </w:pPr>
      <w:r>
        <w:t>15.</w:t>
      </w:r>
      <w:r>
        <w:tab/>
        <w:t>Wardens commencing prosecutions for offences under road laws</w:t>
      </w:r>
      <w:r>
        <w:tab/>
      </w:r>
      <w:r>
        <w:fldChar w:fldCharType="begin"/>
      </w:r>
      <w:r>
        <w:instrText xml:space="preserve"> PAGEREF _Toc201827199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Warden functions for persons authorised by Commissioner of Police</w:t>
      </w:r>
    </w:p>
    <w:p>
      <w:pPr>
        <w:pStyle w:val="TOC8"/>
        <w:rPr>
          <w:rFonts w:asciiTheme="minorHAnsi" w:eastAsiaTheme="minorEastAsia" w:hAnsiTheme="minorHAnsi" w:cstheme="minorBidi"/>
          <w:szCs w:val="22"/>
        </w:rPr>
      </w:pPr>
      <w:r>
        <w:t>16.</w:t>
      </w:r>
      <w:r>
        <w:tab/>
        <w:t>Crossing attendant warden’s powers</w:t>
      </w:r>
      <w:r>
        <w:tab/>
      </w:r>
      <w:r>
        <w:fldChar w:fldCharType="begin"/>
      </w:r>
      <w:r>
        <w:instrText xml:space="preserve"> PAGEREF _Toc201827201 \h </w:instrText>
      </w:r>
      <w:r>
        <w:fldChar w:fldCharType="separate"/>
      </w:r>
      <w:r>
        <w:t>26</w:t>
      </w:r>
      <w:r>
        <w:fldChar w:fldCharType="end"/>
      </w:r>
    </w:p>
    <w:p>
      <w:pPr>
        <w:pStyle w:val="TOC8"/>
        <w:rPr>
          <w:rFonts w:asciiTheme="minorHAnsi" w:eastAsiaTheme="minorEastAsia" w:hAnsiTheme="minorHAnsi" w:cstheme="minorBidi"/>
          <w:szCs w:val="22"/>
        </w:rPr>
      </w:pPr>
      <w:r>
        <w:t>17.</w:t>
      </w:r>
      <w:r>
        <w:tab/>
        <w:t>Traffic escort wardens</w:t>
      </w:r>
      <w:r>
        <w:tab/>
      </w:r>
      <w:r>
        <w:fldChar w:fldCharType="begin"/>
      </w:r>
      <w:r>
        <w:instrText xml:space="preserve"> PAGEREF _Toc201827202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 of road laws</w:t>
      </w:r>
    </w:p>
    <w:p>
      <w:pPr>
        <w:pStyle w:val="TOC4"/>
        <w:tabs>
          <w:tab w:val="right" w:leader="dot" w:pos="7077"/>
        </w:tabs>
        <w:rPr>
          <w:rFonts w:asciiTheme="minorHAnsi" w:eastAsiaTheme="minorEastAsia" w:hAnsiTheme="minorHAnsi" w:cstheme="minorBidi"/>
          <w:b w:val="0"/>
          <w:szCs w:val="22"/>
        </w:rPr>
      </w:pPr>
      <w:r>
        <w:t>Division 1 — Entry warrants</w:t>
      </w:r>
    </w:p>
    <w:p>
      <w:pPr>
        <w:pStyle w:val="TOC8"/>
        <w:rPr>
          <w:rFonts w:asciiTheme="minorHAnsi" w:eastAsiaTheme="minorEastAsia" w:hAnsiTheme="minorHAnsi" w:cstheme="minorBidi"/>
          <w:szCs w:val="22"/>
        </w:rPr>
      </w:pPr>
      <w:r>
        <w:t>19.</w:t>
      </w:r>
      <w:r>
        <w:tab/>
        <w:t>Form of entry warrant</w:t>
      </w:r>
      <w:r>
        <w:tab/>
      </w:r>
      <w:r>
        <w:fldChar w:fldCharType="begin"/>
      </w:r>
      <w:r>
        <w:instrText xml:space="preserve"> PAGEREF _Toc201827205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 — Embargo notices</w:t>
      </w:r>
    </w:p>
    <w:p>
      <w:pPr>
        <w:pStyle w:val="TOC8"/>
        <w:rPr>
          <w:rFonts w:asciiTheme="minorHAnsi" w:eastAsiaTheme="minorEastAsia" w:hAnsiTheme="minorHAnsi" w:cstheme="minorBidi"/>
          <w:szCs w:val="22"/>
        </w:rPr>
      </w:pPr>
      <w:r>
        <w:t>20.</w:t>
      </w:r>
      <w:r>
        <w:tab/>
        <w:t>Particulars for embargo notice</w:t>
      </w:r>
      <w:r>
        <w:tab/>
      </w:r>
      <w:r>
        <w:fldChar w:fldCharType="begin"/>
      </w:r>
      <w:r>
        <w:instrText xml:space="preserve"> PAGEREF _Toc201827207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7 — Infringement notices</w:t>
      </w:r>
    </w:p>
    <w:p>
      <w:pPr>
        <w:pStyle w:val="TOC4"/>
        <w:tabs>
          <w:tab w:val="right" w:leader="dot" w:pos="7077"/>
        </w:tabs>
        <w:rPr>
          <w:rFonts w:asciiTheme="minorHAnsi" w:eastAsiaTheme="minorEastAsia" w:hAnsiTheme="minorHAnsi" w:cstheme="minorBidi"/>
          <w:b w:val="0"/>
          <w:szCs w:val="22"/>
        </w:rPr>
      </w:pPr>
      <w:r>
        <w:t>Division 1 — Offences for which infringement notices may be served under Part 5 of Act</w:t>
      </w:r>
    </w:p>
    <w:p>
      <w:pPr>
        <w:pStyle w:val="TOC8"/>
        <w:rPr>
          <w:rFonts w:asciiTheme="minorHAnsi" w:eastAsiaTheme="minorEastAsia" w:hAnsiTheme="minorHAnsi" w:cstheme="minorBidi"/>
          <w:szCs w:val="22"/>
        </w:rPr>
      </w:pPr>
      <w:r>
        <w:t>21.</w:t>
      </w:r>
      <w:r>
        <w:tab/>
        <w:t xml:space="preserve">Prescribed road law offences and modified penalties (s. 95(1)): </w:t>
      </w:r>
      <w:r>
        <w:rPr>
          <w:i/>
          <w:iCs/>
        </w:rPr>
        <w:t>Road Traffic (Administration) Act 2008</w:t>
      </w:r>
      <w:r>
        <w:tab/>
      </w:r>
      <w:r>
        <w:fldChar w:fldCharType="begin"/>
      </w:r>
      <w:r>
        <w:instrText xml:space="preserve"> PAGEREF _Toc201827210 \h </w:instrText>
      </w:r>
      <w:r>
        <w:fldChar w:fldCharType="separate"/>
      </w:r>
      <w:r>
        <w:t>30</w:t>
      </w:r>
      <w:r>
        <w:fldChar w:fldCharType="end"/>
      </w:r>
    </w:p>
    <w:p>
      <w:pPr>
        <w:pStyle w:val="TOC8"/>
        <w:rPr>
          <w:rFonts w:asciiTheme="minorHAnsi" w:eastAsiaTheme="minorEastAsia" w:hAnsiTheme="minorHAnsi" w:cstheme="minorBidi"/>
          <w:szCs w:val="22"/>
        </w:rPr>
      </w:pPr>
      <w:r>
        <w:t>21A.</w:t>
      </w:r>
      <w:r>
        <w:tab/>
        <w:t xml:space="preserve">Prescribed road law offences and modified penalties (s. 95(1)): </w:t>
      </w:r>
      <w:r>
        <w:rPr>
          <w:i/>
          <w:iCs/>
        </w:rPr>
        <w:t>Road Traffic (Authorisation to Drive) Act 2008</w:t>
      </w:r>
      <w:r>
        <w:tab/>
      </w:r>
      <w:r>
        <w:fldChar w:fldCharType="begin"/>
      </w:r>
      <w:r>
        <w:instrText xml:space="preserve"> PAGEREF _Toc201827211 \h </w:instrText>
      </w:r>
      <w:r>
        <w:fldChar w:fldCharType="separate"/>
      </w:r>
      <w:r>
        <w:t>33</w:t>
      </w:r>
      <w:r>
        <w:fldChar w:fldCharType="end"/>
      </w:r>
    </w:p>
    <w:p>
      <w:pPr>
        <w:pStyle w:val="TOC8"/>
        <w:rPr>
          <w:rFonts w:asciiTheme="minorHAnsi" w:eastAsiaTheme="minorEastAsia" w:hAnsiTheme="minorHAnsi" w:cstheme="minorBidi"/>
          <w:szCs w:val="22"/>
        </w:rPr>
      </w:pPr>
      <w:r>
        <w:t>22.</w:t>
      </w:r>
      <w:r>
        <w:tab/>
        <w:t xml:space="preserve">Prescribed road law offences and modified penalties (s. 95(1)): </w:t>
      </w:r>
      <w:r>
        <w:rPr>
          <w:i/>
          <w:iCs/>
        </w:rPr>
        <w:t>Road Traffic (Vehicles) Act 2012</w:t>
      </w:r>
      <w:r>
        <w:tab/>
      </w:r>
      <w:r>
        <w:fldChar w:fldCharType="begin"/>
      </w:r>
      <w:r>
        <w:instrText xml:space="preserve"> PAGEREF _Toc201827212 \h </w:instrText>
      </w:r>
      <w:r>
        <w:fldChar w:fldCharType="separate"/>
      </w:r>
      <w:r>
        <w:t>33</w:t>
      </w:r>
      <w:r>
        <w:fldChar w:fldCharType="end"/>
      </w:r>
    </w:p>
    <w:p>
      <w:pPr>
        <w:pStyle w:val="TOC8"/>
        <w:rPr>
          <w:rFonts w:asciiTheme="minorHAnsi" w:eastAsiaTheme="minorEastAsia" w:hAnsiTheme="minorHAnsi" w:cstheme="minorBidi"/>
          <w:szCs w:val="22"/>
        </w:rPr>
      </w:pPr>
      <w:r>
        <w:t>23.</w:t>
      </w:r>
      <w:r>
        <w:tab/>
        <w:t xml:space="preserve">Prescribed road law offences and modified penalties (s. 95(1)): </w:t>
      </w:r>
      <w:r>
        <w:rPr>
          <w:i/>
          <w:iCs/>
        </w:rPr>
        <w:t>Road Traffic Act 1974</w:t>
      </w:r>
      <w:r>
        <w:tab/>
      </w:r>
      <w:r>
        <w:fldChar w:fldCharType="begin"/>
      </w:r>
      <w:r>
        <w:instrText xml:space="preserve"> PAGEREF _Toc201827213 \h </w:instrText>
      </w:r>
      <w:r>
        <w:fldChar w:fldCharType="separate"/>
      </w:r>
      <w:r>
        <w:t>41</w:t>
      </w:r>
      <w:r>
        <w:fldChar w:fldCharType="end"/>
      </w:r>
    </w:p>
    <w:p>
      <w:pPr>
        <w:pStyle w:val="TOC8"/>
        <w:rPr>
          <w:rFonts w:asciiTheme="minorHAnsi" w:eastAsiaTheme="minorEastAsia" w:hAnsiTheme="minorHAnsi" w:cstheme="minorBidi"/>
          <w:szCs w:val="22"/>
        </w:rPr>
      </w:pPr>
      <w:r>
        <w:lastRenderedPageBreak/>
        <w:t>24.</w:t>
      </w:r>
      <w:r>
        <w:tab/>
        <w:t>Prescribed road law offences and modified penalties (s. 95(1)): regulations made under road laws</w:t>
      </w:r>
      <w:r>
        <w:tab/>
      </w:r>
      <w:r>
        <w:fldChar w:fldCharType="begin"/>
      </w:r>
      <w:r>
        <w:instrText xml:space="preserve"> PAGEREF _Toc201827214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2 — Service of infringement notices by wardens</w:t>
      </w:r>
    </w:p>
    <w:p>
      <w:pPr>
        <w:pStyle w:val="TOC8"/>
        <w:rPr>
          <w:rFonts w:asciiTheme="minorHAnsi" w:eastAsiaTheme="minorEastAsia" w:hAnsiTheme="minorHAnsi" w:cstheme="minorBidi"/>
          <w:szCs w:val="22"/>
        </w:rPr>
      </w:pPr>
      <w:r>
        <w:t>25.</w:t>
      </w:r>
      <w:r>
        <w:tab/>
        <w:t>Offences for which infringement notices may be served by transport wardens</w:t>
      </w:r>
      <w:r>
        <w:tab/>
      </w:r>
      <w:r>
        <w:fldChar w:fldCharType="begin"/>
      </w:r>
      <w:r>
        <w:instrText xml:space="preserve"> PAGEREF _Toc201827216 \h </w:instrText>
      </w:r>
      <w:r>
        <w:fldChar w:fldCharType="separate"/>
      </w:r>
      <w:r>
        <w:t>51</w:t>
      </w:r>
      <w:r>
        <w:fldChar w:fldCharType="end"/>
      </w:r>
    </w:p>
    <w:p>
      <w:pPr>
        <w:pStyle w:val="TOC8"/>
        <w:rPr>
          <w:rFonts w:asciiTheme="minorHAnsi" w:eastAsiaTheme="minorEastAsia" w:hAnsiTheme="minorHAnsi" w:cstheme="minorBidi"/>
          <w:szCs w:val="22"/>
        </w:rPr>
      </w:pPr>
      <w:r>
        <w:t>26.</w:t>
      </w:r>
      <w:r>
        <w:tab/>
        <w:t>Offences for which infringement notices may be served by transport inspection wardens</w:t>
      </w:r>
      <w:r>
        <w:tab/>
      </w:r>
      <w:r>
        <w:fldChar w:fldCharType="begin"/>
      </w:r>
      <w:r>
        <w:instrText xml:space="preserve"> PAGEREF _Toc201827217 \h </w:instrText>
      </w:r>
      <w:r>
        <w:fldChar w:fldCharType="separate"/>
      </w:r>
      <w:r>
        <w:t>51</w:t>
      </w:r>
      <w:r>
        <w:fldChar w:fldCharType="end"/>
      </w:r>
    </w:p>
    <w:p>
      <w:pPr>
        <w:pStyle w:val="TOC8"/>
        <w:rPr>
          <w:rFonts w:asciiTheme="minorHAnsi" w:eastAsiaTheme="minorEastAsia" w:hAnsiTheme="minorHAnsi" w:cstheme="minorBidi"/>
          <w:szCs w:val="22"/>
        </w:rPr>
      </w:pPr>
      <w:r>
        <w:t>26A.</w:t>
      </w:r>
      <w:r>
        <w:tab/>
        <w:t>Offences for which infringement notices may be served by transport investigation wardens</w:t>
      </w:r>
      <w:r>
        <w:tab/>
      </w:r>
      <w:r>
        <w:fldChar w:fldCharType="begin"/>
      </w:r>
      <w:r>
        <w:instrText xml:space="preserve"> PAGEREF _Toc201827218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26B.</w:t>
      </w:r>
      <w:r>
        <w:tab/>
        <w:t>Public transport offences</w:t>
      </w:r>
      <w:r>
        <w:tab/>
      </w:r>
      <w:r>
        <w:fldChar w:fldCharType="begin"/>
      </w:r>
      <w:r>
        <w:instrText xml:space="preserve"> PAGEREF _Toc201827220 \h </w:instrText>
      </w:r>
      <w:r>
        <w:fldChar w:fldCharType="separate"/>
      </w:r>
      <w:r>
        <w:t>53</w:t>
      </w:r>
      <w:r>
        <w:fldChar w:fldCharType="end"/>
      </w:r>
    </w:p>
    <w:p>
      <w:pPr>
        <w:pStyle w:val="TOC8"/>
        <w:rPr>
          <w:rFonts w:asciiTheme="minorHAnsi" w:eastAsiaTheme="minorEastAsia" w:hAnsiTheme="minorHAnsi" w:cstheme="minorBidi"/>
          <w:szCs w:val="22"/>
        </w:rPr>
      </w:pPr>
      <w:r>
        <w:t>26C.</w:t>
      </w:r>
      <w:r>
        <w:tab/>
        <w:t>Police officers who are withdrawing officers</w:t>
      </w:r>
      <w:r>
        <w:tab/>
      </w:r>
      <w:r>
        <w:fldChar w:fldCharType="begin"/>
      </w:r>
      <w:r>
        <w:instrText xml:space="preserve"> PAGEREF _Toc201827221 \h </w:instrText>
      </w:r>
      <w:r>
        <w:fldChar w:fldCharType="separate"/>
      </w:r>
      <w:r>
        <w:t>53</w:t>
      </w:r>
      <w:r>
        <w:fldChar w:fldCharType="end"/>
      </w:r>
    </w:p>
    <w:p>
      <w:pPr>
        <w:pStyle w:val="TOC8"/>
        <w:rPr>
          <w:rFonts w:asciiTheme="minorHAnsi" w:eastAsiaTheme="minorEastAsia" w:hAnsiTheme="minorHAnsi" w:cstheme="minorBidi"/>
          <w:szCs w:val="22"/>
        </w:rPr>
      </w:pPr>
      <w:r>
        <w:t>26D.</w:t>
      </w:r>
      <w:r>
        <w:tab/>
        <w:t>Payment of infringement notices by instalment</w:t>
      </w:r>
      <w:r>
        <w:tab/>
      </w:r>
      <w:r>
        <w:fldChar w:fldCharType="begin"/>
      </w:r>
      <w:r>
        <w:instrText xml:space="preserve"> PAGEREF _Toc201827222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8 — Prosecutions</w:t>
      </w:r>
    </w:p>
    <w:p>
      <w:pPr>
        <w:pStyle w:val="TOC8"/>
        <w:rPr>
          <w:rFonts w:asciiTheme="minorHAnsi" w:eastAsiaTheme="minorEastAsia" w:hAnsiTheme="minorHAnsi" w:cstheme="minorBidi"/>
          <w:szCs w:val="22"/>
        </w:rPr>
      </w:pPr>
      <w:r>
        <w:t>30.</w:t>
      </w:r>
      <w:r>
        <w:tab/>
        <w:t>Persons to approve prosecution for breach of mass, dimension or loading requirement</w:t>
      </w:r>
      <w:r>
        <w:tab/>
      </w:r>
      <w:r>
        <w:fldChar w:fldCharType="begin"/>
      </w:r>
      <w:r>
        <w:instrText xml:space="preserve"> PAGEREF _Toc201827224 \h </w:instrText>
      </w:r>
      <w:r>
        <w:fldChar w:fldCharType="separate"/>
      </w:r>
      <w:r>
        <w:t>55</w:t>
      </w:r>
      <w:r>
        <w:fldChar w:fldCharType="end"/>
      </w:r>
    </w:p>
    <w:p>
      <w:pPr>
        <w:pStyle w:val="TOC8"/>
        <w:rPr>
          <w:rFonts w:asciiTheme="minorHAnsi" w:eastAsiaTheme="minorEastAsia" w:hAnsiTheme="minorHAnsi" w:cstheme="minorBidi"/>
          <w:szCs w:val="22"/>
        </w:rPr>
      </w:pPr>
      <w:r>
        <w:t>31.</w:t>
      </w:r>
      <w:r>
        <w:tab/>
        <w:t>Ascertaining mass supported on part of vehicle</w:t>
      </w:r>
      <w:r>
        <w:tab/>
      </w:r>
      <w:r>
        <w:fldChar w:fldCharType="begin"/>
      </w:r>
      <w:r>
        <w:instrText xml:space="preserve"> PAGEREF _Toc201827225 \h </w:instrText>
      </w:r>
      <w:r>
        <w:fldChar w:fldCharType="separate"/>
      </w:r>
      <w:r>
        <w:t>55</w:t>
      </w:r>
      <w:r>
        <w:fldChar w:fldCharType="end"/>
      </w:r>
    </w:p>
    <w:p>
      <w:pPr>
        <w:pStyle w:val="TOC8"/>
        <w:rPr>
          <w:rFonts w:asciiTheme="minorHAnsi" w:eastAsiaTheme="minorEastAsia" w:hAnsiTheme="minorHAnsi" w:cstheme="minorBidi"/>
          <w:szCs w:val="22"/>
        </w:rPr>
      </w:pPr>
      <w:r>
        <w:t>31AA.</w:t>
      </w:r>
      <w:r>
        <w:tab/>
        <w:t>Acts and omissions ascertained by visual detection equipment (s. 117(2)(d)(i))</w:t>
      </w:r>
      <w:r>
        <w:tab/>
      </w:r>
      <w:r>
        <w:fldChar w:fldCharType="begin"/>
      </w:r>
      <w:r>
        <w:instrText xml:space="preserve"> PAGEREF _Toc201827226 \h </w:instrText>
      </w:r>
      <w:r>
        <w:fldChar w:fldCharType="separate"/>
      </w:r>
      <w:r>
        <w:t>55</w:t>
      </w:r>
      <w:r>
        <w:fldChar w:fldCharType="end"/>
      </w:r>
    </w:p>
    <w:p>
      <w:pPr>
        <w:pStyle w:val="TOC8"/>
        <w:rPr>
          <w:rFonts w:asciiTheme="minorHAnsi" w:eastAsiaTheme="minorEastAsia" w:hAnsiTheme="minorHAnsi" w:cstheme="minorBidi"/>
          <w:szCs w:val="22"/>
        </w:rPr>
      </w:pPr>
      <w:r>
        <w:t>31A.</w:t>
      </w:r>
      <w:r>
        <w:tab/>
        <w:t>Prescribed number of days for s. 117A(2)(c) and 117G(2)(b)</w:t>
      </w:r>
      <w:r>
        <w:tab/>
      </w:r>
      <w:r>
        <w:fldChar w:fldCharType="begin"/>
      </w:r>
      <w:r>
        <w:instrText xml:space="preserve"> PAGEREF _Toc201827227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9 — Review of decisions under road laws</w:t>
      </w:r>
    </w:p>
    <w:p>
      <w:pPr>
        <w:pStyle w:val="TOC8"/>
        <w:rPr>
          <w:rFonts w:asciiTheme="minorHAnsi" w:eastAsiaTheme="minorEastAsia" w:hAnsiTheme="minorHAnsi" w:cstheme="minorBidi"/>
          <w:szCs w:val="22"/>
        </w:rPr>
      </w:pPr>
      <w:r>
        <w:t>32.</w:t>
      </w:r>
      <w:r>
        <w:tab/>
        <w:t xml:space="preserve">Review of decisions under </w:t>
      </w:r>
      <w:r>
        <w:rPr>
          <w:i/>
        </w:rPr>
        <w:t>Road Traffic (Authorisation to Drive) Act 2008</w:t>
      </w:r>
      <w:r>
        <w:tab/>
      </w:r>
      <w:r>
        <w:fldChar w:fldCharType="begin"/>
      </w:r>
      <w:r>
        <w:instrText xml:space="preserve"> PAGEREF _Toc201827229 \h </w:instrText>
      </w:r>
      <w:r>
        <w:fldChar w:fldCharType="separate"/>
      </w:r>
      <w:r>
        <w:t>57</w:t>
      </w:r>
      <w:r>
        <w:fldChar w:fldCharType="end"/>
      </w:r>
    </w:p>
    <w:p>
      <w:pPr>
        <w:pStyle w:val="TOC8"/>
        <w:rPr>
          <w:rFonts w:asciiTheme="minorHAnsi" w:eastAsiaTheme="minorEastAsia" w:hAnsiTheme="minorHAnsi" w:cstheme="minorBidi"/>
          <w:szCs w:val="22"/>
        </w:rPr>
      </w:pPr>
      <w:r>
        <w:t>33.</w:t>
      </w:r>
      <w:r>
        <w:tab/>
        <w:t xml:space="preserve">Review of decisions under </w:t>
      </w:r>
      <w:r>
        <w:rPr>
          <w:i/>
        </w:rPr>
        <w:t>Road Traffic (Vehicles) Act 2012</w:t>
      </w:r>
      <w:r>
        <w:tab/>
      </w:r>
      <w:r>
        <w:fldChar w:fldCharType="begin"/>
      </w:r>
      <w:r>
        <w:instrText xml:space="preserve"> PAGEREF _Toc201827230 \h </w:instrText>
      </w:r>
      <w:r>
        <w:fldChar w:fldCharType="separate"/>
      </w:r>
      <w:r>
        <w:t>57</w:t>
      </w:r>
      <w:r>
        <w:fldChar w:fldCharType="end"/>
      </w:r>
    </w:p>
    <w:p>
      <w:pPr>
        <w:pStyle w:val="TOC8"/>
        <w:rPr>
          <w:rFonts w:asciiTheme="minorHAnsi" w:eastAsiaTheme="minorEastAsia" w:hAnsiTheme="minorHAnsi" w:cstheme="minorBidi"/>
          <w:szCs w:val="22"/>
        </w:rPr>
      </w:pPr>
      <w:r>
        <w:t>34.</w:t>
      </w:r>
      <w:r>
        <w:tab/>
        <w:t>Right of CEO or Commissioner of Police to be heard</w:t>
      </w:r>
      <w:r>
        <w:tab/>
      </w:r>
      <w:r>
        <w:fldChar w:fldCharType="begin"/>
      </w:r>
      <w:r>
        <w:instrText xml:space="preserve"> PAGEREF _Toc201827231 \h </w:instrText>
      </w:r>
      <w:r>
        <w:fldChar w:fldCharType="separate"/>
      </w:r>
      <w:r>
        <w:t>58</w:t>
      </w:r>
      <w:r>
        <w:fldChar w:fldCharType="end"/>
      </w:r>
    </w:p>
    <w:p>
      <w:pPr>
        <w:pStyle w:val="TOC8"/>
        <w:rPr>
          <w:rFonts w:asciiTheme="minorHAnsi" w:eastAsiaTheme="minorEastAsia" w:hAnsiTheme="minorHAnsi" w:cstheme="minorBidi"/>
          <w:szCs w:val="22"/>
        </w:rPr>
      </w:pPr>
      <w:r>
        <w:t>34A.</w:t>
      </w:r>
      <w:r>
        <w:tab/>
        <w:t xml:space="preserve">Review of decisions under </w:t>
      </w:r>
      <w:r>
        <w:rPr>
          <w:i/>
        </w:rPr>
        <w:t>Road Traffic Act 1974</w:t>
      </w:r>
      <w:r>
        <w:t xml:space="preserve"> s. 104(3)</w:t>
      </w:r>
      <w:r>
        <w:tab/>
      </w:r>
      <w:r>
        <w:fldChar w:fldCharType="begin"/>
      </w:r>
      <w:r>
        <w:instrText xml:space="preserve"> PAGEREF _Toc201827232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10 — Fees and charges</w:t>
      </w:r>
    </w:p>
    <w:p>
      <w:pPr>
        <w:pStyle w:val="TOC8"/>
        <w:rPr>
          <w:rFonts w:asciiTheme="minorHAnsi" w:eastAsiaTheme="minorEastAsia" w:hAnsiTheme="minorHAnsi" w:cstheme="minorBidi"/>
          <w:szCs w:val="22"/>
        </w:rPr>
      </w:pPr>
      <w:r>
        <w:t>35.</w:t>
      </w:r>
      <w:r>
        <w:tab/>
        <w:t>Disclosure of information to prescribed persons or for road safety purposes: s. 143(3)(a)</w:t>
      </w:r>
      <w:r>
        <w:tab/>
      </w:r>
      <w:r>
        <w:fldChar w:fldCharType="begin"/>
      </w:r>
      <w:r>
        <w:instrText xml:space="preserve"> PAGEREF _Toc201827234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Service</w:t>
      </w:r>
    </w:p>
    <w:p>
      <w:pPr>
        <w:pStyle w:val="TOC8"/>
        <w:rPr>
          <w:rFonts w:asciiTheme="minorHAnsi" w:eastAsiaTheme="minorEastAsia" w:hAnsiTheme="minorHAnsi" w:cstheme="minorBidi"/>
          <w:szCs w:val="22"/>
        </w:rPr>
      </w:pPr>
      <w:r>
        <w:t>36.</w:t>
      </w:r>
      <w:r>
        <w:tab/>
        <w:t>Service of Part 5 documents (s. 100)</w:t>
      </w:r>
      <w:r>
        <w:tab/>
      </w:r>
      <w:r>
        <w:fldChar w:fldCharType="begin"/>
      </w:r>
      <w:r>
        <w:instrText xml:space="preserve"> PAGEREF _Toc201827236 \h </w:instrText>
      </w:r>
      <w:r>
        <w:fldChar w:fldCharType="separate"/>
      </w:r>
      <w:r>
        <w:t>61</w:t>
      </w:r>
      <w:r>
        <w:fldChar w:fldCharType="end"/>
      </w:r>
    </w:p>
    <w:p>
      <w:pPr>
        <w:pStyle w:val="TOC8"/>
        <w:rPr>
          <w:rFonts w:asciiTheme="minorHAnsi" w:eastAsiaTheme="minorEastAsia" w:hAnsiTheme="minorHAnsi" w:cstheme="minorBidi"/>
          <w:szCs w:val="22"/>
        </w:rPr>
      </w:pPr>
      <w:r>
        <w:t>37.</w:t>
      </w:r>
      <w:r>
        <w:tab/>
        <w:t>Giving other records by electronic means (s. 143(3)(c))</w:t>
      </w:r>
      <w:r>
        <w:tab/>
      </w:r>
      <w:r>
        <w:fldChar w:fldCharType="begin"/>
      </w:r>
      <w:r>
        <w:instrText xml:space="preserve"> PAGEREF _Toc201827237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12 — Transitional provision for </w:t>
      </w:r>
      <w:r>
        <w:rPr>
          <w:i/>
        </w:rPr>
        <w:t>Road Traffic (Administration) Amendment Regulations 2024</w:t>
      </w:r>
    </w:p>
    <w:p>
      <w:pPr>
        <w:pStyle w:val="TOC8"/>
        <w:rPr>
          <w:rFonts w:asciiTheme="minorHAnsi" w:eastAsiaTheme="minorEastAsia" w:hAnsiTheme="minorHAnsi" w:cstheme="minorBidi"/>
          <w:szCs w:val="22"/>
        </w:rPr>
      </w:pPr>
      <w:r>
        <w:t>38.</w:t>
      </w:r>
      <w:r>
        <w:tab/>
        <w:t>Existing wardens</w:t>
      </w:r>
      <w:r>
        <w:tab/>
      </w:r>
      <w:r>
        <w:fldChar w:fldCharType="begin"/>
      </w:r>
      <w:r>
        <w:instrText xml:space="preserve"> PAGEREF _Toc201827239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Schedule 1 — Entry warrant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_Toc201827242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2" w:name="_Toc201747846"/>
      <w:bookmarkStart w:id="3" w:name="_Toc201748238"/>
      <w:bookmarkStart w:id="4" w:name="_Toc201827175"/>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201827176"/>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6" w:name="_Toc201827177"/>
      <w:r>
        <w:rPr>
          <w:rStyle w:val="CharSectno"/>
        </w:rPr>
        <w:t>2</w:t>
      </w:r>
      <w:r>
        <w:rPr>
          <w:spacing w:val="-2"/>
        </w:rPr>
        <w:t>.</w:t>
      </w:r>
      <w:r>
        <w:rPr>
          <w:spacing w:val="-2"/>
        </w:rPr>
        <w:tab/>
        <w:t>Commencement</w:t>
      </w:r>
      <w:bookmarkEnd w:id="6"/>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7" w:name="_Toc201827178"/>
      <w:r>
        <w:rPr>
          <w:rStyle w:val="CharSectno"/>
        </w:rPr>
        <w:t>3</w:t>
      </w:r>
      <w:r>
        <w:rPr>
          <w:snapToGrid w:val="0"/>
        </w:rPr>
        <w:t>.</w:t>
      </w:r>
      <w:r>
        <w:rPr>
          <w:snapToGrid w:val="0"/>
        </w:rPr>
        <w:tab/>
      </w:r>
      <w:r>
        <w:t>Terms used</w:t>
      </w:r>
      <w:bookmarkEnd w:id="7"/>
    </w:p>
    <w:p>
      <w:pPr>
        <w:pStyle w:val="Subsection"/>
      </w:pPr>
      <w:r>
        <w:tab/>
      </w:r>
      <w:r>
        <w:tab/>
        <w:t xml:space="preserve">In these regulations, unless the contrary intention appears — </w:t>
      </w:r>
    </w:p>
    <w:p>
      <w:pPr>
        <w:pStyle w:val="Defstart"/>
      </w:pPr>
      <w:r>
        <w:tab/>
      </w:r>
      <w:r>
        <w:rPr>
          <w:rStyle w:val="CharDefText"/>
        </w:rPr>
        <w:t>parking warden</w:t>
      </w:r>
      <w:r>
        <w:t xml:space="preserve"> means a person authorised under section 22(1) to perform the functions prescribed by regulation 14A(1);</w:t>
      </w:r>
    </w:p>
    <w:p>
      <w:pPr>
        <w:pStyle w:val="Defstart"/>
      </w:pPr>
      <w:r>
        <w:tab/>
      </w:r>
      <w:r>
        <w:rPr>
          <w:rStyle w:val="CharDefText"/>
        </w:rPr>
        <w:t>prescribed road law offence</w:t>
      </w:r>
      <w:r>
        <w:t xml:space="preserve"> has the meaning given in section 95(1)(a);</w:t>
      </w:r>
    </w:p>
    <w:p>
      <w:pPr>
        <w:pStyle w:val="Defstart"/>
      </w:pPr>
      <w:r>
        <w:tab/>
      </w:r>
      <w:r>
        <w:rPr>
          <w:rStyle w:val="CharDefText"/>
        </w:rPr>
        <w:t>section</w:t>
      </w:r>
      <w:r>
        <w:t xml:space="preserve"> means section of the Act;</w:t>
      </w:r>
    </w:p>
    <w:p>
      <w:pPr>
        <w:pStyle w:val="Defstart"/>
      </w:pPr>
      <w:r>
        <w:tab/>
      </w:r>
      <w:r>
        <w:rPr>
          <w:rStyle w:val="CharDefText"/>
        </w:rPr>
        <w:t>transport inspection warden</w:t>
      </w:r>
      <w:r>
        <w:t xml:space="preserve"> means a person authorised under section 22(1) to perform the functions prescribed by regulation 13(1);</w:t>
      </w:r>
    </w:p>
    <w:p>
      <w:pPr>
        <w:pStyle w:val="Defstart"/>
      </w:pPr>
      <w:r>
        <w:tab/>
      </w:r>
      <w:r>
        <w:rPr>
          <w:rStyle w:val="CharDefText"/>
        </w:rPr>
        <w:t>transport investigation warden</w:t>
      </w:r>
      <w:r>
        <w:t xml:space="preserve"> means a person authorised under section 22(1) to perform the functions prescribed by regulation 14(1);</w:t>
      </w:r>
    </w:p>
    <w:p>
      <w:pPr>
        <w:pStyle w:val="Defstart"/>
      </w:pPr>
      <w:r>
        <w:tab/>
      </w:r>
      <w:r>
        <w:rPr>
          <w:rStyle w:val="CharDefText"/>
        </w:rPr>
        <w:t>transport warden</w:t>
      </w:r>
      <w:r>
        <w:t xml:space="preserve"> means a person authorised under section 22(1) to perform the functions prescribed by regulation 12(1).</w:t>
      </w:r>
    </w:p>
    <w:p>
      <w:pPr>
        <w:pStyle w:val="Footnotesection"/>
      </w:pPr>
      <w:r>
        <w:tab/>
        <w:t>[Regulation 3 amended: SL 2024/201 r. 4.]</w:t>
      </w:r>
    </w:p>
    <w:p>
      <w:pPr>
        <w:pStyle w:val="Heading2"/>
      </w:pPr>
      <w:bookmarkStart w:id="8" w:name="_Toc201747850"/>
      <w:bookmarkStart w:id="9" w:name="_Toc201748242"/>
      <w:bookmarkStart w:id="10" w:name="_Toc201827179"/>
      <w:r>
        <w:rPr>
          <w:rStyle w:val="CharPartNo"/>
        </w:rPr>
        <w:lastRenderedPageBreak/>
        <w:t>Part 2</w:t>
      </w:r>
      <w:r>
        <w:rPr>
          <w:rStyle w:val="CharDivNo"/>
        </w:rPr>
        <w:t> </w:t>
      </w:r>
      <w:r>
        <w:t>—</w:t>
      </w:r>
      <w:r>
        <w:rPr>
          <w:rStyle w:val="CharDivText"/>
        </w:rPr>
        <w:t> </w:t>
      </w:r>
      <w:r>
        <w:rPr>
          <w:rStyle w:val="CharPartText"/>
        </w:rPr>
        <w:t>Matters prescribed for terms used in road laws</w:t>
      </w:r>
      <w:bookmarkEnd w:id="8"/>
      <w:bookmarkEnd w:id="9"/>
      <w:bookmarkEnd w:id="10"/>
    </w:p>
    <w:p>
      <w:pPr>
        <w:pStyle w:val="Heading5"/>
      </w:pPr>
      <w:bookmarkStart w:id="11" w:name="_Toc201827180"/>
      <w:r>
        <w:rPr>
          <w:rStyle w:val="CharSectno"/>
        </w:rPr>
        <w:t>4</w:t>
      </w:r>
      <w:r>
        <w:t>.</w:t>
      </w:r>
      <w:r>
        <w:tab/>
        <w:t>Power assisted pedal cycles</w:t>
      </w:r>
      <w:bookmarkEnd w:id="11"/>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2" w:name="_Toc201747852"/>
      <w:bookmarkStart w:id="13" w:name="_Toc201748244"/>
      <w:bookmarkStart w:id="14" w:name="_Toc201827181"/>
      <w:r>
        <w:rPr>
          <w:rStyle w:val="CharPartNo"/>
        </w:rPr>
        <w:lastRenderedPageBreak/>
        <w:t>Part 3</w:t>
      </w:r>
      <w:r>
        <w:rPr>
          <w:rStyle w:val="CharDivNo"/>
        </w:rPr>
        <w:t> </w:t>
      </w:r>
      <w:r>
        <w:t>—</w:t>
      </w:r>
      <w:r>
        <w:rPr>
          <w:rStyle w:val="CharDivText"/>
        </w:rPr>
        <w:t> </w:t>
      </w:r>
      <w:r>
        <w:rPr>
          <w:rStyle w:val="CharPartText"/>
        </w:rPr>
        <w:t>Information</w:t>
      </w:r>
      <w:bookmarkEnd w:id="12"/>
      <w:bookmarkEnd w:id="13"/>
      <w:bookmarkEnd w:id="14"/>
    </w:p>
    <w:p>
      <w:pPr>
        <w:pStyle w:val="Heading5"/>
      </w:pPr>
      <w:bookmarkStart w:id="15" w:name="_Toc201827182"/>
      <w:r>
        <w:rPr>
          <w:rStyle w:val="CharSectno"/>
        </w:rPr>
        <w:t>5</w:t>
      </w:r>
      <w:r>
        <w:t>.</w:t>
      </w:r>
      <w:r>
        <w:tab/>
        <w:t>Information to be disclosed by Commissioner of Police to CEO: s. 12(4)(d)</w:t>
      </w:r>
      <w:bookmarkEnd w:id="15"/>
    </w:p>
    <w:p>
      <w:pPr>
        <w:pStyle w:val="Subsection"/>
      </w:pPr>
      <w:r>
        <w:tab/>
      </w:r>
      <w:r>
        <w:tab/>
        <w:t xml:space="preserve">For section 12(4)(d), the information is — </w:t>
      </w:r>
    </w:p>
    <w:p>
      <w:pPr>
        <w:pStyle w:val="Ednotepara"/>
      </w:pPr>
      <w:r>
        <w:tab/>
        <w:t>[(a)</w:t>
      </w:r>
      <w:r>
        <w:tab/>
        <w:t>deleted]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 and 5.]</w:t>
      </w:r>
    </w:p>
    <w:p>
      <w:pPr>
        <w:pStyle w:val="Heading5"/>
        <w:rPr>
          <w:b w:val="0"/>
        </w:rPr>
      </w:pPr>
      <w:bookmarkStart w:id="16" w:name="_Toc201827183"/>
      <w:r>
        <w:rPr>
          <w:rStyle w:val="CharSectno"/>
        </w:rPr>
        <w:t>6</w:t>
      </w:r>
      <w:r>
        <w:t>.</w:t>
      </w:r>
      <w:r>
        <w:tab/>
        <w:t>Exchange of information between CEO and other authorities</w:t>
      </w:r>
      <w:bookmarkEnd w:id="16"/>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17" w:name="_Toc201827184"/>
      <w:r>
        <w:rPr>
          <w:rStyle w:val="CharSectno"/>
        </w:rPr>
        <w:t>7</w:t>
      </w:r>
      <w:r>
        <w:t>.</w:t>
      </w:r>
      <w:r>
        <w:tab/>
        <w:t>Disclosure of information to prescribed persons</w:t>
      </w:r>
      <w:bookmarkEnd w:id="17"/>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 xml:space="preserve">(Commonwealth) section 4(1), or an </w:t>
      </w:r>
      <w:r>
        <w:lastRenderedPageBreak/>
        <w:t>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lastRenderedPageBreak/>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xml:space="preserve">), of a local government or an </w:t>
      </w:r>
      <w:r>
        <w:lastRenderedPageBreak/>
        <w:t>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lastRenderedPageBreak/>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18" w:name="_Toc201827185"/>
      <w:r>
        <w:rPr>
          <w:rStyle w:val="CharSectno"/>
        </w:rPr>
        <w:lastRenderedPageBreak/>
        <w:t>8A</w:t>
      </w:r>
      <w:r>
        <w:t>.</w:t>
      </w:r>
      <w:r>
        <w:tab/>
        <w:t>Authorised purposes for disclosure of information to prescribed persons</w:t>
      </w:r>
      <w:bookmarkEnd w:id="18"/>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person; and</w:t>
      </w:r>
    </w:p>
    <w:p>
      <w:pPr>
        <w:pStyle w:val="Defpara"/>
      </w:pPr>
      <w:r>
        <w:tab/>
        <w:t>(b)</w:t>
      </w:r>
      <w:r>
        <w:tab/>
        <w:t>a person verifying the information mentioned in paragraph (a);</w:t>
      </w:r>
    </w:p>
    <w:p>
      <w:pPr>
        <w:pStyle w:val="Defstart"/>
      </w:pPr>
      <w:r>
        <w:tab/>
      </w:r>
      <w:r>
        <w:rPr>
          <w:rStyle w:val="CharDefText"/>
        </w:rPr>
        <w:t>relevant information</w:t>
      </w:r>
      <w:r>
        <w:t>, of a person, means the following information in relation to the person from their permit information, driver’s licence information or vehicle licence information —</w:t>
      </w:r>
    </w:p>
    <w:p>
      <w:pPr>
        <w:pStyle w:val="Defpara"/>
      </w:pPr>
      <w:r>
        <w:tab/>
        <w:t>(a)</w:t>
      </w:r>
      <w:r>
        <w:tab/>
        <w:t>name, including any previous names;</w:t>
      </w:r>
    </w:p>
    <w:p>
      <w:pPr>
        <w:pStyle w:val="Defpara"/>
      </w:pPr>
      <w:r>
        <w:tab/>
        <w:t>(b)</w:t>
      </w:r>
      <w:r>
        <w:tab/>
        <w:t>date of birth;</w:t>
      </w:r>
    </w:p>
    <w:p>
      <w:pPr>
        <w:pStyle w:val="Defpara"/>
      </w:pPr>
      <w:r>
        <w:tab/>
        <w:t>(c)</w:t>
      </w:r>
      <w:r>
        <w:tab/>
        <w:t>email address;</w:t>
      </w:r>
    </w:p>
    <w:p>
      <w:pPr>
        <w:pStyle w:val="Defpara"/>
      </w:pPr>
      <w:r>
        <w:tab/>
        <w:t>(d)</w:t>
      </w:r>
      <w:r>
        <w:tab/>
        <w:t>phone number;</w:t>
      </w:r>
    </w:p>
    <w:p>
      <w:pPr>
        <w:pStyle w:val="Defpara"/>
      </w:pPr>
      <w:r>
        <w:tab/>
        <w:t>(e)</w:t>
      </w:r>
      <w:r>
        <w:tab/>
        <w:t>the latest date and time that the information mentioned in paragraphs (a) to (d)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pPr>
        <w:pStyle w:val="Subsection"/>
      </w:pPr>
      <w:r>
        <w:tab/>
        <w:t>(2)</w:t>
      </w:r>
      <w:r>
        <w:tab/>
        <w:t xml:space="preserve">For paragraph (c) of the definition of </w:t>
      </w:r>
      <w:r>
        <w:rPr>
          <w:b/>
          <w:i/>
        </w:rPr>
        <w:t xml:space="preserve">authorised purpose </w:t>
      </w:r>
      <w:r>
        <w:t>in section 14(1), the following are purposes —</w:t>
      </w:r>
    </w:p>
    <w:p>
      <w:pPr>
        <w:pStyle w:val="Indenta"/>
      </w:pPr>
      <w:r>
        <w:tab/>
        <w:t>(a)</w:t>
      </w:r>
      <w:r>
        <w:tab/>
        <w:t xml:space="preserve">in relation to the chief executive officer of the Department of the Premier and Cabinet, or a nominated employee, prescribed under regulation 7(2)(q) — to verify and disclose a person’s relevant information to a </w:t>
      </w:r>
      <w:r>
        <w:lastRenderedPageBreak/>
        <w:t xml:space="preserve">relying chief executive officer through a digital identity exchange; </w:t>
      </w:r>
    </w:p>
    <w:p>
      <w:pPr>
        <w:pStyle w:val="Indenta"/>
      </w:pPr>
      <w:r>
        <w:tab/>
        <w:t>(b)</w:t>
      </w:r>
      <w:r>
        <w:tab/>
        <w:t>in relation to the Secretary of the Attorney</w:t>
      </w:r>
      <w:r>
        <w:noBreakHyphen/>
        <w:t>General’s Department of the Commonwealth, prescribed under regulation 7(2)(r) — to verify the authenticity of a driver’s licence or learner’s permit using the national Document Verification Service.</w:t>
      </w:r>
    </w:p>
    <w:p>
      <w:pPr>
        <w:pStyle w:val="Footnotesection"/>
      </w:pPr>
      <w:r>
        <w:tab/>
        <w:t>[Regulation 8A inserted: SL 2021/203 r. 4; amended: SL 2023/166 r. 4.]</w:t>
      </w:r>
    </w:p>
    <w:p>
      <w:pPr>
        <w:pStyle w:val="Heading5"/>
        <w:keepNext w:val="0"/>
        <w:keepLines w:val="0"/>
        <w:rPr>
          <w:b w:val="0"/>
        </w:rPr>
      </w:pPr>
      <w:bookmarkStart w:id="19" w:name="_Toc201827186"/>
      <w:r>
        <w:rPr>
          <w:rStyle w:val="CharSectno"/>
        </w:rPr>
        <w:t>8</w:t>
      </w:r>
      <w:r>
        <w:t>.</w:t>
      </w:r>
      <w:r>
        <w:tab/>
        <w:t>Disclosure of written</w:t>
      </w:r>
      <w:r>
        <w:noBreakHyphen/>
        <w:t>off vehicle register information</w:t>
      </w:r>
      <w:bookmarkEnd w:id="19"/>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lastRenderedPageBreak/>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20" w:name="_Toc201827187"/>
      <w:r>
        <w:rPr>
          <w:rStyle w:val="CharSectno"/>
        </w:rPr>
        <w:t>9A</w:t>
      </w:r>
      <w:r>
        <w:t>.</w:t>
      </w:r>
      <w:r>
        <w:tab/>
        <w:t>Recording, disclosing or making use of information: s. 143A(1)(d)</w:t>
      </w:r>
      <w:bookmarkEnd w:id="20"/>
    </w:p>
    <w:p>
      <w:pPr>
        <w:pStyle w:val="Subsection"/>
      </w:pPr>
      <w:r>
        <w:tab/>
        <w:t>(1)</w:t>
      </w:r>
      <w:r>
        <w:tab/>
        <w:t xml:space="preserve">In this regulation — </w:t>
      </w:r>
    </w:p>
    <w:p>
      <w:pPr>
        <w:pStyle w:val="Defstart"/>
      </w:pPr>
      <w:r>
        <w:tab/>
      </w:r>
      <w:r>
        <w:rPr>
          <w:rStyle w:val="CharDefText"/>
        </w:rPr>
        <w:t>electric</w:t>
      </w:r>
      <w:r>
        <w:rPr>
          <w:rStyle w:val="CharDefText"/>
        </w:rPr>
        <w:noBreakHyphen/>
        <w:t>powered vehicle</w:t>
      </w:r>
      <w:r>
        <w:t xml:space="preserve"> means a vehicle that is powered by 1 or more electric motors or traction motors that —</w:t>
      </w:r>
    </w:p>
    <w:p>
      <w:pPr>
        <w:pStyle w:val="Defpara"/>
      </w:pPr>
      <w:r>
        <w:tab/>
        <w:t>(a)</w:t>
      </w:r>
      <w:r>
        <w:tab/>
        <w:t>are the only propulsion system for the vehicle; or</w:t>
      </w:r>
    </w:p>
    <w:p>
      <w:pPr>
        <w:pStyle w:val="Defpara"/>
      </w:pPr>
      <w:r>
        <w:tab/>
        <w:t>(b)</w:t>
      </w:r>
      <w:r>
        <w:tab/>
        <w:t>are used in conjunction with another propulsion system for the vehicle;</w:t>
      </w:r>
    </w:p>
    <w:p>
      <w:pPr>
        <w:pStyle w:val="Defstart"/>
      </w:pPr>
      <w:r>
        <w:tab/>
      </w:r>
      <w:r>
        <w:rPr>
          <w:rStyle w:val="CharDefText"/>
        </w:rPr>
        <w:t>hydrogen</w:t>
      </w:r>
      <w:r>
        <w:rPr>
          <w:rStyle w:val="CharDefText"/>
        </w:rPr>
        <w:noBreakHyphen/>
        <w:t>powered vehicle</w:t>
      </w:r>
      <w:r>
        <w:t xml:space="preserve"> means a vehicle that —</w:t>
      </w:r>
    </w:p>
    <w:p>
      <w:pPr>
        <w:pStyle w:val="Defpara"/>
      </w:pPr>
      <w:r>
        <w:tab/>
        <w:t>(a)</w:t>
      </w:r>
      <w:r>
        <w:tab/>
        <w:t>is powered by a hydrogen fuel system; and</w:t>
      </w:r>
    </w:p>
    <w:p>
      <w:pPr>
        <w:pStyle w:val="Defpara"/>
      </w:pPr>
      <w:r>
        <w:tab/>
        <w:t>(b)</w:t>
      </w:r>
      <w:r>
        <w:tab/>
        <w:t>has 1 or more hydrogen fuel containers fitted to the vehicle for the system.</w:t>
      </w:r>
    </w:p>
    <w:p>
      <w:pPr>
        <w:pStyle w:val="Subsection"/>
      </w:pPr>
      <w:r>
        <w:tab/>
        <w:t>(2)</w:t>
      </w:r>
      <w:r>
        <w:tab/>
        <w:t>For section 143A(1)(d), information may be used for the purpose of inserting advertising material into an envelope that is used to send a document about a driver’s licence or vehicle licence.</w:t>
      </w:r>
    </w:p>
    <w:p>
      <w:pPr>
        <w:pStyle w:val="Subsection"/>
      </w:pPr>
      <w:r>
        <w:tab/>
        <w:t>(3)</w:t>
      </w:r>
      <w:r>
        <w:tab/>
        <w:t>For section 143A(1)(d), an officer of the department of the Public Service principally assisting in the administration of the Act may —</w:t>
      </w:r>
    </w:p>
    <w:p>
      <w:pPr>
        <w:pStyle w:val="Indenta"/>
      </w:pPr>
      <w:r>
        <w:tab/>
        <w:t>(a)</w:t>
      </w:r>
      <w:r>
        <w:tab/>
        <w:t>record and make use of vehicle licence information about electric</w:t>
      </w:r>
      <w:r>
        <w:noBreakHyphen/>
        <w:t>powered vehicles and hydrogen</w:t>
      </w:r>
      <w:r>
        <w:noBreakHyphen/>
        <w:t xml:space="preserve">powered vehicles (including information relating to particular </w:t>
      </w:r>
      <w:r>
        <w:lastRenderedPageBreak/>
        <w:t>commercial operations) for the purposes of preparing summary or statistical information; and</w:t>
      </w:r>
    </w:p>
    <w:p>
      <w:pPr>
        <w:pStyle w:val="Indenta"/>
      </w:pPr>
      <w:r>
        <w:tab/>
        <w:t>(b)</w:t>
      </w:r>
      <w:r>
        <w:tab/>
        <w:t>disclose the summary or statistical information (including information relating to particular commercial operations) if the disclosure could not reasonably be expected to lead to the identification of any person to whom the information relates.</w:t>
      </w:r>
    </w:p>
    <w:p>
      <w:pPr>
        <w:pStyle w:val="Subsection"/>
      </w:pPr>
      <w:r>
        <w:tab/>
        <w:t>(4)</w:t>
      </w:r>
      <w:r>
        <w:tab/>
        <w:t>A person who is or has been engaged in the performance of functions under a road law may record, disclose or make use of information disclosed under subregulation (3)(b), for the purposes for which the disclosure was made.</w:t>
      </w:r>
    </w:p>
    <w:p>
      <w:pPr>
        <w:pStyle w:val="Footnotesection"/>
      </w:pPr>
      <w:r>
        <w:tab/>
        <w:t>[Regulation 9A inserted: SL 2024/184 r. 4.]</w:t>
      </w:r>
    </w:p>
    <w:p>
      <w:pPr>
        <w:pStyle w:val="Heading2"/>
      </w:pPr>
      <w:bookmarkStart w:id="21" w:name="_Toc201747859"/>
      <w:bookmarkStart w:id="22" w:name="_Toc201748251"/>
      <w:bookmarkStart w:id="23" w:name="_Toc201827188"/>
      <w:r>
        <w:rPr>
          <w:rStyle w:val="CharPartNo"/>
        </w:rPr>
        <w:lastRenderedPageBreak/>
        <w:t>Part 4</w:t>
      </w:r>
      <w:r>
        <w:rPr>
          <w:rStyle w:val="CharDivNo"/>
        </w:rPr>
        <w:t> </w:t>
      </w:r>
      <w:r>
        <w:t>—</w:t>
      </w:r>
      <w:r>
        <w:rPr>
          <w:rStyle w:val="CharDivText"/>
        </w:rPr>
        <w:t> </w:t>
      </w:r>
      <w:r>
        <w:rPr>
          <w:rStyle w:val="CharPartText"/>
        </w:rPr>
        <w:t>Other jurisdictions</w:t>
      </w:r>
      <w:bookmarkEnd w:id="21"/>
      <w:bookmarkEnd w:id="22"/>
      <w:bookmarkEnd w:id="23"/>
    </w:p>
    <w:p>
      <w:pPr>
        <w:pStyle w:val="Heading5"/>
      </w:pPr>
      <w:bookmarkStart w:id="24" w:name="_Toc201827189"/>
      <w:r>
        <w:rPr>
          <w:rStyle w:val="CharSectno"/>
        </w:rPr>
        <w:t>9</w:t>
      </w:r>
      <w:r>
        <w:t>.</w:t>
      </w:r>
      <w:r>
        <w:tab/>
        <w:t>Effect of directions etc., administrative actions of other jurisdictions: s. 18</w:t>
      </w:r>
      <w:bookmarkEnd w:id="24"/>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lastRenderedPageBreak/>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lastRenderedPageBreak/>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lastRenderedPageBreak/>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25" w:name="_Toc201827190"/>
      <w:r>
        <w:rPr>
          <w:rStyle w:val="CharSectno"/>
        </w:rPr>
        <w:lastRenderedPageBreak/>
        <w:t>10</w:t>
      </w:r>
      <w:r>
        <w:t>.</w:t>
      </w:r>
      <w:r>
        <w:tab/>
        <w:t>Effect of orders of courts, tribunals of other jurisdictions: s. 19</w:t>
      </w:r>
      <w:bookmarkEnd w:id="25"/>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26" w:name="_Toc201747862"/>
      <w:bookmarkStart w:id="27" w:name="_Toc201748254"/>
      <w:bookmarkStart w:id="28" w:name="_Toc201827191"/>
      <w:r>
        <w:rPr>
          <w:rStyle w:val="CharPartNo"/>
        </w:rPr>
        <w:lastRenderedPageBreak/>
        <w:t>Part 5</w:t>
      </w:r>
      <w:r>
        <w:t> — </w:t>
      </w:r>
      <w:r>
        <w:rPr>
          <w:rStyle w:val="CharPartText"/>
        </w:rPr>
        <w:t>Wardens</w:t>
      </w:r>
      <w:bookmarkEnd w:id="26"/>
      <w:bookmarkEnd w:id="27"/>
      <w:bookmarkEnd w:id="28"/>
    </w:p>
    <w:p>
      <w:pPr>
        <w:pStyle w:val="Heading3"/>
      </w:pPr>
      <w:bookmarkStart w:id="29" w:name="_Toc201747863"/>
      <w:bookmarkStart w:id="30" w:name="_Toc201748255"/>
      <w:bookmarkStart w:id="31" w:name="_Toc201827192"/>
      <w:r>
        <w:rPr>
          <w:rStyle w:val="CharDivNo"/>
        </w:rPr>
        <w:t>Division 1</w:t>
      </w:r>
      <w:r>
        <w:t> — </w:t>
      </w:r>
      <w:r>
        <w:rPr>
          <w:rStyle w:val="CharDivText"/>
        </w:rPr>
        <w:t>General</w:t>
      </w:r>
      <w:bookmarkEnd w:id="29"/>
      <w:bookmarkEnd w:id="30"/>
      <w:bookmarkEnd w:id="31"/>
    </w:p>
    <w:p>
      <w:pPr>
        <w:pStyle w:val="Heading5"/>
      </w:pPr>
      <w:bookmarkStart w:id="32" w:name="_Toc201827193"/>
      <w:r>
        <w:rPr>
          <w:rStyle w:val="CharSectno"/>
        </w:rPr>
        <w:t>11</w:t>
      </w:r>
      <w:r>
        <w:t>.</w:t>
      </w:r>
      <w:r>
        <w:tab/>
        <w:t>No use of force against a person</w:t>
      </w:r>
      <w:bookmarkEnd w:id="32"/>
    </w:p>
    <w:p>
      <w:pPr>
        <w:pStyle w:val="Subsection"/>
      </w:pPr>
      <w:r>
        <w:tab/>
      </w:r>
      <w:r>
        <w:tab/>
        <w:t>Nothing in these regulations authorises a warden to use force against a person.</w:t>
      </w:r>
    </w:p>
    <w:p>
      <w:pPr>
        <w:pStyle w:val="Heading3"/>
      </w:pPr>
      <w:bookmarkStart w:id="33" w:name="_Toc201747865"/>
      <w:bookmarkStart w:id="34" w:name="_Toc201748257"/>
      <w:bookmarkStart w:id="35" w:name="_Toc201827194"/>
      <w:r>
        <w:rPr>
          <w:rStyle w:val="CharDivNo"/>
        </w:rPr>
        <w:t>Division 2</w:t>
      </w:r>
      <w:r>
        <w:t> — </w:t>
      </w:r>
      <w:r>
        <w:rPr>
          <w:rStyle w:val="CharDivText"/>
        </w:rPr>
        <w:t>Warden functions for persons authorised by CEO</w:t>
      </w:r>
      <w:bookmarkEnd w:id="33"/>
      <w:bookmarkEnd w:id="34"/>
      <w:bookmarkEnd w:id="35"/>
      <w:r>
        <w:rPr>
          <w:rStyle w:val="CharDivText"/>
        </w:rPr>
        <w:t xml:space="preserve"> </w:t>
      </w:r>
    </w:p>
    <w:p>
      <w:pPr>
        <w:pStyle w:val="Heading5"/>
      </w:pPr>
      <w:bookmarkStart w:id="36" w:name="_Toc201827195"/>
      <w:r>
        <w:rPr>
          <w:rStyle w:val="CharSectno"/>
        </w:rPr>
        <w:t>12</w:t>
      </w:r>
      <w:r>
        <w:t>.</w:t>
      </w:r>
      <w:r>
        <w:tab/>
        <w:t>Transport wardens</w:t>
      </w:r>
      <w:bookmarkEnd w:id="36"/>
    </w:p>
    <w:p>
      <w:pPr>
        <w:pStyle w:val="Subsection"/>
      </w:pPr>
      <w:r>
        <w:tab/>
        <w:t>(1)</w:t>
      </w:r>
      <w:r>
        <w:tab/>
        <w:t>For section 22, the functions relating to the provisions of the road laws mentioned in column 1 of the Table and described in column 2 of the Table are functions that can be performed by a warden.</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iCs/>
              </w:rPr>
              <w:lastRenderedPageBreak/>
              <w:t>Road Traffic (Administration) Act 2008</w:t>
            </w:r>
            <w:r>
              <w:t xml:space="preserve"> </w:t>
            </w:r>
            <w:r>
              <w:rPr>
                <w:iCs/>
              </w:rPr>
              <w:t>s. 52</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iCs/>
              </w:rPr>
              <w:t>Road Traffic (Administration) Act 2008</w:t>
            </w:r>
            <w:r>
              <w:t xml:space="preserve"> </w:t>
            </w:r>
            <w:r>
              <w:rPr>
                <w:iCs/>
              </w:rPr>
              <w:t>s. 81</w:t>
            </w:r>
          </w:p>
        </w:tc>
        <w:tc>
          <w:tcPr>
            <w:tcW w:w="3034" w:type="dxa"/>
          </w:tcPr>
          <w:p>
            <w:pPr>
              <w:pStyle w:val="TableNAm"/>
              <w:rPr>
                <w:rStyle w:val="DraftersNotes"/>
              </w:rPr>
            </w:pPr>
            <w:r>
              <w:t>Serve infringement notices (alleged offender) in respect of the prescribed road law offences set out in the Table to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lastRenderedPageBreak/>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or that includes, a police officer in a provision of a road law mentioned in the Table to subregulation (1) is to be read as including a transport warden.</w:t>
      </w:r>
    </w:p>
    <w:p>
      <w:pPr>
        <w:pStyle w:val="Subsection"/>
      </w:pPr>
      <w:r>
        <w:tab/>
        <w:t>(4)</w:t>
      </w:r>
      <w:r>
        <w:tab/>
        <w:t xml:space="preserve">Despite subregulation (2), a transport warden does not have, in relation to a function under the </w:t>
      </w:r>
      <w:r>
        <w:rPr>
          <w:i/>
          <w:iCs/>
        </w:rPr>
        <w:t>Road Traffic (Administration) Act 2008</w:t>
      </w:r>
      <w:r>
        <w:t xml:space="preserve"> section 52, the powers conferred under section 52(5)(c) or (d) or (6)(b) of that Act on a police officer in relation to the function.</w:t>
      </w:r>
    </w:p>
    <w:p>
      <w:pPr>
        <w:pStyle w:val="Footnotesection"/>
      </w:pPr>
      <w:r>
        <w:tab/>
        <w:t>[Regulation 12 amended: SL 2024/201 r. 5.]</w:t>
      </w:r>
    </w:p>
    <w:p>
      <w:pPr>
        <w:pStyle w:val="Heading5"/>
      </w:pPr>
      <w:bookmarkStart w:id="37" w:name="_Toc201827196"/>
      <w:r>
        <w:rPr>
          <w:rStyle w:val="CharSectno"/>
        </w:rPr>
        <w:t>13</w:t>
      </w:r>
      <w:r>
        <w:t>.</w:t>
      </w:r>
      <w:r>
        <w:tab/>
        <w:t>Transport inspection wardens</w:t>
      </w:r>
      <w:bookmarkEnd w:id="37"/>
    </w:p>
    <w:p>
      <w:pPr>
        <w:pStyle w:val="Subsection"/>
      </w:pPr>
      <w:r>
        <w:tab/>
        <w:t>(1)</w:t>
      </w:r>
      <w:r>
        <w:tab/>
        <w:t>For section 22, the functions relating to the provisions of the road laws mentioned in column 1 of the Table and described in column 2 of the Table are functions that can be performed by a warden.</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lastRenderedPageBreak/>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iCs/>
              </w:rPr>
              <w:t>Road Traffic (Administration) Act 2008</w:t>
            </w:r>
            <w:r>
              <w:t xml:space="preserve"> </w:t>
            </w:r>
            <w:r>
              <w:rPr>
                <w:iCs/>
              </w:rPr>
              <w:t>s. 81</w:t>
            </w:r>
          </w:p>
        </w:tc>
        <w:tc>
          <w:tcPr>
            <w:tcW w:w="3034" w:type="dxa"/>
          </w:tcPr>
          <w:p>
            <w:pPr>
              <w:pStyle w:val="TableNAm"/>
              <w:rPr>
                <w:rStyle w:val="DraftersNotes"/>
              </w:rPr>
            </w:pPr>
            <w:r>
              <w:t>Serve infringement notices (alleged offender) in respect of the prescribed road law offences set out in the Table to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lastRenderedPageBreak/>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or that includes, a police officer in a provision of a road law mentioned in the Table to subregulation (1) is to be read as including a transport inspection warden.</w:t>
      </w:r>
    </w:p>
    <w:p>
      <w:pPr>
        <w:pStyle w:val="Subsection"/>
        <w:keepNext/>
      </w:pPr>
      <w:r>
        <w:lastRenderedPageBreak/>
        <w:tab/>
        <w:t>(4)</w:t>
      </w:r>
      <w:r>
        <w:tab/>
        <w:t>Subregulation (3) is subject to section 72.</w:t>
      </w:r>
    </w:p>
    <w:p>
      <w:pPr>
        <w:pStyle w:val="Footnotesection"/>
      </w:pPr>
      <w:r>
        <w:tab/>
        <w:t>[Regulation 13 amended: Gazette 15 Nov 2016 p. 5077; SL 2024/201 r. 6.]</w:t>
      </w:r>
    </w:p>
    <w:p>
      <w:pPr>
        <w:pStyle w:val="Heading5"/>
      </w:pPr>
      <w:bookmarkStart w:id="38" w:name="_Toc201827197"/>
      <w:r>
        <w:rPr>
          <w:rStyle w:val="CharSectno"/>
        </w:rPr>
        <w:t>14</w:t>
      </w:r>
      <w:r>
        <w:t>.</w:t>
      </w:r>
      <w:r>
        <w:tab/>
        <w:t>Transport investigation wardens</w:t>
      </w:r>
      <w:bookmarkEnd w:id="38"/>
    </w:p>
    <w:p>
      <w:pPr>
        <w:pStyle w:val="Subsection"/>
      </w:pPr>
      <w:r>
        <w:tab/>
        <w:t>(1)</w:t>
      </w:r>
      <w:r>
        <w:tab/>
        <w:t>For section 22, the functions relating to the provisions of the road laws mentioned in column 1 of the Table and described in column 2 of the Table are functions that can be performed by a warden.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iCs/>
              </w:rPr>
              <w:t>Road Traffic (Administration) Act 2008</w:t>
            </w:r>
            <w:r>
              <w:t xml:space="preserve"> </w:t>
            </w:r>
            <w:r>
              <w:rPr>
                <w:iCs/>
              </w:rPr>
              <w:t>s. 81</w:t>
            </w:r>
          </w:p>
        </w:tc>
        <w:tc>
          <w:tcPr>
            <w:tcW w:w="3034" w:type="dxa"/>
          </w:tcPr>
          <w:p>
            <w:pPr>
              <w:pStyle w:val="TableNAm"/>
              <w:keepNext/>
              <w:keepLines/>
              <w:rPr>
                <w:rStyle w:val="DraftersNotes"/>
              </w:rPr>
            </w:pPr>
            <w:r>
              <w:t>Serve infringement notices (alleged offender) in respect of the prescribed road law offences set out in the Table to regulation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lastRenderedPageBreak/>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lastRenderedPageBreak/>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or that includes,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 SL 2024/201 r. 7.]</w:t>
      </w:r>
    </w:p>
    <w:p>
      <w:pPr>
        <w:pStyle w:val="Heading5"/>
      </w:pPr>
      <w:bookmarkStart w:id="39" w:name="_Toc201827198"/>
      <w:r>
        <w:rPr>
          <w:rStyle w:val="CharSectno"/>
        </w:rPr>
        <w:t>14A</w:t>
      </w:r>
      <w:r>
        <w:t>.</w:t>
      </w:r>
      <w:r>
        <w:tab/>
        <w:t>Parking wardens</w:t>
      </w:r>
      <w:bookmarkEnd w:id="39"/>
    </w:p>
    <w:p>
      <w:pPr>
        <w:pStyle w:val="Subsection"/>
      </w:pPr>
      <w:r>
        <w:tab/>
        <w:t>(1)</w:t>
      </w:r>
      <w:r>
        <w:tab/>
        <w:t xml:space="preserve">For section 22, the functions relating to the </w:t>
      </w:r>
      <w:r>
        <w:rPr>
          <w:i/>
          <w:iCs/>
        </w:rPr>
        <w:t>Road Traffic (Administration) Act 2008</w:t>
      </w:r>
      <w:r>
        <w:t xml:space="preserve"> sections 46 and 49 are functions that can be performed by a warden.</w:t>
      </w:r>
    </w:p>
    <w:p>
      <w:pPr>
        <w:pStyle w:val="Subsection"/>
      </w:pPr>
      <w:r>
        <w:tab/>
        <w:t>(2)</w:t>
      </w:r>
      <w:r>
        <w:tab/>
        <w:t>For section 24(1)(a), a parking warden has, in relation to a function under a provision of a road law mentioned in subregulation (1), the powers conferred under the provision on a police officer in relation to the function.</w:t>
      </w:r>
    </w:p>
    <w:p>
      <w:pPr>
        <w:pStyle w:val="Subsection"/>
      </w:pPr>
      <w:r>
        <w:tab/>
        <w:t>(3)</w:t>
      </w:r>
      <w:r>
        <w:tab/>
        <w:t>For section 24(1)(b), a reference to a police officer in a provision of a road law mentioned in subregulation (1) is to be read as including a parking warden.</w:t>
      </w:r>
    </w:p>
    <w:p>
      <w:pPr>
        <w:pStyle w:val="Footnotesection"/>
      </w:pPr>
      <w:r>
        <w:tab/>
        <w:t>[Regulation 14A inserted: SL 2024/201 r. 8.]</w:t>
      </w:r>
    </w:p>
    <w:p>
      <w:pPr>
        <w:pStyle w:val="Heading5"/>
      </w:pPr>
      <w:bookmarkStart w:id="40" w:name="_Toc201827199"/>
      <w:r>
        <w:rPr>
          <w:rStyle w:val="CharSectno"/>
        </w:rPr>
        <w:lastRenderedPageBreak/>
        <w:t>15</w:t>
      </w:r>
      <w:r>
        <w:t>.</w:t>
      </w:r>
      <w:r>
        <w:tab/>
        <w:t>Wardens commencing prosecutions for offences under road laws</w:t>
      </w:r>
      <w:bookmarkEnd w:id="40"/>
    </w:p>
    <w:p>
      <w:pPr>
        <w:pStyle w:val="Subsection"/>
      </w:pPr>
      <w:r>
        <w:tab/>
      </w:r>
      <w:r>
        <w:tab/>
        <w:t>For sections 22 and 105(2)(b), the function of commencing a prosecution for an offence under a road law, other than an offence to which section 105(1) applies, is a function that can be performed by a warden.</w:t>
      </w:r>
    </w:p>
    <w:p>
      <w:pPr>
        <w:pStyle w:val="Footnotesection"/>
      </w:pPr>
      <w:r>
        <w:tab/>
        <w:t>[Regulation 15 amended: SL 2020/231 r. 5; SL 2024/201 r. 9.]</w:t>
      </w:r>
    </w:p>
    <w:p>
      <w:pPr>
        <w:pStyle w:val="Heading3"/>
      </w:pPr>
      <w:bookmarkStart w:id="41" w:name="_Toc201747871"/>
      <w:bookmarkStart w:id="42" w:name="_Toc201748263"/>
      <w:bookmarkStart w:id="43" w:name="_Toc201827200"/>
      <w:r>
        <w:rPr>
          <w:rStyle w:val="CharDivNo"/>
        </w:rPr>
        <w:t>Division 3</w:t>
      </w:r>
      <w:r>
        <w:t> — </w:t>
      </w:r>
      <w:r>
        <w:rPr>
          <w:rStyle w:val="CharDivText"/>
        </w:rPr>
        <w:t>Warden functions for persons authorised by Commissioner of Police</w:t>
      </w:r>
      <w:bookmarkEnd w:id="41"/>
      <w:bookmarkEnd w:id="42"/>
      <w:bookmarkEnd w:id="43"/>
    </w:p>
    <w:p>
      <w:pPr>
        <w:pStyle w:val="Heading5"/>
      </w:pPr>
      <w:bookmarkStart w:id="44" w:name="_Toc201827201"/>
      <w:r>
        <w:rPr>
          <w:rStyle w:val="CharSectno"/>
        </w:rPr>
        <w:t>16</w:t>
      </w:r>
      <w:r>
        <w:t>.</w:t>
      </w:r>
      <w:r>
        <w:tab/>
        <w:t>Crossing attendant warden’s powers</w:t>
      </w:r>
      <w:bookmarkEnd w:id="44"/>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45" w:name="_Toc201827202"/>
      <w:r>
        <w:rPr>
          <w:rStyle w:val="CharSectno"/>
        </w:rPr>
        <w:t>17</w:t>
      </w:r>
      <w:r>
        <w:t>.</w:t>
      </w:r>
      <w:r>
        <w:tab/>
        <w:t>Traffic escort wardens</w:t>
      </w:r>
      <w:bookmarkEnd w:id="45"/>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lastRenderedPageBreak/>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lastRenderedPageBreak/>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Ednotesection"/>
      </w:pPr>
      <w:r>
        <w:t>[</w:t>
      </w:r>
      <w:r>
        <w:rPr>
          <w:b/>
          <w:bCs/>
        </w:rPr>
        <w:t>18.</w:t>
      </w:r>
      <w:r>
        <w:tab/>
        <w:t>Deleted: SL 2024/201 r. 10.]</w:t>
      </w:r>
    </w:p>
    <w:p>
      <w:pPr>
        <w:pStyle w:val="Heading2"/>
      </w:pPr>
      <w:bookmarkStart w:id="46" w:name="_Toc201747874"/>
      <w:bookmarkStart w:id="47" w:name="_Toc201748266"/>
      <w:bookmarkStart w:id="48" w:name="_Toc201827203"/>
      <w:r>
        <w:rPr>
          <w:rStyle w:val="CharPartNo"/>
        </w:rPr>
        <w:lastRenderedPageBreak/>
        <w:t>Part 6</w:t>
      </w:r>
      <w:r>
        <w:t> — </w:t>
      </w:r>
      <w:r>
        <w:rPr>
          <w:rStyle w:val="CharPartText"/>
        </w:rPr>
        <w:t>Enforcement of road laws</w:t>
      </w:r>
      <w:bookmarkEnd w:id="46"/>
      <w:bookmarkEnd w:id="47"/>
      <w:bookmarkEnd w:id="48"/>
    </w:p>
    <w:p>
      <w:pPr>
        <w:pStyle w:val="Heading3"/>
      </w:pPr>
      <w:bookmarkStart w:id="49" w:name="_Toc201747875"/>
      <w:bookmarkStart w:id="50" w:name="_Toc201748267"/>
      <w:bookmarkStart w:id="51" w:name="_Toc201827204"/>
      <w:r>
        <w:rPr>
          <w:rStyle w:val="CharDivNo"/>
        </w:rPr>
        <w:t>Division 1</w:t>
      </w:r>
      <w:r>
        <w:t> — </w:t>
      </w:r>
      <w:r>
        <w:rPr>
          <w:rStyle w:val="CharDivText"/>
        </w:rPr>
        <w:t>Entry warrants</w:t>
      </w:r>
      <w:bookmarkEnd w:id="49"/>
      <w:bookmarkEnd w:id="50"/>
      <w:bookmarkEnd w:id="51"/>
    </w:p>
    <w:p>
      <w:pPr>
        <w:pStyle w:val="Heading5"/>
      </w:pPr>
      <w:bookmarkStart w:id="52" w:name="_Toc201827205"/>
      <w:r>
        <w:rPr>
          <w:rStyle w:val="CharSectno"/>
        </w:rPr>
        <w:t>19</w:t>
      </w:r>
      <w:r>
        <w:t>.</w:t>
      </w:r>
      <w:r>
        <w:tab/>
        <w:t>Form of entry warrant</w:t>
      </w:r>
      <w:bookmarkEnd w:id="52"/>
    </w:p>
    <w:p>
      <w:pPr>
        <w:pStyle w:val="Subsection"/>
      </w:pPr>
      <w:r>
        <w:tab/>
      </w:r>
      <w:r>
        <w:tab/>
        <w:t>For section 65(3), the form of a warrant authorising entry to premises is set out in Schedule 1.</w:t>
      </w:r>
    </w:p>
    <w:p>
      <w:pPr>
        <w:pStyle w:val="Heading3"/>
        <w:rPr>
          <w:rStyle w:val="CharDivText"/>
        </w:rPr>
      </w:pPr>
      <w:bookmarkStart w:id="53" w:name="_Toc201747877"/>
      <w:bookmarkStart w:id="54" w:name="_Toc201748269"/>
      <w:bookmarkStart w:id="55" w:name="_Toc201827206"/>
      <w:r>
        <w:rPr>
          <w:rStyle w:val="CharDivNo"/>
        </w:rPr>
        <w:t>Division 2</w:t>
      </w:r>
      <w:r>
        <w:t> — </w:t>
      </w:r>
      <w:r>
        <w:rPr>
          <w:rStyle w:val="CharDivText"/>
        </w:rPr>
        <w:t>Embargo notices</w:t>
      </w:r>
      <w:bookmarkEnd w:id="53"/>
      <w:bookmarkEnd w:id="54"/>
      <w:bookmarkEnd w:id="55"/>
    </w:p>
    <w:p>
      <w:pPr>
        <w:pStyle w:val="Heading5"/>
      </w:pPr>
      <w:bookmarkStart w:id="56" w:name="_Toc201827207"/>
      <w:r>
        <w:rPr>
          <w:rStyle w:val="CharSectno"/>
        </w:rPr>
        <w:t>20</w:t>
      </w:r>
      <w:r>
        <w:t>.</w:t>
      </w:r>
      <w:r>
        <w:tab/>
        <w:t>Particulars for embargo notice</w:t>
      </w:r>
      <w:bookmarkEnd w:id="56"/>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57" w:name="_Toc201747879"/>
      <w:bookmarkStart w:id="58" w:name="_Toc201748271"/>
      <w:bookmarkStart w:id="59" w:name="_Toc201827208"/>
      <w:r>
        <w:rPr>
          <w:rStyle w:val="CharPartNo"/>
        </w:rPr>
        <w:lastRenderedPageBreak/>
        <w:t>Part 7 </w:t>
      </w:r>
      <w:r>
        <w:t>—</w:t>
      </w:r>
      <w:r>
        <w:rPr>
          <w:rStyle w:val="CharPartText"/>
        </w:rPr>
        <w:t> Infringement notices</w:t>
      </w:r>
      <w:bookmarkEnd w:id="57"/>
      <w:bookmarkEnd w:id="58"/>
      <w:bookmarkEnd w:id="59"/>
    </w:p>
    <w:p>
      <w:pPr>
        <w:pStyle w:val="Heading3"/>
      </w:pPr>
      <w:bookmarkStart w:id="60" w:name="_Toc201747880"/>
      <w:bookmarkStart w:id="61" w:name="_Toc201748272"/>
      <w:bookmarkStart w:id="62" w:name="_Toc201827209"/>
      <w:r>
        <w:rPr>
          <w:rStyle w:val="CharDivNo"/>
        </w:rPr>
        <w:t>Division 1</w:t>
      </w:r>
      <w:r>
        <w:t> — </w:t>
      </w:r>
      <w:r>
        <w:rPr>
          <w:rStyle w:val="CharDivText"/>
        </w:rPr>
        <w:t>Offences for which infringement notices may be served under Part 5 of Act</w:t>
      </w:r>
      <w:bookmarkEnd w:id="60"/>
      <w:bookmarkEnd w:id="61"/>
      <w:bookmarkEnd w:id="62"/>
    </w:p>
    <w:p>
      <w:pPr>
        <w:pStyle w:val="Footnoteheading"/>
      </w:pPr>
      <w:r>
        <w:tab/>
        <w:t>[Heading inserted: SL 2024/201 r. 11.]</w:t>
      </w:r>
    </w:p>
    <w:p>
      <w:pPr>
        <w:pStyle w:val="Heading5"/>
        <w:rPr>
          <w:i/>
        </w:rPr>
      </w:pPr>
      <w:bookmarkStart w:id="63" w:name="_Toc201827210"/>
      <w:r>
        <w:rPr>
          <w:rStyle w:val="CharSectno"/>
        </w:rPr>
        <w:t>21</w:t>
      </w:r>
      <w:r>
        <w:t>.</w:t>
      </w:r>
      <w:r>
        <w:tab/>
        <w:t xml:space="preserve">Prescribed road law offences and modified penalties (s. 95(1)): </w:t>
      </w:r>
      <w:r>
        <w:rPr>
          <w:i/>
          <w:iCs/>
        </w:rPr>
        <w:t>Road Traffic (Administration) Act 2008</w:t>
      </w:r>
      <w:bookmarkEnd w:id="63"/>
    </w:p>
    <w:p>
      <w:pPr>
        <w:pStyle w:val="Subsection"/>
      </w:pPr>
      <w:r>
        <w:tab/>
        <w:t>(1)</w:t>
      </w:r>
      <w:r>
        <w:tab/>
        <w:t xml:space="preserve">An offence under a provision of the </w:t>
      </w:r>
      <w:r>
        <w:rPr>
          <w:i/>
          <w:iCs/>
        </w:rPr>
        <w:t>Road Traffic (Administration) Act 2008</w:t>
      </w:r>
      <w:r>
        <w:t xml:space="preserve"> set out in the Table to this regulation is an offence in respect of which an infringement notice may be served under Part 5 of the Act.</w:t>
      </w:r>
    </w:p>
    <w:p>
      <w:pPr>
        <w:pStyle w:val="Subsection"/>
      </w:pPr>
      <w:r>
        <w:tab/>
        <w:t>(2)</w:t>
      </w:r>
      <w:r>
        <w:tab/>
        <w:t>The penalty applicable in relation to the offence if the offence is dealt with by infringement notice is the number of PU set out in the Table opposite the offence.</w:t>
      </w:r>
    </w:p>
    <w:p>
      <w:pPr>
        <w:pStyle w:val="PermNoteHeading"/>
      </w:pPr>
      <w:r>
        <w:tab/>
        <w:t>Note for this regulation:</w:t>
      </w:r>
    </w:p>
    <w:p>
      <w:pPr>
        <w:pStyle w:val="PermNoteText"/>
      </w:pPr>
      <w:r>
        <w:tab/>
      </w:r>
      <w:r>
        <w:tab/>
        <w:t xml:space="preserve">An offence under the </w:t>
      </w:r>
      <w:r>
        <w:rPr>
          <w:i/>
          <w:iCs/>
        </w:rPr>
        <w:t>Road Traffic (Administration) Act 2008</w:t>
      </w:r>
      <w:r>
        <w:t xml:space="preserve"> section 97(1) is also an offence in respect of which an infringement notice may be served under Part 5 of the Act: see section 98.</w:t>
      </w:r>
    </w:p>
    <w:p>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lastRenderedPageBreak/>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lastRenderedPageBreak/>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 SL 2024/201 r. 12.]</w:t>
      </w:r>
    </w:p>
    <w:p>
      <w:pPr>
        <w:pStyle w:val="Heading5"/>
      </w:pPr>
      <w:bookmarkStart w:id="64" w:name="_Toc201827211"/>
      <w:r>
        <w:rPr>
          <w:rStyle w:val="CharSectno"/>
        </w:rPr>
        <w:lastRenderedPageBreak/>
        <w:t>21A</w:t>
      </w:r>
      <w:r>
        <w:t>.</w:t>
      </w:r>
      <w:r>
        <w:tab/>
        <w:t xml:space="preserve">Prescribed road law offences and modified penalties (s. 95(1)): </w:t>
      </w:r>
      <w:r>
        <w:rPr>
          <w:i/>
          <w:iCs/>
        </w:rPr>
        <w:t>Road Traffic (Authorisation to Drive) Act 2008</w:t>
      </w:r>
      <w:bookmarkEnd w:id="64"/>
    </w:p>
    <w:p>
      <w:pPr>
        <w:pStyle w:val="Subsection"/>
      </w:pPr>
      <w:r>
        <w:tab/>
        <w:t>(1)</w:t>
      </w:r>
      <w:r>
        <w:tab/>
        <w:t xml:space="preserve">An offence under the </w:t>
      </w:r>
      <w:r>
        <w:rPr>
          <w:i/>
          <w:iCs/>
        </w:rPr>
        <w:t>Road Traffic (Authorisation to Drive) Act 2008</w:t>
      </w:r>
      <w:r>
        <w:t xml:space="preserve"> section 7(2) is an offence in respect of which an infringement notice may be served under Part 5 of the Act.</w:t>
      </w:r>
    </w:p>
    <w:p>
      <w:pPr>
        <w:pStyle w:val="Subsection"/>
      </w:pPr>
      <w:r>
        <w:tab/>
        <w:t>(2)</w:t>
      </w:r>
      <w:r>
        <w:tab/>
        <w:t>The penalty applicable in relation to the offence if the offence is dealt with by infringement notice is 10 PU.</w:t>
      </w:r>
    </w:p>
    <w:p>
      <w:pPr>
        <w:pStyle w:val="Footnotesection"/>
      </w:pPr>
      <w:r>
        <w:tab/>
        <w:t>[Regulation 21A inserted: SL 2024/201 r. 13.]</w:t>
      </w:r>
    </w:p>
    <w:p>
      <w:pPr>
        <w:pStyle w:val="Heading5"/>
        <w:rPr>
          <w:i/>
        </w:rPr>
      </w:pPr>
      <w:bookmarkStart w:id="65" w:name="_Toc201827212"/>
      <w:r>
        <w:rPr>
          <w:rStyle w:val="CharSectno"/>
        </w:rPr>
        <w:t>22</w:t>
      </w:r>
      <w:r>
        <w:t>.</w:t>
      </w:r>
      <w:r>
        <w:tab/>
        <w:t xml:space="preserve">Prescribed road law offences and modified penalties (s. 95(1)): </w:t>
      </w:r>
      <w:r>
        <w:rPr>
          <w:i/>
          <w:iCs/>
        </w:rPr>
        <w:t>Road Traffic (Vehicles) Act 2012</w:t>
      </w:r>
      <w:bookmarkEnd w:id="65"/>
    </w:p>
    <w:p>
      <w:pPr>
        <w:pStyle w:val="Subsection"/>
      </w:pPr>
      <w:r>
        <w:tab/>
        <w:t>(1)</w:t>
      </w:r>
      <w:r>
        <w:tab/>
        <w:t xml:space="preserve">An offence under a provision of the </w:t>
      </w:r>
      <w:r>
        <w:rPr>
          <w:i/>
          <w:iCs/>
        </w:rPr>
        <w:t>Road Traffic (Vehicles) Act 2012</w:t>
      </w:r>
      <w:r>
        <w:t xml:space="preserve"> set out in the Table to this regulation is an offence in respect of which an infringement notice may be served under Part 5 of the Act.</w:t>
      </w:r>
    </w:p>
    <w:p>
      <w:pPr>
        <w:pStyle w:val="Subsection"/>
      </w:pPr>
      <w:r>
        <w:tab/>
        <w:t>(2)</w:t>
      </w:r>
      <w:r>
        <w:tab/>
        <w:t>The penalty applicable in relation to the offence if the offence is dealt with by infringement notice is the number of PU set out in the Table opposite the offence.</w:t>
      </w:r>
    </w:p>
    <w:p>
      <w:pPr>
        <w:pStyle w:val="THeadingNAm"/>
      </w:pPr>
      <w:r>
        <w:t>Table</w:t>
      </w:r>
    </w:p>
    <w:tbl>
      <w:tblPr>
        <w:tblW w:w="6096"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13"/>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1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13" w:type="dxa"/>
          </w:tcPr>
          <w:p>
            <w:pPr>
              <w:pStyle w:val="TableNAm"/>
              <w:jc w:val="center"/>
            </w:pPr>
            <w:r>
              <w:t>5</w:t>
            </w:r>
          </w:p>
        </w:tc>
      </w:tr>
      <w:tr>
        <w:trPr>
          <w:cantSplit/>
        </w:trPr>
        <w:tc>
          <w:tcPr>
            <w:tcW w:w="1531" w:type="dxa"/>
          </w:tcPr>
          <w:p>
            <w:pPr>
              <w:pStyle w:val="TableNAm"/>
            </w:pPr>
            <w:r>
              <w:lastRenderedPageBreak/>
              <w:t>s. 8(2)</w:t>
            </w:r>
          </w:p>
        </w:tc>
        <w:tc>
          <w:tcPr>
            <w:tcW w:w="2552" w:type="dxa"/>
          </w:tcPr>
          <w:p>
            <w:pPr>
              <w:pStyle w:val="TableNAm"/>
            </w:pPr>
            <w:r>
              <w:t>Failure to deliver licence document and number plates as demanded by CEO</w:t>
            </w:r>
          </w:p>
        </w:tc>
        <w:tc>
          <w:tcPr>
            <w:tcW w:w="2013"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13"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13"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13"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13" w:type="dxa"/>
          </w:tcPr>
          <w:p>
            <w:pPr>
              <w:pStyle w:val="TableNAm"/>
              <w:keepNext/>
              <w:keepLines/>
              <w:jc w:val="center"/>
            </w:pPr>
            <w:r>
              <w:t>2</w:t>
            </w:r>
          </w:p>
        </w:tc>
      </w:tr>
      <w:tr>
        <w:trPr>
          <w:cantSplit/>
        </w:trPr>
        <w:tc>
          <w:tcPr>
            <w:tcW w:w="1531" w:type="dxa"/>
          </w:tcPr>
          <w:p>
            <w:pPr>
              <w:pStyle w:val="TableNAm"/>
            </w:pPr>
            <w:r>
              <w:lastRenderedPageBreak/>
              <w:t>s. 29(1)</w:t>
            </w:r>
          </w:p>
        </w:tc>
        <w:tc>
          <w:tcPr>
            <w:tcW w:w="2552" w:type="dxa"/>
          </w:tcPr>
          <w:p>
            <w:pPr>
              <w:pStyle w:val="TableNAm"/>
            </w:pPr>
            <w:r>
              <w:t xml:space="preserve">Breach of mass requirement relating to heavy vehicle — mass up to 30% in excess of maximum permitted mass </w:t>
            </w:r>
          </w:p>
        </w:tc>
        <w:tc>
          <w:tcPr>
            <w:tcW w:w="2013"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13"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13" w:type="dxa"/>
          </w:tcPr>
          <w:p>
            <w:pPr>
              <w:pStyle w:val="TableNAm"/>
              <w:jc w:val="center"/>
              <w:rPr>
                <w:rStyle w:val="DraftersNotes"/>
              </w:rPr>
            </w:pPr>
            <w:r>
              <w:t>2</w:t>
            </w:r>
          </w:p>
        </w:tc>
      </w:tr>
      <w:tr>
        <w:trPr>
          <w:cantSplit/>
        </w:trPr>
        <w:tc>
          <w:tcPr>
            <w:tcW w:w="1531" w:type="dxa"/>
          </w:tcPr>
          <w:p>
            <w:pPr>
              <w:pStyle w:val="TableNAm"/>
            </w:pPr>
            <w:r>
              <w:lastRenderedPageBreak/>
              <w:t>s. 29(1)</w:t>
            </w:r>
          </w:p>
        </w:tc>
        <w:tc>
          <w:tcPr>
            <w:tcW w:w="2552" w:type="dxa"/>
          </w:tcPr>
          <w:p>
            <w:pPr>
              <w:pStyle w:val="TableNAm"/>
            </w:pPr>
            <w:r>
              <w:t>Breach of a dimension requirement that is a minor risk breach</w:t>
            </w:r>
          </w:p>
        </w:tc>
        <w:tc>
          <w:tcPr>
            <w:tcW w:w="2013"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13"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13"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lastRenderedPageBreak/>
              <w:t>s. 34(2)</w:t>
            </w:r>
          </w:p>
        </w:tc>
        <w:tc>
          <w:tcPr>
            <w:tcW w:w="2552" w:type="dxa"/>
          </w:tcPr>
          <w:p>
            <w:pPr>
              <w:pStyle w:val="TableNAm"/>
            </w:pPr>
            <w:r>
              <w:t>Driver to carry, produce permit for mass or dimension modification</w:t>
            </w:r>
          </w:p>
        </w:tc>
        <w:tc>
          <w:tcPr>
            <w:tcW w:w="2013"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modification of mass or dimension requirement other than about a road on which the vehicle can or cannot be driven</w:t>
            </w:r>
          </w:p>
        </w:tc>
        <w:tc>
          <w:tcPr>
            <w:tcW w:w="2013"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c>
          <w:tcPr>
            <w:tcW w:w="1531" w:type="dxa"/>
          </w:tcPr>
          <w:p>
            <w:pPr>
              <w:pStyle w:val="TableNAm"/>
            </w:pPr>
            <w:r>
              <w:t>s. 36(1)</w:t>
            </w:r>
          </w:p>
        </w:tc>
        <w:tc>
          <w:tcPr>
            <w:tcW w:w="2552" w:type="dxa"/>
          </w:tcPr>
          <w:p>
            <w:pPr>
              <w:pStyle w:val="TableNAm"/>
            </w:pPr>
            <w:r>
              <w:t>Failure to comply with provision of order or permit for modification of mass or dimension requirement about a road on which the vehicle can or cannot be driven, in circumstances where the vehicle is a heavy vehicle</w:t>
            </w:r>
          </w:p>
        </w:tc>
        <w:tc>
          <w:tcPr>
            <w:tcW w:w="2013" w:type="dxa"/>
          </w:tcPr>
          <w:p>
            <w:pPr>
              <w:pStyle w:val="TableNAm"/>
            </w:pPr>
            <w:r>
              <w:t xml:space="preserve">The greater of the following — </w:t>
            </w:r>
          </w:p>
          <w:p>
            <w:pPr>
              <w:pStyle w:val="TableNAmLeft0cm"/>
              <w:ind w:left="465" w:hanging="465"/>
            </w:pPr>
            <w:r>
              <w:t>(a)</w:t>
            </w:r>
            <w:r>
              <w:tab/>
              <w:t xml:space="preserve">the same number of PU as are set out in the Table to the </w:t>
            </w:r>
            <w:r>
              <w:rPr>
                <w:i/>
              </w:rPr>
              <w:t xml:space="preserve">Road Traffic (Vehicles) Act 2012 </w:t>
            </w:r>
            <w:r>
              <w:t xml:space="preserve">s. 30(1) for the minimum penalty for the offence </w:t>
            </w:r>
            <w:r>
              <w:lastRenderedPageBreak/>
              <w:t>that would have applied if the mass requirement (if any) had not been modified;</w:t>
            </w:r>
          </w:p>
          <w:p>
            <w:pPr>
              <w:pStyle w:val="TableNAmLeft0cm"/>
              <w:ind w:left="465" w:hanging="465"/>
            </w:pPr>
            <w:r>
              <w:t>(b)</w:t>
            </w:r>
            <w:r>
              <w:tab/>
              <w:t xml:space="preserve">the same number of PU as are set out in the </w:t>
            </w:r>
            <w:r>
              <w:rPr>
                <w:i/>
              </w:rPr>
              <w:t xml:space="preserve">Road Traffic (Vehicles) Act 2012 </w:t>
            </w:r>
            <w:r>
              <w:t>s. 30(3)(b) to (d) for the minimum penalty for the offence that would have applied if the dimension requirement (if any) had not been modified</w:t>
            </w:r>
          </w:p>
        </w:tc>
      </w:tr>
      <w:tr>
        <w:trPr>
          <w:cantSplit/>
        </w:trPr>
        <w:tc>
          <w:tcPr>
            <w:tcW w:w="1531" w:type="dxa"/>
          </w:tcPr>
          <w:p>
            <w:pPr>
              <w:pStyle w:val="TableNAm"/>
            </w:pPr>
            <w:r>
              <w:lastRenderedPageBreak/>
              <w:t>s. 39(1)</w:t>
            </w:r>
          </w:p>
        </w:tc>
        <w:tc>
          <w:tcPr>
            <w:tcW w:w="2552" w:type="dxa"/>
          </w:tcPr>
          <w:p>
            <w:pPr>
              <w:pStyle w:val="TableNAm"/>
            </w:pPr>
            <w:r>
              <w:t>Complying restricted access vehicle on road without access approval</w:t>
            </w:r>
          </w:p>
        </w:tc>
        <w:tc>
          <w:tcPr>
            <w:tcW w:w="2013"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13"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13"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13"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13" w:type="dxa"/>
          </w:tcPr>
          <w:p>
            <w:pPr>
              <w:pStyle w:val="TableNAm"/>
              <w:jc w:val="center"/>
            </w:pPr>
            <w:r>
              <w:t>8</w:t>
            </w:r>
          </w:p>
        </w:tc>
      </w:tr>
      <w:tr>
        <w:trPr>
          <w:cantSplit/>
        </w:trPr>
        <w:tc>
          <w:tcPr>
            <w:tcW w:w="1531" w:type="dxa"/>
          </w:tcPr>
          <w:p>
            <w:pPr>
              <w:pStyle w:val="TableNAm"/>
            </w:pPr>
            <w:r>
              <w:lastRenderedPageBreak/>
              <w:t>s. 75(1)</w:t>
            </w:r>
          </w:p>
        </w:tc>
        <w:tc>
          <w:tcPr>
            <w:tcW w:w="2552" w:type="dxa"/>
          </w:tcPr>
          <w:p>
            <w:pPr>
              <w:pStyle w:val="TableNAm"/>
            </w:pPr>
            <w:r>
              <w:t>Vehicle driven not in accordance with applicable defect notice</w:t>
            </w:r>
          </w:p>
        </w:tc>
        <w:tc>
          <w:tcPr>
            <w:tcW w:w="2013"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13"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13"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13"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13"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13" w:type="dxa"/>
          </w:tcPr>
          <w:p>
            <w:pPr>
              <w:pStyle w:val="TableNAm"/>
              <w:jc w:val="center"/>
            </w:pPr>
            <w:r>
              <w:t>5</w:t>
            </w:r>
          </w:p>
        </w:tc>
      </w:tr>
      <w:tr>
        <w:trPr>
          <w:cantSplit/>
        </w:trPr>
        <w:tc>
          <w:tcPr>
            <w:tcW w:w="1531" w:type="dxa"/>
          </w:tcPr>
          <w:p>
            <w:pPr>
              <w:pStyle w:val="TableNAm"/>
            </w:pPr>
            <w:r>
              <w:lastRenderedPageBreak/>
              <w:t>s. 88(2)</w:t>
            </w:r>
          </w:p>
        </w:tc>
        <w:tc>
          <w:tcPr>
            <w:tcW w:w="2552" w:type="dxa"/>
          </w:tcPr>
          <w:p>
            <w:pPr>
              <w:pStyle w:val="TableNAm"/>
            </w:pPr>
            <w:r>
              <w:t>Failure to keep container weight declaration accessible from vehicle</w:t>
            </w:r>
          </w:p>
        </w:tc>
        <w:tc>
          <w:tcPr>
            <w:tcW w:w="2013"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13"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13" w:type="dxa"/>
          </w:tcPr>
          <w:p>
            <w:pPr>
              <w:pStyle w:val="TableNAm"/>
              <w:keepNext/>
              <w:jc w:val="center"/>
            </w:pPr>
            <w:r>
              <w:t>10</w:t>
            </w:r>
          </w:p>
        </w:tc>
      </w:tr>
    </w:tbl>
    <w:p>
      <w:pPr>
        <w:pStyle w:val="Footnotesection"/>
      </w:pPr>
      <w:r>
        <w:tab/>
        <w:t>[Regulation 22 amended: Gazette 26 May 2017 p. 2638; SL 2024/201 r. 14; SL 2025/20 r. 4.]</w:t>
      </w:r>
    </w:p>
    <w:p>
      <w:pPr>
        <w:pStyle w:val="Heading5"/>
        <w:keepNext w:val="0"/>
        <w:keepLines w:val="0"/>
        <w:rPr>
          <w:i/>
        </w:rPr>
      </w:pPr>
      <w:bookmarkStart w:id="66" w:name="_Toc201827213"/>
      <w:r>
        <w:rPr>
          <w:rStyle w:val="CharSectno"/>
        </w:rPr>
        <w:t>23</w:t>
      </w:r>
      <w:r>
        <w:t>.</w:t>
      </w:r>
      <w:r>
        <w:tab/>
        <w:t xml:space="preserve">Prescribed road law offences and modified penalties (s. 95(1)): </w:t>
      </w:r>
      <w:r>
        <w:rPr>
          <w:i/>
          <w:iCs/>
        </w:rPr>
        <w:t>Road Traffic Act 1974</w:t>
      </w:r>
      <w:bookmarkEnd w:id="66"/>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iCs/>
        </w:rPr>
        <w:t>Road Traffic Act 1974</w:t>
      </w:r>
      <w:r>
        <w:t xml:space="preserve"> set out in the Table to this regulation is an offence in respect of </w:t>
      </w:r>
      <w:r>
        <w:lastRenderedPageBreak/>
        <w:t>which an infringement notice may be served under Part 5 of the Act.</w:t>
      </w:r>
    </w:p>
    <w:p>
      <w:pPr>
        <w:pStyle w:val="Subsection"/>
      </w:pPr>
      <w:r>
        <w:tab/>
        <w:t>(3)</w:t>
      </w:r>
      <w:r>
        <w:tab/>
        <w:t>The penalty applicable in relation to the offence if the offence is dealt with by infringement notice is the number of PU set out in the Table opposite the offence.</w:t>
      </w:r>
    </w:p>
    <w:p>
      <w:pPr>
        <w:pStyle w:val="THeadingNAm"/>
      </w:pPr>
      <w:r>
        <w:t>Table</w:t>
      </w:r>
    </w:p>
    <w:tbl>
      <w:tblPr>
        <w:tblW w:w="616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or in relation to the number of passengers carried in a motor vehicle; and</w:t>
            </w:r>
          </w:p>
          <w:p>
            <w:pPr>
              <w:pStyle w:val="TableNAm"/>
              <w:tabs>
                <w:tab w:val="clear" w:pos="567"/>
              </w:tabs>
              <w:ind w:left="459" w:hanging="459"/>
            </w:pPr>
            <w:r>
              <w:lastRenderedPageBreak/>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pPr>
            <w:r>
              <w:t xml:space="preserve">Driving while not authorised under the </w:t>
            </w:r>
            <w:r>
              <w:rPr>
                <w:i/>
              </w:rPr>
              <w:t>Road Traffic (Authorisation to Drive) Act 2008</w:t>
            </w:r>
            <w:r>
              <w:t xml:space="preserve"> Pt. 2 if the offence is committed by a novice driver (type 1A) either — </w:t>
            </w:r>
          </w:p>
          <w:p>
            <w:pPr>
              <w:pStyle w:val="TableNAm"/>
              <w:ind w:left="567" w:hanging="567"/>
            </w:pPr>
            <w:r>
              <w:t>(a)</w:t>
            </w:r>
            <w:r>
              <w:tab/>
              <w:t>between midnight and the following 5 a.m.; or</w:t>
            </w:r>
          </w:p>
          <w:p>
            <w:pPr>
              <w:pStyle w:val="TableNAm"/>
              <w:ind w:left="567" w:hanging="567"/>
              <w:rPr>
                <w:rStyle w:val="DraftersNotes"/>
              </w:rPr>
            </w:pPr>
            <w:r>
              <w:t>(b)</w:t>
            </w:r>
            <w:r>
              <w:tab/>
              <w:t xml:space="preserve">in relation to the number of passengers carried in a motor vehicle </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lastRenderedPageBreak/>
              <w:t>s. 50A(2)</w:t>
            </w:r>
          </w:p>
        </w:tc>
        <w:tc>
          <w:tcPr>
            <w:tcW w:w="2410" w:type="dxa"/>
          </w:tcPr>
          <w:p>
            <w:pPr>
              <w:pStyle w:val="TableNAm"/>
            </w:pPr>
            <w:r>
              <w:t>Holder of foreign country’s driver’s licence failing to comply with condition of licence</w:t>
            </w:r>
          </w:p>
        </w:tc>
        <w:tc>
          <w:tcPr>
            <w:tcW w:w="2079" w:type="dxa"/>
          </w:tcPr>
          <w:p>
            <w:pPr>
              <w:pStyle w:val="TableNAm"/>
              <w:jc w:val="center"/>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jc w:val="center"/>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jc w:val="center"/>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jc w:val="center"/>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15</w:t>
            </w:r>
          </w:p>
        </w:tc>
      </w:tr>
      <w:tr>
        <w:trPr>
          <w:cantSplit/>
        </w:trPr>
        <w:tc>
          <w:tcPr>
            <w:tcW w:w="1673" w:type="dxa"/>
            <w:tcBorders>
              <w:bottom w:val="nil"/>
            </w:tcBorders>
          </w:tcPr>
          <w:p>
            <w:pPr>
              <w:pStyle w:val="TableNAm"/>
            </w:pPr>
            <w:r>
              <w:lastRenderedPageBreak/>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15</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15</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15</w:t>
            </w:r>
          </w:p>
        </w:tc>
      </w:tr>
      <w:tr>
        <w:trPr>
          <w:cantSplit/>
        </w:trPr>
        <w:tc>
          <w:tcPr>
            <w:tcW w:w="1673" w:type="dxa"/>
          </w:tcPr>
          <w:p>
            <w:pPr>
              <w:pStyle w:val="TableNAm"/>
            </w:pPr>
            <w:r>
              <w:lastRenderedPageBreak/>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20</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8</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lastRenderedPageBreak/>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 SL 2021/55 r. 4; SL 2024/201 r. 15; SL 2024/237 r. 4.]</w:t>
      </w:r>
    </w:p>
    <w:p>
      <w:pPr>
        <w:pStyle w:val="Heading5"/>
      </w:pPr>
      <w:bookmarkStart w:id="67" w:name="_Toc201827214"/>
      <w:r>
        <w:rPr>
          <w:rStyle w:val="CharSectno"/>
        </w:rPr>
        <w:lastRenderedPageBreak/>
        <w:t>24</w:t>
      </w:r>
      <w:r>
        <w:t>.</w:t>
      </w:r>
      <w:r>
        <w:tab/>
        <w:t>Prescribed road law offences and modified penalties (s. 95(1)): regulations made under road laws</w:t>
      </w:r>
      <w:bookmarkEnd w:id="67"/>
    </w:p>
    <w:p>
      <w:pPr>
        <w:pStyle w:val="Subsection"/>
        <w:keepNext/>
      </w:pPr>
      <w:r>
        <w:tab/>
        <w:t>(1)</w:t>
      </w:r>
      <w:r>
        <w:tab/>
        <w:t xml:space="preserve">An offence under a provision of a road law set out in the Table to this regulation is an offence in respect of which an infringement notice may be served under Part 5 of the Act if — </w:t>
      </w:r>
    </w:p>
    <w:p>
      <w:pPr>
        <w:pStyle w:val="Indenta"/>
      </w:pPr>
      <w:r>
        <w:tab/>
        <w:t>(a)</w:t>
      </w:r>
      <w:r>
        <w:tab/>
        <w:t>the road law specifies a modified penalty applicable to the offence; and</w:t>
      </w:r>
    </w:p>
    <w:p>
      <w:pPr>
        <w:pStyle w:val="Indenta"/>
      </w:pPr>
      <w:r>
        <w:tab/>
        <w:t>(b)</w:t>
      </w:r>
      <w:r>
        <w:tab/>
        <w:t>the offence is not of a kind mentioned in section 95(2)(a) or (b).</w:t>
      </w:r>
    </w:p>
    <w:p>
      <w:pPr>
        <w:pStyle w:val="Subsection"/>
      </w:pPr>
      <w:r>
        <w:tab/>
        <w:t>(2)</w:t>
      </w:r>
      <w:r>
        <w:tab/>
        <w:t>The penalty applicable in relation to the offence if the offence is dealt with by infringement notice is the modified penalty that the road law specifies is applicable to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Ednotesubsection"/>
      </w:pPr>
      <w:r>
        <w:tab/>
        <w:t>[(3)</w:t>
      </w:r>
      <w:r>
        <w:tab/>
        <w:t>deleted]</w:t>
      </w:r>
    </w:p>
    <w:p>
      <w:pPr>
        <w:pStyle w:val="Footnotesection"/>
      </w:pPr>
      <w:r>
        <w:tab/>
        <w:t>[Regulation 24 amended: Gazette 24 Jun 2016 p. 2343; 15 Nov 2016 p. 5077 SL 2020/231 r. 8; SL 2024/201 r. 16.]</w:t>
      </w:r>
    </w:p>
    <w:p>
      <w:pPr>
        <w:pStyle w:val="Heading3"/>
      </w:pPr>
      <w:bookmarkStart w:id="68" w:name="_Toc201747886"/>
      <w:bookmarkStart w:id="69" w:name="_Toc201748278"/>
      <w:bookmarkStart w:id="70" w:name="_Toc201827215"/>
      <w:r>
        <w:rPr>
          <w:rStyle w:val="CharDivNo"/>
        </w:rPr>
        <w:lastRenderedPageBreak/>
        <w:t>Division 2</w:t>
      </w:r>
      <w:r>
        <w:t> — </w:t>
      </w:r>
      <w:r>
        <w:rPr>
          <w:rStyle w:val="CharDivText"/>
        </w:rPr>
        <w:t>Service of infringement notices by wardens</w:t>
      </w:r>
      <w:bookmarkEnd w:id="68"/>
      <w:bookmarkEnd w:id="69"/>
      <w:bookmarkEnd w:id="70"/>
    </w:p>
    <w:p>
      <w:pPr>
        <w:pStyle w:val="Footnoteheading"/>
        <w:keepNext/>
      </w:pPr>
      <w:r>
        <w:tab/>
        <w:t>[Heading inserted: SL 2024/201 r. 17.]</w:t>
      </w:r>
    </w:p>
    <w:p>
      <w:pPr>
        <w:pStyle w:val="Heading5"/>
      </w:pPr>
      <w:bookmarkStart w:id="71" w:name="_Toc201827216"/>
      <w:r>
        <w:rPr>
          <w:rStyle w:val="CharSectno"/>
        </w:rPr>
        <w:t>25</w:t>
      </w:r>
      <w:r>
        <w:t>.</w:t>
      </w:r>
      <w:r>
        <w:tab/>
        <w:t>Offences for which infringement notices may be served by transport wardens</w:t>
      </w:r>
      <w:bookmarkEnd w:id="71"/>
    </w:p>
    <w:p>
      <w:pPr>
        <w:pStyle w:val="Subsection"/>
      </w:pPr>
      <w:r>
        <w:tab/>
      </w:r>
      <w:r>
        <w:tab/>
        <w:t>For the purposes of regulation 12(1), a prescribed road law offence under a provision of a road law set out in the Table to this regulation is an offence in respect of which an infringement notice (alleged offender) may be served.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 SL 2024/201 r. 18.]</w:t>
      </w:r>
    </w:p>
    <w:p>
      <w:pPr>
        <w:pStyle w:val="Heading5"/>
      </w:pPr>
      <w:bookmarkStart w:id="72" w:name="_Toc201827217"/>
      <w:r>
        <w:rPr>
          <w:rStyle w:val="CharSectno"/>
        </w:rPr>
        <w:t>26</w:t>
      </w:r>
      <w:r>
        <w:t>.</w:t>
      </w:r>
      <w:r>
        <w:tab/>
        <w:t>Offences for which infringement notices may be served by transport inspection wardens</w:t>
      </w:r>
      <w:bookmarkEnd w:id="72"/>
    </w:p>
    <w:p>
      <w:pPr>
        <w:pStyle w:val="Subsection"/>
      </w:pPr>
      <w:r>
        <w:tab/>
      </w:r>
      <w:r>
        <w:tab/>
        <w:t xml:space="preserve">For the purposes of regulation 13(1), a prescribed road law offence under a provision of a road law set out in the Table to </w:t>
      </w:r>
      <w:r>
        <w:lastRenderedPageBreak/>
        <w:t>this regulation is an offence in respect of which an infringement notice (alleged offender) may be served.</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 SL 2024/201 r. 19.]</w:t>
      </w:r>
    </w:p>
    <w:p>
      <w:pPr>
        <w:pStyle w:val="Heading5"/>
      </w:pPr>
      <w:bookmarkStart w:id="73" w:name="_Toc201827218"/>
      <w:r>
        <w:rPr>
          <w:rStyle w:val="CharSectno"/>
        </w:rPr>
        <w:t>26A</w:t>
      </w:r>
      <w:r>
        <w:t>.</w:t>
      </w:r>
      <w:r>
        <w:tab/>
        <w:t>Offences for which infringement notices may be served by transport investigation wardens</w:t>
      </w:r>
      <w:bookmarkEnd w:id="73"/>
    </w:p>
    <w:p>
      <w:pPr>
        <w:pStyle w:val="Subsection"/>
      </w:pPr>
      <w:r>
        <w:tab/>
      </w:r>
      <w:r>
        <w:tab/>
        <w:t>For the purposes of regulation 14(1), a prescribed road law offence under a provision of a road law set out in the Table to this regulation is an offence in respect of which an infringement notice (alleged offender) may be served.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 xml:space="preserve">s. 95(1), 97(1), 97(4), 99(2), 100(2), 100(3), 100(4), 100(5), 101, 102(2), 102(4), </w:t>
            </w:r>
            <w:r>
              <w:lastRenderedPageBreak/>
              <w:t>103(2), 105(1), 105A(1), 105E(1)</w:t>
            </w:r>
          </w:p>
        </w:tc>
      </w:tr>
      <w:tr>
        <w:tc>
          <w:tcPr>
            <w:tcW w:w="3033" w:type="dxa"/>
          </w:tcPr>
          <w:p>
            <w:pPr>
              <w:pStyle w:val="TableNAm"/>
              <w:rPr>
                <w:i/>
                <w:iCs/>
              </w:rPr>
            </w:pPr>
            <w:r>
              <w:rPr>
                <w:i/>
                <w:iCs/>
              </w:rPr>
              <w:lastRenderedPageBreak/>
              <w:t>Road Traffic (Administration) Act 2008</w:t>
            </w:r>
          </w:p>
        </w:tc>
        <w:tc>
          <w:tcPr>
            <w:tcW w:w="3034" w:type="dxa"/>
          </w:tcPr>
          <w:p>
            <w:pPr>
              <w:pStyle w:val="TableNAm"/>
            </w:pPr>
            <w:r>
              <w:t>s. 33(2), 36(2), 44, 47(4), 61C(4), 61D(2), 61D(3), 61E(3), 71(5A), 71(7A)</w:t>
            </w:r>
          </w:p>
        </w:tc>
      </w:tr>
      <w:tr>
        <w:tc>
          <w:tcPr>
            <w:tcW w:w="3033" w:type="dxa"/>
          </w:tcPr>
          <w:p>
            <w:pPr>
              <w:pStyle w:val="TableNAm"/>
              <w:rPr>
                <w:i/>
                <w:iCs/>
              </w:rPr>
            </w:pPr>
            <w:r>
              <w:rPr>
                <w:i/>
                <w:iCs/>
              </w:rPr>
              <w:t>Road Traffic (Vehicles) Act 2012</w:t>
            </w:r>
          </w:p>
        </w:tc>
        <w:tc>
          <w:tcPr>
            <w:tcW w:w="3034" w:type="dxa"/>
          </w:tcPr>
          <w:p>
            <w:pPr>
              <w:pStyle w:val="TableNAm"/>
            </w:pPr>
            <w:r>
              <w:t>All the provisions mentioned in the Table to regulation 22</w:t>
            </w:r>
          </w:p>
        </w:tc>
      </w:tr>
      <w:tr>
        <w:tc>
          <w:tcPr>
            <w:tcW w:w="3033" w:type="dxa"/>
          </w:tcPr>
          <w:p>
            <w:pPr>
              <w:pStyle w:val="TableNAm"/>
              <w:keepNext/>
              <w:keepLines/>
              <w:rPr>
                <w:i/>
                <w:iCs/>
              </w:rPr>
            </w:pPr>
            <w:r>
              <w:rPr>
                <w:i/>
                <w:iCs/>
              </w:rPr>
              <w:t>Road Traffic (Authorisation to Drive) Regulations 2014</w:t>
            </w:r>
          </w:p>
        </w:tc>
        <w:tc>
          <w:tcPr>
            <w:tcW w:w="3034" w:type="dxa"/>
          </w:tcPr>
          <w:p>
            <w:pPr>
              <w:pStyle w:val="TableNAm"/>
              <w:keepNext/>
              <w:keepLines/>
            </w:pPr>
            <w:r>
              <w:t>r. 63</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r>
        <w:tc>
          <w:tcPr>
            <w:tcW w:w="3033" w:type="dxa"/>
          </w:tcPr>
          <w:p>
            <w:pPr>
              <w:pStyle w:val="TableNAm"/>
              <w:keepNext/>
              <w:keepLines/>
              <w:rPr>
                <w:i/>
                <w:iCs/>
              </w:rPr>
            </w:pPr>
            <w:r>
              <w:rPr>
                <w:i/>
                <w:iCs/>
              </w:rPr>
              <w:t>Road Traffic (Vehicles) Regulations 2014</w:t>
            </w:r>
          </w:p>
        </w:tc>
        <w:tc>
          <w:tcPr>
            <w:tcW w:w="3034" w:type="dxa"/>
          </w:tcPr>
          <w:p>
            <w:pPr>
              <w:pStyle w:val="TableNAm"/>
              <w:keepNext/>
              <w:keepLines/>
            </w:pPr>
            <w:r>
              <w:t>Pts. 2, 3, 4, 5, 7, 8, 10, 11, 12, 13A, 14 and 16</w:t>
            </w:r>
          </w:p>
        </w:tc>
      </w:tr>
    </w:tbl>
    <w:p>
      <w:pPr>
        <w:pStyle w:val="Footnotesection"/>
      </w:pPr>
      <w:r>
        <w:tab/>
        <w:t>[Regulation 26A inserted: SL 2020/231 r. 9; amended: SL 2024/201 r. 20.]</w:t>
      </w:r>
    </w:p>
    <w:p>
      <w:pPr>
        <w:pStyle w:val="Heading3"/>
      </w:pPr>
      <w:bookmarkStart w:id="74" w:name="_Toc201747890"/>
      <w:bookmarkStart w:id="75" w:name="_Toc201748282"/>
      <w:bookmarkStart w:id="76" w:name="_Toc201827219"/>
      <w:r>
        <w:rPr>
          <w:rStyle w:val="CharDivNo"/>
        </w:rPr>
        <w:t>Division 3</w:t>
      </w:r>
      <w:r>
        <w:t> — </w:t>
      </w:r>
      <w:r>
        <w:rPr>
          <w:rStyle w:val="CharDivText"/>
        </w:rPr>
        <w:t>Miscellaneous</w:t>
      </w:r>
      <w:bookmarkEnd w:id="74"/>
      <w:bookmarkEnd w:id="75"/>
      <w:bookmarkEnd w:id="76"/>
    </w:p>
    <w:p>
      <w:pPr>
        <w:pStyle w:val="Footnoteheading"/>
      </w:pPr>
      <w:r>
        <w:tab/>
        <w:t>[Heading inserted: SL 2024/201 r. 21.]</w:t>
      </w:r>
    </w:p>
    <w:p>
      <w:pPr>
        <w:pStyle w:val="Heading5"/>
      </w:pPr>
      <w:bookmarkStart w:id="77" w:name="_Toc201827220"/>
      <w:r>
        <w:rPr>
          <w:rStyle w:val="CharSectno"/>
        </w:rPr>
        <w:t>26B</w:t>
      </w:r>
      <w:r>
        <w:t>.</w:t>
      </w:r>
      <w:r>
        <w:tab/>
        <w:t>Public transport offences</w:t>
      </w:r>
      <w:bookmarkEnd w:id="77"/>
    </w:p>
    <w:p>
      <w:pPr>
        <w:pStyle w:val="Subsection"/>
      </w:pPr>
      <w:r>
        <w:tab/>
      </w:r>
      <w:r>
        <w:tab/>
        <w:t xml:space="preserve">For the purposes of the definition of </w:t>
      </w:r>
      <w:r>
        <w:rPr>
          <w:b/>
          <w:i/>
        </w:rPr>
        <w:t>public transport offence</w:t>
      </w:r>
      <w:r>
        <w:t xml:space="preserve"> in section 79, the prescribed road law offences are offences under the </w:t>
      </w:r>
      <w:r>
        <w:rPr>
          <w:i/>
          <w:iCs/>
        </w:rPr>
        <w:t>Road Traffic Code 2000</w:t>
      </w:r>
      <w:r>
        <w:t xml:space="preserve"> regulation 133, 133A or 157.</w:t>
      </w:r>
    </w:p>
    <w:p>
      <w:pPr>
        <w:pStyle w:val="Footnotesection"/>
      </w:pPr>
      <w:r>
        <w:tab/>
        <w:t>[Regulation 26B inserted: SL 2024/201 r. 21.]</w:t>
      </w:r>
    </w:p>
    <w:p>
      <w:pPr>
        <w:pStyle w:val="Heading5"/>
      </w:pPr>
      <w:bookmarkStart w:id="78" w:name="_Toc201827221"/>
      <w:r>
        <w:rPr>
          <w:rStyle w:val="CharSectno"/>
        </w:rPr>
        <w:t>26C</w:t>
      </w:r>
      <w:r>
        <w:t>.</w:t>
      </w:r>
      <w:r>
        <w:tab/>
        <w:t>Police officers who are withdrawing officers</w:t>
      </w:r>
      <w:bookmarkEnd w:id="78"/>
    </w:p>
    <w:p>
      <w:pPr>
        <w:pStyle w:val="Subsection"/>
      </w:pPr>
      <w:r>
        <w:tab/>
      </w:r>
      <w:r>
        <w:tab/>
        <w:t xml:space="preserve">For the purposes of paragraph (a) of the definition of </w:t>
      </w:r>
      <w:r>
        <w:rPr>
          <w:b/>
          <w:i/>
        </w:rPr>
        <w:t>withdrawing officer</w:t>
      </w:r>
      <w:r>
        <w:t xml:space="preserve"> in section 79, the police officers are </w:t>
      </w:r>
      <w:r>
        <w:lastRenderedPageBreak/>
        <w:t>officers who are of, or are acting at, the rank of inspector or above.</w:t>
      </w:r>
    </w:p>
    <w:p>
      <w:pPr>
        <w:pStyle w:val="Footnotesection"/>
      </w:pPr>
      <w:r>
        <w:tab/>
        <w:t>[Regulation 26C inserted: SL 2024/201 r. 21.]</w:t>
      </w:r>
    </w:p>
    <w:p>
      <w:pPr>
        <w:pStyle w:val="Heading5"/>
      </w:pPr>
      <w:bookmarkStart w:id="79" w:name="_Toc201827222"/>
      <w:r>
        <w:rPr>
          <w:rStyle w:val="CharSectno"/>
        </w:rPr>
        <w:t>26D</w:t>
      </w:r>
      <w:r>
        <w:t>.</w:t>
      </w:r>
      <w:r>
        <w:tab/>
        <w:t>Payment of infringement notices by instalment</w:t>
      </w:r>
      <w:bookmarkEnd w:id="79"/>
    </w:p>
    <w:p>
      <w:pPr>
        <w:pStyle w:val="Subsection"/>
      </w:pPr>
      <w:r>
        <w:tab/>
        <w:t>(1)</w:t>
      </w:r>
      <w:r>
        <w:tab/>
        <w:t xml:space="preserve">For the purposes of section 95(4)(a), the number of instalments by which a modified penalty can be paid is — </w:t>
      </w:r>
    </w:p>
    <w:p>
      <w:pPr>
        <w:pStyle w:val="Indenta"/>
      </w:pPr>
      <w:r>
        <w:tab/>
        <w:t>(a)</w:t>
      </w:r>
      <w:r>
        <w:tab/>
        <w:t>if the amount of the modified penalty is less than or equal to 8 PU — 4 instalments; or</w:t>
      </w:r>
    </w:p>
    <w:p>
      <w:pPr>
        <w:pStyle w:val="Indenta"/>
      </w:pPr>
      <w:r>
        <w:tab/>
        <w:t>(b)</w:t>
      </w:r>
      <w:r>
        <w:tab/>
        <w:t>if the amount of the modified penalty is greater than 8 PU but less than or equal to 20 PU — 6 instalments; or</w:t>
      </w:r>
    </w:p>
    <w:p>
      <w:pPr>
        <w:pStyle w:val="Indenta"/>
      </w:pPr>
      <w:r>
        <w:tab/>
        <w:t>(c)</w:t>
      </w:r>
      <w:r>
        <w:tab/>
        <w:t>if the amount of the modified penalty is greater than 20 PU — 10 instalments.</w:t>
      </w:r>
    </w:p>
    <w:p>
      <w:pPr>
        <w:pStyle w:val="Subsection"/>
      </w:pPr>
      <w:r>
        <w:tab/>
        <w:t>(2)</w:t>
      </w:r>
      <w:r>
        <w:tab/>
        <w:t>For the purposes of section 95(4)(b), an equal or nearly equal amount is to be paid for each instalment.</w:t>
      </w:r>
    </w:p>
    <w:p>
      <w:pPr>
        <w:pStyle w:val="Subsection"/>
      </w:pPr>
      <w:r>
        <w:tab/>
        <w:t>(3)</w:t>
      </w:r>
      <w:r>
        <w:tab/>
        <w:t>For the purposes of section 95(4)(c), an instalment (other than the first instalment) must be paid no later than 28 days after the day on which the previous instalment was required to be paid.</w:t>
      </w:r>
    </w:p>
    <w:p>
      <w:pPr>
        <w:pStyle w:val="Footnotesection"/>
      </w:pPr>
      <w:r>
        <w:tab/>
        <w:t>[Regulation 26D inserted: SL 2024/201 r. 21.]</w:t>
      </w:r>
    </w:p>
    <w:p>
      <w:pPr>
        <w:pStyle w:val="Ednotesection"/>
      </w:pPr>
      <w:r>
        <w:t>[</w:t>
      </w:r>
      <w:r>
        <w:rPr>
          <w:b/>
        </w:rPr>
        <w:t>27-29.</w:t>
      </w:r>
      <w:r>
        <w:tab/>
        <w:t>Deleted: SL 2024/201 r. 22.]</w:t>
      </w:r>
    </w:p>
    <w:p>
      <w:pPr>
        <w:pStyle w:val="Heading2"/>
      </w:pPr>
      <w:bookmarkStart w:id="80" w:name="_Toc201747894"/>
      <w:bookmarkStart w:id="81" w:name="_Toc201748286"/>
      <w:bookmarkStart w:id="82" w:name="_Toc201827223"/>
      <w:r>
        <w:rPr>
          <w:rStyle w:val="CharPartNo"/>
        </w:rPr>
        <w:lastRenderedPageBreak/>
        <w:t>Part 8</w:t>
      </w:r>
      <w:r>
        <w:rPr>
          <w:rStyle w:val="CharDivNo"/>
        </w:rPr>
        <w:t> </w:t>
      </w:r>
      <w:r>
        <w:t>—</w:t>
      </w:r>
      <w:r>
        <w:rPr>
          <w:rStyle w:val="CharDivText"/>
        </w:rPr>
        <w:t> </w:t>
      </w:r>
      <w:r>
        <w:rPr>
          <w:rStyle w:val="CharPartText"/>
        </w:rPr>
        <w:t>Prosecutions</w:t>
      </w:r>
      <w:bookmarkEnd w:id="80"/>
      <w:bookmarkEnd w:id="81"/>
      <w:bookmarkEnd w:id="82"/>
    </w:p>
    <w:p>
      <w:pPr>
        <w:pStyle w:val="Heading5"/>
      </w:pPr>
      <w:bookmarkStart w:id="83" w:name="_Toc201827224"/>
      <w:r>
        <w:rPr>
          <w:rStyle w:val="CharSectno"/>
        </w:rPr>
        <w:t>30</w:t>
      </w:r>
      <w:r>
        <w:t>.</w:t>
      </w:r>
      <w:r>
        <w:tab/>
        <w:t>Persons to approve prosecution for breach of mass, dimension or loading requirement</w:t>
      </w:r>
      <w:bookmarkEnd w:id="83"/>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the Commissioner of Main Roads.</w:t>
      </w:r>
    </w:p>
    <w:p>
      <w:pPr>
        <w:pStyle w:val="Footnotesection"/>
      </w:pPr>
      <w:r>
        <w:tab/>
        <w:t>[Regulation 30 amended: SL 2025/20 r. 5.]</w:t>
      </w:r>
    </w:p>
    <w:p>
      <w:pPr>
        <w:pStyle w:val="Heading5"/>
      </w:pPr>
      <w:bookmarkStart w:id="84" w:name="_Toc201827225"/>
      <w:r>
        <w:rPr>
          <w:rStyle w:val="CharSectno"/>
        </w:rPr>
        <w:t>31</w:t>
      </w:r>
      <w:r>
        <w:t>.</w:t>
      </w:r>
      <w:r>
        <w:tab/>
        <w:t>Ascertaining mass supported on part of vehicle</w:t>
      </w:r>
      <w:bookmarkEnd w:id="84"/>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pPr>
      <w:r>
        <w:tab/>
        <w:t>(2)</w:t>
      </w:r>
      <w:r>
        <w:tab/>
        <w:t>For section 113(4), the prescribed amount for a vehicle and its load is the measurement adjustment applied in accordance with the Measurement Adjustments document.</w:t>
      </w:r>
    </w:p>
    <w:p>
      <w:pPr>
        <w:pStyle w:val="Heading5"/>
      </w:pPr>
      <w:bookmarkStart w:id="85" w:name="_Toc201827226"/>
      <w:r>
        <w:rPr>
          <w:rStyle w:val="CharSectno"/>
        </w:rPr>
        <w:t>31AA</w:t>
      </w:r>
      <w:r>
        <w:t>.</w:t>
      </w:r>
      <w:r>
        <w:tab/>
        <w:t>Acts and omissions ascertained by visual detection equipment (s. 117(2)(d)(i))</w:t>
      </w:r>
      <w:bookmarkEnd w:id="85"/>
    </w:p>
    <w:p>
      <w:pPr>
        <w:pStyle w:val="Subsection"/>
      </w:pPr>
      <w:r>
        <w:tab/>
        <w:t>(1)</w:t>
      </w:r>
      <w:r>
        <w:tab/>
        <w:t xml:space="preserve">A term used in this regulation has the same meaning as it has in the </w:t>
      </w:r>
      <w:r>
        <w:rPr>
          <w:i/>
          <w:iCs/>
        </w:rPr>
        <w:t>Road Traffic Code 2000</w:t>
      </w:r>
      <w:r>
        <w:t>.</w:t>
      </w:r>
    </w:p>
    <w:p>
      <w:pPr>
        <w:pStyle w:val="Subsection"/>
      </w:pPr>
      <w:r>
        <w:tab/>
        <w:t>(2)</w:t>
      </w:r>
      <w:r>
        <w:tab/>
        <w:t xml:space="preserve">For the purposes of section 117(2)(d)(i) of the Act — </w:t>
      </w:r>
    </w:p>
    <w:p>
      <w:pPr>
        <w:pStyle w:val="Indenta"/>
      </w:pPr>
      <w:r>
        <w:tab/>
        <w:t>(a)</w:t>
      </w:r>
      <w:r>
        <w:tab/>
        <w:t xml:space="preserve">the acts are the following — </w:t>
      </w:r>
    </w:p>
    <w:p>
      <w:pPr>
        <w:pStyle w:val="Indenti"/>
      </w:pPr>
      <w:r>
        <w:tab/>
        <w:t>(i)</w:t>
      </w:r>
      <w:r>
        <w:tab/>
        <w:t>a driver of a vehicle using a mobile phone while the vehicle is moving or is stationary but not parked;</w:t>
      </w:r>
    </w:p>
    <w:p>
      <w:pPr>
        <w:pStyle w:val="Indenti"/>
      </w:pPr>
      <w:r>
        <w:lastRenderedPageBreak/>
        <w:tab/>
        <w:t>(ii)</w:t>
      </w:r>
      <w:r>
        <w:tab/>
        <w:t>a vehicle proceeding beyond a stop line when a traffic</w:t>
      </w:r>
      <w:r>
        <w:noBreakHyphen/>
        <w:t>control signal facing the driver of the vehicle displays a circular red signal;</w:t>
      </w:r>
    </w:p>
    <w:p>
      <w:pPr>
        <w:pStyle w:val="Indenti"/>
      </w:pPr>
      <w:r>
        <w:tab/>
        <w:t>(iii)</w:t>
      </w:r>
      <w:r>
        <w:tab/>
        <w:t>a vehicle proceeding beyond a stop line and turning in the direction indicated by a red arrow signal displayed by a traffic</w:t>
      </w:r>
      <w:r>
        <w:noBreakHyphen/>
        <w:t>control signal facing the driver of the vehicle;</w:t>
      </w:r>
    </w:p>
    <w:p>
      <w:pPr>
        <w:pStyle w:val="Indenti"/>
      </w:pPr>
      <w:r>
        <w:tab/>
        <w:t>(iv)</w:t>
      </w:r>
      <w:r>
        <w:tab/>
        <w:t>driving a vehicle in a red X lane;</w:t>
      </w:r>
    </w:p>
    <w:p>
      <w:pPr>
        <w:pStyle w:val="Indenti"/>
      </w:pPr>
      <w:r>
        <w:tab/>
        <w:t>(v)</w:t>
      </w:r>
      <w:r>
        <w:tab/>
        <w:t>driving a vehicle along or into a bus lane or busway;</w:t>
      </w:r>
    </w:p>
    <w:p>
      <w:pPr>
        <w:pStyle w:val="Indenti"/>
      </w:pPr>
      <w:r>
        <w:tab/>
        <w:t>(vi)</w:t>
      </w:r>
      <w:r>
        <w:tab/>
        <w:t>stopping a vehicle in a bus lane;</w:t>
      </w:r>
    </w:p>
    <w:p>
      <w:pPr>
        <w:pStyle w:val="Indenta"/>
      </w:pPr>
      <w:r>
        <w:tab/>
      </w:r>
      <w:r>
        <w:tab/>
        <w:t>and</w:t>
      </w:r>
    </w:p>
    <w:p>
      <w:pPr>
        <w:pStyle w:val="Indenta"/>
      </w:pPr>
      <w:r>
        <w:tab/>
        <w:t>(b)</w:t>
      </w:r>
      <w:r>
        <w:tab/>
        <w:t>the omission is a driver or passenger of a vehicle failing to wear a seatbelt properly adjusted and securely fastened while the vehicle is moving or is stationary but not parked.</w:t>
      </w:r>
    </w:p>
    <w:p>
      <w:pPr>
        <w:pStyle w:val="Footnotesection"/>
      </w:pPr>
      <w:r>
        <w:tab/>
        <w:t>[Regulation 31AA inserted: SL 2024/201 r. 23.]</w:t>
      </w:r>
    </w:p>
    <w:p>
      <w:pPr>
        <w:pStyle w:val="Heading5"/>
      </w:pPr>
      <w:bookmarkStart w:id="86" w:name="_Toc201827227"/>
      <w:r>
        <w:rPr>
          <w:rStyle w:val="CharSectno"/>
        </w:rPr>
        <w:t>31A</w:t>
      </w:r>
      <w:r>
        <w:t>.</w:t>
      </w:r>
      <w:r>
        <w:tab/>
        <w:t>Prescribed number of days for s. 117A(2)(c) and 117G(2)(b)</w:t>
      </w:r>
      <w:bookmarkEnd w:id="86"/>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87" w:name="_Toc201747899"/>
      <w:bookmarkStart w:id="88" w:name="_Toc201748291"/>
      <w:bookmarkStart w:id="89" w:name="_Toc201827228"/>
      <w:r>
        <w:rPr>
          <w:rStyle w:val="CharPartNo"/>
        </w:rPr>
        <w:lastRenderedPageBreak/>
        <w:t>Part 9</w:t>
      </w:r>
      <w:r>
        <w:rPr>
          <w:rStyle w:val="CharDivNo"/>
        </w:rPr>
        <w:t> </w:t>
      </w:r>
      <w:r>
        <w:t>—</w:t>
      </w:r>
      <w:r>
        <w:rPr>
          <w:rStyle w:val="CharDivText"/>
        </w:rPr>
        <w:t> </w:t>
      </w:r>
      <w:r>
        <w:rPr>
          <w:rStyle w:val="CharPartText"/>
        </w:rPr>
        <w:t>Review of decisions under road laws</w:t>
      </w:r>
      <w:bookmarkEnd w:id="87"/>
      <w:bookmarkEnd w:id="88"/>
      <w:bookmarkEnd w:id="89"/>
    </w:p>
    <w:p>
      <w:pPr>
        <w:pStyle w:val="Heading5"/>
        <w:rPr>
          <w:i/>
        </w:rPr>
      </w:pPr>
      <w:bookmarkStart w:id="90" w:name="_Toc201827229"/>
      <w:r>
        <w:rPr>
          <w:rStyle w:val="CharSectno"/>
        </w:rPr>
        <w:t>32</w:t>
      </w:r>
      <w:r>
        <w:t>.</w:t>
      </w:r>
      <w:r>
        <w:tab/>
        <w:t xml:space="preserve">Review of decisions under </w:t>
      </w:r>
      <w:r>
        <w:rPr>
          <w:i/>
        </w:rPr>
        <w:t>Road Traffic (Authorisation to Drive) Act 2008</w:t>
      </w:r>
      <w:bookmarkEnd w:id="90"/>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91" w:name="_Toc201827230"/>
      <w:r>
        <w:rPr>
          <w:rStyle w:val="CharSectno"/>
        </w:rPr>
        <w:t>33</w:t>
      </w:r>
      <w:r>
        <w:t>.</w:t>
      </w:r>
      <w:r>
        <w:tab/>
        <w:t xml:space="preserve">Review of decisions under </w:t>
      </w:r>
      <w:r>
        <w:rPr>
          <w:i/>
        </w:rPr>
        <w:t>Road Traffic (Vehicles) Act 2012</w:t>
      </w:r>
      <w:bookmarkEnd w:id="91"/>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92" w:name="_Toc201827231"/>
      <w:r>
        <w:rPr>
          <w:rStyle w:val="CharSectno"/>
        </w:rPr>
        <w:lastRenderedPageBreak/>
        <w:t>34</w:t>
      </w:r>
      <w:r>
        <w:t>.</w:t>
      </w:r>
      <w:r>
        <w:tab/>
        <w:t>Right of CEO or Commissioner of Police to be heard</w:t>
      </w:r>
      <w:bookmarkEnd w:id="92"/>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93" w:name="_Toc201827232"/>
      <w:r>
        <w:rPr>
          <w:rStyle w:val="CharSectno"/>
        </w:rPr>
        <w:t>34A</w:t>
      </w:r>
      <w:r>
        <w:t>.</w:t>
      </w:r>
      <w:r>
        <w:tab/>
        <w:t xml:space="preserve">Review of decisions under </w:t>
      </w:r>
      <w:r>
        <w:rPr>
          <w:i/>
        </w:rPr>
        <w:t>Road Traffic Act 1974</w:t>
      </w:r>
      <w:r>
        <w:t xml:space="preserve"> s. 104(3)</w:t>
      </w:r>
      <w:bookmarkEnd w:id="93"/>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94" w:name="_Toc201747904"/>
      <w:bookmarkStart w:id="95" w:name="_Toc201748296"/>
      <w:bookmarkStart w:id="96" w:name="_Toc201827233"/>
      <w:r>
        <w:rPr>
          <w:rStyle w:val="CharPartNo"/>
        </w:rPr>
        <w:lastRenderedPageBreak/>
        <w:t>Part 10</w:t>
      </w:r>
      <w:r>
        <w:rPr>
          <w:rStyle w:val="CharDivNo"/>
        </w:rPr>
        <w:t> </w:t>
      </w:r>
      <w:r>
        <w:t>—</w:t>
      </w:r>
      <w:r>
        <w:rPr>
          <w:rStyle w:val="CharDivText"/>
        </w:rPr>
        <w:t> </w:t>
      </w:r>
      <w:r>
        <w:rPr>
          <w:rStyle w:val="CharPartText"/>
        </w:rPr>
        <w:t>Fees and charges</w:t>
      </w:r>
      <w:bookmarkEnd w:id="94"/>
      <w:bookmarkEnd w:id="95"/>
      <w:bookmarkEnd w:id="96"/>
    </w:p>
    <w:p>
      <w:pPr>
        <w:pStyle w:val="Heading5"/>
      </w:pPr>
      <w:bookmarkStart w:id="97" w:name="_Toc201827234"/>
      <w:r>
        <w:rPr>
          <w:rStyle w:val="CharSectno"/>
        </w:rPr>
        <w:t>35</w:t>
      </w:r>
      <w:r>
        <w:t>.</w:t>
      </w:r>
      <w:r>
        <w:tab/>
        <w:t>Disclosure of information to prescribed persons or for road safety purposes: s. 143(3)(a)</w:t>
      </w:r>
      <w:bookmarkEnd w:id="97"/>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5"/>
        <w:gridCol w:w="1672"/>
      </w:tblGrid>
      <w:tr>
        <w:trPr>
          <w:tblHeader/>
        </w:trPr>
        <w:tc>
          <w:tcPr>
            <w:tcW w:w="4395" w:type="dxa"/>
            <w:noWrap/>
          </w:tcPr>
          <w:p>
            <w:pPr>
              <w:pStyle w:val="TableNAm"/>
            </w:pPr>
            <w:r>
              <w:rPr>
                <w:b/>
                <w:bCs/>
              </w:rPr>
              <w:t>Service</w:t>
            </w:r>
          </w:p>
        </w:tc>
        <w:tc>
          <w:tcPr>
            <w:tcW w:w="1672" w:type="dxa"/>
            <w:noWrap/>
          </w:tcPr>
          <w:p>
            <w:pPr>
              <w:pStyle w:val="TableNAm"/>
            </w:pPr>
            <w:r>
              <w:rPr>
                <w:b/>
                <w:bCs/>
              </w:rPr>
              <w:t>Fee</w:t>
            </w:r>
          </w:p>
          <w:p>
            <w:pPr>
              <w:pStyle w:val="TableNAm"/>
            </w:pPr>
            <w:r>
              <w:t>$</w:t>
            </w:r>
          </w:p>
        </w:tc>
      </w:tr>
      <w:tr>
        <w:tc>
          <w:tcPr>
            <w:tcW w:w="4395" w:type="dxa"/>
            <w:noWrap/>
          </w:tcPr>
          <w:p>
            <w:pPr>
              <w:pStyle w:val="TableNAm"/>
            </w:pPr>
            <w:r>
              <w:t>For searching records manually, per record</w:t>
            </w:r>
          </w:p>
        </w:tc>
        <w:tc>
          <w:tcPr>
            <w:tcW w:w="1672" w:type="dxa"/>
            <w:noWrap/>
            <w:vAlign w:val="bottom"/>
          </w:tcPr>
          <w:p>
            <w:pPr>
              <w:pStyle w:val="TableNAm"/>
            </w:pPr>
            <w:r>
              <w:t>21.15</w:t>
            </w:r>
          </w:p>
        </w:tc>
      </w:tr>
      <w:tr>
        <w:tc>
          <w:tcPr>
            <w:tcW w:w="4395" w:type="dxa"/>
            <w:noWrap/>
          </w:tcPr>
          <w:p>
            <w:pPr>
              <w:pStyle w:val="TableNAm"/>
            </w:pPr>
            <w:r>
              <w:t>For searching records by computer where a list of vehicles to be searched is supplied to the CEO on a data storage device, per record</w:t>
            </w:r>
          </w:p>
        </w:tc>
        <w:tc>
          <w:tcPr>
            <w:tcW w:w="1672" w:type="dxa"/>
            <w:noWrap/>
            <w:vAlign w:val="bottom"/>
          </w:tcPr>
          <w:p>
            <w:pPr>
              <w:pStyle w:val="TableNAm"/>
            </w:pPr>
            <w:r>
              <w:t>5.10</w:t>
            </w:r>
          </w:p>
        </w:tc>
      </w:tr>
      <w:tr>
        <w:tc>
          <w:tcPr>
            <w:tcW w:w="4395" w:type="dxa"/>
            <w:noWrap/>
          </w:tcPr>
          <w:p>
            <w:pPr>
              <w:pStyle w:val="TableNAm"/>
            </w:pPr>
            <w:r>
              <w:t>For production of an extract of a record, per extract</w:t>
            </w:r>
          </w:p>
        </w:tc>
        <w:tc>
          <w:tcPr>
            <w:tcW w:w="1672" w:type="dxa"/>
            <w:noWrap/>
            <w:vAlign w:val="bottom"/>
          </w:tcPr>
          <w:p>
            <w:pPr>
              <w:pStyle w:val="TableNAm"/>
            </w:pPr>
            <w:r>
              <w:t>23.05</w:t>
            </w:r>
          </w:p>
        </w:tc>
      </w:tr>
      <w:tr>
        <w:tc>
          <w:tcPr>
            <w:tcW w:w="4395" w:type="dxa"/>
            <w:noWrap/>
          </w:tcPr>
          <w:p>
            <w:pPr>
              <w:pStyle w:val="TableNAm"/>
            </w:pPr>
            <w:r>
              <w:t>For detailed searching of current and historical information about a record, including production of supporting documentation, per search</w:t>
            </w:r>
          </w:p>
        </w:tc>
        <w:tc>
          <w:tcPr>
            <w:tcW w:w="1672" w:type="dxa"/>
            <w:noWrap/>
            <w:vAlign w:val="bottom"/>
          </w:tcPr>
          <w:p>
            <w:pPr>
              <w:pStyle w:val="TableNAm"/>
            </w:pPr>
            <w:r>
              <w:t>28.95</w:t>
            </w:r>
          </w:p>
        </w:tc>
      </w:tr>
    </w:tbl>
    <w:p>
      <w:pPr>
        <w:pStyle w:val="Subsection"/>
      </w:pPr>
      <w:r>
        <w:tab/>
        <w:t>(3)</w:t>
      </w:r>
      <w:r>
        <w:tab/>
        <w:t>The charges specified in the Table to this subregulation are payable in relation to information disclosed by the CEO under section 15.</w:t>
      </w:r>
    </w:p>
    <w:p>
      <w:pPr>
        <w:pStyle w:val="THeadingNAm"/>
      </w:pPr>
      <w:r>
        <w:lastRenderedPageBreak/>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 SL 2021/92 r. 6; SL 2022/67 r. 6; SL 2023/45 r. 19; SL 2024/58 r. 4; SL 2025/65 r. 4.]</w:t>
      </w:r>
    </w:p>
    <w:p>
      <w:pPr>
        <w:pStyle w:val="Heading2"/>
      </w:pPr>
      <w:bookmarkStart w:id="98" w:name="_Toc201747906"/>
      <w:bookmarkStart w:id="99" w:name="_Toc201748298"/>
      <w:bookmarkStart w:id="100" w:name="_Toc201827235"/>
      <w:r>
        <w:rPr>
          <w:rStyle w:val="CharPartNo"/>
        </w:rPr>
        <w:lastRenderedPageBreak/>
        <w:t>Part 11</w:t>
      </w:r>
      <w:r>
        <w:rPr>
          <w:rStyle w:val="CharDivNo"/>
        </w:rPr>
        <w:t> </w:t>
      </w:r>
      <w:r>
        <w:t>—</w:t>
      </w:r>
      <w:r>
        <w:rPr>
          <w:rStyle w:val="CharDivText"/>
        </w:rPr>
        <w:t> </w:t>
      </w:r>
      <w:r>
        <w:rPr>
          <w:rStyle w:val="CharPartText"/>
        </w:rPr>
        <w:t>Service</w:t>
      </w:r>
      <w:bookmarkEnd w:id="98"/>
      <w:bookmarkEnd w:id="99"/>
      <w:bookmarkEnd w:id="100"/>
    </w:p>
    <w:p>
      <w:pPr>
        <w:pStyle w:val="Footnoteheading"/>
      </w:pPr>
      <w:r>
        <w:tab/>
        <w:t>[Heading inserted: SL 2024/201 r. 24.]</w:t>
      </w:r>
    </w:p>
    <w:p>
      <w:pPr>
        <w:pStyle w:val="Heading5"/>
      </w:pPr>
      <w:bookmarkStart w:id="101" w:name="_Toc201827236"/>
      <w:r>
        <w:rPr>
          <w:rStyle w:val="CharSectno"/>
        </w:rPr>
        <w:t>36</w:t>
      </w:r>
      <w:r>
        <w:t>.</w:t>
      </w:r>
      <w:r>
        <w:tab/>
        <w:t>Service of Part 5 documents (s. 100)</w:t>
      </w:r>
      <w:bookmarkEnd w:id="101"/>
    </w:p>
    <w:p>
      <w:pPr>
        <w:pStyle w:val="Subsection"/>
      </w:pPr>
      <w:r>
        <w:tab/>
        <w:t>(1)</w:t>
      </w:r>
      <w:r>
        <w:tab/>
        <w:t>Consent to being served Part 5 documents by particular electronic means must be obtained in writing.</w:t>
      </w:r>
    </w:p>
    <w:p>
      <w:pPr>
        <w:pStyle w:val="Subsection"/>
      </w:pPr>
      <w:r>
        <w:tab/>
        <w:t>(2)</w:t>
      </w:r>
      <w:r>
        <w:tab/>
        <w:t>If a person consents to being served Part 5 documents by email, a Part 5 document may be served on the person by sending the document to an email address specified by the person as an email address for serving Part 5 documents.</w:t>
      </w:r>
    </w:p>
    <w:p>
      <w:pPr>
        <w:pStyle w:val="Subsection"/>
      </w:pPr>
      <w:r>
        <w:tab/>
        <w:t>(3)</w:t>
      </w:r>
      <w:r>
        <w:tab/>
        <w:t>A Part 5 document served by email is taken to have been served on the day on which the email is sent.</w:t>
      </w:r>
    </w:p>
    <w:p>
      <w:pPr>
        <w:pStyle w:val="Footnotesection"/>
      </w:pPr>
      <w:r>
        <w:tab/>
        <w:t>[Regulation 36 inserted: SL 2024/201 r. 24.]</w:t>
      </w:r>
    </w:p>
    <w:p>
      <w:pPr>
        <w:pStyle w:val="Heading5"/>
      </w:pPr>
      <w:bookmarkStart w:id="102" w:name="_Toc201827237"/>
      <w:r>
        <w:rPr>
          <w:rStyle w:val="CharSectno"/>
        </w:rPr>
        <w:t>37</w:t>
      </w:r>
      <w:r>
        <w:t>.</w:t>
      </w:r>
      <w:r>
        <w:tab/>
        <w:t>Giving other records by electronic means (s. 143(3)(c))</w:t>
      </w:r>
      <w:bookmarkEnd w:id="102"/>
    </w:p>
    <w:p>
      <w:pPr>
        <w:pStyle w:val="Subsection"/>
      </w:pPr>
      <w:r>
        <w:tab/>
        <w:t>(1)</w:t>
      </w:r>
      <w:r>
        <w:tab/>
        <w:t>A record (other than a Part 5 document) may be given to a person by sending the record to an email address specified by the person as an email address for giving records (other than Part 5 documents) under the Act.</w:t>
      </w:r>
    </w:p>
    <w:p>
      <w:pPr>
        <w:pStyle w:val="Subsection"/>
      </w:pPr>
      <w:r>
        <w:tab/>
        <w:t>(2)</w:t>
      </w:r>
      <w:r>
        <w:tab/>
        <w:t>A record (other than a Part 5 document) sent by email is taken to have been given on the day on which the email is sent.</w:t>
      </w:r>
    </w:p>
    <w:p>
      <w:pPr>
        <w:pStyle w:val="Footnotesection"/>
      </w:pPr>
      <w:r>
        <w:tab/>
        <w:t>[Regulation 37 inserted: SL 2024/201 r. 24.]</w:t>
      </w:r>
    </w:p>
    <w:p>
      <w:pPr>
        <w:pStyle w:val="Heading2"/>
      </w:pPr>
      <w:bookmarkStart w:id="103" w:name="_Toc201747909"/>
      <w:bookmarkStart w:id="104" w:name="_Toc201748301"/>
      <w:bookmarkStart w:id="105" w:name="_Toc201827238"/>
      <w:r>
        <w:rPr>
          <w:rStyle w:val="CharPartNo"/>
        </w:rPr>
        <w:lastRenderedPageBreak/>
        <w:t>Part 12</w:t>
      </w:r>
      <w:r>
        <w:rPr>
          <w:rStyle w:val="CharDivNo"/>
        </w:rPr>
        <w:t> </w:t>
      </w:r>
      <w:r>
        <w:t>—</w:t>
      </w:r>
      <w:r>
        <w:rPr>
          <w:rStyle w:val="CharDivText"/>
        </w:rPr>
        <w:t> </w:t>
      </w:r>
      <w:r>
        <w:rPr>
          <w:rStyle w:val="CharPartText"/>
        </w:rPr>
        <w:t xml:space="preserve">Transitional provision for </w:t>
      </w:r>
      <w:r>
        <w:rPr>
          <w:rStyle w:val="CharPartText"/>
          <w:i/>
        </w:rPr>
        <w:t>Road Traffic (Administration) Amendment Regulations 2024</w:t>
      </w:r>
      <w:bookmarkEnd w:id="103"/>
      <w:bookmarkEnd w:id="104"/>
      <w:bookmarkEnd w:id="105"/>
    </w:p>
    <w:p>
      <w:pPr>
        <w:pStyle w:val="Footnoteheading"/>
      </w:pPr>
      <w:r>
        <w:tab/>
        <w:t>[Heading inserted: SL 2024/201 r. 24.]</w:t>
      </w:r>
    </w:p>
    <w:p>
      <w:pPr>
        <w:pStyle w:val="Heading5"/>
      </w:pPr>
      <w:bookmarkStart w:id="106" w:name="_Toc201827239"/>
      <w:r>
        <w:rPr>
          <w:rStyle w:val="CharSectno"/>
        </w:rPr>
        <w:t>38</w:t>
      </w:r>
      <w:r>
        <w:t>.</w:t>
      </w:r>
      <w:r>
        <w:tab/>
        <w:t>Existing wardens</w:t>
      </w:r>
      <w:bookmarkEnd w:id="106"/>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iCs/>
        </w:rPr>
        <w:t>Road Traffic (Administration) Amendment Regulations 2024</w:t>
      </w:r>
      <w:r>
        <w:rPr>
          <w:iCs/>
        </w:rPr>
        <w:t xml:space="preserve"> regulation 3 comes into operation;</w:t>
      </w:r>
    </w:p>
    <w:p>
      <w:pPr>
        <w:pStyle w:val="Defstart"/>
      </w:pPr>
      <w:r>
        <w:tab/>
      </w:r>
      <w:r>
        <w:rPr>
          <w:rStyle w:val="CharDefText"/>
        </w:rPr>
        <w:t>existing warden</w:t>
      </w:r>
      <w:r>
        <w:t xml:space="preserve"> means a person who, immediately before commencement day, is authorised by the CEO under section 22 to perform a function.</w:t>
      </w:r>
    </w:p>
    <w:p>
      <w:pPr>
        <w:pStyle w:val="Subsection"/>
      </w:pPr>
      <w:r>
        <w:tab/>
        <w:t>(2)</w:t>
      </w:r>
      <w:r>
        <w:tab/>
        <w:t>For section 24(1)(a), an existing warden has, in relation to a function the warden is authorised by the CEO under section 22 to perform, the powers conferred on a police officer in relation to the function under the provision to which the function relates.</w:t>
      </w:r>
    </w:p>
    <w:p>
      <w:pPr>
        <w:pStyle w:val="Subsection"/>
      </w:pPr>
      <w:r>
        <w:tab/>
        <w:t>(3)</w:t>
      </w:r>
      <w:r>
        <w:tab/>
        <w:t>For section 24(1)(b), in a provision relating to a function that an existing warden is authorised by the CEO under section 22 to perform a reference to a police officer is to be read as including the warden.</w:t>
      </w:r>
    </w:p>
    <w:p>
      <w:pPr>
        <w:pStyle w:val="Footnotesection"/>
      </w:pPr>
      <w:r>
        <w:tab/>
        <w:t>[Regulation 38 inserted: SL 2024/201 r. 24.]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07" w:name="_Toc201747911"/>
      <w:bookmarkStart w:id="108" w:name="_Toc201748303"/>
      <w:bookmarkStart w:id="109" w:name="_Toc201827240"/>
      <w:r>
        <w:rPr>
          <w:rStyle w:val="CharSchNo"/>
        </w:rPr>
        <w:lastRenderedPageBreak/>
        <w:t>Schedule 1 </w:t>
      </w:r>
      <w:r>
        <w:t>—</w:t>
      </w:r>
      <w:r>
        <w:rPr>
          <w:rStyle w:val="CharSchText"/>
        </w:rPr>
        <w:t> Entry warrant</w:t>
      </w:r>
      <w:bookmarkEnd w:id="107"/>
      <w:bookmarkEnd w:id="108"/>
      <w:bookmarkEnd w:id="109"/>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lastRenderedPageBreak/>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Ednoteschedule"/>
      </w:pPr>
      <w:r>
        <w:t>[Schedule 2 deleted: SL 2024/201 r. 25.]</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11" w:name="_Toc201747912"/>
      <w:bookmarkStart w:id="112" w:name="_Toc201748304"/>
      <w:bookmarkStart w:id="113" w:name="_Toc201827241"/>
      <w:r>
        <w:lastRenderedPageBreak/>
        <w:t>Notes</w:t>
      </w:r>
      <w:bookmarkEnd w:id="111"/>
      <w:bookmarkEnd w:id="112"/>
      <w:bookmarkEnd w:id="113"/>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w:t>
      </w:r>
    </w:p>
    <w:p>
      <w:pPr>
        <w:pStyle w:val="nHeading3"/>
      </w:pPr>
      <w:bookmarkStart w:id="114" w:name="_Toc201827242"/>
      <w:r>
        <w:t>Compilation table</w:t>
      </w:r>
      <w:bookmarkEnd w:id="11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lastRenderedPageBreak/>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Pt. 2 (other than r. 5): 1 Jul 2020 (see r. 2(c) and SL 2020/89 cl. 2);</w:t>
            </w:r>
            <w:r>
              <w:br/>
              <w:t>r. 5: 1 Jul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lastRenderedPageBreak/>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2021</w:t>
            </w:r>
          </w:p>
        </w:tc>
        <w:tc>
          <w:tcPr>
            <w:tcW w:w="1276" w:type="dxa"/>
            <w:tcBorders>
              <w:top w:val="nil"/>
              <w:bottom w:val="nil"/>
            </w:tcBorders>
          </w:tcPr>
          <w:p>
            <w:pPr>
              <w:pStyle w:val="nTable"/>
              <w:spacing w:after="40"/>
            </w:pPr>
            <w:r>
              <w:t>SL 2021/53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2021</w:t>
            </w:r>
          </w:p>
        </w:tc>
        <w:tc>
          <w:tcPr>
            <w:tcW w:w="1276" w:type="dxa"/>
            <w:tcBorders>
              <w:top w:val="nil"/>
              <w:bottom w:val="nil"/>
            </w:tcBorders>
          </w:tcPr>
          <w:p>
            <w:pPr>
              <w:pStyle w:val="nTable"/>
              <w:spacing w:after="40"/>
            </w:pPr>
            <w:r>
              <w:t>SL 2021/55 21 May 2021</w:t>
            </w:r>
          </w:p>
        </w:tc>
        <w:tc>
          <w:tcPr>
            <w:tcW w:w="2693" w:type="dxa"/>
            <w:tcBorders>
              <w:top w:val="nil"/>
              <w:bottom w:val="nil"/>
            </w:tcBorders>
          </w:tcPr>
          <w:p>
            <w:pPr>
              <w:pStyle w:val="nTable"/>
              <w:spacing w:after="40"/>
            </w:pPr>
            <w:r>
              <w:t>r. 1 and 2: 21 May 2021 (see r. 2(a));</w:t>
            </w:r>
            <w:r>
              <w:br/>
              <w:t>Regulations other than r. 1 and 2: 1 Jul 2021 (see r. 2(b) and SL 2021/54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(Digital Identity Exchange) Regulations 2021</w:t>
            </w:r>
            <w:r>
              <w:t xml:space="preserve"> Pt. 2</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2022</w:t>
            </w:r>
            <w:r>
              <w:t xml:space="preserve"> Pt. 3</w:t>
            </w:r>
          </w:p>
        </w:tc>
        <w:tc>
          <w:tcPr>
            <w:tcW w:w="1276" w:type="dxa"/>
            <w:tcBorders>
              <w:top w:val="nil"/>
              <w:bottom w:val="nil"/>
            </w:tcBorders>
          </w:tcPr>
          <w:p>
            <w:pPr>
              <w:pStyle w:val="nTable"/>
              <w:spacing w:after="40"/>
            </w:pPr>
            <w:r>
              <w:t>SL 2022/67 3 Jun 2022</w:t>
            </w:r>
          </w:p>
        </w:tc>
        <w:tc>
          <w:tcPr>
            <w:tcW w:w="2693" w:type="dxa"/>
            <w:tcBorders>
              <w:top w:val="nil"/>
              <w:bottom w:val="nil"/>
            </w:tcBorders>
          </w:tcPr>
          <w:p>
            <w:pPr>
              <w:pStyle w:val="nTable"/>
              <w:spacing w:after="40"/>
            </w:pPr>
            <w:r>
              <w:t>1 Jul 2022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2023</w:t>
            </w:r>
            <w:r>
              <w:t xml:space="preserve"> Pt. 6</w:t>
            </w:r>
          </w:p>
        </w:tc>
        <w:tc>
          <w:tcPr>
            <w:tcW w:w="1276" w:type="dxa"/>
            <w:tcBorders>
              <w:top w:val="nil"/>
              <w:bottom w:val="nil"/>
            </w:tcBorders>
          </w:tcPr>
          <w:p>
            <w:pPr>
              <w:pStyle w:val="nTable"/>
              <w:spacing w:after="40"/>
            </w:pPr>
            <w:r>
              <w:t>SL 2023/45 19 May 2023</w:t>
            </w:r>
          </w:p>
        </w:tc>
        <w:tc>
          <w:tcPr>
            <w:tcW w:w="2693" w:type="dxa"/>
            <w:tcBorders>
              <w:top w:val="nil"/>
              <w:bottom w:val="nil"/>
            </w:tcBorders>
          </w:tcPr>
          <w:p>
            <w:pPr>
              <w:pStyle w:val="nTable"/>
              <w:spacing w:after="40"/>
            </w:pPr>
            <w:r>
              <w:t>1 Jul 2023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(Identity Matching Services) Regulations 2023</w:t>
            </w:r>
            <w:r>
              <w:t xml:space="preserve"> Pt. 2</w:t>
            </w:r>
          </w:p>
        </w:tc>
        <w:tc>
          <w:tcPr>
            <w:tcW w:w="1276" w:type="dxa"/>
            <w:tcBorders>
              <w:top w:val="nil"/>
              <w:bottom w:val="nil"/>
            </w:tcBorders>
          </w:tcPr>
          <w:p>
            <w:pPr>
              <w:pStyle w:val="nTable"/>
              <w:spacing w:after="40"/>
            </w:pPr>
            <w:r>
              <w:t>SL 2023/166 1 Nov 2023</w:t>
            </w:r>
          </w:p>
        </w:tc>
        <w:tc>
          <w:tcPr>
            <w:tcW w:w="2693" w:type="dxa"/>
            <w:tcBorders>
              <w:top w:val="nil"/>
              <w:bottom w:val="nil"/>
            </w:tcBorders>
          </w:tcPr>
          <w:p>
            <w:pPr>
              <w:pStyle w:val="nTable"/>
              <w:spacing w:after="40"/>
            </w:pPr>
            <w:r>
              <w:t>2 Nov 2023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Transport Regulations Amendment (Fees and Charges) Regulations 2024 </w:t>
            </w:r>
            <w:r>
              <w:rPr>
                <w:iCs/>
              </w:rPr>
              <w:t>Pt. 2</w:t>
            </w:r>
          </w:p>
        </w:tc>
        <w:tc>
          <w:tcPr>
            <w:tcW w:w="1276" w:type="dxa"/>
            <w:tcBorders>
              <w:top w:val="nil"/>
              <w:bottom w:val="nil"/>
            </w:tcBorders>
          </w:tcPr>
          <w:p>
            <w:pPr>
              <w:pStyle w:val="nTable"/>
              <w:spacing w:after="40"/>
            </w:pPr>
            <w:r>
              <w:t>SL 2024/58 1 May 2024</w:t>
            </w:r>
          </w:p>
        </w:tc>
        <w:tc>
          <w:tcPr>
            <w:tcW w:w="2693" w:type="dxa"/>
            <w:tcBorders>
              <w:top w:val="nil"/>
              <w:bottom w:val="nil"/>
            </w:tcBorders>
          </w:tcPr>
          <w:p>
            <w:pPr>
              <w:pStyle w:val="nTable"/>
              <w:spacing w:after="40"/>
            </w:pPr>
            <w:r>
              <w:t>1 Jul 2024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lastRenderedPageBreak/>
              <w:t xml:space="preserve">Road Traffic (Administration) Amendment Regulations (No. 2) 2024  </w:t>
            </w:r>
          </w:p>
        </w:tc>
        <w:tc>
          <w:tcPr>
            <w:tcW w:w="1276" w:type="dxa"/>
            <w:tcBorders>
              <w:top w:val="nil"/>
              <w:bottom w:val="nil"/>
            </w:tcBorders>
          </w:tcPr>
          <w:p>
            <w:pPr>
              <w:pStyle w:val="nTable"/>
              <w:spacing w:after="40"/>
            </w:pPr>
            <w:r>
              <w:t>SL 2024/184 4 Sep 2024</w:t>
            </w:r>
          </w:p>
        </w:tc>
        <w:tc>
          <w:tcPr>
            <w:tcW w:w="2693" w:type="dxa"/>
            <w:tcBorders>
              <w:top w:val="nil"/>
              <w:bottom w:val="nil"/>
            </w:tcBorders>
          </w:tcPr>
          <w:p>
            <w:pPr>
              <w:pStyle w:val="nTable"/>
              <w:spacing w:after="40"/>
            </w:pPr>
            <w:r>
              <w:t>r. 1 and 2: 4 Sep 2024 (see r. 2(a));</w:t>
            </w:r>
            <w:r>
              <w:br/>
              <w:t>Regulations other than r. 1 and 2: 5 Sep 2024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2024</w:t>
            </w:r>
          </w:p>
        </w:tc>
        <w:tc>
          <w:tcPr>
            <w:tcW w:w="1276" w:type="dxa"/>
            <w:tcBorders>
              <w:top w:val="nil"/>
              <w:bottom w:val="nil"/>
            </w:tcBorders>
          </w:tcPr>
          <w:p>
            <w:pPr>
              <w:pStyle w:val="nTable"/>
              <w:spacing w:after="40"/>
            </w:pPr>
            <w:r>
              <w:t>SL 2024/201 2 Oct 2024</w:t>
            </w:r>
          </w:p>
        </w:tc>
        <w:tc>
          <w:tcPr>
            <w:tcW w:w="2693" w:type="dxa"/>
            <w:tcBorders>
              <w:top w:val="nil"/>
              <w:bottom w:val="nil"/>
            </w:tcBorders>
          </w:tcPr>
          <w:p>
            <w:pPr>
              <w:pStyle w:val="nTable"/>
              <w:spacing w:after="40"/>
            </w:pPr>
            <w:r>
              <w:t>r. 1 and 2: 2 Oct 2024 (see r. 2(a));</w:t>
            </w:r>
            <w:r>
              <w:br/>
              <w:t>Regulations other than r. 1 and 2: 7 Oct 2024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Cs/>
              </w:rPr>
            </w:pPr>
            <w:r>
              <w:rPr>
                <w:i/>
              </w:rPr>
              <w:t>Transport Regulations Amendment (Road Traffic) Regulations 2024</w:t>
            </w:r>
            <w:r>
              <w:rPr>
                <w:iCs/>
              </w:rPr>
              <w:t xml:space="preserve"> Pt. 2</w:t>
            </w:r>
          </w:p>
        </w:tc>
        <w:tc>
          <w:tcPr>
            <w:tcW w:w="1276" w:type="dxa"/>
            <w:tcBorders>
              <w:top w:val="nil"/>
              <w:bottom w:val="nil"/>
            </w:tcBorders>
          </w:tcPr>
          <w:p>
            <w:pPr>
              <w:pStyle w:val="nTable"/>
              <w:spacing w:after="40"/>
            </w:pPr>
            <w:r>
              <w:t>SL 2024/237 27 Nov 2024</w:t>
            </w:r>
          </w:p>
        </w:tc>
        <w:tc>
          <w:tcPr>
            <w:tcW w:w="2693" w:type="dxa"/>
            <w:tcBorders>
              <w:top w:val="nil"/>
              <w:bottom w:val="nil"/>
            </w:tcBorders>
          </w:tcPr>
          <w:p>
            <w:pPr>
              <w:pStyle w:val="nTable"/>
              <w:spacing w:after="40"/>
            </w:pPr>
            <w:r>
              <w:t>1 Dec 2024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Cs/>
              </w:rPr>
            </w:pPr>
            <w:r>
              <w:rPr>
                <w:i/>
              </w:rPr>
              <w:t>Transport Regulations Amendment (Heavy Vehicle) Regulations 2025</w:t>
            </w:r>
            <w:r>
              <w:rPr>
                <w:iCs/>
              </w:rPr>
              <w:t xml:space="preserve"> Pt. 2</w:t>
            </w:r>
          </w:p>
        </w:tc>
        <w:tc>
          <w:tcPr>
            <w:tcW w:w="1276" w:type="dxa"/>
            <w:tcBorders>
              <w:top w:val="nil"/>
              <w:bottom w:val="nil"/>
            </w:tcBorders>
          </w:tcPr>
          <w:p>
            <w:pPr>
              <w:pStyle w:val="nTable"/>
              <w:spacing w:after="40"/>
            </w:pPr>
            <w:r>
              <w:t>SL 2025/20 22 Jan 2025</w:t>
            </w:r>
          </w:p>
        </w:tc>
        <w:tc>
          <w:tcPr>
            <w:tcW w:w="2693" w:type="dxa"/>
            <w:tcBorders>
              <w:top w:val="nil"/>
              <w:bottom w:val="nil"/>
            </w:tcBorders>
          </w:tcPr>
          <w:p>
            <w:pPr>
              <w:pStyle w:val="nTable"/>
              <w:spacing w:after="40"/>
            </w:pPr>
            <w:r>
              <w:t>23 Jan 2025 (see r. 2(b))</w:t>
            </w:r>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rPr>
                <w:i/>
              </w:rPr>
            </w:pPr>
            <w:r>
              <w:rPr>
                <w:i/>
              </w:rPr>
              <w:t>Transport Regulations Amendment (Fees and Charges) Regulations 2025</w:t>
            </w:r>
            <w:r>
              <w:rPr>
                <w:iCs/>
              </w:rPr>
              <w:t xml:space="preserve"> Pt. 2</w:t>
            </w:r>
          </w:p>
        </w:tc>
        <w:tc>
          <w:tcPr>
            <w:tcW w:w="1276" w:type="dxa"/>
            <w:tcBorders>
              <w:top w:val="nil"/>
              <w:bottom w:val="single" w:sz="4" w:space="0" w:color="auto"/>
            </w:tcBorders>
          </w:tcPr>
          <w:p>
            <w:pPr>
              <w:pStyle w:val="nTable"/>
              <w:spacing w:after="40"/>
            </w:pPr>
            <w:r>
              <w:t>SL 2025/65 30 Apr 2025</w:t>
            </w:r>
          </w:p>
        </w:tc>
        <w:tc>
          <w:tcPr>
            <w:tcW w:w="2693" w:type="dxa"/>
            <w:tcBorders>
              <w:top w:val="nil"/>
              <w:bottom w:val="single" w:sz="4" w:space="0" w:color="auto"/>
            </w:tcBorders>
          </w:tcPr>
          <w:p>
            <w:pPr>
              <w:pStyle w:val="nTable"/>
              <w:spacing w:after="40"/>
            </w:pPr>
            <w:r>
              <w:t>1 Jul 2025 (see r. 2(c))</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16" w:name="_Toc201747915"/>
      <w:bookmarkStart w:id="117" w:name="_Toc201748306"/>
      <w:bookmarkStart w:id="118" w:name="_Toc201827243"/>
      <w:r>
        <w:rPr>
          <w:sz w:val="28"/>
        </w:rPr>
        <w:lastRenderedPageBreak/>
        <w:t>Defined terms</w:t>
      </w:r>
      <w:bookmarkEnd w:id="116"/>
      <w:bookmarkEnd w:id="117"/>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7(2)</w:t>
      </w:r>
    </w:p>
    <w:p>
      <w:pPr>
        <w:pStyle w:val="DefinedTerms"/>
      </w:pPr>
      <w:r>
        <w:t>approved officer</w:t>
      </w:r>
      <w:r>
        <w:tab/>
        <w:t>34(1)</w:t>
      </w:r>
    </w:p>
    <w:p>
      <w:pPr>
        <w:pStyle w:val="DefinedTerms"/>
      </w:pPr>
      <w:r>
        <w:t>APS employee</w:t>
      </w:r>
      <w:r>
        <w:tab/>
        <w:t>7(1)</w:t>
      </w:r>
    </w:p>
    <w:p>
      <w:pPr>
        <w:pStyle w:val="DefinedTerms"/>
      </w:pPr>
      <w:r>
        <w:t>Chief of Defence</w:t>
      </w:r>
      <w:r>
        <w:tab/>
        <w:t>7(2)</w:t>
      </w:r>
    </w:p>
    <w:p>
      <w:pPr>
        <w:pStyle w:val="DefinedTerms"/>
      </w:pPr>
      <w:r>
        <w:t>commencement day</w:t>
      </w:r>
      <w:r>
        <w:tab/>
        <w:t>38(1)</w:t>
      </w:r>
    </w:p>
    <w:p>
      <w:pPr>
        <w:pStyle w:val="DefinedTerms"/>
      </w:pPr>
      <w:r>
        <w:t>corresponding WOVR</w:t>
      </w:r>
      <w:r>
        <w:tab/>
        <w:t>8(1)</w:t>
      </w:r>
    </w:p>
    <w:p>
      <w:pPr>
        <w:pStyle w:val="DefinedTerms"/>
      </w:pPr>
      <w:r>
        <w:t>crossing attendant warden</w:t>
      </w:r>
      <w:r>
        <w:tab/>
        <w:t>16(1)</w:t>
      </w:r>
    </w:p>
    <w:p>
      <w:pPr>
        <w:pStyle w:val="DefinedTerms"/>
      </w:pPr>
      <w:r>
        <w:t>data storage device</w:t>
      </w:r>
      <w:r>
        <w:tab/>
        <w:t>35(1)</w:t>
      </w:r>
    </w:p>
    <w:p>
      <w:pPr>
        <w:pStyle w:val="DefinedTerms"/>
      </w:pPr>
      <w:r>
        <w:t>Department of the Premier and Cabinet</w:t>
      </w:r>
      <w:r>
        <w:tab/>
        <w:t>8A(1)</w:t>
      </w:r>
    </w:p>
    <w:p>
      <w:pPr>
        <w:pStyle w:val="DefinedTerms"/>
      </w:pPr>
      <w:r>
        <w:t>digital identity exchange</w:t>
      </w:r>
      <w:r>
        <w:tab/>
        <w:t>8A(1)</w:t>
      </w:r>
    </w:p>
    <w:p>
      <w:pPr>
        <w:pStyle w:val="DefinedTerms"/>
      </w:pPr>
      <w:r>
        <w:t>electric-powered vehicle</w:t>
      </w:r>
      <w:r>
        <w:tab/>
        <w:t>9A(1)</w:t>
      </w:r>
    </w:p>
    <w:p>
      <w:pPr>
        <w:pStyle w:val="DefinedTerms"/>
      </w:pPr>
      <w:r>
        <w:t>existing warden</w:t>
      </w:r>
      <w:r>
        <w:tab/>
        <w:t>38(1)</w:t>
      </w:r>
    </w:p>
    <w:p>
      <w:pPr>
        <w:pStyle w:val="DefinedTerms"/>
      </w:pPr>
      <w:r>
        <w:t>HVNL</w:t>
      </w:r>
      <w:r>
        <w:tab/>
        <w:t>9(1), 10(1)</w:t>
      </w:r>
    </w:p>
    <w:p>
      <w:pPr>
        <w:pStyle w:val="DefinedTerms"/>
      </w:pPr>
      <w:r>
        <w:t>hydrogen-powered vehicle</w:t>
      </w:r>
      <w:r>
        <w:tab/>
        <w:t>9A(1)</w:t>
      </w:r>
    </w:p>
    <w:p>
      <w:pPr>
        <w:pStyle w:val="DefinedTerms"/>
      </w:pPr>
      <w:r>
        <w:t>identifier</w:t>
      </w:r>
      <w:r>
        <w:tab/>
        <w:t>8(1)</w:t>
      </w:r>
    </w:p>
    <w:p>
      <w:pPr>
        <w:pStyle w:val="DefinedTerms"/>
      </w:pPr>
      <w:r>
        <w:t>improvement notice</w:t>
      </w:r>
      <w:r>
        <w:tab/>
        <w:t>34(1)</w:t>
      </w:r>
    </w:p>
    <w:p>
      <w:pPr>
        <w:pStyle w:val="DefinedTerms"/>
      </w:pPr>
      <w:r>
        <w:t>improvement notice decision</w:t>
      </w:r>
      <w:r>
        <w:tab/>
        <w:t>34(1)</w:t>
      </w:r>
    </w:p>
    <w:p>
      <w:pPr>
        <w:pStyle w:val="DefinedTerms"/>
      </w:pPr>
      <w:r>
        <w:t>LG CEO</w:t>
      </w:r>
      <w:r>
        <w:tab/>
        <w:t>7(2)</w:t>
      </w:r>
    </w:p>
    <w:p>
      <w:pPr>
        <w:pStyle w:val="DefinedTerms"/>
      </w:pPr>
      <w:r>
        <w:t>Measurement Adjustments document</w:t>
      </w:r>
      <w:r>
        <w:tab/>
        <w:t>31(1)</w:t>
      </w:r>
    </w:p>
    <w:p>
      <w:pPr>
        <w:pStyle w:val="DefinedTerms"/>
      </w:pPr>
      <w:r>
        <w:t>novice driver (type 1A)</w:t>
      </w:r>
      <w:r>
        <w:tab/>
        <w:t>23(1)</w:t>
      </w:r>
    </w:p>
    <w:p>
      <w:pPr>
        <w:pStyle w:val="DefinedTerms"/>
      </w:pPr>
      <w:r>
        <w:t>PA CEO</w:t>
      </w:r>
      <w:r>
        <w:tab/>
        <w:t>7(2)</w:t>
      </w:r>
    </w:p>
    <w:p>
      <w:pPr>
        <w:pStyle w:val="DefinedTerms"/>
      </w:pPr>
      <w:r>
        <w:t>parking warden</w:t>
      </w:r>
      <w:r>
        <w:tab/>
        <w:t>3</w:t>
      </w:r>
    </w:p>
    <w:p>
      <w:pPr>
        <w:pStyle w:val="DefinedTerms"/>
      </w:pPr>
      <w:r>
        <w:t>pedalec</w:t>
      </w:r>
      <w:r>
        <w:tab/>
        <w:t>4(1)</w:t>
      </w:r>
    </w:p>
    <w:p>
      <w:pPr>
        <w:pStyle w:val="DefinedTerms"/>
      </w:pPr>
      <w:r>
        <w:t>prescribed road law offence</w:t>
      </w:r>
      <w:r>
        <w:tab/>
        <w:t>3</w:t>
      </w:r>
    </w:p>
    <w:p>
      <w:pPr>
        <w:pStyle w:val="DefinedTerms"/>
      </w:pPr>
      <w:r>
        <w:t>relevant information</w:t>
      </w:r>
      <w:r>
        <w:tab/>
        <w:t>8A(1)</w:t>
      </w:r>
    </w:p>
    <w:p>
      <w:pPr>
        <w:pStyle w:val="DefinedTerms"/>
      </w:pPr>
      <w:r>
        <w:t>relying chief executive officer</w:t>
      </w:r>
      <w:r>
        <w:tab/>
        <w:t>8A(1)</w:t>
      </w:r>
    </w:p>
    <w:p>
      <w:pPr>
        <w:pStyle w:val="DefinedTerms"/>
      </w:pPr>
      <w:r>
        <w:t>reviewable decision</w:t>
      </w:r>
      <w:r>
        <w:tab/>
        <w:t>33(1)</w:t>
      </w:r>
    </w:p>
    <w:p>
      <w:pPr>
        <w:pStyle w:val="DefinedTerms"/>
      </w:pPr>
      <w:r>
        <w:t>section</w:t>
      </w:r>
      <w:r>
        <w:tab/>
        <w:t>3</w:t>
      </w:r>
    </w:p>
    <w:p>
      <w:pPr>
        <w:pStyle w:val="DefinedTerms"/>
      </w:pPr>
      <w:r>
        <w:t>traffic escort warden</w:t>
      </w:r>
      <w:r>
        <w:tab/>
        <w:t>17(1)</w:t>
      </w:r>
    </w:p>
    <w:p>
      <w:pPr>
        <w:pStyle w:val="DefinedTerms"/>
      </w:pPr>
      <w:r>
        <w:t>transport inspection warden</w:t>
      </w:r>
      <w:r>
        <w:tab/>
        <w:t>3</w:t>
      </w:r>
    </w:p>
    <w:p>
      <w:pPr>
        <w:pStyle w:val="DefinedTerms"/>
      </w:pPr>
      <w:r>
        <w:t>transport investigation warden</w:t>
      </w:r>
      <w:r>
        <w:tab/>
        <w:t>3</w:t>
      </w:r>
    </w:p>
    <w:p>
      <w:pPr>
        <w:pStyle w:val="DefinedTerms"/>
      </w:pPr>
      <w:r>
        <w:t>transport warden</w:t>
      </w:r>
      <w:r>
        <w:tab/>
        <w:t>3</w:t>
      </w:r>
    </w:p>
    <w:p>
      <w:pPr>
        <w:pStyle w:val="DefinedTerms"/>
      </w:pPr>
      <w:r>
        <w:t>WOVR</w:t>
      </w:r>
      <w:r>
        <w:tab/>
        <w:t>8(1)</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002D98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16284BB" w14:textId="5D02C427" w:rsidR="00794A3C" w:rsidRDefault="009F2B7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916A8">
                        <w:rPr>
                          <w:sz w:val="16"/>
                        </w:rPr>
                        <w:t>2025</w:t>
                      </w:r>
                      <w:r>
                        <w:rPr>
                          <w:sz w:val="16"/>
                        </w:rPr>
                        <w:fldChar w:fldCharType="end"/>
                      </w:r>
                      <w:r>
                        <w:rPr>
                          <w:sz w:val="16"/>
                        </w:rPr>
                        <w:t>.</w:t>
                      </w:r>
                    </w:p>
                    <w:p w14:paraId="6B8AFA0F" w14:textId="77777777" w:rsidR="00794A3C" w:rsidRDefault="009F2B7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DA802AA" w14:textId="00175FCE" w:rsidR="00794A3C" w:rsidRDefault="009F2B7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916A8">
                        <w:rPr>
                          <w:sz w:val="16"/>
                        </w:rPr>
                        <w:t>2025</w:t>
                      </w:r>
                      <w:r>
                        <w:rPr>
                          <w:sz w:val="16"/>
                        </w:rPr>
                        <w:fldChar w:fldCharType="end"/>
                      </w:r>
                      <w:r>
                        <w:rPr>
                          <w:sz w:val="16"/>
                        </w:rPr>
                        <w:t>.</w:t>
                      </w:r>
                    </w:p>
                    <w:p w14:paraId="417B1F48" w14:textId="77777777" w:rsidR="00794A3C" w:rsidRDefault="009F2B7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00-av0-00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00-av0-00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00-av0-00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00-av0-00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00-av0-00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00-av0-00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10" w:name="Schedule"/>
    <w:bookmarkEnd w:id="1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63692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5124222"/>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 w:name="WAFER_202206241222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08_GUID" w:val="a38b8546-a949-4430-9bb4-6f0616a713b7"/>
    <w:docVar w:name="WAFER_20230516143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20_GUID" w:val="dde695da-e333-4939-b71a-ad8dddbb2c97"/>
    <w:docVar w:name="WAFER_202306291121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128_GUID" w:val="8dcf7f4c-a38f-43cb-9330-b55a1e7ca310"/>
    <w:docVar w:name="WAFER_20231027144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4204_GUID" w:val="1b3f0b4e-fe27-4195-bfa8-a1dbd01c18a4"/>
    <w:docVar w:name="WAFER_2023122814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36_GUID" w:val="9eb76af5-ed6b-41ae-bff3-7f7f7d31902b"/>
    <w:docVar w:name="WAFER_20240429093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3322_GUID" w:val="68d52efa-51b7-40f7-a13e-9688dd4c01d4"/>
    <w:docVar w:name="WAFER_2024062514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1007_GUID" w:val="293be4ae-66c8-4952-9058-055e8ec886ce"/>
    <w:docVar w:name="WAFER_2024082915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154342_GUID" w:val="cc403ce7-3af6-4eea-871e-93d3bce4d097"/>
    <w:docVar w:name="WAFER_20240927112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12006_GUID" w:val="cdeabe1a-ad7a-4050-ae38-d588075b53f0"/>
    <w:docVar w:name="WAFER_202411220911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091110_GUID" w:val="7eafab32-25e9-4f75-98e2-1480963cb410"/>
    <w:docVar w:name="WAFER_20250117111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17111515_GUID" w:val="486ff2c1-89c0-4ce5-8802-0260ef3a2247"/>
    <w:docVar w:name="WAFER_202501171115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111540_GUID" w:val="74a24922-9885-4d68-837e-9ce52eedd05c"/>
    <w:docVar w:name="WAFER_202504241557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55715_GUID" w:val="4b623c4f-c36f-4084-bd67-912fc054bb42"/>
    <w:docVar w:name="WAFER_20250625124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4222_GUID" w:val="36dbe4d5-49bf-4d90-b3fa-64a8bd9127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6929"/>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TableNAmLeft0cm">
    <w:name w:val="TableNAm + Left:  0 cm"/>
    <w:aliases w:val="Hanging:  0.82 cm,Before:  0 pt"/>
    <w:basedOn w:val="TableNAm"/>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25F24D-5822-42D0-A0BA-2B21A9CFE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11987</Words>
  <Characters>59820</Characters>
  <Application>Microsoft Office Word</Application>
  <DocSecurity>0</DocSecurity>
  <Lines>2600</Lines>
  <Paragraphs>1354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2014 - 00-av0-00</dc:title>
  <dc:subject/>
  <dc:creator/>
  <cp:keywords/>
  <dc:description/>
  <cp:lastModifiedBy>Master Repository Process</cp:lastModifiedBy>
  <cp:revision>4</cp:revision>
  <cp:lastPrinted>2014-11-27T00:08:00Z</cp:lastPrinted>
  <dcterms:created xsi:type="dcterms:W3CDTF">2025-06-27T05:20:00Z</dcterms:created>
  <dcterms:modified xsi:type="dcterms:W3CDTF">2025-06-27T05:21:00Z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AsAtDate">
    <vt:lpwstr>01 Jul 2025</vt:lpwstr>
  </property>
  <property fmtid="{D5CDD505-2E9C-101B-9397-08002B2CF9AE}" pid="5" name="Suffix">
    <vt:lpwstr>00-av0-00</vt:lpwstr>
  </property>
  <property fmtid="{D5CDD505-2E9C-101B-9397-08002B2CF9AE}" pid="6" name="Official">
    <vt:lpwstr/>
  </property>
  <property fmtid="{D5CDD505-2E9C-101B-9397-08002B2CF9AE}" pid="7" name="CommencementDate">
    <vt:lpwstr>20250701</vt:lpwstr>
  </property>
  <property fmtid="{D5CDD505-2E9C-101B-9397-08002B2CF9AE}" pid="8" name="CommencementAsAt">
    <vt:filetime>2025-06-30T16:00:00Z</vt:filetime>
  </property>
  <property fmtid="{D5CDD505-2E9C-101B-9397-08002B2CF9AE}" pid="9" name="CommencementYear">
    <vt:lpwstr>2025</vt:lpwstr>
  </property>
</Properties>
</file>