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Rottnest Island Authority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Rottnest Island Regulations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_Toc201565987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_Toc201565988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_Toc201565989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Permission, meaning, granting etc. of</w:t>
      </w:r>
      <w:r>
        <w:tab/>
      </w:r>
      <w:r>
        <w:fldChar w:fldCharType="begin"/>
      </w:r>
      <w:r>
        <w:instrText xml:space="preserve"> PAGEREF _Toc201565990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Fees</w:t>
      </w:r>
    </w:p>
    <w:p>
      <w:pPr>
        <w:pStyle w:val="TOC8"/>
        <w:rPr>
          <w:rFonts w:asciiTheme="minorHAnsi" w:eastAsiaTheme="minorEastAsia" w:hAnsiTheme="minorHAnsi" w:cstheme="minorBidi"/>
          <w:szCs w:val="22"/>
        </w:rPr>
      </w:pPr>
      <w:r>
        <w:t>5</w:t>
      </w:r>
      <w:r>
        <w:rPr>
          <w:snapToGrid w:val="0"/>
        </w:rPr>
        <w:t>.</w:t>
      </w:r>
      <w:r>
        <w:rPr>
          <w:snapToGrid w:val="0"/>
        </w:rPr>
        <w:tab/>
        <w:t>Admission fees</w:t>
      </w:r>
      <w:r>
        <w:tab/>
      </w:r>
      <w:r>
        <w:fldChar w:fldCharType="begin"/>
      </w:r>
      <w:r>
        <w:instrText xml:space="preserve"> PAGEREF _Toc201565992 \h </w:instrText>
      </w:r>
      <w:r>
        <w:fldChar w:fldCharType="separate"/>
      </w:r>
      <w:r>
        <w:t>6</w:t>
      </w:r>
      <w:r>
        <w:fldChar w:fldCharType="end"/>
      </w:r>
    </w:p>
    <w:p>
      <w:pPr>
        <w:pStyle w:val="TOC8"/>
        <w:rPr>
          <w:rFonts w:asciiTheme="minorHAnsi" w:eastAsiaTheme="minorEastAsia" w:hAnsiTheme="minorHAnsi" w:cstheme="minorBidi"/>
          <w:szCs w:val="22"/>
        </w:rPr>
      </w:pPr>
      <w:r>
        <w:t>6.</w:t>
      </w:r>
      <w:r>
        <w:tab/>
        <w:t>Collection and payment of admission fees by ferry operators</w:t>
      </w:r>
      <w:r>
        <w:tab/>
      </w:r>
      <w:r>
        <w:fldChar w:fldCharType="begin"/>
      </w:r>
      <w:r>
        <w:instrText xml:space="preserve"> PAGEREF _Toc201565993 \h </w:instrText>
      </w:r>
      <w:r>
        <w:fldChar w:fldCharType="separate"/>
      </w:r>
      <w:r>
        <w:t>7</w:t>
      </w:r>
      <w:r>
        <w:fldChar w:fldCharType="end"/>
      </w:r>
    </w:p>
    <w:p>
      <w:pPr>
        <w:pStyle w:val="TOC8"/>
        <w:rPr>
          <w:rFonts w:asciiTheme="minorHAnsi" w:eastAsiaTheme="minorEastAsia" w:hAnsiTheme="minorHAnsi" w:cstheme="minorBidi"/>
          <w:szCs w:val="22"/>
        </w:rPr>
      </w:pPr>
      <w:r>
        <w:t>6A.</w:t>
      </w:r>
      <w:r>
        <w:tab/>
        <w:t>Audit of accounts etc. of certain transport operators as to admission fees</w:t>
      </w:r>
      <w:r>
        <w:tab/>
      </w:r>
      <w:r>
        <w:fldChar w:fldCharType="begin"/>
      </w:r>
      <w:r>
        <w:instrText xml:space="preserve"> PAGEREF _Toc201565994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Annual fee for non</w:t>
      </w:r>
      <w:r>
        <w:rPr>
          <w:snapToGrid w:val="0"/>
        </w:rPr>
        <w:noBreakHyphen/>
        <w:t>commercial vessels etc. in lieu of admission fees</w:t>
      </w:r>
      <w:r>
        <w:tab/>
      </w:r>
      <w:r>
        <w:fldChar w:fldCharType="begin"/>
      </w:r>
      <w:r>
        <w:instrText xml:space="preserve"> PAGEREF _Toc201565995 \h </w:instrText>
      </w:r>
      <w:r>
        <w:fldChar w:fldCharType="separate"/>
      </w:r>
      <w:r>
        <w:t>8</w:t>
      </w:r>
      <w:r>
        <w:fldChar w:fldCharType="end"/>
      </w:r>
    </w:p>
    <w:p>
      <w:pPr>
        <w:pStyle w:val="TOC8"/>
        <w:rPr>
          <w:rFonts w:asciiTheme="minorHAnsi" w:eastAsiaTheme="minorEastAsia" w:hAnsiTheme="minorHAnsi" w:cstheme="minorBidi"/>
          <w:szCs w:val="22"/>
        </w:rPr>
      </w:pPr>
      <w:r>
        <w:t>7A.</w:t>
      </w:r>
      <w:r>
        <w:tab/>
        <w:t>Payment of admission fees by domestic commercial vessel operators</w:t>
      </w:r>
      <w:r>
        <w:tab/>
      </w:r>
      <w:r>
        <w:fldChar w:fldCharType="begin"/>
      </w:r>
      <w:r>
        <w:instrText xml:space="preserve"> PAGEREF _Toc201565996 \h </w:instrText>
      </w:r>
      <w:r>
        <w:fldChar w:fldCharType="separate"/>
      </w:r>
      <w:r>
        <w:t>9</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Aerodrome usage fees</w:t>
      </w:r>
      <w:r>
        <w:tab/>
      </w:r>
      <w:r>
        <w:fldChar w:fldCharType="begin"/>
      </w:r>
      <w:r>
        <w:instrText xml:space="preserve"> PAGEREF _Toc201565997 \h </w:instrText>
      </w:r>
      <w:r>
        <w:fldChar w:fldCharType="separate"/>
      </w:r>
      <w:r>
        <w:t>10</w:t>
      </w:r>
      <w:r>
        <w:fldChar w:fldCharType="end"/>
      </w:r>
    </w:p>
    <w:p>
      <w:pPr>
        <w:pStyle w:val="TOC8"/>
        <w:rPr>
          <w:rFonts w:asciiTheme="minorHAnsi" w:eastAsiaTheme="minorEastAsia" w:hAnsiTheme="minorHAnsi" w:cstheme="minorBidi"/>
          <w:szCs w:val="22"/>
        </w:rPr>
      </w:pPr>
      <w:r>
        <w:t>7C.</w:t>
      </w:r>
      <w:r>
        <w:tab/>
        <w:t>Annual fees for certain aircraft in lieu of admission fees and aerodrome usage fees</w:t>
      </w:r>
      <w:r>
        <w:tab/>
      </w:r>
      <w:r>
        <w:fldChar w:fldCharType="begin"/>
      </w:r>
      <w:r>
        <w:instrText xml:space="preserve"> PAGEREF _Toc201565998 \h </w:instrText>
      </w:r>
      <w:r>
        <w:fldChar w:fldCharType="separate"/>
      </w:r>
      <w:r>
        <w:t>11</w:t>
      </w:r>
      <w:r>
        <w:fldChar w:fldCharType="end"/>
      </w:r>
    </w:p>
    <w:p>
      <w:pPr>
        <w:pStyle w:val="TOC8"/>
        <w:rPr>
          <w:rFonts w:asciiTheme="minorHAnsi" w:eastAsiaTheme="minorEastAsia" w:hAnsiTheme="minorHAnsi" w:cstheme="minorBidi"/>
          <w:szCs w:val="22"/>
        </w:rPr>
      </w:pPr>
      <w:r>
        <w:t>7D</w:t>
      </w:r>
      <w:r>
        <w:rPr>
          <w:snapToGrid w:val="0"/>
        </w:rPr>
        <w:t>.</w:t>
      </w:r>
      <w:r>
        <w:rPr>
          <w:snapToGrid w:val="0"/>
        </w:rPr>
        <w:tab/>
        <w:t>Exceptions to r. 7B and 7C</w:t>
      </w:r>
      <w:r>
        <w:tab/>
      </w:r>
      <w:r>
        <w:fldChar w:fldCharType="begin"/>
      </w:r>
      <w:r>
        <w:instrText xml:space="preserve"> PAGEREF _Toc201565999 \h </w:instrText>
      </w:r>
      <w:r>
        <w:fldChar w:fldCharType="separate"/>
      </w:r>
      <w:r>
        <w:t>11</w:t>
      </w:r>
      <w:r>
        <w:fldChar w:fldCharType="end"/>
      </w:r>
    </w:p>
    <w:p>
      <w:pPr>
        <w:pStyle w:val="TOC8"/>
        <w:rPr>
          <w:rFonts w:asciiTheme="minorHAnsi" w:eastAsiaTheme="minorEastAsia" w:hAnsiTheme="minorHAnsi" w:cstheme="minorBidi"/>
          <w:szCs w:val="22"/>
        </w:rPr>
      </w:pPr>
      <w:r>
        <w:t>7E.</w:t>
      </w:r>
      <w:r>
        <w:tab/>
        <w:t>Recovery of fees</w:t>
      </w:r>
      <w:r>
        <w:tab/>
      </w:r>
      <w:r>
        <w:fldChar w:fldCharType="begin"/>
      </w:r>
      <w:r>
        <w:instrText xml:space="preserve"> PAGEREF _Toc201566000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Residence on Island</w:t>
      </w:r>
    </w:p>
    <w:p>
      <w:pPr>
        <w:pStyle w:val="TOC8"/>
        <w:rPr>
          <w:rFonts w:asciiTheme="minorHAnsi" w:eastAsiaTheme="minorEastAsia" w:hAnsiTheme="minorHAnsi" w:cstheme="minorBidi"/>
          <w:szCs w:val="22"/>
        </w:rPr>
      </w:pPr>
      <w:r>
        <w:t>8</w:t>
      </w:r>
      <w:r>
        <w:rPr>
          <w:snapToGrid w:val="0"/>
        </w:rPr>
        <w:t>.</w:t>
      </w:r>
      <w:r>
        <w:rPr>
          <w:snapToGrid w:val="0"/>
        </w:rPr>
        <w:tab/>
        <w:t>Licence to occupy accommodation</w:t>
      </w:r>
      <w:r>
        <w:tab/>
      </w:r>
      <w:r>
        <w:fldChar w:fldCharType="begin"/>
      </w:r>
      <w:r>
        <w:instrText xml:space="preserve"> PAGEREF _Toc201566002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Casual residence on Island</w:t>
      </w:r>
      <w:r>
        <w:tab/>
      </w:r>
      <w:r>
        <w:fldChar w:fldCharType="begin"/>
      </w:r>
      <w:r>
        <w:instrText xml:space="preserve"> PAGEREF _Toc201566003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on r. 8 licences</w:t>
      </w:r>
      <w:r>
        <w:tab/>
      </w:r>
      <w:r>
        <w:fldChar w:fldCharType="begin"/>
      </w:r>
      <w:r>
        <w:instrText xml:space="preserve"> PAGEREF _Toc201566004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Moorings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control provisions</w:t>
      </w:r>
    </w:p>
    <w:p>
      <w:pPr>
        <w:pStyle w:val="TOC8"/>
        <w:rPr>
          <w:rFonts w:asciiTheme="minorHAnsi" w:eastAsiaTheme="minorEastAsia" w:hAnsiTheme="minorHAnsi" w:cstheme="minorBidi"/>
          <w:szCs w:val="22"/>
        </w:rPr>
      </w:pPr>
      <w:r>
        <w:t>11</w:t>
      </w:r>
      <w:r>
        <w:rPr>
          <w:snapToGrid w:val="0"/>
        </w:rPr>
        <w:t>.</w:t>
      </w:r>
      <w:r>
        <w:rPr>
          <w:snapToGrid w:val="0"/>
        </w:rPr>
        <w:tab/>
        <w:t>Installing and using moorings</w:t>
      </w:r>
      <w:r>
        <w:tab/>
      </w:r>
      <w:r>
        <w:fldChar w:fldCharType="begin"/>
      </w:r>
      <w:r>
        <w:instrText xml:space="preserve"> PAGEREF _Toc201566007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Anchoring vessels</w:t>
      </w:r>
      <w:r>
        <w:tab/>
      </w:r>
      <w:r>
        <w:fldChar w:fldCharType="begin"/>
      </w:r>
      <w:r>
        <w:instrText xml:space="preserve"> PAGEREF _Toc201566008 \h </w:instrText>
      </w:r>
      <w:r>
        <w:fldChar w:fldCharType="separate"/>
      </w:r>
      <w:r>
        <w:t>17</w:t>
      </w:r>
      <w:r>
        <w:fldChar w:fldCharType="end"/>
      </w:r>
    </w:p>
    <w:p>
      <w:pPr>
        <w:pStyle w:val="TOC8"/>
        <w:rPr>
          <w:rFonts w:asciiTheme="minorHAnsi" w:eastAsiaTheme="minorEastAsia" w:hAnsiTheme="minorHAnsi" w:cstheme="minorBidi"/>
          <w:szCs w:val="22"/>
        </w:rPr>
      </w:pPr>
      <w:r>
        <w:t>13A.</w:t>
      </w:r>
      <w:r>
        <w:tab/>
        <w:t>Securing vessel by means of another vessel’s anchor</w:t>
      </w:r>
      <w:r>
        <w:tab/>
      </w:r>
      <w:r>
        <w:fldChar w:fldCharType="begin"/>
      </w:r>
      <w:r>
        <w:instrText xml:space="preserve"> PAGEREF _Toc201566009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Anchored and moored vessels to have competent operators</w:t>
      </w:r>
      <w:r>
        <w:tab/>
      </w:r>
      <w:r>
        <w:fldChar w:fldCharType="begin"/>
      </w:r>
      <w:r>
        <w:instrText xml:space="preserve"> PAGEREF _Toc201566010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r. 11, 12 and 13 to person on vessel</w:t>
      </w:r>
      <w:r>
        <w:tab/>
      </w:r>
      <w:r>
        <w:fldChar w:fldCharType="begin"/>
      </w:r>
      <w:r>
        <w:instrText xml:space="preserve"> PAGEREF _Toc201566011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Rental moorings</w:t>
      </w:r>
    </w:p>
    <w:p>
      <w:pPr>
        <w:pStyle w:val="TOC8"/>
        <w:rPr>
          <w:rFonts w:asciiTheme="minorHAnsi" w:eastAsiaTheme="minorEastAsia" w:hAnsiTheme="minorHAnsi" w:cstheme="minorBidi"/>
          <w:szCs w:val="22"/>
        </w:rPr>
      </w:pPr>
      <w:r>
        <w:t>15</w:t>
      </w:r>
      <w:r>
        <w:rPr>
          <w:snapToGrid w:val="0"/>
        </w:rPr>
        <w:t>.</w:t>
      </w:r>
      <w:r>
        <w:rPr>
          <w:snapToGrid w:val="0"/>
        </w:rPr>
        <w:tab/>
        <w:t>Licence to occupy rental mooring</w:t>
      </w:r>
      <w:r>
        <w:tab/>
      </w:r>
      <w:r>
        <w:fldChar w:fldCharType="begin"/>
      </w:r>
      <w:r>
        <w:instrText xml:space="preserve"> PAGEREF _Toc201566013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Rent for r. 15 licence</w:t>
      </w:r>
      <w:r>
        <w:tab/>
      </w:r>
      <w:r>
        <w:fldChar w:fldCharType="begin"/>
      </w:r>
      <w:r>
        <w:instrText xml:space="preserve"> PAGEREF _Toc201566014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Cancellation of r. 15 licence</w:t>
      </w:r>
      <w:r>
        <w:tab/>
      </w:r>
      <w:r>
        <w:fldChar w:fldCharType="begin"/>
      </w:r>
      <w:r>
        <w:instrText xml:space="preserve"> PAGEREF _Toc201566015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Damage to rental mooring</w:t>
      </w:r>
      <w:r>
        <w:tab/>
      </w:r>
      <w:r>
        <w:fldChar w:fldCharType="begin"/>
      </w:r>
      <w:r>
        <w:instrText xml:space="preserve"> PAGEREF _Toc201566016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site licences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_Toc201566018 \h </w:instrText>
      </w:r>
      <w:r>
        <w:fldChar w:fldCharType="separate"/>
      </w:r>
      <w:r>
        <w:t>21</w:t>
      </w:r>
      <w:r>
        <w:fldChar w:fldCharType="end"/>
      </w:r>
    </w:p>
    <w:p>
      <w:pPr>
        <w:pStyle w:val="TOC8"/>
        <w:rPr>
          <w:rFonts w:asciiTheme="minorHAnsi" w:eastAsiaTheme="minorEastAsia" w:hAnsiTheme="minorHAnsi" w:cstheme="minorBidi"/>
          <w:szCs w:val="22"/>
        </w:rPr>
      </w:pPr>
      <w:r>
        <w:t>19A.</w:t>
      </w:r>
      <w:r>
        <w:tab/>
        <w:t>Authorisation to be secured to mooring</w:t>
      </w:r>
      <w:r>
        <w:tab/>
      </w:r>
      <w:r>
        <w:fldChar w:fldCharType="begin"/>
      </w:r>
      <w:r>
        <w:instrText xml:space="preserve"> PAGEREF _Toc201566019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and grant of licences</w:t>
      </w:r>
      <w:r>
        <w:tab/>
      </w:r>
      <w:r>
        <w:fldChar w:fldCharType="begin"/>
      </w:r>
      <w:r>
        <w:instrText xml:space="preserve"> PAGEREF _Toc201566020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Waiting lists of applicants</w:t>
      </w:r>
      <w:r>
        <w:tab/>
      </w:r>
      <w:r>
        <w:fldChar w:fldCharType="begin"/>
      </w:r>
      <w:r>
        <w:instrText xml:space="preserve"> PAGEREF _Toc201566021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Offer and acceptance of licences</w:t>
      </w:r>
      <w:r>
        <w:tab/>
      </w:r>
      <w:r>
        <w:fldChar w:fldCharType="begin"/>
      </w:r>
      <w:r>
        <w:instrText xml:space="preserve"> PAGEREF _Toc201566022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Authority not obliged to offer licence</w:t>
      </w:r>
      <w:r>
        <w:tab/>
      </w:r>
      <w:r>
        <w:fldChar w:fldCharType="begin"/>
      </w:r>
      <w:r>
        <w:instrText xml:space="preserve"> PAGEREF _Toc201566023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Licences, issue and content of</w:t>
      </w:r>
      <w:r>
        <w:tab/>
      </w:r>
      <w:r>
        <w:fldChar w:fldCharType="begin"/>
      </w:r>
      <w:r>
        <w:instrText xml:space="preserve"> PAGEREF _Toc201566024 \h </w:instrText>
      </w:r>
      <w:r>
        <w:fldChar w:fldCharType="separate"/>
      </w:r>
      <w:r>
        <w:t>28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 of licences</w:t>
      </w:r>
      <w:r>
        <w:tab/>
      </w:r>
      <w:r>
        <w:fldChar w:fldCharType="begin"/>
      </w:r>
      <w:r>
        <w:instrText xml:space="preserve"> PAGEREF _Toc201566025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Licensed vessels for mooring site moorings; substituting vessels</w:t>
      </w:r>
      <w:r>
        <w:tab/>
      </w:r>
      <w:r>
        <w:fldChar w:fldCharType="begin"/>
      </w:r>
      <w:r>
        <w:instrText xml:space="preserve"> PAGEREF _Toc201566026 \h </w:instrText>
      </w:r>
      <w:r>
        <w:fldChar w:fldCharType="separate"/>
      </w:r>
      <w:r>
        <w:t>30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Additional vessels for mooring site moorings, registration of etc.</w:t>
      </w:r>
      <w:r>
        <w:tab/>
      </w:r>
      <w:r>
        <w:fldChar w:fldCharType="begin"/>
      </w:r>
      <w:r>
        <w:instrText xml:space="preserve"> PAGEREF _Toc201566027 \h </w:instrText>
      </w:r>
      <w:r>
        <w:fldChar w:fldCharType="separate"/>
      </w:r>
      <w:r>
        <w:t>33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Mooring specifications, compliance requirements as to</w:t>
      </w:r>
      <w:r>
        <w:tab/>
      </w:r>
      <w:r>
        <w:fldChar w:fldCharType="begin"/>
      </w:r>
      <w:r>
        <w:instrText xml:space="preserve"> PAGEREF _Toc201566028 \h </w:instrText>
      </w:r>
      <w:r>
        <w:fldChar w:fldCharType="separate"/>
      </w:r>
      <w:r>
        <w:t>34</w:t>
      </w:r>
      <w:r>
        <w:fldChar w:fldCharType="end"/>
      </w:r>
    </w:p>
    <w:p>
      <w:pPr>
        <w:pStyle w:val="TOC8"/>
        <w:rPr>
          <w:rFonts w:asciiTheme="minorHAnsi" w:eastAsiaTheme="minorEastAsia" w:hAnsiTheme="minorHAnsi" w:cstheme="minorBidi"/>
          <w:szCs w:val="22"/>
        </w:rPr>
      </w:pPr>
      <w:r>
        <w:t>28A.</w:t>
      </w:r>
      <w:r>
        <w:tab/>
        <w:t>Authority may reject mooring inspection report</w:t>
      </w:r>
      <w:r>
        <w:tab/>
      </w:r>
      <w:r>
        <w:fldChar w:fldCharType="begin"/>
      </w:r>
      <w:r>
        <w:instrText xml:space="preserve"> PAGEREF _Toc201566029 \h </w:instrText>
      </w:r>
      <w:r>
        <w:fldChar w:fldCharType="separate"/>
      </w:r>
      <w:r>
        <w:t>35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Unattended vessels on mooring site mooring</w:t>
      </w:r>
      <w:r>
        <w:tab/>
      </w:r>
      <w:r>
        <w:fldChar w:fldCharType="begin"/>
      </w:r>
      <w:r>
        <w:instrText xml:space="preserve"> PAGEREF _Toc201566030 \h </w:instrText>
      </w:r>
      <w:r>
        <w:fldChar w:fldCharType="separate"/>
      </w:r>
      <w:r>
        <w:t>35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Licences, nature of, duties of holder on cessation of; exchange of sites</w:t>
      </w:r>
      <w:r>
        <w:tab/>
      </w:r>
      <w:r>
        <w:fldChar w:fldCharType="begin"/>
      </w:r>
      <w:r>
        <w:instrText xml:space="preserve"> PAGEREF _Toc201566031 \h </w:instrText>
      </w:r>
      <w:r>
        <w:fldChar w:fldCharType="separate"/>
      </w:r>
      <w:r>
        <w:t>36</w:t>
      </w:r>
      <w:r>
        <w:fldChar w:fldCharType="end"/>
      </w:r>
    </w:p>
    <w:p>
      <w:pPr>
        <w:pStyle w:val="TOC8"/>
        <w:rPr>
          <w:rFonts w:asciiTheme="minorHAnsi" w:eastAsiaTheme="minorEastAsia" w:hAnsiTheme="minorHAnsi" w:cstheme="minorBidi"/>
          <w:szCs w:val="22"/>
        </w:rPr>
      </w:pPr>
      <w:r>
        <w:t>31A.</w:t>
      </w:r>
      <w:r>
        <w:tab/>
        <w:t>Authorised user may use mooring site with licensee’s consent</w:t>
      </w:r>
      <w:r>
        <w:tab/>
      </w:r>
      <w:r>
        <w:fldChar w:fldCharType="begin"/>
      </w:r>
      <w:r>
        <w:instrText xml:space="preserve"> PAGEREF _Toc201566032 \h </w:instrText>
      </w:r>
      <w:r>
        <w:fldChar w:fldCharType="separate"/>
      </w:r>
      <w:r>
        <w:t>38</w:t>
      </w:r>
      <w:r>
        <w:fldChar w:fldCharType="end"/>
      </w:r>
    </w:p>
    <w:p>
      <w:pPr>
        <w:pStyle w:val="TOC8"/>
        <w:rPr>
          <w:rFonts w:asciiTheme="minorHAnsi" w:eastAsiaTheme="minorEastAsia" w:hAnsiTheme="minorHAnsi" w:cstheme="minorBidi"/>
          <w:szCs w:val="22"/>
        </w:rPr>
      </w:pPr>
      <w:r>
        <w:t>31B.</w:t>
      </w:r>
      <w:r>
        <w:tab/>
        <w:t>How licensee authorises person to be authorised user of mooring site</w:t>
      </w:r>
      <w:r>
        <w:tab/>
      </w:r>
      <w:r>
        <w:fldChar w:fldCharType="begin"/>
      </w:r>
      <w:r>
        <w:instrText xml:space="preserve"> PAGEREF _Toc201566033 \h </w:instrText>
      </w:r>
      <w:r>
        <w:fldChar w:fldCharType="separate"/>
      </w:r>
      <w:r>
        <w:t>38</w:t>
      </w:r>
      <w:r>
        <w:fldChar w:fldCharType="end"/>
      </w:r>
    </w:p>
    <w:p>
      <w:pPr>
        <w:pStyle w:val="TOC8"/>
        <w:rPr>
          <w:rFonts w:asciiTheme="minorHAnsi" w:eastAsiaTheme="minorEastAsia" w:hAnsiTheme="minorHAnsi" w:cstheme="minorBidi"/>
          <w:szCs w:val="22"/>
        </w:rPr>
      </w:pPr>
      <w:r>
        <w:t>31C.</w:t>
      </w:r>
      <w:r>
        <w:tab/>
        <w:t>How Authority authorises person to be authorised user of mooring site</w:t>
      </w:r>
      <w:r>
        <w:tab/>
      </w:r>
      <w:r>
        <w:fldChar w:fldCharType="begin"/>
      </w:r>
      <w:r>
        <w:instrText xml:space="preserve"> PAGEREF _Toc201566034 \h </w:instrText>
      </w:r>
      <w:r>
        <w:fldChar w:fldCharType="separate"/>
      </w:r>
      <w:r>
        <w:t>39</w:t>
      </w:r>
      <w:r>
        <w:fldChar w:fldCharType="end"/>
      </w:r>
    </w:p>
    <w:p>
      <w:pPr>
        <w:pStyle w:val="TOC8"/>
        <w:rPr>
          <w:rFonts w:asciiTheme="minorHAnsi" w:eastAsiaTheme="minorEastAsia" w:hAnsiTheme="minorHAnsi" w:cstheme="minorBidi"/>
          <w:szCs w:val="22"/>
        </w:rPr>
      </w:pPr>
      <w:r>
        <w:lastRenderedPageBreak/>
        <w:t>31D.</w:t>
      </w:r>
      <w:r>
        <w:tab/>
        <w:t>Changing authorised user’s authorised vessel</w:t>
      </w:r>
      <w:r>
        <w:tab/>
      </w:r>
      <w:r>
        <w:fldChar w:fldCharType="begin"/>
      </w:r>
      <w:r>
        <w:instrText xml:space="preserve"> PAGEREF _Toc201566035 \h </w:instrText>
      </w:r>
      <w:r>
        <w:fldChar w:fldCharType="separate"/>
      </w:r>
      <w:r>
        <w:t>40</w:t>
      </w:r>
      <w:r>
        <w:fldChar w:fldCharType="end"/>
      </w:r>
    </w:p>
    <w:p>
      <w:pPr>
        <w:pStyle w:val="TOC8"/>
        <w:rPr>
          <w:rFonts w:asciiTheme="minorHAnsi" w:eastAsiaTheme="minorEastAsia" w:hAnsiTheme="minorHAnsi" w:cstheme="minorBidi"/>
          <w:szCs w:val="22"/>
        </w:rPr>
      </w:pPr>
      <w:r>
        <w:t>31E.</w:t>
      </w:r>
      <w:r>
        <w:tab/>
        <w:t>Annual payments by authorised users</w:t>
      </w:r>
      <w:r>
        <w:tab/>
      </w:r>
      <w:r>
        <w:fldChar w:fldCharType="begin"/>
      </w:r>
      <w:r>
        <w:instrText xml:space="preserve"> PAGEREF _Toc201566036 \h </w:instrText>
      </w:r>
      <w:r>
        <w:fldChar w:fldCharType="separate"/>
      </w:r>
      <w:r>
        <w:t>41</w:t>
      </w:r>
      <w:r>
        <w:fldChar w:fldCharType="end"/>
      </w:r>
    </w:p>
    <w:p>
      <w:pPr>
        <w:pStyle w:val="TOC8"/>
        <w:rPr>
          <w:rFonts w:asciiTheme="minorHAnsi" w:eastAsiaTheme="minorEastAsia" w:hAnsiTheme="minorHAnsi" w:cstheme="minorBidi"/>
          <w:szCs w:val="22"/>
        </w:rPr>
      </w:pPr>
      <w:r>
        <w:t>31F.</w:t>
      </w:r>
      <w:r>
        <w:tab/>
        <w:t>Revoking etc. authorisation given under r. 31B or 31C</w:t>
      </w:r>
      <w:r>
        <w:tab/>
      </w:r>
      <w:r>
        <w:fldChar w:fldCharType="begin"/>
      </w:r>
      <w:r>
        <w:instrText xml:space="preserve"> PAGEREF _Toc201566037 \h </w:instrText>
      </w:r>
      <w:r>
        <w:fldChar w:fldCharType="separate"/>
      </w:r>
      <w:r>
        <w:t>41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 of licences; cancelling licences</w:t>
      </w:r>
      <w:r>
        <w:tab/>
      </w:r>
      <w:r>
        <w:fldChar w:fldCharType="begin"/>
      </w:r>
      <w:r>
        <w:instrText xml:space="preserve"> PAGEREF _Toc201566038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Renewing licences</w:t>
      </w:r>
      <w:r>
        <w:tab/>
      </w:r>
      <w:r>
        <w:fldChar w:fldCharType="begin"/>
      </w:r>
      <w:r>
        <w:instrText xml:space="preserve"> PAGEREF _Toc201566039 \h </w:instrText>
      </w:r>
      <w:r>
        <w:fldChar w:fldCharType="separate"/>
      </w:r>
      <w:r>
        <w:t>44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Directions to licensees by Authority</w:t>
      </w:r>
      <w:r>
        <w:tab/>
      </w:r>
      <w:r>
        <w:fldChar w:fldCharType="begin"/>
      </w:r>
      <w:r>
        <w:instrText xml:space="preserve"> PAGEREF _Toc201566040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Rebates of fees etc. in some cases</w:t>
      </w:r>
      <w:r>
        <w:tab/>
      </w:r>
      <w:r>
        <w:fldChar w:fldCharType="begin"/>
      </w:r>
      <w:r>
        <w:instrText xml:space="preserve"> PAGEREF _Toc201566041 \h </w:instrText>
      </w:r>
      <w:r>
        <w:fldChar w:fldCharType="separate"/>
      </w:r>
      <w:r>
        <w:t>45</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Notices may be affixed to vessel etc.</w:t>
      </w:r>
      <w:r>
        <w:tab/>
      </w:r>
      <w:r>
        <w:fldChar w:fldCharType="begin"/>
      </w:r>
      <w:r>
        <w:instrText xml:space="preserve"> PAGEREF _Toc201566042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General management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Control and regulation of access</w:t>
      </w:r>
    </w:p>
    <w:p>
      <w:pPr>
        <w:pStyle w:val="TOC8"/>
        <w:rPr>
          <w:rFonts w:asciiTheme="minorHAnsi" w:eastAsiaTheme="minorEastAsia" w:hAnsiTheme="minorHAnsi" w:cstheme="minorBidi"/>
          <w:szCs w:val="22"/>
        </w:rPr>
      </w:pPr>
      <w:r>
        <w:t>36</w:t>
      </w:r>
      <w:r>
        <w:rPr>
          <w:snapToGrid w:val="0"/>
        </w:rPr>
        <w:t>.</w:t>
      </w:r>
      <w:r>
        <w:rPr>
          <w:snapToGrid w:val="0"/>
        </w:rPr>
        <w:tab/>
        <w:t>Restricted areas, protected areas and closed tracks etc.</w:t>
      </w:r>
      <w:r>
        <w:tab/>
      </w:r>
      <w:r>
        <w:fldChar w:fldCharType="begin"/>
      </w:r>
      <w:r>
        <w:instrText xml:space="preserve"> PAGEREF _Toc201566045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1A</w:t>
      </w:r>
      <w:r>
        <w:rPr>
          <w:snapToGrid w:val="0"/>
        </w:rPr>
        <w:t> — </w:t>
      </w:r>
      <w:r>
        <w:t>Vessels</w:t>
      </w:r>
    </w:p>
    <w:p>
      <w:pPr>
        <w:pStyle w:val="TOC8"/>
        <w:rPr>
          <w:rFonts w:asciiTheme="minorHAnsi" w:eastAsiaTheme="minorEastAsia" w:hAnsiTheme="minorHAnsi" w:cstheme="minorBidi"/>
          <w:szCs w:val="22"/>
        </w:rPr>
      </w:pPr>
      <w:r>
        <w:t>36A</w:t>
      </w:r>
      <w:r>
        <w:rPr>
          <w:snapToGrid w:val="0"/>
        </w:rPr>
        <w:t>.</w:t>
      </w:r>
      <w:r>
        <w:rPr>
          <w:snapToGrid w:val="0"/>
        </w:rPr>
        <w:tab/>
        <w:t>Mooring vessels to land; beach anchors</w:t>
      </w:r>
      <w:r>
        <w:tab/>
      </w:r>
      <w:r>
        <w:fldChar w:fldCharType="begin"/>
      </w:r>
      <w:r>
        <w:instrText xml:space="preserve"> PAGEREF _Toc201566047 \h </w:instrText>
      </w:r>
      <w:r>
        <w:fldChar w:fldCharType="separate"/>
      </w:r>
      <w:r>
        <w:t>48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Beaching vessels in some circumstances</w:t>
      </w:r>
      <w:r>
        <w:tab/>
      </w:r>
      <w:r>
        <w:fldChar w:fldCharType="begin"/>
      </w:r>
      <w:r>
        <w:instrText xml:space="preserve"> PAGEREF _Toc201566048 \h </w:instrText>
      </w:r>
      <w:r>
        <w:fldChar w:fldCharType="separate"/>
      </w:r>
      <w:r>
        <w:t>48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Boats on lakes</w:t>
      </w:r>
      <w:r>
        <w:tab/>
      </w:r>
      <w:r>
        <w:fldChar w:fldCharType="begin"/>
      </w:r>
      <w:r>
        <w:instrText xml:space="preserve"> PAGEREF _Toc201566049 \h </w:instrText>
      </w:r>
      <w:r>
        <w:fldChar w:fldCharType="separate"/>
      </w:r>
      <w:r>
        <w:t>50</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Speed restrictions for vessels</w:t>
      </w:r>
      <w:r>
        <w:tab/>
      </w:r>
      <w:r>
        <w:fldChar w:fldCharType="begin"/>
      </w:r>
      <w:r>
        <w:instrText xml:space="preserve"> PAGEREF _Toc201566050 \h </w:instrText>
      </w:r>
      <w:r>
        <w:fldChar w:fldCharType="separate"/>
      </w:r>
      <w:r>
        <w:t>50</w:t>
      </w:r>
      <w:r>
        <w:fldChar w:fldCharType="end"/>
      </w:r>
    </w:p>
    <w:p>
      <w:pPr>
        <w:pStyle w:val="TOC8"/>
        <w:rPr>
          <w:rFonts w:asciiTheme="minorHAnsi" w:eastAsiaTheme="minorEastAsia" w:hAnsiTheme="minorHAnsi" w:cstheme="minorBidi"/>
          <w:szCs w:val="22"/>
        </w:rPr>
      </w:pPr>
      <w:r>
        <w:t>38BA.</w:t>
      </w:r>
      <w:r>
        <w:tab/>
      </w:r>
      <w:r>
        <w:rPr>
          <w:snapToGrid w:val="0"/>
        </w:rPr>
        <w:t>Restricting use of certain vessels to specified areas</w:t>
      </w:r>
      <w:r>
        <w:tab/>
      </w:r>
      <w:r>
        <w:fldChar w:fldCharType="begin"/>
      </w:r>
      <w:r>
        <w:instrText xml:space="preserve"> PAGEREF _Toc201566051 \h </w:instrText>
      </w:r>
      <w:r>
        <w:fldChar w:fldCharType="separate"/>
      </w:r>
      <w:r>
        <w:t>50</w:t>
      </w:r>
      <w:r>
        <w:fldChar w:fldCharType="end"/>
      </w:r>
    </w:p>
    <w:p>
      <w:pPr>
        <w:pStyle w:val="TOC8"/>
        <w:rPr>
          <w:rFonts w:asciiTheme="minorHAnsi" w:eastAsiaTheme="minorEastAsia" w:hAnsiTheme="minorHAnsi" w:cstheme="minorBidi"/>
          <w:szCs w:val="22"/>
        </w:rPr>
      </w:pPr>
      <w:r>
        <w:t>38B.</w:t>
      </w:r>
      <w:r>
        <w:rPr>
          <w:snapToGrid w:val="0"/>
        </w:rPr>
        <w:tab/>
        <w:t>Areas may be set aside for specified vessels</w:t>
      </w:r>
      <w:r>
        <w:tab/>
      </w:r>
      <w:r>
        <w:fldChar w:fldCharType="begin"/>
      </w:r>
      <w:r>
        <w:instrText xml:space="preserve"> PAGEREF _Toc201566052 \h </w:instrText>
      </w:r>
      <w:r>
        <w:fldChar w:fldCharType="separate"/>
      </w:r>
      <w:r>
        <w:t>51</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Black water from vessels</w:t>
      </w:r>
      <w:r>
        <w:tab/>
      </w:r>
      <w:r>
        <w:fldChar w:fldCharType="begin"/>
      </w:r>
      <w:r>
        <w:instrText xml:space="preserve"> PAGEREF _Toc201566053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1B — Main jetty</w:t>
      </w:r>
    </w:p>
    <w:p>
      <w:pPr>
        <w:pStyle w:val="TOC8"/>
        <w:rPr>
          <w:rFonts w:asciiTheme="minorHAnsi" w:eastAsiaTheme="minorEastAsia" w:hAnsiTheme="minorHAnsi" w:cstheme="minorBidi"/>
          <w:szCs w:val="22"/>
        </w:rPr>
      </w:pPr>
      <w:r>
        <w:t>38D.</w:t>
      </w:r>
      <w:r>
        <w:tab/>
        <w:t>Term used: officer</w:t>
      </w:r>
      <w:r>
        <w:tab/>
      </w:r>
      <w:r>
        <w:fldChar w:fldCharType="begin"/>
      </w:r>
      <w:r>
        <w:instrText xml:space="preserve"> PAGEREF _Toc201566055 \h </w:instrText>
      </w:r>
      <w:r>
        <w:fldChar w:fldCharType="separate"/>
      </w:r>
      <w:r>
        <w:t>52</w:t>
      </w:r>
      <w:r>
        <w:fldChar w:fldCharType="end"/>
      </w:r>
    </w:p>
    <w:p>
      <w:pPr>
        <w:pStyle w:val="TOC8"/>
        <w:rPr>
          <w:rFonts w:asciiTheme="minorHAnsi" w:eastAsiaTheme="minorEastAsia" w:hAnsiTheme="minorHAnsi" w:cstheme="minorBidi"/>
          <w:szCs w:val="22"/>
        </w:rPr>
      </w:pPr>
      <w:r>
        <w:t>38E.</w:t>
      </w:r>
      <w:r>
        <w:tab/>
        <w:t>Signs may prohibit use of main jetty</w:t>
      </w:r>
      <w:r>
        <w:tab/>
      </w:r>
      <w:r>
        <w:fldChar w:fldCharType="begin"/>
      </w:r>
      <w:r>
        <w:instrText xml:space="preserve"> PAGEREF _Toc201566056 \h </w:instrText>
      </w:r>
      <w:r>
        <w:fldChar w:fldCharType="separate"/>
      </w:r>
      <w:r>
        <w:t>52</w:t>
      </w:r>
      <w:r>
        <w:fldChar w:fldCharType="end"/>
      </w:r>
    </w:p>
    <w:p>
      <w:pPr>
        <w:pStyle w:val="TOC8"/>
        <w:rPr>
          <w:rFonts w:asciiTheme="minorHAnsi" w:eastAsiaTheme="minorEastAsia" w:hAnsiTheme="minorHAnsi" w:cstheme="minorBidi"/>
          <w:szCs w:val="22"/>
        </w:rPr>
      </w:pPr>
      <w:r>
        <w:t>38F.</w:t>
      </w:r>
      <w:r>
        <w:tab/>
        <w:t>Approval to berth commercial vessel at main jetty</w:t>
      </w:r>
      <w:r>
        <w:tab/>
      </w:r>
      <w:r>
        <w:fldChar w:fldCharType="begin"/>
      </w:r>
      <w:r>
        <w:instrText xml:space="preserve"> PAGEREF _Toc201566057 \h </w:instrText>
      </w:r>
      <w:r>
        <w:fldChar w:fldCharType="separate"/>
      </w:r>
      <w:r>
        <w:t>52</w:t>
      </w:r>
      <w:r>
        <w:fldChar w:fldCharType="end"/>
      </w:r>
    </w:p>
    <w:p>
      <w:pPr>
        <w:pStyle w:val="TOC8"/>
        <w:rPr>
          <w:rFonts w:asciiTheme="minorHAnsi" w:eastAsiaTheme="minorEastAsia" w:hAnsiTheme="minorHAnsi" w:cstheme="minorBidi"/>
          <w:szCs w:val="22"/>
        </w:rPr>
      </w:pPr>
      <w:r>
        <w:t>38G.</w:t>
      </w:r>
      <w:r>
        <w:tab/>
        <w:t>Main jetty berthing fee</w:t>
      </w:r>
      <w:r>
        <w:tab/>
      </w:r>
      <w:r>
        <w:fldChar w:fldCharType="begin"/>
      </w:r>
      <w:r>
        <w:instrText xml:space="preserve"> PAGEREF _Toc201566058 \h </w:instrText>
      </w:r>
      <w:r>
        <w:fldChar w:fldCharType="separate"/>
      </w:r>
      <w:r>
        <w:t>53</w:t>
      </w:r>
      <w:r>
        <w:fldChar w:fldCharType="end"/>
      </w:r>
    </w:p>
    <w:p>
      <w:pPr>
        <w:pStyle w:val="TOC8"/>
        <w:rPr>
          <w:rFonts w:asciiTheme="minorHAnsi" w:eastAsiaTheme="minorEastAsia" w:hAnsiTheme="minorHAnsi" w:cstheme="minorBidi"/>
          <w:szCs w:val="22"/>
        </w:rPr>
      </w:pPr>
      <w:r>
        <w:t>38H.</w:t>
      </w:r>
      <w:r>
        <w:tab/>
        <w:t>Duties of master of commercial vessel</w:t>
      </w:r>
      <w:r>
        <w:tab/>
      </w:r>
      <w:r>
        <w:fldChar w:fldCharType="begin"/>
      </w:r>
      <w:r>
        <w:instrText xml:space="preserve"> PAGEREF _Toc201566059 \h </w:instrText>
      </w:r>
      <w:r>
        <w:fldChar w:fldCharType="separate"/>
      </w:r>
      <w:r>
        <w:t>54</w:t>
      </w:r>
      <w:r>
        <w:fldChar w:fldCharType="end"/>
      </w:r>
    </w:p>
    <w:p>
      <w:pPr>
        <w:pStyle w:val="TOC8"/>
        <w:rPr>
          <w:rFonts w:asciiTheme="minorHAnsi" w:eastAsiaTheme="minorEastAsia" w:hAnsiTheme="minorHAnsi" w:cstheme="minorBidi"/>
          <w:szCs w:val="22"/>
        </w:rPr>
      </w:pPr>
      <w:r>
        <w:t>38I.</w:t>
      </w:r>
      <w:r>
        <w:tab/>
        <w:t>Work on main jetty</w:t>
      </w:r>
      <w:r>
        <w:tab/>
      </w:r>
      <w:r>
        <w:fldChar w:fldCharType="begin"/>
      </w:r>
      <w:r>
        <w:instrText xml:space="preserve"> PAGEREF _Toc201566060 \h </w:instrText>
      </w:r>
      <w:r>
        <w:fldChar w:fldCharType="separate"/>
      </w:r>
      <w:r>
        <w:t>54</w:t>
      </w:r>
      <w:r>
        <w:fldChar w:fldCharType="end"/>
      </w:r>
    </w:p>
    <w:p>
      <w:pPr>
        <w:pStyle w:val="TOC8"/>
        <w:rPr>
          <w:rFonts w:asciiTheme="minorHAnsi" w:eastAsiaTheme="minorEastAsia" w:hAnsiTheme="minorHAnsi" w:cstheme="minorBidi"/>
          <w:szCs w:val="22"/>
        </w:rPr>
      </w:pPr>
      <w:r>
        <w:t>38J.</w:t>
      </w:r>
      <w:r>
        <w:tab/>
        <w:t>Repairs to vessel at main jetty</w:t>
      </w:r>
      <w:r>
        <w:tab/>
      </w:r>
      <w:r>
        <w:fldChar w:fldCharType="begin"/>
      </w:r>
      <w:r>
        <w:instrText xml:space="preserve"> PAGEREF _Toc201566061 \h </w:instrText>
      </w:r>
      <w:r>
        <w:fldChar w:fldCharType="separate"/>
      </w:r>
      <w:r>
        <w:t>55</w:t>
      </w:r>
      <w:r>
        <w:fldChar w:fldCharType="end"/>
      </w:r>
    </w:p>
    <w:p>
      <w:pPr>
        <w:pStyle w:val="TOC8"/>
        <w:rPr>
          <w:rFonts w:asciiTheme="minorHAnsi" w:eastAsiaTheme="minorEastAsia" w:hAnsiTheme="minorHAnsi" w:cstheme="minorBidi"/>
          <w:szCs w:val="22"/>
        </w:rPr>
      </w:pPr>
      <w:r>
        <w:t>38K.</w:t>
      </w:r>
      <w:r>
        <w:tab/>
        <w:t>Berthing at main jetty generally</w:t>
      </w:r>
      <w:r>
        <w:tab/>
      </w:r>
      <w:r>
        <w:fldChar w:fldCharType="begin"/>
      </w:r>
      <w:r>
        <w:instrText xml:space="preserve"> PAGEREF _Toc201566062 \h </w:instrText>
      </w:r>
      <w:r>
        <w:fldChar w:fldCharType="separate"/>
      </w:r>
      <w:r>
        <w:t>55</w:t>
      </w:r>
      <w:r>
        <w:fldChar w:fldCharType="end"/>
      </w:r>
    </w:p>
    <w:p>
      <w:pPr>
        <w:pStyle w:val="TOC8"/>
        <w:rPr>
          <w:rFonts w:asciiTheme="minorHAnsi" w:eastAsiaTheme="minorEastAsia" w:hAnsiTheme="minorHAnsi" w:cstheme="minorBidi"/>
          <w:szCs w:val="22"/>
        </w:rPr>
      </w:pPr>
      <w:r>
        <w:t>38L.</w:t>
      </w:r>
      <w:r>
        <w:tab/>
        <w:t>Berthing at commercial area of main jetty</w:t>
      </w:r>
      <w:r>
        <w:tab/>
      </w:r>
      <w:r>
        <w:fldChar w:fldCharType="begin"/>
      </w:r>
      <w:r>
        <w:instrText xml:space="preserve"> PAGEREF _Toc201566063 \h </w:instrText>
      </w:r>
      <w:r>
        <w:fldChar w:fldCharType="separate"/>
      </w:r>
      <w:r>
        <w:t>55</w:t>
      </w:r>
      <w:r>
        <w:fldChar w:fldCharType="end"/>
      </w:r>
    </w:p>
    <w:p>
      <w:pPr>
        <w:pStyle w:val="TOC8"/>
        <w:rPr>
          <w:rFonts w:asciiTheme="minorHAnsi" w:eastAsiaTheme="minorEastAsia" w:hAnsiTheme="minorHAnsi" w:cstheme="minorBidi"/>
          <w:szCs w:val="22"/>
        </w:rPr>
      </w:pPr>
      <w:r>
        <w:t>38M.</w:t>
      </w:r>
      <w:r>
        <w:tab/>
        <w:t>Officer may direct that vessel be moved from main jetty</w:t>
      </w:r>
      <w:r>
        <w:tab/>
      </w:r>
      <w:r>
        <w:fldChar w:fldCharType="begin"/>
      </w:r>
      <w:r>
        <w:instrText xml:space="preserve"> PAGEREF _Toc201566064 \h </w:instrText>
      </w:r>
      <w:r>
        <w:fldChar w:fldCharType="separate"/>
      </w:r>
      <w:r>
        <w:t>56</w:t>
      </w:r>
      <w:r>
        <w:fldChar w:fldCharType="end"/>
      </w:r>
    </w:p>
    <w:p>
      <w:pPr>
        <w:pStyle w:val="TOC8"/>
        <w:rPr>
          <w:rFonts w:asciiTheme="minorHAnsi" w:eastAsiaTheme="minorEastAsia" w:hAnsiTheme="minorHAnsi" w:cstheme="minorBidi"/>
          <w:szCs w:val="22"/>
        </w:rPr>
      </w:pPr>
      <w:r>
        <w:t>38N.</w:t>
      </w:r>
      <w:r>
        <w:tab/>
        <w:t>Bringing vehicle onto main jetty</w:t>
      </w:r>
      <w:r>
        <w:tab/>
      </w:r>
      <w:r>
        <w:fldChar w:fldCharType="begin"/>
      </w:r>
      <w:r>
        <w:instrText xml:space="preserve"> PAGEREF _Toc201566065 \h </w:instrText>
      </w:r>
      <w:r>
        <w:fldChar w:fldCharType="separate"/>
      </w:r>
      <w:r>
        <w:t>57</w:t>
      </w:r>
      <w:r>
        <w:fldChar w:fldCharType="end"/>
      </w:r>
    </w:p>
    <w:p>
      <w:pPr>
        <w:pStyle w:val="TOC8"/>
        <w:rPr>
          <w:rFonts w:asciiTheme="minorHAnsi" w:eastAsiaTheme="minorEastAsia" w:hAnsiTheme="minorHAnsi" w:cstheme="minorBidi"/>
          <w:szCs w:val="22"/>
        </w:rPr>
      </w:pPr>
      <w:r>
        <w:t>38O.</w:t>
      </w:r>
      <w:r>
        <w:tab/>
        <w:t>Signs or markings on main jetty</w:t>
      </w:r>
      <w:r>
        <w:tab/>
      </w:r>
      <w:r>
        <w:fldChar w:fldCharType="begin"/>
      </w:r>
      <w:r>
        <w:instrText xml:space="preserve"> PAGEREF _Toc201566066 \h </w:instrText>
      </w:r>
      <w:r>
        <w:fldChar w:fldCharType="separate"/>
      </w:r>
      <w:r>
        <w:t>57</w:t>
      </w:r>
      <w:r>
        <w:fldChar w:fldCharType="end"/>
      </w:r>
    </w:p>
    <w:p>
      <w:pPr>
        <w:pStyle w:val="TOC8"/>
        <w:rPr>
          <w:rFonts w:asciiTheme="minorHAnsi" w:eastAsiaTheme="minorEastAsia" w:hAnsiTheme="minorHAnsi" w:cstheme="minorBidi"/>
          <w:szCs w:val="22"/>
        </w:rPr>
      </w:pPr>
      <w:r>
        <w:t>38P.</w:t>
      </w:r>
      <w:r>
        <w:tab/>
        <w:t>Fishing from main jetty</w:t>
      </w:r>
      <w:r>
        <w:tab/>
      </w:r>
      <w:r>
        <w:fldChar w:fldCharType="begin"/>
      </w:r>
      <w:r>
        <w:instrText xml:space="preserve"> PAGEREF _Toc201566067 \h </w:instrText>
      </w:r>
      <w:r>
        <w:fldChar w:fldCharType="separate"/>
      </w:r>
      <w:r>
        <w:t>58</w:t>
      </w:r>
      <w:r>
        <w:fldChar w:fldCharType="end"/>
      </w:r>
    </w:p>
    <w:p>
      <w:pPr>
        <w:pStyle w:val="TOC8"/>
        <w:rPr>
          <w:rFonts w:asciiTheme="minorHAnsi" w:eastAsiaTheme="minorEastAsia" w:hAnsiTheme="minorHAnsi" w:cstheme="minorBidi"/>
          <w:szCs w:val="22"/>
        </w:rPr>
      </w:pPr>
      <w:r>
        <w:t>38Q.</w:t>
      </w:r>
      <w:r>
        <w:tab/>
        <w:t>Hire, lease or sale of goods on main jetty</w:t>
      </w:r>
      <w:r>
        <w:tab/>
      </w:r>
      <w:r>
        <w:fldChar w:fldCharType="begin"/>
      </w:r>
      <w:r>
        <w:instrText xml:space="preserve"> PAGEREF _Toc201566068 \h </w:instrText>
      </w:r>
      <w:r>
        <w:fldChar w:fldCharType="separate"/>
      </w:r>
      <w:r>
        <w:t>58</w:t>
      </w:r>
      <w:r>
        <w:fldChar w:fldCharType="end"/>
      </w:r>
    </w:p>
    <w:p>
      <w:pPr>
        <w:pStyle w:val="TOC8"/>
        <w:rPr>
          <w:rFonts w:asciiTheme="minorHAnsi" w:eastAsiaTheme="minorEastAsia" w:hAnsiTheme="minorHAnsi" w:cstheme="minorBidi"/>
          <w:szCs w:val="22"/>
        </w:rPr>
      </w:pPr>
      <w:r>
        <w:t>38R.</w:t>
      </w:r>
      <w:r>
        <w:tab/>
        <w:t>Use of amplified sound on main jetty</w:t>
      </w:r>
      <w:r>
        <w:tab/>
      </w:r>
      <w:r>
        <w:fldChar w:fldCharType="begin"/>
      </w:r>
      <w:r>
        <w:instrText xml:space="preserve"> PAGEREF _Toc201566069 \h </w:instrText>
      </w:r>
      <w:r>
        <w:fldChar w:fldCharType="separate"/>
      </w:r>
      <w:r>
        <w:t>58</w:t>
      </w:r>
      <w:r>
        <w:fldChar w:fldCharType="end"/>
      </w:r>
    </w:p>
    <w:p>
      <w:pPr>
        <w:pStyle w:val="TOC8"/>
        <w:rPr>
          <w:rFonts w:asciiTheme="minorHAnsi" w:eastAsiaTheme="minorEastAsia" w:hAnsiTheme="minorHAnsi" w:cstheme="minorBidi"/>
          <w:szCs w:val="22"/>
        </w:rPr>
      </w:pPr>
      <w:r>
        <w:lastRenderedPageBreak/>
        <w:t>38S.</w:t>
      </w:r>
      <w:r>
        <w:tab/>
        <w:t>Interfering with person on main jetty</w:t>
      </w:r>
      <w:r>
        <w:tab/>
      </w:r>
      <w:r>
        <w:fldChar w:fldCharType="begin"/>
      </w:r>
      <w:r>
        <w:instrText xml:space="preserve"> PAGEREF _Toc201566070 \h </w:instrText>
      </w:r>
      <w:r>
        <w:fldChar w:fldCharType="separate"/>
      </w:r>
      <w:r>
        <w:t>59</w:t>
      </w:r>
      <w:r>
        <w:fldChar w:fldCharType="end"/>
      </w:r>
    </w:p>
    <w:p>
      <w:pPr>
        <w:pStyle w:val="TOC8"/>
        <w:rPr>
          <w:rFonts w:asciiTheme="minorHAnsi" w:eastAsiaTheme="minorEastAsia" w:hAnsiTheme="minorHAnsi" w:cstheme="minorBidi"/>
          <w:szCs w:val="22"/>
        </w:rPr>
      </w:pPr>
      <w:r>
        <w:t>38T.</w:t>
      </w:r>
      <w:r>
        <w:tab/>
        <w:t>Gangways to be provided on vessel berthing at main jetty</w:t>
      </w:r>
      <w:r>
        <w:tab/>
      </w:r>
      <w:r>
        <w:fldChar w:fldCharType="begin"/>
      </w:r>
      <w:r>
        <w:instrText xml:space="preserve"> PAGEREF _Toc201566071 \h </w:instrText>
      </w:r>
      <w:r>
        <w:fldChar w:fldCharType="separate"/>
      </w:r>
      <w:r>
        <w:t>59</w:t>
      </w:r>
      <w:r>
        <w:fldChar w:fldCharType="end"/>
      </w:r>
    </w:p>
    <w:p>
      <w:pPr>
        <w:pStyle w:val="TOC8"/>
        <w:rPr>
          <w:rFonts w:asciiTheme="minorHAnsi" w:eastAsiaTheme="minorEastAsia" w:hAnsiTheme="minorHAnsi" w:cstheme="minorBidi"/>
          <w:szCs w:val="22"/>
        </w:rPr>
      </w:pPr>
      <w:r>
        <w:t>38U.</w:t>
      </w:r>
      <w:r>
        <w:tab/>
        <w:t>Prohibited conduct on main jetty</w:t>
      </w:r>
      <w:r>
        <w:tab/>
      </w:r>
      <w:r>
        <w:fldChar w:fldCharType="begin"/>
      </w:r>
      <w:r>
        <w:instrText xml:space="preserve"> PAGEREF _Toc201566072 \h </w:instrText>
      </w:r>
      <w:r>
        <w:fldChar w:fldCharType="separate"/>
      </w:r>
      <w:r>
        <w:t>59</w:t>
      </w:r>
      <w:r>
        <w:fldChar w:fldCharType="end"/>
      </w:r>
    </w:p>
    <w:p>
      <w:pPr>
        <w:pStyle w:val="TOC8"/>
        <w:rPr>
          <w:rFonts w:asciiTheme="minorHAnsi" w:eastAsiaTheme="minorEastAsia" w:hAnsiTheme="minorHAnsi" w:cstheme="minorBidi"/>
          <w:szCs w:val="22"/>
        </w:rPr>
      </w:pPr>
      <w:r>
        <w:t>38V.</w:t>
      </w:r>
      <w:r>
        <w:tab/>
        <w:t>Interfering with main jetty and its operations</w:t>
      </w:r>
      <w:r>
        <w:tab/>
      </w:r>
      <w:r>
        <w:fldChar w:fldCharType="begin"/>
      </w:r>
      <w:r>
        <w:instrText xml:space="preserve"> PAGEREF _Toc201566073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Protection of flora, fauna, etc.</w:t>
      </w:r>
    </w:p>
    <w:p>
      <w:pPr>
        <w:pStyle w:val="TOC8"/>
        <w:rPr>
          <w:rFonts w:asciiTheme="minorHAnsi" w:eastAsiaTheme="minorEastAsia" w:hAnsiTheme="minorHAnsi" w:cstheme="minorBidi"/>
          <w:szCs w:val="22"/>
        </w:rPr>
      </w:pPr>
      <w:r>
        <w:t>39</w:t>
      </w:r>
      <w:r>
        <w:rPr>
          <w:snapToGrid w:val="0"/>
        </w:rPr>
        <w:t>.</w:t>
      </w:r>
      <w:r>
        <w:rPr>
          <w:snapToGrid w:val="0"/>
        </w:rPr>
        <w:tab/>
        <w:t>Flora etc., protection of</w:t>
      </w:r>
      <w:r>
        <w:tab/>
      </w:r>
      <w:r>
        <w:fldChar w:fldCharType="begin"/>
      </w:r>
      <w:r>
        <w:instrText xml:space="preserve"> PAGEREF _Toc201566075 \h </w:instrText>
      </w:r>
      <w:r>
        <w:fldChar w:fldCharType="separate"/>
      </w:r>
      <w:r>
        <w:t>60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Fauna, protection of</w:t>
      </w:r>
      <w:r>
        <w:tab/>
      </w:r>
      <w:r>
        <w:fldChar w:fldCharType="begin"/>
      </w:r>
      <w:r>
        <w:instrText xml:space="preserve"> PAGEREF _Toc201566076 \h </w:instrText>
      </w:r>
      <w:r>
        <w:fldChar w:fldCharType="separate"/>
      </w:r>
      <w:r>
        <w:t>60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 animal or bird to be landed on Island</w:t>
      </w:r>
      <w:r>
        <w:tab/>
      </w:r>
      <w:r>
        <w:fldChar w:fldCharType="begin"/>
      </w:r>
      <w:r>
        <w:instrText xml:space="preserve"> PAGEREF _Toc201566077 \h </w:instrText>
      </w:r>
      <w:r>
        <w:fldChar w:fldCharType="separate"/>
      </w:r>
      <w:r>
        <w:t>61</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Fauna, feeding of</w:t>
      </w:r>
      <w:r>
        <w:tab/>
      </w:r>
      <w:r>
        <w:fldChar w:fldCharType="begin"/>
      </w:r>
      <w:r>
        <w:instrText xml:space="preserve"> PAGEREF _Toc201566078 \h </w:instrText>
      </w:r>
      <w:r>
        <w:fldChar w:fldCharType="separate"/>
      </w:r>
      <w:r>
        <w:t>61</w:t>
      </w:r>
      <w:r>
        <w:fldChar w:fldCharType="end"/>
      </w:r>
    </w:p>
    <w:p>
      <w:pPr>
        <w:pStyle w:val="TOC8"/>
        <w:rPr>
          <w:rFonts w:asciiTheme="minorHAnsi" w:eastAsiaTheme="minorEastAsia" w:hAnsiTheme="minorHAnsi" w:cstheme="minorBidi"/>
          <w:szCs w:val="22"/>
        </w:rPr>
      </w:pPr>
      <w:r>
        <w:t>41B.</w:t>
      </w:r>
      <w:r>
        <w:tab/>
        <w:t>No flora to be brought to Island</w:t>
      </w:r>
      <w:r>
        <w:tab/>
      </w:r>
      <w:r>
        <w:fldChar w:fldCharType="begin"/>
      </w:r>
      <w:r>
        <w:instrText xml:space="preserve"> PAGEREF _Toc201566079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Rocks and soil, protection of</w:t>
      </w:r>
      <w:r>
        <w:tab/>
      </w:r>
      <w:r>
        <w:fldChar w:fldCharType="begin"/>
      </w:r>
      <w:r>
        <w:instrText xml:space="preserve"> PAGEREF _Toc201566080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Vehicles</w:t>
      </w:r>
    </w:p>
    <w:p>
      <w:pPr>
        <w:pStyle w:val="TOC8"/>
        <w:rPr>
          <w:rFonts w:asciiTheme="minorHAnsi" w:eastAsiaTheme="minorEastAsia" w:hAnsiTheme="minorHAnsi" w:cstheme="minorBidi"/>
          <w:szCs w:val="22"/>
        </w:rPr>
      </w:pPr>
      <w:r>
        <w:t>43</w:t>
      </w:r>
      <w:r>
        <w:rPr>
          <w:snapToGrid w:val="0"/>
        </w:rPr>
        <w:t>.</w:t>
      </w:r>
      <w:r>
        <w:rPr>
          <w:snapToGrid w:val="0"/>
        </w:rPr>
        <w:tab/>
        <w:t>Application of road laws</w:t>
      </w:r>
      <w:r>
        <w:tab/>
      </w:r>
      <w:r>
        <w:fldChar w:fldCharType="begin"/>
      </w:r>
      <w:r>
        <w:instrText xml:space="preserve"> PAGEREF _Toc201566082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Traffic signs and directions</w:t>
      </w:r>
      <w:r>
        <w:tab/>
      </w:r>
      <w:r>
        <w:fldChar w:fldCharType="begin"/>
      </w:r>
      <w:r>
        <w:instrText xml:space="preserve"> PAGEREF _Toc201566083 \h </w:instrText>
      </w:r>
      <w:r>
        <w:fldChar w:fldCharType="separate"/>
      </w:r>
      <w:r>
        <w:t>63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Restriction on bringing vehicles to Island</w:t>
      </w:r>
      <w:r>
        <w:tab/>
      </w:r>
      <w:r>
        <w:fldChar w:fldCharType="begin"/>
      </w:r>
      <w:r>
        <w:instrText xml:space="preserve"> PAGEREF _Toc201566084 \h </w:instrText>
      </w:r>
      <w:r>
        <w:fldChar w:fldCharType="separate"/>
      </w:r>
      <w:r>
        <w:t>64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Use of vehicles</w:t>
      </w:r>
      <w:r>
        <w:tab/>
      </w:r>
      <w:r>
        <w:fldChar w:fldCharType="begin"/>
      </w:r>
      <w:r>
        <w:instrText xml:space="preserve"> PAGEREF _Toc201566085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Vehicles on beaches</w:t>
      </w:r>
      <w:r>
        <w:tab/>
      </w:r>
      <w:r>
        <w:fldChar w:fldCharType="begin"/>
      </w:r>
      <w:r>
        <w:instrText xml:space="preserve"> PAGEREF _Toc201566086 \h </w:instrText>
      </w:r>
      <w:r>
        <w:fldChar w:fldCharType="separate"/>
      </w:r>
      <w:r>
        <w:t>65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Emergency vehicles</w:t>
      </w:r>
      <w:r>
        <w:tab/>
      </w:r>
      <w:r>
        <w:fldChar w:fldCharType="begin"/>
      </w:r>
      <w:r>
        <w:instrText xml:space="preserve"> PAGEREF _Toc201566087 \h </w:instrText>
      </w:r>
      <w:r>
        <w:fldChar w:fldCharType="separate"/>
      </w:r>
      <w:r>
        <w:t>65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of hired bicycles</w:t>
      </w:r>
      <w:r>
        <w:tab/>
      </w:r>
      <w:r>
        <w:fldChar w:fldCharType="begin"/>
      </w:r>
      <w:r>
        <w:instrText xml:space="preserve"> PAGEREF _Toc201566088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certain activities</w:t>
      </w:r>
    </w:p>
    <w:p>
      <w:pPr>
        <w:pStyle w:val="TOC8"/>
        <w:rPr>
          <w:rFonts w:asciiTheme="minorHAnsi" w:eastAsiaTheme="minorEastAsia" w:hAnsiTheme="minorHAnsi" w:cstheme="minorBidi"/>
          <w:szCs w:val="22"/>
        </w:rPr>
      </w:pPr>
      <w:r>
        <w:t>52</w:t>
      </w:r>
      <w:r>
        <w:rPr>
          <w:snapToGrid w:val="0"/>
        </w:rPr>
        <w:t>.</w:t>
      </w:r>
      <w:r>
        <w:rPr>
          <w:snapToGrid w:val="0"/>
        </w:rPr>
        <w:tab/>
        <w:t>Erection of structures and tents</w:t>
      </w:r>
      <w:r>
        <w:tab/>
      </w:r>
      <w:r>
        <w:fldChar w:fldCharType="begin"/>
      </w:r>
      <w:r>
        <w:instrText xml:space="preserve"> PAGEREF _Toc201566090 \h </w:instrText>
      </w:r>
      <w:r>
        <w:fldChar w:fldCharType="separate"/>
      </w:r>
      <w:r>
        <w:t>67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Organized events and meetings</w:t>
      </w:r>
      <w:r>
        <w:tab/>
      </w:r>
      <w:r>
        <w:fldChar w:fldCharType="begin"/>
      </w:r>
      <w:r>
        <w:instrText xml:space="preserve"> PAGEREF _Toc201566091 \h </w:instrText>
      </w:r>
      <w:r>
        <w:fldChar w:fldCharType="separate"/>
      </w:r>
      <w:r>
        <w:t>67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Photography for commercial purposes</w:t>
      </w:r>
      <w:r>
        <w:tab/>
      </w:r>
      <w:r>
        <w:fldChar w:fldCharType="begin"/>
      </w:r>
      <w:r>
        <w:instrText xml:space="preserve"> PAGEREF _Toc201566092 \h </w:instrText>
      </w:r>
      <w:r>
        <w:fldChar w:fldCharType="separate"/>
      </w:r>
      <w:r>
        <w:t>68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Bill sticking, advertising etc.</w:t>
      </w:r>
      <w:r>
        <w:tab/>
      </w:r>
      <w:r>
        <w:fldChar w:fldCharType="begin"/>
      </w:r>
      <w:r>
        <w:instrText xml:space="preserve"> PAGEREF _Toc201566093 \h </w:instrText>
      </w:r>
      <w:r>
        <w:fldChar w:fldCharType="separate"/>
      </w:r>
      <w:r>
        <w:t>68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Distribution of printed matter</w:t>
      </w:r>
      <w:r>
        <w:tab/>
      </w:r>
      <w:r>
        <w:fldChar w:fldCharType="begin"/>
      </w:r>
      <w:r>
        <w:instrText xml:space="preserve"> PAGEREF _Toc201566094 \h </w:instrText>
      </w:r>
      <w:r>
        <w:fldChar w:fldCharType="separate"/>
      </w:r>
      <w:r>
        <w:t>69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Unauthorised sale etc. of goods or services</w:t>
      </w:r>
      <w:r>
        <w:tab/>
      </w:r>
      <w:r>
        <w:fldChar w:fldCharType="begin"/>
      </w:r>
      <w:r>
        <w:instrText xml:space="preserve"> PAGEREF _Toc201566095 \h </w:instrText>
      </w:r>
      <w:r>
        <w:fldChar w:fldCharType="separate"/>
      </w:r>
      <w:r>
        <w:t>69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Exception to r. 55 and 56</w:t>
      </w:r>
      <w:r>
        <w:tab/>
      </w:r>
      <w:r>
        <w:fldChar w:fldCharType="begin"/>
      </w:r>
      <w:r>
        <w:instrText xml:space="preserve"> PAGEREF _Toc201566096 \h </w:instrText>
      </w:r>
      <w:r>
        <w:fldChar w:fldCharType="separate"/>
      </w:r>
      <w:r>
        <w:t>69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Weapons etc.</w:t>
      </w:r>
      <w:r>
        <w:tab/>
      </w:r>
      <w:r>
        <w:fldChar w:fldCharType="begin"/>
      </w:r>
      <w:r>
        <w:instrText xml:space="preserve"> PAGEREF _Toc201566097 \h </w:instrText>
      </w:r>
      <w:r>
        <w:fldChar w:fldCharType="separate"/>
      </w:r>
      <w:r>
        <w:t>69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Fires</w:t>
      </w:r>
      <w:r>
        <w:tab/>
      </w:r>
      <w:r>
        <w:fldChar w:fldCharType="begin"/>
      </w:r>
      <w:r>
        <w:instrText xml:space="preserve"> PAGEREF _Toc201566098 \h </w:instrText>
      </w:r>
      <w:r>
        <w:fldChar w:fldCharType="separate"/>
      </w:r>
      <w:r>
        <w:t>70</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t>Sandboarding</w:t>
      </w:r>
      <w:r>
        <w:tab/>
      </w:r>
      <w:r>
        <w:fldChar w:fldCharType="begin"/>
      </w:r>
      <w:r>
        <w:instrText xml:space="preserve"> PAGEREF _Toc201566099 \h </w:instrText>
      </w:r>
      <w:r>
        <w:fldChar w:fldCharType="separate"/>
      </w:r>
      <w:r>
        <w:t>71</w:t>
      </w:r>
      <w:r>
        <w:fldChar w:fldCharType="end"/>
      </w:r>
    </w:p>
    <w:p>
      <w:pPr>
        <w:pStyle w:val="TOC8"/>
        <w:rPr>
          <w:rFonts w:asciiTheme="minorHAnsi" w:eastAsiaTheme="minorEastAsia" w:hAnsiTheme="minorHAnsi" w:cstheme="minorBidi"/>
          <w:szCs w:val="22"/>
        </w:rPr>
      </w:pPr>
      <w:r>
        <w:t>60B</w:t>
      </w:r>
      <w:r>
        <w:rPr>
          <w:snapToGrid w:val="0"/>
        </w:rPr>
        <w:t>.</w:t>
      </w:r>
      <w:r>
        <w:rPr>
          <w:snapToGrid w:val="0"/>
        </w:rPr>
        <w:tab/>
        <w:t>Litter</w:t>
      </w:r>
      <w:r>
        <w:tab/>
      </w:r>
      <w:r>
        <w:fldChar w:fldCharType="begin"/>
      </w:r>
      <w:r>
        <w:instrText xml:space="preserve"> PAGEREF _Toc201566100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Protection of certain undertakings</w:t>
      </w:r>
    </w:p>
    <w:p>
      <w:pPr>
        <w:pStyle w:val="TOC8"/>
        <w:rPr>
          <w:rFonts w:asciiTheme="minorHAnsi" w:eastAsiaTheme="minorEastAsia" w:hAnsiTheme="minorHAnsi" w:cstheme="minorBidi"/>
          <w:szCs w:val="22"/>
        </w:rPr>
      </w:pPr>
      <w:r>
        <w:t>61</w:t>
      </w:r>
      <w:r>
        <w:rPr>
          <w:snapToGrid w:val="0"/>
        </w:rPr>
        <w:t>.</w:t>
      </w:r>
      <w:r>
        <w:rPr>
          <w:snapToGrid w:val="0"/>
        </w:rPr>
        <w:tab/>
        <w:t>Water supply facilities, protection of</w:t>
      </w:r>
      <w:r>
        <w:tab/>
      </w:r>
      <w:r>
        <w:fldChar w:fldCharType="begin"/>
      </w:r>
      <w:r>
        <w:instrText xml:space="preserve"> PAGEREF _Toc201566102 \h </w:instrText>
      </w:r>
      <w:r>
        <w:fldChar w:fldCharType="separate"/>
      </w:r>
      <w:r>
        <w:t>72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Electricity and gas supply facilities, protection of</w:t>
      </w:r>
      <w:r>
        <w:tab/>
      </w:r>
      <w:r>
        <w:fldChar w:fldCharType="begin"/>
      </w:r>
      <w:r>
        <w:instrText xml:space="preserve"> PAGEREF _Toc201566103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6 — Rottnest aerodrome</w:t>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_Toc201566105 \h </w:instrText>
      </w:r>
      <w:r>
        <w:fldChar w:fldCharType="separate"/>
      </w:r>
      <w:r>
        <w:t>74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Use and closure of aerodrome</w:t>
      </w:r>
      <w:r>
        <w:tab/>
      </w:r>
      <w:r>
        <w:fldChar w:fldCharType="begin"/>
      </w:r>
      <w:r>
        <w:instrText xml:space="preserve"> PAGEREF _Toc201566106 \h </w:instrText>
      </w:r>
      <w:r>
        <w:fldChar w:fldCharType="separate"/>
      </w:r>
      <w:r>
        <w:t>74</w:t>
      </w:r>
      <w:r>
        <w:fldChar w:fldCharType="end"/>
      </w:r>
    </w:p>
    <w:p>
      <w:pPr>
        <w:pStyle w:val="TOC8"/>
        <w:rPr>
          <w:rFonts w:asciiTheme="minorHAnsi" w:eastAsiaTheme="minorEastAsia" w:hAnsiTheme="minorHAnsi" w:cstheme="minorBidi"/>
          <w:szCs w:val="22"/>
        </w:rPr>
      </w:pPr>
      <w:r>
        <w:lastRenderedPageBreak/>
        <w:t>65</w:t>
      </w:r>
      <w:r>
        <w:rPr>
          <w:snapToGrid w:val="0"/>
        </w:rPr>
        <w:t>.</w:t>
      </w:r>
      <w:r>
        <w:rPr>
          <w:snapToGrid w:val="0"/>
        </w:rPr>
        <w:tab/>
        <w:t>Access to aerodrome</w:t>
      </w:r>
      <w:r>
        <w:tab/>
      </w:r>
      <w:r>
        <w:fldChar w:fldCharType="begin"/>
      </w:r>
      <w:r>
        <w:instrText xml:space="preserve"> PAGEREF _Toc201566107 \h </w:instrText>
      </w:r>
      <w:r>
        <w:fldChar w:fldCharType="separate"/>
      </w:r>
      <w:r>
        <w:t>74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Aircraft landings etc. restricted to aerodrome</w:t>
      </w:r>
      <w:r>
        <w:tab/>
      </w:r>
      <w:r>
        <w:fldChar w:fldCharType="begin"/>
      </w:r>
      <w:r>
        <w:instrText xml:space="preserve"> PAGEREF _Toc201566108 \h </w:instrText>
      </w:r>
      <w:r>
        <w:fldChar w:fldCharType="separate"/>
      </w:r>
      <w:r>
        <w:t>75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Parking of aircraft</w:t>
      </w:r>
      <w:r>
        <w:tab/>
      </w:r>
      <w:r>
        <w:fldChar w:fldCharType="begin"/>
      </w:r>
      <w:r>
        <w:instrText xml:space="preserve"> PAGEREF _Toc201566109 \h </w:instrText>
      </w:r>
      <w:r>
        <w:fldChar w:fldCharType="separate"/>
      </w:r>
      <w:r>
        <w:t>75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Removing certain persons from aerodrome</w:t>
      </w:r>
      <w:r>
        <w:tab/>
      </w:r>
      <w:r>
        <w:fldChar w:fldCharType="begin"/>
      </w:r>
      <w:r>
        <w:instrText xml:space="preserve"> PAGEREF _Toc201566110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7 — Offensive behaviour</w:t>
      </w:r>
    </w:p>
    <w:p>
      <w:pPr>
        <w:pStyle w:val="TOC8"/>
        <w:rPr>
          <w:rFonts w:asciiTheme="minorHAnsi" w:eastAsiaTheme="minorEastAsia" w:hAnsiTheme="minorHAnsi" w:cstheme="minorBidi"/>
          <w:szCs w:val="22"/>
        </w:rPr>
      </w:pPr>
      <w:r>
        <w:t>69</w:t>
      </w:r>
      <w:r>
        <w:rPr>
          <w:snapToGrid w:val="0"/>
        </w:rPr>
        <w:t>.</w:t>
      </w:r>
      <w:r>
        <w:rPr>
          <w:snapToGrid w:val="0"/>
        </w:rPr>
        <w:tab/>
        <w:t>Damage to property</w:t>
      </w:r>
      <w:r>
        <w:tab/>
      </w:r>
      <w:r>
        <w:fldChar w:fldCharType="begin"/>
      </w:r>
      <w:r>
        <w:instrText xml:space="preserve"> PAGEREF _Toc201566112 \h </w:instrText>
      </w:r>
      <w:r>
        <w:fldChar w:fldCharType="separate"/>
      </w:r>
      <w:r>
        <w:t>77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Assaults, indecent language, offensive behaviour etc.</w:t>
      </w:r>
      <w:r>
        <w:tab/>
      </w:r>
      <w:r>
        <w:fldChar w:fldCharType="begin"/>
      </w:r>
      <w:r>
        <w:instrText xml:space="preserve"> PAGEREF _Toc201566113 \h </w:instrText>
      </w:r>
      <w:r>
        <w:fldChar w:fldCharType="separate"/>
      </w:r>
      <w:r>
        <w:t>77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Unreasonable noise</w:t>
      </w:r>
      <w:r>
        <w:tab/>
      </w:r>
      <w:r>
        <w:fldChar w:fldCharType="begin"/>
      </w:r>
      <w:r>
        <w:instrText xml:space="preserve"> PAGEREF _Toc201566114 \h </w:instrText>
      </w:r>
      <w:r>
        <w:fldChar w:fldCharType="separate"/>
      </w:r>
      <w:r>
        <w:t>78</w:t>
      </w:r>
      <w:r>
        <w:fldChar w:fldCharType="end"/>
      </w:r>
    </w:p>
    <w:p>
      <w:pPr>
        <w:pStyle w:val="TOC8"/>
        <w:rPr>
          <w:rFonts w:asciiTheme="minorHAnsi" w:eastAsiaTheme="minorEastAsia" w:hAnsiTheme="minorHAnsi" w:cstheme="minorBidi"/>
          <w:szCs w:val="22"/>
        </w:rPr>
      </w:pPr>
      <w:r>
        <w:t>72.</w:t>
      </w:r>
      <w:r>
        <w:tab/>
        <w:t>Possession of liquor at Kingstown Barracks prohibited</w:t>
      </w:r>
      <w:r>
        <w:tab/>
      </w:r>
      <w:r>
        <w:fldChar w:fldCharType="begin"/>
      </w:r>
      <w:r>
        <w:instrText xml:space="preserve"> PAGEREF _Toc201566115 \h </w:instrText>
      </w:r>
      <w:r>
        <w:fldChar w:fldCharType="separate"/>
      </w:r>
      <w:r>
        <w:t>78</w:t>
      </w:r>
      <w:r>
        <w:fldChar w:fldCharType="end"/>
      </w:r>
    </w:p>
    <w:p>
      <w:pPr>
        <w:pStyle w:val="TOC8"/>
        <w:rPr>
          <w:rFonts w:asciiTheme="minorHAnsi" w:eastAsiaTheme="minorEastAsia" w:hAnsiTheme="minorHAnsi" w:cstheme="minorBidi"/>
          <w:szCs w:val="22"/>
        </w:rPr>
      </w:pPr>
      <w:r>
        <w:t>72AA.</w:t>
      </w:r>
      <w:r>
        <w:tab/>
        <w:t>Ranger may direct person to stop activity</w:t>
      </w:r>
      <w:r>
        <w:tab/>
      </w:r>
      <w:r>
        <w:fldChar w:fldCharType="begin"/>
      </w:r>
      <w:r>
        <w:instrText xml:space="preserve"> PAGEREF _Toc201566116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72A</w:t>
      </w:r>
      <w:r>
        <w:rPr>
          <w:snapToGrid w:val="0"/>
        </w:rPr>
        <w:t>.</w:t>
      </w:r>
      <w:r>
        <w:rPr>
          <w:snapToGrid w:val="0"/>
        </w:rPr>
        <w:tab/>
        <w:t>Adequate insurance cover, specification of</w:t>
      </w:r>
      <w:r>
        <w:tab/>
      </w:r>
      <w:r>
        <w:fldChar w:fldCharType="begin"/>
      </w:r>
      <w:r>
        <w:instrText xml:space="preserve"> PAGEREF _Toc201566118 \h </w:instrText>
      </w:r>
      <w:r>
        <w:fldChar w:fldCharType="separate"/>
      </w:r>
      <w:r>
        <w:t>80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Infringement notices</w:t>
      </w:r>
      <w:r>
        <w:tab/>
      </w:r>
      <w:r>
        <w:fldChar w:fldCharType="begin"/>
      </w:r>
      <w:r>
        <w:instrText xml:space="preserve"> PAGEREF _Toc201566119 \h </w:instrText>
      </w:r>
      <w:r>
        <w:fldChar w:fldCharType="separate"/>
      </w:r>
      <w:r>
        <w:t>81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Abandoned or dangerous property, removal of</w:t>
      </w:r>
      <w:r>
        <w:tab/>
      </w:r>
      <w:r>
        <w:fldChar w:fldCharType="begin"/>
      </w:r>
      <w:r>
        <w:instrText xml:space="preserve"> PAGEREF _Toc201566120 \h </w:instrText>
      </w:r>
      <w:r>
        <w:fldChar w:fldCharType="separate"/>
      </w:r>
      <w:r>
        <w:t>81</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False information</w:t>
      </w:r>
      <w:r>
        <w:tab/>
      </w:r>
      <w:r>
        <w:fldChar w:fldCharType="begin"/>
      </w:r>
      <w:r>
        <w:instrText xml:space="preserve"> PAGEREF _Toc201566121 \h </w:instrText>
      </w:r>
      <w:r>
        <w:fldChar w:fldCharType="separate"/>
      </w:r>
      <w:r>
        <w:t>82</w:t>
      </w:r>
      <w:r>
        <w:fldChar w:fldCharType="end"/>
      </w:r>
    </w:p>
    <w:p>
      <w:pPr>
        <w:pStyle w:val="TOC8"/>
        <w:rPr>
          <w:rFonts w:asciiTheme="minorHAnsi" w:eastAsiaTheme="minorEastAsia" w:hAnsiTheme="minorHAnsi" w:cstheme="minorBidi"/>
          <w:szCs w:val="22"/>
        </w:rPr>
      </w:pPr>
      <w:r>
        <w:t>74B.</w:t>
      </w:r>
      <w:r>
        <w:tab/>
        <w:t>Offences relating to stickers and documents issued by Authority</w:t>
      </w:r>
      <w:r>
        <w:tab/>
      </w:r>
      <w:r>
        <w:fldChar w:fldCharType="begin"/>
      </w:r>
      <w:r>
        <w:instrText xml:space="preserve"> PAGEREF _Toc201566122 \h </w:instrText>
      </w:r>
      <w:r>
        <w:fldChar w:fldCharType="separate"/>
      </w:r>
      <w:r>
        <w:t>83</w:t>
      </w:r>
      <w:r>
        <w:fldChar w:fldCharType="end"/>
      </w:r>
    </w:p>
    <w:p>
      <w:pPr>
        <w:pStyle w:val="TOC8"/>
        <w:rPr>
          <w:rFonts w:asciiTheme="minorHAnsi" w:eastAsiaTheme="minorEastAsia" w:hAnsiTheme="minorHAnsi" w:cstheme="minorBidi"/>
          <w:szCs w:val="22"/>
        </w:rPr>
      </w:pPr>
      <w:r>
        <w:t>74C.</w:t>
      </w:r>
      <w:r>
        <w:tab/>
        <w:t>Offences relating to documents issued by mooring site licensee</w:t>
      </w:r>
      <w:r>
        <w:tab/>
      </w:r>
      <w:r>
        <w:fldChar w:fldCharType="begin"/>
      </w:r>
      <w:r>
        <w:instrText xml:space="preserve"> PAGEREF _Toc201566123 \h </w:instrText>
      </w:r>
      <w:r>
        <w:fldChar w:fldCharType="separate"/>
      </w:r>
      <w:r>
        <w:t>83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Repeal and transitional provisions</w:t>
      </w:r>
      <w:r>
        <w:tab/>
      </w:r>
      <w:r>
        <w:fldChar w:fldCharType="begin"/>
      </w:r>
      <w:r>
        <w:instrText xml:space="preserve"> PAGEREF _Toc201566124 \h </w:instrText>
      </w:r>
      <w:r>
        <w:fldChar w:fldCharType="separate"/>
      </w:r>
      <w:r>
        <w:t>84</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Forms</w:t>
      </w:r>
    </w:p>
    <w:p>
      <w:pPr>
        <w:pStyle w:val="TOC4"/>
        <w:keepNext w:val="0"/>
        <w:tabs>
          <w:tab w:val="right" w:leader="dot" w:pos="7077"/>
        </w:tabs>
        <w:rPr>
          <w:rFonts w:asciiTheme="minorHAnsi" w:eastAsiaTheme="minorEastAsia" w:hAnsiTheme="minorHAnsi" w:cstheme="minorBidi"/>
          <w:b w:val="0"/>
          <w:szCs w:val="22"/>
        </w:rPr>
      </w:pPr>
      <w:r>
        <w:rPr>
          <w:bCs/>
        </w:rPr>
        <w:t>Form 2</w:t>
      </w:r>
    </w:p>
    <w:p>
      <w:pPr>
        <w:pStyle w:val="TOC4"/>
        <w:keepNext w:val="0"/>
        <w:tabs>
          <w:tab w:val="right" w:leader="dot" w:pos="7077"/>
        </w:tabs>
        <w:rPr>
          <w:rFonts w:asciiTheme="minorHAnsi" w:eastAsiaTheme="minorEastAsia" w:hAnsiTheme="minorHAnsi" w:cstheme="minorBidi"/>
          <w:b w:val="0"/>
          <w:szCs w:val="22"/>
        </w:rPr>
      </w:pPr>
      <w:r>
        <w:rPr>
          <w:bCs/>
        </w:rPr>
        <w:t>Form 3</w:t>
      </w:r>
    </w:p>
    <w:p>
      <w:pPr>
        <w:pStyle w:val="TOC2"/>
        <w:keepNext w:val="0"/>
        <w:tabs>
          <w:tab w:val="right" w:leader="dot" w:pos="7077"/>
        </w:tabs>
        <w:rPr>
          <w:rFonts w:asciiTheme="minorHAnsi" w:eastAsiaTheme="minorEastAsia" w:hAnsiTheme="minorHAnsi" w:cstheme="minorBidi"/>
          <w:b w:val="0"/>
          <w:sz w:val="22"/>
          <w:szCs w:val="22"/>
        </w:rPr>
      </w:pPr>
      <w:r>
        <w:t>Schedule 2</w:t>
      </w:r>
    </w:p>
    <w:p>
      <w:pPr>
        <w:pStyle w:val="TOC4"/>
        <w:keepNext w:val="0"/>
        <w:tabs>
          <w:tab w:val="right" w:leader="dot" w:pos="7077"/>
        </w:tabs>
        <w:rPr>
          <w:rFonts w:asciiTheme="minorHAnsi" w:eastAsiaTheme="minorEastAsia" w:hAnsiTheme="minorHAnsi" w:cstheme="minorBidi"/>
          <w:b w:val="0"/>
          <w:szCs w:val="22"/>
        </w:rPr>
      </w:pPr>
      <w:r>
        <w:t>Part A — Water catchment area</w:t>
      </w:r>
    </w:p>
    <w:p>
      <w:pPr>
        <w:pStyle w:val="TOC4"/>
        <w:keepNext w:val="0"/>
        <w:tabs>
          <w:tab w:val="right" w:leader="dot" w:pos="7077"/>
        </w:tabs>
        <w:rPr>
          <w:rFonts w:asciiTheme="minorHAnsi" w:eastAsiaTheme="minorEastAsia" w:hAnsiTheme="minorHAnsi" w:cstheme="minorBidi"/>
          <w:b w:val="0"/>
          <w:szCs w:val="22"/>
        </w:rPr>
      </w:pPr>
      <w:r>
        <w:t>Part B — Waste</w:t>
      </w:r>
      <w:r>
        <w:noBreakHyphen/>
        <w:t>water treatment facility</w:t>
      </w:r>
    </w:p>
    <w:p>
      <w:pPr>
        <w:pStyle w:val="TOC2"/>
        <w:keepNext w:val="0"/>
        <w:tabs>
          <w:tab w:val="right" w:leader="dot" w:pos="7077"/>
        </w:tabs>
        <w:rPr>
          <w:rFonts w:asciiTheme="minorHAnsi" w:eastAsiaTheme="minorEastAsia" w:hAnsiTheme="minorHAnsi" w:cstheme="minorBidi"/>
          <w:b w:val="0"/>
          <w:sz w:val="22"/>
          <w:szCs w:val="22"/>
        </w:rPr>
      </w:pPr>
      <w:r>
        <w:t>Schedule 3</w:t>
      </w:r>
    </w:p>
    <w:p>
      <w:pPr>
        <w:pStyle w:val="TOC2"/>
        <w:keepNext w:val="0"/>
        <w:tabs>
          <w:tab w:val="right" w:leader="dot" w:pos="7077"/>
        </w:tabs>
        <w:rPr>
          <w:rFonts w:asciiTheme="minorHAnsi" w:eastAsiaTheme="minorEastAsia" w:hAnsiTheme="minorHAnsi" w:cstheme="minorBidi"/>
          <w:b w:val="0"/>
          <w:sz w:val="22"/>
          <w:szCs w:val="22"/>
        </w:rPr>
      </w:pPr>
      <w:r>
        <w:t>Rottnest aerodrome</w:t>
      </w:r>
    </w:p>
    <w:p>
      <w:pPr>
        <w:pStyle w:val="TOC2"/>
        <w:keepNext w:val="0"/>
        <w:tabs>
          <w:tab w:val="right" w:leader="dot" w:pos="7077"/>
        </w:tabs>
        <w:rPr>
          <w:rFonts w:asciiTheme="minorHAnsi" w:eastAsiaTheme="minorEastAsia" w:hAnsiTheme="minorHAnsi" w:cstheme="minorBidi"/>
          <w:b w:val="0"/>
          <w:sz w:val="22"/>
          <w:szCs w:val="22"/>
        </w:rPr>
      </w:pPr>
      <w:r>
        <w:t>Schedule 4A — Kingstown Barracks</w:t>
      </w:r>
    </w:p>
    <w:p>
      <w:pPr>
        <w:pStyle w:val="TOC2"/>
        <w:keepNext w:val="0"/>
        <w:tabs>
          <w:tab w:val="right" w:leader="dot" w:pos="7077"/>
        </w:tabs>
        <w:rPr>
          <w:rFonts w:asciiTheme="minorHAnsi" w:eastAsiaTheme="minorEastAsia" w:hAnsiTheme="minorHAnsi" w:cstheme="minorBidi"/>
          <w:b w:val="0"/>
          <w:sz w:val="22"/>
          <w:szCs w:val="22"/>
        </w:rPr>
      </w:pPr>
      <w:r>
        <w:lastRenderedPageBreak/>
        <w:t>Schedule 4 — Offences to which modified penalties apply</w:t>
      </w:r>
    </w:p>
    <w:p>
      <w:pPr>
        <w:pStyle w:val="TOC2"/>
        <w:tabs>
          <w:tab w:val="right" w:leader="dot" w:pos="7077"/>
        </w:tabs>
        <w:rPr>
          <w:rFonts w:asciiTheme="minorHAnsi" w:eastAsiaTheme="minorEastAsia" w:hAnsiTheme="minorHAnsi" w:cstheme="minorBidi"/>
          <w:b w:val="0"/>
          <w:sz w:val="22"/>
          <w:szCs w:val="22"/>
        </w:rPr>
      </w:pPr>
      <w:r>
        <w:t>Schedule 6 — Aerodrome usage fees</w:t>
      </w:r>
    </w:p>
    <w:p>
      <w:pPr>
        <w:pStyle w:val="TOC2"/>
        <w:tabs>
          <w:tab w:val="right" w:leader="dot" w:pos="7077"/>
        </w:tabs>
        <w:rPr>
          <w:rFonts w:asciiTheme="minorHAnsi" w:eastAsiaTheme="minorEastAsia" w:hAnsiTheme="minorHAnsi" w:cstheme="minorBidi"/>
          <w:b w:val="0"/>
          <w:sz w:val="22"/>
          <w:szCs w:val="22"/>
        </w:rPr>
      </w:pPr>
      <w:r>
        <w:t>Schedule 7 — Miscellaneous fees</w:t>
      </w:r>
    </w:p>
    <w:p>
      <w:pPr>
        <w:pStyle w:val="TOC4"/>
        <w:tabs>
          <w:tab w:val="right" w:leader="dot" w:pos="7077"/>
        </w:tabs>
        <w:rPr>
          <w:rFonts w:asciiTheme="minorHAnsi" w:eastAsiaTheme="minorEastAsia" w:hAnsiTheme="minorHAnsi" w:cstheme="minorBidi"/>
          <w:b w:val="0"/>
          <w:szCs w:val="22"/>
        </w:rPr>
      </w:pPr>
      <w:r>
        <w:t>Division 1 — Admission fees</w:t>
      </w:r>
    </w:p>
    <w:p>
      <w:pPr>
        <w:pStyle w:val="TOC4"/>
        <w:tabs>
          <w:tab w:val="right" w:leader="dot" w:pos="7077"/>
        </w:tabs>
        <w:rPr>
          <w:rFonts w:asciiTheme="minorHAnsi" w:eastAsiaTheme="minorEastAsia" w:hAnsiTheme="minorHAnsi" w:cstheme="minorBidi"/>
          <w:b w:val="0"/>
          <w:szCs w:val="22"/>
        </w:rPr>
      </w:pPr>
      <w:r>
        <w:t>Division 2 — Mooring site licences</w:t>
      </w:r>
    </w:p>
    <w:p>
      <w:pPr>
        <w:pStyle w:val="TOC4"/>
        <w:tabs>
          <w:tab w:val="right" w:leader="dot" w:pos="7077"/>
        </w:tabs>
        <w:rPr>
          <w:rFonts w:asciiTheme="minorHAnsi" w:eastAsiaTheme="minorEastAsia" w:hAnsiTheme="minorHAnsi" w:cstheme="minorBidi"/>
          <w:b w:val="0"/>
          <w:szCs w:val="22"/>
        </w:rPr>
      </w:pPr>
      <w:r>
        <w:t>Division 3 — Authorised user payment</w:t>
      </w:r>
    </w:p>
    <w:p>
      <w:pPr>
        <w:pStyle w:val="TOC2"/>
        <w:tabs>
          <w:tab w:val="right" w:leader="dot" w:pos="7077"/>
        </w:tabs>
        <w:rPr>
          <w:rFonts w:asciiTheme="minorHAnsi" w:eastAsiaTheme="minorEastAsia" w:hAnsiTheme="minorHAnsi" w:cstheme="minorBidi"/>
          <w:b w:val="0"/>
          <w:sz w:val="22"/>
          <w:szCs w:val="22"/>
        </w:rPr>
      </w:pPr>
      <w:r>
        <w:t>Schedule 8 — Berthing fee for main jetty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_Toc201566142 \h </w:instrText>
      </w:r>
      <w:r>
        <w:fldChar w:fldCharType="separate"/>
      </w:r>
      <w:r>
        <w:t>104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_Toc201566143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600"/>
        <w:rPr>
          <w:snapToGrid w:val="0"/>
        </w:rPr>
      </w:pPr>
      <w:r>
        <w:rPr>
          <w:snapToGrid w:val="0"/>
        </w:rPr>
        <w:lastRenderedPageBreak/>
        <w:t>Rottnest Island Authority Act 1987</w:t>
      </w:r>
    </w:p>
    <w:p>
      <w:pPr>
        <w:pStyle w:val="NameofActReg"/>
        <w:spacing w:before="600" w:after="720"/>
      </w:pPr>
      <w:r>
        <w:t>Rottnest Island Regulations 1988</w:t>
      </w:r>
    </w:p>
    <w:p>
      <w:pPr>
        <w:pStyle w:val="Heading2"/>
        <w:pageBreakBefore w:val="0"/>
        <w:spacing w:before="240"/>
      </w:pPr>
      <w:bookmarkStart w:id="2" w:name="_Toc201314336"/>
      <w:bookmarkStart w:id="3" w:name="_Toc201318432"/>
      <w:bookmarkStart w:id="4" w:name="_Toc201318591"/>
      <w:bookmarkStart w:id="5" w:name="_Toc20156598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201565987"/>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w:t>
      </w:r>
    </w:p>
    <w:p>
      <w:pPr>
        <w:pStyle w:val="Heading5"/>
        <w:rPr>
          <w:snapToGrid w:val="0"/>
        </w:rPr>
      </w:pPr>
      <w:bookmarkStart w:id="7" w:name="_Toc201565988"/>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p>
    <w:p>
      <w:pPr>
        <w:pStyle w:val="Heading5"/>
        <w:rPr>
          <w:snapToGrid w:val="0"/>
        </w:rPr>
      </w:pPr>
      <w:bookmarkStart w:id="8" w:name="_Toc201565989"/>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lastRenderedPageBreak/>
        <w:tab/>
      </w:r>
      <w:r>
        <w:rPr>
          <w:rStyle w:val="CharDefText"/>
        </w:rPr>
        <w:t>certificate of registration</w:t>
      </w:r>
      <w:r>
        <w:t xml:space="preserve"> means a certificate of registration issued under the </w:t>
      </w:r>
      <w:r>
        <w:rPr>
          <w:i/>
        </w:rPr>
        <w:t>Navigable Waters Regulations 1958</w:t>
      </w:r>
      <w:r>
        <w:rPr>
          <w:vertAlign w:val="superscript"/>
        </w:rPr>
        <w:t> 1</w:t>
      </w:r>
      <w:r>
        <w:t>;</w:t>
      </w:r>
    </w:p>
    <w:p>
      <w:pPr>
        <w:pStyle w:val="Defstart"/>
      </w:pPr>
      <w:r>
        <w:rPr>
          <w:b/>
        </w:rPr>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1</w:t>
      </w:r>
      <w:r>
        <w:rPr>
          <w:iCs/>
        </w:rPr>
        <w:t> </w:t>
      </w:r>
      <w:r>
        <w:t>— </w:t>
      </w:r>
    </w:p>
    <w:p>
      <w:pPr>
        <w:pStyle w:val="Defsubpara"/>
      </w:pPr>
      <w:r>
        <w:tab/>
        <w:t>(i)</w:t>
      </w:r>
      <w:r>
        <w:tab/>
        <w:t>the length of the vessel specified in the certificate of registration of that vessel; or</w:t>
      </w:r>
    </w:p>
    <w:p>
      <w:pPr>
        <w:pStyle w:val="Defsubpara"/>
        <w:keepNext/>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lastRenderedPageBreak/>
        <w:tab/>
      </w:r>
      <w:r>
        <w:rPr>
          <w:rStyle w:val="CharDefText"/>
        </w:rPr>
        <w:t>liquor</w:t>
      </w:r>
      <w:r>
        <w:t xml:space="preserve"> has the meaning given in the </w:t>
      </w:r>
      <w:r>
        <w:rPr>
          <w:i/>
        </w:rPr>
        <w:t>Liquor Control Act 1988</w:t>
      </w:r>
      <w:r>
        <w:t xml:space="preserve"> section 3(1);</w:t>
      </w:r>
    </w:p>
    <w:p>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lastRenderedPageBreak/>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waters of the Island</w:t>
      </w:r>
      <w:r>
        <w:t xml:space="preserve"> means the waters referred to in section 4(b) of the Act.</w:t>
      </w:r>
    </w:p>
    <w:p>
      <w:pPr>
        <w:pStyle w:val="Footnotesection"/>
        <w:ind w:left="890" w:hanging="890"/>
      </w:pPr>
      <w:r>
        <w:tab/>
        <w:t>[Regulation 3 amended: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rPr>
          <w:snapToGrid w:val="0"/>
        </w:rPr>
      </w:pPr>
      <w:bookmarkStart w:id="9" w:name="_Toc201565990"/>
      <w:r>
        <w:rPr>
          <w:rStyle w:val="CharSectno"/>
        </w:rPr>
        <w:t>4</w:t>
      </w:r>
      <w:r>
        <w:rPr>
          <w:snapToGrid w:val="0"/>
        </w:rPr>
        <w:t>.</w:t>
      </w:r>
      <w:r>
        <w:rPr>
          <w:snapToGrid w:val="0"/>
        </w:rPr>
        <w:tab/>
        <w:t>Permission, meaning, granting etc. of</w:t>
      </w:r>
      <w:bookmarkEnd w:id="9"/>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keepNext/>
        <w:rPr>
          <w:snapToGrid w:val="0"/>
        </w:rPr>
      </w:pPr>
      <w:r>
        <w:rPr>
          <w:snapToGrid w:val="0"/>
        </w:rPr>
        <w:lastRenderedPageBreak/>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10" w:name="_Toc201314341"/>
      <w:bookmarkStart w:id="11" w:name="_Toc201318437"/>
      <w:bookmarkStart w:id="12" w:name="_Toc201318596"/>
      <w:bookmarkStart w:id="13" w:name="_Toc201565991"/>
      <w:r>
        <w:rPr>
          <w:rStyle w:val="CharPartNo"/>
        </w:rPr>
        <w:lastRenderedPageBreak/>
        <w:t>Part 2</w:t>
      </w:r>
      <w:r>
        <w:rPr>
          <w:b w:val="0"/>
        </w:rPr>
        <w:t> </w:t>
      </w:r>
      <w:r>
        <w:t>—</w:t>
      </w:r>
      <w:r>
        <w:rPr>
          <w:b w:val="0"/>
        </w:rPr>
        <w:t> </w:t>
      </w:r>
      <w:r>
        <w:rPr>
          <w:rStyle w:val="CharPartText"/>
        </w:rPr>
        <w:t>Fees</w:t>
      </w:r>
      <w:bookmarkEnd w:id="10"/>
      <w:bookmarkEnd w:id="11"/>
      <w:bookmarkEnd w:id="12"/>
      <w:bookmarkEnd w:id="13"/>
    </w:p>
    <w:p>
      <w:pPr>
        <w:pStyle w:val="Footnoteheading"/>
        <w:tabs>
          <w:tab w:val="left" w:pos="851"/>
        </w:tabs>
      </w:pPr>
      <w:r>
        <w:tab/>
        <w:t>[Heading inserted: Gazette 29 Jun 2004 p. 2546.]</w:t>
      </w:r>
    </w:p>
    <w:p>
      <w:pPr>
        <w:pStyle w:val="Heading5"/>
        <w:rPr>
          <w:snapToGrid w:val="0"/>
        </w:rPr>
      </w:pPr>
      <w:bookmarkStart w:id="14" w:name="_Toc201565992"/>
      <w:r>
        <w:rPr>
          <w:rStyle w:val="CharSectno"/>
        </w:rPr>
        <w:t>5</w:t>
      </w:r>
      <w:r>
        <w:rPr>
          <w:snapToGrid w:val="0"/>
        </w:rPr>
        <w:t>.</w:t>
      </w:r>
      <w:r>
        <w:rPr>
          <w:snapToGrid w:val="0"/>
        </w:rPr>
        <w:tab/>
        <w:t>Admission fees</w:t>
      </w:r>
      <w:bookmarkEnd w:id="14"/>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Island.</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r>
        <w:t xml:space="preserve">ferry or domestic commercial vessel, by the operator of the ferry or vessel </w:t>
      </w:r>
      <w:r>
        <w:rPr>
          <w:snapToGrid w:val="0"/>
        </w:rPr>
        <w:t xml:space="preserve">in accordance with </w:t>
      </w:r>
      <w:r>
        <w:t>regulation 6 or 7A;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who is a permanent resident on the Island;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pPr>
      <w:r>
        <w:rPr>
          <w:snapToGrid w:val="0"/>
        </w:rPr>
        <w:tab/>
        <w:t>(e)</w:t>
      </w:r>
      <w:r>
        <w:rPr>
          <w:snapToGrid w:val="0"/>
        </w:rPr>
        <w:tab/>
        <w:t xml:space="preserve">who has paid an admission fee and has not returned to the mainland since that payment was </w:t>
      </w:r>
      <w:r>
        <w:t>made.</w:t>
      </w:r>
    </w:p>
    <w:p>
      <w:pPr>
        <w:pStyle w:val="Subsection"/>
        <w:keepNext/>
        <w:rPr>
          <w:snapToGrid w:val="0"/>
        </w:rPr>
      </w:pPr>
      <w:r>
        <w:rPr>
          <w:snapToGrid w:val="0"/>
        </w:rPr>
        <w:lastRenderedPageBreak/>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Gazette 9 Nov 1990 p. 5589; 14 Jun 1991 p. 2914; 29 Oct 1993 p. 5928; 14 Dec 1993 p. 6667; 4 Jul 1997 p. 3511; 24 Apr 2003 p. 1272; 8 Dec 2009 p. 5002; 22 Sep 2015 p. 3850; 25 Oct 2016 p. 4874; 21 Dec 2018 p. 4854.] </w:t>
      </w:r>
    </w:p>
    <w:p>
      <w:pPr>
        <w:pStyle w:val="Heading5"/>
      </w:pPr>
      <w:bookmarkStart w:id="15" w:name="_Toc201565993"/>
      <w:r>
        <w:rPr>
          <w:rStyle w:val="CharSectno"/>
        </w:rPr>
        <w:t>6</w:t>
      </w:r>
      <w:r>
        <w:t>.</w:t>
      </w:r>
      <w:r>
        <w:tab/>
        <w:t>Collection and payment of admission fees by ferry operators</w:t>
      </w:r>
      <w:bookmarkEnd w:id="15"/>
    </w:p>
    <w:p>
      <w:pPr>
        <w:pStyle w:val="Subsection"/>
        <w:spacing w:before="120"/>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spacing w:before="120"/>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spacing w:before="120"/>
      </w:pPr>
      <w:r>
        <w:tab/>
        <w:t>(3)</w:t>
      </w:r>
      <w:r>
        <w:tab/>
        <w:t>The fees must be remitted under subregulation (1)(b) together with a return made in an approved form that is duly completed.</w:t>
      </w:r>
    </w:p>
    <w:p>
      <w:pPr>
        <w:pStyle w:val="Subsection"/>
        <w:spacing w:before="120"/>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keepNext/>
      </w:pPr>
      <w:r>
        <w:tab/>
        <w:t>(5)</w:t>
      </w:r>
      <w:r>
        <w:tab/>
        <w:t xml:space="preserve">If an operator of a ferry fails to remit to the Authority the amount of any admission fees collected or required to be collected by the operator under subregulation (1), the Authority </w:t>
      </w:r>
      <w:r>
        <w:lastRenderedPageBreak/>
        <w:t>may recover from the operator the amount that has not been remitted in a court of competent jurisdiction.</w:t>
      </w:r>
    </w:p>
    <w:p>
      <w:pPr>
        <w:pStyle w:val="Footnotesection"/>
        <w:ind w:left="890" w:hanging="890"/>
      </w:pPr>
      <w:r>
        <w:tab/>
        <w:t>[Regulation 6 inserted: Gazette 22 Sep 2015 p. 3851.]</w:t>
      </w:r>
    </w:p>
    <w:p>
      <w:pPr>
        <w:pStyle w:val="Heading5"/>
      </w:pPr>
      <w:bookmarkStart w:id="16" w:name="_Toc201565994"/>
      <w:r>
        <w:rPr>
          <w:rStyle w:val="CharSectno"/>
        </w:rPr>
        <w:t>6A</w:t>
      </w:r>
      <w:r>
        <w:t>.</w:t>
      </w:r>
      <w:r>
        <w:tab/>
        <w:t>Audit of accounts etc. of certain transport operators as to admission fees</w:t>
      </w:r>
      <w:bookmarkEnd w:id="16"/>
    </w:p>
    <w:p>
      <w:pPr>
        <w:pStyle w:val="Subsection"/>
      </w:pPr>
      <w:r>
        <w:tab/>
        <w:t>(1)</w:t>
      </w:r>
      <w:r>
        <w:tab/>
        <w:t>The Authority may cause the accounts and records of admission fees collected by the operator of a ferry or domestic commercial vessel who is required to remit admission fees under regulation 6(1)(b) or 7A(6)(b) to be audited.</w:t>
      </w:r>
    </w:p>
    <w:p>
      <w:pPr>
        <w:pStyle w:val="Subsection"/>
      </w:pPr>
      <w:r>
        <w:tab/>
        <w:t>(2)</w:t>
      </w:r>
      <w:r>
        <w:tab/>
        <w:t xml:space="preserve">An operator of a ferry or domestic commercial vessel 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 Gazette 24 Apr 2003 p. 1272; amended: Gazette 22 Sep 2015 p. 3851</w:t>
      </w:r>
      <w:r>
        <w:noBreakHyphen/>
        <w:t>2 and 3862; 25 Oct 2016 p. 4875; 21 Dec 2018 p. 4854.]</w:t>
      </w:r>
    </w:p>
    <w:p>
      <w:pPr>
        <w:pStyle w:val="Heading5"/>
        <w:rPr>
          <w:snapToGrid w:val="0"/>
        </w:rPr>
      </w:pPr>
      <w:bookmarkStart w:id="17" w:name="_Toc201565995"/>
      <w:r>
        <w:rPr>
          <w:rStyle w:val="CharSectno"/>
        </w:rPr>
        <w:t>7</w:t>
      </w:r>
      <w:r>
        <w:rPr>
          <w:snapToGrid w:val="0"/>
        </w:rPr>
        <w:t>.</w:t>
      </w:r>
      <w:r>
        <w:rPr>
          <w:snapToGrid w:val="0"/>
        </w:rPr>
        <w:tab/>
        <w:t>Annual fee for non</w:t>
      </w:r>
      <w:r>
        <w:rPr>
          <w:snapToGrid w:val="0"/>
        </w:rPr>
        <w:noBreakHyphen/>
        <w:t>commercial vessels etc. in lieu of admission fees</w:t>
      </w:r>
      <w:bookmarkEnd w:id="17"/>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(not being a vessel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lastRenderedPageBreak/>
        <w:tab/>
        <w:t>(b)</w:t>
      </w:r>
      <w:r>
        <w:rPr>
          <w:snapToGrid w:val="0"/>
        </w:rPr>
        <w:tab/>
        <w:t>an adhesive sticker issued by the Authority on receipt of that amount is exhibited on that vessel in such a position as to be clearly visible from the exterior,</w:t>
      </w:r>
    </w:p>
    <w:p>
      <w:pPr>
        <w:pStyle w:val="Subsection"/>
        <w:spacing w:before="180"/>
        <w:rPr>
          <w:snapToGrid w:val="0"/>
        </w:rPr>
      </w:pPr>
      <w:r>
        <w:rPr>
          <w:snapToGrid w:val="0"/>
        </w:rPr>
        <w:tab/>
      </w:r>
      <w:r>
        <w:rPr>
          <w:snapToGrid w:val="0"/>
        </w:rPr>
        <w:tab/>
        <w:t>a person who is carried to the Island on that vessel during that year is taken to have paid the admission fee required under regulation 5.</w:t>
      </w:r>
    </w:p>
    <w:p>
      <w:pPr>
        <w:pStyle w:val="Subsection"/>
        <w:spacing w:before="180"/>
      </w:pPr>
      <w:r>
        <w:tab/>
        <w:t>(2)</w:t>
      </w:r>
      <w:r>
        <w:tab/>
      </w:r>
      <w:r>
        <w:rPr>
          <w:snapToGrid w:val="0"/>
        </w:rPr>
        <w:t xml:space="preserve">A person who is in charge of the vessel must ensure that the adhesive sticker is exhibited on the vessel in accordance with subregulation (1)(b) while the vessel is moored within the limits </w:t>
      </w:r>
      <w:r>
        <w:t>of</w:t>
      </w:r>
      <w:r>
        <w:rPr>
          <w:snapToGrid w:val="0"/>
        </w:rPr>
        <w:t xml:space="preserve"> the Island.</w:t>
      </w:r>
    </w:p>
    <w:p>
      <w:pPr>
        <w:pStyle w:val="Penstart"/>
        <w:spacing w:before="120"/>
      </w:pPr>
      <w:r>
        <w:tab/>
        <w:t>Penalty for an offence under this subregulation: a fine of $750.</w:t>
      </w:r>
    </w:p>
    <w:p>
      <w:pPr>
        <w:pStyle w:val="Footnotesection"/>
        <w:ind w:left="890" w:hanging="890"/>
      </w:pPr>
      <w:r>
        <w:tab/>
        <w:t xml:space="preserve">[Regulation 7 inserted: Gazette 4 Jul 1997 p. 3511; amended: Gazette 17 Dec 2010 p. 6360; 22 Sep 2015 p. 3852; 25 Oct 2016 p. 4875.] </w:t>
      </w:r>
    </w:p>
    <w:p>
      <w:pPr>
        <w:pStyle w:val="Heading5"/>
      </w:pPr>
      <w:bookmarkStart w:id="18" w:name="_Toc201565996"/>
      <w:r>
        <w:rPr>
          <w:rStyle w:val="CharSectno"/>
        </w:rPr>
        <w:t>7A</w:t>
      </w:r>
      <w:r>
        <w:t>.</w:t>
      </w:r>
      <w:r>
        <w:tab/>
        <w:t>Payment of admission fees by domestic commercial vessel operators</w:t>
      </w:r>
      <w:bookmarkEnd w:id="18"/>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lastRenderedPageBreak/>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keepNext/>
      </w:pPr>
      <w:r>
        <w:tab/>
        <w:t>(6)</w:t>
      </w:r>
      <w:r>
        <w:tab/>
        <w:t xml:space="preserve">The operator of the domestic commercial vessel must — </w:t>
      </w:r>
    </w:p>
    <w:p>
      <w:pPr>
        <w:pStyle w:val="Indenta"/>
      </w:pPr>
      <w:r>
        <w:tab/>
        <w:t>(a)</w:t>
      </w:r>
      <w:r>
        <w:tab/>
        <w:t>before the vessel enters within the limits of the Island, collect, or cause to be collected, from each passenger on the vessel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pPr>
      <w:r>
        <w:tab/>
        <w:t>[Regulation 7A inserted: Gazette 22 Sep 2015 p. 3852</w:t>
      </w:r>
      <w:r>
        <w:noBreakHyphen/>
        <w:t>3; amended: Gazette 25 Oct 2016 p. 4875.]</w:t>
      </w:r>
    </w:p>
    <w:p>
      <w:pPr>
        <w:pStyle w:val="Heading5"/>
        <w:rPr>
          <w:snapToGrid w:val="0"/>
        </w:rPr>
      </w:pPr>
      <w:bookmarkStart w:id="19" w:name="_Toc201565997"/>
      <w:r>
        <w:rPr>
          <w:rStyle w:val="CharSectno"/>
        </w:rPr>
        <w:t>7B</w:t>
      </w:r>
      <w:r>
        <w:rPr>
          <w:snapToGrid w:val="0"/>
        </w:rPr>
        <w:t>.</w:t>
      </w:r>
      <w:r>
        <w:rPr>
          <w:snapToGrid w:val="0"/>
        </w:rPr>
        <w:tab/>
        <w:t>Aerodrome usage fees</w:t>
      </w:r>
      <w:bookmarkEnd w:id="19"/>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Island,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w:t>
      </w:r>
      <w:r>
        <w:t xml:space="preserve">aerodrome usage fee under subregulation (1), </w:t>
      </w:r>
      <w:r>
        <w:rPr>
          <w:snapToGrid w:val="0"/>
        </w:rPr>
        <w:t>a person who is carried to the Island in the aircraft shall be deemed to have paid the admission fee prescribed by regulation 5.</w:t>
      </w:r>
    </w:p>
    <w:p>
      <w:pPr>
        <w:pStyle w:val="Footnotesection"/>
        <w:ind w:left="890" w:hanging="890"/>
      </w:pPr>
      <w:r>
        <w:tab/>
        <w:t xml:space="preserve">[Regulation 7B inserted: Gazette 30 Dec 1994 p. 7348; amended: Gazette 29 Jul 2011 p. 3144; 22 Sep 2015 p. 3853; 21 Dec 2018 p. 4854.] </w:t>
      </w:r>
    </w:p>
    <w:p>
      <w:pPr>
        <w:pStyle w:val="Heading5"/>
      </w:pPr>
      <w:bookmarkStart w:id="20" w:name="_Toc201565998"/>
      <w:r>
        <w:rPr>
          <w:rStyle w:val="CharSectno"/>
        </w:rPr>
        <w:lastRenderedPageBreak/>
        <w:t>7C</w:t>
      </w:r>
      <w:r>
        <w:t>.</w:t>
      </w:r>
      <w:r>
        <w:tab/>
        <w:t>Annual fees for certain aircraft in lieu of admission fees and aerodrome usage fees</w:t>
      </w:r>
      <w:bookmarkEnd w:id="20"/>
    </w:p>
    <w:p>
      <w:pPr>
        <w:pStyle w:val="Subsection"/>
        <w:keepNext/>
      </w:pPr>
      <w:r>
        <w:tab/>
        <w:t>(1)</w:t>
      </w:r>
      <w:r>
        <w:tab/>
        <w:t xml:space="preserve">Subject to regulation 7D, the operator of an aircraft in which persons are carried to the Island may pay to the Authority, in respect of a financial year — </w:t>
      </w:r>
    </w:p>
    <w:p>
      <w:pPr>
        <w:pStyle w:val="Indenta"/>
      </w:pPr>
      <w:r>
        <w:tab/>
        <w:t>(a)</w:t>
      </w:r>
      <w:r>
        <w:tab/>
        <w:t>the annual admission fee set out in Schedule 7 item 5; and</w:t>
      </w:r>
    </w:p>
    <w:p>
      <w:pPr>
        <w:pStyle w:val="Indenta"/>
      </w:pPr>
      <w:r>
        <w:tab/>
        <w:t>(b)</w:t>
      </w:r>
      <w:r>
        <w:tab/>
        <w:t>the annual aerodrome usage fee set out in Schedule 6 item 2.</w:t>
      </w:r>
    </w:p>
    <w:p>
      <w:pPr>
        <w:pStyle w:val="Subsection"/>
      </w:pPr>
      <w:r>
        <w:tab/>
        <w:t>(2)</w:t>
      </w:r>
      <w:r>
        <w:tab/>
        <w:t xml:space="preserve">If the operator of an aircraft has paid the annual admission fee and annual aerodrome usage fee under subregulation (1) in respect of a financial year — </w:t>
      </w:r>
    </w:p>
    <w:p>
      <w:pPr>
        <w:pStyle w:val="Indenta"/>
      </w:pPr>
      <w:r>
        <w:tab/>
        <w:t>(a)</w:t>
      </w:r>
      <w:r>
        <w:tab/>
        <w:t>a person who is carried to the Island in that aircraft during the financial year is taken to have paid the admission fee required under regulation 5; and</w:t>
      </w:r>
    </w:p>
    <w:p>
      <w:pPr>
        <w:pStyle w:val="Indenta"/>
      </w:pPr>
      <w:r>
        <w:tab/>
        <w:t>(b)</w:t>
      </w:r>
      <w:r>
        <w:tab/>
        <w:t>the operator is not required to pay the aerodrome usage fee required under regulation 7B(1) for any occasion during the financial year when the aircraft lands at the Island.</w:t>
      </w:r>
    </w:p>
    <w:p>
      <w:pPr>
        <w:pStyle w:val="Subsection"/>
      </w:pPr>
      <w:r>
        <w:tab/>
        <w:t>(3)</w:t>
      </w:r>
      <w:r>
        <w:tab/>
        <w:t>If the annual admission fee and annual aerodrome usage fee under subregulation (1) are paid during the financial year to which the fees relate, a reference in subregulation (1) or (2) to the financial year is to be read as a reference to the period beginning on the day on which the fee is paid and ending on 30 June in the financial year.</w:t>
      </w:r>
    </w:p>
    <w:p>
      <w:pPr>
        <w:pStyle w:val="Footnotesection"/>
        <w:ind w:left="890" w:hanging="890"/>
      </w:pPr>
      <w:r>
        <w:tab/>
        <w:t xml:space="preserve">[Regulation 7C inserted: Gazette 21 Dec 2018 p. 4855; amended: SL 2020/118 r. 4.] </w:t>
      </w:r>
    </w:p>
    <w:p>
      <w:pPr>
        <w:pStyle w:val="Heading5"/>
        <w:rPr>
          <w:snapToGrid w:val="0"/>
        </w:rPr>
      </w:pPr>
      <w:bookmarkStart w:id="21" w:name="_Toc201565999"/>
      <w:r>
        <w:rPr>
          <w:rStyle w:val="CharSectno"/>
        </w:rPr>
        <w:t>7D</w:t>
      </w:r>
      <w:r>
        <w:rPr>
          <w:snapToGrid w:val="0"/>
        </w:rPr>
        <w:t>.</w:t>
      </w:r>
      <w:r>
        <w:rPr>
          <w:snapToGrid w:val="0"/>
        </w:rPr>
        <w:tab/>
        <w:t>Exceptions to r. 7B and 7C</w:t>
      </w:r>
      <w:bookmarkEnd w:id="21"/>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lastRenderedPageBreak/>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 xml:space="preserve">[Regulation 7D inserted: Gazette 30 Dec 1994 p. 7348; amended: Gazette 4 Jul 1997 p. 3512; 22 Sep 2015 p. 3853.] </w:t>
      </w:r>
    </w:p>
    <w:p>
      <w:pPr>
        <w:pStyle w:val="Heading5"/>
      </w:pPr>
      <w:bookmarkStart w:id="22" w:name="_Toc201566000"/>
      <w:r>
        <w:rPr>
          <w:rStyle w:val="CharSectno"/>
        </w:rPr>
        <w:t>7E</w:t>
      </w:r>
      <w:r>
        <w:t>.</w:t>
      </w:r>
      <w:r>
        <w:tab/>
        <w:t>Recovery of fees</w:t>
      </w:r>
      <w:bookmarkEnd w:id="22"/>
    </w:p>
    <w:p>
      <w:pPr>
        <w:pStyle w:val="Subsection"/>
      </w:pPr>
      <w:r>
        <w:tab/>
      </w:r>
      <w:r>
        <w:tab/>
        <w:t>A fee payable under these regulations is recoverable in a court of competent jurisdiction as a debt due to the Authority.</w:t>
      </w:r>
    </w:p>
    <w:p>
      <w:pPr>
        <w:pStyle w:val="Footnotesection"/>
      </w:pPr>
      <w:r>
        <w:tab/>
        <w:t>[Regulation 7E inserted: Gazette 22 Sep 2015 p. 3853.]</w:t>
      </w:r>
    </w:p>
    <w:p>
      <w:pPr>
        <w:pStyle w:val="Heading2"/>
      </w:pPr>
      <w:bookmarkStart w:id="23" w:name="_Toc201314351"/>
      <w:bookmarkStart w:id="24" w:name="_Toc201318447"/>
      <w:bookmarkStart w:id="25" w:name="_Toc201318606"/>
      <w:bookmarkStart w:id="26" w:name="_Toc201566001"/>
      <w:r>
        <w:rPr>
          <w:rStyle w:val="CharPartNo"/>
        </w:rPr>
        <w:lastRenderedPageBreak/>
        <w:t>Part 3</w:t>
      </w:r>
      <w:r>
        <w:rPr>
          <w:rStyle w:val="CharDivNo"/>
        </w:rPr>
        <w:t> </w:t>
      </w:r>
      <w:r>
        <w:t>—</w:t>
      </w:r>
      <w:r>
        <w:rPr>
          <w:rStyle w:val="CharDivText"/>
        </w:rPr>
        <w:t> </w:t>
      </w:r>
      <w:r>
        <w:rPr>
          <w:rStyle w:val="CharPartText"/>
        </w:rPr>
        <w:t>Residence on Island</w:t>
      </w:r>
      <w:bookmarkEnd w:id="23"/>
      <w:bookmarkEnd w:id="24"/>
      <w:bookmarkEnd w:id="25"/>
      <w:bookmarkEnd w:id="26"/>
      <w:r>
        <w:rPr>
          <w:rStyle w:val="CharPartText"/>
        </w:rPr>
        <w:t xml:space="preserve"> </w:t>
      </w:r>
    </w:p>
    <w:p>
      <w:pPr>
        <w:pStyle w:val="Heading5"/>
        <w:rPr>
          <w:snapToGrid w:val="0"/>
        </w:rPr>
      </w:pPr>
      <w:bookmarkStart w:id="27" w:name="_Toc201566002"/>
      <w:r>
        <w:rPr>
          <w:rStyle w:val="CharSectno"/>
        </w:rPr>
        <w:t>8</w:t>
      </w:r>
      <w:r>
        <w:rPr>
          <w:snapToGrid w:val="0"/>
        </w:rPr>
        <w:t>.</w:t>
      </w:r>
      <w:r>
        <w:rPr>
          <w:snapToGrid w:val="0"/>
        </w:rPr>
        <w:tab/>
        <w:t>Licence to occupy accommodation</w:t>
      </w:r>
      <w:bookmarkEnd w:id="27"/>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pPr>
        <w:pStyle w:val="Heading5"/>
        <w:rPr>
          <w:snapToGrid w:val="0"/>
        </w:rPr>
      </w:pPr>
      <w:bookmarkStart w:id="28" w:name="_Toc201566003"/>
      <w:r>
        <w:rPr>
          <w:rStyle w:val="CharSectno"/>
        </w:rPr>
        <w:lastRenderedPageBreak/>
        <w:t>9</w:t>
      </w:r>
      <w:r>
        <w:rPr>
          <w:snapToGrid w:val="0"/>
        </w:rPr>
        <w:t>.</w:t>
      </w:r>
      <w:r>
        <w:rPr>
          <w:snapToGrid w:val="0"/>
        </w:rPr>
        <w:tab/>
        <w:t>Casual residence on Island</w:t>
      </w:r>
      <w:bookmarkEnd w:id="28"/>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Gazette 4 Jul 1997 p. 3512; 22 Sep 2015 p. 3863.]</w:t>
      </w:r>
    </w:p>
    <w:p>
      <w:pPr>
        <w:pStyle w:val="Heading5"/>
        <w:rPr>
          <w:snapToGrid w:val="0"/>
        </w:rPr>
      </w:pPr>
      <w:bookmarkStart w:id="29" w:name="_Toc201566004"/>
      <w:r>
        <w:rPr>
          <w:rStyle w:val="CharSectno"/>
        </w:rPr>
        <w:t>10</w:t>
      </w:r>
      <w:r>
        <w:rPr>
          <w:snapToGrid w:val="0"/>
        </w:rPr>
        <w:t>.</w:t>
      </w:r>
      <w:r>
        <w:rPr>
          <w:snapToGrid w:val="0"/>
        </w:rPr>
        <w:tab/>
        <w:t>Conditions on r. 8 licences</w:t>
      </w:r>
      <w:bookmarkEnd w:id="29"/>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lastRenderedPageBreak/>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30" w:name="_Toc201314355"/>
      <w:bookmarkStart w:id="31" w:name="_Toc201318451"/>
      <w:bookmarkStart w:id="32" w:name="_Toc201318610"/>
      <w:bookmarkStart w:id="33" w:name="_Toc201566005"/>
      <w:r>
        <w:rPr>
          <w:rStyle w:val="CharPartNo"/>
        </w:rPr>
        <w:lastRenderedPageBreak/>
        <w:t>Part 4</w:t>
      </w:r>
      <w:r>
        <w:t> — </w:t>
      </w:r>
      <w:r>
        <w:rPr>
          <w:rStyle w:val="CharPartText"/>
        </w:rPr>
        <w:t>Moorings</w:t>
      </w:r>
      <w:bookmarkEnd w:id="30"/>
      <w:bookmarkEnd w:id="31"/>
      <w:bookmarkEnd w:id="32"/>
      <w:bookmarkEnd w:id="33"/>
    </w:p>
    <w:p>
      <w:pPr>
        <w:pStyle w:val="Footnoteheading"/>
        <w:ind w:left="890"/>
        <w:rPr>
          <w:snapToGrid w:val="0"/>
        </w:rPr>
      </w:pPr>
      <w:r>
        <w:rPr>
          <w:snapToGrid w:val="0"/>
        </w:rPr>
        <w:tab/>
        <w:t>[Heading inserted: Gazette 4 Jul 1997 p. 3512.]</w:t>
      </w:r>
    </w:p>
    <w:p>
      <w:pPr>
        <w:pStyle w:val="Heading3"/>
        <w:rPr>
          <w:snapToGrid w:val="0"/>
        </w:rPr>
      </w:pPr>
      <w:bookmarkStart w:id="34" w:name="_Toc201314356"/>
      <w:bookmarkStart w:id="35" w:name="_Toc201318452"/>
      <w:bookmarkStart w:id="36" w:name="_Toc201318611"/>
      <w:bookmarkStart w:id="37" w:name="_Toc201566006"/>
      <w:r>
        <w:rPr>
          <w:rStyle w:val="CharDivNo"/>
        </w:rPr>
        <w:t>Division 1</w:t>
      </w:r>
      <w:r>
        <w:rPr>
          <w:snapToGrid w:val="0"/>
        </w:rPr>
        <w:t> — </w:t>
      </w:r>
      <w:r>
        <w:rPr>
          <w:rStyle w:val="CharDivText"/>
        </w:rPr>
        <w:t>General control provisions</w:t>
      </w:r>
      <w:bookmarkEnd w:id="34"/>
      <w:bookmarkEnd w:id="35"/>
      <w:bookmarkEnd w:id="36"/>
      <w:bookmarkEnd w:id="37"/>
      <w:r>
        <w:rPr>
          <w:rStyle w:val="CharDivText"/>
        </w:rPr>
        <w:t xml:space="preserve"> </w:t>
      </w:r>
    </w:p>
    <w:p>
      <w:pPr>
        <w:pStyle w:val="Footnoteheading"/>
        <w:ind w:left="890"/>
        <w:rPr>
          <w:snapToGrid w:val="0"/>
        </w:rPr>
      </w:pPr>
      <w:r>
        <w:rPr>
          <w:snapToGrid w:val="0"/>
        </w:rPr>
        <w:tab/>
        <w:t xml:space="preserve">[Heading inserted: Gazette 4 Jul 1997 p. 3512.] </w:t>
      </w:r>
    </w:p>
    <w:p>
      <w:pPr>
        <w:pStyle w:val="Heading5"/>
        <w:spacing w:before="240"/>
        <w:rPr>
          <w:snapToGrid w:val="0"/>
        </w:rPr>
      </w:pPr>
      <w:bookmarkStart w:id="38" w:name="_Toc201566007"/>
      <w:r>
        <w:rPr>
          <w:rStyle w:val="CharSectno"/>
        </w:rPr>
        <w:t>11</w:t>
      </w:r>
      <w:r>
        <w:rPr>
          <w:snapToGrid w:val="0"/>
        </w:rPr>
        <w:t>.</w:t>
      </w:r>
      <w:r>
        <w:rPr>
          <w:snapToGrid w:val="0"/>
        </w:rPr>
        <w:tab/>
        <w:t>Installing and using moorings</w:t>
      </w:r>
      <w:bookmarkEnd w:id="38"/>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 xml:space="preserve">A person </w:t>
      </w:r>
      <w:r>
        <w:t xml:space="preserve">must not, without permission, </w:t>
      </w:r>
      <w:r>
        <w:rPr>
          <w:snapToGrid w:val="0"/>
        </w:rPr>
        <w:t>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lastRenderedPageBreak/>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Gazette 4 Jul 1997 p. 3512</w:t>
      </w:r>
      <w:r>
        <w:noBreakHyphen/>
        <w:t>13; amended: Gazette 8 Dec 2009 p. 5002; 22 Sep 2015 p. 3863; 25 Oct 2016 p. 4875.]</w:t>
      </w:r>
    </w:p>
    <w:p>
      <w:pPr>
        <w:pStyle w:val="Heading5"/>
        <w:spacing w:before="240"/>
        <w:rPr>
          <w:snapToGrid w:val="0"/>
        </w:rPr>
      </w:pPr>
      <w:bookmarkStart w:id="39" w:name="_Toc201566008"/>
      <w:r>
        <w:rPr>
          <w:rStyle w:val="CharSectno"/>
        </w:rPr>
        <w:t>12</w:t>
      </w:r>
      <w:r>
        <w:rPr>
          <w:snapToGrid w:val="0"/>
        </w:rPr>
        <w:t>.</w:t>
      </w:r>
      <w:r>
        <w:rPr>
          <w:snapToGrid w:val="0"/>
        </w:rPr>
        <w:tab/>
        <w:t>Anchoring vessels</w:t>
      </w:r>
      <w:bookmarkEnd w:id="39"/>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Gazette 4 Jul 1997 p. 3513; amended: Gazette 8 Dec 2009 p. 5002.]</w:t>
      </w:r>
    </w:p>
    <w:p>
      <w:pPr>
        <w:pStyle w:val="Heading5"/>
        <w:spacing w:before="240"/>
      </w:pPr>
      <w:bookmarkStart w:id="40" w:name="_Toc201566009"/>
      <w:r>
        <w:rPr>
          <w:rStyle w:val="CharSectno"/>
        </w:rPr>
        <w:t>13A</w:t>
      </w:r>
      <w:r>
        <w:t>.</w:t>
      </w:r>
      <w:r>
        <w:tab/>
        <w:t>Securing vessel by means of another vessel’s anchor</w:t>
      </w:r>
      <w:bookmarkEnd w:id="40"/>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Gazette 25 Oct 2011 p. 4513.]</w:t>
      </w:r>
    </w:p>
    <w:p>
      <w:pPr>
        <w:pStyle w:val="Heading5"/>
        <w:spacing w:before="180"/>
        <w:rPr>
          <w:snapToGrid w:val="0"/>
        </w:rPr>
      </w:pPr>
      <w:bookmarkStart w:id="41" w:name="_Toc201566010"/>
      <w:r>
        <w:rPr>
          <w:rStyle w:val="CharSectno"/>
        </w:rPr>
        <w:lastRenderedPageBreak/>
        <w:t>13</w:t>
      </w:r>
      <w:r>
        <w:rPr>
          <w:snapToGrid w:val="0"/>
        </w:rPr>
        <w:t>.</w:t>
      </w:r>
      <w:r>
        <w:rPr>
          <w:snapToGrid w:val="0"/>
        </w:rPr>
        <w:tab/>
        <w:t>Anchored and moored vessels to have competent operators</w:t>
      </w:r>
      <w:bookmarkEnd w:id="41"/>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Gazette 4 Jul 1997 p. 3513; amended: Gazette 4 Jan 2013 p. 23.] </w:t>
      </w:r>
    </w:p>
    <w:p>
      <w:pPr>
        <w:pStyle w:val="Heading5"/>
        <w:rPr>
          <w:snapToGrid w:val="0"/>
        </w:rPr>
      </w:pPr>
      <w:bookmarkStart w:id="42" w:name="_Toc201566011"/>
      <w:r>
        <w:rPr>
          <w:rStyle w:val="CharSectno"/>
        </w:rPr>
        <w:t>14</w:t>
      </w:r>
      <w:r>
        <w:rPr>
          <w:snapToGrid w:val="0"/>
        </w:rPr>
        <w:t>.</w:t>
      </w:r>
      <w:r>
        <w:rPr>
          <w:snapToGrid w:val="0"/>
        </w:rPr>
        <w:tab/>
        <w:t>Application of r. 11, 12 and 13 to person on vessel</w:t>
      </w:r>
      <w:bookmarkEnd w:id="42"/>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Gazette 4 Jul 1997 p. 3513; amended: Gazette 19 Jun 1998 p. 3302.]</w:t>
      </w:r>
    </w:p>
    <w:p>
      <w:pPr>
        <w:pStyle w:val="Heading3"/>
        <w:keepNext w:val="0"/>
        <w:pageBreakBefore/>
        <w:rPr>
          <w:snapToGrid w:val="0"/>
        </w:rPr>
      </w:pPr>
      <w:bookmarkStart w:id="43" w:name="_Toc201314362"/>
      <w:bookmarkStart w:id="44" w:name="_Toc201318458"/>
      <w:bookmarkStart w:id="45" w:name="_Toc201318617"/>
      <w:bookmarkStart w:id="46" w:name="_Toc201566012"/>
      <w:r>
        <w:rPr>
          <w:rStyle w:val="CharDivNo"/>
        </w:rPr>
        <w:lastRenderedPageBreak/>
        <w:t>Division 2</w:t>
      </w:r>
      <w:r>
        <w:rPr>
          <w:snapToGrid w:val="0"/>
        </w:rPr>
        <w:t> — </w:t>
      </w:r>
      <w:r>
        <w:rPr>
          <w:rStyle w:val="CharDivText"/>
        </w:rPr>
        <w:t>Rental moorings</w:t>
      </w:r>
      <w:bookmarkEnd w:id="43"/>
      <w:bookmarkEnd w:id="44"/>
      <w:bookmarkEnd w:id="45"/>
      <w:bookmarkEnd w:id="46"/>
      <w:r>
        <w:rPr>
          <w:rStyle w:val="CharDivText"/>
        </w:rPr>
        <w:t xml:space="preserve"> </w:t>
      </w:r>
    </w:p>
    <w:p>
      <w:pPr>
        <w:pStyle w:val="Footnoteheading"/>
        <w:ind w:left="890"/>
        <w:rPr>
          <w:snapToGrid w:val="0"/>
        </w:rPr>
      </w:pPr>
      <w:r>
        <w:rPr>
          <w:snapToGrid w:val="0"/>
        </w:rPr>
        <w:tab/>
        <w:t xml:space="preserve">[Heading inserted: Gazette 4 Jul 1997 p. 3513.] </w:t>
      </w:r>
    </w:p>
    <w:p>
      <w:pPr>
        <w:pStyle w:val="Heading5"/>
        <w:rPr>
          <w:snapToGrid w:val="0"/>
        </w:rPr>
      </w:pPr>
      <w:bookmarkStart w:id="47" w:name="_Toc201566013"/>
      <w:r>
        <w:rPr>
          <w:rStyle w:val="CharSectno"/>
        </w:rPr>
        <w:t>15</w:t>
      </w:r>
      <w:r>
        <w:rPr>
          <w:snapToGrid w:val="0"/>
        </w:rPr>
        <w:t>.</w:t>
      </w:r>
      <w:r>
        <w:rPr>
          <w:snapToGrid w:val="0"/>
        </w:rPr>
        <w:tab/>
        <w:t>Licence to occupy rental mooring</w:t>
      </w:r>
      <w:bookmarkEnd w:id="47"/>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Gazette 4 Jul 1997 p. 3513</w:t>
      </w:r>
      <w:r>
        <w:noBreakHyphen/>
        <w:t>14.]</w:t>
      </w:r>
    </w:p>
    <w:p>
      <w:pPr>
        <w:pStyle w:val="Heading5"/>
        <w:rPr>
          <w:snapToGrid w:val="0"/>
        </w:rPr>
      </w:pPr>
      <w:bookmarkStart w:id="48" w:name="_Toc201566014"/>
      <w:r>
        <w:rPr>
          <w:rStyle w:val="CharSectno"/>
        </w:rPr>
        <w:t>16</w:t>
      </w:r>
      <w:r>
        <w:rPr>
          <w:snapToGrid w:val="0"/>
        </w:rPr>
        <w:t>.</w:t>
      </w:r>
      <w:r>
        <w:rPr>
          <w:snapToGrid w:val="0"/>
        </w:rPr>
        <w:tab/>
        <w:t>Rent for r. 15 licence</w:t>
      </w:r>
      <w:bookmarkEnd w:id="48"/>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pPr>
      <w:r>
        <w:tab/>
        <w:t>(a)</w:t>
      </w:r>
      <w:r>
        <w:tab/>
        <w:t>may retain as a cancellation fee an amount of the rent determined by the Authority; 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lastRenderedPageBreak/>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Gazette 4 Jul 1997 p. 3514; amended: Gazette 5 Apr 2016 p. 1028.]</w:t>
      </w:r>
    </w:p>
    <w:p>
      <w:pPr>
        <w:pStyle w:val="Heading5"/>
        <w:keepNext w:val="0"/>
        <w:keepLines w:val="0"/>
        <w:spacing w:before="240"/>
        <w:rPr>
          <w:snapToGrid w:val="0"/>
        </w:rPr>
      </w:pPr>
      <w:bookmarkStart w:id="49" w:name="_Toc201566015"/>
      <w:r>
        <w:rPr>
          <w:rStyle w:val="CharSectno"/>
        </w:rPr>
        <w:t>17</w:t>
      </w:r>
      <w:r>
        <w:rPr>
          <w:snapToGrid w:val="0"/>
        </w:rPr>
        <w:t>.</w:t>
      </w:r>
      <w:r>
        <w:rPr>
          <w:snapToGrid w:val="0"/>
        </w:rPr>
        <w:tab/>
        <w:t>Cancellation of r. 15 licence</w:t>
      </w:r>
      <w:bookmarkEnd w:id="49"/>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Gazette 4 Jul 1997 p. 3514.] </w:t>
      </w:r>
    </w:p>
    <w:p>
      <w:pPr>
        <w:pStyle w:val="Heading5"/>
        <w:spacing w:before="240"/>
        <w:rPr>
          <w:snapToGrid w:val="0"/>
        </w:rPr>
      </w:pPr>
      <w:bookmarkStart w:id="50" w:name="_Toc201566016"/>
      <w:r>
        <w:rPr>
          <w:rStyle w:val="CharSectno"/>
        </w:rPr>
        <w:t>18</w:t>
      </w:r>
      <w:r>
        <w:rPr>
          <w:snapToGrid w:val="0"/>
        </w:rPr>
        <w:t>.</w:t>
      </w:r>
      <w:r>
        <w:rPr>
          <w:snapToGrid w:val="0"/>
        </w:rPr>
        <w:tab/>
        <w:t>Damage to rental mooring</w:t>
      </w:r>
      <w:bookmarkEnd w:id="50"/>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Gazette 4 Jul 1997 p. 3514</w:t>
      </w:r>
      <w:r>
        <w:noBreakHyphen/>
        <w:t xml:space="preserve">15.] </w:t>
      </w:r>
    </w:p>
    <w:p>
      <w:pPr>
        <w:pStyle w:val="Heading3"/>
        <w:rPr>
          <w:snapToGrid w:val="0"/>
        </w:rPr>
      </w:pPr>
      <w:bookmarkStart w:id="51" w:name="_Toc201314367"/>
      <w:bookmarkStart w:id="52" w:name="_Toc201318463"/>
      <w:bookmarkStart w:id="53" w:name="_Toc201318622"/>
      <w:bookmarkStart w:id="54" w:name="_Toc201566017"/>
      <w:r>
        <w:rPr>
          <w:rStyle w:val="CharDivNo"/>
        </w:rPr>
        <w:lastRenderedPageBreak/>
        <w:t>Division 3</w:t>
      </w:r>
      <w:r>
        <w:rPr>
          <w:snapToGrid w:val="0"/>
        </w:rPr>
        <w:t> — </w:t>
      </w:r>
      <w:r>
        <w:rPr>
          <w:rStyle w:val="CharDivText"/>
        </w:rPr>
        <w:t>Mooring site licences</w:t>
      </w:r>
      <w:bookmarkEnd w:id="51"/>
      <w:bookmarkEnd w:id="52"/>
      <w:bookmarkEnd w:id="53"/>
      <w:bookmarkEnd w:id="54"/>
      <w:r>
        <w:rPr>
          <w:rStyle w:val="CharDivText"/>
        </w:rPr>
        <w:t xml:space="preserve"> </w:t>
      </w:r>
    </w:p>
    <w:p>
      <w:pPr>
        <w:pStyle w:val="Footnoteheading"/>
        <w:ind w:left="890"/>
        <w:rPr>
          <w:snapToGrid w:val="0"/>
        </w:rPr>
      </w:pPr>
      <w:r>
        <w:rPr>
          <w:snapToGrid w:val="0"/>
        </w:rPr>
        <w:tab/>
        <w:t xml:space="preserve">[Heading inserted: Gazette 4 Jul 1997 p. 3515.] </w:t>
      </w:r>
    </w:p>
    <w:p>
      <w:pPr>
        <w:pStyle w:val="Heading5"/>
        <w:rPr>
          <w:snapToGrid w:val="0"/>
        </w:rPr>
      </w:pPr>
      <w:bookmarkStart w:id="55" w:name="_Toc201566018"/>
      <w:r>
        <w:rPr>
          <w:rStyle w:val="CharSectno"/>
        </w:rPr>
        <w:t>19</w:t>
      </w:r>
      <w:r>
        <w:rPr>
          <w:snapToGrid w:val="0"/>
        </w:rPr>
        <w:t>.</w:t>
      </w:r>
      <w:r>
        <w:rPr>
          <w:snapToGrid w:val="0"/>
        </w:rPr>
        <w:tab/>
        <w:t>Terms used</w:t>
      </w:r>
      <w:bookmarkEnd w:id="55"/>
    </w:p>
    <w:p>
      <w:pPr>
        <w:pStyle w:val="Subsection"/>
        <w:rPr>
          <w:snapToGrid w:val="0"/>
        </w:rPr>
      </w:pPr>
      <w:r>
        <w:rPr>
          <w:snapToGrid w:val="0"/>
        </w:rPr>
        <w:tab/>
      </w:r>
      <w:r>
        <w:rPr>
          <w:snapToGrid w:val="0"/>
        </w:rPr>
        <w:tab/>
        <w:t>In this Division, unless the contrary intention appears — </w:t>
      </w:r>
    </w:p>
    <w:p>
      <w:pPr>
        <w:pStyle w:val="Defstart"/>
      </w:pPr>
      <w:r>
        <w:tab/>
      </w:r>
      <w:r>
        <w:rPr>
          <w:rStyle w:val="CharDefText"/>
        </w:rPr>
        <w:t>additional vessel</w:t>
      </w:r>
      <w:r>
        <w:t>, in relation to a mooring site, has the meaning given in regulation 27(2);</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in relation to a mooring site, has the meaning given in regulation 26(1);</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lastRenderedPageBreak/>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Gazette 4 Jul 1997 p. 3515; amended: Gazette 7 Dec 2001 p. 6188; 4 Dec 2009 p. 4921 and 4924; 25 Oct 2016 p. 4875.] </w:t>
      </w:r>
    </w:p>
    <w:p>
      <w:pPr>
        <w:pStyle w:val="Heading5"/>
      </w:pPr>
      <w:bookmarkStart w:id="56" w:name="_Toc201566019"/>
      <w:r>
        <w:rPr>
          <w:rStyle w:val="CharSectno"/>
        </w:rPr>
        <w:t>19A</w:t>
      </w:r>
      <w:r>
        <w:t>.</w:t>
      </w:r>
      <w:r>
        <w:tab/>
        <w:t>Authorisation to be secured to mooring</w:t>
      </w:r>
      <w:bookmarkEnd w:id="56"/>
    </w:p>
    <w:p>
      <w:pPr>
        <w:pStyle w:val="Subsection"/>
      </w:pPr>
      <w:r>
        <w:tab/>
      </w:r>
      <w:r>
        <w:tab/>
        <w:t xml:space="preserve">For the purposes of regulation 11(2)(a), a vessel is authorised under this Division to be secured to a mooring if — </w:t>
      </w:r>
    </w:p>
    <w:p>
      <w:pPr>
        <w:pStyle w:val="Indenta"/>
      </w:pPr>
      <w:r>
        <w:tab/>
        <w:t>(a)</w:t>
      </w:r>
      <w:r>
        <w:tab/>
        <w:t>the mooring is on a mooring site; and</w:t>
      </w:r>
    </w:p>
    <w:p>
      <w:pPr>
        <w:pStyle w:val="Indenta"/>
      </w:pPr>
      <w:r>
        <w:tab/>
        <w:t>(b)</w:t>
      </w:r>
      <w:r>
        <w:tab/>
        <w:t>the vessel is a licensed vessel, additional vessel or authorised vessel in relation to the mooring site; and</w:t>
      </w:r>
    </w:p>
    <w:p>
      <w:pPr>
        <w:pStyle w:val="Indenta"/>
      </w:pPr>
      <w:r>
        <w:tab/>
        <w:t>(c)</w:t>
      </w:r>
      <w:r>
        <w:tab/>
        <w:t>the person who secured the vessel is the mooring site licensee or an authorised user of the mooring site; and</w:t>
      </w:r>
    </w:p>
    <w:p>
      <w:pPr>
        <w:pStyle w:val="Indenta"/>
      </w:pPr>
      <w:r>
        <w:tab/>
        <w:t>(d)</w:t>
      </w:r>
      <w:r>
        <w:tab/>
        <w:t>the vessel is secured in accordance with the conditions of the mooring site licence.</w:t>
      </w:r>
    </w:p>
    <w:p>
      <w:pPr>
        <w:pStyle w:val="Footnotesection"/>
        <w:ind w:left="890" w:hanging="890"/>
      </w:pPr>
      <w:r>
        <w:tab/>
        <w:t xml:space="preserve">[Regulation 19A inserted: Gazette 25 Oct 2016 p. 4876.] </w:t>
      </w:r>
    </w:p>
    <w:p>
      <w:pPr>
        <w:pStyle w:val="Heading5"/>
        <w:rPr>
          <w:snapToGrid w:val="0"/>
        </w:rPr>
      </w:pPr>
      <w:bookmarkStart w:id="57" w:name="_Toc201566020"/>
      <w:r>
        <w:rPr>
          <w:rStyle w:val="CharSectno"/>
        </w:rPr>
        <w:t>20</w:t>
      </w:r>
      <w:r>
        <w:rPr>
          <w:snapToGrid w:val="0"/>
        </w:rPr>
        <w:t>.</w:t>
      </w:r>
      <w:r>
        <w:rPr>
          <w:snapToGrid w:val="0"/>
        </w:rPr>
        <w:tab/>
        <w:t>Application for and grant of licences</w:t>
      </w:r>
      <w:bookmarkEnd w:id="57"/>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keepNext/>
        <w:rPr>
          <w:snapToGrid w:val="0"/>
        </w:rPr>
      </w:pPr>
      <w:r>
        <w:rPr>
          <w:snapToGrid w:val="0"/>
        </w:rPr>
        <w:lastRenderedPageBreak/>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pPr>
      <w:r>
        <w:tab/>
        <w:t>(ii)</w:t>
      </w:r>
      <w:r>
        <w:tab/>
        <w:t xml:space="preserve">who is enrolled as defined in the </w:t>
      </w:r>
      <w:r>
        <w:rPr>
          <w:i/>
        </w:rPr>
        <w:t>Electoral Act 1907</w:t>
      </w:r>
      <w:r>
        <w:rPr>
          <w:iCs/>
        </w:rPr>
        <w:t xml:space="preserve"> section 40A;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 xml:space="preserve">If an application is withdrawn or amended, or the applicant’s name is removed from the waiting list under subregulation (9) </w:t>
      </w:r>
      <w:r>
        <w:rPr>
          <w:snapToGrid w:val="0"/>
        </w:rPr>
        <w:lastRenderedPageBreak/>
        <w:t>or (10), the Authority is not required to refund the application fee or any part of it.</w:t>
      </w:r>
    </w:p>
    <w:p>
      <w:pPr>
        <w:pStyle w:val="Subsection"/>
        <w:keepNext/>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lastRenderedPageBreak/>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Gazette 4 Jul 1997 p. 3515</w:t>
      </w:r>
      <w:r>
        <w:noBreakHyphen/>
        <w:t xml:space="preserve">17; amended: Gazette 19 Jun 1998 p. 3302; 22 Sep 2015 p. 3853 and 3863; SL 2024/126 r. 4.] </w:t>
      </w:r>
    </w:p>
    <w:p>
      <w:pPr>
        <w:pStyle w:val="Heading5"/>
        <w:rPr>
          <w:snapToGrid w:val="0"/>
        </w:rPr>
      </w:pPr>
      <w:bookmarkStart w:id="58" w:name="_Toc201566021"/>
      <w:r>
        <w:rPr>
          <w:rStyle w:val="CharSectno"/>
        </w:rPr>
        <w:t>21</w:t>
      </w:r>
      <w:r>
        <w:rPr>
          <w:snapToGrid w:val="0"/>
        </w:rPr>
        <w:t>.</w:t>
      </w:r>
      <w:r>
        <w:rPr>
          <w:snapToGrid w:val="0"/>
        </w:rPr>
        <w:tab/>
        <w:t>Waiting lists of applicants</w:t>
      </w:r>
      <w:bookmarkEnd w:id="58"/>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lastRenderedPageBreak/>
        <w:tab/>
        <w:t>(4)</w:t>
      </w:r>
      <w:r>
        <w:rPr>
          <w:snapToGrid w:val="0"/>
        </w:rPr>
        <w:tab/>
        <w:t>The list referred to in subregulation (2)(b) shall be available for inspection by the public during office hours free of charge.</w:t>
      </w:r>
    </w:p>
    <w:p>
      <w:pPr>
        <w:pStyle w:val="Footnotesection"/>
      </w:pPr>
      <w:r>
        <w:tab/>
        <w:t>[Regulation 21 inserted: Gazette 4 Jul 1997 p. 3517.]</w:t>
      </w:r>
    </w:p>
    <w:p>
      <w:pPr>
        <w:pStyle w:val="Heading5"/>
        <w:spacing w:before="240"/>
        <w:rPr>
          <w:snapToGrid w:val="0"/>
        </w:rPr>
      </w:pPr>
      <w:bookmarkStart w:id="59" w:name="_Toc201566022"/>
      <w:r>
        <w:rPr>
          <w:rStyle w:val="CharSectno"/>
        </w:rPr>
        <w:t>22</w:t>
      </w:r>
      <w:r>
        <w:rPr>
          <w:snapToGrid w:val="0"/>
        </w:rPr>
        <w:t>.</w:t>
      </w:r>
      <w:r>
        <w:rPr>
          <w:snapToGrid w:val="0"/>
        </w:rPr>
        <w:tab/>
        <w:t>Offer and acceptance of licences</w:t>
      </w:r>
      <w:bookmarkEnd w:id="59"/>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lastRenderedPageBreak/>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lastRenderedPageBreak/>
        <w:tab/>
        <w:t>(6)</w:t>
      </w:r>
      <w:r>
        <w:rPr>
          <w:snapToGrid w:val="0"/>
        </w:rPr>
        <w:tab/>
        <w:t>Nothing in subregulation (5) prevents an applicant from making a further application for a mooring site licence.</w:t>
      </w:r>
    </w:p>
    <w:p>
      <w:pPr>
        <w:pStyle w:val="Footnotesection"/>
        <w:ind w:left="890" w:hanging="890"/>
      </w:pPr>
      <w:r>
        <w:tab/>
        <w:t>[Regulation 22 inserted: Gazette 4 Jul 1997 p. 3517</w:t>
      </w:r>
      <w:r>
        <w:noBreakHyphen/>
        <w:t>18; amended: Gazette 19 Jun 1998 p. 3303; 7 Dec 2001 p. 6188.]</w:t>
      </w:r>
    </w:p>
    <w:p>
      <w:pPr>
        <w:pStyle w:val="Heading5"/>
        <w:rPr>
          <w:snapToGrid w:val="0"/>
        </w:rPr>
      </w:pPr>
      <w:bookmarkStart w:id="60" w:name="_Toc201566023"/>
      <w:r>
        <w:rPr>
          <w:rStyle w:val="CharSectno"/>
        </w:rPr>
        <w:t>23</w:t>
      </w:r>
      <w:r>
        <w:rPr>
          <w:snapToGrid w:val="0"/>
        </w:rPr>
        <w:t>.</w:t>
      </w:r>
      <w:r>
        <w:rPr>
          <w:snapToGrid w:val="0"/>
        </w:rPr>
        <w:tab/>
        <w:t>Authority not obliged to offer licence</w:t>
      </w:r>
      <w:bookmarkEnd w:id="60"/>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Gazette 4 Jul 1997 p. 3518.]</w:t>
      </w:r>
    </w:p>
    <w:p>
      <w:pPr>
        <w:pStyle w:val="Heading5"/>
        <w:rPr>
          <w:snapToGrid w:val="0"/>
        </w:rPr>
      </w:pPr>
      <w:bookmarkStart w:id="61" w:name="_Toc201566024"/>
      <w:r>
        <w:rPr>
          <w:rStyle w:val="CharSectno"/>
        </w:rPr>
        <w:t>24</w:t>
      </w:r>
      <w:r>
        <w:rPr>
          <w:snapToGrid w:val="0"/>
        </w:rPr>
        <w:t>.</w:t>
      </w:r>
      <w:r>
        <w:rPr>
          <w:snapToGrid w:val="0"/>
        </w:rPr>
        <w:tab/>
        <w:t>Licences, issue and content of</w:t>
      </w:r>
      <w:bookmarkEnd w:id="61"/>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snapToGrid w:val="0"/>
          <w:vertAlign w:val="superscript"/>
        </w:rPr>
        <w:t>1</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Gazette 4 Jul 1997 p. 3519.] </w:t>
      </w:r>
    </w:p>
    <w:p>
      <w:pPr>
        <w:pStyle w:val="Heading5"/>
        <w:rPr>
          <w:snapToGrid w:val="0"/>
        </w:rPr>
      </w:pPr>
      <w:bookmarkStart w:id="62" w:name="_Toc201566025"/>
      <w:r>
        <w:rPr>
          <w:rStyle w:val="CharSectno"/>
        </w:rPr>
        <w:t>25</w:t>
      </w:r>
      <w:r>
        <w:rPr>
          <w:snapToGrid w:val="0"/>
        </w:rPr>
        <w:t>.</w:t>
      </w:r>
      <w:r>
        <w:rPr>
          <w:snapToGrid w:val="0"/>
        </w:rPr>
        <w:tab/>
        <w:t>Register of licences</w:t>
      </w:r>
      <w:bookmarkEnd w:id="62"/>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 xml:space="preserve">the particulars of the mooring site licensee (if any), including the full name, address, contact telephone </w:t>
      </w:r>
      <w:r>
        <w:rPr>
          <w:snapToGrid w:val="0"/>
        </w:rPr>
        <w:lastRenderedPageBreak/>
        <w:t>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snapToGrid w:val="0"/>
          <w:vertAlign w:val="superscript"/>
        </w:rPr>
        <w:t>1</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Gazette 4 Jul 1997 p. 3519; amended: Gazette 7 Dec 2001 p. 6188; 4 Dec 2009 p. 4924; 22 Sep 2015 p. 3863.] </w:t>
      </w:r>
    </w:p>
    <w:p>
      <w:pPr>
        <w:pStyle w:val="Heading5"/>
        <w:spacing w:before="180"/>
        <w:rPr>
          <w:snapToGrid w:val="0"/>
        </w:rPr>
      </w:pPr>
      <w:bookmarkStart w:id="63" w:name="_Toc201566026"/>
      <w:r>
        <w:rPr>
          <w:rStyle w:val="CharSectno"/>
        </w:rPr>
        <w:lastRenderedPageBreak/>
        <w:t>26</w:t>
      </w:r>
      <w:r>
        <w:rPr>
          <w:snapToGrid w:val="0"/>
        </w:rPr>
        <w:t>.</w:t>
      </w:r>
      <w:r>
        <w:rPr>
          <w:snapToGrid w:val="0"/>
        </w:rPr>
        <w:tab/>
        <w:t>Licensed vessels for mooring site moorings; substituting vessels</w:t>
      </w:r>
      <w:bookmarkEnd w:id="63"/>
    </w:p>
    <w:p>
      <w:pPr>
        <w:pStyle w:val="Subsection"/>
        <w:spacing w:before="120"/>
        <w:rPr>
          <w:snapToGrid w:val="0"/>
        </w:rPr>
      </w:pPr>
      <w:r>
        <w:rPr>
          <w:snapToGrid w:val="0"/>
        </w:rPr>
        <w:tab/>
        <w:t>(1)</w:t>
      </w:r>
      <w:r>
        <w:rPr>
          <w:snapToGrid w:val="0"/>
        </w:rPr>
        <w:tab/>
        <w:t xml:space="preserve">A vessel is </w:t>
      </w:r>
      <w:r>
        <w:t xml:space="preserve">a </w:t>
      </w:r>
      <w:r>
        <w:rPr>
          <w:rStyle w:val="CharDefText"/>
        </w:rPr>
        <w:t>licensed vessel</w:t>
      </w:r>
      <w:r>
        <w:t xml:space="preserve"> in relation to</w:t>
      </w:r>
      <w:r>
        <w:rPr>
          <w:snapToGrid w:val="0"/>
        </w:rPr>
        <w:t xml:space="preserve">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8.</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w:t>
      </w:r>
      <w:r>
        <w:rPr>
          <w:snapToGrid w:val="0"/>
        </w:rPr>
        <w:lastRenderedPageBreak/>
        <w:t xml:space="preserve">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keepNext/>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keepNext/>
        <w:rPr>
          <w:snapToGrid w:val="0"/>
        </w:rPr>
      </w:pPr>
      <w:r>
        <w:rPr>
          <w:snapToGrid w:val="0"/>
        </w:rPr>
        <w:lastRenderedPageBreak/>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keepNext/>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Gazette 4 Jul 1997 p. 3519</w:t>
      </w:r>
      <w:r>
        <w:noBreakHyphen/>
        <w:t>21; amended: Gazette 29 Jul 2011 p. 3145; 22 Sep 2015 p. 3854; 25 Oct 2016 p. 4876; SL 2020/118 r. 5.]</w:t>
      </w:r>
    </w:p>
    <w:p>
      <w:pPr>
        <w:pStyle w:val="Heading5"/>
        <w:rPr>
          <w:snapToGrid w:val="0"/>
        </w:rPr>
      </w:pPr>
      <w:bookmarkStart w:id="64" w:name="_Toc201566027"/>
      <w:r>
        <w:rPr>
          <w:rStyle w:val="CharSectno"/>
        </w:rPr>
        <w:lastRenderedPageBreak/>
        <w:t>27</w:t>
      </w:r>
      <w:r>
        <w:rPr>
          <w:snapToGrid w:val="0"/>
        </w:rPr>
        <w:t>.</w:t>
      </w:r>
      <w:r>
        <w:rPr>
          <w:snapToGrid w:val="0"/>
        </w:rPr>
        <w:tab/>
        <w:t>Additional vessels for mooring site moorings, registration of etc.</w:t>
      </w:r>
      <w:bookmarkEnd w:id="64"/>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 xml:space="preserve">A vessel is </w:t>
      </w:r>
      <w:r>
        <w:t xml:space="preserve">an </w:t>
      </w:r>
      <w:r>
        <w:rPr>
          <w:rStyle w:val="CharDefText"/>
        </w:rPr>
        <w:t>additional vessel</w:t>
      </w:r>
      <w:r>
        <w:t xml:space="preserve"> in relation to</w:t>
      </w:r>
      <w:r>
        <w:rPr>
          <w:snapToGrid w:val="0"/>
        </w:rPr>
        <w:t xml:space="preserve">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lastRenderedPageBreak/>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Gazette 4 Jul 1997 p. 3521</w:t>
      </w:r>
      <w:r>
        <w:noBreakHyphen/>
        <w:t>2; amended: Gazette 25 Oct 2016 p. 4876.]</w:t>
      </w:r>
    </w:p>
    <w:p>
      <w:pPr>
        <w:pStyle w:val="Heading5"/>
        <w:spacing w:before="240"/>
        <w:rPr>
          <w:snapToGrid w:val="0"/>
        </w:rPr>
      </w:pPr>
      <w:bookmarkStart w:id="65" w:name="_Toc201566028"/>
      <w:r>
        <w:rPr>
          <w:rStyle w:val="CharSectno"/>
        </w:rPr>
        <w:t>28</w:t>
      </w:r>
      <w:r>
        <w:rPr>
          <w:snapToGrid w:val="0"/>
        </w:rPr>
        <w:t>.</w:t>
      </w:r>
      <w:r>
        <w:rPr>
          <w:snapToGrid w:val="0"/>
        </w:rPr>
        <w:tab/>
        <w:t>Mooring specifications, compliance requirements as to</w:t>
      </w:r>
      <w:bookmarkEnd w:id="65"/>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keepNext/>
        <w:spacing w:before="180"/>
        <w:rPr>
          <w:snapToGrid w:val="0"/>
        </w:rPr>
      </w:pPr>
      <w:r>
        <w:rPr>
          <w:snapToGrid w:val="0"/>
        </w:rPr>
        <w:lastRenderedPageBreak/>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 xml:space="preserve">[Regulation 28 inserted: Gazette 4 Jul 1997 p. 3522; amended: Gazette 8 Dec 2009 p. 5003; 17 Dec 2010 p. 6360; 22 Sep 2015 p. 3854.] </w:t>
      </w:r>
    </w:p>
    <w:p>
      <w:pPr>
        <w:pStyle w:val="Heading5"/>
        <w:spacing w:before="240"/>
      </w:pPr>
      <w:bookmarkStart w:id="66" w:name="_Toc201566029"/>
      <w:r>
        <w:rPr>
          <w:rStyle w:val="CharSectno"/>
        </w:rPr>
        <w:t>28A</w:t>
      </w:r>
      <w:r>
        <w:t>.</w:t>
      </w:r>
      <w:r>
        <w:tab/>
        <w:t>Authority may reject mooring inspection report</w:t>
      </w:r>
      <w:bookmarkEnd w:id="66"/>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Gazette 7 Dec 2001 p. 6189.]</w:t>
      </w:r>
    </w:p>
    <w:p>
      <w:pPr>
        <w:pStyle w:val="Heading5"/>
        <w:spacing w:before="240"/>
        <w:rPr>
          <w:snapToGrid w:val="0"/>
        </w:rPr>
      </w:pPr>
      <w:bookmarkStart w:id="67" w:name="_Toc201566030"/>
      <w:r>
        <w:rPr>
          <w:rStyle w:val="CharSectno"/>
        </w:rPr>
        <w:t>29</w:t>
      </w:r>
      <w:r>
        <w:rPr>
          <w:snapToGrid w:val="0"/>
        </w:rPr>
        <w:t>.</w:t>
      </w:r>
      <w:r>
        <w:rPr>
          <w:snapToGrid w:val="0"/>
        </w:rPr>
        <w:tab/>
        <w:t>Unattended vessels on mooring site mooring</w:t>
      </w:r>
      <w:bookmarkEnd w:id="67"/>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lastRenderedPageBreak/>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Gazette 4 Jul 1997 p. 3522; amended: Gazette 4 Dec 2009 p. 4924; 8 Dec 2009 p. 5003.]</w:t>
      </w:r>
    </w:p>
    <w:p>
      <w:pPr>
        <w:pStyle w:val="Heading5"/>
        <w:spacing w:before="180"/>
        <w:rPr>
          <w:snapToGrid w:val="0"/>
        </w:rPr>
      </w:pPr>
      <w:bookmarkStart w:id="68" w:name="_Toc201566031"/>
      <w:r>
        <w:rPr>
          <w:rStyle w:val="CharSectno"/>
        </w:rPr>
        <w:t>30</w:t>
      </w:r>
      <w:r>
        <w:rPr>
          <w:snapToGrid w:val="0"/>
        </w:rPr>
        <w:t>.</w:t>
      </w:r>
      <w:r>
        <w:rPr>
          <w:snapToGrid w:val="0"/>
        </w:rPr>
        <w:tab/>
        <w:t>Licences, nature of, duties of holder on cessation of; exchange of sites</w:t>
      </w:r>
      <w:bookmarkEnd w:id="68"/>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lastRenderedPageBreak/>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 xml:space="preserve">If a previous licensee does not comply with a direction given under subregulation (5), the Authority may take possession of the mooring and deal with it as if it were </w:t>
      </w:r>
      <w:r>
        <w:t>abandoned, and for that purpose the notice given under subregulation (5) is taken to be a notice given under regulation 74(2)(b).</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9;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keepNext/>
        <w:rPr>
          <w:snapToGrid w:val="0"/>
        </w:rPr>
      </w:pPr>
      <w:r>
        <w:rPr>
          <w:snapToGrid w:val="0"/>
        </w:rPr>
        <w:lastRenderedPageBreak/>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Gazette 4 Jul 1997 p. 3522</w:t>
      </w:r>
      <w:r>
        <w:noBreakHyphen/>
        <w:t>3; amended: Gazette 8 Dec 2009 p. 5003; 29 Jul 2011 p. 3145; 25 Oct 2016 p. 4876; SL 2020/118 r. 6.]</w:t>
      </w:r>
    </w:p>
    <w:p>
      <w:pPr>
        <w:pStyle w:val="Heading5"/>
      </w:pPr>
      <w:bookmarkStart w:id="69" w:name="_Toc201566032"/>
      <w:r>
        <w:rPr>
          <w:rStyle w:val="CharSectno"/>
        </w:rPr>
        <w:t>31A</w:t>
      </w:r>
      <w:r>
        <w:t>.</w:t>
      </w:r>
      <w:r>
        <w:tab/>
        <w:t>Authorised user may use mooring site with licensee’s consent</w:t>
      </w:r>
      <w:bookmarkEnd w:id="69"/>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Ednotesubsection"/>
      </w:pPr>
      <w:r>
        <w:tab/>
        <w:t>[(2)</w:t>
      </w:r>
      <w:r>
        <w:tab/>
        <w:t>deleted]</w:t>
      </w:r>
    </w:p>
    <w:p>
      <w:pPr>
        <w:pStyle w:val="Footnotesection"/>
      </w:pPr>
      <w:r>
        <w:tab/>
        <w:t>[Regulation 31A inserted: Gazette 4 Dec 2009 p. 4921; amended: Gazette 25 Oct 2016 p. 4876.]</w:t>
      </w:r>
    </w:p>
    <w:p>
      <w:pPr>
        <w:pStyle w:val="Heading5"/>
      </w:pPr>
      <w:bookmarkStart w:id="70" w:name="_Toc201566033"/>
      <w:r>
        <w:rPr>
          <w:rStyle w:val="CharSectno"/>
        </w:rPr>
        <w:t>31B</w:t>
      </w:r>
      <w:r>
        <w:t>.</w:t>
      </w:r>
      <w:r>
        <w:tab/>
        <w:t>How licensee authorises person to be authorised user of mooring site</w:t>
      </w:r>
      <w:bookmarkEnd w:id="70"/>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keepNext/>
      </w:pPr>
      <w:r>
        <w:lastRenderedPageBreak/>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keepNext/>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Gazette 4 Dec 2009 p. 4921</w:t>
      </w:r>
      <w:r>
        <w:noBreakHyphen/>
        <w:t>2.]</w:t>
      </w:r>
    </w:p>
    <w:p>
      <w:pPr>
        <w:pStyle w:val="Heading5"/>
        <w:spacing w:before="180"/>
      </w:pPr>
      <w:bookmarkStart w:id="71" w:name="_Toc201566034"/>
      <w:r>
        <w:rPr>
          <w:rStyle w:val="CharSectno"/>
        </w:rPr>
        <w:t>31C</w:t>
      </w:r>
      <w:r>
        <w:t>.</w:t>
      </w:r>
      <w:r>
        <w:tab/>
        <w:t>How Authority authorises person to be authorised user of mooring site</w:t>
      </w:r>
      <w:bookmarkEnd w:id="71"/>
    </w:p>
    <w:p>
      <w:pPr>
        <w:pStyle w:val="Subsection"/>
        <w:spacing w:before="120"/>
      </w:pPr>
      <w:r>
        <w:tab/>
        <w:t>(1)</w:t>
      </w:r>
      <w:r>
        <w:tab/>
        <w:t>The Authority may, by written notice, authorise a person to be an authorised user of a mooring site.</w:t>
      </w:r>
    </w:p>
    <w:p>
      <w:pPr>
        <w:pStyle w:val="Subsection"/>
        <w:spacing w:before="120"/>
      </w:pPr>
      <w:r>
        <w:lastRenderedPageBreak/>
        <w:tab/>
        <w:t>(2)</w:t>
      </w:r>
      <w:r>
        <w:tab/>
        <w:t>The Authority must give a copy of the notice to the mooring site licensee.</w:t>
      </w:r>
    </w:p>
    <w:p>
      <w:pPr>
        <w:pStyle w:val="Subsection"/>
        <w:keepNext/>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Gazette 4 Dec 2009 p. 4922</w:t>
      </w:r>
      <w:r>
        <w:noBreakHyphen/>
        <w:t>3.]</w:t>
      </w:r>
    </w:p>
    <w:p>
      <w:pPr>
        <w:pStyle w:val="Heading5"/>
      </w:pPr>
      <w:bookmarkStart w:id="72" w:name="_Toc201566035"/>
      <w:r>
        <w:rPr>
          <w:rStyle w:val="CharSectno"/>
        </w:rPr>
        <w:t>31D</w:t>
      </w:r>
      <w:r>
        <w:t>.</w:t>
      </w:r>
      <w:r>
        <w:tab/>
        <w:t>Changing authorised user’s authorised vessel</w:t>
      </w:r>
      <w:bookmarkEnd w:id="72"/>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Gazette 4 Dec 2009 p. 4923.]</w:t>
      </w:r>
    </w:p>
    <w:p>
      <w:pPr>
        <w:pStyle w:val="Heading5"/>
      </w:pPr>
      <w:bookmarkStart w:id="73" w:name="_Toc201566036"/>
      <w:r>
        <w:rPr>
          <w:rStyle w:val="CharSectno"/>
        </w:rPr>
        <w:lastRenderedPageBreak/>
        <w:t>31E</w:t>
      </w:r>
      <w:r>
        <w:t>.</w:t>
      </w:r>
      <w:r>
        <w:tab/>
        <w:t>Annual payments by authorised users</w:t>
      </w:r>
      <w:bookmarkEnd w:id="73"/>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Gazette 4 Dec 2009 p. 4923.]</w:t>
      </w:r>
    </w:p>
    <w:p>
      <w:pPr>
        <w:pStyle w:val="Heading5"/>
        <w:spacing w:before="240"/>
      </w:pPr>
      <w:bookmarkStart w:id="74" w:name="_Toc201566037"/>
      <w:r>
        <w:rPr>
          <w:rStyle w:val="CharSectno"/>
        </w:rPr>
        <w:t>31F</w:t>
      </w:r>
      <w:r>
        <w:t>.</w:t>
      </w:r>
      <w:r>
        <w:tab/>
        <w:t>Revoking etc. authorisation given under r. 31B or 31C</w:t>
      </w:r>
      <w:bookmarkEnd w:id="74"/>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keepNext/>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lastRenderedPageBreak/>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Gazette 4 Dec 2009 p. 4923</w:t>
      </w:r>
      <w:r>
        <w:noBreakHyphen/>
        <w:t>4; amended: Gazette 24 Jan 2014 p. 113-14.]</w:t>
      </w:r>
    </w:p>
    <w:p>
      <w:pPr>
        <w:pStyle w:val="Ednotesection"/>
      </w:pPr>
      <w:r>
        <w:t>[</w:t>
      </w:r>
      <w:r>
        <w:rPr>
          <w:b/>
          <w:bCs/>
        </w:rPr>
        <w:t>31.</w:t>
      </w:r>
      <w:r>
        <w:rPr>
          <w:b/>
          <w:bCs/>
        </w:rPr>
        <w:tab/>
      </w:r>
      <w:r>
        <w:t>Deleted: Gazette 4 Dec 2009 p. 4921.]</w:t>
      </w:r>
    </w:p>
    <w:p>
      <w:pPr>
        <w:pStyle w:val="Heading5"/>
        <w:keepLines w:val="0"/>
        <w:rPr>
          <w:snapToGrid w:val="0"/>
        </w:rPr>
      </w:pPr>
      <w:bookmarkStart w:id="75" w:name="_Toc201566038"/>
      <w:r>
        <w:rPr>
          <w:rStyle w:val="CharSectno"/>
        </w:rPr>
        <w:t>32</w:t>
      </w:r>
      <w:r>
        <w:rPr>
          <w:snapToGrid w:val="0"/>
        </w:rPr>
        <w:t>.</w:t>
      </w:r>
      <w:r>
        <w:rPr>
          <w:snapToGrid w:val="0"/>
        </w:rPr>
        <w:tab/>
        <w:t>Term of licences; cancelling licences</w:t>
      </w:r>
      <w:bookmarkEnd w:id="75"/>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keepNext/>
        <w:rPr>
          <w:snapToGrid w:val="0"/>
        </w:rPr>
      </w:pPr>
      <w:r>
        <w:rPr>
          <w:snapToGrid w:val="0"/>
        </w:rPr>
        <w:lastRenderedPageBreak/>
        <w:tab/>
        <w:t>(3)</w:t>
      </w:r>
      <w:r>
        <w:rPr>
          <w:snapToGrid w:val="0"/>
        </w:rPr>
        <w:tab/>
        <w:t>The Authority may, by written notice served on a mooring site licensee, cancel or refuse to renew the mooring site licence of the licensee if — </w:t>
      </w:r>
    </w:p>
    <w:p>
      <w:pPr>
        <w:pStyle w:val="Indenta"/>
        <w:keepNext/>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keepNext/>
        <w:rPr>
          <w:snapToGrid w:val="0"/>
        </w:rPr>
      </w:pPr>
      <w:r>
        <w:rPr>
          <w:snapToGrid w:val="0"/>
        </w:rPr>
        <w:tab/>
        <w:t>(4)</w:t>
      </w:r>
      <w:r>
        <w:rPr>
          <w:snapToGrid w:val="0"/>
        </w:rPr>
        <w:tab/>
        <w:t xml:space="preserve">If the Authority cancels or refuses to renew a mooring site licence under subregulation (3)(e), the Authority may, despite </w:t>
      </w:r>
      <w:r>
        <w:rPr>
          <w:snapToGrid w:val="0"/>
        </w:rPr>
        <w:lastRenderedPageBreak/>
        <w:t>regulation 22(1)(a), offer under that regulation to the mooring site licensee another mooring site that is available for allocation.</w:t>
      </w:r>
    </w:p>
    <w:p>
      <w:pPr>
        <w:pStyle w:val="Footnotesection"/>
      </w:pPr>
      <w:r>
        <w:tab/>
        <w:t>[Regulation 32 inserted: Gazette 4 Jul 1997 p. 3524</w:t>
      </w:r>
      <w:r>
        <w:noBreakHyphen/>
        <w:t>5.]</w:t>
      </w:r>
    </w:p>
    <w:p>
      <w:pPr>
        <w:pStyle w:val="Heading5"/>
        <w:spacing w:before="240"/>
        <w:rPr>
          <w:snapToGrid w:val="0"/>
        </w:rPr>
      </w:pPr>
      <w:bookmarkStart w:id="76" w:name="_Toc201566039"/>
      <w:r>
        <w:rPr>
          <w:rStyle w:val="CharSectno"/>
        </w:rPr>
        <w:t>33</w:t>
      </w:r>
      <w:r>
        <w:rPr>
          <w:snapToGrid w:val="0"/>
        </w:rPr>
        <w:t>.</w:t>
      </w:r>
      <w:r>
        <w:rPr>
          <w:snapToGrid w:val="0"/>
        </w:rPr>
        <w:tab/>
        <w:t>Renewing licences</w:t>
      </w:r>
      <w:bookmarkEnd w:id="76"/>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Gazette 4 Jul 1997 p. 3525</w:t>
      </w:r>
      <w:r>
        <w:noBreakHyphen/>
        <w:t xml:space="preserve">6.] </w:t>
      </w:r>
    </w:p>
    <w:p>
      <w:pPr>
        <w:pStyle w:val="Heading5"/>
        <w:rPr>
          <w:snapToGrid w:val="0"/>
        </w:rPr>
      </w:pPr>
      <w:bookmarkStart w:id="77" w:name="_Toc201566040"/>
      <w:r>
        <w:rPr>
          <w:rStyle w:val="CharSectno"/>
        </w:rPr>
        <w:t>34</w:t>
      </w:r>
      <w:r>
        <w:rPr>
          <w:snapToGrid w:val="0"/>
        </w:rPr>
        <w:t>.</w:t>
      </w:r>
      <w:r>
        <w:rPr>
          <w:snapToGrid w:val="0"/>
        </w:rPr>
        <w:tab/>
        <w:t>Directions to licensees by Authority</w:t>
      </w:r>
      <w:bookmarkEnd w:id="77"/>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keepNext/>
        <w:rPr>
          <w:snapToGrid w:val="0"/>
        </w:rPr>
      </w:pPr>
      <w:r>
        <w:rPr>
          <w:snapToGrid w:val="0"/>
        </w:rPr>
        <w:lastRenderedPageBreak/>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Gazette 4 Jul 1997 p. 3526; amended: Gazette 4 Dec 2009 p. 4924.]</w:t>
      </w:r>
    </w:p>
    <w:p>
      <w:pPr>
        <w:pStyle w:val="Heading5"/>
        <w:rPr>
          <w:snapToGrid w:val="0"/>
        </w:rPr>
      </w:pPr>
      <w:bookmarkStart w:id="78" w:name="_Toc201566041"/>
      <w:r>
        <w:rPr>
          <w:rStyle w:val="CharSectno"/>
        </w:rPr>
        <w:t>35</w:t>
      </w:r>
      <w:r>
        <w:rPr>
          <w:snapToGrid w:val="0"/>
        </w:rPr>
        <w:t>.</w:t>
      </w:r>
      <w:r>
        <w:rPr>
          <w:snapToGrid w:val="0"/>
        </w:rPr>
        <w:tab/>
        <w:t>Rebates of fees etc. in some cases</w:t>
      </w:r>
      <w:bookmarkEnd w:id="78"/>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Gazette 4 Jul 1997 p. 3526; amended: Gazette 27 Jun 2003 p. 2407; 4 Dec 2009 p. 4924.]</w:t>
      </w:r>
    </w:p>
    <w:p>
      <w:pPr>
        <w:pStyle w:val="Ednotesection"/>
      </w:pPr>
      <w:r>
        <w:t>[</w:t>
      </w:r>
      <w:r>
        <w:rPr>
          <w:b/>
        </w:rPr>
        <w:t>35A.</w:t>
      </w:r>
      <w:r>
        <w:tab/>
        <w:t>Deleted: Gazette 25 Oct 2016 p. 4876.]</w:t>
      </w:r>
    </w:p>
    <w:p>
      <w:pPr>
        <w:pStyle w:val="Heading5"/>
        <w:rPr>
          <w:snapToGrid w:val="0"/>
        </w:rPr>
      </w:pPr>
      <w:bookmarkStart w:id="79" w:name="_Toc201566042"/>
      <w:r>
        <w:rPr>
          <w:rStyle w:val="CharSectno"/>
        </w:rPr>
        <w:lastRenderedPageBreak/>
        <w:t>35B</w:t>
      </w:r>
      <w:r>
        <w:rPr>
          <w:snapToGrid w:val="0"/>
        </w:rPr>
        <w:t>.</w:t>
      </w:r>
      <w:r>
        <w:rPr>
          <w:snapToGrid w:val="0"/>
        </w:rPr>
        <w:tab/>
        <w:t>Notices may be affixed to vessel etc.</w:t>
      </w:r>
      <w:bookmarkEnd w:id="79"/>
      <w:r>
        <w:rPr>
          <w:snapToGrid w:val="0"/>
        </w:rPr>
        <w:t xml:space="preserve"> </w:t>
      </w:r>
    </w:p>
    <w:p>
      <w:pPr>
        <w:pStyle w:val="Subsection"/>
        <w:keepNext/>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Gazette 4 Jul 1997 p. 3526; amended: Gazette 4 Dec 2009 p. 4924</w:t>
      </w:r>
      <w:r>
        <w:noBreakHyphen/>
        <w:t xml:space="preserve">5.] </w:t>
      </w:r>
    </w:p>
    <w:p>
      <w:pPr>
        <w:pStyle w:val="Ednotedivision"/>
      </w:pPr>
      <w:r>
        <w:t>[Division 4 (r. 35C-35G) deleted: Gazette 25 Oct 2011 p. 4513.]</w:t>
      </w:r>
    </w:p>
    <w:p>
      <w:pPr>
        <w:pStyle w:val="Heading2"/>
      </w:pPr>
      <w:bookmarkStart w:id="80" w:name="_Toc201314393"/>
      <w:bookmarkStart w:id="81" w:name="_Toc201318489"/>
      <w:bookmarkStart w:id="82" w:name="_Toc201318648"/>
      <w:bookmarkStart w:id="83" w:name="_Toc201566043"/>
      <w:r>
        <w:rPr>
          <w:rStyle w:val="CharPartNo"/>
        </w:rPr>
        <w:lastRenderedPageBreak/>
        <w:t>Part 5</w:t>
      </w:r>
      <w:r>
        <w:t> — </w:t>
      </w:r>
      <w:r>
        <w:rPr>
          <w:rStyle w:val="CharPartText"/>
        </w:rPr>
        <w:t>General management</w:t>
      </w:r>
      <w:bookmarkEnd w:id="80"/>
      <w:bookmarkEnd w:id="81"/>
      <w:bookmarkEnd w:id="82"/>
      <w:bookmarkEnd w:id="83"/>
      <w:r>
        <w:rPr>
          <w:rStyle w:val="CharPartText"/>
        </w:rPr>
        <w:t xml:space="preserve"> </w:t>
      </w:r>
    </w:p>
    <w:p>
      <w:pPr>
        <w:pStyle w:val="Heading3"/>
        <w:rPr>
          <w:snapToGrid w:val="0"/>
        </w:rPr>
      </w:pPr>
      <w:bookmarkStart w:id="84" w:name="_Toc201314394"/>
      <w:bookmarkStart w:id="85" w:name="_Toc201318490"/>
      <w:bookmarkStart w:id="86" w:name="_Toc201318649"/>
      <w:bookmarkStart w:id="87" w:name="_Toc201566044"/>
      <w:r>
        <w:rPr>
          <w:rStyle w:val="CharDivNo"/>
        </w:rPr>
        <w:t>Division 1</w:t>
      </w:r>
      <w:r>
        <w:rPr>
          <w:snapToGrid w:val="0"/>
        </w:rPr>
        <w:t> — </w:t>
      </w:r>
      <w:r>
        <w:rPr>
          <w:rStyle w:val="CharDivText"/>
        </w:rPr>
        <w:t>Control and regulation of access</w:t>
      </w:r>
      <w:bookmarkEnd w:id="84"/>
      <w:bookmarkEnd w:id="85"/>
      <w:bookmarkEnd w:id="86"/>
      <w:bookmarkEnd w:id="87"/>
      <w:r>
        <w:rPr>
          <w:rStyle w:val="CharDivText"/>
        </w:rPr>
        <w:t xml:space="preserve"> </w:t>
      </w:r>
    </w:p>
    <w:p>
      <w:pPr>
        <w:pStyle w:val="Heading5"/>
        <w:spacing w:before="240"/>
        <w:rPr>
          <w:snapToGrid w:val="0"/>
        </w:rPr>
      </w:pPr>
      <w:bookmarkStart w:id="88" w:name="_Toc201566045"/>
      <w:r>
        <w:rPr>
          <w:rStyle w:val="CharSectno"/>
        </w:rPr>
        <w:t>36</w:t>
      </w:r>
      <w:r>
        <w:rPr>
          <w:snapToGrid w:val="0"/>
        </w:rPr>
        <w:t>.</w:t>
      </w:r>
      <w:r>
        <w:rPr>
          <w:snapToGrid w:val="0"/>
        </w:rPr>
        <w:tab/>
        <w:t>Restricted areas, protected areas and closed tracks etc.</w:t>
      </w:r>
      <w:bookmarkEnd w:id="88"/>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made resources of the Island.</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lastRenderedPageBreak/>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Gazette 9 Nov 1990 p. 5590; 8 Dec 2009 p. 5003; 17 Dec 2010 p. 6361.] </w:t>
      </w:r>
    </w:p>
    <w:p>
      <w:pPr>
        <w:pStyle w:val="Heading3"/>
        <w:rPr>
          <w:snapToGrid w:val="0"/>
        </w:rPr>
      </w:pPr>
      <w:bookmarkStart w:id="89" w:name="_Toc201314396"/>
      <w:bookmarkStart w:id="90" w:name="_Toc201318492"/>
      <w:bookmarkStart w:id="91" w:name="_Toc201318651"/>
      <w:bookmarkStart w:id="92" w:name="_Toc201566046"/>
      <w:r>
        <w:rPr>
          <w:rStyle w:val="CharDivNo"/>
        </w:rPr>
        <w:t>Division 1A</w:t>
      </w:r>
      <w:r>
        <w:rPr>
          <w:snapToGrid w:val="0"/>
        </w:rPr>
        <w:t> — </w:t>
      </w:r>
      <w:r>
        <w:rPr>
          <w:rStyle w:val="CharDivText"/>
        </w:rPr>
        <w:t>Vessels</w:t>
      </w:r>
      <w:bookmarkEnd w:id="89"/>
      <w:bookmarkEnd w:id="90"/>
      <w:bookmarkEnd w:id="91"/>
      <w:bookmarkEnd w:id="92"/>
      <w:r>
        <w:rPr>
          <w:rStyle w:val="CharDivText"/>
        </w:rPr>
        <w:t xml:space="preserve"> </w:t>
      </w:r>
    </w:p>
    <w:p>
      <w:pPr>
        <w:pStyle w:val="Footnoteheading"/>
        <w:ind w:left="890"/>
        <w:rPr>
          <w:snapToGrid w:val="0"/>
        </w:rPr>
      </w:pPr>
      <w:r>
        <w:rPr>
          <w:snapToGrid w:val="0"/>
        </w:rPr>
        <w:tab/>
        <w:t xml:space="preserve">[Heading inserted: Gazette 4 Jul 1997 p. 3529.] </w:t>
      </w:r>
    </w:p>
    <w:p>
      <w:pPr>
        <w:pStyle w:val="Heading5"/>
        <w:spacing w:before="240"/>
        <w:rPr>
          <w:snapToGrid w:val="0"/>
        </w:rPr>
      </w:pPr>
      <w:bookmarkStart w:id="93" w:name="_Toc201566047"/>
      <w:r>
        <w:rPr>
          <w:rStyle w:val="CharSectno"/>
        </w:rPr>
        <w:t>36A</w:t>
      </w:r>
      <w:r>
        <w:rPr>
          <w:snapToGrid w:val="0"/>
        </w:rPr>
        <w:t>.</w:t>
      </w:r>
      <w:r>
        <w:rPr>
          <w:snapToGrid w:val="0"/>
        </w:rPr>
        <w:tab/>
        <w:t>Mooring vessels to land; beach anchors</w:t>
      </w:r>
      <w:bookmarkEnd w:id="9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Gazette 4 Jul 1997 p. 3529; amended: Gazette 8 Dec 2009 p. 5003.] </w:t>
      </w:r>
    </w:p>
    <w:p>
      <w:pPr>
        <w:pStyle w:val="Heading5"/>
        <w:spacing w:before="240"/>
        <w:rPr>
          <w:snapToGrid w:val="0"/>
        </w:rPr>
      </w:pPr>
      <w:bookmarkStart w:id="94" w:name="_Toc201566048"/>
      <w:r>
        <w:rPr>
          <w:rStyle w:val="CharSectno"/>
        </w:rPr>
        <w:t>37</w:t>
      </w:r>
      <w:r>
        <w:rPr>
          <w:snapToGrid w:val="0"/>
        </w:rPr>
        <w:t>.</w:t>
      </w:r>
      <w:r>
        <w:rPr>
          <w:snapToGrid w:val="0"/>
        </w:rPr>
        <w:tab/>
        <w:t>Beaching vessels in some circumstances</w:t>
      </w:r>
      <w:bookmarkEnd w:id="94"/>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lastRenderedPageBreak/>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95" w:name="_Toc201566049"/>
      <w:r>
        <w:rPr>
          <w:rStyle w:val="CharSectno"/>
        </w:rPr>
        <w:lastRenderedPageBreak/>
        <w:t>38</w:t>
      </w:r>
      <w:r>
        <w:rPr>
          <w:snapToGrid w:val="0"/>
        </w:rPr>
        <w:t>.</w:t>
      </w:r>
      <w:r>
        <w:rPr>
          <w:snapToGrid w:val="0"/>
        </w:rPr>
        <w:tab/>
        <w:t>Boats on lakes</w:t>
      </w:r>
      <w:bookmarkEnd w:id="95"/>
      <w:r>
        <w:rPr>
          <w:snapToGrid w:val="0"/>
        </w:rPr>
        <w:t xml:space="preserve"> </w:t>
      </w:r>
    </w:p>
    <w:p>
      <w:pPr>
        <w:pStyle w:val="Subsection"/>
        <w:widowControl w:val="0"/>
        <w:spacing w:before="120"/>
        <w:rPr>
          <w:snapToGrid w:val="0"/>
        </w:rPr>
      </w:pPr>
      <w:r>
        <w:rPr>
          <w:snapToGrid w:val="0"/>
        </w:rPr>
        <w:tab/>
      </w:r>
      <w:r>
        <w:rPr>
          <w:snapToGrid w:val="0"/>
        </w:rPr>
        <w:tab/>
        <w:t>A person shall not, without permission, have or use a boat on any lake on the Island.</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 Gazette 22 Sep 2015 p. 3863.]</w:t>
      </w:r>
    </w:p>
    <w:p>
      <w:pPr>
        <w:pStyle w:val="Heading5"/>
        <w:rPr>
          <w:snapToGrid w:val="0"/>
        </w:rPr>
      </w:pPr>
      <w:bookmarkStart w:id="96" w:name="_Toc201566050"/>
      <w:r>
        <w:rPr>
          <w:rStyle w:val="CharSectno"/>
        </w:rPr>
        <w:t>38A</w:t>
      </w:r>
      <w:r>
        <w:rPr>
          <w:snapToGrid w:val="0"/>
        </w:rPr>
        <w:t>.</w:t>
      </w:r>
      <w:r>
        <w:rPr>
          <w:snapToGrid w:val="0"/>
        </w:rPr>
        <w:tab/>
        <w:t>Speed restrictions for vessels</w:t>
      </w:r>
      <w:bookmarkEnd w:id="96"/>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spacing w:before="200"/>
        <w:rPr>
          <w:snapToGrid w:val="0"/>
        </w:rPr>
      </w:pPr>
      <w:r>
        <w:rPr>
          <w:snapToGrid w:val="0"/>
        </w:rPr>
        <w:tab/>
        <w:t>(2)</w:t>
      </w:r>
      <w:r>
        <w:rPr>
          <w:snapToGrid w:val="0"/>
        </w:rPr>
        <w:tab/>
        <w:t>The Authority may vary or cancel a notice under this regulation.</w:t>
      </w:r>
    </w:p>
    <w:p>
      <w:pPr>
        <w:pStyle w:val="Subsection"/>
        <w:spacing w:before="200"/>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38A inserted: Gazette 4 Jul 1997 p. 3530; amended: Gazette 22 Sep 2015 p. 3862.] </w:t>
      </w:r>
    </w:p>
    <w:p>
      <w:pPr>
        <w:pStyle w:val="Heading5"/>
        <w:rPr>
          <w:snapToGrid w:val="0"/>
        </w:rPr>
      </w:pPr>
      <w:bookmarkStart w:id="97" w:name="_Toc201566051"/>
      <w:r>
        <w:rPr>
          <w:rStyle w:val="CharSectno"/>
        </w:rPr>
        <w:t>38BA</w:t>
      </w:r>
      <w:r>
        <w:t>.</w:t>
      </w:r>
      <w:r>
        <w:tab/>
      </w:r>
      <w:r>
        <w:rPr>
          <w:snapToGrid w:val="0"/>
        </w:rPr>
        <w:t>Restricting use of certain vessels to specified areas</w:t>
      </w:r>
      <w:bookmarkEnd w:id="97"/>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any area of the waters of the Island as an area in which vessels of a specified class may be used.</w:t>
      </w:r>
    </w:p>
    <w:p>
      <w:pPr>
        <w:pStyle w:val="Subsection"/>
        <w:spacing w:before="200"/>
      </w:pPr>
      <w:r>
        <w:tab/>
        <w:t>(2)</w:t>
      </w:r>
      <w:r>
        <w:tab/>
        <w:t>The Authority may, in the notice, impose conditions on the use of vessels of that class in that area.</w:t>
      </w:r>
    </w:p>
    <w:p>
      <w:pPr>
        <w:pStyle w:val="Subsection"/>
        <w:spacing w:before="200"/>
      </w:pPr>
      <w:r>
        <w:tab/>
        <w:t>(3)</w:t>
      </w:r>
      <w:r>
        <w:tab/>
        <w:t>If a notice has been made under this regulation in respect of a class of vessels, a person must not use a vessel of that class in the waters of the Island unless the person does so —</w:t>
      </w:r>
    </w:p>
    <w:p>
      <w:pPr>
        <w:pStyle w:val="Indenta"/>
      </w:pPr>
      <w:r>
        <w:tab/>
        <w:t>(a)</w:t>
      </w:r>
      <w:r>
        <w:tab/>
        <w:t>in the area set aside by the notice; and</w:t>
      </w:r>
    </w:p>
    <w:p>
      <w:pPr>
        <w:pStyle w:val="Indenta"/>
        <w:keepNext/>
      </w:pPr>
      <w:r>
        <w:lastRenderedPageBreak/>
        <w:tab/>
        <w:t>(b)</w:t>
      </w:r>
      <w:r>
        <w:tab/>
        <w:t>in accordance with any conditions specified in the notice.</w:t>
      </w:r>
    </w:p>
    <w:p>
      <w:pPr>
        <w:pStyle w:val="Penstart"/>
        <w:keepNext/>
        <w:rPr>
          <w:snapToGrid w:val="0"/>
        </w:rPr>
      </w:pPr>
      <w:r>
        <w:rPr>
          <w:snapToGrid w:val="0"/>
        </w:rPr>
        <w:tab/>
      </w:r>
      <w:r>
        <w:t>Penalty for an offence under this subregulation: a fine of $1 000.</w:t>
      </w:r>
    </w:p>
    <w:p>
      <w:pPr>
        <w:pStyle w:val="Footnotesection"/>
      </w:pPr>
      <w:r>
        <w:tab/>
        <w:t xml:space="preserve">[Regulation 38BA inserted: Gazette 4 Dec 2009 p. 4925; amended: Gazette 22 Sep 2015 p. 3862.] </w:t>
      </w:r>
    </w:p>
    <w:p>
      <w:pPr>
        <w:pStyle w:val="Heading5"/>
        <w:rPr>
          <w:snapToGrid w:val="0"/>
        </w:rPr>
      </w:pPr>
      <w:bookmarkStart w:id="98" w:name="_Toc201566052"/>
      <w:r>
        <w:rPr>
          <w:rStyle w:val="CharSectno"/>
        </w:rPr>
        <w:t>38B</w:t>
      </w:r>
      <w:r>
        <w:t>.</w:t>
      </w:r>
      <w:r>
        <w:rPr>
          <w:snapToGrid w:val="0"/>
        </w:rPr>
        <w:tab/>
        <w:t>Areas may be set aside for specified vessels</w:t>
      </w:r>
      <w:bookmarkEnd w:id="98"/>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Island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 inserted: Gazette 4 Dec 2009 p. 4925; amended: Gazette 22 Sep 2015 p. 3862.] </w:t>
      </w:r>
    </w:p>
    <w:p>
      <w:pPr>
        <w:pStyle w:val="Heading5"/>
        <w:rPr>
          <w:snapToGrid w:val="0"/>
        </w:rPr>
      </w:pPr>
      <w:bookmarkStart w:id="99" w:name="_Toc201566053"/>
      <w:r>
        <w:rPr>
          <w:rStyle w:val="CharSectno"/>
        </w:rPr>
        <w:t>38C</w:t>
      </w:r>
      <w:r>
        <w:rPr>
          <w:snapToGrid w:val="0"/>
        </w:rPr>
        <w:t>.</w:t>
      </w:r>
      <w:r>
        <w:rPr>
          <w:snapToGrid w:val="0"/>
        </w:rPr>
        <w:tab/>
        <w:t>Black water from vessels</w:t>
      </w:r>
      <w:bookmarkEnd w:id="99"/>
    </w:p>
    <w:p>
      <w:pPr>
        <w:pStyle w:val="Subsection"/>
      </w:pPr>
      <w:r>
        <w:tab/>
        <w:t>(1)</w:t>
      </w:r>
      <w:r>
        <w:tab/>
        <w:t>In this regulation — </w:t>
      </w:r>
    </w:p>
    <w:p>
      <w:pPr>
        <w:pStyle w:val="Defstart"/>
      </w:pPr>
      <w:r>
        <w:tab/>
      </w:r>
      <w:r>
        <w:rPr>
          <w:rStyle w:val="CharDefText"/>
        </w:rPr>
        <w:t>black water</w:t>
      </w:r>
      <w:r>
        <w:t xml:space="preserve"> means faecal matter or urine and any waste composed wholly or in part of liquid.</w:t>
      </w:r>
    </w:p>
    <w:p>
      <w:pPr>
        <w:pStyle w:val="Subsection"/>
        <w:keepNext/>
        <w:rPr>
          <w:snapToGrid w:val="0"/>
        </w:rPr>
      </w:pPr>
      <w:r>
        <w:rPr>
          <w:snapToGrid w:val="0"/>
        </w:rPr>
        <w:lastRenderedPageBreak/>
        <w:tab/>
        <w:t>(2)</w:t>
      </w:r>
      <w:r>
        <w:rPr>
          <w:snapToGrid w:val="0"/>
        </w:rPr>
        <w:tab/>
        <w:t xml:space="preserve">A person shall not discharge or deposit within the limits of the Island any </w:t>
      </w:r>
      <w:r>
        <w:t>black water</w:t>
      </w:r>
      <w:r>
        <w:rPr>
          <w:snapToGrid w:val="0"/>
        </w:rPr>
        <w:t xml:space="preserve"> from a vessel other than by means of an approved treatment system.</w:t>
      </w:r>
    </w:p>
    <w:p>
      <w:pPr>
        <w:pStyle w:val="Penstart"/>
        <w:keepNext/>
        <w:rPr>
          <w:snapToGrid w:val="0"/>
        </w:rPr>
      </w:pPr>
      <w:r>
        <w:rPr>
          <w:snapToGrid w:val="0"/>
        </w:rPr>
        <w:tab/>
      </w:r>
      <w:r>
        <w:t>Penalty for an offence under this subregulation: a fine of $1 000.</w:t>
      </w:r>
    </w:p>
    <w:p>
      <w:pPr>
        <w:pStyle w:val="Footnotesection"/>
      </w:pPr>
      <w:r>
        <w:tab/>
        <w:t xml:space="preserve">[Regulation 38C inserted: Gazette 4 Jul 1997 p. 3531; amended: Gazette 22 Sep 2015 p. 3862; 25 Oct 2016 p. 4877.] </w:t>
      </w:r>
    </w:p>
    <w:p>
      <w:pPr>
        <w:pStyle w:val="Heading3"/>
        <w:rPr>
          <w:rStyle w:val="CharDivText"/>
        </w:rPr>
      </w:pPr>
      <w:bookmarkStart w:id="100" w:name="_Toc201314404"/>
      <w:bookmarkStart w:id="101" w:name="_Toc201318500"/>
      <w:bookmarkStart w:id="102" w:name="_Toc201318659"/>
      <w:bookmarkStart w:id="103" w:name="_Toc201566054"/>
      <w:r>
        <w:rPr>
          <w:rStyle w:val="CharDivNo"/>
        </w:rPr>
        <w:t>Division 1B</w:t>
      </w:r>
      <w:r>
        <w:t> — </w:t>
      </w:r>
      <w:r>
        <w:rPr>
          <w:rStyle w:val="CharDivText"/>
        </w:rPr>
        <w:t>Main jetty</w:t>
      </w:r>
      <w:bookmarkEnd w:id="100"/>
      <w:bookmarkEnd w:id="101"/>
      <w:bookmarkEnd w:id="102"/>
      <w:bookmarkEnd w:id="103"/>
    </w:p>
    <w:p>
      <w:pPr>
        <w:pStyle w:val="Footnoteheading"/>
        <w:ind w:left="890"/>
      </w:pPr>
      <w:r>
        <w:rPr>
          <w:snapToGrid w:val="0"/>
        </w:rPr>
        <w:tab/>
        <w:t>[Heading inserted: Gazette 22 Sep 2015 p. 3854.]</w:t>
      </w:r>
    </w:p>
    <w:p>
      <w:pPr>
        <w:pStyle w:val="Heading5"/>
      </w:pPr>
      <w:bookmarkStart w:id="104" w:name="_Toc201566055"/>
      <w:r>
        <w:rPr>
          <w:rStyle w:val="CharSectno"/>
        </w:rPr>
        <w:t>38D</w:t>
      </w:r>
      <w:r>
        <w:t>.</w:t>
      </w:r>
      <w:r>
        <w:tab/>
        <w:t>Term used: officer</w:t>
      </w:r>
      <w:bookmarkEnd w:id="104"/>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 Gazette 22 Sep 2015 p. 3854.]</w:t>
      </w:r>
    </w:p>
    <w:p>
      <w:pPr>
        <w:pStyle w:val="Heading5"/>
      </w:pPr>
      <w:bookmarkStart w:id="105" w:name="_Toc201566056"/>
      <w:r>
        <w:rPr>
          <w:rStyle w:val="CharSectno"/>
        </w:rPr>
        <w:t>38E</w:t>
      </w:r>
      <w:r>
        <w:t>.</w:t>
      </w:r>
      <w:r>
        <w:tab/>
        <w:t>Signs may prohibit use of main jetty</w:t>
      </w:r>
      <w:bookmarkEnd w:id="105"/>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 Gazette 22 Sep 2015 p. 3854.]</w:t>
      </w:r>
    </w:p>
    <w:p>
      <w:pPr>
        <w:pStyle w:val="Heading5"/>
      </w:pPr>
      <w:bookmarkStart w:id="106" w:name="_Toc201566057"/>
      <w:r>
        <w:rPr>
          <w:rStyle w:val="CharSectno"/>
        </w:rPr>
        <w:t>38F</w:t>
      </w:r>
      <w:r>
        <w:t>.</w:t>
      </w:r>
      <w:r>
        <w:tab/>
        <w:t>Approval to berth commercial vessel at main jetty</w:t>
      </w:r>
      <w:bookmarkEnd w:id="106"/>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keepNext/>
      </w:pPr>
      <w:r>
        <w:lastRenderedPageBreak/>
        <w:tab/>
        <w:t>(2)</w:t>
      </w:r>
      <w:r>
        <w:tab/>
        <w:t>The schedule must be provided —</w:t>
      </w:r>
    </w:p>
    <w:p>
      <w:pPr>
        <w:pStyle w:val="Indenta"/>
      </w:pPr>
      <w:r>
        <w:tab/>
        <w:t>(a)</w:t>
      </w:r>
      <w:r>
        <w:tab/>
        <w:t>in the case of a ferry — at least 14 days before the intended arrival; or</w:t>
      </w:r>
    </w:p>
    <w:p>
      <w:pPr>
        <w:pStyle w:val="Indenta"/>
      </w:pPr>
      <w:r>
        <w:tab/>
        <w:t>(b)</w:t>
      </w:r>
      <w:r>
        <w:tab/>
        <w:t>in any other case — at least one week before the intended arrival.</w:t>
      </w:r>
    </w:p>
    <w:p>
      <w:pPr>
        <w:pStyle w:val="Subsection"/>
      </w:pPr>
      <w:r>
        <w:tab/>
        <w:t>(3)</w:t>
      </w:r>
      <w:r>
        <w:tab/>
        <w:t>On an application under subregulation (1), the Authority may give written approval to the master or operator of the 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 Gazette 22 Sep 2015 p. 3854</w:t>
      </w:r>
      <w:r>
        <w:noBreakHyphen/>
        <w:t>5.]</w:t>
      </w:r>
    </w:p>
    <w:p>
      <w:pPr>
        <w:pStyle w:val="Heading5"/>
      </w:pPr>
      <w:bookmarkStart w:id="107" w:name="_Toc201566058"/>
      <w:r>
        <w:rPr>
          <w:rStyle w:val="CharSectno"/>
        </w:rPr>
        <w:t>38G</w:t>
      </w:r>
      <w:r>
        <w:t>.</w:t>
      </w:r>
      <w:r>
        <w:tab/>
        <w:t>Main jetty berthing fee</w:t>
      </w:r>
      <w:bookmarkEnd w:id="107"/>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 Gazette 22 Sep 2015 p. 3855.]</w:t>
      </w:r>
    </w:p>
    <w:p>
      <w:pPr>
        <w:pStyle w:val="Heading5"/>
      </w:pPr>
      <w:bookmarkStart w:id="108" w:name="_Toc201566059"/>
      <w:r>
        <w:rPr>
          <w:rStyle w:val="CharSectno"/>
        </w:rPr>
        <w:lastRenderedPageBreak/>
        <w:t>38H</w:t>
      </w:r>
      <w:r>
        <w:t>.</w:t>
      </w:r>
      <w:r>
        <w:tab/>
        <w:t>Duties of master of commercial vessel</w:t>
      </w:r>
      <w:bookmarkEnd w:id="108"/>
    </w:p>
    <w:p>
      <w:pPr>
        <w:pStyle w:val="Subsection"/>
        <w:keepNext/>
      </w:pPr>
      <w:r>
        <w:tab/>
        <w:t>(1)</w:t>
      </w:r>
      <w:r>
        <w:tab/>
        <w:t xml:space="preserve">The master of a vessel berthing at the main jetty must — </w:t>
      </w:r>
    </w:p>
    <w:p>
      <w:pPr>
        <w:pStyle w:val="Indenta"/>
      </w:pPr>
      <w:r>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 Gazette 22 Sep 2015 p. 3855</w:t>
      </w:r>
      <w:r>
        <w:noBreakHyphen/>
        <w:t>6.]</w:t>
      </w:r>
    </w:p>
    <w:p>
      <w:pPr>
        <w:pStyle w:val="Heading5"/>
      </w:pPr>
      <w:bookmarkStart w:id="109" w:name="_Toc201566060"/>
      <w:r>
        <w:rPr>
          <w:rStyle w:val="CharSectno"/>
        </w:rPr>
        <w:t>38I</w:t>
      </w:r>
      <w:r>
        <w:t>.</w:t>
      </w:r>
      <w:r>
        <w:tab/>
        <w:t>Work on main jetty</w:t>
      </w:r>
      <w:bookmarkEnd w:id="109"/>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 Gazette 22 Sep 2015 p. 3856.]</w:t>
      </w:r>
    </w:p>
    <w:p>
      <w:pPr>
        <w:pStyle w:val="Heading5"/>
      </w:pPr>
      <w:bookmarkStart w:id="110" w:name="_Toc201566061"/>
      <w:r>
        <w:rPr>
          <w:rStyle w:val="CharSectno"/>
        </w:rPr>
        <w:lastRenderedPageBreak/>
        <w:t>38J</w:t>
      </w:r>
      <w:r>
        <w:t>.</w:t>
      </w:r>
      <w:r>
        <w:tab/>
        <w:t>Repairs to vessel at main jetty</w:t>
      </w:r>
      <w:bookmarkEnd w:id="110"/>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 Gazette 22 Sep 2015 p. 3856.]</w:t>
      </w:r>
    </w:p>
    <w:p>
      <w:pPr>
        <w:pStyle w:val="Heading5"/>
      </w:pPr>
      <w:bookmarkStart w:id="111" w:name="_Toc201566062"/>
      <w:r>
        <w:rPr>
          <w:rStyle w:val="CharSectno"/>
        </w:rPr>
        <w:t>38K</w:t>
      </w:r>
      <w:r>
        <w:t>.</w:t>
      </w:r>
      <w:r>
        <w:tab/>
        <w:t>Berthing at main jetty generally</w:t>
      </w:r>
      <w:bookmarkEnd w:id="111"/>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 Gazette 22 Sep 2015 p. 3856</w:t>
      </w:r>
      <w:r>
        <w:noBreakHyphen/>
        <w:t>7.]</w:t>
      </w:r>
    </w:p>
    <w:p>
      <w:pPr>
        <w:pStyle w:val="Heading5"/>
      </w:pPr>
      <w:bookmarkStart w:id="112" w:name="_Toc201566063"/>
      <w:r>
        <w:rPr>
          <w:rStyle w:val="CharSectno"/>
        </w:rPr>
        <w:t>38L</w:t>
      </w:r>
      <w:r>
        <w:t>.</w:t>
      </w:r>
      <w:r>
        <w:tab/>
        <w:t>Berthing at commercial area of main jetty</w:t>
      </w:r>
      <w:bookmarkEnd w:id="112"/>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keepNext/>
      </w:pPr>
      <w:r>
        <w:lastRenderedPageBreak/>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keepNext/>
      </w:pPr>
      <w:r>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 Gazette 22 Sep 2015 p. 3857.]</w:t>
      </w:r>
    </w:p>
    <w:p>
      <w:pPr>
        <w:pStyle w:val="Heading5"/>
      </w:pPr>
      <w:bookmarkStart w:id="113" w:name="_Toc201566064"/>
      <w:r>
        <w:rPr>
          <w:rStyle w:val="CharSectno"/>
        </w:rPr>
        <w:t>38M</w:t>
      </w:r>
      <w:r>
        <w:t>.</w:t>
      </w:r>
      <w:r>
        <w:tab/>
        <w:t>Officer may direct that vessel be moved from main jetty</w:t>
      </w:r>
      <w:bookmarkEnd w:id="113"/>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lastRenderedPageBreak/>
        <w:tab/>
        <w:t>(3)</w:t>
      </w:r>
      <w:r>
        <w:tab/>
        <w:t>Where a person fails to comply with a direction under subregulation (1), an officer may move the vessel, or cause the vessel to be moved, in accordance with the direction or as the officer otherwise thinks fit.</w:t>
      </w:r>
    </w:p>
    <w:p>
      <w:pPr>
        <w:pStyle w:val="Subsection"/>
      </w:pPr>
      <w:r>
        <w:tab/>
        <w:t>(4)</w:t>
      </w:r>
      <w:r>
        <w:tab/>
        <w:t>The costs of moving a vessel under subregulation (3) are recoverable in a court of competent jurisdiction as a debt due to the Authority.</w:t>
      </w:r>
    </w:p>
    <w:p>
      <w:pPr>
        <w:pStyle w:val="Footnotesection"/>
      </w:pPr>
      <w:r>
        <w:tab/>
        <w:t>[Regulation 38M inserted: Gazette 22 Sep 2015 p. 3857</w:t>
      </w:r>
      <w:r>
        <w:noBreakHyphen/>
        <w:t>8.]</w:t>
      </w:r>
    </w:p>
    <w:p>
      <w:pPr>
        <w:pStyle w:val="Heading5"/>
      </w:pPr>
      <w:bookmarkStart w:id="114" w:name="_Toc201566065"/>
      <w:r>
        <w:rPr>
          <w:rStyle w:val="CharSectno"/>
        </w:rPr>
        <w:t>38N</w:t>
      </w:r>
      <w:r>
        <w:t>.</w:t>
      </w:r>
      <w:r>
        <w:tab/>
        <w:t>Bringing vehicle onto main jetty</w:t>
      </w:r>
      <w:bookmarkEnd w:id="114"/>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 Gazette 22 Sep 2015 p. 3858.]</w:t>
      </w:r>
    </w:p>
    <w:p>
      <w:pPr>
        <w:pStyle w:val="Heading5"/>
      </w:pPr>
      <w:bookmarkStart w:id="115" w:name="_Toc201566066"/>
      <w:r>
        <w:rPr>
          <w:rStyle w:val="CharSectno"/>
        </w:rPr>
        <w:t>38O</w:t>
      </w:r>
      <w:r>
        <w:t>.</w:t>
      </w:r>
      <w:r>
        <w:tab/>
        <w:t>Signs or markings on main jetty</w:t>
      </w:r>
      <w:bookmarkEnd w:id="115"/>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lastRenderedPageBreak/>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 Gazette 22 Sep 2015 p. 3858.]</w:t>
      </w:r>
    </w:p>
    <w:p>
      <w:pPr>
        <w:pStyle w:val="Heading5"/>
      </w:pPr>
      <w:bookmarkStart w:id="116" w:name="_Toc201566067"/>
      <w:r>
        <w:rPr>
          <w:rStyle w:val="CharSectno"/>
        </w:rPr>
        <w:t>38P</w:t>
      </w:r>
      <w:r>
        <w:t>.</w:t>
      </w:r>
      <w:r>
        <w:tab/>
        <w:t>Fishing from main jetty</w:t>
      </w:r>
      <w:bookmarkEnd w:id="116"/>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 Gazette 22 Sep 2015 p. 3858.]</w:t>
      </w:r>
    </w:p>
    <w:p>
      <w:pPr>
        <w:pStyle w:val="Heading5"/>
      </w:pPr>
      <w:bookmarkStart w:id="117" w:name="_Toc201566068"/>
      <w:r>
        <w:rPr>
          <w:rStyle w:val="CharSectno"/>
        </w:rPr>
        <w:t>38Q</w:t>
      </w:r>
      <w:r>
        <w:t>.</w:t>
      </w:r>
      <w:r>
        <w:tab/>
        <w:t>Hire, lease or sale of goods on main jetty</w:t>
      </w:r>
      <w:bookmarkEnd w:id="117"/>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 Gazette 22 Sep 2015 p. 3859.]</w:t>
      </w:r>
    </w:p>
    <w:p>
      <w:pPr>
        <w:pStyle w:val="Heading5"/>
      </w:pPr>
      <w:bookmarkStart w:id="118" w:name="_Toc201566069"/>
      <w:r>
        <w:rPr>
          <w:rStyle w:val="CharSectno"/>
        </w:rPr>
        <w:t>38R</w:t>
      </w:r>
      <w:r>
        <w:t>.</w:t>
      </w:r>
      <w:r>
        <w:tab/>
        <w:t>Use of amplified sound on main jetty</w:t>
      </w:r>
      <w:bookmarkEnd w:id="118"/>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 Gazette 22 Sep 2015 p. 3859.]</w:t>
      </w:r>
    </w:p>
    <w:p>
      <w:pPr>
        <w:pStyle w:val="Heading5"/>
        <w:keepNext w:val="0"/>
        <w:keepLines w:val="0"/>
      </w:pPr>
      <w:bookmarkStart w:id="119" w:name="_Toc201566070"/>
      <w:r>
        <w:rPr>
          <w:rStyle w:val="CharSectno"/>
        </w:rPr>
        <w:lastRenderedPageBreak/>
        <w:t>38S</w:t>
      </w:r>
      <w:r>
        <w:t>.</w:t>
      </w:r>
      <w:r>
        <w:tab/>
        <w:t>Interfering with person on main jetty</w:t>
      </w:r>
      <w:bookmarkEnd w:id="119"/>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tab/>
        <w:t>(b)</w:t>
      </w:r>
      <w:r>
        <w:tab/>
        <w:t>otherwise interfere with the free movement of anyone entering upon or leaving the main jetty.</w:t>
      </w:r>
    </w:p>
    <w:p>
      <w:pPr>
        <w:pStyle w:val="Penstart"/>
      </w:pPr>
      <w:r>
        <w:tab/>
        <w:t>Penalty: a fine of $1 000.</w:t>
      </w:r>
    </w:p>
    <w:p>
      <w:pPr>
        <w:pStyle w:val="Footnotesection"/>
      </w:pPr>
      <w:r>
        <w:tab/>
        <w:t>[Regulation 38S inserted: Gazette 22 Sep 2015 p. 3859.]</w:t>
      </w:r>
    </w:p>
    <w:p>
      <w:pPr>
        <w:pStyle w:val="Heading5"/>
      </w:pPr>
      <w:bookmarkStart w:id="120" w:name="_Toc201566071"/>
      <w:r>
        <w:rPr>
          <w:rStyle w:val="CharSectno"/>
        </w:rPr>
        <w:t>38T</w:t>
      </w:r>
      <w:r>
        <w:t>.</w:t>
      </w:r>
      <w:r>
        <w:tab/>
        <w:t>Gangways to be provided on vessel berthing at main jetty</w:t>
      </w:r>
      <w:bookmarkEnd w:id="120"/>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 Gazette 22 Sep 2015 p. 3859.]</w:t>
      </w:r>
    </w:p>
    <w:p>
      <w:pPr>
        <w:pStyle w:val="Heading5"/>
      </w:pPr>
      <w:bookmarkStart w:id="121" w:name="_Toc201566072"/>
      <w:r>
        <w:rPr>
          <w:rStyle w:val="CharSectno"/>
        </w:rPr>
        <w:t>38U</w:t>
      </w:r>
      <w:r>
        <w:t>.</w:t>
      </w:r>
      <w:r>
        <w:tab/>
        <w:t>Prohibited conduct on main jetty</w:t>
      </w:r>
      <w:bookmarkEnd w:id="121"/>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 Gazette 22 Sep 2015 p. 3859</w:t>
      </w:r>
      <w:r>
        <w:noBreakHyphen/>
        <w:t>60.]</w:t>
      </w:r>
    </w:p>
    <w:p>
      <w:pPr>
        <w:pStyle w:val="Heading5"/>
      </w:pPr>
      <w:bookmarkStart w:id="122" w:name="_Toc201566073"/>
      <w:r>
        <w:rPr>
          <w:rStyle w:val="CharSectno"/>
        </w:rPr>
        <w:lastRenderedPageBreak/>
        <w:t>38V</w:t>
      </w:r>
      <w:r>
        <w:t>.</w:t>
      </w:r>
      <w:r>
        <w:tab/>
        <w:t>Interfering with main jetty and its operations</w:t>
      </w:r>
      <w:bookmarkEnd w:id="122"/>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 Gazette 22 Sep 2015 p. 3860.]</w:t>
      </w:r>
    </w:p>
    <w:p>
      <w:pPr>
        <w:pStyle w:val="Heading3"/>
        <w:keepNext w:val="0"/>
        <w:rPr>
          <w:snapToGrid w:val="0"/>
        </w:rPr>
      </w:pPr>
      <w:bookmarkStart w:id="123" w:name="_Toc201314424"/>
      <w:bookmarkStart w:id="124" w:name="_Toc201318520"/>
      <w:bookmarkStart w:id="125" w:name="_Toc201318679"/>
      <w:bookmarkStart w:id="126" w:name="_Toc201566074"/>
      <w:r>
        <w:rPr>
          <w:rStyle w:val="CharDivNo"/>
        </w:rPr>
        <w:t>Division 2</w:t>
      </w:r>
      <w:r>
        <w:rPr>
          <w:snapToGrid w:val="0"/>
        </w:rPr>
        <w:t> — </w:t>
      </w:r>
      <w:r>
        <w:rPr>
          <w:rStyle w:val="CharDivText"/>
        </w:rPr>
        <w:t>Protection of flora, fauna, etc.</w:t>
      </w:r>
      <w:bookmarkEnd w:id="123"/>
      <w:bookmarkEnd w:id="124"/>
      <w:bookmarkEnd w:id="125"/>
      <w:bookmarkEnd w:id="126"/>
      <w:r>
        <w:rPr>
          <w:rStyle w:val="CharDivText"/>
        </w:rPr>
        <w:t xml:space="preserve"> </w:t>
      </w:r>
    </w:p>
    <w:p>
      <w:pPr>
        <w:pStyle w:val="Heading5"/>
        <w:rPr>
          <w:snapToGrid w:val="0"/>
        </w:rPr>
      </w:pPr>
      <w:bookmarkStart w:id="127" w:name="_Toc201566075"/>
      <w:r>
        <w:rPr>
          <w:rStyle w:val="CharSectno"/>
        </w:rPr>
        <w:t>39</w:t>
      </w:r>
      <w:r>
        <w:rPr>
          <w:snapToGrid w:val="0"/>
        </w:rPr>
        <w:t>.</w:t>
      </w:r>
      <w:r>
        <w:rPr>
          <w:snapToGrid w:val="0"/>
        </w:rPr>
        <w:tab/>
        <w:t>Flora etc., protection of</w:t>
      </w:r>
      <w:bookmarkEnd w:id="127"/>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 Gazette 22 Sep 2015 p. 3863.]</w:t>
      </w:r>
    </w:p>
    <w:p>
      <w:pPr>
        <w:pStyle w:val="Heading5"/>
        <w:rPr>
          <w:snapToGrid w:val="0"/>
        </w:rPr>
      </w:pPr>
      <w:bookmarkStart w:id="128" w:name="_Toc201566076"/>
      <w:r>
        <w:rPr>
          <w:rStyle w:val="CharSectno"/>
        </w:rPr>
        <w:t>40</w:t>
      </w:r>
      <w:r>
        <w:rPr>
          <w:snapToGrid w:val="0"/>
        </w:rPr>
        <w:t>.</w:t>
      </w:r>
      <w:r>
        <w:rPr>
          <w:snapToGrid w:val="0"/>
        </w:rPr>
        <w:tab/>
        <w:t>Fauna, protection of</w:t>
      </w:r>
      <w:bookmarkEnd w:id="128"/>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keepNext/>
        <w:rPr>
          <w:snapToGrid w:val="0"/>
        </w:rPr>
      </w:pPr>
      <w:r>
        <w:rPr>
          <w:snapToGrid w:val="0"/>
        </w:rPr>
        <w:lastRenderedPageBreak/>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vertAlign w:val="superscript"/>
        </w:rPr>
        <w:t> 2</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 Gazette 22 Sep 2015 p. 3863.]</w:t>
      </w:r>
    </w:p>
    <w:p>
      <w:pPr>
        <w:pStyle w:val="Heading5"/>
        <w:rPr>
          <w:snapToGrid w:val="0"/>
        </w:rPr>
      </w:pPr>
      <w:bookmarkStart w:id="129" w:name="_Toc201566077"/>
      <w:r>
        <w:rPr>
          <w:rStyle w:val="CharSectno"/>
        </w:rPr>
        <w:t>41</w:t>
      </w:r>
      <w:r>
        <w:rPr>
          <w:snapToGrid w:val="0"/>
        </w:rPr>
        <w:t>.</w:t>
      </w:r>
      <w:r>
        <w:rPr>
          <w:snapToGrid w:val="0"/>
        </w:rPr>
        <w:tab/>
        <w:t>No animal or bird to be landed on Island</w:t>
      </w:r>
      <w:bookmarkEnd w:id="129"/>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Footnotesection"/>
      </w:pPr>
      <w:r>
        <w:tab/>
        <w:t>[Regulation 41 amended: Gazette 22 Sep 2015 p. 3863.]</w:t>
      </w:r>
    </w:p>
    <w:p>
      <w:pPr>
        <w:pStyle w:val="Heading5"/>
        <w:spacing w:before="180"/>
        <w:rPr>
          <w:snapToGrid w:val="0"/>
        </w:rPr>
      </w:pPr>
      <w:bookmarkStart w:id="130" w:name="_Toc201566078"/>
      <w:r>
        <w:rPr>
          <w:rStyle w:val="CharSectno"/>
        </w:rPr>
        <w:t>41A</w:t>
      </w:r>
      <w:r>
        <w:rPr>
          <w:snapToGrid w:val="0"/>
        </w:rPr>
        <w:t>.</w:t>
      </w:r>
      <w:r>
        <w:rPr>
          <w:snapToGrid w:val="0"/>
        </w:rPr>
        <w:tab/>
        <w:t>Fauna, feeding of</w:t>
      </w:r>
      <w:bookmarkEnd w:id="130"/>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lastRenderedPageBreak/>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keepNext/>
        <w:rPr>
          <w:snapToGrid w:val="0"/>
        </w:rPr>
      </w:pPr>
      <w:r>
        <w:rPr>
          <w:snapToGrid w:val="0"/>
        </w:rPr>
        <w:tab/>
        <w:t>(b)</w:t>
      </w:r>
      <w:r>
        <w:rPr>
          <w:snapToGrid w:val="0"/>
        </w:rPr>
        <w:tab/>
        <w:t>otherwise notified that person that the feeding of fauna of that kind is prohibited.</w:t>
      </w:r>
    </w:p>
    <w:p>
      <w:pPr>
        <w:pStyle w:val="Penstart"/>
        <w:keepNext/>
      </w:pPr>
      <w:r>
        <w:tab/>
        <w:t>Penalty for an offence under this subregulation: a fine of $750.</w:t>
      </w:r>
    </w:p>
    <w:p>
      <w:pPr>
        <w:pStyle w:val="Footnotesection"/>
      </w:pPr>
      <w:r>
        <w:tab/>
        <w:t xml:space="preserve">[Regulation 41A inserted: Gazette 4 Jul 1997 p. 3531; amended: Gazette 8 Dec 2009 p. 5004; 22 Sep 2015 p. 3860.] </w:t>
      </w:r>
    </w:p>
    <w:p>
      <w:pPr>
        <w:pStyle w:val="Heading5"/>
        <w:spacing w:before="180"/>
      </w:pPr>
      <w:bookmarkStart w:id="131" w:name="_Toc201566079"/>
      <w:r>
        <w:rPr>
          <w:rStyle w:val="CharSectno"/>
        </w:rPr>
        <w:t>41B</w:t>
      </w:r>
      <w:r>
        <w:t>.</w:t>
      </w:r>
      <w:r>
        <w:tab/>
        <w:t>No flora to be brought to Island</w:t>
      </w:r>
      <w:bookmarkEnd w:id="131"/>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A person must not without permission cause or allow any flora to be brought within the limits of the Island.</w:t>
      </w:r>
    </w:p>
    <w:p>
      <w:pPr>
        <w:pStyle w:val="Penstart"/>
        <w:spacing w:before="60"/>
      </w:pPr>
      <w:r>
        <w:tab/>
        <w:t>Penalty: a fine of $1 000.</w:t>
      </w:r>
    </w:p>
    <w:p>
      <w:pPr>
        <w:pStyle w:val="Subsection"/>
      </w:pPr>
      <w:r>
        <w:tab/>
        <w:t>(3)</w:t>
      </w:r>
      <w:r>
        <w:tab/>
        <w:t>A ranger may take and destroy any flora that the ranger believes to be within the limits of the Island as a result of a contravention of this regulation.</w:t>
      </w:r>
    </w:p>
    <w:p>
      <w:pPr>
        <w:pStyle w:val="Footnotesection"/>
      </w:pPr>
      <w:r>
        <w:tab/>
        <w:t>[Regulation 41B inserted: Gazette 25 Oct 2011 p. 4513-14.]</w:t>
      </w:r>
    </w:p>
    <w:p>
      <w:pPr>
        <w:pStyle w:val="Heading5"/>
        <w:rPr>
          <w:snapToGrid w:val="0"/>
        </w:rPr>
      </w:pPr>
      <w:bookmarkStart w:id="132" w:name="_Toc201566080"/>
      <w:r>
        <w:rPr>
          <w:rStyle w:val="CharSectno"/>
        </w:rPr>
        <w:t>42</w:t>
      </w:r>
      <w:r>
        <w:rPr>
          <w:snapToGrid w:val="0"/>
        </w:rPr>
        <w:t>.</w:t>
      </w:r>
      <w:r>
        <w:rPr>
          <w:snapToGrid w:val="0"/>
        </w:rPr>
        <w:tab/>
        <w:t>Rocks and soil, protection of</w:t>
      </w:r>
      <w:bookmarkEnd w:id="132"/>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pPr>
      <w:r>
        <w:tab/>
        <w:t>Penalty: a fine of $750.</w:t>
      </w:r>
    </w:p>
    <w:p>
      <w:pPr>
        <w:pStyle w:val="Subsection"/>
        <w:rPr>
          <w:snapToGrid w:val="0"/>
        </w:rPr>
      </w:pPr>
      <w:r>
        <w:rPr>
          <w:snapToGrid w:val="0"/>
        </w:rPr>
        <w:lastRenderedPageBreak/>
        <w:tab/>
        <w:t>(2)</w:t>
      </w:r>
      <w:r>
        <w:rPr>
          <w:snapToGrid w:val="0"/>
        </w:rPr>
        <w:tab/>
        <w:t>Nothing in subregulation (1) applies to things done in the reasonable use and enjoyment of the Island.</w:t>
      </w:r>
    </w:p>
    <w:p>
      <w:pPr>
        <w:pStyle w:val="Footnotesection"/>
      </w:pPr>
      <w:r>
        <w:tab/>
        <w:t xml:space="preserve">[Regulation 42 amended: Gazette 8 Dec 2009 p. 5004.] </w:t>
      </w:r>
    </w:p>
    <w:p>
      <w:pPr>
        <w:pStyle w:val="Heading3"/>
        <w:rPr>
          <w:snapToGrid w:val="0"/>
        </w:rPr>
      </w:pPr>
      <w:bookmarkStart w:id="133" w:name="_Toc201314431"/>
      <w:bookmarkStart w:id="134" w:name="_Toc201318527"/>
      <w:bookmarkStart w:id="135" w:name="_Toc201318686"/>
      <w:bookmarkStart w:id="136" w:name="_Toc201566081"/>
      <w:r>
        <w:rPr>
          <w:rStyle w:val="CharDivNo"/>
        </w:rPr>
        <w:t>Division 3</w:t>
      </w:r>
      <w:r>
        <w:rPr>
          <w:snapToGrid w:val="0"/>
        </w:rPr>
        <w:t> — </w:t>
      </w:r>
      <w:r>
        <w:rPr>
          <w:rStyle w:val="CharDivText"/>
        </w:rPr>
        <w:t>Vehicles</w:t>
      </w:r>
      <w:bookmarkEnd w:id="133"/>
      <w:bookmarkEnd w:id="134"/>
      <w:bookmarkEnd w:id="135"/>
      <w:bookmarkEnd w:id="136"/>
      <w:r>
        <w:rPr>
          <w:rStyle w:val="CharDivText"/>
        </w:rPr>
        <w:t xml:space="preserve"> </w:t>
      </w:r>
    </w:p>
    <w:p>
      <w:pPr>
        <w:pStyle w:val="Heading5"/>
        <w:spacing w:before="180"/>
        <w:rPr>
          <w:snapToGrid w:val="0"/>
        </w:rPr>
      </w:pPr>
      <w:bookmarkStart w:id="137" w:name="_Toc201566082"/>
      <w:r>
        <w:rPr>
          <w:rStyle w:val="CharSectno"/>
        </w:rPr>
        <w:t>43</w:t>
      </w:r>
      <w:r>
        <w:rPr>
          <w:snapToGrid w:val="0"/>
        </w:rPr>
        <w:t>.</w:t>
      </w:r>
      <w:r>
        <w:rPr>
          <w:snapToGrid w:val="0"/>
        </w:rPr>
        <w:tab/>
        <w:t>Application of road laws</w:t>
      </w:r>
      <w:bookmarkEnd w:id="137"/>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Footnotesection"/>
      </w:pPr>
      <w:r>
        <w:tab/>
        <w:t xml:space="preserve">[Regulation 43 amended: Gazette 8 Jan 2015 p. 150.] </w:t>
      </w:r>
    </w:p>
    <w:p>
      <w:pPr>
        <w:pStyle w:val="Heading5"/>
        <w:spacing w:before="180"/>
        <w:rPr>
          <w:snapToGrid w:val="0"/>
        </w:rPr>
      </w:pPr>
      <w:bookmarkStart w:id="138" w:name="_Toc201566083"/>
      <w:r>
        <w:rPr>
          <w:rStyle w:val="CharSectno"/>
        </w:rPr>
        <w:t>44</w:t>
      </w:r>
      <w:r>
        <w:rPr>
          <w:snapToGrid w:val="0"/>
        </w:rPr>
        <w:t>.</w:t>
      </w:r>
      <w:r>
        <w:rPr>
          <w:snapToGrid w:val="0"/>
        </w:rPr>
        <w:tab/>
        <w:t>Traffic signs and directions</w:t>
      </w:r>
      <w:bookmarkEnd w:id="138"/>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keepNext/>
        <w:rPr>
          <w:snapToGrid w:val="0"/>
        </w:rPr>
      </w:pPr>
      <w:r>
        <w:rPr>
          <w:snapToGrid w:val="0"/>
        </w:rPr>
        <w:lastRenderedPageBreak/>
        <w:tab/>
        <w:t>(b)</w:t>
      </w:r>
      <w:r>
        <w:rPr>
          <w:snapToGrid w:val="0"/>
        </w:rPr>
        <w:tab/>
        <w:t>a signal or direction by a ranger as to the use, parking or movement of a vehicle that is addressed to him and that is reasonably required for the regulation of traffic.</w:t>
      </w:r>
    </w:p>
    <w:p>
      <w:pPr>
        <w:pStyle w:val="Penstart"/>
        <w:keepNext/>
      </w:pPr>
      <w:r>
        <w:tab/>
        <w:t>Penalty for an offence under this subregulation: a fine of $750.</w:t>
      </w:r>
    </w:p>
    <w:p>
      <w:pPr>
        <w:pStyle w:val="Footnotesection"/>
        <w:ind w:left="890" w:hanging="890"/>
      </w:pPr>
      <w:r>
        <w:tab/>
        <w:t xml:space="preserve">[Regulation 44 amended: Gazette 8 Dec 2009 p. 5004; 22 Sep 2015 p. 3860; 5 Apr 2016 p. 1028.] </w:t>
      </w:r>
    </w:p>
    <w:p>
      <w:pPr>
        <w:pStyle w:val="Heading5"/>
        <w:rPr>
          <w:snapToGrid w:val="0"/>
        </w:rPr>
      </w:pPr>
      <w:bookmarkStart w:id="139" w:name="_Toc201566084"/>
      <w:r>
        <w:rPr>
          <w:rStyle w:val="CharSectno"/>
        </w:rPr>
        <w:t>45</w:t>
      </w:r>
      <w:r>
        <w:rPr>
          <w:snapToGrid w:val="0"/>
        </w:rPr>
        <w:t>.</w:t>
      </w:r>
      <w:r>
        <w:rPr>
          <w:snapToGrid w:val="0"/>
        </w:rPr>
        <w:tab/>
        <w:t>Restriction on bringing vehicles to Island</w:t>
      </w:r>
      <w:bookmarkEnd w:id="139"/>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spacing w:before="120"/>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spacing w:before="120"/>
        <w:rPr>
          <w:snapToGrid w:val="0"/>
        </w:rPr>
      </w:pPr>
      <w:r>
        <w:rPr>
          <w:snapToGrid w:val="0"/>
        </w:rPr>
        <w:lastRenderedPageBreak/>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Gazette 19 Jun 1998 p. 3303; 25 Oct 2011 p. 4514; 24 Jan 2014 p. 114; 22 Sep 2015 p. 3863.]</w:t>
      </w:r>
    </w:p>
    <w:p>
      <w:pPr>
        <w:pStyle w:val="Heading5"/>
        <w:rPr>
          <w:snapToGrid w:val="0"/>
        </w:rPr>
      </w:pPr>
      <w:bookmarkStart w:id="140" w:name="_Toc201566085"/>
      <w:r>
        <w:rPr>
          <w:rStyle w:val="CharSectno"/>
        </w:rPr>
        <w:t>46</w:t>
      </w:r>
      <w:r>
        <w:rPr>
          <w:snapToGrid w:val="0"/>
        </w:rPr>
        <w:t>.</w:t>
      </w:r>
      <w:r>
        <w:rPr>
          <w:snapToGrid w:val="0"/>
        </w:rPr>
        <w:tab/>
        <w:t>Use of vehicles</w:t>
      </w:r>
      <w:bookmarkEnd w:id="140"/>
      <w:r>
        <w:rPr>
          <w:snapToGrid w:val="0"/>
        </w:rPr>
        <w:t xml:space="preserve"> </w:t>
      </w:r>
    </w:p>
    <w:p>
      <w:pPr>
        <w:pStyle w:val="Subsection"/>
        <w:spacing w:before="120"/>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Gazette 25 Oct 2011 p. 4514; 24 Jan 2014 p. 114; 22 Sep 2015 p. 3863.]</w:t>
      </w:r>
    </w:p>
    <w:p>
      <w:pPr>
        <w:pStyle w:val="Ednotesection"/>
      </w:pPr>
      <w:r>
        <w:t>[</w:t>
      </w:r>
      <w:r>
        <w:rPr>
          <w:b/>
          <w:bCs/>
        </w:rPr>
        <w:t>47, 48.</w:t>
      </w:r>
      <w:r>
        <w:rPr>
          <w:b/>
          <w:bCs/>
        </w:rPr>
        <w:tab/>
      </w:r>
      <w:r>
        <w:t>Deleted: Gazette 5 Apr 2016 p. 1028.]</w:t>
      </w:r>
    </w:p>
    <w:p>
      <w:pPr>
        <w:pStyle w:val="Heading5"/>
        <w:rPr>
          <w:snapToGrid w:val="0"/>
        </w:rPr>
      </w:pPr>
      <w:bookmarkStart w:id="141" w:name="_Toc201566086"/>
      <w:r>
        <w:rPr>
          <w:rStyle w:val="CharSectno"/>
        </w:rPr>
        <w:t>49</w:t>
      </w:r>
      <w:r>
        <w:rPr>
          <w:snapToGrid w:val="0"/>
        </w:rPr>
        <w:t>.</w:t>
      </w:r>
      <w:r>
        <w:rPr>
          <w:snapToGrid w:val="0"/>
        </w:rPr>
        <w:tab/>
        <w:t>Vehicles on beaches</w:t>
      </w:r>
      <w:bookmarkEnd w:id="141"/>
      <w:r>
        <w:rPr>
          <w:snapToGrid w:val="0"/>
        </w:rPr>
        <w:t xml:space="preserve"> </w:t>
      </w:r>
    </w:p>
    <w:p>
      <w:pPr>
        <w:pStyle w:val="Subsection"/>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 Gazette 22 Sep 2015 p. 3863.]</w:t>
      </w:r>
    </w:p>
    <w:p>
      <w:pPr>
        <w:pStyle w:val="Heading5"/>
        <w:spacing w:before="180"/>
        <w:rPr>
          <w:snapToGrid w:val="0"/>
        </w:rPr>
      </w:pPr>
      <w:bookmarkStart w:id="142" w:name="_Toc201566087"/>
      <w:r>
        <w:rPr>
          <w:rStyle w:val="CharSectno"/>
        </w:rPr>
        <w:t>50</w:t>
      </w:r>
      <w:r>
        <w:rPr>
          <w:snapToGrid w:val="0"/>
        </w:rPr>
        <w:t>.</w:t>
      </w:r>
      <w:r>
        <w:rPr>
          <w:snapToGrid w:val="0"/>
        </w:rPr>
        <w:tab/>
        <w:t>Emergency vehicles</w:t>
      </w:r>
      <w:bookmarkEnd w:id="142"/>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pPr>
      <w:r>
        <w:lastRenderedPageBreak/>
        <w:tab/>
        <w:t>(b)</w:t>
      </w:r>
      <w:r>
        <w:tab/>
        <w:t xml:space="preserve">exceed any speed limit applicable to the road under the </w:t>
      </w:r>
      <w:r>
        <w:rPr>
          <w:i/>
        </w:rPr>
        <w:t>Road Traffic Act 1974</w:t>
      </w:r>
      <w:r>
        <w:t>.</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keepNext/>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Footnotesection"/>
      </w:pPr>
      <w:r>
        <w:tab/>
        <w:t>[Regulation 50 amended: Gazette 5 Apr 2016 p. 1028.]</w:t>
      </w:r>
    </w:p>
    <w:p>
      <w:pPr>
        <w:pStyle w:val="Heading5"/>
        <w:rPr>
          <w:snapToGrid w:val="0"/>
        </w:rPr>
      </w:pPr>
      <w:bookmarkStart w:id="143" w:name="_Toc201566088"/>
      <w:r>
        <w:rPr>
          <w:rStyle w:val="CharSectno"/>
        </w:rPr>
        <w:t>51</w:t>
      </w:r>
      <w:r>
        <w:rPr>
          <w:snapToGrid w:val="0"/>
        </w:rPr>
        <w:t>.</w:t>
      </w:r>
      <w:r>
        <w:rPr>
          <w:snapToGrid w:val="0"/>
        </w:rPr>
        <w:tab/>
        <w:t>Possession of hired bicycles</w:t>
      </w:r>
      <w:bookmarkEnd w:id="143"/>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Gazette 4 Jan 2013 p. 23; 24 Jan 2014 p. 114.]</w:t>
      </w:r>
    </w:p>
    <w:p>
      <w:pPr>
        <w:pStyle w:val="Heading3"/>
        <w:rPr>
          <w:snapToGrid w:val="0"/>
        </w:rPr>
      </w:pPr>
      <w:bookmarkStart w:id="144" w:name="_Toc201314439"/>
      <w:bookmarkStart w:id="145" w:name="_Toc201318535"/>
      <w:bookmarkStart w:id="146" w:name="_Toc201318694"/>
      <w:bookmarkStart w:id="147" w:name="_Toc201566089"/>
      <w:r>
        <w:rPr>
          <w:rStyle w:val="CharDivNo"/>
        </w:rPr>
        <w:lastRenderedPageBreak/>
        <w:t>Division 4</w:t>
      </w:r>
      <w:r>
        <w:rPr>
          <w:snapToGrid w:val="0"/>
        </w:rPr>
        <w:t> — </w:t>
      </w:r>
      <w:r>
        <w:rPr>
          <w:rStyle w:val="CharDivText"/>
        </w:rPr>
        <w:t>Control of certain activities</w:t>
      </w:r>
      <w:bookmarkEnd w:id="144"/>
      <w:bookmarkEnd w:id="145"/>
      <w:bookmarkEnd w:id="146"/>
      <w:bookmarkEnd w:id="147"/>
      <w:r>
        <w:rPr>
          <w:rStyle w:val="CharDivText"/>
        </w:rPr>
        <w:t xml:space="preserve"> </w:t>
      </w:r>
    </w:p>
    <w:p>
      <w:pPr>
        <w:pStyle w:val="Heading5"/>
        <w:rPr>
          <w:snapToGrid w:val="0"/>
        </w:rPr>
      </w:pPr>
      <w:bookmarkStart w:id="148" w:name="_Toc201566090"/>
      <w:r>
        <w:rPr>
          <w:rStyle w:val="CharSectno"/>
        </w:rPr>
        <w:t>52</w:t>
      </w:r>
      <w:r>
        <w:rPr>
          <w:snapToGrid w:val="0"/>
        </w:rPr>
        <w:t>.</w:t>
      </w:r>
      <w:r>
        <w:rPr>
          <w:snapToGrid w:val="0"/>
        </w:rPr>
        <w:tab/>
        <w:t>Erection of structures and tents</w:t>
      </w:r>
      <w:bookmarkEnd w:id="148"/>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Gazette 8 Dec 2009 p. 5004; 22 Sep 2015 p. 3863.]</w:t>
      </w:r>
    </w:p>
    <w:p>
      <w:pPr>
        <w:pStyle w:val="Heading5"/>
        <w:rPr>
          <w:snapToGrid w:val="0"/>
        </w:rPr>
      </w:pPr>
      <w:bookmarkStart w:id="149" w:name="_Toc201566091"/>
      <w:r>
        <w:rPr>
          <w:rStyle w:val="CharSectno"/>
        </w:rPr>
        <w:t>53</w:t>
      </w:r>
      <w:r>
        <w:rPr>
          <w:snapToGrid w:val="0"/>
        </w:rPr>
        <w:t>.</w:t>
      </w:r>
      <w:r>
        <w:rPr>
          <w:snapToGrid w:val="0"/>
        </w:rPr>
        <w:tab/>
        <w:t>Organized events and meetings</w:t>
      </w:r>
      <w:bookmarkEnd w:id="149"/>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 or</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keepNext/>
        <w:rPr>
          <w:snapToGrid w:val="0"/>
        </w:rPr>
      </w:pPr>
      <w:r>
        <w:rPr>
          <w:snapToGrid w:val="0"/>
        </w:rPr>
        <w:lastRenderedPageBreak/>
        <w:tab/>
        <w:t>(c)</w:t>
      </w:r>
      <w:r>
        <w:rPr>
          <w:snapToGrid w:val="0"/>
        </w:rPr>
        <w:tab/>
        <w:t>any public meeting or public speaking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 Gazette 22 Sep 2015 p. 3863.]</w:t>
      </w:r>
    </w:p>
    <w:p>
      <w:pPr>
        <w:pStyle w:val="Heading5"/>
        <w:rPr>
          <w:snapToGrid w:val="0"/>
        </w:rPr>
      </w:pPr>
      <w:bookmarkStart w:id="150" w:name="_Toc201566092"/>
      <w:r>
        <w:rPr>
          <w:rStyle w:val="CharSectno"/>
        </w:rPr>
        <w:t>54</w:t>
      </w:r>
      <w:r>
        <w:rPr>
          <w:snapToGrid w:val="0"/>
        </w:rPr>
        <w:t>.</w:t>
      </w:r>
      <w:r>
        <w:rPr>
          <w:snapToGrid w:val="0"/>
        </w:rPr>
        <w:tab/>
        <w:t>Photography for commercial purposes</w:t>
      </w:r>
      <w:bookmarkEnd w:id="150"/>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Gazette 9 Nov 1990 p. 5590; 8 Dec 2009 p. 5004.] </w:t>
      </w:r>
    </w:p>
    <w:p>
      <w:pPr>
        <w:pStyle w:val="Heading5"/>
        <w:rPr>
          <w:snapToGrid w:val="0"/>
        </w:rPr>
      </w:pPr>
      <w:bookmarkStart w:id="151" w:name="_Toc201566093"/>
      <w:r>
        <w:rPr>
          <w:rStyle w:val="CharSectno"/>
        </w:rPr>
        <w:t>55</w:t>
      </w:r>
      <w:r>
        <w:rPr>
          <w:snapToGrid w:val="0"/>
        </w:rPr>
        <w:t>.</w:t>
      </w:r>
      <w:r>
        <w:rPr>
          <w:snapToGrid w:val="0"/>
        </w:rPr>
        <w:tab/>
        <w:t>Bill sticking, advertising etc.</w:t>
      </w:r>
      <w:bookmarkEnd w:id="151"/>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Gazette 8 Dec 2009 p. 5004.] </w:t>
      </w:r>
    </w:p>
    <w:p>
      <w:pPr>
        <w:pStyle w:val="Heading5"/>
        <w:spacing w:before="180"/>
        <w:rPr>
          <w:snapToGrid w:val="0"/>
        </w:rPr>
      </w:pPr>
      <w:bookmarkStart w:id="152" w:name="_Toc201566094"/>
      <w:r>
        <w:rPr>
          <w:rStyle w:val="CharSectno"/>
        </w:rPr>
        <w:lastRenderedPageBreak/>
        <w:t>56</w:t>
      </w:r>
      <w:r>
        <w:rPr>
          <w:snapToGrid w:val="0"/>
        </w:rPr>
        <w:t>.</w:t>
      </w:r>
      <w:r>
        <w:rPr>
          <w:snapToGrid w:val="0"/>
        </w:rPr>
        <w:tab/>
        <w:t>Distribution of printed matter</w:t>
      </w:r>
      <w:bookmarkEnd w:id="152"/>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Gazette 8 Dec 2009 p. 5005.] </w:t>
      </w:r>
    </w:p>
    <w:p>
      <w:pPr>
        <w:pStyle w:val="Heading5"/>
        <w:spacing w:before="180"/>
        <w:rPr>
          <w:snapToGrid w:val="0"/>
        </w:rPr>
      </w:pPr>
      <w:bookmarkStart w:id="153" w:name="_Toc201566095"/>
      <w:r>
        <w:rPr>
          <w:rStyle w:val="CharSectno"/>
        </w:rPr>
        <w:t>57</w:t>
      </w:r>
      <w:r>
        <w:rPr>
          <w:snapToGrid w:val="0"/>
        </w:rPr>
        <w:t>.</w:t>
      </w:r>
      <w:r>
        <w:rPr>
          <w:snapToGrid w:val="0"/>
        </w:rPr>
        <w:tab/>
        <w:t>Unauthorised sale etc. of goods or services</w:t>
      </w:r>
      <w:bookmarkEnd w:id="153"/>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pPr>
      <w:r>
        <w:tab/>
        <w:t>Penalty: a fine of $750.</w:t>
      </w:r>
    </w:p>
    <w:p>
      <w:pPr>
        <w:pStyle w:val="Footnotesection"/>
      </w:pPr>
      <w:r>
        <w:tab/>
        <w:t xml:space="preserve">[Regulation 57 inserted: Gazette 9 Nov 1990 p. 5590; amended: Gazette 8 Dec 2009 p. 5005.] </w:t>
      </w:r>
    </w:p>
    <w:p>
      <w:pPr>
        <w:pStyle w:val="Heading5"/>
        <w:spacing w:before="180"/>
        <w:rPr>
          <w:snapToGrid w:val="0"/>
        </w:rPr>
      </w:pPr>
      <w:bookmarkStart w:id="154" w:name="_Toc201566096"/>
      <w:r>
        <w:rPr>
          <w:rStyle w:val="CharSectno"/>
        </w:rPr>
        <w:t>58</w:t>
      </w:r>
      <w:r>
        <w:rPr>
          <w:snapToGrid w:val="0"/>
        </w:rPr>
        <w:t>.</w:t>
      </w:r>
      <w:r>
        <w:rPr>
          <w:snapToGrid w:val="0"/>
        </w:rPr>
        <w:tab/>
        <w:t>Exception to r. 55 and 56</w:t>
      </w:r>
      <w:bookmarkEnd w:id="154"/>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155" w:name="_Toc201566097"/>
      <w:r>
        <w:rPr>
          <w:rStyle w:val="CharSectno"/>
        </w:rPr>
        <w:t>59</w:t>
      </w:r>
      <w:r>
        <w:rPr>
          <w:snapToGrid w:val="0"/>
        </w:rPr>
        <w:t>.</w:t>
      </w:r>
      <w:r>
        <w:rPr>
          <w:snapToGrid w:val="0"/>
        </w:rPr>
        <w:tab/>
        <w:t>Weapons etc.</w:t>
      </w:r>
      <w:bookmarkEnd w:id="155"/>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lastRenderedPageBreak/>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156" w:name="endcomma"/>
      <w:bookmarkEnd w:id="156"/>
      <w:r>
        <w:t xml:space="preserve"> </w:t>
      </w:r>
      <w:bookmarkStart w:id="157" w:name="comma"/>
      <w:bookmarkEnd w:id="157"/>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vertAlign w:val="superscript"/>
        </w:rPr>
        <w:t> 2</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Gazette 4 Jul 1997 p. 3531; 7 Dec 2001 p. 6189; 22 Sep 2015 p. 3863.] </w:t>
      </w:r>
    </w:p>
    <w:p>
      <w:pPr>
        <w:pStyle w:val="Heading5"/>
        <w:spacing w:before="240"/>
        <w:rPr>
          <w:snapToGrid w:val="0"/>
        </w:rPr>
      </w:pPr>
      <w:bookmarkStart w:id="158" w:name="_Toc201566098"/>
      <w:r>
        <w:rPr>
          <w:rStyle w:val="CharSectno"/>
        </w:rPr>
        <w:t>60</w:t>
      </w:r>
      <w:r>
        <w:rPr>
          <w:snapToGrid w:val="0"/>
        </w:rPr>
        <w:t>.</w:t>
      </w:r>
      <w:r>
        <w:rPr>
          <w:snapToGrid w:val="0"/>
        </w:rPr>
        <w:tab/>
        <w:t>Fires</w:t>
      </w:r>
      <w:bookmarkEnd w:id="158"/>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lastRenderedPageBreak/>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Gazette 4 Jul 1997 p. 3532; 22 Sep 2015 p. 3863.]</w:t>
      </w:r>
    </w:p>
    <w:p>
      <w:pPr>
        <w:pStyle w:val="Heading5"/>
        <w:rPr>
          <w:snapToGrid w:val="0"/>
        </w:rPr>
      </w:pPr>
      <w:bookmarkStart w:id="159" w:name="_Toc201566099"/>
      <w:r>
        <w:rPr>
          <w:rStyle w:val="CharSectno"/>
        </w:rPr>
        <w:t>60A</w:t>
      </w:r>
      <w:r>
        <w:rPr>
          <w:snapToGrid w:val="0"/>
        </w:rPr>
        <w:t>.</w:t>
      </w:r>
      <w:r>
        <w:rPr>
          <w:snapToGrid w:val="0"/>
        </w:rPr>
        <w:tab/>
        <w:t>Sandboarding</w:t>
      </w:r>
      <w:bookmarkEnd w:id="159"/>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shall not possess a sandboard on the Island.</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Gazette 4 Jul 1997 p. 3532; amended: Gazette 8 Dec 2009 p. 5005; 22 Sep 2015 p. 3863.] </w:t>
      </w:r>
    </w:p>
    <w:p>
      <w:pPr>
        <w:pStyle w:val="Heading5"/>
        <w:rPr>
          <w:snapToGrid w:val="0"/>
        </w:rPr>
      </w:pPr>
      <w:bookmarkStart w:id="160" w:name="_Toc201566100"/>
      <w:r>
        <w:rPr>
          <w:rStyle w:val="CharSectno"/>
        </w:rPr>
        <w:t>60B</w:t>
      </w:r>
      <w:r>
        <w:rPr>
          <w:snapToGrid w:val="0"/>
        </w:rPr>
        <w:t>.</w:t>
      </w:r>
      <w:r>
        <w:rPr>
          <w:snapToGrid w:val="0"/>
        </w:rPr>
        <w:tab/>
        <w:t>Litter</w:t>
      </w:r>
      <w:bookmarkEnd w:id="160"/>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Gazette 4 Jul 1997 p. 3532; amended: Gazette 22 Sep 2015 p. 3863.] </w:t>
      </w:r>
    </w:p>
    <w:p>
      <w:pPr>
        <w:pStyle w:val="Heading3"/>
        <w:rPr>
          <w:snapToGrid w:val="0"/>
        </w:rPr>
      </w:pPr>
      <w:bookmarkStart w:id="161" w:name="_Toc201314451"/>
      <w:bookmarkStart w:id="162" w:name="_Toc201318547"/>
      <w:bookmarkStart w:id="163" w:name="_Toc201318706"/>
      <w:bookmarkStart w:id="164" w:name="_Toc201566101"/>
      <w:r>
        <w:rPr>
          <w:rStyle w:val="CharDivNo"/>
        </w:rPr>
        <w:lastRenderedPageBreak/>
        <w:t>Division 5</w:t>
      </w:r>
      <w:r>
        <w:rPr>
          <w:snapToGrid w:val="0"/>
        </w:rPr>
        <w:t> — </w:t>
      </w:r>
      <w:r>
        <w:rPr>
          <w:rStyle w:val="CharDivText"/>
        </w:rPr>
        <w:t>Protection of certain undertakings</w:t>
      </w:r>
      <w:bookmarkEnd w:id="161"/>
      <w:bookmarkEnd w:id="162"/>
      <w:bookmarkEnd w:id="163"/>
      <w:bookmarkEnd w:id="164"/>
      <w:r>
        <w:rPr>
          <w:rStyle w:val="CharDivText"/>
        </w:rPr>
        <w:t xml:space="preserve"> </w:t>
      </w:r>
    </w:p>
    <w:p>
      <w:pPr>
        <w:pStyle w:val="Heading5"/>
        <w:rPr>
          <w:snapToGrid w:val="0"/>
        </w:rPr>
      </w:pPr>
      <w:bookmarkStart w:id="165" w:name="_Toc201566102"/>
      <w:r>
        <w:rPr>
          <w:rStyle w:val="CharSectno"/>
        </w:rPr>
        <w:t>61</w:t>
      </w:r>
      <w:r>
        <w:rPr>
          <w:snapToGrid w:val="0"/>
        </w:rPr>
        <w:t>.</w:t>
      </w:r>
      <w:r>
        <w:rPr>
          <w:snapToGrid w:val="0"/>
        </w:rPr>
        <w:tab/>
        <w:t>Water supply facilities, protection of</w:t>
      </w:r>
      <w:bookmarkEnd w:id="165"/>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 Gazette 22 Sep 2015 p. 3863.]</w:t>
      </w:r>
    </w:p>
    <w:p>
      <w:pPr>
        <w:pStyle w:val="Heading5"/>
        <w:rPr>
          <w:snapToGrid w:val="0"/>
        </w:rPr>
      </w:pPr>
      <w:bookmarkStart w:id="166" w:name="_Toc201566103"/>
      <w:r>
        <w:rPr>
          <w:rStyle w:val="CharSectno"/>
        </w:rPr>
        <w:lastRenderedPageBreak/>
        <w:t>62</w:t>
      </w:r>
      <w:r>
        <w:rPr>
          <w:snapToGrid w:val="0"/>
        </w:rPr>
        <w:t>.</w:t>
      </w:r>
      <w:r>
        <w:rPr>
          <w:snapToGrid w:val="0"/>
        </w:rPr>
        <w:tab/>
        <w:t>Electricity and gas supply facilities, protection of</w:t>
      </w:r>
      <w:bookmarkEnd w:id="166"/>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 Gazette 22 Sep 2015 p. 3860 and 3863.]</w:t>
      </w:r>
    </w:p>
    <w:p>
      <w:pPr>
        <w:pStyle w:val="Heading2"/>
      </w:pPr>
      <w:bookmarkStart w:id="167" w:name="_Toc201314454"/>
      <w:bookmarkStart w:id="168" w:name="_Toc201318550"/>
      <w:bookmarkStart w:id="169" w:name="_Toc201318709"/>
      <w:bookmarkStart w:id="170" w:name="_Toc201566104"/>
      <w:r>
        <w:rPr>
          <w:rStyle w:val="CharPartNo"/>
        </w:rPr>
        <w:lastRenderedPageBreak/>
        <w:t>Part 6</w:t>
      </w:r>
      <w:r>
        <w:rPr>
          <w:rStyle w:val="CharDivNo"/>
        </w:rPr>
        <w:t> </w:t>
      </w:r>
      <w:r>
        <w:t>—</w:t>
      </w:r>
      <w:r>
        <w:rPr>
          <w:rStyle w:val="CharDivText"/>
        </w:rPr>
        <w:t> </w:t>
      </w:r>
      <w:r>
        <w:rPr>
          <w:rStyle w:val="CharPartText"/>
        </w:rPr>
        <w:t>Rottnest aerodrome</w:t>
      </w:r>
      <w:bookmarkEnd w:id="167"/>
      <w:bookmarkEnd w:id="168"/>
      <w:bookmarkEnd w:id="169"/>
      <w:bookmarkEnd w:id="170"/>
      <w:r>
        <w:rPr>
          <w:rStyle w:val="CharPartText"/>
        </w:rPr>
        <w:t xml:space="preserve"> </w:t>
      </w:r>
    </w:p>
    <w:p>
      <w:pPr>
        <w:pStyle w:val="Heading5"/>
        <w:rPr>
          <w:snapToGrid w:val="0"/>
        </w:rPr>
      </w:pPr>
      <w:bookmarkStart w:id="171" w:name="_Toc201566105"/>
      <w:r>
        <w:rPr>
          <w:rStyle w:val="CharSectno"/>
        </w:rPr>
        <w:t>63</w:t>
      </w:r>
      <w:r>
        <w:rPr>
          <w:snapToGrid w:val="0"/>
        </w:rPr>
        <w:t>.</w:t>
      </w:r>
      <w:r>
        <w:rPr>
          <w:snapToGrid w:val="0"/>
        </w:rPr>
        <w:tab/>
        <w:t>Terms used</w:t>
      </w:r>
      <w:bookmarkEnd w:id="171"/>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Island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rPr>
          <w:snapToGrid w:val="0"/>
        </w:rPr>
      </w:pPr>
      <w:bookmarkStart w:id="172" w:name="_Toc201566106"/>
      <w:r>
        <w:rPr>
          <w:rStyle w:val="CharSectno"/>
        </w:rPr>
        <w:t>64</w:t>
      </w:r>
      <w:r>
        <w:rPr>
          <w:snapToGrid w:val="0"/>
        </w:rPr>
        <w:t>.</w:t>
      </w:r>
      <w:r>
        <w:rPr>
          <w:snapToGrid w:val="0"/>
        </w:rPr>
        <w:tab/>
        <w:t>Use and closure of aerodrome</w:t>
      </w:r>
      <w:bookmarkEnd w:id="172"/>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spacing w:before="120"/>
        <w:rPr>
          <w:snapToGrid w:val="0"/>
        </w:rPr>
      </w:pPr>
      <w:r>
        <w:rPr>
          <w:snapToGrid w:val="0"/>
        </w:rPr>
        <w:tab/>
      </w:r>
      <w:r>
        <w:t>Penalty for an offence under this subregulation: a fine of $1 000.</w:t>
      </w:r>
    </w:p>
    <w:p>
      <w:pPr>
        <w:pStyle w:val="Footnotesection"/>
        <w:ind w:left="890" w:hanging="890"/>
      </w:pPr>
      <w:r>
        <w:tab/>
        <w:t>[Regulation 64 amended: Gazette 22 Sep 2015 p. 3862.]</w:t>
      </w:r>
    </w:p>
    <w:p>
      <w:pPr>
        <w:pStyle w:val="Heading5"/>
        <w:rPr>
          <w:snapToGrid w:val="0"/>
        </w:rPr>
      </w:pPr>
      <w:bookmarkStart w:id="173" w:name="_Toc201566107"/>
      <w:r>
        <w:rPr>
          <w:rStyle w:val="CharSectno"/>
        </w:rPr>
        <w:t>65</w:t>
      </w:r>
      <w:r>
        <w:rPr>
          <w:snapToGrid w:val="0"/>
        </w:rPr>
        <w:t>.</w:t>
      </w:r>
      <w:r>
        <w:rPr>
          <w:snapToGrid w:val="0"/>
        </w:rPr>
        <w:tab/>
        <w:t>Access to aerodrome</w:t>
      </w:r>
      <w:bookmarkEnd w:id="173"/>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keepNext/>
        <w:rPr>
          <w:snapToGrid w:val="0"/>
        </w:rPr>
      </w:pPr>
      <w:r>
        <w:rPr>
          <w:snapToGrid w:val="0"/>
        </w:rPr>
        <w:lastRenderedPageBreak/>
        <w:tab/>
        <w:t>(b)</w:t>
      </w:r>
      <w:r>
        <w:rPr>
          <w:snapToGrid w:val="0"/>
        </w:rPr>
        <w:tab/>
        <w:t>is a passenger on, an intending passenger embarking on, or a person who has disembarked from, an aircraft lawfully using the aerodrome.</w:t>
      </w:r>
    </w:p>
    <w:p>
      <w:pPr>
        <w:pStyle w:val="Footnotesection"/>
      </w:pPr>
      <w:r>
        <w:tab/>
        <w:t>[Regulation 65 amended: Gazette 22 Sep 2015 p. 3863.]</w:t>
      </w:r>
    </w:p>
    <w:p>
      <w:pPr>
        <w:pStyle w:val="Heading5"/>
        <w:rPr>
          <w:snapToGrid w:val="0"/>
        </w:rPr>
      </w:pPr>
      <w:bookmarkStart w:id="174" w:name="_Toc201566108"/>
      <w:r>
        <w:rPr>
          <w:rStyle w:val="CharSectno"/>
        </w:rPr>
        <w:t>66</w:t>
      </w:r>
      <w:r>
        <w:rPr>
          <w:snapToGrid w:val="0"/>
        </w:rPr>
        <w:t>.</w:t>
      </w:r>
      <w:r>
        <w:rPr>
          <w:snapToGrid w:val="0"/>
        </w:rPr>
        <w:tab/>
        <w:t>Aircraft landings etc. restricted to aerodrome</w:t>
      </w:r>
      <w:bookmarkEnd w:id="174"/>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 Gazette 22 Sep 2015 p. 3863.]</w:t>
      </w:r>
    </w:p>
    <w:p>
      <w:pPr>
        <w:pStyle w:val="Heading5"/>
        <w:rPr>
          <w:snapToGrid w:val="0"/>
        </w:rPr>
      </w:pPr>
      <w:bookmarkStart w:id="175" w:name="_Toc201566109"/>
      <w:r>
        <w:rPr>
          <w:rStyle w:val="CharSectno"/>
        </w:rPr>
        <w:t>67</w:t>
      </w:r>
      <w:r>
        <w:rPr>
          <w:snapToGrid w:val="0"/>
        </w:rPr>
        <w:t>.</w:t>
      </w:r>
      <w:r>
        <w:rPr>
          <w:snapToGrid w:val="0"/>
        </w:rPr>
        <w:tab/>
        <w:t>Parking of aircraft</w:t>
      </w:r>
      <w:bookmarkEnd w:id="175"/>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 Gazette 22 Sep 2015 p. 3862.]</w:t>
      </w:r>
    </w:p>
    <w:p>
      <w:pPr>
        <w:pStyle w:val="Heading5"/>
        <w:rPr>
          <w:snapToGrid w:val="0"/>
        </w:rPr>
      </w:pPr>
      <w:bookmarkStart w:id="176" w:name="_Toc201566110"/>
      <w:r>
        <w:rPr>
          <w:rStyle w:val="CharSectno"/>
        </w:rPr>
        <w:t>68</w:t>
      </w:r>
      <w:r>
        <w:rPr>
          <w:snapToGrid w:val="0"/>
        </w:rPr>
        <w:t>.</w:t>
      </w:r>
      <w:r>
        <w:rPr>
          <w:snapToGrid w:val="0"/>
        </w:rPr>
        <w:tab/>
        <w:t>Removing certain persons from aerodrome</w:t>
      </w:r>
      <w:bookmarkEnd w:id="176"/>
      <w:r>
        <w:rPr>
          <w:snapToGrid w:val="0"/>
        </w:rPr>
        <w:t xml:space="preserve"> </w:t>
      </w:r>
    </w:p>
    <w:p>
      <w:pPr>
        <w:pStyle w:val="Subsection"/>
        <w:rPr>
          <w:snapToGrid w:val="0"/>
        </w:rPr>
      </w:pPr>
      <w:r>
        <w:rPr>
          <w:snapToGrid w:val="0"/>
        </w:rPr>
        <w:tab/>
        <w:t>(1)</w:t>
      </w:r>
      <w:r>
        <w:rPr>
          <w:snapToGrid w:val="0"/>
        </w:rPr>
        <w:tab/>
        <w:t xml:space="preserve">An authorised person may remove from the aerodrome and may refuse admission to, any person, whether or not a passenger or intending passenger, whom he considers to be under the </w:t>
      </w:r>
      <w:r>
        <w:rPr>
          <w:snapToGrid w:val="0"/>
        </w:rPr>
        <w:lastRenderedPageBreak/>
        <w:t>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Gazette 15 Oct 2010 p. 5176.]</w:t>
      </w:r>
    </w:p>
    <w:p>
      <w:pPr>
        <w:pStyle w:val="Heading2"/>
      </w:pPr>
      <w:bookmarkStart w:id="177" w:name="_Toc201314461"/>
      <w:bookmarkStart w:id="178" w:name="_Toc201318557"/>
      <w:bookmarkStart w:id="179" w:name="_Toc201318716"/>
      <w:bookmarkStart w:id="180" w:name="_Toc201566111"/>
      <w:r>
        <w:rPr>
          <w:rStyle w:val="CharPartNo"/>
        </w:rPr>
        <w:lastRenderedPageBreak/>
        <w:t>Part 7</w:t>
      </w:r>
      <w:r>
        <w:rPr>
          <w:rStyle w:val="CharDivNo"/>
        </w:rPr>
        <w:t> </w:t>
      </w:r>
      <w:r>
        <w:t>—</w:t>
      </w:r>
      <w:r>
        <w:rPr>
          <w:rStyle w:val="CharDivText"/>
        </w:rPr>
        <w:t> </w:t>
      </w:r>
      <w:r>
        <w:rPr>
          <w:rStyle w:val="CharPartText"/>
        </w:rPr>
        <w:t>Offensive behaviour</w:t>
      </w:r>
      <w:bookmarkEnd w:id="177"/>
      <w:bookmarkEnd w:id="178"/>
      <w:bookmarkEnd w:id="179"/>
      <w:bookmarkEnd w:id="180"/>
      <w:r>
        <w:rPr>
          <w:rStyle w:val="CharPartText"/>
        </w:rPr>
        <w:t xml:space="preserve"> </w:t>
      </w:r>
    </w:p>
    <w:p>
      <w:pPr>
        <w:pStyle w:val="Heading5"/>
        <w:rPr>
          <w:snapToGrid w:val="0"/>
        </w:rPr>
      </w:pPr>
      <w:bookmarkStart w:id="181" w:name="_Toc201566112"/>
      <w:r>
        <w:rPr>
          <w:rStyle w:val="CharSectno"/>
        </w:rPr>
        <w:t>69</w:t>
      </w:r>
      <w:r>
        <w:rPr>
          <w:snapToGrid w:val="0"/>
        </w:rPr>
        <w:t>.</w:t>
      </w:r>
      <w:r>
        <w:rPr>
          <w:snapToGrid w:val="0"/>
        </w:rPr>
        <w:tab/>
        <w:t>Damage to property</w:t>
      </w:r>
      <w:bookmarkEnd w:id="181"/>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69 amended: Gazette 4 Jul 1997 p. 3532; 22 Sep 2015 p. 3860 and 3863.] </w:t>
      </w:r>
    </w:p>
    <w:p>
      <w:pPr>
        <w:pStyle w:val="Heading5"/>
        <w:rPr>
          <w:snapToGrid w:val="0"/>
        </w:rPr>
      </w:pPr>
      <w:bookmarkStart w:id="182" w:name="_Toc201566113"/>
      <w:r>
        <w:rPr>
          <w:rStyle w:val="CharSectno"/>
        </w:rPr>
        <w:t>70</w:t>
      </w:r>
      <w:r>
        <w:rPr>
          <w:snapToGrid w:val="0"/>
        </w:rPr>
        <w:t>.</w:t>
      </w:r>
      <w:r>
        <w:rPr>
          <w:snapToGrid w:val="0"/>
        </w:rPr>
        <w:tab/>
        <w:t>Assaults, indecent language, offensive behaviour etc.</w:t>
      </w:r>
      <w:bookmarkEnd w:id="182"/>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 Gazette 4 Jul 1997 p. 3532</w:t>
      </w:r>
      <w:r>
        <w:noBreakHyphen/>
        <w:t xml:space="preserve">3; 22 Sep 2015 p. 3862 and 3863.] </w:t>
      </w:r>
    </w:p>
    <w:p>
      <w:pPr>
        <w:pStyle w:val="Heading5"/>
        <w:rPr>
          <w:snapToGrid w:val="0"/>
        </w:rPr>
      </w:pPr>
      <w:bookmarkStart w:id="183" w:name="_Toc201566114"/>
      <w:r>
        <w:rPr>
          <w:rStyle w:val="CharSectno"/>
        </w:rPr>
        <w:lastRenderedPageBreak/>
        <w:t>71</w:t>
      </w:r>
      <w:r>
        <w:rPr>
          <w:snapToGrid w:val="0"/>
        </w:rPr>
        <w:t>.</w:t>
      </w:r>
      <w:r>
        <w:rPr>
          <w:snapToGrid w:val="0"/>
        </w:rPr>
        <w:tab/>
        <w:t>Unreasonable noise</w:t>
      </w:r>
      <w:bookmarkEnd w:id="183"/>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71 amended: Gazette 4 Jul 1997 p. 3533; 22 Sep 2015 p. 3863.] </w:t>
      </w:r>
    </w:p>
    <w:p>
      <w:pPr>
        <w:pStyle w:val="Heading5"/>
      </w:pPr>
      <w:bookmarkStart w:id="184" w:name="_Toc201566115"/>
      <w:r>
        <w:rPr>
          <w:rStyle w:val="CharSectno"/>
        </w:rPr>
        <w:t>72</w:t>
      </w:r>
      <w:r>
        <w:t>.</w:t>
      </w:r>
      <w:r>
        <w:tab/>
        <w:t>Possession of liquor at Kingstown Barracks prohibited</w:t>
      </w:r>
      <w:bookmarkEnd w:id="184"/>
    </w:p>
    <w:p>
      <w:pPr>
        <w:pStyle w:val="Subsection"/>
      </w:pPr>
      <w:r>
        <w:tab/>
        <w:t>(1)</w:t>
      </w:r>
      <w:r>
        <w:tab/>
        <w:t xml:space="preserve">In this regulation — </w:t>
      </w:r>
    </w:p>
    <w:p>
      <w:pPr>
        <w:pStyle w:val="Defstart"/>
      </w:pPr>
      <w:r>
        <w:tab/>
      </w:r>
      <w:r>
        <w:rPr>
          <w:rStyle w:val="CharDefText"/>
        </w:rPr>
        <w:t xml:space="preserve">Kingstown Barracks </w:t>
      </w:r>
      <w:r>
        <w:t xml:space="preserve">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be in possession of liquor at Kingstown Barracks.</w:t>
      </w:r>
    </w:p>
    <w:p>
      <w:pPr>
        <w:pStyle w:val="Penstart"/>
      </w:pPr>
      <w:r>
        <w:tab/>
        <w:t>Penalty for an offence under this subregulation: a fine of $1 000.</w:t>
      </w:r>
    </w:p>
    <w:p>
      <w:pPr>
        <w:pStyle w:val="Footnotesection"/>
      </w:pPr>
      <w:r>
        <w:tab/>
        <w:t>[Regulation 72 inserted: Gazette 25 Oct 2011 p. 4514-15; amended: Gazette 22 Sep 2015 p. 3862; 5 Apr 2016 p. 1029.]</w:t>
      </w:r>
    </w:p>
    <w:p>
      <w:pPr>
        <w:pStyle w:val="Heading5"/>
      </w:pPr>
      <w:bookmarkStart w:id="185" w:name="_Toc201566116"/>
      <w:r>
        <w:rPr>
          <w:rStyle w:val="CharSectno"/>
        </w:rPr>
        <w:lastRenderedPageBreak/>
        <w:t>72AA</w:t>
      </w:r>
      <w:r>
        <w:t>.</w:t>
      </w:r>
      <w:r>
        <w:tab/>
        <w:t>Ranger may direct person to stop activity</w:t>
      </w:r>
      <w:bookmarkEnd w:id="185"/>
      <w:r>
        <w:t xml:space="preserve"> </w:t>
      </w:r>
    </w:p>
    <w:p>
      <w:pPr>
        <w:pStyle w:val="Subsection"/>
        <w:keepNext/>
      </w:pPr>
      <w:r>
        <w:tab/>
        <w:t>(1)</w:t>
      </w:r>
      <w:r>
        <w:tab/>
        <w:t xml:space="preserve">A ranger may direct a person within the limits of the Island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 Gazette 17 Dec 2010 p. 6361; amended: Gazette 22 Sep 2015 p. 3862.]</w:t>
      </w:r>
    </w:p>
    <w:p>
      <w:pPr>
        <w:pStyle w:val="Heading2"/>
      </w:pPr>
      <w:bookmarkStart w:id="186" w:name="_Toc201314467"/>
      <w:bookmarkStart w:id="187" w:name="_Toc201318563"/>
      <w:bookmarkStart w:id="188" w:name="_Toc201318722"/>
      <w:bookmarkStart w:id="189" w:name="_Toc201566117"/>
      <w:r>
        <w:rPr>
          <w:rStyle w:val="CharPartNo"/>
        </w:rPr>
        <w:lastRenderedPageBreak/>
        <w:t>Part 8</w:t>
      </w:r>
      <w:r>
        <w:rPr>
          <w:rStyle w:val="CharDivNo"/>
        </w:rPr>
        <w:t> </w:t>
      </w:r>
      <w:r>
        <w:t>—</w:t>
      </w:r>
      <w:r>
        <w:rPr>
          <w:rStyle w:val="CharDivText"/>
        </w:rPr>
        <w:t> </w:t>
      </w:r>
      <w:r>
        <w:rPr>
          <w:rStyle w:val="CharPartText"/>
        </w:rPr>
        <w:t>Miscellaneous</w:t>
      </w:r>
      <w:bookmarkEnd w:id="186"/>
      <w:bookmarkEnd w:id="187"/>
      <w:bookmarkEnd w:id="188"/>
      <w:bookmarkEnd w:id="189"/>
      <w:r>
        <w:rPr>
          <w:rStyle w:val="CharPartText"/>
        </w:rPr>
        <w:t xml:space="preserve"> </w:t>
      </w:r>
    </w:p>
    <w:p>
      <w:pPr>
        <w:pStyle w:val="Heading5"/>
        <w:spacing w:before="260"/>
        <w:rPr>
          <w:snapToGrid w:val="0"/>
        </w:rPr>
      </w:pPr>
      <w:bookmarkStart w:id="190" w:name="_Toc201566118"/>
      <w:r>
        <w:rPr>
          <w:rStyle w:val="CharSectno"/>
        </w:rPr>
        <w:t>72A</w:t>
      </w:r>
      <w:r>
        <w:rPr>
          <w:snapToGrid w:val="0"/>
        </w:rPr>
        <w:t>.</w:t>
      </w:r>
      <w:r>
        <w:rPr>
          <w:snapToGrid w:val="0"/>
        </w:rPr>
        <w:tab/>
        <w:t>Adequate insurance cover, specification of</w:t>
      </w:r>
      <w:bookmarkEnd w:id="190"/>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pPr>
      <w:r>
        <w:tab/>
        <w:t>Penalty: a fine of $750.</w:t>
      </w:r>
    </w:p>
    <w:p>
      <w:pPr>
        <w:pStyle w:val="Subsection"/>
        <w:keepNext/>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w:t>
      </w:r>
      <w:r>
        <w:rPr>
          <w:snapToGrid w:val="0"/>
        </w:rPr>
        <w:lastRenderedPageBreak/>
        <w:t xml:space="preserve">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Gazette 4 Jul 1997 p. 3533</w:t>
      </w:r>
      <w:r>
        <w:noBreakHyphen/>
        <w:t>4; amended: Gazette 19 Jun 1998 p. 3303; 8 Dec 2009 p. 5005.]</w:t>
      </w:r>
    </w:p>
    <w:p>
      <w:pPr>
        <w:pStyle w:val="Heading5"/>
        <w:rPr>
          <w:snapToGrid w:val="0"/>
        </w:rPr>
      </w:pPr>
      <w:bookmarkStart w:id="191" w:name="_Toc201566119"/>
      <w:r>
        <w:rPr>
          <w:rStyle w:val="CharSectno"/>
        </w:rPr>
        <w:t>73</w:t>
      </w:r>
      <w:r>
        <w:rPr>
          <w:snapToGrid w:val="0"/>
        </w:rPr>
        <w:t>.</w:t>
      </w:r>
      <w:r>
        <w:rPr>
          <w:snapToGrid w:val="0"/>
        </w:rPr>
        <w:tab/>
        <w:t>Infringement notices</w:t>
      </w:r>
      <w:bookmarkEnd w:id="191"/>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92" w:name="_Toc201566120"/>
      <w:r>
        <w:rPr>
          <w:rStyle w:val="CharSectno"/>
        </w:rPr>
        <w:t>74</w:t>
      </w:r>
      <w:r>
        <w:rPr>
          <w:snapToGrid w:val="0"/>
        </w:rPr>
        <w:t>.</w:t>
      </w:r>
      <w:r>
        <w:rPr>
          <w:snapToGrid w:val="0"/>
        </w:rPr>
        <w:tab/>
        <w:t>Abandoned or dangerous property, removal of</w:t>
      </w:r>
      <w:bookmarkEnd w:id="192"/>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w:t>
      </w:r>
      <w:r>
        <w:t>and remove or dispose of</w:t>
      </w:r>
      <w:r>
        <w:rPr>
          <w:snapToGrid w:val="0"/>
        </w:rPr>
        <w:t xml:space="preserve">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Next/>
        <w:keepLines/>
        <w:rPr>
          <w:snapToGrid w:val="0"/>
        </w:rPr>
      </w:pPr>
      <w:r>
        <w:rPr>
          <w:snapToGrid w:val="0"/>
        </w:rPr>
        <w:lastRenderedPageBreak/>
        <w:tab/>
        <w:t>(b)</w:t>
      </w:r>
      <w:r>
        <w:rPr>
          <w:snapToGrid w:val="0"/>
        </w:rPr>
        <w:tab/>
        <w:t xml:space="preserve">if the identity and whereabouts of that person become known to the Authority, give written notice to the person requiring the person to remove </w:t>
      </w:r>
      <w:r>
        <w:t>or dispose of</w:t>
      </w:r>
      <w:r>
        <w:rPr>
          <w:snapToGrid w:val="0"/>
        </w:rPr>
        <w:t xml:space="preser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Gazette 4 Jul 1997 p. 3534; amended: Gazette 25 Oct 2011 p. 4515; 22 Sep 2015 p. 3863; 25 Oct 2016 p. 4877.]</w:t>
      </w:r>
    </w:p>
    <w:p>
      <w:pPr>
        <w:pStyle w:val="Heading5"/>
        <w:spacing w:before="180"/>
        <w:rPr>
          <w:snapToGrid w:val="0"/>
        </w:rPr>
      </w:pPr>
      <w:bookmarkStart w:id="193" w:name="_Toc201566121"/>
      <w:r>
        <w:rPr>
          <w:rStyle w:val="CharSectno"/>
        </w:rPr>
        <w:t>74A</w:t>
      </w:r>
      <w:r>
        <w:rPr>
          <w:snapToGrid w:val="0"/>
        </w:rPr>
        <w:t>.</w:t>
      </w:r>
      <w:r>
        <w:rPr>
          <w:snapToGrid w:val="0"/>
        </w:rPr>
        <w:tab/>
        <w:t>False information</w:t>
      </w:r>
      <w:bookmarkEnd w:id="193"/>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keepNext/>
        <w:rPr>
          <w:snapToGrid w:val="0"/>
        </w:rPr>
      </w:pPr>
      <w:r>
        <w:rPr>
          <w:snapToGrid w:val="0"/>
        </w:rPr>
        <w:lastRenderedPageBreak/>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Gazette 4 Jul 1997 p. 3535; amended: Gazette 8 Dec 2009 p. 5005.] </w:t>
      </w:r>
    </w:p>
    <w:p>
      <w:pPr>
        <w:pStyle w:val="Heading5"/>
      </w:pPr>
      <w:bookmarkStart w:id="194" w:name="_Toc201566122"/>
      <w:r>
        <w:rPr>
          <w:rStyle w:val="CharSectno"/>
        </w:rPr>
        <w:t>74B</w:t>
      </w:r>
      <w:r>
        <w:t>.</w:t>
      </w:r>
      <w:r>
        <w:tab/>
        <w:t>Offences relating to stickers and documents issued by Authority</w:t>
      </w:r>
      <w:bookmarkEnd w:id="194"/>
    </w:p>
    <w:p>
      <w:pPr>
        <w:pStyle w:val="Subsection"/>
      </w:pPr>
      <w:r>
        <w:tab/>
        <w:t>(1)</w:t>
      </w:r>
      <w:r>
        <w:tab/>
        <w:t xml:space="preserve">A person must not alter any information on — </w:t>
      </w:r>
    </w:p>
    <w:p>
      <w:pPr>
        <w:pStyle w:val="Indenta"/>
      </w:pPr>
      <w:r>
        <w:tab/>
        <w:t>(a)</w:t>
      </w:r>
      <w:r>
        <w:tab/>
        <w:t>a sticker issued by the Authority under regulation 7(1)(b) or 7A(3);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operator of a vessel, and any person who is in charge of the vessel, must ensure that a sticker issued by Authority under regulation 7(1)(b) or 7A(3)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 Gazette 17 Dec 2010 p. 6361; amended: Gazette 22 Sep 2015 p. 3860 and 3862; 21 Dec 2018 p. 4855.]</w:t>
      </w:r>
    </w:p>
    <w:p>
      <w:pPr>
        <w:pStyle w:val="Heading5"/>
      </w:pPr>
      <w:bookmarkStart w:id="195" w:name="_Toc201566123"/>
      <w:r>
        <w:rPr>
          <w:rStyle w:val="CharSectno"/>
        </w:rPr>
        <w:t>74C</w:t>
      </w:r>
      <w:r>
        <w:t>.</w:t>
      </w:r>
      <w:r>
        <w:tab/>
        <w:t>Offences relating to documents issued by mooring site licensee</w:t>
      </w:r>
      <w:bookmarkEnd w:id="195"/>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Gazette 17 Dec 2010 p. 6362.]</w:t>
      </w:r>
    </w:p>
    <w:p>
      <w:pPr>
        <w:pStyle w:val="Heading5"/>
        <w:rPr>
          <w:snapToGrid w:val="0"/>
        </w:rPr>
      </w:pPr>
      <w:bookmarkStart w:id="196" w:name="_Toc201566124"/>
      <w:r>
        <w:rPr>
          <w:rStyle w:val="CharSectno"/>
        </w:rPr>
        <w:lastRenderedPageBreak/>
        <w:t>75</w:t>
      </w:r>
      <w:r>
        <w:rPr>
          <w:snapToGrid w:val="0"/>
        </w:rPr>
        <w:t>.</w:t>
      </w:r>
      <w:r>
        <w:rPr>
          <w:snapToGrid w:val="0"/>
        </w:rPr>
        <w:tab/>
        <w:t>Repeal and transitional provisions</w:t>
      </w:r>
      <w:bookmarkEnd w:id="196"/>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Gazette 19 Jun 1998 p. 3303.]</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97" w:name="_Toc201314475"/>
      <w:bookmarkStart w:id="198" w:name="_Toc201318571"/>
      <w:bookmarkStart w:id="199" w:name="_Toc201318730"/>
      <w:bookmarkStart w:id="200" w:name="_Toc201566125"/>
      <w:r>
        <w:rPr>
          <w:rStyle w:val="CharSchNo"/>
        </w:rPr>
        <w:lastRenderedPageBreak/>
        <w:t>Schedule 1</w:t>
      </w:r>
      <w:r>
        <w:rPr>
          <w:rStyle w:val="CharSDivNo"/>
        </w:rPr>
        <w:t> </w:t>
      </w:r>
      <w:r>
        <w:t>—</w:t>
      </w:r>
      <w:r>
        <w:rPr>
          <w:rStyle w:val="CharSDivText"/>
        </w:rPr>
        <w:t> </w:t>
      </w:r>
      <w:r>
        <w:rPr>
          <w:rStyle w:val="CharSchText"/>
        </w:rPr>
        <w:t>Forms</w:t>
      </w:r>
      <w:bookmarkEnd w:id="197"/>
      <w:bookmarkEnd w:id="198"/>
      <w:bookmarkEnd w:id="199"/>
      <w:bookmarkEnd w:id="200"/>
    </w:p>
    <w:p>
      <w:pPr>
        <w:pStyle w:val="yShoulderClause"/>
      </w:pPr>
      <w:r>
        <w:t xml:space="preserve">[r. </w:t>
      </w:r>
      <w:r>
        <w:rPr>
          <w:snapToGrid w:val="0"/>
        </w:rPr>
        <w:t>14 and 73(2)</w:t>
      </w:r>
      <w:r>
        <w:t>]</w:t>
      </w:r>
    </w:p>
    <w:p>
      <w:pPr>
        <w:pStyle w:val="yFootnoteheading"/>
      </w:pPr>
      <w:r>
        <w:tab/>
        <w:t>[Heading inserted: Gazette 25 Oct 2011 p. 4515.]</w:t>
      </w:r>
    </w:p>
    <w:p>
      <w:pPr>
        <w:pStyle w:val="yEdnotedivision"/>
      </w:pPr>
      <w:r>
        <w:t>[Form 1 deleted: Gazette 4 Jul 1997 p. 3535.]</w:t>
      </w:r>
    </w:p>
    <w:p>
      <w:pPr>
        <w:pStyle w:val="yHeading3"/>
      </w:pPr>
      <w:bookmarkStart w:id="201" w:name="_Toc201314476"/>
      <w:bookmarkStart w:id="202" w:name="_Toc201318572"/>
      <w:bookmarkStart w:id="203" w:name="_Toc201318731"/>
      <w:bookmarkStart w:id="204" w:name="_Toc201566126"/>
      <w:r>
        <w:rPr>
          <w:rStyle w:val="CharSClsNo"/>
          <w:bCs/>
          <w:sz w:val="24"/>
        </w:rPr>
        <w:t>Form 2</w:t>
      </w:r>
      <w:bookmarkEnd w:id="201"/>
      <w:bookmarkEnd w:id="202"/>
      <w:bookmarkEnd w:id="203"/>
      <w:bookmarkEnd w:id="204"/>
    </w:p>
    <w:p>
      <w:pPr>
        <w:pStyle w:val="yMiscellaneousHeading"/>
        <w:spacing w:after="40"/>
        <w:rPr>
          <w:i/>
        </w:rPr>
      </w:pPr>
      <w:r>
        <w:rPr>
          <w:i/>
        </w:rPr>
        <w:t>Rottnest Island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41(1) — without permission causing or allowing animal or bird to enter Island</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keepNext/>
              <w:spacing w:before="0"/>
            </w:pPr>
            <w:r>
              <w:t>Regulation 72(2) — being in possession of liquor at Kingstown Barracks</w:t>
            </w:r>
          </w:p>
        </w:tc>
        <w:tc>
          <w:tcPr>
            <w:tcW w:w="1223" w:type="dxa"/>
          </w:tcPr>
          <w:p>
            <w:pPr>
              <w:pStyle w:val="zyTableNAm"/>
              <w:keepNext/>
              <w:spacing w:before="0"/>
            </w:pPr>
          </w:p>
          <w:p>
            <w:pPr>
              <w:pStyle w:val="yTableNAm"/>
              <w:keepNext/>
              <w:tabs>
                <w:tab w:val="clear" w:pos="567"/>
              </w:tabs>
              <w:spacing w:before="0"/>
              <w:ind w:right="316"/>
              <w:jc w:val="right"/>
            </w:pPr>
            <w:r>
              <w:t>$200</w:t>
            </w:r>
          </w:p>
        </w:tc>
      </w:tr>
      <w:tr>
        <w:tc>
          <w:tcPr>
            <w:tcW w:w="1320" w:type="dxa"/>
          </w:tcPr>
          <w:p>
            <w:pPr>
              <w:pStyle w:val="yTableNAm"/>
              <w:keepNext/>
              <w:spacing w:before="0"/>
              <w:jc w:val="center"/>
              <w:rPr>
                <w:sz w:val="40"/>
              </w:rPr>
            </w:pPr>
            <w:r>
              <w:rPr>
                <w:sz w:val="40"/>
              </w:rPr>
              <w:sym w:font="Wingdings" w:char="F06F"/>
            </w:r>
          </w:p>
        </w:tc>
        <w:tc>
          <w:tcPr>
            <w:tcW w:w="4545" w:type="dxa"/>
            <w:vAlign w:val="center"/>
          </w:tcPr>
          <w:p>
            <w:pPr>
              <w:pStyle w:val="yTableNAm"/>
              <w:keepNext/>
              <w:spacing w:before="0"/>
            </w:pPr>
            <w:r>
              <w:t>Other (specify)</w:t>
            </w:r>
          </w:p>
        </w:tc>
        <w:tc>
          <w:tcPr>
            <w:tcW w:w="1223" w:type="dxa"/>
            <w:vAlign w:val="center"/>
          </w:tcPr>
          <w:p>
            <w:pPr>
              <w:pStyle w:val="yTableNAm"/>
              <w:keepNext/>
              <w:tabs>
                <w:tab w:val="clear" w:pos="567"/>
              </w:tabs>
              <w:spacing w:before="0"/>
              <w:ind w:right="316"/>
              <w:jc w:val="right"/>
            </w:pPr>
            <w:r>
              <w:t>$</w:t>
            </w:r>
          </w:p>
        </w:tc>
      </w:tr>
    </w:tbl>
    <w:p>
      <w:pPr>
        <w:pStyle w:val="yFootnotesection"/>
        <w:keepLines w:val="0"/>
        <w:spacing w:before="60"/>
      </w:pPr>
      <w:r>
        <w:tab/>
        <w:t>[Form 2 inserted: Gazette 7 Dec 2001 p. 6189</w:t>
      </w:r>
      <w:r>
        <w:noBreakHyphen/>
        <w:t>90; amended: Gazette 8 Dec 2009 p. 5005</w:t>
      </w:r>
      <w:r>
        <w:noBreakHyphen/>
        <w:t xml:space="preserve">6; 25 Oct 2011 p. 4515; 5 Apr 2016 p. 1029.] </w:t>
      </w:r>
    </w:p>
    <w:p>
      <w:pPr>
        <w:pStyle w:val="yHeading3"/>
      </w:pPr>
      <w:bookmarkStart w:id="205" w:name="_Toc201314477"/>
      <w:bookmarkStart w:id="206" w:name="_Toc201318573"/>
      <w:bookmarkStart w:id="207" w:name="_Toc201318732"/>
      <w:bookmarkStart w:id="208" w:name="_Toc201566127"/>
      <w:r>
        <w:rPr>
          <w:rStyle w:val="CharSClsNo"/>
          <w:bCs/>
          <w:sz w:val="24"/>
        </w:rPr>
        <w:lastRenderedPageBreak/>
        <w:t>Form 3</w:t>
      </w:r>
      <w:bookmarkEnd w:id="205"/>
      <w:bookmarkEnd w:id="206"/>
      <w:bookmarkEnd w:id="207"/>
      <w:bookmarkEnd w:id="208"/>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210" w:name="_Toc201314478"/>
      <w:bookmarkStart w:id="211" w:name="_Toc201318574"/>
      <w:bookmarkStart w:id="212" w:name="_Toc201318733"/>
      <w:bookmarkStart w:id="213" w:name="_Toc201566128"/>
      <w:r>
        <w:rPr>
          <w:rStyle w:val="CharSchNo"/>
        </w:rPr>
        <w:lastRenderedPageBreak/>
        <w:t>Schedule 2</w:t>
      </w:r>
      <w:bookmarkEnd w:id="210"/>
      <w:bookmarkEnd w:id="211"/>
      <w:bookmarkEnd w:id="212"/>
      <w:bookmarkEnd w:id="213"/>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3"/>
      </w:pPr>
      <w:bookmarkStart w:id="214" w:name="_Toc201314479"/>
      <w:bookmarkStart w:id="215" w:name="_Toc201318575"/>
      <w:bookmarkStart w:id="216" w:name="_Toc201318734"/>
      <w:bookmarkStart w:id="217" w:name="_Toc201566129"/>
      <w:r>
        <w:rPr>
          <w:rStyle w:val="CharSDivNo"/>
        </w:rPr>
        <w:t>Part A</w:t>
      </w:r>
      <w:r>
        <w:t> — </w:t>
      </w:r>
      <w:r>
        <w:rPr>
          <w:rStyle w:val="CharSDivText"/>
        </w:rPr>
        <w:t>Water catchment area</w:t>
      </w:r>
      <w:bookmarkEnd w:id="214"/>
      <w:bookmarkEnd w:id="215"/>
      <w:bookmarkEnd w:id="216"/>
      <w:bookmarkEnd w:id="217"/>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218" w:name="_Toc201314480"/>
      <w:bookmarkStart w:id="219" w:name="_Toc201318576"/>
      <w:bookmarkStart w:id="220" w:name="_Toc201318735"/>
      <w:bookmarkStart w:id="221" w:name="_Toc201566130"/>
      <w:r>
        <w:rPr>
          <w:rStyle w:val="CharSDivNo"/>
        </w:rPr>
        <w:t>Part B</w:t>
      </w:r>
      <w:r>
        <w:t> — </w:t>
      </w:r>
      <w:r>
        <w:rPr>
          <w:rStyle w:val="CharSDivText"/>
        </w:rPr>
        <w:t>Waste</w:t>
      </w:r>
      <w:r>
        <w:rPr>
          <w:rStyle w:val="CharSDivText"/>
        </w:rPr>
        <w:noBreakHyphen/>
        <w:t>water treatment facility</w:t>
      </w:r>
      <w:bookmarkEnd w:id="218"/>
      <w:bookmarkEnd w:id="219"/>
      <w:bookmarkEnd w:id="220"/>
      <w:bookmarkEnd w:id="221"/>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222" w:name="_Toc201314481"/>
      <w:bookmarkStart w:id="223" w:name="_Toc201318577"/>
      <w:bookmarkStart w:id="224" w:name="_Toc201318736"/>
      <w:bookmarkStart w:id="225" w:name="_Toc201566131"/>
      <w:r>
        <w:rPr>
          <w:rStyle w:val="CharSchNo"/>
        </w:rPr>
        <w:lastRenderedPageBreak/>
        <w:t>Schedule 3</w:t>
      </w:r>
      <w:bookmarkEnd w:id="222"/>
      <w:bookmarkEnd w:id="223"/>
      <w:bookmarkEnd w:id="224"/>
      <w:bookmarkEnd w:id="225"/>
      <w:r>
        <w:t xml:space="preserve"> </w:t>
      </w:r>
    </w:p>
    <w:p>
      <w:pPr>
        <w:pStyle w:val="yShoulderClause"/>
        <w:rPr>
          <w:snapToGrid w:val="0"/>
        </w:rPr>
      </w:pPr>
      <w:r>
        <w:rPr>
          <w:snapToGrid w:val="0"/>
        </w:rPr>
        <w:t>[reg. 63]</w:t>
      </w:r>
    </w:p>
    <w:p>
      <w:pPr>
        <w:pStyle w:val="yHeading2"/>
        <w:outlineLvl w:val="9"/>
      </w:pPr>
      <w:bookmarkStart w:id="226" w:name="_Toc201314482"/>
      <w:bookmarkStart w:id="227" w:name="_Toc201318578"/>
      <w:bookmarkStart w:id="228" w:name="_Toc201318737"/>
      <w:bookmarkStart w:id="229" w:name="_Toc201566132"/>
      <w:r>
        <w:rPr>
          <w:rStyle w:val="CharSchText"/>
        </w:rPr>
        <w:t>Rottnest aerodrome</w:t>
      </w:r>
      <w:bookmarkEnd w:id="226"/>
      <w:bookmarkEnd w:id="227"/>
      <w:bookmarkEnd w:id="228"/>
      <w:bookmarkEnd w:id="229"/>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rPr>
          <w:rStyle w:val="CharSchNo"/>
        </w:r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230" w:name="_Toc201314483"/>
      <w:bookmarkStart w:id="231" w:name="_Toc201318579"/>
      <w:bookmarkStart w:id="232" w:name="_Toc201318738"/>
      <w:bookmarkStart w:id="233" w:name="_Toc201566133"/>
      <w:r>
        <w:rPr>
          <w:rStyle w:val="CharSchNo"/>
        </w:rPr>
        <w:lastRenderedPageBreak/>
        <w:t>Schedule 4A</w:t>
      </w:r>
      <w:r>
        <w:rPr>
          <w:rStyle w:val="CharSDivNo"/>
        </w:rPr>
        <w:t> </w:t>
      </w:r>
      <w:r>
        <w:t>—</w:t>
      </w:r>
      <w:r>
        <w:rPr>
          <w:rStyle w:val="CharSDivText"/>
        </w:rPr>
        <w:t> </w:t>
      </w:r>
      <w:r>
        <w:rPr>
          <w:rStyle w:val="CharSchText"/>
        </w:rPr>
        <w:t>Kingstown Barracks</w:t>
      </w:r>
      <w:bookmarkEnd w:id="230"/>
      <w:bookmarkEnd w:id="231"/>
      <w:bookmarkEnd w:id="232"/>
      <w:bookmarkEnd w:id="233"/>
    </w:p>
    <w:p>
      <w:pPr>
        <w:pStyle w:val="yShoulderClause"/>
        <w:spacing w:before="0"/>
      </w:pPr>
      <w:r>
        <w:t>[r. 72]</w:t>
      </w:r>
    </w:p>
    <w:p>
      <w:pPr>
        <w:pStyle w:val="yFootnoteheading"/>
        <w:spacing w:before="0"/>
      </w:pPr>
      <w:r>
        <w:tab/>
        <w:t>[Heading inserted: Gazette 25 Oct 2011 p. 4516; amended: Gazette 5 Apr 2016 p. 1029.]</w:t>
      </w:r>
    </w:p>
    <w:p>
      <w:pPr>
        <w:pStyle w:val="ySubsection"/>
        <w:jc w:val="center"/>
      </w:pPr>
      <w:r>
        <w:rPr>
          <w:noProof/>
        </w:rPr>
        <w:drawing>
          <wp:inline distT="0" distB="0" distL="0" distR="0">
            <wp:extent cx="3776002" cy="5317066"/>
            <wp:effectExtent l="0" t="0" r="0"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781928" cy="5325411"/>
                    </a:xfrm>
                    <a:prstGeom prst="rect">
                      <a:avLst/>
                    </a:prstGeom>
                    <a:noFill/>
                    <a:ln>
                      <a:noFill/>
                    </a:ln>
                  </pic:spPr>
                </pic:pic>
              </a:graphicData>
            </a:graphic>
          </wp:inline>
        </w:drawing>
      </w:r>
    </w:p>
    <w:p>
      <w:pPr>
        <w:pStyle w:val="yFootnotesection"/>
        <w:spacing w:before="40"/>
      </w:pPr>
      <w:r>
        <w:tab/>
        <w:t>[Schedule 4A inserted: Gazette 25 Oct 2011 p. 4516.]</w:t>
      </w:r>
    </w:p>
    <w:p>
      <w:pPr>
        <w:pStyle w:val="yScheduleHeading"/>
      </w:pPr>
      <w:bookmarkStart w:id="234" w:name="_Toc201314484"/>
      <w:bookmarkStart w:id="235" w:name="_Toc201318580"/>
      <w:bookmarkStart w:id="236" w:name="_Toc201318739"/>
      <w:bookmarkStart w:id="237" w:name="_Toc201566134"/>
      <w:r>
        <w:rPr>
          <w:rStyle w:val="CharSchNo"/>
        </w:rPr>
        <w:lastRenderedPageBreak/>
        <w:t>Schedule 4</w:t>
      </w:r>
      <w:r>
        <w:rPr>
          <w:rStyle w:val="CharSDivNo"/>
        </w:rPr>
        <w:t> </w:t>
      </w:r>
      <w:r>
        <w:t>—</w:t>
      </w:r>
      <w:r>
        <w:rPr>
          <w:rStyle w:val="CharSDivText"/>
        </w:rPr>
        <w:t> </w:t>
      </w:r>
      <w:r>
        <w:rPr>
          <w:rStyle w:val="CharSchText"/>
        </w:rPr>
        <w:t>Offences to which modified penalties apply</w:t>
      </w:r>
      <w:bookmarkEnd w:id="234"/>
      <w:bookmarkEnd w:id="235"/>
      <w:bookmarkEnd w:id="236"/>
      <w:bookmarkEnd w:id="237"/>
    </w:p>
    <w:p>
      <w:pPr>
        <w:pStyle w:val="yShoulderClause"/>
      </w:pPr>
      <w:r>
        <w:t>[r. 73]</w:t>
      </w:r>
    </w:p>
    <w:p>
      <w:pPr>
        <w:pStyle w:val="yFootnoteheading"/>
        <w:spacing w:after="60"/>
      </w:pPr>
      <w:r>
        <w:tab/>
        <w:t>[Heading inserted: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2AAA.</w:t>
            </w:r>
          </w:p>
        </w:tc>
        <w:tc>
          <w:tcPr>
            <w:tcW w:w="1200" w:type="dxa"/>
          </w:tcPr>
          <w:p>
            <w:pPr>
              <w:pStyle w:val="zyTableNAm"/>
              <w:spacing w:before="0"/>
            </w:pPr>
            <w:r>
              <w:t>6(1)</w:t>
            </w:r>
          </w:p>
        </w:tc>
        <w:tc>
          <w:tcPr>
            <w:tcW w:w="3902" w:type="dxa"/>
          </w:tcPr>
          <w:p>
            <w:pPr>
              <w:pStyle w:val="zyTableNAm"/>
              <w:spacing w:before="0"/>
            </w:pPr>
            <w:r>
              <w:t>Failing to collect, or remit fees collected, from ferry passengers</w:t>
            </w:r>
          </w:p>
        </w:tc>
        <w:tc>
          <w:tcPr>
            <w:tcW w:w="1176" w:type="dxa"/>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 xml:space="preserve">commercial vessels </w:t>
            </w:r>
          </w:p>
        </w:tc>
        <w:tc>
          <w:tcPr>
            <w:tcW w:w="1176" w:type="dxa"/>
          </w:tcPr>
          <w:p>
            <w:pPr>
              <w:pStyle w:val="zyTableNAm"/>
              <w:spacing w:before="0"/>
              <w:jc w:val="center"/>
            </w:pP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lastRenderedPageBreak/>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lastRenderedPageBreak/>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Beaching vessel in Thomson, Longreach or Geordie Bay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anchoring a vessel in Thomson, Longreach or Geordie Bay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black water from vessel other than by approved system</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tcPr>
          <w:p>
            <w:pPr>
              <w:pStyle w:val="zyTableNAm"/>
              <w:spacing w:before="0"/>
              <w:jc w:val="center"/>
            </w:pPr>
            <w:r>
              <w:rPr>
                <w:szCs w:val="22"/>
              </w:rPr>
              <w:t>200</w:t>
            </w:r>
          </w:p>
        </w:tc>
      </w:tr>
      <w:tr>
        <w:trPr>
          <w:cantSplit/>
        </w:trPr>
        <w:tc>
          <w:tcPr>
            <w:tcW w:w="960" w:type="dxa"/>
          </w:tcPr>
          <w:p>
            <w:pPr>
              <w:pStyle w:val="zyTableNAm"/>
              <w:keepNext/>
              <w:spacing w:before="0"/>
            </w:pPr>
            <w:r>
              <w:rPr>
                <w:szCs w:val="22"/>
              </w:rPr>
              <w:lastRenderedPageBreak/>
              <w:t>23F.</w:t>
            </w:r>
          </w:p>
        </w:tc>
        <w:tc>
          <w:tcPr>
            <w:tcW w:w="1200" w:type="dxa"/>
          </w:tcPr>
          <w:p>
            <w:pPr>
              <w:pStyle w:val="zyTableNAm"/>
              <w:keepNext/>
              <w:spacing w:before="0"/>
            </w:pPr>
            <w:r>
              <w:rPr>
                <w:szCs w:val="22"/>
              </w:rPr>
              <w:t>38J(2)</w:t>
            </w:r>
          </w:p>
        </w:tc>
        <w:tc>
          <w:tcPr>
            <w:tcW w:w="3902" w:type="dxa"/>
          </w:tcPr>
          <w:p>
            <w:pPr>
              <w:pStyle w:val="zyTableNAm"/>
              <w:keepNext/>
              <w:spacing w:before="0"/>
            </w:pPr>
            <w:r>
              <w:rPr>
                <w:szCs w:val="22"/>
              </w:rPr>
              <w:t>Unauthorised repairs to vessel berthed at main jetty</w:t>
            </w:r>
          </w:p>
        </w:tc>
        <w:tc>
          <w:tcPr>
            <w:tcW w:w="1176" w:type="dxa"/>
          </w:tcPr>
          <w:p>
            <w:pPr>
              <w:pStyle w:val="zyTableNAm"/>
              <w:keepNext/>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Without permission causing or allowing animal or bird to enter Island</w:t>
            </w:r>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Without permission causing or allowing flora to be brought to Island</w:t>
            </w:r>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keepNext/>
              <w:spacing w:before="0"/>
            </w:pPr>
            <w:r>
              <w:lastRenderedPageBreak/>
              <w:t>28.</w:t>
            </w:r>
          </w:p>
        </w:tc>
        <w:tc>
          <w:tcPr>
            <w:tcW w:w="1200" w:type="dxa"/>
          </w:tcPr>
          <w:p>
            <w:pPr>
              <w:pStyle w:val="zyTableNAm"/>
              <w:keepNext/>
              <w:spacing w:before="0"/>
            </w:pPr>
            <w:r>
              <w:t>44(3)</w:t>
            </w:r>
          </w:p>
        </w:tc>
        <w:tc>
          <w:tcPr>
            <w:tcW w:w="3902" w:type="dxa"/>
          </w:tcPr>
          <w:p>
            <w:pPr>
              <w:pStyle w:val="zyTableNAm"/>
              <w:keepNext/>
              <w:spacing w:before="0"/>
            </w:pPr>
            <w:r>
              <w:t>Failing to comply with traffic sign or with ranger’s signal or direction relating to vehicle</w:t>
            </w:r>
          </w:p>
        </w:tc>
        <w:tc>
          <w:tcPr>
            <w:tcW w:w="1176" w:type="dxa"/>
          </w:tcPr>
          <w:p>
            <w:pPr>
              <w:pStyle w:val="zyTableNAm"/>
              <w:keepNext/>
              <w:spacing w:before="0"/>
              <w:jc w:val="center"/>
            </w:pPr>
            <w:r>
              <w:br/>
            </w:r>
            <w:r>
              <w:br/>
              <w:t>150</w:t>
            </w:r>
          </w:p>
        </w:tc>
      </w:tr>
      <w:tr>
        <w:trPr>
          <w:cantSplit/>
        </w:trPr>
        <w:tc>
          <w:tcPr>
            <w:tcW w:w="960" w:type="dxa"/>
          </w:tcPr>
          <w:p>
            <w:pPr>
              <w:pStyle w:val="zyTableNAm"/>
              <w:keepNext/>
              <w:spacing w:before="0"/>
            </w:pPr>
            <w:r>
              <w:t>29AA.</w:t>
            </w:r>
          </w:p>
        </w:tc>
        <w:tc>
          <w:tcPr>
            <w:tcW w:w="1200" w:type="dxa"/>
          </w:tcPr>
          <w:p>
            <w:pPr>
              <w:pStyle w:val="zyTableNAm"/>
              <w:keepNext/>
              <w:spacing w:before="0"/>
            </w:pPr>
            <w:r>
              <w:t>45(1)</w:t>
            </w:r>
          </w:p>
        </w:tc>
        <w:tc>
          <w:tcPr>
            <w:tcW w:w="3902" w:type="dxa"/>
          </w:tcPr>
          <w:p>
            <w:pPr>
              <w:pStyle w:val="zyTableNAm"/>
              <w:keepNext/>
              <w:spacing w:before="0"/>
            </w:pPr>
            <w:r>
              <w:t>Bringing vehicle on to Island without permission</w:t>
            </w:r>
          </w:p>
        </w:tc>
        <w:tc>
          <w:tcPr>
            <w:tcW w:w="1176" w:type="dxa"/>
          </w:tcPr>
          <w:p>
            <w:pPr>
              <w:pStyle w:val="zyTableNAm"/>
              <w:keepNext/>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2160" w:type="dxa"/>
            <w:gridSpan w:val="2"/>
          </w:tcPr>
          <w:p>
            <w:pPr>
              <w:pStyle w:val="zyTableNAm"/>
              <w:tabs>
                <w:tab w:val="clear" w:pos="567"/>
                <w:tab w:val="left" w:pos="851"/>
              </w:tabs>
              <w:spacing w:before="0"/>
              <w:rPr>
                <w:i/>
                <w:szCs w:val="22"/>
              </w:rPr>
            </w:pPr>
            <w:r>
              <w:rPr>
                <w:i/>
                <w:szCs w:val="22"/>
              </w:rPr>
              <w:t>[29.</w:t>
            </w:r>
            <w:r>
              <w:rPr>
                <w:i/>
                <w:szCs w:val="22"/>
              </w:rPr>
              <w:tab/>
              <w:t>Deleted]</w:t>
            </w:r>
          </w:p>
        </w:tc>
        <w:tc>
          <w:tcPr>
            <w:tcW w:w="3902" w:type="dxa"/>
          </w:tcPr>
          <w:p>
            <w:pPr>
              <w:pStyle w:val="zyTableNAm"/>
              <w:spacing w:before="0"/>
              <w:rPr>
                <w:szCs w:val="22"/>
              </w:rPr>
            </w:pPr>
          </w:p>
        </w:tc>
        <w:tc>
          <w:tcPr>
            <w:tcW w:w="1176" w:type="dxa"/>
          </w:tcPr>
          <w:p>
            <w:pPr>
              <w:pStyle w:val="zyTableNAm"/>
              <w:spacing w:before="0"/>
              <w:jc w:val="center"/>
              <w:rPr>
                <w:szCs w:val="22"/>
              </w:rPr>
            </w:pP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Without permission having, or discharging, explosive device within limits of Island</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keepNext/>
              <w:spacing w:before="0"/>
            </w:pPr>
            <w:r>
              <w:lastRenderedPageBreak/>
              <w:t>36.</w:t>
            </w:r>
          </w:p>
        </w:tc>
        <w:tc>
          <w:tcPr>
            <w:tcW w:w="1200" w:type="dxa"/>
          </w:tcPr>
          <w:p>
            <w:pPr>
              <w:pStyle w:val="zyTableNAm"/>
              <w:keepNext/>
              <w:spacing w:before="0"/>
            </w:pPr>
            <w:r>
              <w:t>60A(1)</w:t>
            </w:r>
          </w:p>
        </w:tc>
        <w:tc>
          <w:tcPr>
            <w:tcW w:w="3902" w:type="dxa"/>
          </w:tcPr>
          <w:p>
            <w:pPr>
              <w:pStyle w:val="zyTableNAm"/>
              <w:keepNext/>
              <w:spacing w:before="0"/>
            </w:pPr>
            <w:r>
              <w:t>Sandboarding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keepNext/>
              <w:spacing w:before="0"/>
            </w:pPr>
            <w:r>
              <w:t>38.</w:t>
            </w:r>
          </w:p>
        </w:tc>
        <w:tc>
          <w:tcPr>
            <w:tcW w:w="1200" w:type="dxa"/>
          </w:tcPr>
          <w:p>
            <w:pPr>
              <w:pStyle w:val="zyTableNAm"/>
              <w:keepNext/>
              <w:spacing w:before="0"/>
            </w:pPr>
            <w:r>
              <w:t>60B(1)</w:t>
            </w:r>
          </w:p>
        </w:tc>
        <w:tc>
          <w:tcPr>
            <w:tcW w:w="3902" w:type="dxa"/>
          </w:tcPr>
          <w:p>
            <w:pPr>
              <w:pStyle w:val="zyTableNAm"/>
              <w:keepNext/>
              <w:spacing w:before="0"/>
            </w:pPr>
            <w:r>
              <w:t>Littering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Being in possession of liquor at Kingstown Barracks</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keepNext/>
              <w:keepLines/>
              <w:spacing w:before="0"/>
            </w:pPr>
            <w:r>
              <w:lastRenderedPageBreak/>
              <w:t>51.</w:t>
            </w:r>
          </w:p>
        </w:tc>
        <w:tc>
          <w:tcPr>
            <w:tcW w:w="1200" w:type="dxa"/>
            <w:tcBorders>
              <w:bottom w:val="single" w:sz="4" w:space="0" w:color="auto"/>
            </w:tcBorders>
          </w:tcPr>
          <w:p>
            <w:pPr>
              <w:pStyle w:val="zyTableNAm"/>
              <w:keepNext/>
              <w:keepLines/>
              <w:spacing w:before="0"/>
            </w:pPr>
            <w:r>
              <w:t>74C</w:t>
            </w:r>
          </w:p>
        </w:tc>
        <w:tc>
          <w:tcPr>
            <w:tcW w:w="3902" w:type="dxa"/>
            <w:tcBorders>
              <w:bottom w:val="single" w:sz="4" w:space="0" w:color="auto"/>
            </w:tcBorders>
          </w:tcPr>
          <w:p>
            <w:pPr>
              <w:pStyle w:val="zyTableNAm"/>
              <w:keepNext/>
              <w:keepLines/>
              <w:spacing w:before="0"/>
            </w:pPr>
            <w:r>
              <w:t>Altering information on authorisation issued by mooring site licensee</w:t>
            </w:r>
          </w:p>
        </w:tc>
        <w:tc>
          <w:tcPr>
            <w:tcW w:w="1176" w:type="dxa"/>
            <w:tcBorders>
              <w:bottom w:val="single" w:sz="4" w:space="0" w:color="auto"/>
            </w:tcBorders>
          </w:tcPr>
          <w:p>
            <w:pPr>
              <w:pStyle w:val="zyTableNAm"/>
              <w:keepNext/>
              <w:keepLines/>
              <w:spacing w:before="0"/>
              <w:jc w:val="center"/>
            </w:pPr>
            <w:r>
              <w:br/>
              <w:t>200</w:t>
            </w:r>
          </w:p>
        </w:tc>
      </w:tr>
    </w:tbl>
    <w:p>
      <w:pPr>
        <w:pStyle w:val="yFootnotesection"/>
      </w:pPr>
      <w:r>
        <w:tab/>
        <w:t>[Schedule 4 inserted: Gazette 8 Dec 2009 p. 5007</w:t>
      </w:r>
      <w:r>
        <w:noBreakHyphen/>
        <w:t>9; amended: Gazette 15 Oct 2010 p. 5177; 17 Dec 2010 p. 6362; 25 Oct 2011 p. 4516-17; 4 Jan 2013 p. 23-4; 24 Jan 2014 p. 114; 22 Sep 2015 p. 3861; 5 Apr 2016 p. 1029; 25 Oct 2016 p. 4877.]</w:t>
      </w:r>
    </w:p>
    <w:p>
      <w:pPr>
        <w:pStyle w:val="yEdnoteschedule"/>
      </w:pPr>
      <w:r>
        <w:t>[Schedule 5 deleted: Gazette 22 Sep 2015 p. 3862.]</w:t>
      </w:r>
    </w:p>
    <w:p>
      <w:pPr>
        <w:sectPr>
          <w:headerReference w:type="default" r:id="rId32"/>
          <w:pgSz w:w="11907" w:h="16840" w:code="9"/>
          <w:pgMar w:top="2376" w:right="2405" w:bottom="3542" w:left="2405" w:header="706" w:footer="3544" w:gutter="0"/>
          <w:cols w:space="720"/>
          <w:noEndnote/>
          <w:docGrid w:linePitch="326"/>
        </w:sectPr>
      </w:pPr>
    </w:p>
    <w:p>
      <w:pPr>
        <w:pStyle w:val="yScheduleHeading"/>
      </w:pPr>
      <w:bookmarkStart w:id="238" w:name="_Toc201234364"/>
      <w:bookmarkStart w:id="239" w:name="_Toc201234426"/>
      <w:bookmarkStart w:id="240" w:name="_Toc201234517"/>
      <w:bookmarkStart w:id="241" w:name="_Toc201318581"/>
      <w:bookmarkStart w:id="242" w:name="_Toc201318740"/>
      <w:bookmarkStart w:id="243" w:name="_Toc201566135"/>
      <w:bookmarkStart w:id="244" w:name="_Toc201314485"/>
      <w:r>
        <w:rPr>
          <w:rStyle w:val="CharSchNo"/>
        </w:rPr>
        <w:lastRenderedPageBreak/>
        <w:t>Schedule 6</w:t>
      </w:r>
      <w:r>
        <w:t> — </w:t>
      </w:r>
      <w:r>
        <w:rPr>
          <w:rStyle w:val="CharSchText"/>
        </w:rPr>
        <w:t>Aerodrome usage fees</w:t>
      </w:r>
      <w:bookmarkEnd w:id="238"/>
      <w:bookmarkEnd w:id="239"/>
      <w:bookmarkEnd w:id="240"/>
      <w:bookmarkEnd w:id="241"/>
      <w:bookmarkEnd w:id="242"/>
      <w:bookmarkEnd w:id="243"/>
    </w:p>
    <w:p>
      <w:pPr>
        <w:pStyle w:val="yShoulderClause"/>
      </w:pPr>
      <w:r>
        <w:t>[r. 7B and 7C]</w:t>
      </w:r>
    </w:p>
    <w:p>
      <w:pPr>
        <w:pStyle w:val="yFootnoteheading"/>
        <w:spacing w:after="60"/>
      </w:pPr>
      <w:r>
        <w:tab/>
        <w:t>[Heading inserted: SL 2025/98 r. 4.]</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962"/>
        <w:gridCol w:w="1134"/>
      </w:tblGrid>
      <w:tr>
        <w:trPr>
          <w:tblHeader/>
        </w:trPr>
        <w:tc>
          <w:tcPr>
            <w:tcW w:w="737" w:type="dxa"/>
            <w:noWrap/>
          </w:tcPr>
          <w:p>
            <w:pPr>
              <w:pStyle w:val="yTableNAm"/>
              <w:jc w:val="both"/>
            </w:pPr>
            <w:r>
              <w:rPr>
                <w:b/>
              </w:rPr>
              <w:t>Item</w:t>
            </w:r>
          </w:p>
        </w:tc>
        <w:tc>
          <w:tcPr>
            <w:tcW w:w="4962" w:type="dxa"/>
            <w:noWrap/>
          </w:tcPr>
          <w:p>
            <w:pPr>
              <w:pStyle w:val="yTableNAm"/>
              <w:jc w:val="both"/>
              <w:rPr>
                <w:b/>
              </w:rPr>
            </w:pPr>
            <w:r>
              <w:rPr>
                <w:b/>
              </w:rPr>
              <w:t>Description of fee</w:t>
            </w:r>
          </w:p>
        </w:tc>
        <w:tc>
          <w:tcPr>
            <w:tcW w:w="1134" w:type="dxa"/>
            <w:noWrap/>
            <w:vAlign w:val="bottom"/>
          </w:tcPr>
          <w:p>
            <w:pPr>
              <w:pStyle w:val="yTableNAm"/>
              <w:tabs>
                <w:tab w:val="clear" w:pos="567"/>
              </w:tabs>
              <w:jc w:val="center"/>
              <w:rPr>
                <w:b/>
              </w:rPr>
            </w:pPr>
            <w:r>
              <w:rPr>
                <w:b/>
              </w:rPr>
              <w:t>Fee ($)</w:t>
            </w:r>
          </w:p>
        </w:tc>
      </w:tr>
      <w:tr>
        <w:tc>
          <w:tcPr>
            <w:tcW w:w="737" w:type="dxa"/>
            <w:noWrap/>
          </w:tcPr>
          <w:p>
            <w:pPr>
              <w:pStyle w:val="yTableNAm"/>
            </w:pPr>
            <w:r>
              <w:t>1.</w:t>
            </w:r>
          </w:p>
        </w:tc>
        <w:tc>
          <w:tcPr>
            <w:tcW w:w="4962" w:type="dxa"/>
            <w:noWrap/>
          </w:tcPr>
          <w:p>
            <w:pPr>
              <w:pStyle w:val="yTableNAm"/>
            </w:pPr>
            <w:r>
              <w:t>Aerodrome usage fee (r. 7B(1))</w:t>
            </w:r>
          </w:p>
        </w:tc>
        <w:tc>
          <w:tcPr>
            <w:tcW w:w="1134" w:type="dxa"/>
            <w:noWrap/>
            <w:vAlign w:val="bottom"/>
          </w:tcPr>
          <w:p>
            <w:pPr>
              <w:pStyle w:val="yTableNAm"/>
              <w:tabs>
                <w:tab w:val="clear" w:pos="567"/>
              </w:tabs>
              <w:ind w:left="-108" w:right="34"/>
              <w:jc w:val="right"/>
            </w:pPr>
            <w:r>
              <w:t>63.50</w:t>
            </w:r>
          </w:p>
        </w:tc>
      </w:tr>
      <w:tr>
        <w:tc>
          <w:tcPr>
            <w:tcW w:w="737" w:type="dxa"/>
            <w:noWrap/>
          </w:tcPr>
          <w:p>
            <w:pPr>
              <w:pStyle w:val="yTableNAm"/>
            </w:pPr>
            <w:r>
              <w:t>2.</w:t>
            </w:r>
          </w:p>
        </w:tc>
        <w:tc>
          <w:tcPr>
            <w:tcW w:w="4962" w:type="dxa"/>
            <w:noWrap/>
          </w:tcPr>
          <w:p>
            <w:pPr>
              <w:pStyle w:val="yTableNAm"/>
            </w:pPr>
            <w:r>
              <w:t>Annual aerodrome usage fee (r. 7C(1)(b))</w:t>
            </w:r>
          </w:p>
        </w:tc>
        <w:tc>
          <w:tcPr>
            <w:tcW w:w="1134" w:type="dxa"/>
            <w:noWrap/>
            <w:vAlign w:val="bottom"/>
          </w:tcPr>
          <w:p>
            <w:pPr>
              <w:pStyle w:val="yTableNAm"/>
              <w:tabs>
                <w:tab w:val="clear" w:pos="567"/>
              </w:tabs>
              <w:ind w:right="34"/>
              <w:jc w:val="right"/>
            </w:pPr>
            <w:r>
              <w:t>194.00</w:t>
            </w:r>
          </w:p>
        </w:tc>
      </w:tr>
    </w:tbl>
    <w:p>
      <w:pPr>
        <w:pStyle w:val="yFootnotesection"/>
      </w:pPr>
      <w:bookmarkStart w:id="245" w:name="_Toc201234365"/>
      <w:bookmarkStart w:id="246" w:name="_Toc201234427"/>
      <w:bookmarkStart w:id="247" w:name="_Toc201234518"/>
      <w:r>
        <w:tab/>
        <w:t>[Schedule 6 inserted: SL 2025/98 r. 4.]</w:t>
      </w:r>
    </w:p>
    <w:p>
      <w:pPr>
        <w:pStyle w:val="yScheduleHeading"/>
      </w:pPr>
      <w:bookmarkStart w:id="248" w:name="_Toc201318582"/>
      <w:bookmarkStart w:id="249" w:name="_Toc201318741"/>
      <w:bookmarkStart w:id="250" w:name="_Toc201566136"/>
      <w:r>
        <w:rPr>
          <w:rStyle w:val="CharSchNo"/>
        </w:rPr>
        <w:lastRenderedPageBreak/>
        <w:t>Schedule 7</w:t>
      </w:r>
      <w:r>
        <w:t> — </w:t>
      </w:r>
      <w:r>
        <w:rPr>
          <w:rStyle w:val="CharSchText"/>
        </w:rPr>
        <w:t>Miscellaneous fees</w:t>
      </w:r>
      <w:bookmarkEnd w:id="245"/>
      <w:bookmarkEnd w:id="246"/>
      <w:bookmarkEnd w:id="247"/>
      <w:bookmarkEnd w:id="248"/>
      <w:bookmarkEnd w:id="249"/>
      <w:bookmarkEnd w:id="250"/>
    </w:p>
    <w:p>
      <w:pPr>
        <w:pStyle w:val="yShoulderClause"/>
      </w:pPr>
      <w:r>
        <w:t>[r. 5, 7, 7A, 7C, 20, 22, 26, 30, 31B, 31E and 33]</w:t>
      </w:r>
    </w:p>
    <w:p>
      <w:pPr>
        <w:pStyle w:val="yFootnoteheading"/>
        <w:spacing w:before="160" w:after="60"/>
      </w:pPr>
      <w:r>
        <w:tab/>
        <w:t>[Heading inserted: SL 2025/98 r. 4.]</w:t>
      </w:r>
    </w:p>
    <w:p>
      <w:pPr>
        <w:pStyle w:val="yHeading3"/>
      </w:pPr>
      <w:bookmarkStart w:id="251" w:name="_Toc201234366"/>
      <w:bookmarkStart w:id="252" w:name="_Toc201234428"/>
      <w:bookmarkStart w:id="253" w:name="_Toc201234519"/>
      <w:bookmarkStart w:id="254" w:name="_Toc201318583"/>
      <w:bookmarkStart w:id="255" w:name="_Toc201318742"/>
      <w:bookmarkStart w:id="256" w:name="_Toc201566137"/>
      <w:r>
        <w:rPr>
          <w:rStyle w:val="CharSDivNo"/>
        </w:rPr>
        <w:t>Division 1</w:t>
      </w:r>
      <w:r>
        <w:t> — </w:t>
      </w:r>
      <w:r>
        <w:rPr>
          <w:rStyle w:val="CharSDivText"/>
        </w:rPr>
        <w:t>Admission fees</w:t>
      </w:r>
      <w:bookmarkEnd w:id="251"/>
      <w:bookmarkEnd w:id="252"/>
      <w:bookmarkEnd w:id="253"/>
      <w:bookmarkEnd w:id="254"/>
      <w:bookmarkEnd w:id="255"/>
      <w:bookmarkEnd w:id="256"/>
    </w:p>
    <w:p>
      <w:pPr>
        <w:pStyle w:val="yFootnoteheading"/>
        <w:spacing w:after="60"/>
      </w:pPr>
      <w:r>
        <w:tab/>
        <w:t>[Heading inserted: SL 2025/98 r. 4.]</w:t>
      </w:r>
    </w:p>
    <w:tbl>
      <w:tblPr>
        <w:tblW w:w="6849"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978"/>
        <w:gridCol w:w="1134"/>
      </w:tblGrid>
      <w:tr>
        <w:trPr>
          <w:tblHeader/>
        </w:trPr>
        <w:tc>
          <w:tcPr>
            <w:tcW w:w="737" w:type="dxa"/>
            <w:tcBorders>
              <w:top w:val="single" w:sz="4" w:space="0" w:color="auto"/>
              <w:left w:val="single" w:sz="4" w:space="0" w:color="auto"/>
              <w:bottom w:val="nil"/>
              <w:right w:val="nil"/>
            </w:tcBorders>
            <w:noWrap/>
          </w:tcPr>
          <w:p>
            <w:pPr>
              <w:pStyle w:val="yTableNAm"/>
              <w:rPr>
                <w:b/>
              </w:rPr>
            </w:pPr>
            <w:r>
              <w:rPr>
                <w:b/>
              </w:rPr>
              <w:t>Item</w:t>
            </w:r>
          </w:p>
        </w:tc>
        <w:tc>
          <w:tcPr>
            <w:tcW w:w="4978" w:type="dxa"/>
            <w:tcBorders>
              <w:top w:val="single" w:sz="4" w:space="0" w:color="auto"/>
              <w:left w:val="single" w:sz="4" w:space="0" w:color="auto"/>
              <w:bottom w:val="nil"/>
              <w:right w:val="single" w:sz="4" w:space="0" w:color="auto"/>
            </w:tcBorders>
            <w:noWrap/>
          </w:tcPr>
          <w:p>
            <w:pPr>
              <w:pStyle w:val="yTableNAm"/>
              <w:rPr>
                <w:b/>
              </w:rPr>
            </w:pPr>
            <w:r>
              <w:rPr>
                <w:b/>
              </w:rPr>
              <w:t>Description of fee</w:t>
            </w:r>
          </w:p>
        </w:tc>
        <w:tc>
          <w:tcPr>
            <w:tcW w:w="1134" w:type="dxa"/>
            <w:tcBorders>
              <w:top w:val="single" w:sz="4" w:space="0" w:color="auto"/>
              <w:left w:val="single" w:sz="4" w:space="0" w:color="auto"/>
              <w:bottom w:val="nil"/>
              <w:right w:val="single" w:sz="4" w:space="0" w:color="auto"/>
            </w:tcBorders>
            <w:noWrap/>
            <w:vAlign w:val="bottom"/>
          </w:tcPr>
          <w:p>
            <w:pPr>
              <w:pStyle w:val="yTableNAm"/>
              <w:tabs>
                <w:tab w:val="clear" w:pos="567"/>
              </w:tabs>
              <w:ind w:right="35"/>
              <w:jc w:val="center"/>
              <w:rPr>
                <w:b/>
              </w:rPr>
            </w:pPr>
            <w:r>
              <w:rPr>
                <w:b/>
              </w:rPr>
              <w:t>Fee ($)</w:t>
            </w:r>
          </w:p>
        </w:tc>
      </w:tr>
      <w:tr>
        <w:tc>
          <w:tcPr>
            <w:tcW w:w="737" w:type="dxa"/>
            <w:tcBorders>
              <w:bottom w:val="nil"/>
              <w:right w:val="nil"/>
            </w:tcBorders>
            <w:noWrap/>
          </w:tcPr>
          <w:p>
            <w:pPr>
              <w:pStyle w:val="yTableNAm"/>
            </w:pPr>
            <w:r>
              <w:t>1.</w:t>
            </w:r>
          </w:p>
        </w:tc>
        <w:tc>
          <w:tcPr>
            <w:tcW w:w="4978" w:type="dxa"/>
            <w:tcBorders>
              <w:bottom w:val="nil"/>
              <w:right w:val="single" w:sz="4" w:space="0" w:color="auto"/>
            </w:tcBorders>
            <w:noWrap/>
          </w:tcPr>
          <w:p>
            <w:pPr>
              <w:pStyle w:val="yTableNAm"/>
            </w:pPr>
            <w:r>
              <w:t xml:space="preserve">Admission fee to Island (r. 5(1)) if travelling to and from the Island on the same day — </w:t>
            </w:r>
          </w:p>
        </w:tc>
        <w:tc>
          <w:tcPr>
            <w:tcW w:w="1134" w:type="dxa"/>
            <w:tcBorders>
              <w:left w:val="single" w:sz="4" w:space="0" w:color="auto"/>
              <w:bottom w:val="nil"/>
            </w:tcBorders>
            <w:noWrap/>
            <w:vAlign w:val="bottom"/>
          </w:tcPr>
          <w:p>
            <w:pPr>
              <w:pStyle w:val="yTableNAm"/>
              <w:tabs>
                <w:tab w:val="clear" w:pos="567"/>
              </w:tabs>
              <w:ind w:right="34"/>
              <w:jc w:val="right"/>
            </w:pP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rPr>
                <w:rStyle w:val="DraftersNotes"/>
                <w:b w:val="0"/>
                <w:i w:val="0"/>
              </w:rPr>
            </w:pPr>
            <w:r>
              <w:t>(a)</w:t>
            </w:r>
            <w:r>
              <w:tab/>
              <w:t>for a child (aged 4 years or over but under 17 years)</w:t>
            </w:r>
          </w:p>
        </w:tc>
        <w:tc>
          <w:tcPr>
            <w:tcW w:w="1134" w:type="dxa"/>
            <w:tcBorders>
              <w:top w:val="nil"/>
              <w:left w:val="single" w:sz="4" w:space="0" w:color="auto"/>
              <w:bottom w:val="nil"/>
            </w:tcBorders>
            <w:noWrap/>
            <w:vAlign w:val="bottom"/>
          </w:tcPr>
          <w:p>
            <w:pPr>
              <w:pStyle w:val="yTableNAm"/>
              <w:tabs>
                <w:tab w:val="clear" w:pos="567"/>
              </w:tabs>
              <w:ind w:right="34"/>
              <w:jc w:val="right"/>
            </w:pPr>
            <w:r>
              <w:t>10.50</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(b)</w:t>
            </w:r>
            <w:r>
              <w:tab/>
              <w:t>for an adult (aged 17 years or over)</w:t>
            </w:r>
          </w:p>
        </w:tc>
        <w:tc>
          <w:tcPr>
            <w:tcW w:w="1134" w:type="dxa"/>
            <w:tcBorders>
              <w:top w:val="nil"/>
              <w:left w:val="single" w:sz="4" w:space="0" w:color="auto"/>
              <w:bottom w:val="nil"/>
            </w:tcBorders>
            <w:noWrap/>
            <w:vAlign w:val="bottom"/>
          </w:tcPr>
          <w:p>
            <w:pPr>
              <w:pStyle w:val="yTableNAm"/>
              <w:tabs>
                <w:tab w:val="clear" w:pos="567"/>
              </w:tabs>
              <w:ind w:right="34"/>
              <w:jc w:val="right"/>
            </w:pPr>
            <w:r>
              <w:t>21.00</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(c)</w:t>
            </w:r>
            <w:r>
              <w:tab/>
              <w:t>for a family (2 adults and 2 children)</w:t>
            </w:r>
          </w:p>
        </w:tc>
        <w:tc>
          <w:tcPr>
            <w:tcW w:w="1134" w:type="dxa"/>
            <w:tcBorders>
              <w:top w:val="nil"/>
              <w:left w:val="single" w:sz="4" w:space="0" w:color="auto"/>
              <w:bottom w:val="nil"/>
            </w:tcBorders>
            <w:noWrap/>
            <w:vAlign w:val="bottom"/>
          </w:tcPr>
          <w:p>
            <w:pPr>
              <w:pStyle w:val="yTableNAm"/>
              <w:tabs>
                <w:tab w:val="clear" w:pos="567"/>
              </w:tabs>
              <w:ind w:right="34"/>
              <w:jc w:val="right"/>
            </w:pPr>
            <w:r>
              <w:t>55.00</w:t>
            </w:r>
          </w:p>
        </w:tc>
      </w:tr>
      <w:tr>
        <w:tc>
          <w:tcPr>
            <w:tcW w:w="737" w:type="dxa"/>
            <w:tcBorders>
              <w:bottom w:val="nil"/>
              <w:right w:val="nil"/>
            </w:tcBorders>
            <w:noWrap/>
          </w:tcPr>
          <w:p>
            <w:pPr>
              <w:pStyle w:val="yTableNAm"/>
              <w:keepNext/>
            </w:pPr>
            <w:r>
              <w:t>2.</w:t>
            </w:r>
          </w:p>
        </w:tc>
        <w:tc>
          <w:tcPr>
            <w:tcW w:w="4978" w:type="dxa"/>
            <w:tcBorders>
              <w:bottom w:val="nil"/>
              <w:right w:val="single" w:sz="4" w:space="0" w:color="auto"/>
            </w:tcBorders>
            <w:noWrap/>
          </w:tcPr>
          <w:p>
            <w:pPr>
              <w:pStyle w:val="yTableNAm"/>
              <w:keepNext/>
            </w:pPr>
            <w:r>
              <w:t xml:space="preserve">Admission fee to Island (r. 5(1)) if travelling to and from the Island on different days — </w:t>
            </w:r>
          </w:p>
        </w:tc>
        <w:tc>
          <w:tcPr>
            <w:tcW w:w="1134" w:type="dxa"/>
            <w:tcBorders>
              <w:left w:val="single" w:sz="4" w:space="0" w:color="auto"/>
              <w:bottom w:val="nil"/>
            </w:tcBorders>
            <w:noWrap/>
            <w:vAlign w:val="bottom"/>
          </w:tcPr>
          <w:p>
            <w:pPr>
              <w:pStyle w:val="yTableNAm"/>
              <w:keepNext/>
              <w:tabs>
                <w:tab w:val="clear" w:pos="567"/>
              </w:tabs>
              <w:ind w:right="34"/>
              <w:jc w:val="right"/>
            </w:pP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(a)</w:t>
            </w:r>
            <w:r>
              <w:tab/>
              <w:t>for a child (aged 4 years or over but under 17 years)</w:t>
            </w:r>
          </w:p>
        </w:tc>
        <w:tc>
          <w:tcPr>
            <w:tcW w:w="1134" w:type="dxa"/>
            <w:tcBorders>
              <w:top w:val="nil"/>
              <w:left w:val="single" w:sz="4" w:space="0" w:color="auto"/>
              <w:bottom w:val="nil"/>
            </w:tcBorders>
            <w:noWrap/>
            <w:vAlign w:val="bottom"/>
          </w:tcPr>
          <w:p>
            <w:pPr>
              <w:pStyle w:val="yTableNAm"/>
              <w:tabs>
                <w:tab w:val="clear" w:pos="567"/>
              </w:tabs>
              <w:ind w:right="34"/>
              <w:jc w:val="right"/>
            </w:pPr>
            <w:r>
              <w:t>14.00</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(b)</w:t>
            </w:r>
            <w:r>
              <w:tab/>
              <w:t>for an adult (aged 17 years or over)</w:t>
            </w:r>
          </w:p>
        </w:tc>
        <w:tc>
          <w:tcPr>
            <w:tcW w:w="1134" w:type="dxa"/>
            <w:tcBorders>
              <w:top w:val="nil"/>
              <w:left w:val="single" w:sz="4" w:space="0" w:color="auto"/>
              <w:bottom w:val="nil"/>
            </w:tcBorders>
            <w:noWrap/>
            <w:vAlign w:val="bottom"/>
          </w:tcPr>
          <w:p>
            <w:pPr>
              <w:pStyle w:val="yTableNAm"/>
              <w:tabs>
                <w:tab w:val="clear" w:pos="567"/>
              </w:tabs>
              <w:ind w:right="34"/>
              <w:jc w:val="right"/>
            </w:pPr>
            <w:r>
              <w:t>28.00</w:t>
            </w:r>
          </w:p>
        </w:tc>
      </w:tr>
      <w:tr>
        <w:tc>
          <w:tcPr>
            <w:tcW w:w="737" w:type="dxa"/>
            <w:tcBorders>
              <w:top w:val="nil"/>
              <w:bottom w:val="single" w:sz="4" w:space="0" w:color="auto"/>
              <w:right w:val="nil"/>
            </w:tcBorders>
            <w:noWrap/>
          </w:tcPr>
          <w:p>
            <w:pPr>
              <w:pStyle w:val="yTableNAm"/>
            </w:pPr>
          </w:p>
        </w:tc>
        <w:tc>
          <w:tcPr>
            <w:tcW w:w="4978" w:type="dxa"/>
            <w:tcBorders>
              <w:top w:val="nil"/>
              <w:bottom w:val="single" w:sz="4" w:space="0" w:color="auto"/>
              <w:right w:val="single" w:sz="4" w:space="0" w:color="auto"/>
            </w:tcBorders>
            <w:noWrap/>
          </w:tcPr>
          <w:p>
            <w:pPr>
              <w:pStyle w:val="yTableNAm"/>
              <w:tabs>
                <w:tab w:val="clear" w:pos="567"/>
                <w:tab w:val="left" w:pos="759"/>
              </w:tabs>
              <w:ind w:left="759" w:hanging="567"/>
            </w:pPr>
            <w:r>
              <w:t>(c)</w:t>
            </w:r>
            <w:r>
              <w:tab/>
              <w:t>for a family (2 adults and 2 children)</w:t>
            </w:r>
          </w:p>
        </w:tc>
        <w:tc>
          <w:tcPr>
            <w:tcW w:w="1134" w:type="dxa"/>
            <w:tcBorders>
              <w:top w:val="nil"/>
              <w:left w:val="single" w:sz="4" w:space="0" w:color="auto"/>
              <w:bottom w:val="single" w:sz="4" w:space="0" w:color="auto"/>
            </w:tcBorders>
            <w:noWrap/>
            <w:vAlign w:val="bottom"/>
          </w:tcPr>
          <w:p>
            <w:pPr>
              <w:pStyle w:val="yTableNAm"/>
              <w:tabs>
                <w:tab w:val="clear" w:pos="567"/>
              </w:tabs>
              <w:ind w:right="34"/>
              <w:jc w:val="right"/>
            </w:pPr>
            <w:r>
              <w:t>74.00</w:t>
            </w:r>
          </w:p>
        </w:tc>
      </w:tr>
      <w:tr>
        <w:tc>
          <w:tcPr>
            <w:tcW w:w="737" w:type="dxa"/>
            <w:tcBorders>
              <w:bottom w:val="nil"/>
              <w:right w:val="nil"/>
            </w:tcBorders>
            <w:noWrap/>
          </w:tcPr>
          <w:p>
            <w:pPr>
              <w:pStyle w:val="yTableNAm"/>
              <w:keepNext/>
            </w:pPr>
            <w:r>
              <w:t>3.</w:t>
            </w:r>
          </w:p>
        </w:tc>
        <w:tc>
          <w:tcPr>
            <w:tcW w:w="4978" w:type="dxa"/>
            <w:tcBorders>
              <w:bottom w:val="nil"/>
              <w:right w:val="single" w:sz="4" w:space="0" w:color="auto"/>
            </w:tcBorders>
            <w:noWrap/>
          </w:tcPr>
          <w:p>
            <w:pPr>
              <w:pStyle w:val="yTableNAm"/>
              <w:keepNext/>
            </w:pPr>
            <w:r>
              <w:t xml:space="preserve">Annual admission payment for vessel (r. 7(1)(a)) if length of vessel is — </w:t>
            </w:r>
          </w:p>
        </w:tc>
        <w:tc>
          <w:tcPr>
            <w:tcW w:w="1134" w:type="dxa"/>
            <w:tcBorders>
              <w:left w:val="single" w:sz="4" w:space="0" w:color="auto"/>
              <w:bottom w:val="nil"/>
            </w:tcBorders>
            <w:noWrap/>
            <w:vAlign w:val="bottom"/>
          </w:tcPr>
          <w:p>
            <w:pPr>
              <w:pStyle w:val="yTableNAm"/>
              <w:keepNext/>
              <w:tabs>
                <w:tab w:val="clear" w:pos="567"/>
              </w:tabs>
              <w:ind w:right="34"/>
              <w:jc w:val="right"/>
            </w:pPr>
          </w:p>
        </w:tc>
      </w:tr>
      <w:tr>
        <w:tc>
          <w:tcPr>
            <w:tcW w:w="737" w:type="dxa"/>
            <w:tcBorders>
              <w:top w:val="nil"/>
              <w:bottom w:val="nil"/>
              <w:right w:val="nil"/>
            </w:tcBorders>
            <w:noWrap/>
          </w:tcPr>
          <w:p>
            <w:pPr>
              <w:pStyle w:val="yTableNAm"/>
              <w:keepNext/>
            </w:pPr>
          </w:p>
        </w:tc>
        <w:tc>
          <w:tcPr>
            <w:tcW w:w="4978" w:type="dxa"/>
            <w:tcBorders>
              <w:top w:val="nil"/>
              <w:bottom w:val="nil"/>
              <w:right w:val="single" w:sz="4" w:space="0" w:color="auto"/>
            </w:tcBorders>
            <w:noWrap/>
          </w:tcPr>
          <w:p>
            <w:pPr>
              <w:pStyle w:val="yTableNAm"/>
              <w:keepNext/>
              <w:tabs>
                <w:tab w:val="clear" w:pos="567"/>
                <w:tab w:val="left" w:pos="759"/>
              </w:tabs>
              <w:ind w:left="759" w:hanging="567"/>
            </w:pPr>
            <w:r>
              <w:t>(a)</w:t>
            </w:r>
            <w:r>
              <w:tab/>
              <w:t>8 m or less</w:t>
            </w:r>
          </w:p>
        </w:tc>
        <w:tc>
          <w:tcPr>
            <w:tcW w:w="1134" w:type="dxa"/>
            <w:tcBorders>
              <w:top w:val="nil"/>
              <w:left w:val="single" w:sz="4" w:space="0" w:color="auto"/>
              <w:bottom w:val="nil"/>
            </w:tcBorders>
            <w:noWrap/>
            <w:vAlign w:val="bottom"/>
          </w:tcPr>
          <w:p>
            <w:pPr>
              <w:pStyle w:val="yTableNAm"/>
              <w:keepNext/>
              <w:tabs>
                <w:tab w:val="clear" w:pos="567"/>
              </w:tabs>
              <w:ind w:right="34"/>
              <w:jc w:val="right"/>
            </w:pPr>
            <w:r>
              <w:t>370.50</w:t>
            </w:r>
          </w:p>
        </w:tc>
      </w:tr>
      <w:tr>
        <w:tc>
          <w:tcPr>
            <w:tcW w:w="737" w:type="dxa"/>
            <w:tcBorders>
              <w:top w:val="nil"/>
              <w:bottom w:val="nil"/>
              <w:right w:val="nil"/>
            </w:tcBorders>
            <w:noWrap/>
          </w:tcPr>
          <w:p>
            <w:pPr>
              <w:pStyle w:val="yTableNAm"/>
              <w:keepNext/>
            </w:pPr>
          </w:p>
        </w:tc>
        <w:tc>
          <w:tcPr>
            <w:tcW w:w="4978" w:type="dxa"/>
            <w:tcBorders>
              <w:top w:val="nil"/>
              <w:bottom w:val="nil"/>
              <w:right w:val="single" w:sz="4" w:space="0" w:color="auto"/>
            </w:tcBorders>
            <w:noWrap/>
          </w:tcPr>
          <w:p>
            <w:pPr>
              <w:pStyle w:val="yTableNAm"/>
              <w:keepNext/>
              <w:tabs>
                <w:tab w:val="clear" w:pos="567"/>
                <w:tab w:val="left" w:pos="759"/>
              </w:tabs>
              <w:ind w:left="759" w:hanging="567"/>
            </w:pPr>
            <w:r>
              <w:t>(b)</w:t>
            </w:r>
            <w:r>
              <w:tab/>
              <w:t>more than 8 m but less than 10 m</w:t>
            </w:r>
          </w:p>
        </w:tc>
        <w:tc>
          <w:tcPr>
            <w:tcW w:w="1134" w:type="dxa"/>
            <w:tcBorders>
              <w:top w:val="nil"/>
              <w:left w:val="single" w:sz="4" w:space="0" w:color="auto"/>
              <w:bottom w:val="nil"/>
            </w:tcBorders>
            <w:noWrap/>
            <w:vAlign w:val="bottom"/>
          </w:tcPr>
          <w:p>
            <w:pPr>
              <w:pStyle w:val="yTableNAm"/>
              <w:keepNext/>
              <w:tabs>
                <w:tab w:val="clear" w:pos="567"/>
              </w:tabs>
              <w:ind w:right="34"/>
              <w:jc w:val="right"/>
            </w:pPr>
            <w:r>
              <w:t>444.50</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(c)</w:t>
            </w:r>
            <w:r>
              <w:tab/>
              <w:t>10 m or more but less than 15 m</w:t>
            </w:r>
          </w:p>
        </w:tc>
        <w:tc>
          <w:tcPr>
            <w:tcW w:w="1134" w:type="dxa"/>
            <w:tcBorders>
              <w:top w:val="nil"/>
              <w:left w:val="single" w:sz="4" w:space="0" w:color="auto"/>
              <w:bottom w:val="nil"/>
            </w:tcBorders>
            <w:noWrap/>
            <w:vAlign w:val="bottom"/>
          </w:tcPr>
          <w:p>
            <w:pPr>
              <w:pStyle w:val="yTableNAm"/>
              <w:tabs>
                <w:tab w:val="clear" w:pos="567"/>
              </w:tabs>
              <w:ind w:right="34"/>
              <w:jc w:val="right"/>
            </w:pPr>
            <w:r>
              <w:t>518.50</w:t>
            </w:r>
          </w:p>
        </w:tc>
      </w:tr>
      <w:tr>
        <w:tc>
          <w:tcPr>
            <w:tcW w:w="737" w:type="dxa"/>
            <w:tcBorders>
              <w:top w:val="nil"/>
              <w:left w:val="single" w:sz="4" w:space="0" w:color="auto"/>
              <w:bottom w:val="nil"/>
              <w:right w:val="nil"/>
            </w:tcBorders>
            <w:noWrap/>
          </w:tcPr>
          <w:p>
            <w:pPr>
              <w:pStyle w:val="yTableNAm"/>
            </w:pPr>
          </w:p>
        </w:tc>
        <w:tc>
          <w:tcPr>
            <w:tcW w:w="4978" w:type="dxa"/>
            <w:tcBorders>
              <w:top w:val="nil"/>
              <w:left w:val="single" w:sz="4" w:space="0" w:color="auto"/>
              <w:bottom w:val="nil"/>
              <w:right w:val="single" w:sz="4" w:space="0" w:color="auto"/>
            </w:tcBorders>
            <w:noWrap/>
          </w:tcPr>
          <w:p>
            <w:pPr>
              <w:pStyle w:val="yTableNAm"/>
              <w:tabs>
                <w:tab w:val="clear" w:pos="567"/>
                <w:tab w:val="left" w:pos="759"/>
              </w:tabs>
              <w:ind w:left="759" w:hanging="567"/>
            </w:pPr>
            <w:r>
              <w:t>(d)</w:t>
            </w:r>
            <w:r>
              <w:tab/>
              <w:t>15 m or more but less than 20 m</w:t>
            </w:r>
          </w:p>
        </w:tc>
        <w:tc>
          <w:tcPr>
            <w:tcW w:w="1134" w:type="dxa"/>
            <w:tcBorders>
              <w:top w:val="nil"/>
              <w:left w:val="single" w:sz="4" w:space="0" w:color="auto"/>
              <w:bottom w:val="nil"/>
              <w:right w:val="single" w:sz="4" w:space="0" w:color="auto"/>
            </w:tcBorders>
            <w:noWrap/>
            <w:vAlign w:val="bottom"/>
          </w:tcPr>
          <w:p>
            <w:pPr>
              <w:pStyle w:val="yTableNAm"/>
              <w:tabs>
                <w:tab w:val="clear" w:pos="567"/>
              </w:tabs>
              <w:ind w:right="34"/>
              <w:jc w:val="right"/>
            </w:pPr>
            <w:r>
              <w:t>889.00</w:t>
            </w:r>
          </w:p>
        </w:tc>
      </w:tr>
      <w:tr>
        <w:tc>
          <w:tcPr>
            <w:tcW w:w="737" w:type="dxa"/>
            <w:tcBorders>
              <w:top w:val="nil"/>
              <w:bottom w:val="single" w:sz="4" w:space="0" w:color="auto"/>
              <w:right w:val="nil"/>
            </w:tcBorders>
            <w:noWrap/>
          </w:tcPr>
          <w:p>
            <w:pPr>
              <w:pStyle w:val="yTableNAm"/>
            </w:pPr>
          </w:p>
        </w:tc>
        <w:tc>
          <w:tcPr>
            <w:tcW w:w="4978" w:type="dxa"/>
            <w:tcBorders>
              <w:top w:val="nil"/>
              <w:bottom w:val="single" w:sz="4" w:space="0" w:color="auto"/>
              <w:right w:val="single" w:sz="4" w:space="0" w:color="auto"/>
            </w:tcBorders>
            <w:noWrap/>
          </w:tcPr>
          <w:p>
            <w:pPr>
              <w:pStyle w:val="yTableNAm"/>
              <w:tabs>
                <w:tab w:val="clear" w:pos="567"/>
                <w:tab w:val="left" w:pos="759"/>
              </w:tabs>
              <w:ind w:left="759" w:hanging="567"/>
            </w:pPr>
            <w:r>
              <w:t>(e)</w:t>
            </w:r>
            <w:r>
              <w:tab/>
              <w:t>20 m or more</w:t>
            </w:r>
          </w:p>
        </w:tc>
        <w:tc>
          <w:tcPr>
            <w:tcW w:w="1134" w:type="dxa"/>
            <w:tcBorders>
              <w:top w:val="nil"/>
              <w:left w:val="single" w:sz="4" w:space="0" w:color="auto"/>
              <w:bottom w:val="single" w:sz="4" w:space="0" w:color="auto"/>
            </w:tcBorders>
            <w:noWrap/>
            <w:vAlign w:val="bottom"/>
          </w:tcPr>
          <w:p>
            <w:pPr>
              <w:pStyle w:val="yTableNAm"/>
              <w:tabs>
                <w:tab w:val="clear" w:pos="567"/>
              </w:tabs>
              <w:ind w:right="34"/>
              <w:jc w:val="right"/>
            </w:pPr>
            <w:r>
              <w:t>1 037.50</w:t>
            </w:r>
          </w:p>
        </w:tc>
      </w:tr>
      <w:tr>
        <w:tc>
          <w:tcPr>
            <w:tcW w:w="737" w:type="dxa"/>
            <w:tcBorders>
              <w:right w:val="nil"/>
            </w:tcBorders>
            <w:noWrap/>
          </w:tcPr>
          <w:p>
            <w:pPr>
              <w:pStyle w:val="yTableNAm"/>
            </w:pPr>
            <w:r>
              <w:t>4.</w:t>
            </w:r>
          </w:p>
        </w:tc>
        <w:tc>
          <w:tcPr>
            <w:tcW w:w="4978" w:type="dxa"/>
            <w:tcBorders>
              <w:right w:val="single" w:sz="4" w:space="0" w:color="auto"/>
            </w:tcBorders>
            <w:noWrap/>
          </w:tcPr>
          <w:p>
            <w:pPr>
              <w:pStyle w:val="yTableNAm"/>
            </w:pPr>
            <w:r>
              <w:t>Annual permit fee for domestic commercial vessel (r. 7A(2))</w:t>
            </w:r>
          </w:p>
        </w:tc>
        <w:tc>
          <w:tcPr>
            <w:tcW w:w="1134" w:type="dxa"/>
            <w:tcBorders>
              <w:left w:val="single" w:sz="4" w:space="0" w:color="auto"/>
            </w:tcBorders>
            <w:noWrap/>
            <w:vAlign w:val="bottom"/>
          </w:tcPr>
          <w:p>
            <w:pPr>
              <w:pStyle w:val="yTableNAm"/>
              <w:tabs>
                <w:tab w:val="clear" w:pos="567"/>
              </w:tabs>
              <w:ind w:right="34"/>
              <w:jc w:val="right"/>
            </w:pPr>
            <w:r>
              <w:t>124.50</w:t>
            </w:r>
          </w:p>
        </w:tc>
      </w:tr>
      <w:tr>
        <w:tc>
          <w:tcPr>
            <w:tcW w:w="737" w:type="dxa"/>
            <w:tcBorders>
              <w:bottom w:val="single" w:sz="4" w:space="0" w:color="auto"/>
              <w:right w:val="nil"/>
            </w:tcBorders>
            <w:noWrap/>
          </w:tcPr>
          <w:p>
            <w:pPr>
              <w:pStyle w:val="yTableNAm"/>
            </w:pPr>
            <w:r>
              <w:t>5.</w:t>
            </w:r>
          </w:p>
        </w:tc>
        <w:tc>
          <w:tcPr>
            <w:tcW w:w="4978" w:type="dxa"/>
            <w:tcBorders>
              <w:bottom w:val="single" w:sz="4" w:space="0" w:color="auto"/>
              <w:right w:val="single" w:sz="4" w:space="0" w:color="auto"/>
            </w:tcBorders>
            <w:noWrap/>
          </w:tcPr>
          <w:p>
            <w:pPr>
              <w:pStyle w:val="yTableNAm"/>
            </w:pPr>
            <w:r>
              <w:t>Annual admission fee for aircraft (r. 7C(1)(a))</w:t>
            </w:r>
          </w:p>
        </w:tc>
        <w:tc>
          <w:tcPr>
            <w:tcW w:w="1134" w:type="dxa"/>
            <w:tcBorders>
              <w:left w:val="single" w:sz="4" w:space="0" w:color="auto"/>
              <w:bottom w:val="single" w:sz="4" w:space="0" w:color="auto"/>
            </w:tcBorders>
            <w:noWrap/>
            <w:vAlign w:val="bottom"/>
          </w:tcPr>
          <w:p>
            <w:pPr>
              <w:pStyle w:val="yTableNAm"/>
              <w:tabs>
                <w:tab w:val="clear" w:pos="567"/>
              </w:tabs>
              <w:ind w:right="34"/>
              <w:jc w:val="right"/>
            </w:pPr>
            <w:r>
              <w:t>379.00</w:t>
            </w:r>
          </w:p>
        </w:tc>
      </w:tr>
    </w:tbl>
    <w:p>
      <w:pPr>
        <w:pStyle w:val="yFootnotesection"/>
      </w:pPr>
      <w:bookmarkStart w:id="257" w:name="_Toc201234367"/>
      <w:bookmarkStart w:id="258" w:name="_Toc201234429"/>
      <w:bookmarkStart w:id="259" w:name="_Toc201234520"/>
      <w:r>
        <w:tab/>
        <w:t>[Division 1 inserted: SL 2025/98 r. 4.]</w:t>
      </w:r>
    </w:p>
    <w:p>
      <w:pPr>
        <w:pStyle w:val="yHeading3"/>
      </w:pPr>
      <w:bookmarkStart w:id="260" w:name="_Toc201318584"/>
      <w:bookmarkStart w:id="261" w:name="_Toc201318743"/>
      <w:bookmarkStart w:id="262" w:name="_Toc201566138"/>
      <w:r>
        <w:rPr>
          <w:rStyle w:val="CharSDivNo"/>
        </w:rPr>
        <w:t>Division 2</w:t>
      </w:r>
      <w:r>
        <w:t> — </w:t>
      </w:r>
      <w:r>
        <w:rPr>
          <w:rStyle w:val="CharSDivText"/>
        </w:rPr>
        <w:t>Mooring site licences</w:t>
      </w:r>
      <w:bookmarkEnd w:id="257"/>
      <w:bookmarkEnd w:id="258"/>
      <w:bookmarkEnd w:id="259"/>
      <w:bookmarkEnd w:id="260"/>
      <w:bookmarkEnd w:id="261"/>
      <w:bookmarkEnd w:id="262"/>
    </w:p>
    <w:p>
      <w:pPr>
        <w:pStyle w:val="yFootnoteheading"/>
        <w:spacing w:after="60"/>
      </w:pPr>
      <w:r>
        <w:tab/>
        <w:t>[Heading inserted: SL 2025/98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01"/>
        <w:gridCol w:w="1134"/>
      </w:tblGrid>
      <w:tr>
        <w:trPr>
          <w:cantSplit/>
          <w:tblHeader/>
        </w:trPr>
        <w:tc>
          <w:tcPr>
            <w:tcW w:w="720" w:type="dxa"/>
            <w:tcBorders>
              <w:bottom w:val="single" w:sz="4" w:space="0" w:color="auto"/>
            </w:tcBorders>
            <w:noWrap/>
          </w:tcPr>
          <w:p>
            <w:pPr>
              <w:pStyle w:val="yTableNAm"/>
              <w:rPr>
                <w:b/>
              </w:rPr>
            </w:pPr>
            <w:r>
              <w:rPr>
                <w:b/>
              </w:rPr>
              <w:t>Item</w:t>
            </w:r>
          </w:p>
        </w:tc>
        <w:tc>
          <w:tcPr>
            <w:tcW w:w="5001" w:type="dxa"/>
            <w:tcBorders>
              <w:bottom w:val="single" w:sz="4" w:space="0" w:color="auto"/>
            </w:tcBorders>
            <w:noWrap/>
          </w:tcPr>
          <w:p>
            <w:pPr>
              <w:pStyle w:val="yTableNAm"/>
              <w:rPr>
                <w:b/>
              </w:rPr>
            </w:pPr>
            <w:r>
              <w:rPr>
                <w:b/>
              </w:rPr>
              <w:t>Description of fee</w:t>
            </w:r>
          </w:p>
        </w:tc>
        <w:tc>
          <w:tcPr>
            <w:tcW w:w="1134" w:type="dxa"/>
            <w:tcBorders>
              <w:bottom w:val="single" w:sz="4" w:space="0" w:color="auto"/>
            </w:tcBorders>
            <w:noWrap/>
            <w:vAlign w:val="bottom"/>
          </w:tcPr>
          <w:p>
            <w:pPr>
              <w:pStyle w:val="yTableNAm"/>
              <w:tabs>
                <w:tab w:val="clear" w:pos="567"/>
              </w:tabs>
              <w:ind w:right="35"/>
              <w:jc w:val="center"/>
              <w:rPr>
                <w:b/>
              </w:rPr>
            </w:pPr>
            <w:r>
              <w:rPr>
                <w:b/>
              </w:rPr>
              <w:t>Fee ($)</w:t>
            </w:r>
          </w:p>
        </w:tc>
      </w:tr>
      <w:tr>
        <w:trPr>
          <w:cantSplit/>
        </w:trPr>
        <w:tc>
          <w:tcPr>
            <w:tcW w:w="720" w:type="dxa"/>
            <w:tcBorders>
              <w:bottom w:val="single" w:sz="4" w:space="0" w:color="auto"/>
            </w:tcBorders>
            <w:noWrap/>
          </w:tcPr>
          <w:p>
            <w:pPr>
              <w:pStyle w:val="yTableNAm"/>
            </w:pPr>
            <w:r>
              <w:t>6.</w:t>
            </w:r>
          </w:p>
        </w:tc>
        <w:tc>
          <w:tcPr>
            <w:tcW w:w="5001" w:type="dxa"/>
            <w:tcBorders>
              <w:bottom w:val="single" w:sz="4" w:space="0" w:color="auto"/>
            </w:tcBorders>
            <w:noWrap/>
          </w:tcPr>
          <w:p>
            <w:pPr>
              <w:pStyle w:val="yTableNAm"/>
            </w:pPr>
            <w:r>
              <w:t>Application fee for mooring site licence (r. 20(3)(c))</w:t>
            </w:r>
          </w:p>
        </w:tc>
        <w:tc>
          <w:tcPr>
            <w:tcW w:w="1134" w:type="dxa"/>
            <w:tcBorders>
              <w:bottom w:val="single" w:sz="4" w:space="0" w:color="auto"/>
            </w:tcBorders>
            <w:noWrap/>
            <w:vAlign w:val="bottom"/>
          </w:tcPr>
          <w:p>
            <w:pPr>
              <w:pStyle w:val="yTableNAm"/>
              <w:tabs>
                <w:tab w:val="clear" w:pos="567"/>
              </w:tabs>
              <w:ind w:right="34"/>
              <w:jc w:val="right"/>
            </w:pPr>
            <w:r>
              <w:t>66.00</w:t>
            </w:r>
          </w:p>
        </w:tc>
      </w:tr>
      <w:tr>
        <w:trPr>
          <w:cantSplit/>
        </w:trPr>
        <w:tc>
          <w:tcPr>
            <w:tcW w:w="720" w:type="dxa"/>
            <w:tcBorders>
              <w:bottom w:val="nil"/>
            </w:tcBorders>
            <w:noWrap/>
          </w:tcPr>
          <w:p>
            <w:pPr>
              <w:pStyle w:val="yTableNAm"/>
              <w:keepNext/>
            </w:pPr>
            <w:r>
              <w:t>7.</w:t>
            </w:r>
          </w:p>
        </w:tc>
        <w:tc>
          <w:tcPr>
            <w:tcW w:w="5001" w:type="dxa"/>
            <w:tcBorders>
              <w:bottom w:val="nil"/>
            </w:tcBorders>
            <w:noWrap/>
          </w:tcPr>
          <w:p>
            <w:pPr>
              <w:pStyle w:val="yTableNAm"/>
              <w:keepNext/>
            </w:pPr>
            <w:r>
              <w:t>Annual mooring site licence fee (r. 22(3)(b)(i) and 33(3)(b)(i)) if length of licensed vessel or vessel to be licensed is —</w:t>
            </w:r>
          </w:p>
        </w:tc>
        <w:tc>
          <w:tcPr>
            <w:tcW w:w="1134" w:type="dxa"/>
            <w:tcBorders>
              <w:bottom w:val="nil"/>
            </w:tcBorders>
            <w:noWrap/>
            <w:vAlign w:val="bottom"/>
          </w:tcPr>
          <w:p>
            <w:pPr>
              <w:pStyle w:val="yTableNAm"/>
              <w:keepNext/>
              <w:tabs>
                <w:tab w:val="clear" w:pos="567"/>
              </w:tabs>
              <w:ind w:right="34"/>
              <w:jc w:val="right"/>
            </w:pPr>
          </w:p>
        </w:tc>
      </w:tr>
      <w:tr>
        <w:trPr>
          <w:cantSplit/>
        </w:trPr>
        <w:tc>
          <w:tcPr>
            <w:tcW w:w="720" w:type="dxa"/>
            <w:tcBorders>
              <w:top w:val="nil"/>
              <w:bottom w:val="nil"/>
              <w:right w:val="nil"/>
            </w:tcBorders>
            <w:noWrap/>
          </w:tcPr>
          <w:p>
            <w:pPr>
              <w:pStyle w:val="yTableNAm"/>
            </w:pPr>
          </w:p>
        </w:tc>
        <w:tc>
          <w:tcPr>
            <w:tcW w:w="5001" w:type="dxa"/>
            <w:tcBorders>
              <w:top w:val="nil"/>
              <w:bottom w:val="nil"/>
              <w:right w:val="single" w:sz="4" w:space="0" w:color="auto"/>
            </w:tcBorders>
            <w:noWrap/>
          </w:tcPr>
          <w:p>
            <w:pPr>
              <w:pStyle w:val="yTableNAm"/>
              <w:tabs>
                <w:tab w:val="clear" w:pos="567"/>
                <w:tab w:val="left" w:pos="759"/>
              </w:tabs>
              <w:ind w:left="759" w:hanging="567"/>
            </w:pPr>
            <w:r>
              <w:t>(a)</w:t>
            </w:r>
            <w:r>
              <w:tab/>
              <w:t>10 m or less</w:t>
            </w:r>
          </w:p>
        </w:tc>
        <w:tc>
          <w:tcPr>
            <w:tcW w:w="1134" w:type="dxa"/>
            <w:tcBorders>
              <w:top w:val="nil"/>
              <w:left w:val="single" w:sz="4" w:space="0" w:color="auto"/>
              <w:bottom w:val="nil"/>
            </w:tcBorders>
            <w:noWrap/>
            <w:vAlign w:val="bottom"/>
          </w:tcPr>
          <w:p>
            <w:pPr>
              <w:pStyle w:val="yTableNAm"/>
              <w:tabs>
                <w:tab w:val="clear" w:pos="567"/>
              </w:tabs>
              <w:ind w:right="34"/>
              <w:jc w:val="right"/>
            </w:pPr>
            <w:r>
              <w:t>1 234.50</w:t>
            </w:r>
          </w:p>
        </w:tc>
      </w:tr>
      <w:tr>
        <w:trPr>
          <w:cantSplit/>
        </w:trPr>
        <w:tc>
          <w:tcPr>
            <w:tcW w:w="720" w:type="dxa"/>
            <w:tcBorders>
              <w:top w:val="nil"/>
              <w:bottom w:val="single" w:sz="4" w:space="0" w:color="auto"/>
              <w:right w:val="nil"/>
            </w:tcBorders>
            <w:noWrap/>
          </w:tcPr>
          <w:p>
            <w:pPr>
              <w:pStyle w:val="yTableNAm"/>
            </w:pPr>
          </w:p>
        </w:tc>
        <w:tc>
          <w:tcPr>
            <w:tcW w:w="5001" w:type="dxa"/>
            <w:tcBorders>
              <w:top w:val="nil"/>
              <w:bottom w:val="single" w:sz="4" w:space="0" w:color="auto"/>
              <w:right w:val="single" w:sz="4" w:space="0" w:color="auto"/>
            </w:tcBorders>
            <w:noWrap/>
          </w:tcPr>
          <w:p>
            <w:pPr>
              <w:pStyle w:val="yTableNAm"/>
              <w:tabs>
                <w:tab w:val="clear" w:pos="567"/>
                <w:tab w:val="left" w:pos="759"/>
              </w:tabs>
              <w:ind w:left="759" w:hanging="567"/>
            </w:pPr>
            <w:r>
              <w:t>(b)</w:t>
            </w:r>
            <w:r>
              <w:tab/>
              <w:t>more than 10 m</w:t>
            </w:r>
          </w:p>
        </w:tc>
        <w:tc>
          <w:tcPr>
            <w:tcW w:w="1134" w:type="dxa"/>
            <w:tcBorders>
              <w:top w:val="nil"/>
              <w:left w:val="single" w:sz="4" w:space="0" w:color="auto"/>
              <w:bottom w:val="single" w:sz="4" w:space="0" w:color="auto"/>
            </w:tcBorders>
            <w:noWrap/>
            <w:vAlign w:val="bottom"/>
          </w:tcPr>
          <w:p>
            <w:pPr>
              <w:pStyle w:val="yTableNAm"/>
              <w:tabs>
                <w:tab w:val="clear" w:pos="567"/>
              </w:tabs>
              <w:ind w:right="34"/>
              <w:jc w:val="right"/>
            </w:pPr>
            <w:r>
              <w:t>123.50/m of length of vessel</w:t>
            </w:r>
          </w:p>
        </w:tc>
      </w:tr>
      <w:tr>
        <w:trPr>
          <w:cantSplit/>
        </w:trPr>
        <w:tc>
          <w:tcPr>
            <w:tcW w:w="720" w:type="dxa"/>
            <w:tcBorders>
              <w:top w:val="nil"/>
              <w:left w:val="single" w:sz="4" w:space="0" w:color="auto"/>
              <w:bottom w:val="single" w:sz="4" w:space="0" w:color="auto"/>
              <w:right w:val="nil"/>
            </w:tcBorders>
            <w:noWrap/>
          </w:tcPr>
          <w:p>
            <w:pPr>
              <w:pStyle w:val="yTableNAm"/>
            </w:pPr>
            <w:r>
              <w:t>8.</w:t>
            </w:r>
          </w:p>
        </w:tc>
        <w:tc>
          <w:tcPr>
            <w:tcW w:w="5001" w:type="dxa"/>
            <w:tcBorders>
              <w:top w:val="nil"/>
              <w:left w:val="single" w:sz="4" w:space="0" w:color="auto"/>
              <w:bottom w:val="single" w:sz="4" w:space="0" w:color="auto"/>
              <w:right w:val="single" w:sz="4" w:space="0" w:color="auto"/>
            </w:tcBorders>
            <w:noWrap/>
          </w:tcPr>
          <w:p>
            <w:pPr>
              <w:pStyle w:val="yTableNAm"/>
              <w:rPr>
                <w:rStyle w:val="DraftersNotes"/>
                <w:b w:val="0"/>
                <w:i w:val="0"/>
              </w:rPr>
            </w:pPr>
            <w:r>
              <w:t>Fee for replacement of lost mooring sticker (r. 26(4A)(b))</w:t>
            </w:r>
          </w:p>
        </w:tc>
        <w:tc>
          <w:tcPr>
            <w:tcW w:w="1134" w:type="dxa"/>
            <w:tcBorders>
              <w:top w:val="nil"/>
              <w:left w:val="single" w:sz="4" w:space="0" w:color="auto"/>
              <w:bottom w:val="single" w:sz="4" w:space="0" w:color="auto"/>
              <w:right w:val="single" w:sz="4" w:space="0" w:color="auto"/>
            </w:tcBorders>
            <w:noWrap/>
            <w:vAlign w:val="bottom"/>
          </w:tcPr>
          <w:p>
            <w:pPr>
              <w:pStyle w:val="yTableNAm"/>
              <w:tabs>
                <w:tab w:val="clear" w:pos="567"/>
              </w:tabs>
              <w:ind w:right="34"/>
              <w:jc w:val="right"/>
            </w:pPr>
            <w:r>
              <w:t>26.50</w:t>
            </w:r>
          </w:p>
        </w:tc>
      </w:tr>
      <w:tr>
        <w:trPr>
          <w:cantSplit/>
        </w:trPr>
        <w:tc>
          <w:tcPr>
            <w:tcW w:w="720" w:type="dxa"/>
            <w:tcBorders>
              <w:top w:val="nil"/>
              <w:left w:val="single" w:sz="4" w:space="0" w:color="auto"/>
              <w:bottom w:val="single" w:sz="4" w:space="0" w:color="auto"/>
              <w:right w:val="nil"/>
            </w:tcBorders>
            <w:noWrap/>
          </w:tcPr>
          <w:p>
            <w:pPr>
              <w:pStyle w:val="yTableNAm"/>
            </w:pPr>
            <w:r>
              <w:t>9.</w:t>
            </w:r>
          </w:p>
        </w:tc>
        <w:tc>
          <w:tcPr>
            <w:tcW w:w="5001" w:type="dxa"/>
            <w:tcBorders>
              <w:top w:val="nil"/>
              <w:left w:val="single" w:sz="4" w:space="0" w:color="auto"/>
              <w:bottom w:val="single" w:sz="4" w:space="0" w:color="auto"/>
              <w:right w:val="single" w:sz="4" w:space="0" w:color="auto"/>
            </w:tcBorders>
            <w:noWrap/>
          </w:tcPr>
          <w:p>
            <w:pPr>
              <w:pStyle w:val="yTableNAm"/>
            </w:pPr>
            <w:r>
              <w:t>Mooring exchange fee (r. 30(10)(ba))</w:t>
            </w:r>
          </w:p>
        </w:tc>
        <w:tc>
          <w:tcPr>
            <w:tcW w:w="1134" w:type="dxa"/>
            <w:tcBorders>
              <w:top w:val="nil"/>
              <w:left w:val="single" w:sz="4" w:space="0" w:color="auto"/>
              <w:bottom w:val="single" w:sz="4" w:space="0" w:color="auto"/>
              <w:right w:val="single" w:sz="4" w:space="0" w:color="auto"/>
            </w:tcBorders>
            <w:noWrap/>
            <w:vAlign w:val="bottom"/>
          </w:tcPr>
          <w:p>
            <w:pPr>
              <w:pStyle w:val="yTableNAm"/>
              <w:tabs>
                <w:tab w:val="clear" w:pos="567"/>
              </w:tabs>
              <w:ind w:right="34"/>
              <w:jc w:val="right"/>
            </w:pPr>
            <w:r>
              <w:t>335.50</w:t>
            </w:r>
          </w:p>
        </w:tc>
      </w:tr>
    </w:tbl>
    <w:p>
      <w:pPr>
        <w:pStyle w:val="yFootnotesection"/>
      </w:pPr>
      <w:bookmarkStart w:id="263" w:name="_Toc201234368"/>
      <w:bookmarkStart w:id="264" w:name="_Toc201234430"/>
      <w:bookmarkStart w:id="265" w:name="_Toc201234521"/>
      <w:r>
        <w:tab/>
        <w:t>[Division 2 inserted: SL 2025/98 r. 4.]</w:t>
      </w:r>
    </w:p>
    <w:p>
      <w:pPr>
        <w:pStyle w:val="yHeading3"/>
      </w:pPr>
      <w:bookmarkStart w:id="266" w:name="_Toc201318585"/>
      <w:bookmarkStart w:id="267" w:name="_Toc201318744"/>
      <w:bookmarkStart w:id="268" w:name="_Toc201566139"/>
      <w:r>
        <w:rPr>
          <w:rStyle w:val="CharSDivNo"/>
        </w:rPr>
        <w:lastRenderedPageBreak/>
        <w:t>Division 3</w:t>
      </w:r>
      <w:r>
        <w:t> — </w:t>
      </w:r>
      <w:r>
        <w:rPr>
          <w:rStyle w:val="CharSDivText"/>
        </w:rPr>
        <w:t>Authorised user payment</w:t>
      </w:r>
      <w:bookmarkEnd w:id="263"/>
      <w:bookmarkEnd w:id="264"/>
      <w:bookmarkEnd w:id="265"/>
      <w:bookmarkEnd w:id="266"/>
      <w:bookmarkEnd w:id="267"/>
      <w:bookmarkEnd w:id="268"/>
    </w:p>
    <w:p>
      <w:pPr>
        <w:pStyle w:val="yFootnoteheading"/>
        <w:keepNext/>
        <w:spacing w:after="60"/>
      </w:pPr>
      <w:r>
        <w:tab/>
        <w:t>[Heading inserted: SL 2025/98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01"/>
        <w:gridCol w:w="1134"/>
      </w:tblGrid>
      <w:tr>
        <w:trPr>
          <w:tblHeader/>
        </w:trPr>
        <w:tc>
          <w:tcPr>
            <w:tcW w:w="720" w:type="dxa"/>
            <w:noWrap/>
          </w:tcPr>
          <w:p>
            <w:pPr>
              <w:pStyle w:val="yTableNAm"/>
              <w:keepNext/>
              <w:rPr>
                <w:b/>
              </w:rPr>
            </w:pPr>
            <w:r>
              <w:rPr>
                <w:b/>
              </w:rPr>
              <w:t>Item</w:t>
            </w:r>
          </w:p>
        </w:tc>
        <w:tc>
          <w:tcPr>
            <w:tcW w:w="5001" w:type="dxa"/>
            <w:noWrap/>
          </w:tcPr>
          <w:p>
            <w:pPr>
              <w:pStyle w:val="yTableNAm"/>
              <w:keepNext/>
              <w:rPr>
                <w:b/>
              </w:rPr>
            </w:pPr>
            <w:r>
              <w:rPr>
                <w:b/>
              </w:rPr>
              <w:t>Description of fee</w:t>
            </w:r>
          </w:p>
        </w:tc>
        <w:tc>
          <w:tcPr>
            <w:tcW w:w="1134" w:type="dxa"/>
            <w:noWrap/>
            <w:vAlign w:val="bottom"/>
          </w:tcPr>
          <w:p>
            <w:pPr>
              <w:pStyle w:val="yTableNAm"/>
              <w:tabs>
                <w:tab w:val="clear" w:pos="567"/>
              </w:tabs>
              <w:ind w:right="35"/>
              <w:jc w:val="center"/>
              <w:rPr>
                <w:b/>
              </w:rPr>
            </w:pPr>
            <w:r>
              <w:rPr>
                <w:b/>
              </w:rPr>
              <w:t>Fee ($)</w:t>
            </w:r>
          </w:p>
        </w:tc>
      </w:tr>
      <w:tr>
        <w:tc>
          <w:tcPr>
            <w:tcW w:w="720" w:type="dxa"/>
            <w:noWrap/>
          </w:tcPr>
          <w:p>
            <w:pPr>
              <w:pStyle w:val="yTableNAm"/>
            </w:pPr>
            <w:r>
              <w:t>10.</w:t>
            </w:r>
          </w:p>
        </w:tc>
        <w:tc>
          <w:tcPr>
            <w:tcW w:w="5001" w:type="dxa"/>
            <w:noWrap/>
          </w:tcPr>
          <w:p>
            <w:pPr>
              <w:pStyle w:val="yTableNAm"/>
            </w:pPr>
            <w:r>
              <w:t>Annual authorised user payment (r. 31B(3)(a)(ii) and 31E(1)(b)) in respect of authorised vessel or nominated vessel</w:t>
            </w:r>
          </w:p>
        </w:tc>
        <w:tc>
          <w:tcPr>
            <w:tcW w:w="1134" w:type="dxa"/>
            <w:noWrap/>
            <w:vAlign w:val="bottom"/>
          </w:tcPr>
          <w:p>
            <w:pPr>
              <w:pStyle w:val="yTableNAm"/>
              <w:tabs>
                <w:tab w:val="clear" w:pos="567"/>
              </w:tabs>
              <w:ind w:right="34"/>
              <w:jc w:val="right"/>
            </w:pPr>
            <w:r>
              <w:t>62.50/m of length of vessel</w:t>
            </w:r>
          </w:p>
        </w:tc>
      </w:tr>
    </w:tbl>
    <w:p>
      <w:pPr>
        <w:pStyle w:val="yFootnotesection"/>
      </w:pPr>
      <w:r>
        <w:tab/>
        <w:t>[Division 3 inserted: SL 2025/98 r. 4.]</w:t>
      </w:r>
    </w:p>
    <w:bookmarkEnd w:id="244"/>
    <w:p>
      <w:pPr>
        <w:pStyle w:val="yFootnoteheading"/>
        <w:spacing w:after="60"/>
      </w:pPr>
    </w:p>
    <w:p>
      <w:pPr>
        <w:pStyle w:val="yScheduleHeading"/>
      </w:pPr>
      <w:bookmarkStart w:id="269" w:name="_Toc201314490"/>
      <w:bookmarkStart w:id="270" w:name="_Toc201318586"/>
      <w:bookmarkStart w:id="271" w:name="_Toc201318745"/>
      <w:bookmarkStart w:id="272" w:name="_Toc201566140"/>
      <w:r>
        <w:rPr>
          <w:rStyle w:val="CharSchNo"/>
        </w:rPr>
        <w:lastRenderedPageBreak/>
        <w:t>Schedule 8</w:t>
      </w:r>
      <w:r>
        <w:rPr>
          <w:rStyle w:val="CharSDivNo"/>
        </w:rPr>
        <w:t> </w:t>
      </w:r>
      <w:r>
        <w:t>—</w:t>
      </w:r>
      <w:r>
        <w:rPr>
          <w:rStyle w:val="CharSDivText"/>
        </w:rPr>
        <w:t> </w:t>
      </w:r>
      <w:r>
        <w:rPr>
          <w:rStyle w:val="CharSchText"/>
        </w:rPr>
        <w:t>Berthing fee for main jetty</w:t>
      </w:r>
      <w:bookmarkEnd w:id="269"/>
      <w:bookmarkEnd w:id="270"/>
      <w:bookmarkEnd w:id="271"/>
      <w:bookmarkEnd w:id="272"/>
    </w:p>
    <w:p>
      <w:pPr>
        <w:pStyle w:val="yShoulderClause"/>
      </w:pPr>
      <w:r>
        <w:t>[r. 38G]</w:t>
      </w:r>
    </w:p>
    <w:p>
      <w:pPr>
        <w:pStyle w:val="yFootnoteheading"/>
        <w:spacing w:after="60"/>
      </w:pPr>
      <w:r>
        <w:tab/>
        <w:t>[Heading inserted: SL 2022/124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2591"/>
        <w:gridCol w:w="3544"/>
      </w:tblGrid>
      <w:tr>
        <w:trPr>
          <w:cantSplit/>
          <w:tblHeader/>
        </w:trPr>
        <w:tc>
          <w:tcPr>
            <w:tcW w:w="720" w:type="dxa"/>
            <w:tcBorders>
              <w:top w:val="single" w:sz="4" w:space="0" w:color="auto"/>
              <w:left w:val="single" w:sz="4" w:space="0" w:color="auto"/>
              <w:bottom w:val="single" w:sz="4" w:space="0" w:color="auto"/>
              <w:right w:val="single" w:sz="4" w:space="0" w:color="auto"/>
            </w:tcBorders>
            <w:noWrap/>
          </w:tcPr>
          <w:p>
            <w:pPr>
              <w:pStyle w:val="yTableNAm"/>
              <w:keepNext/>
              <w:rPr>
                <w:b/>
              </w:rPr>
            </w:pPr>
            <w:r>
              <w:rPr>
                <w:b/>
              </w:rPr>
              <w:t>Item</w:t>
            </w:r>
          </w:p>
        </w:tc>
        <w:tc>
          <w:tcPr>
            <w:tcW w:w="6135" w:type="dxa"/>
            <w:gridSpan w:val="2"/>
            <w:tcBorders>
              <w:top w:val="single" w:sz="4" w:space="0" w:color="auto"/>
              <w:left w:val="single" w:sz="4" w:space="0" w:color="auto"/>
              <w:bottom w:val="single" w:sz="4" w:space="0" w:color="auto"/>
              <w:right w:val="single" w:sz="4" w:space="0" w:color="auto"/>
            </w:tcBorders>
            <w:noWrap/>
          </w:tcPr>
          <w:p>
            <w:pPr>
              <w:pStyle w:val="yTableNAm"/>
              <w:keepNext/>
              <w:rPr>
                <w:b/>
              </w:rPr>
            </w:pPr>
            <w:r>
              <w:rPr>
                <w:b/>
              </w:rPr>
              <w:t>Fee</w:t>
            </w:r>
          </w:p>
        </w:tc>
      </w:tr>
      <w:tr>
        <w:trPr>
          <w:cantSplit/>
        </w:trPr>
        <w:tc>
          <w:tcPr>
            <w:tcW w:w="720" w:type="dxa"/>
            <w:vMerge w:val="restart"/>
            <w:tcBorders>
              <w:top w:val="single" w:sz="4" w:space="0" w:color="auto"/>
              <w:right w:val="single" w:sz="4" w:space="0" w:color="auto"/>
            </w:tcBorders>
            <w:noWrap/>
          </w:tcPr>
          <w:p>
            <w:pPr>
              <w:pStyle w:val="yTableNAm"/>
              <w:keepNext/>
            </w:pPr>
            <w:r>
              <w:t>1.</w:t>
            </w:r>
          </w:p>
        </w:tc>
        <w:tc>
          <w:tcPr>
            <w:tcW w:w="6135" w:type="dxa"/>
            <w:gridSpan w:val="2"/>
            <w:tcBorders>
              <w:top w:val="single" w:sz="4" w:space="0" w:color="auto"/>
              <w:left w:val="single" w:sz="4" w:space="0" w:color="auto"/>
              <w:bottom w:val="nil"/>
              <w:right w:val="single" w:sz="4" w:space="0" w:color="auto"/>
            </w:tcBorders>
            <w:noWrap/>
          </w:tcPr>
          <w:p>
            <w:pPr>
              <w:pStyle w:val="yTableNAm"/>
              <w:keepNext/>
            </w:pPr>
            <w:r>
              <w:t>Berthing fee (r. 38G(1)) to berth a vessel at the main jetty overnight</w:t>
            </w:r>
          </w:p>
        </w:tc>
      </w:tr>
      <w:tr>
        <w:trPr>
          <w:cantSplit/>
        </w:trPr>
        <w:tc>
          <w:tcPr>
            <w:tcW w:w="720" w:type="dxa"/>
            <w:vMerge/>
            <w:noWrap/>
          </w:tcPr>
          <w:p>
            <w:pPr>
              <w:pStyle w:val="yTableNAm"/>
            </w:pPr>
          </w:p>
        </w:tc>
        <w:tc>
          <w:tcPr>
            <w:tcW w:w="2591" w:type="dxa"/>
            <w:tcBorders>
              <w:top w:val="nil"/>
              <w:bottom w:val="nil"/>
              <w:right w:val="nil"/>
            </w:tcBorders>
            <w:noWrap/>
          </w:tcPr>
          <w:p>
            <w:pPr>
              <w:pStyle w:val="yTableNAm"/>
              <w:tabs>
                <w:tab w:val="clear" w:pos="567"/>
                <w:tab w:val="left" w:pos="759"/>
              </w:tabs>
              <w:ind w:left="759" w:hanging="567"/>
            </w:pPr>
            <w:r>
              <w:t>(a)</w:t>
            </w:r>
            <w:r>
              <w:tab/>
              <w:t>Annual rate</w:t>
            </w:r>
          </w:p>
        </w:tc>
        <w:tc>
          <w:tcPr>
            <w:tcW w:w="3544" w:type="dxa"/>
            <w:tcBorders>
              <w:top w:val="nil"/>
              <w:left w:val="nil"/>
              <w:bottom w:val="nil"/>
              <w:right w:val="single" w:sz="4" w:space="0" w:color="auto"/>
            </w:tcBorders>
            <w:noWrap/>
            <w:vAlign w:val="bottom"/>
          </w:tcPr>
          <w:p>
            <w:pPr>
              <w:pStyle w:val="yTableNAm"/>
            </w:pPr>
            <w:r>
              <w:t>$71.00/passenger (based on surveyed passenger carrying capacity for the vessel’s highest class of survey)</w:t>
            </w:r>
          </w:p>
          <w:p>
            <w:pPr>
              <w:pStyle w:val="yTableNAm"/>
              <w:ind w:left="1140" w:hanging="1140"/>
            </w:pPr>
            <w:r>
              <w:rPr>
                <w:b/>
              </w:rPr>
              <w:t>plus</w:t>
            </w:r>
          </w:p>
          <w:p>
            <w:pPr>
              <w:pStyle w:val="yTableNAm"/>
            </w:pPr>
            <w:r>
              <w:t>if length of vessel is 18 m or less — $9 182.50</w:t>
            </w:r>
          </w:p>
          <w:p>
            <w:pPr>
              <w:pStyle w:val="yTableNAm"/>
            </w:pPr>
            <w:r>
              <w:t>if length of vessel is more than 18 m but less than 35 m — $510.00/m of length of vessel</w:t>
            </w:r>
          </w:p>
          <w:p>
            <w:pPr>
              <w:pStyle w:val="yTableNAm"/>
            </w:pPr>
            <w:r>
              <w:rPr>
                <w:szCs w:val="22"/>
              </w:rPr>
              <w:t>if length of vessel is 35 m or more — $815.00/m of length of vessel</w:t>
            </w:r>
          </w:p>
        </w:tc>
      </w:tr>
      <w:tr>
        <w:trPr>
          <w:cantSplit/>
        </w:trPr>
        <w:tc>
          <w:tcPr>
            <w:tcW w:w="720" w:type="dxa"/>
            <w:vMerge/>
            <w:noWrap/>
          </w:tcPr>
          <w:p>
            <w:pPr>
              <w:pStyle w:val="yTableNAm"/>
            </w:pPr>
          </w:p>
        </w:tc>
        <w:tc>
          <w:tcPr>
            <w:tcW w:w="2591" w:type="dxa"/>
            <w:tcBorders>
              <w:top w:val="nil"/>
              <w:bottom w:val="nil"/>
              <w:right w:val="nil"/>
            </w:tcBorders>
            <w:noWrap/>
          </w:tcPr>
          <w:p>
            <w:pPr>
              <w:pStyle w:val="yTableNAm"/>
              <w:tabs>
                <w:tab w:val="clear" w:pos="567"/>
                <w:tab w:val="left" w:pos="759"/>
              </w:tabs>
              <w:ind w:left="759" w:hanging="567"/>
            </w:pPr>
            <w:r>
              <w:t>(b)</w:t>
            </w:r>
            <w:r>
              <w:tab/>
              <w:t>Quarterly rate</w:t>
            </w:r>
          </w:p>
        </w:tc>
        <w:tc>
          <w:tcPr>
            <w:tcW w:w="3544" w:type="dxa"/>
            <w:tcBorders>
              <w:top w:val="nil"/>
              <w:left w:val="nil"/>
              <w:bottom w:val="nil"/>
              <w:right w:val="single" w:sz="4" w:space="0" w:color="auto"/>
            </w:tcBorders>
            <w:noWrap/>
            <w:vAlign w:val="bottom"/>
          </w:tcPr>
          <w:p>
            <w:pPr>
              <w:pStyle w:val="yTableNAm"/>
            </w:pPr>
            <w:r>
              <w:t>30% of the annual rate</w:t>
            </w:r>
          </w:p>
        </w:tc>
      </w:tr>
      <w:tr>
        <w:trPr>
          <w:cantSplit/>
        </w:trPr>
        <w:tc>
          <w:tcPr>
            <w:tcW w:w="720" w:type="dxa"/>
            <w:vMerge/>
            <w:noWrap/>
          </w:tcPr>
          <w:p>
            <w:pPr>
              <w:pStyle w:val="yTableNAm"/>
            </w:pPr>
          </w:p>
        </w:tc>
        <w:tc>
          <w:tcPr>
            <w:tcW w:w="2591" w:type="dxa"/>
            <w:tcBorders>
              <w:top w:val="nil"/>
              <w:bottom w:val="nil"/>
              <w:right w:val="nil"/>
            </w:tcBorders>
            <w:noWrap/>
          </w:tcPr>
          <w:p>
            <w:pPr>
              <w:pStyle w:val="yTableNAm"/>
              <w:tabs>
                <w:tab w:val="clear" w:pos="567"/>
                <w:tab w:val="left" w:pos="759"/>
              </w:tabs>
              <w:ind w:left="759" w:hanging="567"/>
            </w:pPr>
            <w:r>
              <w:t>(c)</w:t>
            </w:r>
            <w:r>
              <w:tab/>
              <w:t>Monthly rate</w:t>
            </w:r>
          </w:p>
        </w:tc>
        <w:tc>
          <w:tcPr>
            <w:tcW w:w="3544" w:type="dxa"/>
            <w:tcBorders>
              <w:top w:val="nil"/>
              <w:left w:val="nil"/>
              <w:bottom w:val="nil"/>
              <w:right w:val="single" w:sz="4" w:space="0" w:color="auto"/>
            </w:tcBorders>
            <w:noWrap/>
            <w:vAlign w:val="bottom"/>
          </w:tcPr>
          <w:p>
            <w:pPr>
              <w:pStyle w:val="yTableNAm"/>
            </w:pPr>
            <w:r>
              <w:t>12% of the annual rate</w:t>
            </w:r>
          </w:p>
        </w:tc>
      </w:tr>
      <w:tr>
        <w:trPr>
          <w:cantSplit/>
        </w:trPr>
        <w:tc>
          <w:tcPr>
            <w:tcW w:w="720" w:type="dxa"/>
            <w:vMerge/>
            <w:tcBorders>
              <w:bottom w:val="single" w:sz="4" w:space="0" w:color="auto"/>
            </w:tcBorders>
            <w:noWrap/>
          </w:tcPr>
          <w:p>
            <w:pPr>
              <w:pStyle w:val="yTableNAm"/>
            </w:pPr>
          </w:p>
        </w:tc>
        <w:tc>
          <w:tcPr>
            <w:tcW w:w="2591" w:type="dxa"/>
            <w:tcBorders>
              <w:top w:val="nil"/>
              <w:bottom w:val="single" w:sz="4" w:space="0" w:color="auto"/>
              <w:right w:val="nil"/>
            </w:tcBorders>
            <w:noWrap/>
          </w:tcPr>
          <w:p>
            <w:pPr>
              <w:pStyle w:val="yTableNAm"/>
              <w:tabs>
                <w:tab w:val="clear" w:pos="567"/>
                <w:tab w:val="left" w:pos="759"/>
              </w:tabs>
              <w:ind w:left="759" w:hanging="567"/>
            </w:pPr>
            <w:r>
              <w:t>(d)</w:t>
            </w:r>
            <w:r>
              <w:tab/>
              <w:t>Daily rate</w:t>
            </w:r>
          </w:p>
        </w:tc>
        <w:tc>
          <w:tcPr>
            <w:tcW w:w="3544" w:type="dxa"/>
            <w:tcBorders>
              <w:top w:val="nil"/>
              <w:left w:val="nil"/>
              <w:bottom w:val="single" w:sz="4" w:space="0" w:color="auto"/>
              <w:right w:val="single" w:sz="4" w:space="0" w:color="auto"/>
            </w:tcBorders>
            <w:noWrap/>
            <w:vAlign w:val="bottom"/>
          </w:tcPr>
          <w:p>
            <w:pPr>
              <w:pStyle w:val="yTableNAm"/>
            </w:pPr>
            <w:r>
              <w:t>1% of the annual rate</w:t>
            </w:r>
          </w:p>
        </w:tc>
      </w:tr>
      <w:tr>
        <w:trPr>
          <w:cantSplit/>
        </w:trPr>
        <w:tc>
          <w:tcPr>
            <w:tcW w:w="720" w:type="dxa"/>
            <w:vMerge w:val="restart"/>
            <w:tcBorders>
              <w:top w:val="single" w:sz="4" w:space="0" w:color="auto"/>
              <w:left w:val="single" w:sz="4" w:space="0" w:color="auto"/>
              <w:right w:val="single" w:sz="4" w:space="0" w:color="auto"/>
            </w:tcBorders>
            <w:noWrap/>
          </w:tcPr>
          <w:p>
            <w:pPr>
              <w:pStyle w:val="yTableNAm"/>
            </w:pPr>
            <w:r>
              <w:t>2.</w:t>
            </w:r>
          </w:p>
        </w:tc>
        <w:tc>
          <w:tcPr>
            <w:tcW w:w="6135" w:type="dxa"/>
            <w:gridSpan w:val="2"/>
            <w:tcBorders>
              <w:top w:val="single" w:sz="4" w:space="0" w:color="auto"/>
              <w:left w:val="single" w:sz="4" w:space="0" w:color="auto"/>
              <w:bottom w:val="nil"/>
              <w:right w:val="single" w:sz="4" w:space="0" w:color="auto"/>
            </w:tcBorders>
            <w:noWrap/>
          </w:tcPr>
          <w:p>
            <w:pPr>
              <w:pStyle w:val="yTableNAm"/>
              <w:keepNext/>
            </w:pPr>
            <w:r>
              <w:t>Berthing fee (r. 38G(1)) to berth a vessel at the main jetty for a portion of a day</w:t>
            </w:r>
          </w:p>
        </w:tc>
      </w:tr>
      <w:tr>
        <w:trPr>
          <w:cantSplit/>
        </w:trPr>
        <w:tc>
          <w:tcPr>
            <w:tcW w:w="720" w:type="dxa"/>
            <w:vMerge/>
            <w:tcBorders>
              <w:left w:val="single" w:sz="4" w:space="0" w:color="auto"/>
              <w:right w:val="single" w:sz="4" w:space="0" w:color="auto"/>
            </w:tcBorders>
            <w:noWrap/>
          </w:tcPr>
          <w:p>
            <w:pPr>
              <w:pStyle w:val="yTableNAm"/>
            </w:pPr>
          </w:p>
        </w:tc>
        <w:tc>
          <w:tcPr>
            <w:tcW w:w="2591" w:type="dxa"/>
            <w:tcBorders>
              <w:top w:val="nil"/>
              <w:left w:val="single" w:sz="4" w:space="0" w:color="auto"/>
              <w:bottom w:val="nil"/>
              <w:right w:val="nil"/>
            </w:tcBorders>
            <w:noWrap/>
          </w:tcPr>
          <w:p>
            <w:pPr>
              <w:pStyle w:val="yTableNAm"/>
              <w:tabs>
                <w:tab w:val="clear" w:pos="567"/>
                <w:tab w:val="left" w:pos="759"/>
              </w:tabs>
              <w:ind w:left="759" w:hanging="567"/>
            </w:pPr>
            <w:r>
              <w:t>(a)</w:t>
            </w:r>
            <w:r>
              <w:tab/>
              <w:t>Annual rate</w:t>
            </w:r>
          </w:p>
        </w:tc>
        <w:tc>
          <w:tcPr>
            <w:tcW w:w="3544" w:type="dxa"/>
            <w:tcBorders>
              <w:top w:val="nil"/>
              <w:left w:val="nil"/>
              <w:bottom w:val="nil"/>
              <w:right w:val="single" w:sz="4" w:space="0" w:color="auto"/>
            </w:tcBorders>
            <w:noWrap/>
            <w:vAlign w:val="bottom"/>
          </w:tcPr>
          <w:p>
            <w:pPr>
              <w:pStyle w:val="yTableNAm"/>
            </w:pPr>
            <w:r>
              <w:t>50% of the annual rate in item 1</w:t>
            </w:r>
          </w:p>
        </w:tc>
      </w:tr>
      <w:tr>
        <w:trPr>
          <w:cantSplit/>
        </w:trPr>
        <w:tc>
          <w:tcPr>
            <w:tcW w:w="720" w:type="dxa"/>
            <w:vMerge/>
            <w:tcBorders>
              <w:left w:val="single" w:sz="4" w:space="0" w:color="auto"/>
              <w:right w:val="single" w:sz="4" w:space="0" w:color="auto"/>
            </w:tcBorders>
            <w:noWrap/>
          </w:tcPr>
          <w:p>
            <w:pPr>
              <w:pStyle w:val="yTableNAm"/>
            </w:pPr>
          </w:p>
        </w:tc>
        <w:tc>
          <w:tcPr>
            <w:tcW w:w="2591" w:type="dxa"/>
            <w:tcBorders>
              <w:top w:val="nil"/>
              <w:left w:val="single" w:sz="4" w:space="0" w:color="auto"/>
              <w:bottom w:val="nil"/>
              <w:right w:val="nil"/>
            </w:tcBorders>
            <w:noWrap/>
          </w:tcPr>
          <w:p>
            <w:pPr>
              <w:pStyle w:val="yTableNAm"/>
              <w:tabs>
                <w:tab w:val="clear" w:pos="567"/>
                <w:tab w:val="left" w:pos="759"/>
              </w:tabs>
              <w:ind w:left="759" w:hanging="567"/>
            </w:pPr>
            <w:r>
              <w:t>(b)</w:t>
            </w:r>
            <w:r>
              <w:tab/>
              <w:t>Quarterly rate</w:t>
            </w:r>
          </w:p>
        </w:tc>
        <w:tc>
          <w:tcPr>
            <w:tcW w:w="3544" w:type="dxa"/>
            <w:tcBorders>
              <w:top w:val="nil"/>
              <w:left w:val="nil"/>
              <w:bottom w:val="nil"/>
              <w:right w:val="single" w:sz="4" w:space="0" w:color="auto"/>
            </w:tcBorders>
            <w:noWrap/>
            <w:vAlign w:val="bottom"/>
          </w:tcPr>
          <w:p>
            <w:pPr>
              <w:pStyle w:val="yTableNAm"/>
            </w:pPr>
            <w:r>
              <w:t>50% of the quarterly rate in item 1</w:t>
            </w:r>
          </w:p>
        </w:tc>
      </w:tr>
      <w:tr>
        <w:trPr>
          <w:cantSplit/>
        </w:trPr>
        <w:tc>
          <w:tcPr>
            <w:tcW w:w="720" w:type="dxa"/>
            <w:vMerge/>
            <w:tcBorders>
              <w:left w:val="single" w:sz="4" w:space="0" w:color="auto"/>
              <w:right w:val="single" w:sz="4" w:space="0" w:color="auto"/>
            </w:tcBorders>
            <w:noWrap/>
          </w:tcPr>
          <w:p>
            <w:pPr>
              <w:pStyle w:val="yTableNAm"/>
            </w:pPr>
          </w:p>
        </w:tc>
        <w:tc>
          <w:tcPr>
            <w:tcW w:w="2591" w:type="dxa"/>
            <w:tcBorders>
              <w:top w:val="nil"/>
              <w:left w:val="single" w:sz="4" w:space="0" w:color="auto"/>
              <w:bottom w:val="nil"/>
              <w:right w:val="nil"/>
            </w:tcBorders>
            <w:noWrap/>
          </w:tcPr>
          <w:p>
            <w:pPr>
              <w:pStyle w:val="yTableNAm"/>
              <w:tabs>
                <w:tab w:val="clear" w:pos="567"/>
                <w:tab w:val="left" w:pos="759"/>
              </w:tabs>
              <w:ind w:left="759" w:hanging="567"/>
            </w:pPr>
            <w:r>
              <w:t>(c)</w:t>
            </w:r>
            <w:r>
              <w:tab/>
              <w:t>Monthly rate</w:t>
            </w:r>
          </w:p>
        </w:tc>
        <w:tc>
          <w:tcPr>
            <w:tcW w:w="3544" w:type="dxa"/>
            <w:tcBorders>
              <w:top w:val="nil"/>
              <w:left w:val="nil"/>
              <w:bottom w:val="nil"/>
              <w:right w:val="single" w:sz="4" w:space="0" w:color="auto"/>
            </w:tcBorders>
            <w:noWrap/>
            <w:vAlign w:val="bottom"/>
          </w:tcPr>
          <w:p>
            <w:pPr>
              <w:pStyle w:val="yTableNAm"/>
            </w:pPr>
            <w:r>
              <w:t>50% of the monthly rate in item 1</w:t>
            </w:r>
          </w:p>
        </w:tc>
      </w:tr>
      <w:tr>
        <w:trPr>
          <w:cantSplit/>
        </w:trPr>
        <w:tc>
          <w:tcPr>
            <w:tcW w:w="720" w:type="dxa"/>
            <w:vMerge/>
            <w:tcBorders>
              <w:left w:val="single" w:sz="4" w:space="0" w:color="auto"/>
              <w:bottom w:val="single" w:sz="4" w:space="0" w:color="auto"/>
              <w:right w:val="single" w:sz="4" w:space="0" w:color="auto"/>
            </w:tcBorders>
            <w:noWrap/>
          </w:tcPr>
          <w:p>
            <w:pPr>
              <w:pStyle w:val="yTableNAm"/>
            </w:pPr>
          </w:p>
        </w:tc>
        <w:tc>
          <w:tcPr>
            <w:tcW w:w="2591" w:type="dxa"/>
            <w:tcBorders>
              <w:top w:val="nil"/>
              <w:left w:val="single" w:sz="4" w:space="0" w:color="auto"/>
              <w:bottom w:val="single" w:sz="4" w:space="0" w:color="auto"/>
              <w:right w:val="nil"/>
            </w:tcBorders>
            <w:noWrap/>
          </w:tcPr>
          <w:p>
            <w:pPr>
              <w:pStyle w:val="yTableNAm"/>
              <w:keepNext/>
              <w:tabs>
                <w:tab w:val="clear" w:pos="567"/>
                <w:tab w:val="left" w:pos="759"/>
              </w:tabs>
              <w:ind w:left="759" w:hanging="567"/>
            </w:pPr>
            <w:r>
              <w:t>(d)</w:t>
            </w:r>
            <w:r>
              <w:tab/>
              <w:t>Daily rate</w:t>
            </w:r>
          </w:p>
        </w:tc>
        <w:tc>
          <w:tcPr>
            <w:tcW w:w="3544" w:type="dxa"/>
            <w:tcBorders>
              <w:top w:val="nil"/>
              <w:left w:val="nil"/>
              <w:bottom w:val="single" w:sz="4" w:space="0" w:color="auto"/>
              <w:right w:val="single" w:sz="4" w:space="0" w:color="auto"/>
            </w:tcBorders>
            <w:noWrap/>
            <w:vAlign w:val="bottom"/>
          </w:tcPr>
          <w:p>
            <w:pPr>
              <w:pStyle w:val="yTableNAm"/>
              <w:keepNext/>
            </w:pPr>
            <w:r>
              <w:t>50% of the daily rate in item 1</w:t>
            </w:r>
          </w:p>
        </w:tc>
      </w:tr>
    </w:tbl>
    <w:p>
      <w:pPr>
        <w:pStyle w:val="yFootnotesection"/>
      </w:pPr>
      <w:r>
        <w:lastRenderedPageBreak/>
        <w:tab/>
        <w:t>[Schedule 8 inserted: SL 2022/124 r. 4; amended: SL 2023/60 r. 5; SL 2024/112 r. 5; SL 2025/98 r.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273" w:name="_Toc201314491"/>
      <w:bookmarkStart w:id="274" w:name="_Toc201318587"/>
      <w:bookmarkStart w:id="275" w:name="_Toc201318746"/>
      <w:bookmarkStart w:id="276" w:name="_Toc201566141"/>
      <w:r>
        <w:lastRenderedPageBreak/>
        <w:t>Notes</w:t>
      </w:r>
      <w:bookmarkEnd w:id="273"/>
      <w:bookmarkEnd w:id="274"/>
      <w:bookmarkEnd w:id="275"/>
      <w:bookmarkEnd w:id="276"/>
    </w:p>
    <w:p>
      <w:pPr>
        <w:pStyle w:val="nStatement"/>
      </w:pPr>
      <w:r>
        <w:t xml:space="preserve">This is a compilation of the </w:t>
      </w:r>
      <w:r>
        <w:rPr>
          <w:i/>
          <w:noProof/>
        </w:rPr>
        <w:t>Rottnest Island Regulations 1988</w:t>
      </w:r>
      <w:r>
        <w:t xml:space="preserve"> and includes amendments made by other written laws. For provisions that have come into operation, and for information about any reprints, see the compilation table.</w:t>
      </w:r>
    </w:p>
    <w:p>
      <w:pPr>
        <w:pStyle w:val="nHeading3"/>
      </w:pPr>
      <w:bookmarkStart w:id="277" w:name="_Toc201566142"/>
      <w:r>
        <w:t>Compilation table</w:t>
      </w:r>
      <w:bookmarkEnd w:id="27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Rottnest Island Regulations 1988</w:t>
            </w:r>
          </w:p>
        </w:tc>
        <w:tc>
          <w:tcPr>
            <w:tcW w:w="1276" w:type="dxa"/>
          </w:tcPr>
          <w:p>
            <w:pPr>
              <w:pStyle w:val="nTable"/>
              <w:spacing w:after="40"/>
            </w:pPr>
            <w:r>
              <w:t>30 May 1988 p. 1825</w:t>
            </w:r>
            <w:r>
              <w:noBreakHyphen/>
              <w:t>46</w:t>
            </w:r>
          </w:p>
        </w:tc>
        <w:tc>
          <w:tcPr>
            <w:tcW w:w="2693" w:type="dxa"/>
          </w:tcPr>
          <w:p>
            <w:pPr>
              <w:pStyle w:val="nTable"/>
              <w:spacing w:after="40"/>
              <w:rPr>
                <w:b/>
              </w:rPr>
            </w:pPr>
            <w:r>
              <w:t xml:space="preserve">30 May 1988 (see r. 2 and </w:t>
            </w:r>
            <w:r>
              <w:rPr>
                <w:i/>
                <w:iCs/>
              </w:rPr>
              <w:t>Gazette</w:t>
            </w:r>
            <w:r>
              <w:t xml:space="preserve"> 30 May 1988 p. 1823)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Rottnest Island Amendment Regulations 1990</w:t>
            </w:r>
            <w:r>
              <w:rPr>
                <w:iCs/>
                <w:vertAlign w:val="superscript"/>
              </w:rPr>
              <w:t> 3</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1997</w:t>
            </w:r>
            <w:r>
              <w:rPr>
                <w:iCs/>
                <w:vertAlign w:val="superscript"/>
              </w:rPr>
              <w:t> 4</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iCs/>
              </w:rPr>
            </w:pPr>
            <w:r>
              <w:rPr>
                <w:b/>
                <w:bCs/>
              </w:rPr>
              <w:t xml:space="preserve">Reprint of the </w:t>
            </w:r>
            <w:r>
              <w:rPr>
                <w:b/>
                <w:bCs/>
                <w:i/>
              </w:rPr>
              <w:t xml:space="preserve">Rottnest Island Regulations 1988 </w:t>
            </w:r>
            <w:r>
              <w:rPr>
                <w:b/>
                <w:bCs/>
                <w:iCs/>
              </w:rPr>
              <w:t>as at 1 Aug 1997</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2003</w:t>
            </w:r>
            <w:r>
              <w:rPr>
                <w:vertAlign w:val="superscript"/>
              </w:rPr>
              <w:t xml:space="preserve"> 5</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Rottnest Island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2: The </w:t>
            </w:r>
            <w:r>
              <w:rPr>
                <w:b/>
                <w:bCs/>
                <w:i/>
              </w:rPr>
              <w:t xml:space="preserve">Rottnest Island Regulations 1988 </w:t>
            </w:r>
            <w:r>
              <w:rPr>
                <w:b/>
                <w:bCs/>
                <w:iCs/>
              </w:rPr>
              <w:t>as at 14 Jan 2005</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rPr>
              <w:t xml:space="preserve">Reprint 3: The </w:t>
            </w:r>
            <w:r>
              <w:rPr>
                <w:b/>
                <w:bCs/>
                <w:i/>
              </w:rPr>
              <w:t xml:space="preserve">Rottnest Island Regulations 1988 </w:t>
            </w:r>
            <w:r>
              <w:rPr>
                <w:b/>
                <w:bCs/>
                <w:iCs/>
              </w:rPr>
              <w:t>as at 21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Rottnest Island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4: The </w:t>
            </w:r>
            <w:r>
              <w:rPr>
                <w:b/>
                <w:bCs/>
                <w:i/>
              </w:rPr>
              <w:t xml:space="preserve">Rottnest Island Regulations 1988 </w:t>
            </w:r>
            <w:r>
              <w:rPr>
                <w:b/>
                <w:bCs/>
                <w:iCs/>
              </w:rPr>
              <w:t>as at 18 Mar 2011</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2013</w:t>
            </w:r>
          </w:p>
        </w:tc>
        <w:tc>
          <w:tcPr>
            <w:tcW w:w="1276" w:type="dxa"/>
          </w:tcPr>
          <w:p>
            <w:pPr>
              <w:pStyle w:val="nTable"/>
              <w:spacing w:after="40"/>
              <w:rPr>
                <w:b/>
              </w:rPr>
            </w:pPr>
            <w:r>
              <w:t>18 Jun 2013 p. 2307-8</w:t>
            </w:r>
          </w:p>
        </w:tc>
        <w:tc>
          <w:tcPr>
            <w:tcW w:w="2693" w:type="dxa"/>
          </w:tcPr>
          <w:p>
            <w:pPr>
              <w:pStyle w:val="nTable"/>
              <w:spacing w:after="40"/>
              <w:rPr>
                <w:b/>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2013</w:t>
            </w:r>
          </w:p>
        </w:tc>
        <w:tc>
          <w:tcPr>
            <w:tcW w:w="1276" w:type="dxa"/>
          </w:tcPr>
          <w:p>
            <w:pPr>
              <w:pStyle w:val="nTable"/>
              <w:spacing w:after="40"/>
            </w:pPr>
            <w:r>
              <w:t>24 Jan 2014 p. 113-14</w:t>
            </w:r>
          </w:p>
        </w:tc>
        <w:tc>
          <w:tcPr>
            <w:tcW w:w="2693" w:type="dxa"/>
          </w:tcPr>
          <w:p>
            <w:pPr>
              <w:pStyle w:val="nTable"/>
              <w:spacing w:after="40"/>
              <w:rPr>
                <w:b/>
              </w:rPr>
            </w:pPr>
            <w:r>
              <w:t>r. 1 and 2: 24 Jan 2014 (see r. 2(a));</w:t>
            </w:r>
            <w:r>
              <w:br/>
              <w:t>Regulations other than r. 1 and 2: 25 Jan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
              </w:rPr>
            </w:pPr>
            <w:r>
              <w:rPr>
                <w:b/>
                <w:bCs/>
              </w:rPr>
              <w:t xml:space="preserve">Reprint 5: The </w:t>
            </w:r>
            <w:r>
              <w:rPr>
                <w:b/>
                <w:bCs/>
                <w:i/>
              </w:rPr>
              <w:t xml:space="preserve">Rottnest Island Regulations 1988 </w:t>
            </w:r>
            <w:r>
              <w:rPr>
                <w:b/>
                <w:bCs/>
                <w:iCs/>
              </w:rPr>
              <w:t>as at 4 Apr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b/>
              </w:rPr>
            </w:pPr>
            <w:r>
              <w:rPr>
                <w:bCs/>
                <w:snapToGrid w:val="0"/>
                <w:spacing w:val="-2"/>
              </w:rPr>
              <w:t>r. 1 and 2: 20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bCs/>
                <w:snapToGrid w:val="0"/>
                <w:spacing w:val="-2"/>
              </w:rPr>
            </w:pPr>
            <w:r>
              <w:rPr>
                <w:bCs/>
                <w:snapToGrid w:val="0"/>
                <w:spacing w:val="-2"/>
              </w:rPr>
              <w:t xml:space="preserve">r. 1 and 2: </w:t>
            </w:r>
            <w:r>
              <w:t>5 Jun 2015</w:t>
            </w:r>
            <w:r>
              <w:rPr>
                <w:bCs/>
                <w:snapToGrid w:val="0"/>
                <w:spacing w:val="-2"/>
              </w:rPr>
              <w:t xml:space="preserve"> (see r. 2(a));</w:t>
            </w:r>
            <w:r>
              <w:rPr>
                <w:bCs/>
                <w:snapToGrid w:val="0"/>
                <w:spacing w:val="-2"/>
              </w:rPr>
              <w:br/>
              <w:t xml:space="preserve">Regulations other than r. 1 and 2: </w:t>
            </w:r>
            <w:r>
              <w:t>1 Jul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2015</w:t>
            </w:r>
          </w:p>
        </w:tc>
        <w:tc>
          <w:tcPr>
            <w:tcW w:w="1276" w:type="dxa"/>
          </w:tcPr>
          <w:p>
            <w:pPr>
              <w:pStyle w:val="nTable"/>
              <w:spacing w:after="40"/>
            </w:pPr>
            <w:r>
              <w:t>22 Sep 2015 p. 3849</w:t>
            </w:r>
            <w:r>
              <w:noBreakHyphen/>
              <w:t>63</w:t>
            </w:r>
          </w:p>
        </w:tc>
        <w:tc>
          <w:tcPr>
            <w:tcW w:w="2693" w:type="dxa"/>
          </w:tcPr>
          <w:p>
            <w:pPr>
              <w:pStyle w:val="nTable"/>
              <w:spacing w:after="40"/>
              <w:rPr>
                <w:bCs/>
                <w:snapToGrid w:val="0"/>
                <w:spacing w:val="-2"/>
              </w:rPr>
            </w:pPr>
            <w:r>
              <w:rPr>
                <w:bCs/>
                <w:snapToGrid w:val="0"/>
                <w:spacing w:val="-2"/>
              </w:rPr>
              <w:t xml:space="preserve">r. 1 and 2: </w:t>
            </w:r>
            <w:r>
              <w:t>22 Sep 2015</w:t>
            </w:r>
            <w:r>
              <w:rPr>
                <w:bCs/>
                <w:snapToGrid w:val="0"/>
                <w:spacing w:val="-2"/>
              </w:rPr>
              <w:t xml:space="preserve"> (see r. 2(a));</w:t>
            </w:r>
            <w:r>
              <w:rPr>
                <w:bCs/>
                <w:snapToGrid w:val="0"/>
                <w:spacing w:val="-2"/>
              </w:rPr>
              <w:br/>
              <w:t xml:space="preserve">Regulations other than r. 1 and 2: </w:t>
            </w:r>
            <w:r>
              <w:t>23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2016</w:t>
            </w:r>
          </w:p>
        </w:tc>
        <w:tc>
          <w:tcPr>
            <w:tcW w:w="1276" w:type="dxa"/>
          </w:tcPr>
          <w:p>
            <w:pPr>
              <w:pStyle w:val="nTable"/>
              <w:spacing w:after="40"/>
            </w:pPr>
            <w:r>
              <w:t>5 Apr 2016 p. 1028</w:t>
            </w:r>
            <w:r>
              <w:noBreakHyphen/>
              <w:t>9</w:t>
            </w:r>
          </w:p>
        </w:tc>
        <w:tc>
          <w:tcPr>
            <w:tcW w:w="2693" w:type="dxa"/>
          </w:tcPr>
          <w:p>
            <w:pPr>
              <w:pStyle w:val="nTable"/>
              <w:spacing w:after="40"/>
              <w:rPr>
                <w:bCs/>
                <w:snapToGrid w:val="0"/>
                <w:spacing w:val="-2"/>
              </w:rPr>
            </w:pPr>
            <w:r>
              <w:rPr>
                <w:bCs/>
                <w:snapToGrid w:val="0"/>
                <w:spacing w:val="-2"/>
              </w:rPr>
              <w:t xml:space="preserve">r. 1 and 2: </w:t>
            </w:r>
            <w:r>
              <w:t xml:space="preserve">5 Apr 2016 </w:t>
            </w:r>
            <w:r>
              <w:rPr>
                <w:bCs/>
                <w:snapToGrid w:val="0"/>
                <w:spacing w:val="-2"/>
              </w:rPr>
              <w:t>(see r. 2(a));</w:t>
            </w:r>
            <w:r>
              <w:rPr>
                <w:bCs/>
                <w:snapToGrid w:val="0"/>
                <w:spacing w:val="-2"/>
              </w:rPr>
              <w:br/>
              <w:t xml:space="preserve">Regulations other than r. 1 and 2: </w:t>
            </w:r>
            <w:r>
              <w:t>6 Apr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2016</w:t>
            </w:r>
          </w:p>
        </w:tc>
        <w:tc>
          <w:tcPr>
            <w:tcW w:w="1276" w:type="dxa"/>
          </w:tcPr>
          <w:p>
            <w:pPr>
              <w:pStyle w:val="nTable"/>
              <w:spacing w:after="40"/>
            </w:pPr>
            <w:r>
              <w:t>17 Jun 2016 p. 2112</w:t>
            </w:r>
            <w:r>
              <w:noBreakHyphen/>
              <w:t>14</w:t>
            </w:r>
          </w:p>
        </w:tc>
        <w:tc>
          <w:tcPr>
            <w:tcW w:w="2693" w:type="dxa"/>
          </w:tcPr>
          <w:p>
            <w:pPr>
              <w:pStyle w:val="nTable"/>
              <w:spacing w:after="40"/>
              <w:rPr>
                <w:bCs/>
                <w:snapToGrid w:val="0"/>
                <w:spacing w:val="-2"/>
              </w:rPr>
            </w:pPr>
            <w:r>
              <w:rPr>
                <w:bCs/>
                <w:snapToGrid w:val="0"/>
                <w:spacing w:val="-2"/>
              </w:rPr>
              <w:t xml:space="preserve">r. 1 and 2: </w:t>
            </w:r>
            <w:r>
              <w:t xml:space="preserve">17 Jun 2016 </w:t>
            </w:r>
            <w:r>
              <w:rPr>
                <w:bCs/>
                <w:snapToGrid w:val="0"/>
                <w:spacing w:val="-2"/>
              </w:rPr>
              <w:t>(see r. 2(a));</w:t>
            </w:r>
            <w:r>
              <w:rPr>
                <w:bCs/>
                <w:snapToGrid w:val="0"/>
                <w:spacing w:val="-2"/>
              </w:rPr>
              <w:br/>
              <w:t>Regulations other than r. 1 and 2: 1</w:t>
            </w:r>
            <w:r>
              <w:t> Jul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2016</w:t>
            </w:r>
          </w:p>
        </w:tc>
        <w:tc>
          <w:tcPr>
            <w:tcW w:w="1276" w:type="dxa"/>
          </w:tcPr>
          <w:p>
            <w:pPr>
              <w:pStyle w:val="nTable"/>
              <w:spacing w:after="40"/>
            </w:pPr>
            <w:r>
              <w:t>25 Oct 2016 p. 4874-7</w:t>
            </w:r>
          </w:p>
        </w:tc>
        <w:tc>
          <w:tcPr>
            <w:tcW w:w="2693" w:type="dxa"/>
          </w:tcPr>
          <w:p>
            <w:pPr>
              <w:pStyle w:val="nTable"/>
              <w:spacing w:after="40"/>
              <w:rPr>
                <w:bCs/>
                <w:snapToGrid w:val="0"/>
                <w:spacing w:val="-2"/>
              </w:rPr>
            </w:pPr>
            <w:r>
              <w:rPr>
                <w:bCs/>
                <w:snapToGrid w:val="0"/>
                <w:spacing w:val="-2"/>
              </w:rPr>
              <w:t xml:space="preserve">r. 1 and 2: </w:t>
            </w:r>
            <w:r>
              <w:t xml:space="preserve">25 Oct 2016 </w:t>
            </w:r>
            <w:r>
              <w:rPr>
                <w:bCs/>
                <w:snapToGrid w:val="0"/>
                <w:spacing w:val="-2"/>
              </w:rPr>
              <w:t>(see r. 2(a));</w:t>
            </w:r>
            <w:r>
              <w:rPr>
                <w:bCs/>
                <w:snapToGrid w:val="0"/>
                <w:spacing w:val="-2"/>
              </w:rPr>
              <w:br/>
              <w:t>Regulations other than r. 1 and 2: 26 Oct</w:t>
            </w:r>
            <w:r>
              <w:t>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2017</w:t>
            </w:r>
            <w:r>
              <w:t xml:space="preserve"> </w:t>
            </w:r>
          </w:p>
        </w:tc>
        <w:tc>
          <w:tcPr>
            <w:tcW w:w="1276" w:type="dxa"/>
          </w:tcPr>
          <w:p>
            <w:pPr>
              <w:pStyle w:val="nTable"/>
              <w:spacing w:after="40"/>
            </w:pPr>
            <w:r>
              <w:t>2 May 2017 p. 2305</w:t>
            </w:r>
            <w:r>
              <w:noBreakHyphen/>
              <w:t>6</w:t>
            </w:r>
          </w:p>
        </w:tc>
        <w:tc>
          <w:tcPr>
            <w:tcW w:w="2693" w:type="dxa"/>
          </w:tcPr>
          <w:p>
            <w:pPr>
              <w:pStyle w:val="nTable"/>
              <w:spacing w:after="40"/>
              <w:rPr>
                <w:bCs/>
                <w:snapToGrid w:val="0"/>
                <w:spacing w:val="-2"/>
              </w:rPr>
            </w:pPr>
            <w:r>
              <w:rPr>
                <w:bCs/>
                <w:snapToGrid w:val="0"/>
                <w:spacing w:val="-2"/>
              </w:rPr>
              <w:t xml:space="preserve">r. 1 and 2: </w:t>
            </w:r>
            <w:r>
              <w:rPr>
                <w:bCs/>
                <w:snapToGrid w:val="0"/>
              </w:rPr>
              <w:t>2 May 2017</w:t>
            </w:r>
            <w:r>
              <w:rPr>
                <w:bCs/>
                <w:snapToGrid w:val="0"/>
                <w:spacing w:val="-2"/>
              </w:rPr>
              <w:t xml:space="preserve"> (see r. 2(a));</w:t>
            </w:r>
            <w:r>
              <w:rPr>
                <w:bCs/>
                <w:snapToGrid w:val="0"/>
                <w:spacing w:val="-2"/>
              </w:rPr>
              <w:br/>
              <w:t xml:space="preserve">Regulations other than r. 1 and 2: </w:t>
            </w:r>
            <w:r>
              <w:t>1 Jul 2017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6: The </w:t>
            </w:r>
            <w:r>
              <w:rPr>
                <w:b/>
                <w:bCs/>
                <w:i/>
                <w:noProof/>
                <w:snapToGrid w:val="0"/>
                <w:spacing w:val="-2"/>
              </w:rPr>
              <w:t>Rottnest Island Regulations 1988</w:t>
            </w:r>
            <w:r>
              <w:rPr>
                <w:b/>
                <w:bCs/>
                <w:snapToGrid w:val="0"/>
                <w:spacing w:val="-2"/>
              </w:rPr>
              <w:t xml:space="preserve"> as at 12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2018</w:t>
            </w:r>
            <w:r>
              <w:t xml:space="preserve"> </w:t>
            </w:r>
          </w:p>
        </w:tc>
        <w:tc>
          <w:tcPr>
            <w:tcW w:w="1276" w:type="dxa"/>
          </w:tcPr>
          <w:p>
            <w:pPr>
              <w:pStyle w:val="nTable"/>
              <w:spacing w:after="40"/>
            </w:pPr>
            <w:r>
              <w:t>22 Jun 2018 p. 2182</w:t>
            </w:r>
            <w:r>
              <w:noBreakHyphen/>
              <w:t>3</w:t>
            </w:r>
          </w:p>
        </w:tc>
        <w:tc>
          <w:tcPr>
            <w:tcW w:w="2693" w:type="dxa"/>
          </w:tcPr>
          <w:p>
            <w:pPr>
              <w:pStyle w:val="nTable"/>
              <w:spacing w:after="40"/>
              <w:rPr>
                <w:bCs/>
                <w:snapToGrid w:val="0"/>
                <w:spacing w:val="-2"/>
              </w:rPr>
            </w:pPr>
            <w:r>
              <w:rPr>
                <w:bCs/>
                <w:snapToGrid w:val="0"/>
                <w:spacing w:val="-2"/>
              </w:rPr>
              <w:t xml:space="preserve">r. 1 and 2: </w:t>
            </w:r>
            <w:r>
              <w:rPr>
                <w:bCs/>
                <w:snapToGrid w:val="0"/>
              </w:rPr>
              <w:t>22 Jun 2018</w:t>
            </w:r>
            <w:r>
              <w:rPr>
                <w:bCs/>
                <w:snapToGrid w:val="0"/>
                <w:spacing w:val="-2"/>
              </w:rPr>
              <w:t xml:space="preserve"> (see r. 2(a));</w:t>
            </w:r>
            <w:r>
              <w:rPr>
                <w:bCs/>
                <w:snapToGrid w:val="0"/>
                <w:spacing w:val="-2"/>
              </w:rPr>
              <w:br/>
              <w:t xml:space="preserve">Regulations other than r. 1 and 2: </w:t>
            </w:r>
            <w:r>
              <w:t>1 Jul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2018</w:t>
            </w:r>
          </w:p>
        </w:tc>
        <w:tc>
          <w:tcPr>
            <w:tcW w:w="1276" w:type="dxa"/>
          </w:tcPr>
          <w:p>
            <w:pPr>
              <w:pStyle w:val="nTable"/>
              <w:spacing w:after="40"/>
            </w:pPr>
            <w:r>
              <w:t>21 Dec 2018 p. 4854</w:t>
            </w:r>
            <w:r>
              <w:noBreakHyphen/>
              <w:t>6</w:t>
            </w:r>
          </w:p>
        </w:tc>
        <w:tc>
          <w:tcPr>
            <w:tcW w:w="2693" w:type="dxa"/>
          </w:tcPr>
          <w:p>
            <w:pPr>
              <w:pStyle w:val="nTable"/>
              <w:spacing w:after="40"/>
              <w:rPr>
                <w:bCs/>
                <w:snapToGrid w:val="0"/>
                <w:spacing w:val="-2"/>
              </w:rPr>
            </w:pPr>
            <w:r>
              <w:rPr>
                <w:bCs/>
                <w:snapToGrid w:val="0"/>
                <w:spacing w:val="-2"/>
              </w:rPr>
              <w:t xml:space="preserve">r. 1 and 2: </w:t>
            </w:r>
            <w:r>
              <w:rPr>
                <w:bCs/>
                <w:snapToGrid w:val="0"/>
              </w:rPr>
              <w:t>21 Dec 2018</w:t>
            </w:r>
            <w:r>
              <w:rPr>
                <w:bCs/>
                <w:snapToGrid w:val="0"/>
                <w:spacing w:val="-2"/>
              </w:rPr>
              <w:t xml:space="preserve"> (see r. 2(a));</w:t>
            </w:r>
            <w:r>
              <w:rPr>
                <w:bCs/>
                <w:snapToGrid w:val="0"/>
                <w:spacing w:val="-2"/>
              </w:rPr>
              <w:br/>
              <w:t>Regulations other than r. 1 and 2: 22</w:t>
            </w:r>
            <w:r>
              <w:t> Dec 2018 (see r. 2(b))</w:t>
            </w:r>
          </w:p>
        </w:tc>
      </w:tr>
      <w:tr>
        <w:trPr>
          <w:cantSplit/>
        </w:trPr>
        <w:tc>
          <w:tcPr>
            <w:tcW w:w="3118" w:type="dxa"/>
            <w:tcBorders>
              <w:top w:val="nil"/>
              <w:bottom w:val="nil"/>
            </w:tcBorders>
          </w:tcPr>
          <w:p>
            <w:pPr>
              <w:pStyle w:val="nTable"/>
              <w:spacing w:after="40"/>
              <w:rPr>
                <w:i/>
              </w:rPr>
            </w:pPr>
            <w:r>
              <w:rPr>
                <w:i/>
              </w:rPr>
              <w:t>Rottnest Island Amendment Regulations 2019</w:t>
            </w:r>
          </w:p>
        </w:tc>
        <w:tc>
          <w:tcPr>
            <w:tcW w:w="1276" w:type="dxa"/>
            <w:tcBorders>
              <w:top w:val="nil"/>
              <w:bottom w:val="nil"/>
            </w:tcBorders>
          </w:tcPr>
          <w:p>
            <w:pPr>
              <w:pStyle w:val="nTable"/>
              <w:spacing w:after="40"/>
            </w:pPr>
            <w:r>
              <w:t>9 Aug 2019 p. 3026-7</w:t>
            </w:r>
          </w:p>
        </w:tc>
        <w:tc>
          <w:tcPr>
            <w:tcW w:w="2693" w:type="dxa"/>
            <w:tcBorders>
              <w:top w:val="nil"/>
              <w:bottom w:val="nil"/>
            </w:tcBorders>
          </w:tcPr>
          <w:p>
            <w:pPr>
              <w:pStyle w:val="nTable"/>
              <w:spacing w:after="40"/>
              <w:rPr>
                <w:bCs/>
                <w:snapToGrid w:val="0"/>
                <w:spacing w:val="-2"/>
              </w:rPr>
            </w:pPr>
            <w:r>
              <w:rPr>
                <w:bCs/>
                <w:snapToGrid w:val="0"/>
                <w:spacing w:val="-2"/>
              </w:rPr>
              <w:t>r. 1 and 2: 9 Aug 2019 (see r. 2(a));</w:t>
            </w:r>
            <w:r>
              <w:rPr>
                <w:bCs/>
                <w:snapToGrid w:val="0"/>
                <w:spacing w:val="-2"/>
              </w:rPr>
              <w:br/>
              <w:t>Regulations other than r. 1 and 2: 10 Aug 2019 (see r. 2(b))</w:t>
            </w:r>
          </w:p>
        </w:tc>
      </w:tr>
      <w:tr>
        <w:trPr>
          <w:cantSplit/>
        </w:trPr>
        <w:tc>
          <w:tcPr>
            <w:tcW w:w="3118" w:type="dxa"/>
            <w:tcBorders>
              <w:top w:val="nil"/>
              <w:bottom w:val="nil"/>
            </w:tcBorders>
          </w:tcPr>
          <w:p>
            <w:pPr>
              <w:pStyle w:val="nTable"/>
              <w:spacing w:after="40"/>
              <w:rPr>
                <w:i/>
              </w:rPr>
            </w:pPr>
            <w:r>
              <w:rPr>
                <w:i/>
              </w:rPr>
              <w:lastRenderedPageBreak/>
              <w:t>Rottnest Island Amendment Regulations 2020</w:t>
            </w:r>
          </w:p>
        </w:tc>
        <w:tc>
          <w:tcPr>
            <w:tcW w:w="1276" w:type="dxa"/>
            <w:tcBorders>
              <w:top w:val="nil"/>
              <w:bottom w:val="nil"/>
            </w:tcBorders>
          </w:tcPr>
          <w:p>
            <w:pPr>
              <w:pStyle w:val="nTable"/>
              <w:spacing w:after="40"/>
            </w:pPr>
            <w:r>
              <w:t>SL 2020/118 17 Jul 2020</w:t>
            </w:r>
          </w:p>
        </w:tc>
        <w:tc>
          <w:tcPr>
            <w:tcW w:w="2693" w:type="dxa"/>
            <w:tcBorders>
              <w:top w:val="nil"/>
              <w:bottom w:val="nil"/>
            </w:tcBorders>
          </w:tcPr>
          <w:p>
            <w:pPr>
              <w:pStyle w:val="nTable"/>
              <w:spacing w:after="40"/>
              <w:rPr>
                <w:bCs/>
                <w:snapToGrid w:val="0"/>
                <w:spacing w:val="-2"/>
              </w:rPr>
            </w:pPr>
            <w:r>
              <w:rPr>
                <w:bCs/>
                <w:snapToGrid w:val="0"/>
                <w:spacing w:val="-2"/>
              </w:rPr>
              <w:t>r. 1 and 2: 17 Jul 2020 (see r. 2(a));</w:t>
            </w:r>
            <w:r>
              <w:rPr>
                <w:bCs/>
                <w:snapToGrid w:val="0"/>
                <w:spacing w:val="-2"/>
              </w:rPr>
              <w:br/>
              <w:t>Regulations other than r. 1 and 2: 18 Jul 2020 (see r. 2(b))</w:t>
            </w:r>
          </w:p>
        </w:tc>
      </w:tr>
      <w:tr>
        <w:trPr>
          <w:cantSplit/>
        </w:trPr>
        <w:tc>
          <w:tcPr>
            <w:tcW w:w="3118" w:type="dxa"/>
            <w:tcBorders>
              <w:top w:val="nil"/>
              <w:bottom w:val="nil"/>
            </w:tcBorders>
          </w:tcPr>
          <w:p>
            <w:pPr>
              <w:pStyle w:val="nTable"/>
              <w:spacing w:after="40"/>
              <w:rPr>
                <w:i/>
              </w:rPr>
            </w:pPr>
            <w:r>
              <w:rPr>
                <w:i/>
              </w:rPr>
              <w:t>Rottnest Island Amendment Regulations 2021</w:t>
            </w:r>
          </w:p>
        </w:tc>
        <w:tc>
          <w:tcPr>
            <w:tcW w:w="1276" w:type="dxa"/>
            <w:tcBorders>
              <w:top w:val="nil"/>
              <w:bottom w:val="nil"/>
            </w:tcBorders>
          </w:tcPr>
          <w:p>
            <w:pPr>
              <w:pStyle w:val="nTable"/>
              <w:spacing w:after="40"/>
            </w:pPr>
            <w:r>
              <w:t>SL 2021/107 29 Jun 2021</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29 Jun 2021</w:t>
            </w:r>
            <w:r>
              <w:rPr>
                <w:bCs/>
                <w:snapToGrid w:val="0"/>
                <w:spacing w:val="-2"/>
              </w:rPr>
              <w:t xml:space="preserve"> (see r. 2(a));</w:t>
            </w:r>
            <w:r>
              <w:rPr>
                <w:bCs/>
                <w:snapToGrid w:val="0"/>
                <w:spacing w:val="-2"/>
              </w:rPr>
              <w:br/>
              <w:t>Regulations other than r. 1 and 2: 1 Jul 2021 (see r. 2(b))</w:t>
            </w:r>
          </w:p>
        </w:tc>
      </w:tr>
      <w:tr>
        <w:trPr>
          <w:cantSplit/>
        </w:trPr>
        <w:tc>
          <w:tcPr>
            <w:tcW w:w="3118" w:type="dxa"/>
            <w:tcBorders>
              <w:top w:val="nil"/>
              <w:bottom w:val="nil"/>
            </w:tcBorders>
          </w:tcPr>
          <w:p>
            <w:pPr>
              <w:pStyle w:val="nTable"/>
              <w:spacing w:after="40"/>
              <w:rPr>
                <w:i/>
              </w:rPr>
            </w:pPr>
            <w:r>
              <w:rPr>
                <w:i/>
              </w:rPr>
              <w:t>Rottnest Island Amendment Regulations 2022</w:t>
            </w:r>
          </w:p>
        </w:tc>
        <w:tc>
          <w:tcPr>
            <w:tcW w:w="1276" w:type="dxa"/>
            <w:tcBorders>
              <w:top w:val="nil"/>
              <w:bottom w:val="nil"/>
            </w:tcBorders>
          </w:tcPr>
          <w:p>
            <w:pPr>
              <w:pStyle w:val="nTable"/>
              <w:spacing w:after="40"/>
            </w:pPr>
            <w:r>
              <w:t>SL 2022/124 30 Jun 2022</w:t>
            </w:r>
          </w:p>
        </w:tc>
        <w:tc>
          <w:tcPr>
            <w:tcW w:w="2693" w:type="dxa"/>
            <w:tcBorders>
              <w:top w:val="nil"/>
              <w:bottom w:val="nil"/>
            </w:tcBorders>
          </w:tcPr>
          <w:p>
            <w:pPr>
              <w:pStyle w:val="nTable"/>
              <w:spacing w:after="40"/>
              <w:rPr>
                <w:bCs/>
                <w:snapToGrid w:val="0"/>
                <w:spacing w:val="-2"/>
              </w:rPr>
            </w:pPr>
            <w:r>
              <w:rPr>
                <w:bCs/>
                <w:snapToGrid w:val="0"/>
                <w:spacing w:val="-2"/>
              </w:rPr>
              <w:t>r. 1 and 2: 30 Jun 2022 (see r. 2(a));</w:t>
            </w:r>
            <w:r>
              <w:rPr>
                <w:bCs/>
                <w:snapToGrid w:val="0"/>
                <w:spacing w:val="-2"/>
              </w:rPr>
              <w:br/>
              <w:t>Regulations other than r. 1 and 2: 1 Jul 2022 (see r. 2(b))</w:t>
            </w:r>
          </w:p>
        </w:tc>
      </w:tr>
      <w:tr>
        <w:trPr>
          <w:cantSplit/>
        </w:trPr>
        <w:tc>
          <w:tcPr>
            <w:tcW w:w="3118" w:type="dxa"/>
            <w:tcBorders>
              <w:top w:val="nil"/>
              <w:bottom w:val="nil"/>
            </w:tcBorders>
          </w:tcPr>
          <w:p>
            <w:pPr>
              <w:pStyle w:val="nTable"/>
              <w:spacing w:after="40"/>
              <w:rPr>
                <w:i/>
              </w:rPr>
            </w:pPr>
            <w:r>
              <w:rPr>
                <w:i/>
              </w:rPr>
              <w:t>Rottnest Island Amendment Regulations 2023</w:t>
            </w:r>
          </w:p>
        </w:tc>
        <w:tc>
          <w:tcPr>
            <w:tcW w:w="1276" w:type="dxa"/>
            <w:tcBorders>
              <w:top w:val="nil"/>
              <w:bottom w:val="nil"/>
            </w:tcBorders>
          </w:tcPr>
          <w:p>
            <w:pPr>
              <w:pStyle w:val="nTable"/>
              <w:spacing w:after="40"/>
            </w:pPr>
            <w:r>
              <w:t>SL 2023/60 2 Jun 2023</w:t>
            </w:r>
          </w:p>
        </w:tc>
        <w:tc>
          <w:tcPr>
            <w:tcW w:w="2693" w:type="dxa"/>
            <w:tcBorders>
              <w:top w:val="nil"/>
              <w:bottom w:val="nil"/>
            </w:tcBorders>
          </w:tcPr>
          <w:p>
            <w:pPr>
              <w:pStyle w:val="nTable"/>
              <w:spacing w:after="40"/>
              <w:rPr>
                <w:bCs/>
                <w:snapToGrid w:val="0"/>
                <w:spacing w:val="-2"/>
              </w:rPr>
            </w:pPr>
            <w:r>
              <w:rPr>
                <w:bCs/>
                <w:snapToGrid w:val="0"/>
                <w:spacing w:val="-2"/>
              </w:rPr>
              <w:t>r. 1 and 2: 2 Jun 2023 (see r. 2(a));</w:t>
            </w:r>
            <w:r>
              <w:rPr>
                <w:bCs/>
                <w:snapToGrid w:val="0"/>
                <w:spacing w:val="-2"/>
              </w:rPr>
              <w:br/>
              <w:t xml:space="preserve">Regulations other than r. 1 and 2: </w:t>
            </w:r>
            <w:r>
              <w:t>1 Jul 2023 (see r. 2(b))</w:t>
            </w:r>
          </w:p>
        </w:tc>
      </w:tr>
      <w:tr>
        <w:trPr>
          <w:cantSplit/>
        </w:trPr>
        <w:tc>
          <w:tcPr>
            <w:tcW w:w="3118" w:type="dxa"/>
            <w:tcBorders>
              <w:top w:val="nil"/>
              <w:bottom w:val="nil"/>
            </w:tcBorders>
          </w:tcPr>
          <w:p>
            <w:pPr>
              <w:pStyle w:val="nTable"/>
              <w:spacing w:after="40"/>
              <w:rPr>
                <w:i/>
              </w:rPr>
            </w:pPr>
            <w:r>
              <w:rPr>
                <w:i/>
              </w:rPr>
              <w:t>Rottnest Island Amendment Regulations (No. 2) 2024</w:t>
            </w:r>
          </w:p>
        </w:tc>
        <w:tc>
          <w:tcPr>
            <w:tcW w:w="1276" w:type="dxa"/>
            <w:tcBorders>
              <w:top w:val="nil"/>
              <w:bottom w:val="nil"/>
            </w:tcBorders>
          </w:tcPr>
          <w:p>
            <w:pPr>
              <w:pStyle w:val="nTable"/>
              <w:spacing w:after="40"/>
            </w:pPr>
            <w:r>
              <w:t>SL 2024/112 26 Jun 2024</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26 Jun 2024</w:t>
            </w:r>
            <w:r>
              <w:rPr>
                <w:bCs/>
                <w:snapToGrid w:val="0"/>
                <w:spacing w:val="-2"/>
              </w:rPr>
              <w:t xml:space="preserve"> (see r. 2(a));</w:t>
            </w:r>
            <w:r>
              <w:rPr>
                <w:bCs/>
                <w:snapToGrid w:val="0"/>
                <w:spacing w:val="-2"/>
              </w:rPr>
              <w:br/>
              <w:t>Regulations other than r. 1 and 2: 1 Jul 2024 (see r. 2(b))</w:t>
            </w:r>
          </w:p>
        </w:tc>
      </w:tr>
      <w:tr>
        <w:trPr>
          <w:cantSplit/>
        </w:trPr>
        <w:tc>
          <w:tcPr>
            <w:tcW w:w="3118" w:type="dxa"/>
            <w:tcBorders>
              <w:top w:val="nil"/>
              <w:bottom w:val="nil"/>
            </w:tcBorders>
          </w:tcPr>
          <w:p>
            <w:pPr>
              <w:pStyle w:val="nTable"/>
              <w:spacing w:after="40"/>
              <w:rPr>
                <w:i/>
              </w:rPr>
            </w:pPr>
            <w:r>
              <w:rPr>
                <w:i/>
              </w:rPr>
              <w:t>Rottnest Island Amendment Regulations 2024</w:t>
            </w:r>
          </w:p>
        </w:tc>
        <w:tc>
          <w:tcPr>
            <w:tcW w:w="1276" w:type="dxa"/>
            <w:tcBorders>
              <w:top w:val="nil"/>
              <w:bottom w:val="nil"/>
            </w:tcBorders>
          </w:tcPr>
          <w:p>
            <w:pPr>
              <w:pStyle w:val="nTable"/>
              <w:spacing w:after="40"/>
            </w:pPr>
            <w:r>
              <w:t>SL 2024/126 26 Jun 2024</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26 Jun 2024</w:t>
            </w:r>
            <w:r>
              <w:rPr>
                <w:bCs/>
                <w:snapToGrid w:val="0"/>
                <w:spacing w:val="-2"/>
              </w:rPr>
              <w:t xml:space="preserve"> (see r. 2(a));</w:t>
            </w:r>
            <w:r>
              <w:rPr>
                <w:bCs/>
                <w:snapToGrid w:val="0"/>
                <w:spacing w:val="-2"/>
              </w:rPr>
              <w:br/>
              <w:t>Regulations other than r. 1 and 2: 1 Jul 2024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rPr>
                <w:i/>
              </w:rPr>
            </w:pPr>
            <w:r>
              <w:rPr>
                <w:i/>
              </w:rPr>
              <w:t>Rottnest Island Amendment Regulations (No. 2) 2025</w:t>
            </w:r>
          </w:p>
        </w:tc>
        <w:tc>
          <w:tcPr>
            <w:tcW w:w="1276" w:type="dxa"/>
            <w:tcBorders>
              <w:bottom w:val="single" w:sz="4" w:space="0" w:color="auto"/>
            </w:tcBorders>
          </w:tcPr>
          <w:p>
            <w:pPr>
              <w:pStyle w:val="nTable"/>
              <w:spacing w:after="40"/>
            </w:pPr>
            <w:r>
              <w:t>SL 2025/98 25 Jun 2025</w:t>
            </w:r>
          </w:p>
        </w:tc>
        <w:tc>
          <w:tcPr>
            <w:tcW w:w="2693" w:type="dxa"/>
            <w:tcBorders>
              <w:bottom w:val="single" w:sz="4" w:space="0" w:color="auto"/>
            </w:tcBorders>
          </w:tcPr>
          <w:p>
            <w:pPr>
              <w:pStyle w:val="nTable"/>
              <w:spacing w:after="40"/>
              <w:rPr>
                <w:bCs/>
                <w:snapToGrid w:val="0"/>
                <w:spacing w:val="-2"/>
              </w:rPr>
            </w:pPr>
            <w:r>
              <w:rPr>
                <w:bCs/>
                <w:snapToGrid w:val="0"/>
                <w:spacing w:val="-2"/>
              </w:rPr>
              <w:t xml:space="preserve">r. 1 and 2: </w:t>
            </w:r>
            <w:r>
              <w:t>25 Jun 2025</w:t>
            </w:r>
            <w:r>
              <w:rPr>
                <w:bCs/>
                <w:snapToGrid w:val="0"/>
                <w:spacing w:val="-2"/>
              </w:rPr>
              <w:t xml:space="preserve"> (see r. 2(a));</w:t>
            </w:r>
            <w:r>
              <w:rPr>
                <w:bCs/>
                <w:snapToGrid w:val="0"/>
                <w:spacing w:val="-2"/>
              </w:rPr>
              <w:br/>
              <w:t>Regulations other than r. 1 and 2: 1 Jul 2025 (see r. 2(b))</w:t>
            </w:r>
          </w:p>
        </w:tc>
      </w:tr>
    </w:tbl>
    <w:p>
      <w:pPr>
        <w:pStyle w:val="nHeading3"/>
      </w:pPr>
      <w:bookmarkStart w:id="278" w:name="_Toc201566143"/>
      <w:r>
        <w:t>Other notes</w:t>
      </w:r>
      <w:bookmarkEnd w:id="278"/>
    </w:p>
    <w:p>
      <w:pPr>
        <w:pStyle w:val="nNote"/>
        <w:spacing w:before="160"/>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vertAlign w:val="superscript"/>
        </w:rPr>
      </w:pPr>
      <w:r>
        <w:rPr>
          <w:snapToGrid w:val="0"/>
          <w:vertAlign w:val="superscript"/>
        </w:rPr>
        <w:t>2</w:t>
      </w:r>
      <w:r>
        <w:rPr>
          <w:snapToGrid w:val="0"/>
        </w:rPr>
        <w:tab/>
        <w:t xml:space="preserve">Repealed by the </w:t>
      </w:r>
      <w:r>
        <w:rPr>
          <w:i/>
          <w:snapToGrid w:val="0"/>
        </w:rPr>
        <w:t>Fish Resources Management Act 1994</w:t>
      </w:r>
      <w:r>
        <w:rPr>
          <w:snapToGrid w:val="0"/>
        </w:rPr>
        <w:t xml:space="preserve"> s. 265.</w:t>
      </w:r>
    </w:p>
    <w:p>
      <w:pPr>
        <w:pStyle w:val="nNote"/>
        <w:rPr>
          <w:snapToGrid w:val="0"/>
          <w:vertAlign w:val="superscript"/>
        </w:rPr>
      </w:pPr>
      <w:r>
        <w:rPr>
          <w:snapToGrid w:val="0"/>
          <w:vertAlign w:val="superscript"/>
        </w:rPr>
        <w:t>3</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Note"/>
        <w:rPr>
          <w:snapToGrid w:val="0"/>
        </w:rPr>
      </w:pPr>
      <w:r>
        <w:rPr>
          <w:snapToGrid w:val="0"/>
          <w:vertAlign w:val="superscript"/>
        </w:rPr>
        <w:t>4</w:t>
      </w:r>
      <w:r>
        <w:rPr>
          <w:snapToGrid w:val="0"/>
        </w:rPr>
        <w:tab/>
        <w:t xml:space="preserve">The </w:t>
      </w:r>
      <w:r>
        <w:rPr>
          <w:i/>
          <w:snapToGrid w:val="0"/>
        </w:rPr>
        <w:t>Rottnest Island Amendment Regulations 1997</w:t>
      </w:r>
      <w:r>
        <w:rPr>
          <w:snapToGrid w:val="0"/>
        </w:rPr>
        <w:t xml:space="preserve"> r. 5(2) is a transitional provision that is of no further effect.</w:t>
      </w:r>
    </w:p>
    <w:p>
      <w:pPr>
        <w:pStyle w:val="nNote"/>
      </w:pPr>
      <w:r>
        <w:rPr>
          <w:snapToGrid w:val="0"/>
          <w:vertAlign w:val="superscript"/>
        </w:rPr>
        <w:lastRenderedPageBreak/>
        <w:t>5</w:t>
      </w:r>
      <w:r>
        <w:rPr>
          <w:snapToGrid w:val="0"/>
        </w:rPr>
        <w:tab/>
        <w:t xml:space="preserve">The </w:t>
      </w:r>
      <w:r>
        <w:rPr>
          <w:i/>
        </w:rPr>
        <w:t>Rottnest Island Amendment Regulations 2003</w:t>
      </w:r>
      <w:r>
        <w:t xml:space="preserve"> r. 4(3) is a transitional </w:t>
      </w:r>
      <w:r>
        <w:rPr>
          <w:snapToGrid w:val="0"/>
        </w:rPr>
        <w:t>provision</w:t>
      </w:r>
      <w:r>
        <w:t xml:space="preserve"> that is of no further effect.</w:t>
      </w:r>
    </w:p>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280" w:name="_Toc201314494"/>
      <w:bookmarkStart w:id="281" w:name="_Toc201318590"/>
      <w:bookmarkStart w:id="282" w:name="_Toc201318749"/>
      <w:bookmarkStart w:id="283" w:name="_Toc201566144"/>
      <w:r>
        <w:rPr>
          <w:sz w:val="28"/>
        </w:rPr>
        <w:lastRenderedPageBreak/>
        <w:t>Defined terms</w:t>
      </w:r>
      <w:bookmarkEnd w:id="280"/>
      <w:bookmarkEnd w:id="281"/>
      <w:bookmarkEnd w:id="282"/>
      <w:bookmarkEnd w:id="2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w:t>
      </w:r>
      <w:r>
        <w:tab/>
        <w:t>8(7), 10(2)</w:t>
      </w:r>
    </w:p>
    <w:p>
      <w:pPr>
        <w:pStyle w:val="DefinedTerms"/>
      </w:pPr>
      <w:r>
        <w:t>additional vessel</w:t>
      </w:r>
      <w:r>
        <w:tab/>
        <w:t>19, 27(2)</w:t>
      </w:r>
    </w:p>
    <w:p>
      <w:pPr>
        <w:pStyle w:val="DefinedTerms"/>
      </w:pPr>
      <w:r>
        <w:t>adequate insurance cover</w:t>
      </w:r>
      <w:r>
        <w:tab/>
        <w:t>3</w:t>
      </w:r>
    </w:p>
    <w:p>
      <w:pPr>
        <w:pStyle w:val="DefinedTerms"/>
      </w:pPr>
      <w:r>
        <w:t>aerodrome</w:t>
      </w:r>
      <w:r>
        <w:tab/>
        <w:t>63</w:t>
      </w:r>
    </w:p>
    <w:p>
      <w:pPr>
        <w:pStyle w:val="DefinedTerms"/>
      </w:pPr>
      <w:r>
        <w:t>aircraft</w:t>
      </w:r>
      <w:r>
        <w:tab/>
        <w:t>63, 66(2)</w:t>
      </w:r>
    </w:p>
    <w:p>
      <w:pPr>
        <w:pStyle w:val="DefinedTerms"/>
      </w:pPr>
      <w:r>
        <w:t>anchor</w:t>
      </w:r>
      <w:r>
        <w:tab/>
        <w:t>3</w:t>
      </w:r>
    </w:p>
    <w:p>
      <w:pPr>
        <w:pStyle w:val="DefinedTerms"/>
      </w:pPr>
      <w:r>
        <w:t>annual admission payment</w:t>
      </w:r>
      <w:r>
        <w:tab/>
        <w:t>3</w:t>
      </w:r>
    </w:p>
    <w:p>
      <w:pPr>
        <w:pStyle w:val="DefinedTerms"/>
      </w:pPr>
      <w:r>
        <w:t>approved</w:t>
      </w:r>
      <w:r>
        <w:tab/>
        <w:t>3</w:t>
      </w:r>
    </w:p>
    <w:p>
      <w:pPr>
        <w:pStyle w:val="DefinedTerms"/>
      </w:pPr>
      <w:r>
        <w:t>approved form</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w:t>
      </w:r>
    </w:p>
    <w:p>
      <w:pPr>
        <w:pStyle w:val="DefinedTerms"/>
      </w:pPr>
      <w:r>
        <w:t>bicycle</w:t>
      </w:r>
      <w:r>
        <w:tab/>
        <w:t>3</w:t>
      </w:r>
    </w:p>
    <w:p>
      <w:pPr>
        <w:pStyle w:val="DefinedTerms"/>
      </w:pPr>
      <w:r>
        <w:t>black water</w:t>
      </w:r>
      <w:r>
        <w:tab/>
        <w:t>38C(1)</w:t>
      </w:r>
    </w:p>
    <w:p>
      <w:pPr>
        <w:pStyle w:val="DefinedTerms"/>
      </w:pPr>
      <w:r>
        <w:t>Board</w:t>
      </w:r>
      <w:r>
        <w:tab/>
        <w:t>75(9)</w:t>
      </w:r>
    </w:p>
    <w:p>
      <w:pPr>
        <w:pStyle w:val="DefinedTerms"/>
      </w:pPr>
      <w:r>
        <w:t>by</w:t>
      </w:r>
      <w:r>
        <w:noBreakHyphen/>
        <w:t>law</w:t>
      </w:r>
      <w:r>
        <w:tab/>
        <w:t>75(9)</w:t>
      </w:r>
    </w:p>
    <w:p>
      <w:pPr>
        <w:pStyle w:val="DefinedTerms"/>
      </w:pPr>
      <w:r>
        <w:t>certificate of registration</w:t>
      </w:r>
      <w:r>
        <w:tab/>
        <w:t>3</w:t>
      </w:r>
    </w:p>
    <w:p>
      <w:pPr>
        <w:pStyle w:val="DefinedTerms"/>
      </w:pPr>
      <w:r>
        <w:t>collection period</w:t>
      </w:r>
      <w:r>
        <w:tab/>
        <w:t>6(2)</w:t>
      </w:r>
    </w:p>
    <w:p>
      <w:pPr>
        <w:pStyle w:val="DefinedTerms"/>
      </w:pPr>
      <w:r>
        <w:t>commencement</w:t>
      </w:r>
      <w:r>
        <w:tab/>
        <w:t>75(9)</w:t>
      </w:r>
    </w:p>
    <w:p>
      <w:pPr>
        <w:pStyle w:val="DefinedTerms"/>
      </w:pPr>
      <w:r>
        <w:t>commercial aircraft</w:t>
      </w:r>
      <w:r>
        <w:tab/>
        <w:t>3</w:t>
      </w:r>
    </w:p>
    <w:p>
      <w:pPr>
        <w:pStyle w:val="DefinedTerms"/>
      </w:pPr>
      <w:r>
        <w:t>commercial vessel</w:t>
      </w:r>
      <w:r>
        <w:tab/>
        <w:t>3</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domestic commercial vessel</w:t>
      </w:r>
      <w:r>
        <w:tab/>
        <w:t>3</w:t>
      </w:r>
    </w:p>
    <w:p>
      <w:pPr>
        <w:pStyle w:val="DefinedTerms"/>
      </w:pPr>
      <w:r>
        <w:t>emergency vehicle</w:t>
      </w:r>
      <w:r>
        <w:tab/>
        <w:t>50(2)</w:t>
      </w:r>
    </w:p>
    <w:p>
      <w:pPr>
        <w:pStyle w:val="DefinedTerms"/>
      </w:pPr>
      <w:r>
        <w:t>explosive device</w:t>
      </w:r>
      <w:r>
        <w:tab/>
        <w:t>59(3a)</w:t>
      </w:r>
    </w:p>
    <w:p>
      <w:pPr>
        <w:pStyle w:val="DefinedTerms"/>
      </w:pPr>
      <w:r>
        <w:t>fauna</w:t>
      </w:r>
      <w:r>
        <w:tab/>
        <w:t>40(3), 59(3)</w:t>
      </w:r>
    </w:p>
    <w:p>
      <w:pPr>
        <w:pStyle w:val="DefinedTerms"/>
      </w:pPr>
      <w:r>
        <w:t>ferry</w:t>
      </w:r>
      <w:r>
        <w:tab/>
        <w:t>3</w:t>
      </w:r>
    </w:p>
    <w:p>
      <w:pPr>
        <w:pStyle w:val="DefinedTerms"/>
      </w:pPr>
      <w:r>
        <w:t>fish</w:t>
      </w:r>
      <w:r>
        <w:tab/>
        <w:t>40(3)</w:t>
      </w:r>
    </w:p>
    <w:p>
      <w:pPr>
        <w:pStyle w:val="DefinedTerms"/>
      </w:pPr>
      <w:r>
        <w:t>flora</w:t>
      </w:r>
      <w:r>
        <w:tab/>
        <w:t>39(2), 41B(1)</w:t>
      </w:r>
    </w:p>
    <w:p>
      <w:pPr>
        <w:pStyle w:val="DefinedTerms"/>
      </w:pPr>
      <w:r>
        <w:t>hired bicycle</w:t>
      </w:r>
      <w:r>
        <w:tab/>
        <w:t>51(2)</w:t>
      </w:r>
    </w:p>
    <w:p>
      <w:pPr>
        <w:pStyle w:val="DefinedTerms"/>
      </w:pPr>
      <w:r>
        <w:t>journey</w:t>
      </w:r>
      <w:r>
        <w:tab/>
        <w:t>3</w:t>
      </w:r>
    </w:p>
    <w:p>
      <w:pPr>
        <w:pStyle w:val="DefinedTerms"/>
      </w:pPr>
      <w:r>
        <w:t xml:space="preserve">Kingstown Barracks </w:t>
      </w:r>
      <w:r>
        <w:tab/>
        <w:t>72(1)</w:t>
      </w:r>
    </w:p>
    <w:p>
      <w:pPr>
        <w:pStyle w:val="DefinedTerms"/>
      </w:pPr>
      <w:r>
        <w:t>length</w:t>
      </w:r>
      <w:r>
        <w:tab/>
        <w:t>3</w:t>
      </w:r>
    </w:p>
    <w:p>
      <w:pPr>
        <w:pStyle w:val="DefinedTerms"/>
      </w:pPr>
      <w:r>
        <w:t>licensed vessel</w:t>
      </w:r>
      <w:r>
        <w:tab/>
        <w:t>19, 26(1)</w:t>
      </w:r>
    </w:p>
    <w:p>
      <w:pPr>
        <w:pStyle w:val="DefinedTerms"/>
      </w:pPr>
      <w:r>
        <w:t>liquor</w:t>
      </w:r>
      <w:r>
        <w:tab/>
        <w:t>3</w:t>
      </w:r>
    </w:p>
    <w:p>
      <w:pPr>
        <w:pStyle w:val="DefinedTerms"/>
      </w:pPr>
      <w:r>
        <w:lastRenderedPageBreak/>
        <w:t>litter</w:t>
      </w:r>
      <w:r>
        <w:tab/>
        <w:t>60B(2)</w:t>
      </w:r>
    </w:p>
    <w:p>
      <w:pPr>
        <w:pStyle w:val="DefinedTerms"/>
      </w:pPr>
      <w:r>
        <w:t>loss</w:t>
      </w:r>
      <w:r>
        <w:tab/>
        <w:t>18(1)</w:t>
      </w:r>
    </w:p>
    <w:p>
      <w:pPr>
        <w:pStyle w:val="DefinedTerms"/>
      </w:pPr>
      <w:r>
        <w:t>main jetty</w:t>
      </w:r>
      <w:r>
        <w:tab/>
        <w:t>3</w:t>
      </w:r>
    </w:p>
    <w:p>
      <w:pPr>
        <w:pStyle w:val="DefinedTerms"/>
      </w:pPr>
      <w:r>
        <w:t xml:space="preserve">Marine Safety (Domestic Commercial Vessel) National Law </w:t>
      </w:r>
      <w:r>
        <w:tab/>
        <w:t>3</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31B(2), 31C(3)</w:t>
      </w:r>
    </w:p>
    <w:p>
      <w:pPr>
        <w:pStyle w:val="DefinedTerms"/>
      </w:pPr>
      <w:r>
        <w:t>officer</w:t>
      </w:r>
      <w:r>
        <w:tab/>
        <w:t>38D</w:t>
      </w:r>
    </w:p>
    <w:p>
      <w:pPr>
        <w:pStyle w:val="DefinedTerms"/>
      </w:pPr>
      <w:r>
        <w:t>operator</w:t>
      </w:r>
      <w:r>
        <w:tab/>
        <w:t>3</w:t>
      </w:r>
    </w:p>
    <w:p>
      <w:pPr>
        <w:pStyle w:val="DefinedTerms"/>
      </w:pPr>
      <w:r>
        <w:t>overall length</w:t>
      </w:r>
      <w:r>
        <w:tab/>
        <w:t>3</w:t>
      </w:r>
    </w:p>
    <w:p>
      <w:pPr>
        <w:pStyle w:val="DefinedTerms"/>
      </w:pPr>
      <w:r>
        <w:t>permanent resident</w:t>
      </w:r>
      <w:r>
        <w:tab/>
        <w:t>3</w:t>
      </w:r>
    </w:p>
    <w:p>
      <w:pPr>
        <w:pStyle w:val="DefinedTerms"/>
      </w:pPr>
      <w:r>
        <w:t>permitted area</w:t>
      </w:r>
      <w:r>
        <w:tab/>
        <w:t>37(2)</w:t>
      </w:r>
    </w:p>
    <w:p>
      <w:pPr>
        <w:pStyle w:val="DefinedTerms"/>
      </w:pPr>
      <w:r>
        <w:t>previous licensee</w:t>
      </w:r>
      <w:r>
        <w:tab/>
        <w:t>30(4)</w:t>
      </w:r>
    </w:p>
    <w:p>
      <w:pPr>
        <w:pStyle w:val="DefinedTerms"/>
      </w:pPr>
      <w:r>
        <w:t>register</w:t>
      </w:r>
      <w:r>
        <w:tab/>
        <w:t>3</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w:t>
      </w:r>
    </w:p>
    <w:p>
      <w:pPr>
        <w:pStyle w:val="DefinedTerms"/>
      </w:pPr>
      <w:r>
        <w:t>sandboard</w:t>
      </w:r>
      <w:r>
        <w:tab/>
        <w:t>60A(3)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take</w:t>
      </w:r>
      <w:r>
        <w:tab/>
        <w:t>39(2)</w:t>
      </w:r>
    </w:p>
    <w:p>
      <w:pPr>
        <w:pStyle w:val="DefinedTerms"/>
      </w:pPr>
      <w:r>
        <w:t>unlawfully</w:t>
      </w:r>
      <w:r>
        <w:tab/>
        <w:t>70(2)</w:t>
      </w:r>
    </w:p>
    <w:p>
      <w:pPr>
        <w:pStyle w:val="DefinedTerms"/>
      </w:pPr>
      <w:r>
        <w:t>use</w:t>
      </w:r>
      <w:r>
        <w:tab/>
        <w:t>3</w:t>
      </w:r>
    </w:p>
    <w:p>
      <w:pPr>
        <w:pStyle w:val="DefinedTerms"/>
      </w:pPr>
      <w:r>
        <w:t>vehicle</w:t>
      </w:r>
      <w:r>
        <w:tab/>
        <w:t>3, 38N(1),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waters of the Island</w:t>
      </w:r>
      <w:r>
        <w:tab/>
        <w:t>3</w:t>
      </w:r>
    </w:p>
    <w:p/>
    <w:p>
      <w:pPr>
        <w:sectPr>
          <w:headerReference w:type="even" r:id="rId38"/>
          <w:headerReference w:type="default" r:id="rId3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F230776"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1B0B9065" w14:textId="2CD0E2A2" w:rsidR="009F7C92" w:rsidRDefault="0065597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10632">
                        <w:rPr>
                          <w:sz w:val="16"/>
                        </w:rPr>
                        <w:t>2025</w:t>
                      </w:r>
                      <w:r>
                        <w:rPr>
                          <w:sz w:val="16"/>
                        </w:rPr>
                        <w:fldChar w:fldCharType="end"/>
                      </w:r>
                      <w:r>
                        <w:rPr>
                          <w:sz w:val="16"/>
                        </w:rPr>
                        <w:t>.</w:t>
                      </w:r>
                    </w:p>
                    <w:p w14:paraId="25AF390D" w14:textId="77777777" w:rsidR="009F7C92" w:rsidRDefault="0065597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E2C70B4" w14:textId="44461B5F" w:rsidR="009F7C92" w:rsidRDefault="0065597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10632">
                        <w:rPr>
                          <w:sz w:val="16"/>
                        </w:rPr>
                        <w:t>2025</w:t>
                      </w:r>
                      <w:r>
                        <w:rPr>
                          <w:sz w:val="16"/>
                        </w:rPr>
                        <w:fldChar w:fldCharType="end"/>
                      </w:r>
                      <w:r>
                        <w:rPr>
                          <w:sz w:val="16"/>
                        </w:rPr>
                        <w:t>.</w:t>
                      </w:r>
                    </w:p>
                    <w:p w14:paraId="19EC8016" w14:textId="77777777" w:rsidR="009F7C92" w:rsidRDefault="0065597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rPr>
        <w:jc w:val="center"/>
      </w:trP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209" w:name="Schedule"/>
    <w:bookmarkEnd w:id="2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9" w:name="Compilation"/>
    <w:bookmarkEnd w:id="279"/>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4" w:name="DefinedTerms"/>
    <w:bookmarkEnd w:id="284"/>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5" w:name="Coversheet"/>
    <w:bookmarkEnd w:id="2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121718"/>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 w:name="WAFER_20170501133242" w:val="RemoveTocBookmarks,RemoveUnusedBookmarks,RemoveLanguageTags,UsedStyles,ResetPageSize"/>
    <w:docVar w:name="WAFER_20170501133242_GUID" w:val="427743a7-68f0-4452-be2f-6221ff0943df"/>
    <w:docVar w:name="WAFER_20170907094940" w:val="RemoveTocBookmarks,RemoveUnusedBookmarks,RemoveLanguageTags,UsedStyles,ResetPageSize,RemoveCustomizations"/>
    <w:docVar w:name="WAFER_20170907094940_GUID" w:val="4880f929-517e-49d3-9a37-66aa9ab61fa6"/>
    <w:docVar w:name="WAFER_20171213155649" w:val="RemoveTocBookmarks,RemoveUnusedBookmarks,RemoveLanguageTags,UsedStyles,RemoveTrackChanges"/>
    <w:docVar w:name="WAFER_20171213155649_GUID" w:val="fbd49160-aa83-409e-913f-00cac8a9c271"/>
    <w:docVar w:name="WAFER_20171213155707" w:val="RemoveTocBookmarks,RemoveLanguageTags,RemoveTrackChanges,RunningHeaders"/>
    <w:docVar w:name="WAFER_20171213155707_GUID" w:val="3aad09d9-7497-469f-b12e-cb9120511d76"/>
    <w:docVar w:name="WAFER_20180627111102" w:val="RemoveTocBookmarks,RemoveUnusedBookmarks,RemoveLanguageTags,UsedStyles,ResetPageSize"/>
    <w:docVar w:name="WAFER_20180627111102_GUID" w:val="bad4edbc-8cf5-4cf3-bc58-0708a11a5c1d"/>
    <w:docVar w:name="WAFER_20190808152229" w:val="RemoveTocBookmarks,RemoveUnusedBookmarks,RemoveLanguageTags,ResetPageSize,RunningHeaders,UpdateStyles,UsedStyles"/>
    <w:docVar w:name="WAFER_20190808152229_GUID" w:val="d17c1d32-9a4f-4906-9cb8-6db1a6d9f35b"/>
    <w:docVar w:name="WAFER_20200716144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6144349_GUID" w:val="7d4ed696-0a60-42e6-b99d-b850354e82f6"/>
    <w:docVar w:name="WAFER_20210628112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12553_GUID" w:val="bf87d857-c54c-4897-bdc8-26aabcf621d5"/>
    <w:docVar w:name="WAFER_202206281232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23206_GUID" w:val="e808e34c-00ba-4de8-ad76-52ef9d1611c7"/>
    <w:docVar w:name="WAFER_202305301648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4802_GUID" w:val="581fff13-d0f1-448e-84f6-e38b6f935012"/>
    <w:docVar w:name="WAFER_202306291226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22621_GUID" w:val="a3a22cb2-4f8a-40f9-8f54-8f6bee596568"/>
    <w:docVar w:name="WAFER_202312281439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956_GUID" w:val="4ff2a329-8e97-4a3f-a232-5de04bea8a1d"/>
    <w:docVar w:name="WAFER_202406241344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34440_GUID" w:val="a2eab362-8d13-4147-8af2-574b2e6f5cda"/>
    <w:docVar w:name="WAFER_202506201217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21718_GUID" w:val="afdabd5f-36b5-4a40-a437-2eb8e7c941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5:docId w15:val="{4477164A-1D8A-473D-BE14-3EB8867CD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3.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jpeg"/><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3.png"/><Relationship Id="rId38" Type="http://schemas.openxmlformats.org/officeDocument/2006/relationships/header" Target="header22.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0E38F9-7858-4590-AF07-FF20F8CC4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25532</Words>
  <Characters>121281</Characters>
  <Application>Microsoft Office Word</Application>
  <DocSecurity>0</DocSecurity>
  <Lines>4042</Lines>
  <Paragraphs>2621</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144192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1988 - 06-k0-00</dc:title>
  <dc:subject/>
  <dc:creator/>
  <cp:keywords/>
  <dc:description/>
  <cp:lastModifiedBy>Master Repository Process</cp:lastModifiedBy>
  <cp:revision>4</cp:revision>
  <cp:lastPrinted>2017-12-13T03:40:00Z</cp:lastPrinted>
  <dcterms:created xsi:type="dcterms:W3CDTF">2025-06-27T05:33:00Z</dcterms:created>
  <dcterms:modified xsi:type="dcterms:W3CDTF">2025-06-27T05:33:00Z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edAsAt">
    <vt:filetime>2018-01-11T16:00:00Z</vt:filetime>
  </property>
  <property fmtid="{D5CDD505-2E9C-101B-9397-08002B2CF9AE}" pid="6" name="ReprintNo">
    <vt:lpwstr>6</vt:lpwstr>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y fmtid="{D5CDD505-2E9C-101B-9397-08002B2CF9AE}" pid="10" name="AsAtDate">
    <vt:lpwstr>01 Jul 2025</vt:lpwstr>
  </property>
  <property fmtid="{D5CDD505-2E9C-101B-9397-08002B2CF9AE}" pid="11" name="Suffix">
    <vt:lpwstr>06-k0-00</vt:lpwstr>
  </property>
  <property fmtid="{D5CDD505-2E9C-101B-9397-08002B2CF9AE}" pid="12" name="Official">
    <vt:lpwstr/>
  </property>
</Properties>
</file>