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Queen Elizabeth II Medical Centre Act 1966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_Toc201912580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_Toc201912581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r>
        <w:tab/>
      </w:r>
      <w:r>
        <w:fldChar w:fldCharType="begin"/>
      </w:r>
      <w:r>
        <w:instrText xml:space="preserve"> PAGEREF _Toc201912582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_Toc201912583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Queen Elizabeth II Medical Centre Act 1966</w:t>
      </w:r>
    </w:p>
    <w:p>
      <w:pPr>
        <w:pStyle w:val="NameofActReg"/>
      </w:pPr>
      <w:r>
        <w:t>Queen Elizabeth II Medical Centre (Delegated Site) Amendment By</w:t>
      </w:r>
      <w:r>
        <w:noBreakHyphen/>
        <w:t>laws (No. 2) 2025</w:t>
      </w:r>
    </w:p>
    <w:p>
      <w:pPr>
        <w:pStyle w:val="MadeBy"/>
      </w:pPr>
      <w:r>
        <w:t>Made under section 20(1) of the Act by The Queen Elizabeth II Medical Centre Trust with the approval of the Governor in Executive Council.</w:t>
      </w:r>
    </w:p>
    <w:p>
      <w:pPr>
        <w:pStyle w:val="Heading5"/>
      </w:pPr>
      <w:bookmarkStart w:id="2" w:name="_Toc201912298"/>
      <w:bookmarkStart w:id="3" w:name="_Toc20191258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Queen Elizabeth II Medical Centre (Delegated Site) Amendment By</w:t>
      </w:r>
      <w:r>
        <w:rPr>
          <w:i/>
        </w:rPr>
        <w:noBreakHyphen/>
        <w:t>laws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01912299"/>
      <w:bookmarkStart w:id="6" w:name="_Toc2019125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by-laws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by-laws</w:t>
      </w:r>
      <w:r>
        <w:t xml:space="preserve"> 1 and 2 — on the day on which these </w:t>
      </w:r>
      <w:r>
        <w:rPr>
          <w:spacing w:val="-2"/>
        </w:rPr>
        <w:t>by-laws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by-laws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912300"/>
      <w:bookmarkStart w:id="8" w:name="_Toc20191258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by-laws amend</w:t>
      </w:r>
      <w:r>
        <w:t xml:space="preserve"> the </w:t>
      </w:r>
      <w:r>
        <w:rPr>
          <w:i/>
        </w:rPr>
        <w:t>Queen Elizabeth II Medical Centre (Delegated Site) By</w:t>
      </w:r>
      <w:r>
        <w:rPr>
          <w:i/>
        </w:rPr>
        <w:noBreakHyphen/>
        <w:t>laws 1986</w:t>
      </w:r>
      <w:r>
        <w:t>.</w:t>
      </w:r>
    </w:p>
    <w:p>
      <w:pPr>
        <w:pStyle w:val="Heading5"/>
      </w:pPr>
      <w:bookmarkStart w:id="9" w:name="_Toc201912301"/>
      <w:bookmarkStart w:id="10" w:name="_Toc201912583"/>
      <w:r>
        <w:rPr>
          <w:rStyle w:val="CharSectno"/>
        </w:rPr>
        <w:lastRenderedPageBreak/>
        <w:t>4</w:t>
      </w:r>
      <w:r>
        <w:t>.</w:t>
      </w:r>
      <w:r>
        <w:tab/>
        <w:t>Schedule 1 replaced</w:t>
      </w:r>
      <w:bookmarkEnd w:id="9"/>
      <w:bookmarkEnd w:id="10"/>
    </w:p>
    <w:p>
      <w:pPr>
        <w:pStyle w:val="Subsection"/>
        <w:keepNext/>
        <w:keepLines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  <w:keepLines/>
      </w:pPr>
      <w:bookmarkStart w:id="11" w:name="_Toc201912302"/>
      <w:bookmarkStart w:id="12" w:name="_Toc201912384"/>
      <w:bookmarkStart w:id="13" w:name="_Toc201912584"/>
      <w:r>
        <w:t>Schedule 1 — Fees</w:t>
      </w:r>
      <w:bookmarkEnd w:id="11"/>
      <w:bookmarkEnd w:id="12"/>
      <w:bookmarkEnd w:id="13"/>
    </w:p>
    <w:p>
      <w:pPr>
        <w:pStyle w:val="zyShoulderClause"/>
        <w:keepNext/>
        <w:spacing w:after="60"/>
      </w:pPr>
      <w:r>
        <w:t>[bl. 3(1)]</w:t>
      </w:r>
    </w:p>
    <w:tbl>
      <w:tblPr>
        <w:tblW w:w="6317" w:type="dxa"/>
        <w:tblInd w:w="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79"/>
        <w:gridCol w:w="2503"/>
        <w:gridCol w:w="2835"/>
      </w:tblGrid>
      <w:tr>
        <w:trPr>
          <w:cantSplit/>
          <w:tblHeader/>
        </w:trPr>
        <w:tc>
          <w:tcPr>
            <w:tcW w:w="979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By</w:t>
            </w:r>
            <w:r>
              <w:rPr>
                <w:b/>
              </w:rPr>
              <w:noBreakHyphen/>
              <w:t>law</w:t>
            </w:r>
          </w:p>
        </w:tc>
        <w:tc>
          <w:tcPr>
            <w:tcW w:w="2503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keepNext/>
              <w:keepLines/>
              <w:ind w:right="-111"/>
              <w:rPr>
                <w:b/>
              </w:rPr>
            </w:pPr>
          </w:p>
        </w:tc>
        <w:tc>
          <w:tcPr>
            <w:tcW w:w="2835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keepNext/>
              <w:keepLines/>
              <w:tabs>
                <w:tab w:val="right" w:pos="2612"/>
              </w:tabs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979" w:type="dxa"/>
            <w:vMerge w:val="restart"/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keepNext/>
              <w:keepLines/>
              <w:jc w:val="center"/>
            </w:pPr>
            <w:r>
              <w:t>26AA(2)</w:t>
            </w:r>
            <w:r>
              <w:br/>
              <w:t>or</w:t>
            </w:r>
            <w:r>
              <w:br/>
              <w:t>26AA(4)</w:t>
            </w:r>
          </w:p>
        </w:tc>
        <w:tc>
          <w:tcPr>
            <w:tcW w:w="2503" w:type="dxa"/>
            <w:vMerge w:val="restart"/>
            <w:noWrap/>
            <w:tcMar>
              <w:bottom w:w="0" w:type="dxa"/>
            </w:tcMar>
          </w:tcPr>
          <w:p>
            <w:pPr>
              <w:pStyle w:val="zyTableNAm"/>
            </w:pPr>
            <w:r>
              <w:t>Ticket parking</w:t>
            </w:r>
          </w:p>
        </w:tc>
        <w:tc>
          <w:tcPr>
            <w:tcW w:w="2835" w:type="dxa"/>
            <w:tcBorders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  <w:tab w:val="right" w:pos="2612"/>
              </w:tabs>
              <w:ind w:right="-47"/>
            </w:pPr>
            <w:r>
              <w:t>For each day:</w:t>
            </w:r>
          </w:p>
        </w:tc>
      </w:tr>
      <w:tr>
        <w:trPr>
          <w:cantSplit/>
        </w:trPr>
        <w:tc>
          <w:tcPr>
            <w:tcW w:w="979" w:type="dxa"/>
            <w:vMerge/>
            <w:tcBorders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keepNext/>
              <w:keepLines/>
              <w:jc w:val="center"/>
            </w:pPr>
          </w:p>
        </w:tc>
        <w:tc>
          <w:tcPr>
            <w:tcW w:w="2503" w:type="dxa"/>
            <w:vMerge/>
            <w:tcBorders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keepNext/>
              <w:keepLines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keepNext/>
              <w:keepLines/>
              <w:tabs>
                <w:tab w:val="left" w:pos="57"/>
                <w:tab w:val="left" w:pos="284"/>
                <w:tab w:val="left" w:pos="312"/>
                <w:tab w:val="left" w:pos="1840"/>
                <w:tab w:val="left" w:pos="1873"/>
                <w:tab w:val="right" w:pos="2612"/>
              </w:tabs>
            </w:pPr>
            <w:r>
              <w:t>0</w:t>
            </w:r>
            <w:r>
              <w:noBreakHyphen/>
              <w:t>15 minutes</w:t>
            </w:r>
            <w:r>
              <w:tab/>
              <w:t>=</w:t>
            </w:r>
            <w:r>
              <w:tab/>
              <w:t>free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</w:pPr>
            <w:r>
              <w:t xml:space="preserve">15 minutes </w:t>
            </w:r>
            <w:r>
              <w:noBreakHyphen/>
              <w:t xml:space="preserve"> 1 hour</w:t>
            </w:r>
            <w:r>
              <w:tab/>
              <w:t>=</w:t>
            </w:r>
            <w:r>
              <w:tab/>
            </w:r>
            <w:r>
              <w:rPr>
                <w:szCs w:val="22"/>
              </w:rPr>
              <w:t>$3.90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1 hour </w:t>
            </w:r>
            <w:r>
              <w:rPr>
                <w:szCs w:val="22"/>
              </w:rPr>
              <w:noBreakHyphen/>
              <w:t xml:space="preserve"> 2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$7.80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2 hours </w:t>
            </w:r>
            <w:r>
              <w:rPr>
                <w:szCs w:val="22"/>
              </w:rPr>
              <w:noBreakHyphen/>
              <w:t xml:space="preserve"> 3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$11.70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3 hours </w:t>
            </w:r>
            <w:r>
              <w:rPr>
                <w:szCs w:val="22"/>
              </w:rPr>
              <w:noBreakHyphen/>
              <w:t xml:space="preserve"> 4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$15.60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4 hours </w:t>
            </w:r>
            <w:r>
              <w:rPr>
                <w:szCs w:val="22"/>
              </w:rPr>
              <w:noBreakHyphen/>
              <w:t xml:space="preserve"> 5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$19.50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38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5 hours </w:t>
            </w:r>
            <w:r>
              <w:rPr>
                <w:szCs w:val="22"/>
              </w:rPr>
              <w:noBreakHyphen/>
              <w:t xml:space="preserve"> 6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$23.40</w:t>
            </w:r>
          </w:p>
        </w:tc>
      </w:tr>
      <w:tr>
        <w:tc>
          <w:tcPr>
            <w:tcW w:w="979" w:type="dxa"/>
            <w:tcBorders>
              <w:top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</w:tcBorders>
            <w:noWrap/>
            <w:tcMar>
              <w:bottom w:w="0" w:type="dxa"/>
            </w:tcMar>
          </w:tcPr>
          <w:p>
            <w:pPr>
              <w:pStyle w:val="zyTableNAm"/>
            </w:pPr>
          </w:p>
        </w:tc>
        <w:tc>
          <w:tcPr>
            <w:tcW w:w="2835" w:type="dxa"/>
            <w:tcBorders>
              <w:top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spacing w:after="60"/>
              <w:rPr>
                <w:szCs w:val="22"/>
              </w:rPr>
            </w:pPr>
            <w:r>
              <w:rPr>
                <w:szCs w:val="22"/>
              </w:rPr>
              <w:t>More than 6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$27.30</w:t>
            </w:r>
          </w:p>
        </w:tc>
      </w:tr>
      <w:tr>
        <w:tc>
          <w:tcPr>
            <w:tcW w:w="979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jc w:val="center"/>
            </w:pPr>
            <w:r>
              <w:t>26AB(3)</w:t>
            </w:r>
          </w:p>
        </w:tc>
        <w:tc>
          <w:tcPr>
            <w:tcW w:w="2503" w:type="dxa"/>
            <w:noWrap/>
          </w:tcPr>
          <w:p>
            <w:pPr>
              <w:pStyle w:val="zyTableNAm"/>
            </w:pPr>
            <w:r>
              <w:t>Paid staff parking</w:t>
            </w:r>
          </w:p>
        </w:tc>
        <w:tc>
          <w:tcPr>
            <w:tcW w:w="2835" w:type="dxa"/>
            <w:noWrap/>
            <w:vAlign w:val="bottom"/>
          </w:tcPr>
          <w:p>
            <w:pPr>
              <w:pStyle w:val="zyTableNAm"/>
              <w:tabs>
                <w:tab w:val="right" w:pos="2612"/>
              </w:tabs>
              <w:ind w:right="-47"/>
            </w:pPr>
            <w:r>
              <w:t>$6.75 per day, to a maximum of $33.75 per week</w:t>
            </w:r>
          </w:p>
        </w:tc>
      </w:tr>
      <w:tr>
        <w:trPr>
          <w:cantSplit/>
        </w:trPr>
        <w:tc>
          <w:tcPr>
            <w:tcW w:w="979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jc w:val="center"/>
            </w:pPr>
            <w:r>
              <w:lastRenderedPageBreak/>
              <w:t>26B(3)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Removal and storage of vehicle — </w:t>
            </w:r>
          </w:p>
          <w:p>
            <w:pPr>
              <w:pStyle w:val="zyTableNAm"/>
            </w:pPr>
            <w:r>
              <w:t>(a)</w:t>
            </w:r>
            <w:r>
              <w:tab/>
              <w:t>basic fee</w:t>
            </w:r>
          </w:p>
          <w:p>
            <w:pPr>
              <w:pStyle w:val="zyTableNAm"/>
            </w:pPr>
            <w:r>
              <w:rPr>
                <w:iCs/>
              </w:rPr>
              <w:tab/>
            </w:r>
            <w:r>
              <w:rPr>
                <w:i/>
              </w:rPr>
              <w:t>plus</w:t>
            </w:r>
          </w:p>
          <w:p>
            <w:pPr>
              <w:pStyle w:val="zyTableNAm"/>
              <w:ind w:left="548" w:hanging="548"/>
            </w:pPr>
            <w:r>
              <w:t>(b)</w:t>
            </w:r>
            <w:r>
              <w:tab/>
              <w:t>if the vehicle is stored for more than 24 hours — for each 7 days or part of 7 days for which the vehicle is stored after the first 24 hours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</w:pPr>
            <w:r>
              <w:t>$200</w:t>
            </w:r>
          </w:p>
          <w:p>
            <w:pPr>
              <w:pStyle w:val="zyTableNAm"/>
              <w:spacing w:before="20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$20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The Queen Elizabeth II Medical Centre Trust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5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00B0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N8ud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43C548FB" w14:textId="774091DF" w:rsidR="003363A2" w:rsidRDefault="003363A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908B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8DAEE9" w14:textId="77777777" w:rsidR="003363A2" w:rsidRDefault="003363A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07BDF70" w14:textId="76F06517" w:rsidR="003363A2" w:rsidRDefault="003363A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908B1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378768" w14:textId="77777777" w:rsidR="003363A2" w:rsidRDefault="003363A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271024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271520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27152043_GUID" w:val="36c01f4d-8708-46dd-924d-c9ebbdf6743f"/>
    <w:docVar w:name="WAFER_202506031050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3105056_GUID" w:val="dbe39906-bb9c-45ff-9e24-bf5e7e14af13"/>
    <w:docVar w:name="WAFER_202506271024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27102416_GUID" w:val="27437844-2483-4f07-b689-f31018974b4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DFB752BD-97D8-489E-85A7-535784D7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1906</Characters>
  <Application>Microsoft Office Word</Application>
  <DocSecurity>0</DocSecurity>
  <Lines>146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Elizabeth II Medical Centre (Delegated Site) Amendment By-laws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2025-06-27T06:24:00Z</dcterms:created>
  <dcterms:modified xsi:type="dcterms:W3CDTF">2025-06-27T06:24:00Z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55463</vt:lpwstr>
  </property>
  <property fmtid="{D5CDD505-2E9C-101B-9397-08002B2CF9AE}" pid="3" name="DocumentType">
    <vt:lpwstr>Reg</vt:lpwstr>
  </property>
  <property fmtid="{D5CDD505-2E9C-101B-9397-08002B2CF9AE}" pid="4" name="AsAtDate">
    <vt:lpwstr>30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2025/127</vt:lpwstr>
  </property>
  <property fmtid="{D5CDD505-2E9C-101B-9397-08002B2CF9AE}" pid="8" name="PublishDate">
    <vt:lpwstr>30 Jun 2025</vt:lpwstr>
  </property>
  <property fmtid="{D5CDD505-2E9C-101B-9397-08002B2CF9AE}" pid="9" name="CommencementDate">
    <vt:lpwstr>20250630</vt:lpwstr>
  </property>
  <property fmtid="{D5CDD505-2E9C-101B-9397-08002B2CF9AE}" pid="10" name="CommencementAsAt">
    <vt:filetime>2025-06-29T16:00:00Z</vt:filetime>
  </property>
  <property fmtid="{D5CDD505-2E9C-101B-9397-08002B2CF9AE}" pid="11" name="CommencementYear">
    <vt:lpwstr>2025</vt:lpwstr>
  </property>
</Properties>
</file>