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Queen Elizabeth II Medical Centre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Queen Elizabeth II Medical Centre (Delegated Site) By-laws 1986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Queen Elizabeth II Medical Centre (Delegated Site) By-laws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_Toc201918803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_Toc201918804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_Toc201918805 \h </w:instrText>
      </w:r>
      <w:r>
        <w:fldChar w:fldCharType="separate"/>
      </w:r>
      <w:r>
        <w:t>1</w:t>
      </w:r>
      <w:r>
        <w:fldChar w:fldCharType="end"/>
      </w:r>
    </w:p>
    <w:p>
      <w:pPr>
        <w:pStyle w:val="TOC8"/>
        <w:rPr>
          <w:rFonts w:asciiTheme="minorHAnsi" w:eastAsiaTheme="minorEastAsia" w:hAnsiTheme="minorHAnsi" w:cstheme="minorBidi"/>
          <w:szCs w:val="22"/>
        </w:rPr>
      </w:pPr>
      <w:r>
        <w:t>3A.</w:t>
      </w:r>
      <w:r>
        <w:tab/>
        <w:t>Authorised persons</w:t>
      </w:r>
      <w:r>
        <w:tab/>
      </w:r>
      <w:r>
        <w:fldChar w:fldCharType="begin"/>
      </w:r>
      <w:r>
        <w:instrText xml:space="preserve"> PAGEREF _Toc201918806 \h </w:instrText>
      </w:r>
      <w:r>
        <w:fldChar w:fldCharType="separate"/>
      </w:r>
      <w:r>
        <w:t>3</w:t>
      </w:r>
      <w:r>
        <w:fldChar w:fldCharType="end"/>
      </w:r>
    </w:p>
    <w:p>
      <w:pPr>
        <w:pStyle w:val="TOC8"/>
        <w:rPr>
          <w:rFonts w:asciiTheme="minorHAnsi" w:eastAsiaTheme="minorEastAsia" w:hAnsiTheme="minorHAnsi" w:cstheme="minorBidi"/>
          <w:szCs w:val="22"/>
        </w:rPr>
      </w:pPr>
      <w:r>
        <w:t>3B.</w:t>
      </w:r>
      <w:r>
        <w:tab/>
        <w:t>Delegation</w:t>
      </w:r>
      <w:r>
        <w:tab/>
      </w:r>
      <w:r>
        <w:fldChar w:fldCharType="begin"/>
      </w:r>
      <w:r>
        <w:instrText xml:space="preserve"> PAGEREF _Toc201918807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Grounds</w:t>
      </w:r>
    </w:p>
    <w:p>
      <w:pPr>
        <w:pStyle w:val="TOC8"/>
        <w:rPr>
          <w:rFonts w:asciiTheme="minorHAnsi" w:eastAsiaTheme="minorEastAsia" w:hAnsiTheme="minorHAnsi" w:cstheme="minorBidi"/>
          <w:szCs w:val="22"/>
        </w:rPr>
      </w:pPr>
      <w:r>
        <w:t>4.</w:t>
      </w:r>
      <w:r>
        <w:tab/>
        <w:t>No entry without cause</w:t>
      </w:r>
      <w:r>
        <w:tab/>
      </w:r>
      <w:r>
        <w:fldChar w:fldCharType="begin"/>
      </w:r>
      <w:r>
        <w:instrText xml:space="preserve"> PAGEREF _Toc201918809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Bill sticking</w:t>
      </w:r>
      <w:r>
        <w:tab/>
      </w:r>
      <w:r>
        <w:fldChar w:fldCharType="begin"/>
      </w:r>
      <w:r>
        <w:instrText xml:space="preserve"> PAGEREF _Toc201918810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Litter</w:t>
      </w:r>
      <w:r>
        <w:tab/>
      </w:r>
      <w:r>
        <w:fldChar w:fldCharType="begin"/>
      </w:r>
      <w:r>
        <w:instrText xml:space="preserve"> PAGEREF _Toc201918811 \h </w:instrText>
      </w:r>
      <w:r>
        <w:fldChar w:fldCharType="separate"/>
      </w:r>
      <w:r>
        <w:t>5</w:t>
      </w:r>
      <w:r>
        <w:fldChar w:fldCharType="end"/>
      </w:r>
    </w:p>
    <w:p>
      <w:pPr>
        <w:pStyle w:val="TOC8"/>
        <w:rPr>
          <w:rFonts w:asciiTheme="minorHAnsi" w:eastAsiaTheme="minorEastAsia" w:hAnsiTheme="minorHAnsi" w:cstheme="minorBidi"/>
          <w:szCs w:val="22"/>
        </w:rPr>
      </w:pPr>
      <w:r>
        <w:t>7.</w:t>
      </w:r>
      <w:r>
        <w:tab/>
        <w:t>Prohibited items</w:t>
      </w:r>
      <w:r>
        <w:tab/>
      </w:r>
      <w:r>
        <w:fldChar w:fldCharType="begin"/>
      </w:r>
      <w:r>
        <w:instrText xml:space="preserve"> PAGEREF _Toc201918812 \h </w:instrText>
      </w:r>
      <w:r>
        <w:fldChar w:fldCharType="separate"/>
      </w:r>
      <w:r>
        <w:t>5</w:t>
      </w:r>
      <w:r>
        <w:fldChar w:fldCharType="end"/>
      </w:r>
    </w:p>
    <w:p>
      <w:pPr>
        <w:pStyle w:val="TOC8"/>
        <w:rPr>
          <w:rFonts w:asciiTheme="minorHAnsi" w:eastAsiaTheme="minorEastAsia" w:hAnsiTheme="minorHAnsi" w:cstheme="minorBidi"/>
          <w:szCs w:val="22"/>
        </w:rPr>
      </w:pPr>
      <w:r>
        <w:t>8A.</w:t>
      </w:r>
      <w:r>
        <w:tab/>
        <w:t>Smoking</w:t>
      </w:r>
      <w:r>
        <w:tab/>
      </w:r>
      <w:r>
        <w:fldChar w:fldCharType="begin"/>
      </w:r>
      <w:r>
        <w:instrText xml:space="preserve"> PAGEREF _Toc201918813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Protection of trees, buildings etc.</w:t>
      </w:r>
      <w:r>
        <w:tab/>
      </w:r>
      <w:r>
        <w:fldChar w:fldCharType="begin"/>
      </w:r>
      <w:r>
        <w:instrText xml:space="preserve"> PAGEREF _Toc201918814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Dangerous activities</w:t>
      </w:r>
      <w:r>
        <w:tab/>
      </w:r>
      <w:r>
        <w:fldChar w:fldCharType="begin"/>
      </w:r>
      <w:r>
        <w:instrText xml:space="preserve"> PAGEREF _Toc201918815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Animals</w:t>
      </w:r>
      <w:r>
        <w:tab/>
      </w:r>
      <w:r>
        <w:fldChar w:fldCharType="begin"/>
      </w:r>
      <w:r>
        <w:instrText xml:space="preserve"> PAGEREF _Toc201918816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Selling, distributing or hiring</w:t>
      </w:r>
      <w:r>
        <w:tab/>
      </w:r>
      <w:r>
        <w:fldChar w:fldCharType="begin"/>
      </w:r>
      <w:r>
        <w:instrText xml:space="preserve"> PAGEREF _Toc201918817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Removal of property</w:t>
      </w:r>
      <w:r>
        <w:tab/>
      </w:r>
      <w:r>
        <w:fldChar w:fldCharType="begin"/>
      </w:r>
      <w:r>
        <w:instrText xml:space="preserve"> PAGEREF _Toc201918818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Public performances etc.</w:t>
      </w:r>
      <w:r>
        <w:tab/>
      </w:r>
      <w:r>
        <w:fldChar w:fldCharType="begin"/>
      </w:r>
      <w:r>
        <w:instrText xml:space="preserve"> PAGEREF _Toc201918819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Gambling</w:t>
      </w:r>
      <w:r>
        <w:tab/>
      </w:r>
      <w:r>
        <w:fldChar w:fldCharType="begin"/>
      </w:r>
      <w:r>
        <w:instrText xml:space="preserve"> PAGEREF _Toc201918820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Directions concerning use of certain areas</w:t>
      </w:r>
      <w:r>
        <w:tab/>
      </w:r>
      <w:r>
        <w:fldChar w:fldCharType="begin"/>
      </w:r>
      <w:r>
        <w:instrText xml:space="preserve"> PAGEREF _Toc201918821 \h </w:instrText>
      </w:r>
      <w:r>
        <w:fldChar w:fldCharType="separate"/>
      </w:r>
      <w:r>
        <w:t>9</w:t>
      </w:r>
      <w:r>
        <w:fldChar w:fldCharType="end"/>
      </w:r>
    </w:p>
    <w:p>
      <w:pPr>
        <w:pStyle w:val="TOC8"/>
        <w:rPr>
          <w:rFonts w:asciiTheme="minorHAnsi" w:eastAsiaTheme="minorEastAsia" w:hAnsiTheme="minorHAnsi" w:cstheme="minorBidi"/>
          <w:szCs w:val="22"/>
        </w:rPr>
      </w:pPr>
      <w:r>
        <w:t>16A.</w:t>
      </w:r>
      <w:r>
        <w:tab/>
        <w:t>Persons may be directed to leave site</w:t>
      </w:r>
      <w:r>
        <w:tab/>
      </w:r>
      <w:r>
        <w:fldChar w:fldCharType="begin"/>
      </w:r>
      <w:r>
        <w:instrText xml:space="preserve"> PAGEREF _Toc201918822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III — Traffic control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16</w:t>
      </w:r>
      <w:r>
        <w:rPr>
          <w:snapToGrid w:val="0"/>
        </w:rPr>
        <w:t>.</w:t>
      </w:r>
      <w:r>
        <w:rPr>
          <w:snapToGrid w:val="0"/>
        </w:rPr>
        <w:tab/>
        <w:t>Driving of vehicles</w:t>
      </w:r>
      <w:r>
        <w:tab/>
      </w:r>
      <w:r>
        <w:fldChar w:fldCharType="begin"/>
      </w:r>
      <w:r>
        <w:instrText xml:space="preserve"> PAGEREF _Toc201918825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17</w:t>
      </w:r>
      <w:r>
        <w:rPr>
          <w:snapToGrid w:val="0"/>
        </w:rPr>
        <w:t>.</w:t>
      </w:r>
      <w:r>
        <w:rPr>
          <w:snapToGrid w:val="0"/>
        </w:rPr>
        <w:tab/>
        <w:t>Driver to obey reasonable direction</w:t>
      </w:r>
      <w:r>
        <w:tab/>
      </w:r>
      <w:r>
        <w:fldChar w:fldCharType="begin"/>
      </w:r>
      <w:r>
        <w:instrText xml:space="preserve"> PAGEREF _Toc201918826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 xml:space="preserve">Application of </w:t>
      </w:r>
      <w:r>
        <w:rPr>
          <w:i/>
          <w:iCs/>
          <w:snapToGrid w:val="0"/>
        </w:rPr>
        <w:t>Road Traffic Code 2000</w:t>
      </w:r>
      <w:r>
        <w:tab/>
      </w:r>
      <w:r>
        <w:fldChar w:fldCharType="begin"/>
      </w:r>
      <w:r>
        <w:instrText xml:space="preserve"> PAGEREF _Toc201918827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Speed limits</w:t>
      </w:r>
      <w:r>
        <w:tab/>
      </w:r>
      <w:r>
        <w:fldChar w:fldCharType="begin"/>
      </w:r>
      <w:r>
        <w:instrText xml:space="preserve"> PAGEREF _Toc201918828 \h </w:instrText>
      </w:r>
      <w:r>
        <w:fldChar w:fldCharType="separate"/>
      </w:r>
      <w:r>
        <w:t>11</w:t>
      </w:r>
      <w:r>
        <w:fldChar w:fldCharType="end"/>
      </w:r>
    </w:p>
    <w:p>
      <w:pPr>
        <w:pStyle w:val="TOC8"/>
        <w:rPr>
          <w:rFonts w:asciiTheme="minorHAnsi" w:eastAsiaTheme="minorEastAsia" w:hAnsiTheme="minorHAnsi" w:cstheme="minorBidi"/>
          <w:szCs w:val="22"/>
        </w:rPr>
      </w:pPr>
      <w:r>
        <w:t>20.</w:t>
      </w:r>
      <w:r>
        <w:tab/>
        <w:t>Use of roads on site</w:t>
      </w:r>
      <w:r>
        <w:tab/>
      </w:r>
      <w:r>
        <w:fldChar w:fldCharType="begin"/>
      </w:r>
      <w:r>
        <w:instrText xml:space="preserve"> PAGEREF _Toc201918829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Give way</w:t>
      </w:r>
      <w:r>
        <w:tab/>
      </w:r>
      <w:r>
        <w:fldChar w:fldCharType="begin"/>
      </w:r>
      <w:r>
        <w:instrText xml:space="preserve"> PAGEREF _Toc201918830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Roadway not to be used for instructions or repairs</w:t>
      </w:r>
      <w:r>
        <w:tab/>
      </w:r>
      <w:r>
        <w:fldChar w:fldCharType="begin"/>
      </w:r>
      <w:r>
        <w:instrText xml:space="preserve"> PAGEREF _Toc201918831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Parking</w:t>
      </w:r>
    </w:p>
    <w:p>
      <w:pPr>
        <w:pStyle w:val="TOC8"/>
        <w:rPr>
          <w:rFonts w:asciiTheme="minorHAnsi" w:eastAsiaTheme="minorEastAsia" w:hAnsiTheme="minorHAnsi" w:cstheme="minorBidi"/>
          <w:szCs w:val="22"/>
        </w:rPr>
      </w:pPr>
      <w:r>
        <w:t>23</w:t>
      </w:r>
      <w:r>
        <w:rPr>
          <w:snapToGrid w:val="0"/>
        </w:rPr>
        <w:t>.</w:t>
      </w:r>
      <w:r>
        <w:rPr>
          <w:snapToGrid w:val="0"/>
        </w:rPr>
        <w:tab/>
        <w:t>Parking only in parking spaces</w:t>
      </w:r>
      <w:r>
        <w:tab/>
      </w:r>
      <w:r>
        <w:fldChar w:fldCharType="begin"/>
      </w:r>
      <w:r>
        <w:instrText xml:space="preserve"> PAGEREF _Toc201918833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Signs to be obeyed</w:t>
      </w:r>
      <w:r>
        <w:tab/>
      </w:r>
      <w:r>
        <w:fldChar w:fldCharType="begin"/>
      </w:r>
      <w:r>
        <w:instrText xml:space="preserve"> PAGEREF _Toc201918834 \h </w:instrText>
      </w:r>
      <w:r>
        <w:fldChar w:fldCharType="separate"/>
      </w:r>
      <w:r>
        <w:t>13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Parking in parking spaces</w:t>
      </w:r>
      <w:r>
        <w:tab/>
      </w:r>
      <w:r>
        <w:fldChar w:fldCharType="begin"/>
      </w:r>
      <w:r>
        <w:instrText xml:space="preserve"> PAGEREF _Toc201918835 \h </w:instrText>
      </w:r>
      <w:r>
        <w:fldChar w:fldCharType="separate"/>
      </w:r>
      <w:r>
        <w:t>13</w:t>
      </w:r>
      <w:r>
        <w:fldChar w:fldCharType="end"/>
      </w:r>
    </w:p>
    <w:p>
      <w:pPr>
        <w:pStyle w:val="TOC8"/>
        <w:rPr>
          <w:rFonts w:asciiTheme="minorHAnsi" w:eastAsiaTheme="minorEastAsia" w:hAnsiTheme="minorHAnsi" w:cstheme="minorBidi"/>
          <w:szCs w:val="22"/>
        </w:rPr>
      </w:pPr>
      <w:r>
        <w:t>26.</w:t>
      </w:r>
      <w:r>
        <w:tab/>
        <w:t>Types of parking areas</w:t>
      </w:r>
      <w:r>
        <w:tab/>
      </w:r>
      <w:r>
        <w:fldChar w:fldCharType="begin"/>
      </w:r>
      <w:r>
        <w:instrText xml:space="preserve"> PAGEREF _Toc201918836 \h </w:instrText>
      </w:r>
      <w:r>
        <w:fldChar w:fldCharType="separate"/>
      </w:r>
      <w:r>
        <w:t>14</w:t>
      </w:r>
      <w:r>
        <w:fldChar w:fldCharType="end"/>
      </w:r>
    </w:p>
    <w:p>
      <w:pPr>
        <w:pStyle w:val="TOC8"/>
        <w:rPr>
          <w:rFonts w:asciiTheme="minorHAnsi" w:eastAsiaTheme="minorEastAsia" w:hAnsiTheme="minorHAnsi" w:cstheme="minorBidi"/>
          <w:szCs w:val="22"/>
        </w:rPr>
      </w:pPr>
      <w:r>
        <w:t>26AA.</w:t>
      </w:r>
      <w:r>
        <w:tab/>
        <w:t>Parking in ticket parking area or boom gate controlled ticket parking area</w:t>
      </w:r>
      <w:r>
        <w:tab/>
      </w:r>
      <w:r>
        <w:fldChar w:fldCharType="begin"/>
      </w:r>
      <w:r>
        <w:instrText xml:space="preserve"> PAGEREF _Toc201918837 \h </w:instrText>
      </w:r>
      <w:r>
        <w:fldChar w:fldCharType="separate"/>
      </w:r>
      <w:r>
        <w:t>15</w:t>
      </w:r>
      <w:r>
        <w:fldChar w:fldCharType="end"/>
      </w:r>
    </w:p>
    <w:p>
      <w:pPr>
        <w:pStyle w:val="TOC8"/>
        <w:rPr>
          <w:rFonts w:asciiTheme="minorHAnsi" w:eastAsiaTheme="minorEastAsia" w:hAnsiTheme="minorHAnsi" w:cstheme="minorBidi"/>
          <w:szCs w:val="22"/>
        </w:rPr>
      </w:pPr>
      <w:r>
        <w:t>26AB.</w:t>
      </w:r>
      <w:r>
        <w:tab/>
        <w:t>Parking in paid staff parking area</w:t>
      </w:r>
      <w:r>
        <w:tab/>
      </w:r>
      <w:r>
        <w:fldChar w:fldCharType="begin"/>
      </w:r>
      <w:r>
        <w:instrText xml:space="preserve"> PAGEREF _Toc201918838 \h </w:instrText>
      </w:r>
      <w:r>
        <w:fldChar w:fldCharType="separate"/>
      </w:r>
      <w:r>
        <w:t>16</w:t>
      </w:r>
      <w:r>
        <w:fldChar w:fldCharType="end"/>
      </w:r>
    </w:p>
    <w:p>
      <w:pPr>
        <w:pStyle w:val="TOC8"/>
        <w:rPr>
          <w:rFonts w:asciiTheme="minorHAnsi" w:eastAsiaTheme="minorEastAsia" w:hAnsiTheme="minorHAnsi" w:cstheme="minorBidi"/>
          <w:szCs w:val="22"/>
        </w:rPr>
      </w:pPr>
      <w:r>
        <w:t>26AC.</w:t>
      </w:r>
      <w:r>
        <w:tab/>
        <w:t>Parking in permit parking area</w:t>
      </w:r>
      <w:r>
        <w:tab/>
      </w:r>
      <w:r>
        <w:fldChar w:fldCharType="begin"/>
      </w:r>
      <w:r>
        <w:instrText xml:space="preserve"> PAGEREF _Toc201918839 \h </w:instrText>
      </w:r>
      <w:r>
        <w:fldChar w:fldCharType="separate"/>
      </w:r>
      <w:r>
        <w:t>16</w:t>
      </w:r>
      <w:r>
        <w:fldChar w:fldCharType="end"/>
      </w:r>
    </w:p>
    <w:p>
      <w:pPr>
        <w:pStyle w:val="TOC8"/>
        <w:rPr>
          <w:rFonts w:asciiTheme="minorHAnsi" w:eastAsiaTheme="minorEastAsia" w:hAnsiTheme="minorHAnsi" w:cstheme="minorBidi"/>
          <w:szCs w:val="22"/>
        </w:rPr>
      </w:pPr>
      <w:r>
        <w:t>26AD.</w:t>
      </w:r>
      <w:r>
        <w:tab/>
        <w:t>Parking permits</w:t>
      </w:r>
      <w:r>
        <w:tab/>
      </w:r>
      <w:r>
        <w:fldChar w:fldCharType="begin"/>
      </w:r>
      <w:r>
        <w:instrText xml:space="preserve"> PAGEREF _Toc201918840 \h </w:instrText>
      </w:r>
      <w:r>
        <w:fldChar w:fldCharType="separate"/>
      </w:r>
      <w:r>
        <w:t>17</w:t>
      </w:r>
      <w:r>
        <w:fldChar w:fldCharType="end"/>
      </w:r>
    </w:p>
    <w:p>
      <w:pPr>
        <w:pStyle w:val="TOC8"/>
        <w:rPr>
          <w:rFonts w:asciiTheme="minorHAnsi" w:eastAsiaTheme="minorEastAsia" w:hAnsiTheme="minorHAnsi" w:cstheme="minorBidi"/>
          <w:szCs w:val="22"/>
        </w:rPr>
      </w:pPr>
      <w:r>
        <w:t>26AE.</w:t>
      </w:r>
      <w:r>
        <w:tab/>
        <w:t>Application for parking permit</w:t>
      </w:r>
      <w:r>
        <w:tab/>
      </w:r>
      <w:r>
        <w:fldChar w:fldCharType="begin"/>
      </w:r>
      <w:r>
        <w:instrText xml:space="preserve"> PAGEREF _Toc201918841 \h </w:instrText>
      </w:r>
      <w:r>
        <w:fldChar w:fldCharType="separate"/>
      </w:r>
      <w:r>
        <w:t>17</w:t>
      </w:r>
      <w:r>
        <w:fldChar w:fldCharType="end"/>
      </w:r>
    </w:p>
    <w:p>
      <w:pPr>
        <w:pStyle w:val="TOC8"/>
        <w:rPr>
          <w:rFonts w:asciiTheme="minorHAnsi" w:eastAsiaTheme="minorEastAsia" w:hAnsiTheme="minorHAnsi" w:cstheme="minorBidi"/>
          <w:szCs w:val="22"/>
        </w:rPr>
      </w:pPr>
      <w:r>
        <w:t>26AF.</w:t>
      </w:r>
      <w:r>
        <w:tab/>
        <w:t>Review of decisions about parking permits</w:t>
      </w:r>
      <w:r>
        <w:tab/>
      </w:r>
      <w:r>
        <w:fldChar w:fldCharType="begin"/>
      </w:r>
      <w:r>
        <w:instrText xml:space="preserve"> PAGEREF _Toc201918842 \h </w:instrText>
      </w:r>
      <w:r>
        <w:fldChar w:fldCharType="separate"/>
      </w:r>
      <w:r>
        <w:t>19</w:t>
      </w:r>
      <w:r>
        <w:fldChar w:fldCharType="end"/>
      </w:r>
    </w:p>
    <w:p>
      <w:pPr>
        <w:pStyle w:val="TOC8"/>
        <w:rPr>
          <w:rFonts w:asciiTheme="minorHAnsi" w:eastAsiaTheme="minorEastAsia" w:hAnsiTheme="minorHAnsi" w:cstheme="minorBidi"/>
          <w:szCs w:val="22"/>
        </w:rPr>
      </w:pPr>
      <w:r>
        <w:t>26AG.</w:t>
      </w:r>
      <w:r>
        <w:tab/>
        <w:t>Cancellation of parking permit</w:t>
      </w:r>
      <w:r>
        <w:tab/>
      </w:r>
      <w:r>
        <w:fldChar w:fldCharType="begin"/>
      </w:r>
      <w:r>
        <w:instrText xml:space="preserve"> PAGEREF _Toc201918843 \h </w:instrText>
      </w:r>
      <w:r>
        <w:fldChar w:fldCharType="separate"/>
      </w:r>
      <w:r>
        <w:t>20</w:t>
      </w:r>
      <w:r>
        <w:fldChar w:fldCharType="end"/>
      </w:r>
    </w:p>
    <w:p>
      <w:pPr>
        <w:pStyle w:val="TOC8"/>
        <w:rPr>
          <w:rFonts w:asciiTheme="minorHAnsi" w:eastAsiaTheme="minorEastAsia" w:hAnsiTheme="minorHAnsi" w:cstheme="minorBidi"/>
          <w:szCs w:val="22"/>
        </w:rPr>
      </w:pPr>
      <w:r>
        <w:t>26B</w:t>
      </w:r>
      <w:r>
        <w:rPr>
          <w:snapToGrid w:val="0"/>
        </w:rPr>
        <w:t>.</w:t>
      </w:r>
      <w:r>
        <w:rPr>
          <w:snapToGrid w:val="0"/>
        </w:rPr>
        <w:tab/>
        <w:t>Removal of vehicles</w:t>
      </w:r>
      <w:r>
        <w:tab/>
      </w:r>
      <w:r>
        <w:fldChar w:fldCharType="begin"/>
      </w:r>
      <w:r>
        <w:instrText xml:space="preserve"> PAGEREF _Toc201918844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V — Offences and penalties</w:t>
      </w:r>
    </w:p>
    <w:p>
      <w:pPr>
        <w:pStyle w:val="TOC8"/>
        <w:rPr>
          <w:rFonts w:asciiTheme="minorHAnsi" w:eastAsiaTheme="minorEastAsia" w:hAnsiTheme="minorHAnsi" w:cstheme="minorBidi"/>
          <w:szCs w:val="22"/>
        </w:rPr>
      </w:pPr>
      <w:r>
        <w:t>27</w:t>
      </w:r>
      <w:r>
        <w:rPr>
          <w:snapToGrid w:val="0"/>
        </w:rPr>
        <w:t>.</w:t>
      </w:r>
      <w:r>
        <w:rPr>
          <w:snapToGrid w:val="0"/>
        </w:rPr>
        <w:tab/>
        <w:t>Terms used</w:t>
      </w:r>
      <w:r>
        <w:tab/>
      </w:r>
      <w:r>
        <w:fldChar w:fldCharType="begin"/>
      </w:r>
      <w:r>
        <w:instrText xml:space="preserve"> PAGEREF _Toc201918846 \h </w:instrText>
      </w:r>
      <w:r>
        <w:fldChar w:fldCharType="separate"/>
      </w:r>
      <w:r>
        <w:t>22</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Offences</w:t>
      </w:r>
      <w:r>
        <w:tab/>
      </w:r>
      <w:r>
        <w:fldChar w:fldCharType="begin"/>
      </w:r>
      <w:r>
        <w:instrText xml:space="preserve"> PAGEREF _Toc201918847 \h </w:instrText>
      </w:r>
      <w:r>
        <w:fldChar w:fldCharType="separate"/>
      </w:r>
      <w:r>
        <w:t>22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General penalty</w:t>
      </w:r>
      <w:r>
        <w:tab/>
      </w:r>
      <w:r>
        <w:fldChar w:fldCharType="begin"/>
      </w:r>
      <w:r>
        <w:instrText xml:space="preserve"> PAGEREF _Toc201918848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Modified penalties</w:t>
      </w:r>
      <w:r>
        <w:tab/>
      </w:r>
      <w:r>
        <w:fldChar w:fldCharType="begin"/>
      </w:r>
      <w:r>
        <w:instrText xml:space="preserve"> PAGEREF _Toc201918849 \h </w:instrText>
      </w:r>
      <w:r>
        <w:fldChar w:fldCharType="separate"/>
      </w:r>
      <w:r>
        <w:t>22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Infringement notices</w:t>
      </w:r>
      <w:r>
        <w:tab/>
      </w:r>
      <w:r>
        <w:fldChar w:fldCharType="begin"/>
      </w:r>
      <w:r>
        <w:instrText xml:space="preserve"> PAGEREF _Toc201918850 \h </w:instrText>
      </w:r>
      <w:r>
        <w:fldChar w:fldCharType="separate"/>
      </w:r>
      <w:r>
        <w:t>23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Modified penalties</w:t>
      </w:r>
      <w:r>
        <w:tab/>
      </w:r>
      <w:r>
        <w:fldChar w:fldCharType="begin"/>
      </w:r>
      <w:r>
        <w:instrText xml:space="preserve"> PAGEREF _Toc201918851 \h </w:instrText>
      </w:r>
      <w:r>
        <w:fldChar w:fldCharType="separate"/>
      </w:r>
      <w:r>
        <w:t>23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Withdrawal of infringement notice</w:t>
      </w:r>
      <w:r>
        <w:tab/>
      </w:r>
      <w:r>
        <w:fldChar w:fldCharType="begin"/>
      </w:r>
      <w:r>
        <w:instrText xml:space="preserve"> PAGEREF _Toc201918852 \h </w:instrText>
      </w:r>
      <w:r>
        <w:fldChar w:fldCharType="separate"/>
      </w:r>
      <w:r>
        <w:t>24</w:t>
      </w:r>
      <w:r>
        <w:fldChar w:fldCharType="end"/>
      </w:r>
    </w:p>
    <w:p>
      <w:pPr>
        <w:pStyle w:val="TOC8"/>
        <w:rPr>
          <w:rFonts w:asciiTheme="minorHAnsi" w:eastAsiaTheme="minorEastAsia" w:hAnsiTheme="minorHAnsi" w:cstheme="minorBidi"/>
          <w:szCs w:val="22"/>
        </w:rPr>
      </w:pPr>
      <w:r>
        <w:t>33A.</w:t>
      </w:r>
      <w:r>
        <w:tab/>
        <w:t>Authorised persons to produce certificate</w:t>
      </w:r>
      <w:r>
        <w:tab/>
      </w:r>
      <w:r>
        <w:fldChar w:fldCharType="begin"/>
      </w:r>
      <w:r>
        <w:instrText xml:space="preserve"> PAGEREF _Toc201918853 \h </w:instrText>
      </w:r>
      <w:r>
        <w:fldChar w:fldCharType="separate"/>
      </w:r>
      <w:r>
        <w:t>24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Removal and endorsement of infringement notices</w:t>
      </w:r>
      <w:r>
        <w:tab/>
      </w:r>
      <w:r>
        <w:fldChar w:fldCharType="begin"/>
      </w:r>
      <w:r>
        <w:instrText xml:space="preserve"> PAGEREF _Toc201918854 \h </w:instrText>
      </w:r>
      <w:r>
        <w:fldChar w:fldCharType="separate"/>
      </w:r>
      <w:r>
        <w:t>24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Prosecutions</w:t>
      </w:r>
      <w:r>
        <w:tab/>
      </w:r>
      <w:r>
        <w:fldChar w:fldCharType="begin"/>
      </w:r>
      <w:r>
        <w:instrText xml:space="preserve"> PAGEREF _Toc201918855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VI — General</w:t>
      </w:r>
    </w:p>
    <w:p>
      <w:pPr>
        <w:pStyle w:val="TOC8"/>
        <w:rPr>
          <w:rFonts w:asciiTheme="minorHAnsi" w:eastAsiaTheme="minorEastAsia" w:hAnsiTheme="minorHAnsi" w:cstheme="minorBidi"/>
          <w:szCs w:val="22"/>
        </w:rPr>
      </w:pPr>
      <w:r>
        <w:t>35</w:t>
      </w:r>
      <w:r>
        <w:rPr>
          <w:snapToGrid w:val="0"/>
        </w:rPr>
        <w:t>.</w:t>
      </w:r>
      <w:r>
        <w:rPr>
          <w:snapToGrid w:val="0"/>
        </w:rPr>
        <w:tab/>
        <w:t>Responsible person may be treated as driver or person in charge of vehicle</w:t>
      </w:r>
      <w:r>
        <w:tab/>
      </w:r>
      <w:r>
        <w:fldChar w:fldCharType="begin"/>
      </w:r>
      <w:r>
        <w:instrText xml:space="preserve"> PAGEREF _Toc201918857 \h </w:instrText>
      </w:r>
      <w:r>
        <w:fldChar w:fldCharType="separate"/>
      </w:r>
      <w:r>
        <w:t>26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Other offences</w:t>
      </w:r>
      <w:r>
        <w:tab/>
      </w:r>
      <w:r>
        <w:fldChar w:fldCharType="begin"/>
      </w:r>
      <w:r>
        <w:instrText xml:space="preserve"> PAGEREF _Toc201918858 \h </w:instrText>
      </w:r>
      <w:r>
        <w:fldChar w:fldCharType="separate"/>
      </w:r>
      <w:r>
        <w:t>26</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lastRenderedPageBreak/>
        <w:t>Schedule 2</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_Toc201918864 \h </w:instrText>
      </w:r>
      <w:r>
        <w:fldChar w:fldCharType="separate"/>
      </w:r>
      <w:r>
        <w:t>35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_Toc201918865 \h </w:instrText>
      </w:r>
      <w:r>
        <w:fldChar w:fldCharType="separate"/>
      </w:r>
      <w:r>
        <w:t>38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_Toc201918866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after="0"/>
        <w:rPr>
          <w:snapToGrid w:val="0"/>
        </w:rPr>
      </w:pPr>
      <w:r>
        <w:rPr>
          <w:snapToGrid w:val="0"/>
        </w:rPr>
        <w:lastRenderedPageBreak/>
        <w:t>Queen Elizabeth II Medical Centre Act 1966</w:t>
      </w:r>
    </w:p>
    <w:p>
      <w:pPr>
        <w:pStyle w:val="PrincipalActReg"/>
        <w:spacing w:before="120"/>
        <w:rPr>
          <w:snapToGrid w:val="0"/>
        </w:rPr>
      </w:pPr>
      <w:r>
        <w:rPr>
          <w:snapToGrid w:val="0"/>
        </w:rPr>
        <w:t>Interpretation Act 1984 (Section 25)</w:t>
      </w:r>
    </w:p>
    <w:p>
      <w:pPr>
        <w:pStyle w:val="NameofActReg"/>
        <w:spacing w:before="600" w:after="720"/>
        <w:ind w:left="284" w:right="284"/>
      </w:pPr>
      <w:r>
        <w:t>Queen Elizabeth II Medical Centre (Delegated Site) By</w:t>
      </w:r>
      <w:r>
        <w:noBreakHyphen/>
        <w:t>laws 1986</w:t>
      </w:r>
    </w:p>
    <w:p>
      <w:pPr>
        <w:pStyle w:val="Heading2"/>
        <w:pageBreakBefore w:val="0"/>
      </w:pPr>
      <w:bookmarkStart w:id="2" w:name="_Toc201915674"/>
      <w:bookmarkStart w:id="3" w:name="_Toc201916195"/>
      <w:bookmarkStart w:id="4" w:name="_Toc201918802"/>
      <w:r>
        <w:rPr>
          <w:rStyle w:val="CharPartNo"/>
        </w:rPr>
        <w:t>Part I</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rPr>
          <w:snapToGrid w:val="0"/>
        </w:rPr>
      </w:pPr>
      <w:bookmarkStart w:id="5" w:name="_Toc201918803"/>
      <w:r>
        <w:rPr>
          <w:rStyle w:val="CharSectno"/>
        </w:rPr>
        <w:t>1</w:t>
      </w:r>
      <w:r>
        <w:rPr>
          <w:snapToGrid w:val="0"/>
        </w:rPr>
        <w:t>.</w:t>
      </w:r>
      <w:r>
        <w:rPr>
          <w:snapToGrid w:val="0"/>
        </w:rPr>
        <w:tab/>
        <w:t>Citation</w:t>
      </w:r>
      <w:bookmarkEnd w:id="5"/>
      <w:r>
        <w:rPr>
          <w:snapToGrid w:val="0"/>
        </w:rPr>
        <w:t xml:space="preserve"> </w:t>
      </w:r>
    </w:p>
    <w:p>
      <w:pPr>
        <w:pStyle w:val="Subsection"/>
        <w:rPr>
          <w:i/>
          <w:snapToGrid w:val="0"/>
        </w:rPr>
      </w:pPr>
      <w:r>
        <w:rPr>
          <w:snapToGrid w:val="0"/>
        </w:rPr>
        <w:tab/>
      </w:r>
      <w:r>
        <w:rPr>
          <w:snapToGrid w:val="0"/>
        </w:rPr>
        <w:tab/>
        <w:t>These by</w:t>
      </w:r>
      <w:r>
        <w:rPr>
          <w:snapToGrid w:val="0"/>
        </w:rPr>
        <w:noBreakHyphen/>
        <w:t xml:space="preserve">laws may be cited as the </w:t>
      </w:r>
      <w:r>
        <w:rPr>
          <w:i/>
          <w:snapToGrid w:val="0"/>
        </w:rPr>
        <w:t>Queen Elizabeth II Medical Centre (Delegated Site) By</w:t>
      </w:r>
      <w:r>
        <w:rPr>
          <w:i/>
          <w:snapToGrid w:val="0"/>
        </w:rPr>
        <w:noBreakHyphen/>
        <w:t>laws 1986</w:t>
      </w:r>
      <w:r>
        <w:rPr>
          <w:snapToGrid w:val="0"/>
        </w:rPr>
        <w:t>.</w:t>
      </w:r>
    </w:p>
    <w:p>
      <w:pPr>
        <w:pStyle w:val="Heading5"/>
        <w:rPr>
          <w:snapToGrid w:val="0"/>
        </w:rPr>
      </w:pPr>
      <w:bookmarkStart w:id="6" w:name="_Toc201918804"/>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on which the </w:t>
      </w:r>
      <w:r>
        <w:rPr>
          <w:i/>
          <w:snapToGrid w:val="0"/>
        </w:rPr>
        <w:t>Queen Elizabeth II Medical Centre Amendment Act 1985</w:t>
      </w:r>
      <w:r>
        <w:rPr>
          <w:snapToGrid w:val="0"/>
        </w:rPr>
        <w:t xml:space="preserve"> comes into operation.</w:t>
      </w:r>
    </w:p>
    <w:p>
      <w:pPr>
        <w:pStyle w:val="Heading5"/>
        <w:rPr>
          <w:snapToGrid w:val="0"/>
        </w:rPr>
      </w:pPr>
      <w:bookmarkStart w:id="7" w:name="_Toc201918805"/>
      <w:r>
        <w:rPr>
          <w:rStyle w:val="CharSectno"/>
        </w:rPr>
        <w:t>3</w:t>
      </w:r>
      <w:r>
        <w:rPr>
          <w:snapToGrid w:val="0"/>
        </w:rPr>
        <w:t>.</w:t>
      </w:r>
      <w:r>
        <w:rPr>
          <w:snapToGrid w:val="0"/>
        </w:rPr>
        <w:tab/>
        <w:t>Terms used</w:t>
      </w:r>
      <w:bookmarkEnd w:id="7"/>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as an authorised person under by</w:t>
      </w:r>
      <w:r>
        <w:noBreakHyphen/>
        <w:t>law 3A for the purpose of the by</w:t>
      </w:r>
      <w:r>
        <w:noBreakHyphen/>
        <w:t>law in which the term is used;</w:t>
      </w:r>
    </w:p>
    <w:p>
      <w:pPr>
        <w:pStyle w:val="Defstart"/>
      </w:pPr>
      <w:r>
        <w:rPr>
          <w:b/>
        </w:rPr>
        <w:tab/>
      </w:r>
      <w:r>
        <w:rPr>
          <w:rStyle w:val="CharDefText"/>
        </w:rPr>
        <w:t>driver</w:t>
      </w:r>
      <w:r>
        <w:t>, in relation to a vehicle, includes rider;</w:t>
      </w:r>
    </w:p>
    <w:p>
      <w:pPr>
        <w:pStyle w:val="Defstart"/>
      </w:pPr>
      <w:r>
        <w:tab/>
      </w:r>
      <w:r>
        <w:rPr>
          <w:rStyle w:val="CharDefText"/>
        </w:rPr>
        <w:t>firearm</w:t>
      </w:r>
      <w:r>
        <w:t xml:space="preserve"> has the meaning given in the </w:t>
      </w:r>
      <w:r>
        <w:rPr>
          <w:i/>
        </w:rPr>
        <w:t xml:space="preserve">Firearms Act 2024 </w:t>
      </w:r>
      <w:r>
        <w:rPr>
          <w:iCs/>
        </w:rPr>
        <w:t>section 6;</w:t>
      </w:r>
    </w:p>
    <w:p>
      <w:pPr>
        <w:pStyle w:val="Defstart"/>
      </w:pPr>
      <w:r>
        <w:tab/>
      </w:r>
      <w:r>
        <w:rPr>
          <w:rStyle w:val="CharDefText"/>
        </w:rPr>
        <w:t>Hospital</w:t>
      </w:r>
      <w:r>
        <w:t xml:space="preserve"> means the public hospital known as Sir Charles Gairdner Hospital;</w:t>
      </w:r>
    </w:p>
    <w:p>
      <w:pPr>
        <w:pStyle w:val="Defstart"/>
      </w:pPr>
      <w:r>
        <w:tab/>
      </w:r>
      <w:r>
        <w:rPr>
          <w:rStyle w:val="CharDefText"/>
        </w:rPr>
        <w:t>North Metropolitan Health Service</w:t>
      </w:r>
      <w:r>
        <w:t xml:space="preserve"> means the health service provider with that corporate name established by the </w:t>
      </w:r>
      <w:r>
        <w:rPr>
          <w:i/>
        </w:rPr>
        <w:t>Health Services (Health Service Providers) Order 2016</w:t>
      </w:r>
      <w:r>
        <w:t>;</w:t>
      </w:r>
    </w:p>
    <w:p>
      <w:pPr>
        <w:pStyle w:val="Defstart"/>
      </w:pPr>
      <w:r>
        <w:lastRenderedPageBreak/>
        <w:tab/>
      </w:r>
      <w:r>
        <w:rPr>
          <w:rStyle w:val="CharDefText"/>
        </w:rPr>
        <w:t>on</w:t>
      </w:r>
      <w:r>
        <w:rPr>
          <w:rStyle w:val="CharDefText"/>
        </w:rPr>
        <w:noBreakHyphen/>
        <w:t>demand rank or hail vehicle authorisation</w:t>
      </w:r>
      <w:r>
        <w:t xml:space="preserve"> means a passenger transport vehicle authorisation (as defined in the </w:t>
      </w:r>
      <w:r>
        <w:rPr>
          <w:i/>
        </w:rPr>
        <w:t xml:space="preserve">Transport (Road Passenger Services) Act 2018 </w:t>
      </w:r>
      <w:r>
        <w:t>section 4(1)) that authorises the operation of the vehicle for use in providing an on</w:t>
      </w:r>
      <w:r>
        <w:noBreakHyphen/>
        <w:t>demand rank or hail passenger transport service (as defined in that section);</w:t>
      </w:r>
    </w:p>
    <w:p>
      <w:pPr>
        <w:pStyle w:val="Defstart"/>
      </w:pPr>
      <w:r>
        <w:rPr>
          <w:b/>
        </w:rPr>
        <w:tab/>
      </w:r>
      <w:r>
        <w:rPr>
          <w:rStyle w:val="CharDefText"/>
        </w:rPr>
        <w:t>parking facility</w:t>
      </w:r>
      <w:r>
        <w:t xml:space="preserve"> means any land or structure on the site containing a parking space or parking spaces;</w:t>
      </w:r>
    </w:p>
    <w:p>
      <w:pPr>
        <w:pStyle w:val="Defstart"/>
      </w:pPr>
      <w:r>
        <w:tab/>
      </w:r>
      <w:r>
        <w:rPr>
          <w:rStyle w:val="CharDefText"/>
        </w:rPr>
        <w:t>parking permit</w:t>
      </w:r>
      <w:r>
        <w:t xml:space="preserve"> means a permit granted under by</w:t>
      </w:r>
      <w:r>
        <w:noBreakHyphen/>
        <w:t>law 26AD;</w:t>
      </w:r>
    </w:p>
    <w:p>
      <w:pPr>
        <w:pStyle w:val="Defstart"/>
      </w:pPr>
      <w:r>
        <w:tab/>
      </w:r>
      <w:r>
        <w:rPr>
          <w:rStyle w:val="CharDefText"/>
        </w:rPr>
        <w:t>parking space</w:t>
      </w:r>
      <w:r>
        <w:t xml:space="preserve"> means a place on the site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public hospital</w:t>
      </w:r>
      <w:r>
        <w:t xml:space="preserve"> has the meaning given in the </w:t>
      </w:r>
      <w:r>
        <w:rPr>
          <w:i/>
        </w:rPr>
        <w:t>Health Services Act 2016</w:t>
      </w:r>
      <w:r>
        <w:t xml:space="preserve"> section 8(6);</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rPr>
          <w:b/>
        </w:rPr>
        <w:tab/>
      </w:r>
      <w:r>
        <w:rPr>
          <w:rStyle w:val="CharDefText"/>
        </w:rPr>
        <w:t>roadway</w:t>
      </w:r>
      <w:r>
        <w:t xml:space="preserve"> means part of the site which, although it is not a road as defined in the </w:t>
      </w:r>
      <w:r>
        <w:rPr>
          <w:i/>
        </w:rPr>
        <w:t>Road Traffic (Administration) Act 2008</w:t>
      </w:r>
      <w:r>
        <w:t xml:space="preserve"> section 4, is set aside for use by vehicular traffic, but excludes a parking facility;</w:t>
      </w:r>
    </w:p>
    <w:p>
      <w:pPr>
        <w:pStyle w:val="Defstart"/>
      </w:pPr>
      <w:r>
        <w:rPr>
          <w:b/>
        </w:rPr>
        <w:tab/>
      </w:r>
      <w:r>
        <w:rPr>
          <w:rStyle w:val="CharDefText"/>
        </w:rPr>
        <w:t>secretary</w:t>
      </w:r>
      <w:r>
        <w:t xml:space="preserve"> means the person holding or acting in the office of chief executive officer (however designated) of the Hospital;</w:t>
      </w:r>
    </w:p>
    <w:p>
      <w:pPr>
        <w:pStyle w:val="Defstart"/>
      </w:pPr>
      <w:r>
        <w:rPr>
          <w:b/>
        </w:rPr>
        <w:tab/>
      </w:r>
      <w:r>
        <w:rPr>
          <w:rStyle w:val="CharDefText"/>
        </w:rPr>
        <w:t>sign</w:t>
      </w:r>
      <w:r>
        <w:t xml:space="preserve"> means marking, notice or sign marked, erected or displayed by or by authority of the secretary;</w:t>
      </w:r>
    </w:p>
    <w:p>
      <w:pPr>
        <w:pStyle w:val="Defstart"/>
      </w:pPr>
      <w:r>
        <w:tab/>
      </w:r>
      <w:r>
        <w:rPr>
          <w:rStyle w:val="CharDefText"/>
        </w:rPr>
        <w:t>site</w:t>
      </w:r>
      <w:r>
        <w:t xml:space="preserve"> means the land in respect of which powers are for the time being delegated to the Hospital under section 13 of the Act;</w:t>
      </w:r>
    </w:p>
    <w:p>
      <w:pPr>
        <w:pStyle w:val="Defstart"/>
      </w:pPr>
      <w:r>
        <w:rPr>
          <w:b/>
        </w:rPr>
        <w:tab/>
      </w:r>
      <w:r>
        <w:rPr>
          <w:rStyle w:val="CharDefText"/>
        </w:rPr>
        <w:t>speed restriction sign</w:t>
      </w:r>
      <w:r>
        <w:t xml:space="preserve"> means a sign erected or marked in or about a roadway containing a numeral or numerals;</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lastRenderedPageBreak/>
        <w:tab/>
        <w:t>(b)</w:t>
      </w:r>
      <w:r>
        <w:tab/>
        <w:t>the time of issue or expiry, or the time of issue and expiry, of the ticket;</w:t>
      </w:r>
    </w:p>
    <w:p>
      <w:pPr>
        <w:pStyle w:val="Defstart"/>
      </w:pPr>
      <w:r>
        <w:rPr>
          <w:b/>
        </w:rPr>
        <w:tab/>
      </w:r>
      <w:r>
        <w:rPr>
          <w:rStyle w:val="CharDefText"/>
        </w:rPr>
        <w:t>ticket vending machine</w:t>
      </w:r>
      <w:r>
        <w:t xml:space="preserve"> means machine situated in a parking facility which issues a ticket;</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Subsection"/>
        <w:keepNext/>
        <w:keepLines/>
        <w:rPr>
          <w:snapToGrid w:val="0"/>
        </w:rPr>
      </w:pPr>
      <w:r>
        <w:rPr>
          <w:snapToGrid w:val="0"/>
        </w:rPr>
        <w:tab/>
        <w:t>(2)</w:t>
      </w:r>
      <w:r>
        <w:rPr>
          <w:snapToGrid w:val="0"/>
        </w:rPr>
        <w:tab/>
        <w:t>Subject to sub</w:t>
      </w:r>
      <w:r>
        <w:rPr>
          <w:snapToGrid w:val="0"/>
        </w:rPr>
        <w:noBreakHyphen/>
        <w:t>bylaw (3), when these by</w:t>
      </w:r>
      <w:r>
        <w:rPr>
          <w:snapToGrid w:val="0"/>
        </w:rPr>
        <w:noBreakHyphen/>
        <w:t>laws prohibit the doing of an act or thing without permission — </w:t>
      </w:r>
    </w:p>
    <w:p>
      <w:pPr>
        <w:pStyle w:val="Indenta"/>
        <w:rPr>
          <w:snapToGrid w:val="0"/>
        </w:rPr>
      </w:pPr>
      <w:r>
        <w:rPr>
          <w:snapToGrid w:val="0"/>
        </w:rPr>
        <w:tab/>
        <w:t>(a)</w:t>
      </w:r>
      <w:r>
        <w:rPr>
          <w:snapToGrid w:val="0"/>
        </w:rPr>
        <w:tab/>
        <w:t xml:space="preserve">that permission shall be in writing and may be given and revoked by the secretary or by an employee </w:t>
      </w:r>
      <w:r>
        <w:t>in the North Metropolitan Health Service</w:t>
      </w:r>
      <w:r>
        <w:rPr>
          <w:snapToGrid w:val="0"/>
        </w:rPr>
        <w:t xml:space="preserve"> authorised by the secretary to give and revoke that permission; and</w:t>
      </w:r>
    </w:p>
    <w:p>
      <w:pPr>
        <w:pStyle w:val="Indenta"/>
        <w:rPr>
          <w:snapToGrid w:val="0"/>
        </w:rPr>
      </w:pPr>
      <w:r>
        <w:rPr>
          <w:snapToGrid w:val="0"/>
        </w:rPr>
        <w:tab/>
        <w:t>(b)</w:t>
      </w:r>
      <w:r>
        <w:rPr>
          <w:snapToGrid w:val="0"/>
        </w:rPr>
        <w:tab/>
        <w:t>that permission shall be obtained before the act or thing is done.</w:t>
      </w:r>
    </w:p>
    <w:p>
      <w:pPr>
        <w:pStyle w:val="Subsection"/>
        <w:rPr>
          <w:snapToGrid w:val="0"/>
        </w:rPr>
      </w:pPr>
      <w:r>
        <w:rPr>
          <w:snapToGrid w:val="0"/>
        </w:rPr>
        <w:tab/>
        <w:t>(3)</w:t>
      </w:r>
      <w:r>
        <w:rPr>
          <w:snapToGrid w:val="0"/>
        </w:rPr>
        <w:tab/>
        <w:t xml:space="preserve">An employee </w:t>
      </w:r>
      <w:r>
        <w:t xml:space="preserve">in the North Metropolitan Health Service </w:t>
      </w:r>
      <w:r>
        <w:rPr>
          <w:snapToGrid w:val="0"/>
        </w:rPr>
        <w:t xml:space="preserve">acting in the course of </w:t>
      </w:r>
      <w:r>
        <w:t>that</w:t>
      </w:r>
      <w:r>
        <w:rPr>
          <w:snapToGrid w:val="0"/>
        </w:rPr>
        <w:t xml:space="preserve"> employment has the permission referred to in sub</w:t>
      </w:r>
      <w:r>
        <w:rPr>
          <w:snapToGrid w:val="0"/>
        </w:rPr>
        <w:noBreakHyphen/>
        <w:t>bylaw (2) without that sub</w:t>
      </w:r>
      <w:r>
        <w:rPr>
          <w:snapToGrid w:val="0"/>
        </w:rPr>
        <w:noBreakHyphen/>
        <w:t xml:space="preserve">bylaw being complied with in respect of </w:t>
      </w:r>
      <w:r>
        <w:t>the employee.</w:t>
      </w:r>
    </w:p>
    <w:p>
      <w:pPr>
        <w:pStyle w:val="Subsection"/>
      </w:pPr>
      <w:r>
        <w:tab/>
        <w:t>(4)</w:t>
      </w:r>
      <w:r>
        <w:tab/>
        <w:t>These by</w:t>
      </w:r>
      <w:r>
        <w:noBreakHyphen/>
        <w:t xml:space="preserve">laws are subject to any written law and any law of the Commonwealth about assistance animals as defined in the </w:t>
      </w:r>
      <w:r>
        <w:rPr>
          <w:i/>
        </w:rPr>
        <w:t xml:space="preserve">Disability Discrimination Act 1992 </w:t>
      </w:r>
      <w:r>
        <w:t>(Commonwealth) section 9(2).</w:t>
      </w:r>
    </w:p>
    <w:p>
      <w:pPr>
        <w:pStyle w:val="Footnotesection"/>
      </w:pPr>
      <w:r>
        <w:tab/>
        <w:t>[By-law 3 amended: Gazette 29 Jun 2001 p. 3112; 22 Jun 2010 p. 2772; 10 Feb 2015 p. 618 ; 1 Jul 2016 p. 2746; 14 Jun 2019 p. 1901; SL 2025/39 bl. 4.]</w:t>
      </w:r>
    </w:p>
    <w:p>
      <w:pPr>
        <w:pStyle w:val="Heading5"/>
      </w:pPr>
      <w:bookmarkStart w:id="8" w:name="_Toc201918806"/>
      <w:r>
        <w:rPr>
          <w:rStyle w:val="CharSectno"/>
        </w:rPr>
        <w:t>3A</w:t>
      </w:r>
      <w:r>
        <w:t>.</w:t>
      </w:r>
      <w:r>
        <w:tab/>
        <w:t>Authorised persons</w:t>
      </w:r>
      <w:bookmarkEnd w:id="8"/>
    </w:p>
    <w:p>
      <w:pPr>
        <w:pStyle w:val="Subsection"/>
      </w:pPr>
      <w:r>
        <w:tab/>
        <w:t>(1)</w:t>
      </w:r>
      <w:r>
        <w:tab/>
        <w:t>The secretary may, in writing, appoint persons or classes of persons to be authorised persons for the purposes of one or more of these by</w:t>
      </w:r>
      <w:r>
        <w:noBreakHyphen/>
        <w:t>laws.</w:t>
      </w:r>
    </w:p>
    <w:p>
      <w:pPr>
        <w:pStyle w:val="Subsection"/>
        <w:keepNext/>
      </w:pPr>
      <w:r>
        <w:tab/>
        <w:t>(2)</w:t>
      </w:r>
      <w:r>
        <w:tab/>
        <w:t>The secretary must issue to each authorised person who is authorised to give a direction under by</w:t>
      </w:r>
      <w:r>
        <w:noBreakHyphen/>
        <w:t xml:space="preserve">law 16A(1), or issue an </w:t>
      </w:r>
      <w:r>
        <w:lastRenderedPageBreak/>
        <w:t>infringement notice under by</w:t>
      </w:r>
      <w:r>
        <w:noBreakHyphen/>
        <w:t>law 30(1), a certificate stating that the person is so authorised.</w:t>
      </w:r>
    </w:p>
    <w:p>
      <w:pPr>
        <w:pStyle w:val="Footnotesection"/>
      </w:pPr>
      <w:r>
        <w:tab/>
        <w:t>[By-law 3A inserted: Gazette 29 Jun 2001 p. 3112; amended: Gazette 8 May 2015 p. 1620.]</w:t>
      </w:r>
    </w:p>
    <w:p>
      <w:pPr>
        <w:pStyle w:val="Heading5"/>
      </w:pPr>
      <w:bookmarkStart w:id="9" w:name="_Toc201918807"/>
      <w:r>
        <w:rPr>
          <w:rStyle w:val="CharSectno"/>
        </w:rPr>
        <w:t>3B</w:t>
      </w:r>
      <w:r>
        <w:t>.</w:t>
      </w:r>
      <w:r>
        <w:tab/>
        <w:t>Delegation</w:t>
      </w:r>
      <w:bookmarkEnd w:id="9"/>
    </w:p>
    <w:p>
      <w:pPr>
        <w:pStyle w:val="Subsection"/>
      </w:pPr>
      <w:r>
        <w:tab/>
      </w:r>
      <w:r>
        <w:tab/>
        <w:t>The secretary may, in writing and either generally or as otherwise provided by the instrument of delegation, delegate to another person or class of person any of the powers or duties of the secretary under these by</w:t>
      </w:r>
      <w:r>
        <w:noBreakHyphen/>
        <w:t>laws, other than this power of delegation.</w:t>
      </w:r>
    </w:p>
    <w:p>
      <w:pPr>
        <w:pStyle w:val="Footnotesection"/>
      </w:pPr>
      <w:r>
        <w:tab/>
        <w:t>[By-law 3B inserted: Gazette 29 Jun 2001 p. 3112.]</w:t>
      </w:r>
    </w:p>
    <w:p>
      <w:pPr>
        <w:pStyle w:val="Heading2"/>
      </w:pPr>
      <w:bookmarkStart w:id="10" w:name="_Toc201915680"/>
      <w:bookmarkStart w:id="11" w:name="_Toc201916201"/>
      <w:bookmarkStart w:id="12" w:name="_Toc201918808"/>
      <w:r>
        <w:rPr>
          <w:rStyle w:val="CharPartNo"/>
        </w:rPr>
        <w:lastRenderedPageBreak/>
        <w:t>Part II</w:t>
      </w:r>
      <w:r>
        <w:rPr>
          <w:rStyle w:val="CharDivNo"/>
        </w:rPr>
        <w:t> </w:t>
      </w:r>
      <w:r>
        <w:t>—</w:t>
      </w:r>
      <w:r>
        <w:rPr>
          <w:rStyle w:val="CharDivText"/>
        </w:rPr>
        <w:t> </w:t>
      </w:r>
      <w:r>
        <w:rPr>
          <w:rStyle w:val="CharPartText"/>
        </w:rPr>
        <w:t>Grounds</w:t>
      </w:r>
      <w:bookmarkEnd w:id="10"/>
      <w:bookmarkEnd w:id="11"/>
      <w:bookmarkEnd w:id="12"/>
      <w:r>
        <w:rPr>
          <w:rStyle w:val="CharPartText"/>
        </w:rPr>
        <w:t xml:space="preserve"> </w:t>
      </w:r>
    </w:p>
    <w:p>
      <w:pPr>
        <w:pStyle w:val="Heading5"/>
      </w:pPr>
      <w:bookmarkStart w:id="13" w:name="_Toc201918809"/>
      <w:r>
        <w:rPr>
          <w:rStyle w:val="CharSectno"/>
        </w:rPr>
        <w:t>4</w:t>
      </w:r>
      <w:r>
        <w:t>.</w:t>
      </w:r>
      <w:r>
        <w:tab/>
        <w:t>No entry without cause</w:t>
      </w:r>
      <w:bookmarkEnd w:id="13"/>
    </w:p>
    <w:p>
      <w:pPr>
        <w:pStyle w:val="Subsection"/>
      </w:pPr>
      <w:r>
        <w:tab/>
      </w:r>
      <w:r>
        <w:tab/>
        <w:t>A person who enters or remains on the site without a reasonable excuse commits an offence.</w:t>
      </w:r>
    </w:p>
    <w:p>
      <w:pPr>
        <w:pStyle w:val="Footnotesection"/>
      </w:pPr>
      <w:r>
        <w:tab/>
        <w:t>[By-law 4 inserted: Gazette 8 May 2015 p. 1620.]</w:t>
      </w:r>
    </w:p>
    <w:p>
      <w:pPr>
        <w:pStyle w:val="Heading5"/>
        <w:rPr>
          <w:snapToGrid w:val="0"/>
        </w:rPr>
      </w:pPr>
      <w:bookmarkStart w:id="14" w:name="_Toc201918810"/>
      <w:r>
        <w:rPr>
          <w:rStyle w:val="CharSectno"/>
        </w:rPr>
        <w:t>5</w:t>
      </w:r>
      <w:r>
        <w:rPr>
          <w:snapToGrid w:val="0"/>
        </w:rPr>
        <w:t>.</w:t>
      </w:r>
      <w:r>
        <w:rPr>
          <w:snapToGrid w:val="0"/>
        </w:rPr>
        <w:tab/>
        <w:t>Bill sticking</w:t>
      </w:r>
      <w:bookmarkEnd w:id="14"/>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posts, sticks, stamps, stencils or otherwise affixes any placard, handbill, notice, advertisement, paper or other document on or to any tree, fence, post, gate, wall, pavement, roadway, footway or building or other structure on the site; or</w:t>
      </w:r>
    </w:p>
    <w:p>
      <w:pPr>
        <w:pStyle w:val="Indenta"/>
        <w:rPr>
          <w:snapToGrid w:val="0"/>
        </w:rPr>
      </w:pPr>
      <w:r>
        <w:rPr>
          <w:snapToGrid w:val="0"/>
        </w:rPr>
        <w:tab/>
        <w:t>(b)</w:t>
      </w:r>
      <w:r>
        <w:rPr>
          <w:snapToGrid w:val="0"/>
        </w:rPr>
        <w:tab/>
        <w:t>writes, draws or paints on or defaces any tree, fence, post, gate, wall, pavement, roadway, footway or building or other structure on the site; or</w:t>
      </w:r>
    </w:p>
    <w:p>
      <w:pPr>
        <w:pStyle w:val="Indenta"/>
        <w:rPr>
          <w:snapToGrid w:val="0"/>
        </w:rPr>
      </w:pPr>
      <w:r>
        <w:rPr>
          <w:snapToGrid w:val="0"/>
        </w:rPr>
        <w:tab/>
        <w:t>(c)</w:t>
      </w:r>
      <w:r>
        <w:rPr>
          <w:snapToGrid w:val="0"/>
        </w:rPr>
        <w:tab/>
        <w:t>causes an act described by paragraph (a) or (b) to be done,</w:t>
      </w:r>
    </w:p>
    <w:p>
      <w:pPr>
        <w:pStyle w:val="Subsection"/>
        <w:rPr>
          <w:snapToGrid w:val="0"/>
        </w:rPr>
      </w:pPr>
      <w:r>
        <w:rPr>
          <w:snapToGrid w:val="0"/>
        </w:rPr>
        <w:tab/>
      </w:r>
      <w:r>
        <w:rPr>
          <w:snapToGrid w:val="0"/>
        </w:rPr>
        <w:tab/>
        <w:t>commits an offence.</w:t>
      </w:r>
    </w:p>
    <w:p>
      <w:pPr>
        <w:pStyle w:val="Heading5"/>
        <w:rPr>
          <w:snapToGrid w:val="0"/>
        </w:rPr>
      </w:pPr>
      <w:bookmarkStart w:id="15" w:name="_Toc201918811"/>
      <w:r>
        <w:rPr>
          <w:rStyle w:val="CharSectno"/>
        </w:rPr>
        <w:t>6</w:t>
      </w:r>
      <w:r>
        <w:rPr>
          <w:snapToGrid w:val="0"/>
        </w:rPr>
        <w:t>.</w:t>
      </w:r>
      <w:r>
        <w:rPr>
          <w:snapToGrid w:val="0"/>
        </w:rPr>
        <w:tab/>
        <w:t>Litter</w:t>
      </w:r>
      <w:bookmarkEnd w:id="15"/>
      <w:r>
        <w:rPr>
          <w:snapToGrid w:val="0"/>
        </w:rPr>
        <w:t xml:space="preserve"> </w:t>
      </w:r>
    </w:p>
    <w:p>
      <w:pPr>
        <w:pStyle w:val="Subsection"/>
        <w:rPr>
          <w:snapToGrid w:val="0"/>
        </w:rPr>
      </w:pPr>
      <w:r>
        <w:rPr>
          <w:snapToGrid w:val="0"/>
        </w:rPr>
        <w:tab/>
      </w:r>
      <w:r>
        <w:rPr>
          <w:snapToGrid w:val="0"/>
        </w:rPr>
        <w:tab/>
        <w:t>A person who throws or leaves rubbish, refuse, paper, bottles, glass (broken or otherwise) or litter of any kind on the site, otherwise than in a receptacle provided for the purpose, commits an offence.</w:t>
      </w:r>
    </w:p>
    <w:p>
      <w:pPr>
        <w:pStyle w:val="Heading5"/>
      </w:pPr>
      <w:bookmarkStart w:id="16" w:name="_Toc201918812"/>
      <w:r>
        <w:rPr>
          <w:rStyle w:val="CharSectno"/>
        </w:rPr>
        <w:t>7</w:t>
      </w:r>
      <w:r>
        <w:t>.</w:t>
      </w:r>
      <w:r>
        <w:tab/>
        <w:t>Prohibited items</w:t>
      </w:r>
      <w:bookmarkEnd w:id="16"/>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a firearm; or</w:t>
      </w:r>
    </w:p>
    <w:p>
      <w:pPr>
        <w:pStyle w:val="Defpara"/>
      </w:pPr>
      <w:r>
        <w:lastRenderedPageBreak/>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(da)</w:t>
      </w:r>
      <w:r>
        <w:tab/>
        <w:t xml:space="preserve">an article with a sharpened edge, that is reasonably capable of being held in 1 or both hands, and that is made or modified to be used — </w:t>
      </w:r>
    </w:p>
    <w:p>
      <w:pPr>
        <w:pStyle w:val="Defsubpara"/>
      </w:pPr>
      <w:r>
        <w:tab/>
        <w:t>(i)</w:t>
      </w:r>
      <w:r>
        <w:tab/>
        <w:t>to injure or disable a person; or</w:t>
      </w:r>
    </w:p>
    <w:p>
      <w:pPr>
        <w:pStyle w:val="Defsubpara"/>
      </w:pPr>
      <w:r>
        <w:tab/>
        <w:t>(ii)</w:t>
      </w:r>
      <w:r>
        <w:tab/>
        <w:t>to cause a person to fear that someone will be injured or disabled by that use; or</w:t>
      </w:r>
    </w:p>
    <w:p>
      <w:pPr>
        <w:pStyle w:val="Defsubpara"/>
      </w:pPr>
      <w:r>
        <w:tab/>
        <w:t>(iii)</w:t>
      </w:r>
      <w:r>
        <w:tab/>
        <w:t>for attack or defence in the practice of a martial sport, art or similar discipline;</w:t>
      </w:r>
    </w:p>
    <w:p>
      <w:pPr>
        <w:pStyle w:val="Defpara"/>
      </w:pPr>
      <w:r>
        <w:tab/>
      </w:r>
      <w:r>
        <w:tab/>
        <w:t>or</w:t>
      </w:r>
    </w:p>
    <w:p>
      <w:pPr>
        <w:pStyle w:val="Defpara"/>
      </w:pPr>
      <w:r>
        <w:tab/>
        <w:t>(e)</w:t>
      </w:r>
      <w:r>
        <w:tab/>
        <w:t xml:space="preserve">a prohibited drug as defined in the </w:t>
      </w:r>
      <w:r>
        <w:rPr>
          <w:i/>
        </w:rPr>
        <w:t>Misuse of Drugs Act 1981</w:t>
      </w:r>
      <w:r>
        <w:t xml:space="preserve"> section 3(1).</w:t>
      </w:r>
    </w:p>
    <w:p>
      <w:pPr>
        <w:pStyle w:val="Subsection"/>
      </w:pPr>
      <w:r>
        <w:tab/>
        <w:t>(2)</w:t>
      </w:r>
      <w:r>
        <w:tab/>
        <w:t>A person who brings onto the site a prohibited item without permission commits an offence.</w:t>
      </w:r>
    </w:p>
    <w:p>
      <w:pPr>
        <w:pStyle w:val="Footnotesection"/>
      </w:pPr>
      <w:r>
        <w:tab/>
        <w:t>[By-law 7 inserted: Gazette 8 May 2015 p. 1620; amended: SL 2024/248 bl. 4; SL 2025/39 bl. 5.]</w:t>
      </w:r>
    </w:p>
    <w:p>
      <w:pPr>
        <w:pStyle w:val="Heading5"/>
        <w:spacing w:before="240"/>
      </w:pPr>
      <w:bookmarkStart w:id="17" w:name="_Toc201918813"/>
      <w:r>
        <w:rPr>
          <w:rStyle w:val="CharSectno"/>
        </w:rPr>
        <w:t>8A</w:t>
      </w:r>
      <w:r>
        <w:t>.</w:t>
      </w:r>
      <w:r>
        <w:tab/>
        <w:t>Smoking</w:t>
      </w:r>
      <w:bookmarkEnd w:id="17"/>
    </w:p>
    <w:p>
      <w:pPr>
        <w:pStyle w:val="Subsection"/>
      </w:pPr>
      <w:r>
        <w:tab/>
      </w:r>
      <w:r>
        <w:tab/>
        <w:t>A person who smokes on the site commits an offence.</w:t>
      </w:r>
    </w:p>
    <w:p>
      <w:pPr>
        <w:pStyle w:val="Footnotesection"/>
        <w:ind w:left="890" w:hanging="890"/>
      </w:pPr>
      <w:r>
        <w:tab/>
        <w:t>[By-law 8A inserted: Gazette 22 Jun 2010 p. 2773.]</w:t>
      </w:r>
    </w:p>
    <w:p>
      <w:pPr>
        <w:pStyle w:val="Heading5"/>
        <w:spacing w:before="240"/>
        <w:rPr>
          <w:snapToGrid w:val="0"/>
        </w:rPr>
      </w:pPr>
      <w:bookmarkStart w:id="18" w:name="_Toc201918814"/>
      <w:r>
        <w:rPr>
          <w:rStyle w:val="CharSectno"/>
        </w:rPr>
        <w:t>8</w:t>
      </w:r>
      <w:r>
        <w:rPr>
          <w:snapToGrid w:val="0"/>
        </w:rPr>
        <w:t>.</w:t>
      </w:r>
      <w:r>
        <w:rPr>
          <w:snapToGrid w:val="0"/>
        </w:rPr>
        <w:tab/>
        <w:t>Protection of trees, buildings etc.</w:t>
      </w:r>
      <w:bookmarkEnd w:id="18"/>
      <w:r>
        <w:rPr>
          <w:snapToGrid w:val="0"/>
        </w:rPr>
        <w:t xml:space="preserve"> </w:t>
      </w:r>
    </w:p>
    <w:p>
      <w:pPr>
        <w:pStyle w:val="Subsection"/>
        <w:rPr>
          <w:snapToGrid w:val="0"/>
        </w:rPr>
      </w:pPr>
      <w:r>
        <w:rPr>
          <w:snapToGrid w:val="0"/>
        </w:rPr>
        <w:tab/>
      </w:r>
      <w:r>
        <w:rPr>
          <w:snapToGrid w:val="0"/>
        </w:rPr>
        <w:tab/>
        <w:t>A person who, without permission — </w:t>
      </w:r>
    </w:p>
    <w:p>
      <w:pPr>
        <w:pStyle w:val="Indenta"/>
        <w:spacing w:before="100"/>
        <w:rPr>
          <w:snapToGrid w:val="0"/>
        </w:rPr>
      </w:pPr>
      <w:r>
        <w:rPr>
          <w:snapToGrid w:val="0"/>
        </w:rPr>
        <w:tab/>
        <w:t>(a)</w:t>
      </w:r>
      <w:r>
        <w:rPr>
          <w:snapToGrid w:val="0"/>
        </w:rPr>
        <w:tab/>
        <w:t>cuts, breaks, defaces, picks, injures, destroys or removes any tree, shrub, plant, flower, garden or lawn on the site; or</w:t>
      </w:r>
    </w:p>
    <w:p>
      <w:pPr>
        <w:pStyle w:val="Indenta"/>
        <w:spacing w:before="100"/>
        <w:rPr>
          <w:snapToGrid w:val="0"/>
        </w:rPr>
      </w:pPr>
      <w:r>
        <w:rPr>
          <w:snapToGrid w:val="0"/>
        </w:rPr>
        <w:tab/>
        <w:t>(b)</w:t>
      </w:r>
      <w:r>
        <w:rPr>
          <w:snapToGrid w:val="0"/>
        </w:rPr>
        <w:tab/>
        <w:t>damages, removes or interferes with any stake or label on or near any tree, shrub, plant, flower, garden or lawn on the site; or</w:t>
      </w:r>
    </w:p>
    <w:p>
      <w:pPr>
        <w:pStyle w:val="Indenta"/>
        <w:spacing w:before="100"/>
        <w:rPr>
          <w:snapToGrid w:val="0"/>
        </w:rPr>
      </w:pPr>
      <w:r>
        <w:rPr>
          <w:snapToGrid w:val="0"/>
        </w:rPr>
        <w:lastRenderedPageBreak/>
        <w:tab/>
        <w:t>(c)</w:t>
      </w:r>
      <w:r>
        <w:rPr>
          <w:snapToGrid w:val="0"/>
        </w:rPr>
        <w:tab/>
        <w:t>walks on or causes damage to any area on the site containing or being prepared for shrubs or flowers; or</w:t>
      </w:r>
    </w:p>
    <w:p>
      <w:pPr>
        <w:pStyle w:val="Indenta"/>
        <w:spacing w:before="100"/>
        <w:rPr>
          <w:snapToGrid w:val="0"/>
        </w:rPr>
      </w:pPr>
      <w:r>
        <w:rPr>
          <w:snapToGrid w:val="0"/>
        </w:rPr>
        <w:tab/>
        <w:t>(d)</w:t>
      </w:r>
      <w:r>
        <w:rPr>
          <w:snapToGrid w:val="0"/>
        </w:rPr>
        <w:tab/>
        <w:t>pollutes, enters or remains in any pond, lake or ornamental water on the site; or</w:t>
      </w:r>
    </w:p>
    <w:p>
      <w:pPr>
        <w:pStyle w:val="Indenta"/>
        <w:spacing w:before="100"/>
        <w:rPr>
          <w:snapToGrid w:val="0"/>
        </w:rPr>
      </w:pPr>
      <w:r>
        <w:rPr>
          <w:snapToGrid w:val="0"/>
        </w:rPr>
        <w:tab/>
        <w:t>(e)</w:t>
      </w:r>
      <w:r>
        <w:rPr>
          <w:snapToGrid w:val="0"/>
        </w:rPr>
        <w:tab/>
        <w:t>cuts, damages, injures, disfigures, removes or interferes with the soil or surface of the site, or any roadway or footway on the site, or any fence, building, rockwork, water cock, plant, tool, seat, sign, notice, notice board, bus passenger shelter, post, railing, barrier or other structure or thing that may be from time to time erected or placed on the site by or by authority of the secretary,</w:t>
      </w:r>
    </w:p>
    <w:p>
      <w:pPr>
        <w:pStyle w:val="Subsection"/>
        <w:rPr>
          <w:snapToGrid w:val="0"/>
        </w:rPr>
      </w:pPr>
      <w:r>
        <w:rPr>
          <w:snapToGrid w:val="0"/>
        </w:rPr>
        <w:tab/>
      </w:r>
      <w:r>
        <w:rPr>
          <w:snapToGrid w:val="0"/>
        </w:rPr>
        <w:tab/>
        <w:t>commits an offence.</w:t>
      </w:r>
    </w:p>
    <w:p>
      <w:pPr>
        <w:pStyle w:val="Heading5"/>
        <w:rPr>
          <w:snapToGrid w:val="0"/>
        </w:rPr>
      </w:pPr>
      <w:bookmarkStart w:id="19" w:name="_Toc201918815"/>
      <w:r>
        <w:rPr>
          <w:rStyle w:val="CharSectno"/>
        </w:rPr>
        <w:t>9</w:t>
      </w:r>
      <w:r>
        <w:rPr>
          <w:snapToGrid w:val="0"/>
        </w:rPr>
        <w:t>.</w:t>
      </w:r>
      <w:r>
        <w:rPr>
          <w:snapToGrid w:val="0"/>
        </w:rPr>
        <w:tab/>
        <w:t>Dangerous activities</w:t>
      </w:r>
      <w:bookmarkEnd w:id="19"/>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kindles, makes or lights a fire; or</w:t>
      </w:r>
    </w:p>
    <w:p>
      <w:pPr>
        <w:pStyle w:val="Indenta"/>
        <w:rPr>
          <w:snapToGrid w:val="0"/>
        </w:rPr>
      </w:pPr>
      <w:r>
        <w:rPr>
          <w:snapToGrid w:val="0"/>
        </w:rPr>
        <w:tab/>
        <w:t>(b)</w:t>
      </w:r>
      <w:r>
        <w:rPr>
          <w:snapToGrid w:val="0"/>
        </w:rPr>
        <w:tab/>
        <w:t>creates or discharges an offensive or dangerous gas, smoke, smell or noise; or</w:t>
      </w:r>
    </w:p>
    <w:p>
      <w:pPr>
        <w:pStyle w:val="Indenta"/>
        <w:rPr>
          <w:snapToGrid w:val="0"/>
        </w:rPr>
      </w:pPr>
      <w:r>
        <w:rPr>
          <w:snapToGrid w:val="0"/>
        </w:rPr>
        <w:tab/>
        <w:t>(c)</w:t>
      </w:r>
      <w:r>
        <w:rPr>
          <w:snapToGrid w:val="0"/>
        </w:rPr>
        <w:tab/>
        <w:t>discharges a firearm or other offensive weapon; or</w:t>
      </w:r>
    </w:p>
    <w:p>
      <w:pPr>
        <w:pStyle w:val="Indenta"/>
        <w:rPr>
          <w:snapToGrid w:val="0"/>
        </w:rPr>
      </w:pPr>
      <w:r>
        <w:rPr>
          <w:snapToGrid w:val="0"/>
        </w:rPr>
        <w:tab/>
        <w:t>(d)</w:t>
      </w:r>
      <w:r>
        <w:rPr>
          <w:snapToGrid w:val="0"/>
        </w:rPr>
        <w:tab/>
        <w:t>throws or releases a stone, missile or other dangerous object or material; or</w:t>
      </w:r>
    </w:p>
    <w:p>
      <w:pPr>
        <w:pStyle w:val="Indenta"/>
        <w:rPr>
          <w:snapToGrid w:val="0"/>
        </w:rPr>
      </w:pPr>
      <w:r>
        <w:rPr>
          <w:snapToGrid w:val="0"/>
        </w:rPr>
        <w:tab/>
        <w:t>(e)</w:t>
      </w:r>
      <w:r>
        <w:rPr>
          <w:snapToGrid w:val="0"/>
        </w:rPr>
        <w:tab/>
        <w:t>brings or makes a bomb or other explosive device,</w:t>
      </w:r>
    </w:p>
    <w:p>
      <w:pPr>
        <w:pStyle w:val="Subsection"/>
        <w:rPr>
          <w:snapToGrid w:val="0"/>
        </w:rPr>
      </w:pPr>
      <w:r>
        <w:rPr>
          <w:snapToGrid w:val="0"/>
        </w:rPr>
        <w:tab/>
      </w:r>
      <w:r>
        <w:rPr>
          <w:snapToGrid w:val="0"/>
        </w:rPr>
        <w:tab/>
        <w:t>on or onto the site commits an offence.</w:t>
      </w:r>
    </w:p>
    <w:p>
      <w:pPr>
        <w:pStyle w:val="Footnotesection"/>
      </w:pPr>
      <w:r>
        <w:tab/>
        <w:t>[By-law 9 amended: Gazette 8 May 2015 p. 1620.]</w:t>
      </w:r>
    </w:p>
    <w:p>
      <w:pPr>
        <w:pStyle w:val="Heading5"/>
        <w:rPr>
          <w:snapToGrid w:val="0"/>
        </w:rPr>
      </w:pPr>
      <w:bookmarkStart w:id="20" w:name="_Toc201918816"/>
      <w:r>
        <w:rPr>
          <w:rStyle w:val="CharSectno"/>
        </w:rPr>
        <w:t>10</w:t>
      </w:r>
      <w:r>
        <w:rPr>
          <w:snapToGrid w:val="0"/>
        </w:rPr>
        <w:t>.</w:t>
      </w:r>
      <w:r>
        <w:rPr>
          <w:snapToGrid w:val="0"/>
        </w:rPr>
        <w:tab/>
        <w:t>Animals</w:t>
      </w:r>
      <w:bookmarkEnd w:id="20"/>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catches, chases, traps, interferes with, disturbs, injures, destroys or places a trap for, or otherwise attempts to capture or kill, a bird, fish or animal on the site; or</w:t>
      </w:r>
    </w:p>
    <w:p>
      <w:pPr>
        <w:pStyle w:val="Indenta"/>
        <w:keepNext/>
        <w:rPr>
          <w:snapToGrid w:val="0"/>
        </w:rPr>
      </w:pPr>
      <w:r>
        <w:rPr>
          <w:snapToGrid w:val="0"/>
        </w:rPr>
        <w:lastRenderedPageBreak/>
        <w:tab/>
        <w:t>(b)</w:t>
      </w:r>
      <w:r>
        <w:rPr>
          <w:snapToGrid w:val="0"/>
        </w:rPr>
        <w:tab/>
        <w:t>brings a bird, fish or animal onto the site,</w:t>
      </w:r>
    </w:p>
    <w:p>
      <w:pPr>
        <w:pStyle w:val="Subsection"/>
        <w:rPr>
          <w:snapToGrid w:val="0"/>
        </w:rPr>
      </w:pPr>
      <w:r>
        <w:rPr>
          <w:snapToGrid w:val="0"/>
        </w:rPr>
        <w:tab/>
      </w:r>
      <w:r>
        <w:rPr>
          <w:snapToGrid w:val="0"/>
        </w:rPr>
        <w:tab/>
        <w:t>commits an offence.</w:t>
      </w:r>
    </w:p>
    <w:p>
      <w:pPr>
        <w:pStyle w:val="Heading5"/>
        <w:rPr>
          <w:snapToGrid w:val="0"/>
        </w:rPr>
      </w:pPr>
      <w:bookmarkStart w:id="21" w:name="_Toc201918817"/>
      <w:r>
        <w:rPr>
          <w:rStyle w:val="CharSectno"/>
        </w:rPr>
        <w:t>11</w:t>
      </w:r>
      <w:r>
        <w:rPr>
          <w:snapToGrid w:val="0"/>
        </w:rPr>
        <w:t>.</w:t>
      </w:r>
      <w:r>
        <w:rPr>
          <w:snapToGrid w:val="0"/>
        </w:rPr>
        <w:tab/>
        <w:t>Selling, distributing or hiring</w:t>
      </w:r>
      <w:bookmarkEnd w:id="21"/>
      <w:r>
        <w:rPr>
          <w:snapToGrid w:val="0"/>
        </w:rPr>
        <w:t xml:space="preserve"> </w:t>
      </w:r>
    </w:p>
    <w:p>
      <w:pPr>
        <w:pStyle w:val="Subsection"/>
        <w:rPr>
          <w:snapToGrid w:val="0"/>
        </w:rPr>
      </w:pPr>
      <w:r>
        <w:rPr>
          <w:snapToGrid w:val="0"/>
        </w:rPr>
        <w:tab/>
        <w:t>(1)</w:t>
      </w:r>
      <w:r>
        <w:rPr>
          <w:snapToGrid w:val="0"/>
        </w:rPr>
        <w:tab/>
        <w:t>A person shall not on the site, without permission — </w:t>
      </w:r>
    </w:p>
    <w:p>
      <w:pPr>
        <w:pStyle w:val="Indenta"/>
        <w:rPr>
          <w:snapToGrid w:val="0"/>
        </w:rPr>
      </w:pPr>
      <w:r>
        <w:rPr>
          <w:snapToGrid w:val="0"/>
        </w:rPr>
        <w:tab/>
        <w:t>(a)</w:t>
      </w:r>
      <w:r>
        <w:rPr>
          <w:snapToGrid w:val="0"/>
        </w:rPr>
        <w:tab/>
        <w:t>sell, or expose for sale, or distribute for the purpose of promoting the sale of, any goods, wares or merchandise of any kind; or</w:t>
      </w:r>
    </w:p>
    <w:p>
      <w:pPr>
        <w:pStyle w:val="Indenta"/>
        <w:rPr>
          <w:snapToGrid w:val="0"/>
        </w:rPr>
      </w:pPr>
      <w:r>
        <w:rPr>
          <w:snapToGrid w:val="0"/>
        </w:rPr>
        <w:tab/>
        <w:t>(b)</w:t>
      </w:r>
      <w:r>
        <w:rPr>
          <w:snapToGrid w:val="0"/>
        </w:rPr>
        <w:tab/>
        <w:t>solicit or gather money; or</w:t>
      </w:r>
    </w:p>
    <w:p>
      <w:pPr>
        <w:pStyle w:val="Indenta"/>
        <w:rPr>
          <w:snapToGrid w:val="0"/>
        </w:rPr>
      </w:pPr>
      <w:r>
        <w:rPr>
          <w:snapToGrid w:val="0"/>
        </w:rPr>
        <w:tab/>
        <w:t>(c)</w:t>
      </w:r>
      <w:r>
        <w:rPr>
          <w:snapToGrid w:val="0"/>
        </w:rPr>
        <w:tab/>
        <w:t>sell, distribute, or carry or expose for sale or distribution, any printed or written matter; or</w:t>
      </w:r>
    </w:p>
    <w:p>
      <w:pPr>
        <w:pStyle w:val="Indenta"/>
        <w:rPr>
          <w:snapToGrid w:val="0"/>
        </w:rPr>
      </w:pPr>
      <w:r>
        <w:rPr>
          <w:snapToGrid w:val="0"/>
        </w:rPr>
        <w:tab/>
        <w:t>(d)</w:t>
      </w:r>
      <w:r>
        <w:rPr>
          <w:snapToGrid w:val="0"/>
        </w:rPr>
        <w:tab/>
        <w:t>place or install on the reserve any chair, seat or other thing for hire.</w:t>
      </w:r>
    </w:p>
    <w:p>
      <w:pPr>
        <w:pStyle w:val="Subsection"/>
        <w:rPr>
          <w:snapToGrid w:val="0"/>
        </w:rPr>
      </w:pPr>
      <w:r>
        <w:rPr>
          <w:snapToGrid w:val="0"/>
        </w:rPr>
        <w:tab/>
        <w:t>(2)</w:t>
      </w:r>
      <w:r>
        <w:rPr>
          <w:snapToGrid w:val="0"/>
        </w:rPr>
        <w:tab/>
        <w:t>A person who contravenes this by</w:t>
      </w:r>
      <w:r>
        <w:rPr>
          <w:snapToGrid w:val="0"/>
        </w:rPr>
        <w:noBreakHyphen/>
        <w:t>law commits an offence.</w:t>
      </w:r>
    </w:p>
    <w:p>
      <w:pPr>
        <w:pStyle w:val="Heading5"/>
        <w:rPr>
          <w:snapToGrid w:val="0"/>
        </w:rPr>
      </w:pPr>
      <w:bookmarkStart w:id="22" w:name="_Toc201918818"/>
      <w:r>
        <w:rPr>
          <w:rStyle w:val="CharSectno"/>
        </w:rPr>
        <w:t>12</w:t>
      </w:r>
      <w:r>
        <w:rPr>
          <w:snapToGrid w:val="0"/>
        </w:rPr>
        <w:t>.</w:t>
      </w:r>
      <w:r>
        <w:rPr>
          <w:snapToGrid w:val="0"/>
        </w:rPr>
        <w:tab/>
        <w:t>Removal of property</w:t>
      </w:r>
      <w:bookmarkEnd w:id="22"/>
      <w:r>
        <w:rPr>
          <w:snapToGrid w:val="0"/>
        </w:rPr>
        <w:t xml:space="preserve"> </w:t>
      </w:r>
    </w:p>
    <w:p>
      <w:pPr>
        <w:pStyle w:val="Subsection"/>
        <w:rPr>
          <w:snapToGrid w:val="0"/>
        </w:rPr>
      </w:pPr>
      <w:r>
        <w:rPr>
          <w:snapToGrid w:val="0"/>
        </w:rPr>
        <w:tab/>
      </w:r>
      <w:r>
        <w:rPr>
          <w:snapToGrid w:val="0"/>
        </w:rPr>
        <w:tab/>
        <w:t>A person who, without permission, removes from the site, or disturbs, moves or interferes with, any article or property that is lying or left on the site, commits an offence, unless that person is legally entitled to possession of that article or property.</w:t>
      </w:r>
    </w:p>
    <w:p>
      <w:pPr>
        <w:pStyle w:val="Heading5"/>
        <w:rPr>
          <w:snapToGrid w:val="0"/>
        </w:rPr>
      </w:pPr>
      <w:bookmarkStart w:id="23" w:name="_Toc201918819"/>
      <w:r>
        <w:rPr>
          <w:rStyle w:val="CharSectno"/>
        </w:rPr>
        <w:t>13</w:t>
      </w:r>
      <w:r>
        <w:rPr>
          <w:snapToGrid w:val="0"/>
        </w:rPr>
        <w:t>.</w:t>
      </w:r>
      <w:r>
        <w:rPr>
          <w:snapToGrid w:val="0"/>
        </w:rPr>
        <w:tab/>
        <w:t>Public performances etc.</w:t>
      </w:r>
      <w:bookmarkEnd w:id="23"/>
      <w:r>
        <w:rPr>
          <w:snapToGrid w:val="0"/>
        </w:rPr>
        <w:t xml:space="preserve"> </w:t>
      </w:r>
    </w:p>
    <w:p>
      <w:pPr>
        <w:pStyle w:val="Subsection"/>
        <w:rPr>
          <w:snapToGrid w:val="0"/>
        </w:rPr>
      </w:pPr>
      <w:r>
        <w:rPr>
          <w:snapToGrid w:val="0"/>
        </w:rPr>
        <w:tab/>
      </w:r>
      <w:r>
        <w:rPr>
          <w:snapToGrid w:val="0"/>
        </w:rPr>
        <w:tab/>
        <w:t>A person who, without permission, arranges, advertises or takes part in — </w:t>
      </w:r>
    </w:p>
    <w:p>
      <w:pPr>
        <w:pStyle w:val="Indenta"/>
        <w:rPr>
          <w:snapToGrid w:val="0"/>
        </w:rPr>
      </w:pPr>
      <w:r>
        <w:rPr>
          <w:snapToGrid w:val="0"/>
        </w:rPr>
        <w:tab/>
        <w:t>(a)</w:t>
      </w:r>
      <w:r>
        <w:rPr>
          <w:snapToGrid w:val="0"/>
        </w:rPr>
        <w:tab/>
        <w:t>any fete, picnic, concert or other performance; or</w:t>
      </w:r>
    </w:p>
    <w:p>
      <w:pPr>
        <w:pStyle w:val="Indenta"/>
        <w:keepNext/>
        <w:rPr>
          <w:snapToGrid w:val="0"/>
        </w:rPr>
      </w:pPr>
      <w:r>
        <w:rPr>
          <w:snapToGrid w:val="0"/>
        </w:rPr>
        <w:tab/>
        <w:t>(b)</w:t>
      </w:r>
      <w:r>
        <w:rPr>
          <w:snapToGrid w:val="0"/>
        </w:rPr>
        <w:tab/>
        <w:t>any public speaking or preaching,</w:t>
      </w:r>
    </w:p>
    <w:p>
      <w:pPr>
        <w:pStyle w:val="Subsection"/>
        <w:rPr>
          <w:snapToGrid w:val="0"/>
        </w:rPr>
      </w:pPr>
      <w:r>
        <w:rPr>
          <w:snapToGrid w:val="0"/>
        </w:rPr>
        <w:tab/>
      </w:r>
      <w:r>
        <w:rPr>
          <w:snapToGrid w:val="0"/>
        </w:rPr>
        <w:tab/>
        <w:t>on the site commits an offence.</w:t>
      </w:r>
    </w:p>
    <w:p>
      <w:pPr>
        <w:pStyle w:val="Heading5"/>
        <w:rPr>
          <w:snapToGrid w:val="0"/>
        </w:rPr>
      </w:pPr>
      <w:bookmarkStart w:id="24" w:name="_Toc201918820"/>
      <w:r>
        <w:rPr>
          <w:rStyle w:val="CharSectno"/>
        </w:rPr>
        <w:t>14</w:t>
      </w:r>
      <w:r>
        <w:rPr>
          <w:snapToGrid w:val="0"/>
        </w:rPr>
        <w:t>.</w:t>
      </w:r>
      <w:r>
        <w:rPr>
          <w:snapToGrid w:val="0"/>
        </w:rPr>
        <w:tab/>
        <w:t>Gambling</w:t>
      </w:r>
      <w:bookmarkEnd w:id="24"/>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bets or offers to bet or accept a bet; or</w:t>
      </w:r>
    </w:p>
    <w:p>
      <w:pPr>
        <w:pStyle w:val="Indenta"/>
        <w:rPr>
          <w:snapToGrid w:val="0"/>
        </w:rPr>
      </w:pPr>
      <w:r>
        <w:rPr>
          <w:snapToGrid w:val="0"/>
        </w:rPr>
        <w:lastRenderedPageBreak/>
        <w:tab/>
        <w:t>(b)</w:t>
      </w:r>
      <w:r>
        <w:rPr>
          <w:snapToGrid w:val="0"/>
        </w:rPr>
        <w:tab/>
        <w:t>sells, purchases or offers to sell or purchase any ticket or coupon for, or which purports to be for, a sweep or lottery; or</w:t>
      </w:r>
    </w:p>
    <w:p>
      <w:pPr>
        <w:pStyle w:val="Indenta"/>
        <w:rPr>
          <w:snapToGrid w:val="0"/>
        </w:rPr>
      </w:pPr>
      <w:r>
        <w:rPr>
          <w:snapToGrid w:val="0"/>
        </w:rPr>
        <w:tab/>
        <w:t>(c)</w:t>
      </w:r>
      <w:r>
        <w:rPr>
          <w:snapToGrid w:val="0"/>
        </w:rPr>
        <w:tab/>
        <w:t>plays cards for money or engages in any other form of gambling,</w:t>
      </w:r>
    </w:p>
    <w:p>
      <w:pPr>
        <w:pStyle w:val="Subsection"/>
        <w:rPr>
          <w:snapToGrid w:val="0"/>
        </w:rPr>
      </w:pPr>
      <w:r>
        <w:rPr>
          <w:snapToGrid w:val="0"/>
        </w:rPr>
        <w:tab/>
      </w:r>
      <w:r>
        <w:rPr>
          <w:snapToGrid w:val="0"/>
        </w:rPr>
        <w:tab/>
        <w:t>on the site commits an offence.</w:t>
      </w:r>
    </w:p>
    <w:p>
      <w:pPr>
        <w:pStyle w:val="Heading5"/>
        <w:rPr>
          <w:snapToGrid w:val="0"/>
        </w:rPr>
      </w:pPr>
      <w:bookmarkStart w:id="25" w:name="_Toc201918821"/>
      <w:r>
        <w:rPr>
          <w:rStyle w:val="CharSectno"/>
        </w:rPr>
        <w:t>15</w:t>
      </w:r>
      <w:r>
        <w:rPr>
          <w:snapToGrid w:val="0"/>
        </w:rPr>
        <w:t>.</w:t>
      </w:r>
      <w:r>
        <w:rPr>
          <w:snapToGrid w:val="0"/>
        </w:rPr>
        <w:tab/>
        <w:t>Directions concerning use of certain areas</w:t>
      </w:r>
      <w:bookmarkEnd w:id="25"/>
      <w:r>
        <w:rPr>
          <w:snapToGrid w:val="0"/>
        </w:rPr>
        <w:t xml:space="preserve"> </w:t>
      </w:r>
    </w:p>
    <w:p>
      <w:pPr>
        <w:pStyle w:val="Subsection"/>
        <w:rPr>
          <w:snapToGrid w:val="0"/>
        </w:rPr>
      </w:pPr>
      <w:r>
        <w:rPr>
          <w:snapToGrid w:val="0"/>
        </w:rPr>
        <w:tab/>
        <w:t>(1)</w:t>
      </w:r>
      <w:r>
        <w:rPr>
          <w:snapToGrid w:val="0"/>
        </w:rPr>
        <w:tab/>
        <w:t>An authorised person may, either orally or by the display, erection or marking of a sign or notice, direct that a specified part of the site — </w:t>
      </w:r>
    </w:p>
    <w:p>
      <w:pPr>
        <w:pStyle w:val="Indenta"/>
        <w:rPr>
          <w:snapToGrid w:val="0"/>
        </w:rPr>
      </w:pPr>
      <w:r>
        <w:rPr>
          <w:snapToGrid w:val="0"/>
        </w:rPr>
        <w:tab/>
        <w:t>(a)</w:t>
      </w:r>
      <w:r>
        <w:rPr>
          <w:snapToGrid w:val="0"/>
        </w:rPr>
        <w:tab/>
        <w:t>shall be open to members of the public or a specified section of the public subject to compliance with such conditions as may be specified; or</w:t>
      </w:r>
    </w:p>
    <w:p>
      <w:pPr>
        <w:pStyle w:val="Indenta"/>
        <w:rPr>
          <w:snapToGrid w:val="0"/>
        </w:rPr>
      </w:pPr>
      <w:r>
        <w:rPr>
          <w:snapToGrid w:val="0"/>
        </w:rPr>
        <w:tab/>
        <w:t>(b)</w:t>
      </w:r>
      <w:r>
        <w:rPr>
          <w:snapToGrid w:val="0"/>
        </w:rPr>
        <w:tab/>
        <w:t>may be used for specified activities by members of a specified club or organisation, or by other specified persons, subject to compliance with such conditions as may be specified; or</w:t>
      </w:r>
    </w:p>
    <w:p>
      <w:pPr>
        <w:pStyle w:val="Indenta"/>
        <w:rPr>
          <w:snapToGrid w:val="0"/>
        </w:rPr>
      </w:pPr>
      <w:r>
        <w:rPr>
          <w:snapToGrid w:val="0"/>
        </w:rPr>
        <w:tab/>
        <w:t>(c)</w:t>
      </w:r>
      <w:r>
        <w:rPr>
          <w:snapToGrid w:val="0"/>
        </w:rPr>
        <w:tab/>
        <w:t>shall be cleared of and closed to all persons, other than specified persons, and that all persons, other than specified persons, shall forthwith leave and disperse from that part.</w:t>
      </w:r>
    </w:p>
    <w:p>
      <w:pPr>
        <w:pStyle w:val="Subsection"/>
        <w:rPr>
          <w:snapToGrid w:val="0"/>
        </w:rPr>
      </w:pPr>
      <w:r>
        <w:rPr>
          <w:snapToGrid w:val="0"/>
        </w:rPr>
        <w:tab/>
        <w:t>(2)</w:t>
      </w:r>
      <w:r>
        <w:rPr>
          <w:snapToGrid w:val="0"/>
        </w:rPr>
        <w:tab/>
        <w:t>A direction given under sub</w:t>
      </w:r>
      <w:r>
        <w:rPr>
          <w:snapToGrid w:val="0"/>
        </w:rPr>
        <w:noBreakHyphen/>
        <w:t>bylaw (1) may be varied or cancelled by the secretary.</w:t>
      </w:r>
    </w:p>
    <w:p>
      <w:pPr>
        <w:pStyle w:val="Subsection"/>
        <w:rPr>
          <w:snapToGrid w:val="0"/>
        </w:rPr>
      </w:pPr>
      <w:r>
        <w:rPr>
          <w:snapToGrid w:val="0"/>
        </w:rPr>
        <w:tab/>
        <w:t>(3)</w:t>
      </w:r>
      <w:r>
        <w:rPr>
          <w:snapToGrid w:val="0"/>
        </w:rPr>
        <w:tab/>
        <w:t>In this by</w:t>
      </w:r>
      <w:r>
        <w:rPr>
          <w:snapToGrid w:val="0"/>
        </w:rPr>
        <w:noBreakHyphen/>
        <w:t xml:space="preserve">law </w:t>
      </w:r>
      <w:r>
        <w:rPr>
          <w:rStyle w:val="CharDefText"/>
        </w:rPr>
        <w:t>specified</w:t>
      </w:r>
      <w:r>
        <w:rPr>
          <w:snapToGrid w:val="0"/>
        </w:rPr>
        <w:t xml:space="preserve"> means specified in the relevant direction given under sub</w:t>
      </w:r>
      <w:r>
        <w:rPr>
          <w:snapToGrid w:val="0"/>
        </w:rPr>
        <w:noBreakHyphen/>
        <w:t>bylaw (1).</w:t>
      </w:r>
    </w:p>
    <w:p>
      <w:pPr>
        <w:pStyle w:val="Subsection"/>
        <w:rPr>
          <w:snapToGrid w:val="0"/>
        </w:rPr>
      </w:pPr>
      <w:r>
        <w:rPr>
          <w:snapToGrid w:val="0"/>
        </w:rPr>
        <w:tab/>
        <w:t>(4)</w:t>
      </w:r>
      <w:r>
        <w:rPr>
          <w:snapToGrid w:val="0"/>
        </w:rPr>
        <w:tab/>
        <w:t>A person who contravenes a direction given under sub</w:t>
      </w:r>
      <w:r>
        <w:rPr>
          <w:snapToGrid w:val="0"/>
        </w:rPr>
        <w:noBreakHyphen/>
        <w:t>bylaw (1) commits an offence.</w:t>
      </w:r>
    </w:p>
    <w:p>
      <w:pPr>
        <w:pStyle w:val="Heading5"/>
      </w:pPr>
      <w:bookmarkStart w:id="26" w:name="_Toc201918822"/>
      <w:r>
        <w:rPr>
          <w:rStyle w:val="CharSectno"/>
        </w:rPr>
        <w:lastRenderedPageBreak/>
        <w:t>16A</w:t>
      </w:r>
      <w:r>
        <w:t>.</w:t>
      </w:r>
      <w:r>
        <w:tab/>
        <w:t>Persons may be directed to leave site</w:t>
      </w:r>
      <w:bookmarkEnd w:id="26"/>
    </w:p>
    <w:p>
      <w:pPr>
        <w:pStyle w:val="Subsection"/>
        <w:keepNext/>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7.</w:t>
      </w:r>
    </w:p>
    <w:p>
      <w:pPr>
        <w:pStyle w:val="Subsection"/>
      </w:pPr>
      <w:r>
        <w:tab/>
        <w:t>(2)</w:t>
      </w:r>
      <w:r>
        <w:tab/>
        <w:t>A person who contravenes a direction under sub</w:t>
      </w:r>
      <w:r>
        <w:noBreakHyphen/>
        <w:t>bylaw (1) commits an offence.</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3A(2).</w:t>
      </w:r>
    </w:p>
    <w:p>
      <w:pPr>
        <w:pStyle w:val="Subsection"/>
      </w:pPr>
      <w:r>
        <w:tab/>
        <w:t>(4)</w:t>
      </w:r>
      <w:r>
        <w:tab/>
        <w:t>The authorised person must comply with a request under sub</w:t>
      </w:r>
      <w:r>
        <w:noBreakHyphen/>
        <w:t>bylaw (3).</w:t>
      </w:r>
    </w:p>
    <w:p>
      <w:pPr>
        <w:pStyle w:val="Footnotesection"/>
      </w:pPr>
      <w:r>
        <w:tab/>
        <w:t>[By-law 16A inserted: Gazette 8 May 2015 p. 1621.]</w:t>
      </w:r>
    </w:p>
    <w:p>
      <w:pPr>
        <w:pStyle w:val="Heading2"/>
      </w:pPr>
      <w:bookmarkStart w:id="27" w:name="_Toc201915695"/>
      <w:bookmarkStart w:id="28" w:name="_Toc201916216"/>
      <w:bookmarkStart w:id="29" w:name="_Toc201918823"/>
      <w:r>
        <w:rPr>
          <w:rStyle w:val="CharPartNo"/>
        </w:rPr>
        <w:lastRenderedPageBreak/>
        <w:t>Part III</w:t>
      </w:r>
      <w:r>
        <w:t> — </w:t>
      </w:r>
      <w:r>
        <w:rPr>
          <w:rStyle w:val="CharPartText"/>
        </w:rPr>
        <w:t>Traffic control</w:t>
      </w:r>
      <w:bookmarkEnd w:id="27"/>
      <w:bookmarkEnd w:id="28"/>
      <w:bookmarkEnd w:id="29"/>
      <w:r>
        <w:rPr>
          <w:rStyle w:val="CharPartText"/>
        </w:rPr>
        <w:t xml:space="preserve"> </w:t>
      </w:r>
    </w:p>
    <w:p>
      <w:pPr>
        <w:pStyle w:val="Heading3"/>
        <w:rPr>
          <w:snapToGrid w:val="0"/>
        </w:rPr>
      </w:pPr>
      <w:bookmarkStart w:id="30" w:name="_Toc201915696"/>
      <w:bookmarkStart w:id="31" w:name="_Toc201916217"/>
      <w:bookmarkStart w:id="32" w:name="_Toc201918824"/>
      <w:r>
        <w:rPr>
          <w:rStyle w:val="CharDivNo"/>
        </w:rPr>
        <w:t>Division 1</w:t>
      </w:r>
      <w:r>
        <w:rPr>
          <w:snapToGrid w:val="0"/>
        </w:rPr>
        <w:t> — </w:t>
      </w:r>
      <w:r>
        <w:rPr>
          <w:rStyle w:val="CharDivText"/>
        </w:rPr>
        <w:t>General</w:t>
      </w:r>
      <w:bookmarkEnd w:id="30"/>
      <w:bookmarkEnd w:id="31"/>
      <w:bookmarkEnd w:id="32"/>
      <w:r>
        <w:rPr>
          <w:rStyle w:val="CharDivText"/>
        </w:rPr>
        <w:t xml:space="preserve"> </w:t>
      </w:r>
    </w:p>
    <w:p>
      <w:pPr>
        <w:pStyle w:val="Heading5"/>
        <w:rPr>
          <w:snapToGrid w:val="0"/>
        </w:rPr>
      </w:pPr>
      <w:bookmarkStart w:id="33" w:name="_Toc201918825"/>
      <w:r>
        <w:rPr>
          <w:rStyle w:val="CharSectno"/>
        </w:rPr>
        <w:t>16</w:t>
      </w:r>
      <w:r>
        <w:rPr>
          <w:snapToGrid w:val="0"/>
        </w:rPr>
        <w:t>.</w:t>
      </w:r>
      <w:r>
        <w:rPr>
          <w:snapToGrid w:val="0"/>
        </w:rPr>
        <w:tab/>
        <w:t>Driving of vehicles</w:t>
      </w:r>
      <w:bookmarkEnd w:id="33"/>
      <w:r>
        <w:rPr>
          <w:snapToGrid w:val="0"/>
        </w:rPr>
        <w:t xml:space="preserve"> </w:t>
      </w:r>
    </w:p>
    <w:p>
      <w:pPr>
        <w:pStyle w:val="Subsection"/>
        <w:rPr>
          <w:snapToGrid w:val="0"/>
        </w:rPr>
      </w:pPr>
      <w:r>
        <w:rPr>
          <w:snapToGrid w:val="0"/>
        </w:rPr>
        <w:tab/>
        <w:t>(1)</w:t>
      </w:r>
      <w:r>
        <w:rPr>
          <w:snapToGrid w:val="0"/>
        </w:rPr>
        <w:tab/>
        <w:t>A person shall not, without permission, drive or bring a vehicle on any portion of the site unless that portion is a roadway or a parking facility.</w:t>
      </w:r>
    </w:p>
    <w:p>
      <w:pPr>
        <w:pStyle w:val="Subsection"/>
        <w:rPr>
          <w:snapToGrid w:val="0"/>
        </w:rPr>
      </w:pPr>
      <w:r>
        <w:rPr>
          <w:snapToGrid w:val="0"/>
        </w:rPr>
        <w:tab/>
        <w:t>(2)</w:t>
      </w:r>
      <w:r>
        <w:rPr>
          <w:snapToGrid w:val="0"/>
        </w:rPr>
        <w:tab/>
        <w:t>A person shall not drive, use or stand a vehicle in any portion of the site contrary to any sign displayed in relation to that portion of the site.</w:t>
      </w:r>
    </w:p>
    <w:p>
      <w:pPr>
        <w:pStyle w:val="Heading5"/>
        <w:rPr>
          <w:snapToGrid w:val="0"/>
        </w:rPr>
      </w:pPr>
      <w:bookmarkStart w:id="34" w:name="_Toc201918826"/>
      <w:r>
        <w:rPr>
          <w:rStyle w:val="CharSectno"/>
        </w:rPr>
        <w:t>17</w:t>
      </w:r>
      <w:r>
        <w:rPr>
          <w:snapToGrid w:val="0"/>
        </w:rPr>
        <w:t>.</w:t>
      </w:r>
      <w:r>
        <w:rPr>
          <w:snapToGrid w:val="0"/>
        </w:rPr>
        <w:tab/>
        <w:t>Driver to obey reasonable direction</w:t>
      </w:r>
      <w:bookmarkEnd w:id="34"/>
      <w:r>
        <w:rPr>
          <w:snapToGrid w:val="0"/>
        </w:rPr>
        <w:t xml:space="preserve"> </w:t>
      </w:r>
    </w:p>
    <w:p>
      <w:pPr>
        <w:pStyle w:val="Subsection"/>
        <w:rPr>
          <w:snapToGrid w:val="0"/>
        </w:rPr>
      </w:pPr>
      <w:r>
        <w:rPr>
          <w:snapToGrid w:val="0"/>
        </w:rPr>
        <w:tab/>
      </w:r>
      <w:r>
        <w:rPr>
          <w:snapToGrid w:val="0"/>
        </w:rPr>
        <w:tab/>
        <w:t>Notwithstanding anything in these by</w:t>
      </w:r>
      <w:r>
        <w:rPr>
          <w:snapToGrid w:val="0"/>
        </w:rPr>
        <w:noBreakHyphen/>
        <w:t>laws, the driver of a vehicle shall obey any reasonable direction given to him by an authorised person in relation to the parking or movement of the vehicle.</w:t>
      </w:r>
    </w:p>
    <w:p>
      <w:pPr>
        <w:pStyle w:val="Footnotesection"/>
      </w:pPr>
      <w:r>
        <w:tab/>
        <w:t>[By-law 17 amended: Gazette 29 Jun 2001 p. 3113.]</w:t>
      </w:r>
    </w:p>
    <w:p>
      <w:pPr>
        <w:pStyle w:val="Heading5"/>
        <w:rPr>
          <w:snapToGrid w:val="0"/>
        </w:rPr>
      </w:pPr>
      <w:bookmarkStart w:id="35" w:name="_Toc201918827"/>
      <w:r>
        <w:rPr>
          <w:rStyle w:val="CharSectno"/>
        </w:rPr>
        <w:t>18</w:t>
      </w:r>
      <w:r>
        <w:rPr>
          <w:snapToGrid w:val="0"/>
        </w:rPr>
        <w:t>.</w:t>
      </w:r>
      <w:r>
        <w:rPr>
          <w:snapToGrid w:val="0"/>
        </w:rPr>
        <w:tab/>
        <w:t xml:space="preserve">Application of </w:t>
      </w:r>
      <w:r>
        <w:rPr>
          <w:i/>
          <w:iCs/>
          <w:snapToGrid w:val="0"/>
        </w:rPr>
        <w:t>Road Traffic Code 2000</w:t>
      </w:r>
      <w:bookmarkEnd w:id="35"/>
    </w:p>
    <w:p>
      <w:pPr>
        <w:pStyle w:val="Subsection"/>
        <w:rPr>
          <w:snapToGrid w:val="0"/>
        </w:rPr>
      </w:pPr>
      <w:r>
        <w:rPr>
          <w:snapToGrid w:val="0"/>
        </w:rPr>
        <w:tab/>
      </w:r>
      <w:r>
        <w:rPr>
          <w:snapToGrid w:val="0"/>
        </w:rPr>
        <w:tab/>
        <w:t>Subject to these by</w:t>
      </w:r>
      <w:r>
        <w:rPr>
          <w:snapToGrid w:val="0"/>
        </w:rPr>
        <w:noBreakHyphen/>
        <w:t xml:space="preserve">laws, the </w:t>
      </w:r>
      <w:r>
        <w:rPr>
          <w:i/>
          <w:iCs/>
        </w:rPr>
        <w:t xml:space="preserve">Road Traffic Code 2000 </w:t>
      </w:r>
      <w:r>
        <w:rPr>
          <w:snapToGrid w:val="0"/>
        </w:rPr>
        <w:t>applies to and in relation to the driving of a vehicle within the site.</w:t>
      </w:r>
    </w:p>
    <w:p>
      <w:pPr>
        <w:pStyle w:val="Footnotesection"/>
      </w:pPr>
      <w:r>
        <w:tab/>
        <w:t>[By-law 18 amended: Gazette 22 Jun 2010 p. 2773.]</w:t>
      </w:r>
    </w:p>
    <w:p>
      <w:pPr>
        <w:pStyle w:val="Heading5"/>
        <w:rPr>
          <w:snapToGrid w:val="0"/>
        </w:rPr>
      </w:pPr>
      <w:bookmarkStart w:id="36" w:name="_Toc201918828"/>
      <w:r>
        <w:rPr>
          <w:rStyle w:val="CharSectno"/>
        </w:rPr>
        <w:t>19</w:t>
      </w:r>
      <w:r>
        <w:rPr>
          <w:snapToGrid w:val="0"/>
        </w:rPr>
        <w:t>.</w:t>
      </w:r>
      <w:r>
        <w:rPr>
          <w:snapToGrid w:val="0"/>
        </w:rPr>
        <w:tab/>
        <w:t>Speed limits</w:t>
      </w:r>
      <w:bookmarkEnd w:id="36"/>
      <w:r>
        <w:rPr>
          <w:snapToGrid w:val="0"/>
        </w:rPr>
        <w:t xml:space="preserve"> </w:t>
      </w:r>
    </w:p>
    <w:p>
      <w:pPr>
        <w:pStyle w:val="Subsection"/>
        <w:rPr>
          <w:snapToGrid w:val="0"/>
        </w:rPr>
      </w:pPr>
      <w:r>
        <w:rPr>
          <w:snapToGrid w:val="0"/>
        </w:rPr>
        <w:tab/>
        <w:t>(1)</w:t>
      </w:r>
      <w:r>
        <w:rPr>
          <w:snapToGrid w:val="0"/>
        </w:rPr>
        <w:tab/>
        <w:t>A person shall not drive a vehicle on a roadway — </w:t>
      </w:r>
    </w:p>
    <w:p>
      <w:pPr>
        <w:pStyle w:val="Indenta"/>
        <w:rPr>
          <w:snapToGrid w:val="0"/>
        </w:rPr>
      </w:pPr>
      <w:r>
        <w:rPr>
          <w:snapToGrid w:val="0"/>
        </w:rPr>
        <w:tab/>
        <w:t>(a)</w:t>
      </w:r>
      <w:r>
        <w:rPr>
          <w:snapToGrid w:val="0"/>
        </w:rPr>
        <w:tab/>
        <w:t>where no speed restriction sign is displayed — at a speed exceeding 30 kilometres an hour;</w:t>
      </w:r>
    </w:p>
    <w:p>
      <w:pPr>
        <w:pStyle w:val="Indenta"/>
        <w:rPr>
          <w:snapToGrid w:val="0"/>
        </w:rPr>
      </w:pPr>
      <w:r>
        <w:rPr>
          <w:snapToGrid w:val="0"/>
        </w:rPr>
        <w:tab/>
        <w:t>(b)</w:t>
      </w:r>
      <w:r>
        <w:rPr>
          <w:snapToGrid w:val="0"/>
        </w:rPr>
        <w:tab/>
        <w:t>where a speed restriction sign is displayed in relation to a portion of a roadway — at a speed exceeding the speed indicated on the speed restriction sign.</w:t>
      </w:r>
    </w:p>
    <w:p>
      <w:pPr>
        <w:pStyle w:val="Subsection"/>
        <w:rPr>
          <w:snapToGrid w:val="0"/>
        </w:rPr>
      </w:pPr>
      <w:r>
        <w:rPr>
          <w:snapToGrid w:val="0"/>
        </w:rPr>
        <w:lastRenderedPageBreak/>
        <w:tab/>
        <w:t>(2)</w:t>
      </w:r>
      <w:r>
        <w:rPr>
          <w:snapToGrid w:val="0"/>
        </w:rPr>
        <w:tab/>
        <w:t>Sub</w:t>
      </w:r>
      <w:r>
        <w:rPr>
          <w:snapToGrid w:val="0"/>
        </w:rPr>
        <w:noBreakHyphen/>
        <w:t>bylaw (1) does not apply to or in relation to an emergency vehicle.</w:t>
      </w:r>
    </w:p>
    <w:p>
      <w:pPr>
        <w:pStyle w:val="Heading5"/>
      </w:pPr>
      <w:bookmarkStart w:id="37" w:name="_Toc201918829"/>
      <w:r>
        <w:rPr>
          <w:rStyle w:val="CharSectno"/>
        </w:rPr>
        <w:t>20</w:t>
      </w:r>
      <w:r>
        <w:t>.</w:t>
      </w:r>
      <w:r>
        <w:tab/>
        <w:t>Use of roads on site</w:t>
      </w:r>
      <w:bookmarkEnd w:id="37"/>
    </w:p>
    <w:p>
      <w:pPr>
        <w:pStyle w:val="Subsection"/>
      </w:pPr>
      <w:r>
        <w:tab/>
        <w:t>(1)</w:t>
      </w:r>
      <w:r>
        <w:tab/>
        <w:t>A person must not drive a vehicle —</w:t>
      </w:r>
    </w:p>
    <w:p>
      <w:pPr>
        <w:pStyle w:val="Indenta"/>
      </w:pPr>
      <w:r>
        <w:tab/>
        <w:t>(a)</w:t>
      </w:r>
      <w:r>
        <w:tab/>
        <w:t>on Hospital Avenue; or</w:t>
      </w:r>
    </w:p>
    <w:p>
      <w:pPr>
        <w:pStyle w:val="Indenta"/>
      </w:pPr>
      <w:r>
        <w:tab/>
        <w:t>(b)</w:t>
      </w:r>
      <w:r>
        <w:tab/>
        <w:t xml:space="preserve">on any part of — </w:t>
      </w:r>
    </w:p>
    <w:p>
      <w:pPr>
        <w:pStyle w:val="Indenti"/>
      </w:pPr>
      <w:r>
        <w:tab/>
        <w:t>(i)</w:t>
      </w:r>
      <w:r>
        <w:tab/>
        <w:t>Gairdner Drive; or</w:t>
      </w:r>
    </w:p>
    <w:p>
      <w:pPr>
        <w:pStyle w:val="Indenti"/>
      </w:pPr>
      <w:r>
        <w:tab/>
        <w:t>(ii)</w:t>
      </w:r>
      <w:r>
        <w:tab/>
        <w:t>Banksia Road; or</w:t>
      </w:r>
    </w:p>
    <w:p>
      <w:pPr>
        <w:pStyle w:val="Indenti"/>
      </w:pPr>
      <w:r>
        <w:tab/>
        <w:t>(iii)</w:t>
      </w:r>
      <w:r>
        <w:tab/>
        <w:t>Caledonia Road,</w:t>
      </w:r>
    </w:p>
    <w:p>
      <w:pPr>
        <w:pStyle w:val="Indenta"/>
      </w:pPr>
      <w:r>
        <w:tab/>
      </w:r>
      <w:r>
        <w:tab/>
        <w:t>where a sign prohibiting vehicles is displayed,</w:t>
      </w:r>
    </w:p>
    <w:p>
      <w:pPr>
        <w:pStyle w:val="Subsection"/>
      </w:pPr>
      <w:r>
        <w:tab/>
      </w:r>
      <w:r>
        <w:tab/>
        <w:t>except for the purposes of entering or leaving a parking facility.</w:t>
      </w:r>
    </w:p>
    <w:p>
      <w:pPr>
        <w:pStyle w:val="Subsection"/>
      </w:pPr>
      <w:r>
        <w:tab/>
        <w:t>(2)</w:t>
      </w:r>
      <w:r>
        <w:tab/>
        <w:t>Sub</w:t>
      </w:r>
      <w:r>
        <w:noBreakHyphen/>
        <w:t>bylaw (1) does not apply if the vehicle is —</w:t>
      </w:r>
    </w:p>
    <w:p>
      <w:pPr>
        <w:pStyle w:val="Indenta"/>
      </w:pPr>
      <w:r>
        <w:tab/>
        <w:t>(a)</w:t>
      </w:r>
      <w:r>
        <w:tab/>
        <w:t>an ambulance; or</w:t>
      </w:r>
    </w:p>
    <w:p>
      <w:pPr>
        <w:pStyle w:val="Indenta"/>
      </w:pPr>
      <w:r>
        <w:tab/>
        <w:t>(b)</w:t>
      </w:r>
      <w:r>
        <w:tab/>
        <w:t>a patient transfer vehicle; or</w:t>
      </w:r>
    </w:p>
    <w:p>
      <w:pPr>
        <w:pStyle w:val="Indenta"/>
      </w:pPr>
      <w:r>
        <w:tab/>
        <w:t>(c)</w:t>
      </w:r>
      <w:r>
        <w:tab/>
        <w:t>a delivery vehicle; or</w:t>
      </w:r>
    </w:p>
    <w:p>
      <w:pPr>
        <w:pStyle w:val="Indenta"/>
      </w:pPr>
      <w:r>
        <w:tab/>
        <w:t>(d)</w:t>
      </w:r>
      <w:r>
        <w:tab/>
        <w:t>a shuttle bus for persons working on the site; or</w:t>
      </w:r>
    </w:p>
    <w:p>
      <w:pPr>
        <w:pStyle w:val="Indenta"/>
      </w:pPr>
      <w:r>
        <w:tab/>
        <w:t>(e)</w:t>
      </w:r>
      <w:r>
        <w:tab/>
        <w:t xml:space="preserve">a bus involved in the provision of a public passenger transport service by the Public Transport Authority of Western Australia under the </w:t>
      </w:r>
      <w:r>
        <w:rPr>
          <w:i/>
        </w:rPr>
        <w:t>Public Transport Authority Act 2003</w:t>
      </w:r>
      <w:r>
        <w:t>; or</w:t>
      </w:r>
    </w:p>
    <w:p>
      <w:pPr>
        <w:pStyle w:val="Indenta"/>
      </w:pPr>
      <w:r>
        <w:tab/>
        <w:t>(f)</w:t>
      </w:r>
      <w:r>
        <w:tab/>
        <w:t>a vehicle in relation to which an on</w:t>
      </w:r>
      <w:r>
        <w:noBreakHyphen/>
        <w:t>demand rank or hail vehicle authorisation is in force.</w:t>
      </w:r>
    </w:p>
    <w:p>
      <w:pPr>
        <w:pStyle w:val="Ednotepara"/>
      </w:pPr>
      <w:r>
        <w:tab/>
        <w:t>[(g)</w:t>
      </w:r>
      <w:r>
        <w:tab/>
        <w:t>deleted]</w:t>
      </w:r>
    </w:p>
    <w:p>
      <w:pPr>
        <w:pStyle w:val="Footnotesection"/>
      </w:pPr>
      <w:r>
        <w:tab/>
        <w:t>[By-law 20 inserted: Gazette 22 Jun 2010 p. 2773; amended: Gazette 14 Jun 2019 p. 1901.]</w:t>
      </w:r>
    </w:p>
    <w:p>
      <w:pPr>
        <w:pStyle w:val="Heading5"/>
        <w:rPr>
          <w:snapToGrid w:val="0"/>
        </w:rPr>
      </w:pPr>
      <w:bookmarkStart w:id="38" w:name="_Toc201918830"/>
      <w:r>
        <w:rPr>
          <w:rStyle w:val="CharSectno"/>
        </w:rPr>
        <w:lastRenderedPageBreak/>
        <w:t>21</w:t>
      </w:r>
      <w:r>
        <w:rPr>
          <w:snapToGrid w:val="0"/>
        </w:rPr>
        <w:t>.</w:t>
      </w:r>
      <w:r>
        <w:rPr>
          <w:snapToGrid w:val="0"/>
        </w:rPr>
        <w:tab/>
        <w:t>Give way</w:t>
      </w:r>
      <w:bookmarkEnd w:id="38"/>
      <w:r>
        <w:rPr>
          <w:snapToGrid w:val="0"/>
        </w:rPr>
        <w:t xml:space="preserve"> </w:t>
      </w:r>
    </w:p>
    <w:p>
      <w:pPr>
        <w:pStyle w:val="Subsection"/>
        <w:keepNext/>
        <w:rPr>
          <w:snapToGrid w:val="0"/>
        </w:rPr>
      </w:pPr>
      <w:r>
        <w:rPr>
          <w:snapToGrid w:val="0"/>
        </w:rPr>
        <w:tab/>
      </w:r>
      <w:r>
        <w:rPr>
          <w:snapToGrid w:val="0"/>
        </w:rPr>
        <w:tab/>
        <w:t>The driver of a vehicle that is entering or preparing to enter a parking facility shall give way to any vehicle that is — </w:t>
      </w:r>
    </w:p>
    <w:p>
      <w:pPr>
        <w:pStyle w:val="Indenta"/>
        <w:rPr>
          <w:snapToGrid w:val="0"/>
        </w:rPr>
      </w:pPr>
      <w:r>
        <w:rPr>
          <w:snapToGrid w:val="0"/>
        </w:rPr>
        <w:tab/>
        <w:t>(a)</w:t>
      </w:r>
      <w:r>
        <w:rPr>
          <w:snapToGrid w:val="0"/>
        </w:rPr>
        <w:tab/>
        <w:t>leaving the parking facility; or</w:t>
      </w:r>
    </w:p>
    <w:p>
      <w:pPr>
        <w:pStyle w:val="Indenta"/>
        <w:rPr>
          <w:snapToGrid w:val="0"/>
        </w:rPr>
      </w:pPr>
      <w:r>
        <w:rPr>
          <w:snapToGrid w:val="0"/>
        </w:rPr>
        <w:tab/>
        <w:t>(b)</w:t>
      </w:r>
      <w:r>
        <w:rPr>
          <w:snapToGrid w:val="0"/>
        </w:rPr>
        <w:tab/>
        <w:t>travelling in the roadway in the vicinity of his vehicle.</w:t>
      </w:r>
    </w:p>
    <w:p>
      <w:pPr>
        <w:pStyle w:val="Heading5"/>
        <w:rPr>
          <w:snapToGrid w:val="0"/>
        </w:rPr>
      </w:pPr>
      <w:bookmarkStart w:id="39" w:name="_Toc201918831"/>
      <w:r>
        <w:rPr>
          <w:rStyle w:val="CharSectno"/>
        </w:rPr>
        <w:t>22</w:t>
      </w:r>
      <w:r>
        <w:rPr>
          <w:snapToGrid w:val="0"/>
        </w:rPr>
        <w:t>.</w:t>
      </w:r>
      <w:r>
        <w:rPr>
          <w:snapToGrid w:val="0"/>
        </w:rPr>
        <w:tab/>
        <w:t>Roadway not to be used for instructions or repairs</w:t>
      </w:r>
      <w:bookmarkEnd w:id="39"/>
      <w:r>
        <w:rPr>
          <w:snapToGrid w:val="0"/>
        </w:rPr>
        <w:t xml:space="preserve"> </w:t>
      </w:r>
    </w:p>
    <w:p>
      <w:pPr>
        <w:pStyle w:val="Subsection"/>
        <w:keepNext/>
        <w:keepLines/>
        <w:rPr>
          <w:snapToGrid w:val="0"/>
        </w:rPr>
      </w:pPr>
      <w:r>
        <w:rPr>
          <w:snapToGrid w:val="0"/>
        </w:rPr>
        <w:tab/>
      </w:r>
      <w:r>
        <w:rPr>
          <w:snapToGrid w:val="0"/>
        </w:rPr>
        <w:tab/>
        <w:t>A person shall not on a roadway in the site — </w:t>
      </w:r>
    </w:p>
    <w:p>
      <w:pPr>
        <w:pStyle w:val="Indenta"/>
        <w:rPr>
          <w:snapToGrid w:val="0"/>
        </w:rPr>
      </w:pPr>
      <w:r>
        <w:rPr>
          <w:snapToGrid w:val="0"/>
        </w:rPr>
        <w:tab/>
        <w:t>(a)</w:t>
      </w:r>
      <w:r>
        <w:rPr>
          <w:snapToGrid w:val="0"/>
        </w:rPr>
        <w:tab/>
        <w:t>drive a vehicle for the purposes of giving or receiving driving instructions;</w:t>
      </w:r>
    </w:p>
    <w:p>
      <w:pPr>
        <w:pStyle w:val="Indenta"/>
        <w:rPr>
          <w:snapToGrid w:val="0"/>
        </w:rPr>
      </w:pPr>
      <w:r>
        <w:rPr>
          <w:snapToGrid w:val="0"/>
        </w:rPr>
        <w:tab/>
        <w:t>(b)</w:t>
      </w:r>
      <w:r>
        <w:rPr>
          <w:snapToGrid w:val="0"/>
        </w:rPr>
        <w:tab/>
        <w:t>except in an emergency, effect repairs or adjustments or both to a vehicle.</w:t>
      </w:r>
    </w:p>
    <w:p>
      <w:pPr>
        <w:pStyle w:val="Heading3"/>
        <w:rPr>
          <w:snapToGrid w:val="0"/>
        </w:rPr>
      </w:pPr>
      <w:bookmarkStart w:id="40" w:name="_Toc201915704"/>
      <w:bookmarkStart w:id="41" w:name="_Toc201916225"/>
      <w:bookmarkStart w:id="42" w:name="_Toc201918832"/>
      <w:r>
        <w:rPr>
          <w:rStyle w:val="CharDivNo"/>
        </w:rPr>
        <w:t>Division 2</w:t>
      </w:r>
      <w:r>
        <w:rPr>
          <w:snapToGrid w:val="0"/>
        </w:rPr>
        <w:t> — </w:t>
      </w:r>
      <w:r>
        <w:rPr>
          <w:rStyle w:val="CharDivText"/>
        </w:rPr>
        <w:t>Parking</w:t>
      </w:r>
      <w:bookmarkEnd w:id="40"/>
      <w:bookmarkEnd w:id="41"/>
      <w:bookmarkEnd w:id="42"/>
      <w:r>
        <w:rPr>
          <w:rStyle w:val="CharDivText"/>
        </w:rPr>
        <w:t xml:space="preserve"> </w:t>
      </w:r>
    </w:p>
    <w:p>
      <w:pPr>
        <w:pStyle w:val="Heading5"/>
        <w:spacing w:before="180"/>
        <w:rPr>
          <w:snapToGrid w:val="0"/>
        </w:rPr>
      </w:pPr>
      <w:bookmarkStart w:id="43" w:name="_Toc201918833"/>
      <w:r>
        <w:rPr>
          <w:rStyle w:val="CharSectno"/>
        </w:rPr>
        <w:t>23</w:t>
      </w:r>
      <w:r>
        <w:rPr>
          <w:snapToGrid w:val="0"/>
        </w:rPr>
        <w:t>.</w:t>
      </w:r>
      <w:r>
        <w:rPr>
          <w:snapToGrid w:val="0"/>
        </w:rPr>
        <w:tab/>
        <w:t>Parking only in parking spaces</w:t>
      </w:r>
      <w:bookmarkEnd w:id="43"/>
      <w:r>
        <w:rPr>
          <w:snapToGrid w:val="0"/>
        </w:rPr>
        <w:t xml:space="preserve"> </w:t>
      </w:r>
    </w:p>
    <w:p>
      <w:pPr>
        <w:pStyle w:val="Subsection"/>
        <w:rPr>
          <w:snapToGrid w:val="0"/>
        </w:rPr>
      </w:pPr>
      <w:r>
        <w:rPr>
          <w:snapToGrid w:val="0"/>
        </w:rPr>
        <w:tab/>
      </w:r>
      <w:r>
        <w:rPr>
          <w:snapToGrid w:val="0"/>
        </w:rPr>
        <w:tab/>
        <w:t>A person shall not park a vehicle in the site except in a parking space.</w:t>
      </w:r>
    </w:p>
    <w:p>
      <w:pPr>
        <w:pStyle w:val="Heading5"/>
        <w:spacing w:before="180"/>
        <w:rPr>
          <w:snapToGrid w:val="0"/>
        </w:rPr>
      </w:pPr>
      <w:bookmarkStart w:id="44" w:name="_Toc201918834"/>
      <w:r>
        <w:rPr>
          <w:rStyle w:val="CharSectno"/>
        </w:rPr>
        <w:t>24</w:t>
      </w:r>
      <w:r>
        <w:rPr>
          <w:snapToGrid w:val="0"/>
        </w:rPr>
        <w:t>.</w:t>
      </w:r>
      <w:r>
        <w:rPr>
          <w:snapToGrid w:val="0"/>
        </w:rPr>
        <w:tab/>
        <w:t>Signs to be obeyed</w:t>
      </w:r>
      <w:bookmarkEnd w:id="44"/>
      <w:r>
        <w:rPr>
          <w:snapToGrid w:val="0"/>
        </w:rPr>
        <w:t xml:space="preserve"> </w:t>
      </w:r>
    </w:p>
    <w:p>
      <w:pPr>
        <w:pStyle w:val="Subsection"/>
        <w:rPr>
          <w:snapToGrid w:val="0"/>
        </w:rPr>
      </w:pPr>
      <w:r>
        <w:rPr>
          <w:snapToGrid w:val="0"/>
        </w:rPr>
        <w:tab/>
      </w:r>
      <w:r>
        <w:rPr>
          <w:snapToGrid w:val="0"/>
        </w:rPr>
        <w:tab/>
        <w:t>A person shall not park, stand or move a vehicle in any portion of the site contrary to any direction contained in a sign.</w:t>
      </w:r>
    </w:p>
    <w:p>
      <w:pPr>
        <w:pStyle w:val="Footnotesection"/>
      </w:pPr>
      <w:r>
        <w:tab/>
        <w:t>[By</w:t>
      </w:r>
      <w:r>
        <w:noBreakHyphen/>
        <w:t xml:space="preserve">law 24 amended: Gazette 22 Feb 1991 p. 881.] </w:t>
      </w:r>
    </w:p>
    <w:p>
      <w:pPr>
        <w:pStyle w:val="Heading5"/>
        <w:spacing w:before="180"/>
        <w:rPr>
          <w:snapToGrid w:val="0"/>
        </w:rPr>
      </w:pPr>
      <w:bookmarkStart w:id="45" w:name="_Toc201918835"/>
      <w:r>
        <w:rPr>
          <w:rStyle w:val="CharSectno"/>
        </w:rPr>
        <w:t>25</w:t>
      </w:r>
      <w:r>
        <w:rPr>
          <w:snapToGrid w:val="0"/>
        </w:rPr>
        <w:t>.</w:t>
      </w:r>
      <w:r>
        <w:rPr>
          <w:snapToGrid w:val="0"/>
        </w:rPr>
        <w:tab/>
        <w:t>Parking in parking spaces</w:t>
      </w:r>
      <w:bookmarkEnd w:id="45"/>
      <w:r>
        <w:rPr>
          <w:snapToGrid w:val="0"/>
        </w:rPr>
        <w:t xml:space="preserve"> </w:t>
      </w:r>
    </w:p>
    <w:p>
      <w:pPr>
        <w:pStyle w:val="Subsection"/>
        <w:spacing w:before="120"/>
        <w:rPr>
          <w:snapToGrid w:val="0"/>
        </w:rPr>
      </w:pPr>
      <w:r>
        <w:rPr>
          <w:snapToGrid w:val="0"/>
        </w:rPr>
        <w:tab/>
        <w:t>(1)</w:t>
      </w:r>
      <w:r>
        <w:rPr>
          <w:snapToGrid w:val="0"/>
        </w:rPr>
        <w:tab/>
        <w:t>A person shall not park, stand or move a vehicle in a parking facility in the site contrary to any directions contained in a sign.</w:t>
      </w:r>
    </w:p>
    <w:p>
      <w:pPr>
        <w:pStyle w:val="Subsection"/>
        <w:spacing w:before="120"/>
        <w:rPr>
          <w:snapToGrid w:val="0"/>
        </w:rPr>
      </w:pPr>
      <w:r>
        <w:rPr>
          <w:snapToGrid w:val="0"/>
        </w:rPr>
        <w:tab/>
        <w:t>(2)</w:t>
      </w:r>
      <w:r>
        <w:rPr>
          <w:snapToGrid w:val="0"/>
        </w:rPr>
        <w:tab/>
        <w:t>Where a sign indicates that a parking facility or portion of a parking facility is set aside — </w:t>
      </w:r>
    </w:p>
    <w:p>
      <w:pPr>
        <w:pStyle w:val="Indenta"/>
        <w:rPr>
          <w:snapToGrid w:val="0"/>
        </w:rPr>
      </w:pPr>
      <w:r>
        <w:rPr>
          <w:snapToGrid w:val="0"/>
        </w:rPr>
        <w:tab/>
        <w:t>(a)</w:t>
      </w:r>
      <w:r>
        <w:rPr>
          <w:snapToGrid w:val="0"/>
        </w:rPr>
        <w:tab/>
        <w:t>for a specified vehicle or specified class of vehicles; or</w:t>
      </w:r>
    </w:p>
    <w:p>
      <w:pPr>
        <w:pStyle w:val="Indenta"/>
        <w:rPr>
          <w:snapToGrid w:val="0"/>
        </w:rPr>
      </w:pPr>
      <w:r>
        <w:rPr>
          <w:snapToGrid w:val="0"/>
        </w:rPr>
        <w:tab/>
        <w:t>(b)</w:t>
      </w:r>
      <w:r>
        <w:rPr>
          <w:snapToGrid w:val="0"/>
        </w:rPr>
        <w:tab/>
        <w:t>for the vehicle of a specified person or specified class of persons; or</w:t>
      </w:r>
    </w:p>
    <w:p>
      <w:pPr>
        <w:pStyle w:val="Indenta"/>
        <w:rPr>
          <w:snapToGrid w:val="0"/>
        </w:rPr>
      </w:pPr>
      <w:r>
        <w:rPr>
          <w:snapToGrid w:val="0"/>
        </w:rPr>
        <w:lastRenderedPageBreak/>
        <w:tab/>
        <w:t>(c)</w:t>
      </w:r>
      <w:r>
        <w:rPr>
          <w:snapToGrid w:val="0"/>
        </w:rPr>
        <w:tab/>
        <w:t>for parking of vehicles for a specified period of time; or</w:t>
      </w:r>
    </w:p>
    <w:p>
      <w:pPr>
        <w:pStyle w:val="Indenta"/>
        <w:rPr>
          <w:snapToGrid w:val="0"/>
        </w:rPr>
      </w:pPr>
      <w:r>
        <w:rPr>
          <w:snapToGrid w:val="0"/>
        </w:rPr>
        <w:tab/>
        <w:t>(d)</w:t>
      </w:r>
      <w:r>
        <w:rPr>
          <w:snapToGrid w:val="0"/>
        </w:rPr>
        <w:tab/>
        <w:t>for the parking of vehicles for a maximum period of time so specified,</w:t>
      </w:r>
    </w:p>
    <w:p>
      <w:pPr>
        <w:pStyle w:val="Subsection"/>
        <w:spacing w:before="120"/>
        <w:rPr>
          <w:snapToGrid w:val="0"/>
        </w:rPr>
      </w:pPr>
      <w:r>
        <w:rPr>
          <w:snapToGrid w:val="0"/>
        </w:rPr>
        <w:tab/>
      </w:r>
      <w:r>
        <w:rPr>
          <w:snapToGrid w:val="0"/>
        </w:rPr>
        <w:tab/>
        <w:t>a person shall not park a vehicle in the parking facility or portion of the parking facility unless — </w:t>
      </w:r>
    </w:p>
    <w:p>
      <w:pPr>
        <w:pStyle w:val="Indenta"/>
        <w:rPr>
          <w:snapToGrid w:val="0"/>
        </w:rPr>
      </w:pPr>
      <w:r>
        <w:rPr>
          <w:snapToGrid w:val="0"/>
        </w:rPr>
        <w:tab/>
        <w:t>(e)</w:t>
      </w:r>
      <w:r>
        <w:rPr>
          <w:snapToGrid w:val="0"/>
        </w:rPr>
        <w:tab/>
        <w:t>the vehicle is the particular vehicle or is within the class of vehicle so specified;</w:t>
      </w:r>
    </w:p>
    <w:p>
      <w:pPr>
        <w:pStyle w:val="Indenta"/>
        <w:rPr>
          <w:snapToGrid w:val="0"/>
        </w:rPr>
      </w:pPr>
      <w:r>
        <w:rPr>
          <w:snapToGrid w:val="0"/>
        </w:rPr>
        <w:tab/>
        <w:t>(f)</w:t>
      </w:r>
      <w:r>
        <w:rPr>
          <w:snapToGrid w:val="0"/>
        </w:rPr>
        <w:tab/>
        <w:t>the vehicle is the vehicle of the person or a person of the class so specified;</w:t>
      </w:r>
    </w:p>
    <w:p>
      <w:pPr>
        <w:pStyle w:val="Indenta"/>
        <w:rPr>
          <w:snapToGrid w:val="0"/>
        </w:rPr>
      </w:pPr>
      <w:r>
        <w:rPr>
          <w:snapToGrid w:val="0"/>
        </w:rPr>
        <w:tab/>
        <w:t>(g)</w:t>
      </w:r>
      <w:r>
        <w:rPr>
          <w:snapToGrid w:val="0"/>
        </w:rPr>
        <w:tab/>
        <w:t>the vehicle is parked within the period of time so specified;</w:t>
      </w:r>
    </w:p>
    <w:p>
      <w:pPr>
        <w:pStyle w:val="Indenta"/>
        <w:rPr>
          <w:snapToGrid w:val="0"/>
        </w:rPr>
      </w:pPr>
      <w:r>
        <w:rPr>
          <w:snapToGrid w:val="0"/>
        </w:rPr>
        <w:tab/>
        <w:t>(h)</w:t>
      </w:r>
      <w:r>
        <w:rPr>
          <w:snapToGrid w:val="0"/>
        </w:rPr>
        <w:tab/>
        <w:t>the vehicle is parked for a period that does not exceed the maximum period of time so specified,</w:t>
      </w:r>
    </w:p>
    <w:p>
      <w:pPr>
        <w:pStyle w:val="Subsection"/>
        <w:spacing w:before="120"/>
        <w:rPr>
          <w:snapToGrid w:val="0"/>
        </w:rPr>
      </w:pPr>
      <w:r>
        <w:rPr>
          <w:snapToGrid w:val="0"/>
        </w:rPr>
        <w:tab/>
      </w:r>
      <w:r>
        <w:rPr>
          <w:snapToGrid w:val="0"/>
        </w:rPr>
        <w:tab/>
        <w:t>as the case requires.</w:t>
      </w:r>
    </w:p>
    <w:p>
      <w:pPr>
        <w:pStyle w:val="Ednotesubsection"/>
        <w:spacing w:before="120"/>
      </w:pPr>
      <w:r>
        <w:tab/>
        <w:t>[(3), (4)</w:t>
      </w:r>
      <w:r>
        <w:tab/>
        <w:t>deleted]</w:t>
      </w:r>
    </w:p>
    <w:p>
      <w:pPr>
        <w:pStyle w:val="Subsection"/>
        <w:rPr>
          <w:snapToGrid w:val="0"/>
        </w:rPr>
      </w:pPr>
      <w:r>
        <w:rPr>
          <w:snapToGrid w:val="0"/>
        </w:rPr>
        <w:tab/>
        <w:t>(5)</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Footnotesection"/>
      </w:pPr>
      <w:r>
        <w:tab/>
        <w:t>[By</w:t>
      </w:r>
      <w:r>
        <w:noBreakHyphen/>
        <w:t>law 25 amended: Gazette 9 Dec 1988 p. 4820; 22 Feb 1991 p. 881; 22 Aug 1995 p. 3802; 29 Jun 2001 p. 3113; 22 Jun 2010 p. 2774.]</w:t>
      </w:r>
    </w:p>
    <w:p>
      <w:pPr>
        <w:pStyle w:val="Heading5"/>
        <w:spacing w:before="180"/>
      </w:pPr>
      <w:bookmarkStart w:id="46" w:name="_Toc201918836"/>
      <w:r>
        <w:rPr>
          <w:rStyle w:val="CharSectno"/>
        </w:rPr>
        <w:t>26</w:t>
      </w:r>
      <w:r>
        <w:t>.</w:t>
      </w:r>
      <w:r>
        <w:tab/>
        <w:t>Types of parking areas</w:t>
      </w:r>
      <w:bookmarkEnd w:id="46"/>
    </w:p>
    <w:p>
      <w:pPr>
        <w:pStyle w:val="Subsection"/>
      </w:pPr>
      <w:r>
        <w:tab/>
        <w:t>(1)</w:t>
      </w:r>
      <w:r>
        <w:tab/>
        <w:t xml:space="preserve">The secretary may set aside a parking facility, or part of a parking facility as — </w:t>
      </w:r>
    </w:p>
    <w:p>
      <w:pPr>
        <w:pStyle w:val="Indenta"/>
      </w:pPr>
      <w:r>
        <w:tab/>
        <w:t>(a)</w:t>
      </w:r>
      <w:r>
        <w:tab/>
        <w:t>a ticket parking area or a boom gate controlled ticket parking area for the purposes of by</w:t>
      </w:r>
      <w:r>
        <w:noBreakHyphen/>
        <w:t>law 26AA; or</w:t>
      </w:r>
    </w:p>
    <w:p>
      <w:pPr>
        <w:pStyle w:val="Indenta"/>
      </w:pPr>
      <w:r>
        <w:tab/>
        <w:t>(b)</w:t>
      </w:r>
      <w:r>
        <w:tab/>
        <w:t>a paid staff parking area for the purposes of by</w:t>
      </w:r>
      <w:r>
        <w:noBreakHyphen/>
        <w:t>law 26AB; or</w:t>
      </w:r>
    </w:p>
    <w:p>
      <w:pPr>
        <w:pStyle w:val="Indenta"/>
      </w:pPr>
      <w:r>
        <w:tab/>
        <w:t>(c)</w:t>
      </w:r>
      <w:r>
        <w:tab/>
        <w:t>a permit parking area for the purposes of by</w:t>
      </w:r>
      <w:r>
        <w:noBreakHyphen/>
        <w:t>law 26AC.</w:t>
      </w:r>
    </w:p>
    <w:p>
      <w:pPr>
        <w:pStyle w:val="Subsection"/>
      </w:pPr>
      <w:r>
        <w:tab/>
        <w:t>(2)</w:t>
      </w:r>
      <w:r>
        <w:tab/>
        <w:t>An area set aside under sub</w:t>
      </w:r>
      <w:r>
        <w:noBreakHyphen/>
        <w:t>bylaw (1) must be identified as such by a sign or signs.</w:t>
      </w:r>
    </w:p>
    <w:p>
      <w:pPr>
        <w:pStyle w:val="Footnotesection"/>
      </w:pPr>
      <w:r>
        <w:tab/>
        <w:t>[By-law 26 inserted: Gazette 22 Jun 2010 p. 2774.]</w:t>
      </w:r>
    </w:p>
    <w:p>
      <w:pPr>
        <w:pStyle w:val="Heading5"/>
        <w:spacing w:before="180"/>
      </w:pPr>
      <w:bookmarkStart w:id="47" w:name="_Toc201918837"/>
      <w:r>
        <w:rPr>
          <w:rStyle w:val="CharSectno"/>
        </w:rPr>
        <w:lastRenderedPageBreak/>
        <w:t>26AA</w:t>
      </w:r>
      <w:r>
        <w:t>.</w:t>
      </w:r>
      <w:r>
        <w:tab/>
        <w:t>Parking in ticket parking area or boom gate controlled ticket parking area</w:t>
      </w:r>
      <w:bookmarkEnd w:id="47"/>
    </w:p>
    <w:p>
      <w:pPr>
        <w:pStyle w:val="Subsection"/>
      </w:pPr>
      <w:r>
        <w:tab/>
        <w:t>(1)</w:t>
      </w:r>
      <w:r>
        <w:tab/>
        <w:t>In this by</w:t>
      </w:r>
      <w:r>
        <w:noBreakHyphen/>
        <w:t xml:space="preserve">law — </w:t>
      </w:r>
    </w:p>
    <w:p>
      <w:pPr>
        <w:pStyle w:val="Defstart"/>
      </w:pPr>
      <w:r>
        <w:tab/>
      </w:r>
      <w:r>
        <w:rPr>
          <w:rStyle w:val="CharDefText"/>
        </w:rPr>
        <w:t>boom gate controlled ticket parking area</w:t>
      </w:r>
      <w:r>
        <w:t xml:space="preserve"> means a boom gate controlled ticket area set aside under by</w:t>
      </w:r>
      <w:r>
        <w:noBreakHyphen/>
        <w:t>law 26(1)(a);</w:t>
      </w:r>
    </w:p>
    <w:p>
      <w:pPr>
        <w:pStyle w:val="Defstart"/>
      </w:pPr>
      <w:r>
        <w:tab/>
      </w:r>
      <w:r>
        <w:rPr>
          <w:rStyle w:val="CharDefText"/>
        </w:rPr>
        <w:t>ticket parking area</w:t>
      </w:r>
      <w:r>
        <w:t xml:space="preserve"> means a ticket parking area set aside under by</w:t>
      </w:r>
      <w:r>
        <w:noBreakHyphen/>
        <w:t>law 26(1)(a).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Subsection"/>
      </w:pPr>
      <w:r>
        <w:tab/>
        <w:t>(3)</w:t>
      </w:r>
      <w:r>
        <w:tab/>
        <w:t>A person must not drive a vehicle into or park a vehicle in a boom gate controlled ticket parking area unless the person has obtained a ticket from a ticket vending machine situated at the entrance to the parking area.</w:t>
      </w:r>
    </w:p>
    <w:p>
      <w:pPr>
        <w:pStyle w:val="Subsection"/>
      </w:pPr>
      <w:r>
        <w:tab/>
        <w:t>(4)</w:t>
      </w:r>
      <w:r>
        <w:tab/>
        <w:t>A person must not remove a vehicle from a boom gate controlled ticket parking area without paying the prescribed fee for the length of time for which the vehicle has been parked before removing the vehicle from the parking area.</w:t>
      </w:r>
    </w:p>
    <w:p>
      <w:pPr>
        <w:pStyle w:val="Subsection"/>
      </w:pPr>
      <w:r>
        <w:tab/>
        <w:t>(5)</w:t>
      </w:r>
      <w:r>
        <w:tab/>
        <w:t>A person who has parked a vehicle in a ticket parking area or a boom gate controlled ticket parking area must not leave the site while the vehicle is parked there.</w:t>
      </w:r>
    </w:p>
    <w:p>
      <w:pPr>
        <w:pStyle w:val="Footnotesection"/>
      </w:pPr>
      <w:r>
        <w:tab/>
        <w:t>[By-law 26AA inserted: Gazette 22 Jun 2010 p. 2774; amended: Gazette 17 Dec 2010 p. 6355.]</w:t>
      </w:r>
    </w:p>
    <w:p>
      <w:pPr>
        <w:pStyle w:val="Heading5"/>
      </w:pPr>
      <w:bookmarkStart w:id="48" w:name="_Toc201918838"/>
      <w:r>
        <w:rPr>
          <w:rStyle w:val="CharSectno"/>
        </w:rPr>
        <w:lastRenderedPageBreak/>
        <w:t>26AB</w:t>
      </w:r>
      <w:r>
        <w:t>.</w:t>
      </w:r>
      <w:r>
        <w:tab/>
        <w:t>Parking in paid staff parking area</w:t>
      </w:r>
      <w:bookmarkEnd w:id="48"/>
    </w:p>
    <w:p>
      <w:pPr>
        <w:pStyle w:val="Subsection"/>
        <w:keepNext/>
      </w:pPr>
      <w:r>
        <w:tab/>
        <w:t>(1)</w:t>
      </w:r>
      <w:r>
        <w:tab/>
        <w:t>In this by</w:t>
      </w:r>
      <w:r>
        <w:noBreakHyphen/>
        <w:t xml:space="preserve">law — </w:t>
      </w:r>
    </w:p>
    <w:p>
      <w:pPr>
        <w:pStyle w:val="Defstart"/>
      </w:pPr>
      <w:r>
        <w:tab/>
      </w:r>
      <w:r>
        <w:rPr>
          <w:rStyle w:val="CharDefText"/>
        </w:rPr>
        <w:t>eligible staff member</w:t>
      </w:r>
      <w:r>
        <w:t xml:space="preserve"> means a person who is in a class of persons determined by the secretary under sub</w:t>
      </w:r>
      <w:r>
        <w:noBreakHyphen/>
        <w:t>bylaw (5);</w:t>
      </w:r>
    </w:p>
    <w:p>
      <w:pPr>
        <w:pStyle w:val="Defstart"/>
      </w:pPr>
      <w:r>
        <w:tab/>
      </w:r>
      <w:r>
        <w:rPr>
          <w:rStyle w:val="CharDefText"/>
        </w:rPr>
        <w:t>paid staff parking area</w:t>
      </w:r>
      <w:r>
        <w:t xml:space="preserve"> means an area set aside under by</w:t>
      </w:r>
      <w:r>
        <w:noBreakHyphen/>
        <w:t>law 26(1)(b).</w:t>
      </w:r>
    </w:p>
    <w:p>
      <w:pPr>
        <w:pStyle w:val="Subsection"/>
      </w:pPr>
      <w:r>
        <w:tab/>
        <w:t>(2)</w:t>
      </w:r>
      <w:r>
        <w:tab/>
        <w:t>A person must not park a vehicle in a paid staff parking area unless the person is an eligible staff member.</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Subsection"/>
      </w:pPr>
      <w:r>
        <w:tab/>
        <w:t>(4)</w:t>
      </w:r>
      <w:r>
        <w:tab/>
        <w:t>A fee payable under this by</w:t>
      </w:r>
      <w:r>
        <w:noBreakHyphen/>
        <w:t>law is to be paid in a manner approved by the secretary.</w:t>
      </w:r>
    </w:p>
    <w:p>
      <w:pPr>
        <w:pStyle w:val="Subsection"/>
      </w:pPr>
      <w:r>
        <w:tab/>
        <w:t>(5)</w:t>
      </w:r>
      <w:r>
        <w:tab/>
        <w:t>The secretary may determine classes of persons who are eligible to park in paid staff parking areas.</w:t>
      </w:r>
    </w:p>
    <w:p>
      <w:pPr>
        <w:pStyle w:val="Footnotesection"/>
      </w:pPr>
      <w:r>
        <w:tab/>
        <w:t>[By-law 26AB inserted: Gazette 22 Jun 2010 p. 2775.]</w:t>
      </w:r>
    </w:p>
    <w:p>
      <w:pPr>
        <w:pStyle w:val="Heading5"/>
      </w:pPr>
      <w:bookmarkStart w:id="49" w:name="_Toc201918839"/>
      <w:r>
        <w:rPr>
          <w:rStyle w:val="CharSectno"/>
        </w:rPr>
        <w:t>26AC</w:t>
      </w:r>
      <w:r>
        <w:t>.</w:t>
      </w:r>
      <w:r>
        <w:tab/>
        <w:t>Parking in permit parking area</w:t>
      </w:r>
      <w:bookmarkEnd w:id="49"/>
    </w:p>
    <w:p>
      <w:pPr>
        <w:pStyle w:val="Subsection"/>
      </w:pPr>
      <w:r>
        <w:tab/>
        <w:t>(1)</w:t>
      </w:r>
      <w:r>
        <w:tab/>
        <w:t>In this by</w:t>
      </w:r>
      <w:r>
        <w:noBreakHyphen/>
        <w:t xml:space="preserve">law — </w:t>
      </w:r>
    </w:p>
    <w:p>
      <w:pPr>
        <w:pStyle w:val="Defstart"/>
      </w:pPr>
      <w:r>
        <w:tab/>
      </w:r>
      <w:r>
        <w:rPr>
          <w:rStyle w:val="CharDefText"/>
        </w:rPr>
        <w:t>permit parking area</w:t>
      </w:r>
      <w:r>
        <w:t xml:space="preserve"> means an area set aside under by</w:t>
      </w:r>
      <w:r>
        <w:noBreakHyphen/>
        <w:t>law 26(1)(c).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keepNext/>
      </w:pPr>
      <w:r>
        <w:lastRenderedPageBreak/>
        <w:tab/>
        <w:t>(c)</w:t>
      </w:r>
      <w:r>
        <w:tab/>
        <w:t>the permit is displayed in or on the vehicle in the manner specified in the permit.</w:t>
      </w:r>
    </w:p>
    <w:p>
      <w:pPr>
        <w:pStyle w:val="Footnotesection"/>
      </w:pPr>
      <w:r>
        <w:tab/>
        <w:t>[By-law 26AC inserted: Gazette 22 Jun 2010 p. 2775.]</w:t>
      </w:r>
    </w:p>
    <w:p>
      <w:pPr>
        <w:pStyle w:val="Heading5"/>
      </w:pPr>
      <w:bookmarkStart w:id="50" w:name="_Toc201918840"/>
      <w:r>
        <w:rPr>
          <w:rStyle w:val="CharSectno"/>
        </w:rPr>
        <w:t>26AD</w:t>
      </w:r>
      <w:r>
        <w:t>.</w:t>
      </w:r>
      <w:r>
        <w:tab/>
        <w:t>Parking permits</w:t>
      </w:r>
      <w:bookmarkEnd w:id="50"/>
    </w:p>
    <w:p>
      <w:pPr>
        <w:pStyle w:val="Subsection"/>
      </w:pPr>
      <w:r>
        <w:tab/>
        <w:t>(1)</w:t>
      </w:r>
      <w:r>
        <w:tab/>
        <w:t>The secretary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keepNext/>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Footnotesection"/>
      </w:pPr>
      <w:r>
        <w:tab/>
        <w:t>[By-law 26AD inserted: Gazette 22 Jun 2010 p. 2775-6.]</w:t>
      </w:r>
    </w:p>
    <w:p>
      <w:pPr>
        <w:pStyle w:val="Heading5"/>
      </w:pPr>
      <w:bookmarkStart w:id="51" w:name="_Toc201918841"/>
      <w:r>
        <w:rPr>
          <w:rStyle w:val="CharSectno"/>
        </w:rPr>
        <w:t>26AE</w:t>
      </w:r>
      <w:r>
        <w:t>.</w:t>
      </w:r>
      <w:r>
        <w:tab/>
        <w:t>Application for parking permit</w:t>
      </w:r>
      <w:bookmarkEnd w:id="51"/>
    </w:p>
    <w:p>
      <w:pPr>
        <w:pStyle w:val="Subsection"/>
      </w:pPr>
      <w:r>
        <w:tab/>
        <w:t>(1)</w:t>
      </w:r>
      <w:r>
        <w:tab/>
        <w:t>A person may apply to an authorised person for the grant of a parking permit.</w:t>
      </w:r>
    </w:p>
    <w:p>
      <w:pPr>
        <w:pStyle w:val="Subsection"/>
      </w:pPr>
      <w:r>
        <w:lastRenderedPageBreak/>
        <w:tab/>
        <w:t>(2)</w:t>
      </w:r>
      <w:r>
        <w:tab/>
        <w:t>An application must be made in writing in a form approved by the secretary.</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keepNext/>
      </w:pPr>
      <w:r>
        <w:tab/>
        <w:t>(4A)</w:t>
      </w:r>
      <w:r>
        <w:tab/>
        <w:t>Unless sub</w:t>
      </w:r>
      <w:r>
        <w:noBreakHyphen/>
        <w:t>bylaw (4) applies, within 14 days of receiving an application for a parking permit, an authorised person is to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tab/>
        <w:t>(4B)</w:t>
      </w:r>
      <w:r>
        <w:tab/>
        <w:t>An authorised person is to give written notice to an applicant who is granted a parking permit if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(4C)</w:t>
      </w:r>
      <w:r>
        <w:tab/>
        <w:t>Written notice under sub</w:t>
      </w:r>
      <w:r>
        <w:noBreakHyphen/>
        <w:t>bylaw (4A)(b) or (4B) must state the reasons for the decision and provide information about the right to a review of the decision under by</w:t>
      </w:r>
      <w:r>
        <w:noBreakHyphen/>
        <w:t>law 26AF.</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Footnotesection"/>
      </w:pPr>
      <w:r>
        <w:tab/>
        <w:t>[By-law 26AE inserted: Gazette 22 Jun 2010 p. 2776; amended: Gazette 1 Jul 2016 p. 2743-4.]</w:t>
      </w:r>
    </w:p>
    <w:p>
      <w:pPr>
        <w:pStyle w:val="Heading5"/>
      </w:pPr>
      <w:bookmarkStart w:id="52" w:name="_Toc201918842"/>
      <w:r>
        <w:rPr>
          <w:rStyle w:val="CharSectno"/>
        </w:rPr>
        <w:lastRenderedPageBreak/>
        <w:t>26AF</w:t>
      </w:r>
      <w:r>
        <w:t>.</w:t>
      </w:r>
      <w:r>
        <w:tab/>
        <w:t>Review of decisions about parking permits</w:t>
      </w:r>
      <w:bookmarkEnd w:id="52"/>
    </w:p>
    <w:p>
      <w:pPr>
        <w:pStyle w:val="Subsection"/>
        <w:keepNext/>
      </w:pPr>
      <w:r>
        <w:tab/>
        <w:t>(1)</w:t>
      </w:r>
      <w:r>
        <w:tab/>
        <w:t>In this by</w:t>
      </w:r>
      <w:r>
        <w:noBreakHyphen/>
        <w:t xml:space="preserve">law — </w:t>
      </w:r>
    </w:p>
    <w:p>
      <w:pPr>
        <w:pStyle w:val="Defstart"/>
      </w:pPr>
      <w:r>
        <w:tab/>
      </w:r>
      <w:r>
        <w:rPr>
          <w:rStyle w:val="CharDefText"/>
        </w:rPr>
        <w:t>committee</w:t>
      </w:r>
      <w:r>
        <w:t xml:space="preserve"> means the committee appointed under sub</w:t>
      </w:r>
      <w:r>
        <w:noBreakHyphen/>
        <w:t>bylaw (4);</w:t>
      </w:r>
    </w:p>
    <w:p>
      <w:pPr>
        <w:pStyle w:val="Defstart"/>
      </w:pPr>
      <w:r>
        <w:tab/>
      </w:r>
      <w:r>
        <w:rPr>
          <w:rStyle w:val="CharDefText"/>
        </w:rPr>
        <w:t>decision</w:t>
      </w:r>
      <w:r>
        <w:t xml:space="preserve"> means a decision by an authorised person under by</w:t>
      </w:r>
      <w:r>
        <w:noBreakHyphen/>
        <w:t xml:space="preserve">law 26AE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Subsection"/>
      </w:pPr>
      <w:r>
        <w:tab/>
        <w:t>(2)</w:t>
      </w:r>
      <w:r>
        <w:tab/>
        <w:t>An applicant for a parking permit who is aggrieved by a decision may apply in writing in an approved form to the committee for a review of the decision.</w:t>
      </w:r>
    </w:p>
    <w:p>
      <w:pPr>
        <w:pStyle w:val="Subsection"/>
      </w:pPr>
      <w:r>
        <w:tab/>
        <w:t>(3)</w:t>
      </w:r>
      <w:r>
        <w:tab/>
        <w:t>An application for a review of a decision must be made by the applicant within 14 days after the applicant receives notice of the decision under by</w:t>
      </w:r>
      <w:r>
        <w:noBreakHyphen/>
        <w:t>law 26AE(4A)(b) or (4B).</w:t>
      </w:r>
    </w:p>
    <w:p>
      <w:pPr>
        <w:pStyle w:val="Subsection"/>
      </w:pPr>
      <w:r>
        <w:tab/>
        <w:t>(4)</w:t>
      </w:r>
      <w:r>
        <w:tab/>
        <w:t xml:space="preserve">The committee is to consist of 3 members appointed by the secretary, one of whom is to be a practitioner as defined in the </w:t>
      </w:r>
      <w:r>
        <w:rPr>
          <w:i/>
        </w:rPr>
        <w:t>Private Hospitals and Health Services Act 1927</w:t>
      </w:r>
      <w:r>
        <w:rPr>
          <w:i/>
          <w:vertAlign w:val="superscript"/>
        </w:rPr>
        <w:t> 1</w:t>
      </w:r>
      <w:r>
        <w:t xml:space="preserve"> section 2(1).</w:t>
      </w:r>
    </w:p>
    <w:p>
      <w:pPr>
        <w:pStyle w:val="Subsection"/>
      </w:pPr>
      <w:r>
        <w:tab/>
        <w:t>(5)</w:t>
      </w:r>
      <w:r>
        <w:tab/>
        <w:t>An applicant must provide the committee with any additional information or document that the committee asks for to enable it to review the decision.</w:t>
      </w:r>
    </w:p>
    <w:p>
      <w:pPr>
        <w:pStyle w:val="Subsection"/>
      </w:pPr>
      <w:r>
        <w:tab/>
        <w:t>(6)</w:t>
      </w:r>
      <w:r>
        <w:tab/>
        <w:t>An applicant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Subsection"/>
      </w:pPr>
      <w:r>
        <w:tab/>
        <w:t>(7)</w:t>
      </w:r>
      <w:r>
        <w:tab/>
        <w:t>After reviewing a decision the committee, by written notice given to the applicant, is to affirm, reverse or vary the decision.</w:t>
      </w:r>
    </w:p>
    <w:p>
      <w:pPr>
        <w:pStyle w:val="Subsection"/>
        <w:keepNext/>
      </w:pPr>
      <w:r>
        <w:lastRenderedPageBreak/>
        <w:tab/>
        <w:t>(8)</w:t>
      </w:r>
      <w:r>
        <w:tab/>
        <w:t>The committee is to give the notice referred to in sub</w:t>
      </w:r>
      <w:r>
        <w:noBreakHyphen/>
        <w:t>bylaw (7) within 30 days of receiving the application for a review of the decision under sub</w:t>
      </w:r>
      <w:r>
        <w:noBreakHyphen/>
        <w:t>bylaw (2).</w:t>
      </w:r>
    </w:p>
    <w:p>
      <w:pPr>
        <w:pStyle w:val="Footnotesection"/>
      </w:pPr>
      <w:r>
        <w:tab/>
        <w:t>[By-law 26AF inserted: Gazette 1 Jul 2016 p. 2744-5.]</w:t>
      </w:r>
    </w:p>
    <w:p>
      <w:pPr>
        <w:pStyle w:val="Heading5"/>
        <w:spacing w:before="180"/>
      </w:pPr>
      <w:bookmarkStart w:id="53" w:name="_Toc201918843"/>
      <w:r>
        <w:rPr>
          <w:rStyle w:val="CharSectno"/>
        </w:rPr>
        <w:t>26AG</w:t>
      </w:r>
      <w:r>
        <w:t>.</w:t>
      </w:r>
      <w:r>
        <w:tab/>
        <w:t>Cancellation of parking permit</w:t>
      </w:r>
      <w:bookmarkEnd w:id="53"/>
    </w:p>
    <w:p>
      <w:pPr>
        <w:pStyle w:val="Subsection"/>
        <w:spacing w:before="120"/>
      </w:pPr>
      <w:r>
        <w:tab/>
        <w:t>(1)</w:t>
      </w:r>
      <w:r>
        <w:tab/>
        <w:t>There are grounds for cancelling a parking permit if —</w:t>
      </w:r>
    </w:p>
    <w:p>
      <w:pPr>
        <w:pStyle w:val="Ednotepara"/>
      </w:pPr>
      <w:r>
        <w:tab/>
        <w:t>[(a)</w:t>
      </w:r>
      <w:r>
        <w:tab/>
        <w:t>deleted]</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26AE(5); or</w:t>
      </w:r>
    </w:p>
    <w:p>
      <w:pPr>
        <w:pStyle w:val="Indenta"/>
      </w:pPr>
      <w:r>
        <w:tab/>
        <w:t>(e)</w:t>
      </w:r>
      <w:r>
        <w:tab/>
        <w:t>the permit holder ceases to satisfy any of the eligibility criteria for the relevant class of permit; or</w:t>
      </w:r>
    </w:p>
    <w:p>
      <w:pPr>
        <w:pStyle w:val="Indenta"/>
      </w:pPr>
      <w:r>
        <w:tab/>
        <w:t>(f)</w:t>
      </w:r>
      <w:r>
        <w:tab/>
        <w:t>the secretary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bylaw (1)(b) to (e), the authorised person may cancel the permit by giving the permit holder 14 days written notice.</w:t>
      </w:r>
    </w:p>
    <w:p>
      <w:pPr>
        <w:pStyle w:val="Subsection"/>
      </w:pPr>
      <w:r>
        <w:tab/>
        <w:t>(3)</w:t>
      </w:r>
      <w:r>
        <w:tab/>
        <w:t>If the secretary has made a determination under sub</w:t>
      </w:r>
      <w:r>
        <w:noBreakHyphen/>
        <w:t>bylaw (1)(f) in relation to a class of parking permits, an authorised person may cancel a parking permit in that class by giving the permit holder 60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lastRenderedPageBreak/>
        <w:tab/>
        <w:t>(5)</w:t>
      </w:r>
      <w:r>
        <w:tab/>
        <w:t>The notice given under this by</w:t>
      </w:r>
      <w:r>
        <w:noBreakHyphen/>
        <w:t>law must set out the grounds on which the permit is cancelled.</w:t>
      </w:r>
    </w:p>
    <w:p>
      <w:pPr>
        <w:pStyle w:val="Footnotesection"/>
        <w:spacing w:before="60"/>
        <w:ind w:left="890" w:hanging="890"/>
      </w:pPr>
      <w:r>
        <w:tab/>
        <w:t>[By-law 26AG inserted: Gazette 22 Jun 2010 p. 2777-8; amended: Gazette 28 Jun 2013 p. 2755.]</w:t>
      </w:r>
    </w:p>
    <w:p>
      <w:pPr>
        <w:pStyle w:val="Ednotesection"/>
        <w:spacing w:before="240"/>
        <w:ind w:left="890" w:hanging="890"/>
      </w:pPr>
      <w:r>
        <w:t>[</w:t>
      </w:r>
      <w:r>
        <w:rPr>
          <w:b/>
        </w:rPr>
        <w:t>26AH.</w:t>
      </w:r>
      <w:r>
        <w:tab/>
        <w:t>Deleted: Gazette 28 Jun 2013 p. 2756.]</w:t>
      </w:r>
    </w:p>
    <w:p>
      <w:pPr>
        <w:pStyle w:val="Ednotesection"/>
        <w:spacing w:before="240"/>
        <w:ind w:left="890" w:hanging="890"/>
      </w:pPr>
      <w:r>
        <w:t>[</w:t>
      </w:r>
      <w:r>
        <w:rPr>
          <w:b/>
          <w:bCs/>
        </w:rPr>
        <w:t>26A.</w:t>
      </w:r>
      <w:r>
        <w:tab/>
        <w:t>Deleted: Gazette 22 Jun 2010 p. 2774.]</w:t>
      </w:r>
    </w:p>
    <w:p>
      <w:pPr>
        <w:pStyle w:val="Heading5"/>
        <w:rPr>
          <w:snapToGrid w:val="0"/>
        </w:rPr>
      </w:pPr>
      <w:bookmarkStart w:id="54" w:name="_Toc201918844"/>
      <w:r>
        <w:rPr>
          <w:rStyle w:val="CharSectno"/>
        </w:rPr>
        <w:t>26B</w:t>
      </w:r>
      <w:r>
        <w:rPr>
          <w:snapToGrid w:val="0"/>
        </w:rPr>
        <w:t>.</w:t>
      </w:r>
      <w:r>
        <w:rPr>
          <w:snapToGrid w:val="0"/>
        </w:rPr>
        <w:tab/>
        <w:t>Removal of vehicles</w:t>
      </w:r>
      <w:bookmarkEnd w:id="54"/>
      <w:r>
        <w:rPr>
          <w:snapToGrid w:val="0"/>
        </w:rPr>
        <w:t xml:space="preserve"> </w:t>
      </w:r>
    </w:p>
    <w:p>
      <w:pPr>
        <w:pStyle w:val="Subsection"/>
        <w:rPr>
          <w:snapToGrid w:val="0"/>
        </w:rPr>
      </w:pPr>
      <w:r>
        <w:rPr>
          <w:snapToGrid w:val="0"/>
        </w:rPr>
        <w:tab/>
        <w:t>(1)</w:t>
      </w:r>
      <w:r>
        <w:rPr>
          <w:snapToGrid w:val="0"/>
        </w:rPr>
        <w:tab/>
        <w:t>A vehicle parked in breach of these by</w:t>
      </w:r>
      <w:r>
        <w:rPr>
          <w:snapToGrid w:val="0"/>
        </w:rPr>
        <w:noBreakHyphen/>
        <w:t>laws or a vehicle which is believed to have been left on the site for more than 3 days may be removed by order of the secretary to the security compound within the site and there stored.</w:t>
      </w:r>
    </w:p>
    <w:p>
      <w:pPr>
        <w:pStyle w:val="Subsection"/>
        <w:rPr>
          <w:snapToGrid w:val="0"/>
        </w:rPr>
      </w:pPr>
      <w:r>
        <w:rPr>
          <w:snapToGrid w:val="0"/>
        </w:rPr>
        <w:tab/>
        <w:t>(2)</w:t>
      </w:r>
      <w:r>
        <w:rPr>
          <w:snapToGrid w:val="0"/>
        </w:rPr>
        <w:tab/>
        <w:t>For the purpose of removing a vehicle under sub</w:t>
      </w:r>
      <w:r>
        <w:rPr>
          <w:snapToGrid w:val="0"/>
        </w:rPr>
        <w:noBreakHyphen/>
        <w:t>bylaw (1), an authorised person may take such action by way of unlocking, driving, towing or otherwise as is reasonably necessary.</w:t>
      </w:r>
    </w:p>
    <w:p>
      <w:pPr>
        <w:pStyle w:val="Subsection"/>
        <w:rPr>
          <w:snapToGrid w:val="0"/>
        </w:rPr>
      </w:pPr>
      <w:r>
        <w:rPr>
          <w:snapToGrid w:val="0"/>
        </w:rPr>
        <w:tab/>
        <w:t>(3)</w:t>
      </w:r>
      <w:r>
        <w:rPr>
          <w:snapToGrid w:val="0"/>
        </w:rPr>
        <w:tab/>
        <w:t xml:space="preserve">The </w:t>
      </w:r>
      <w:r>
        <w:t>North Metropolitan Health Service</w:t>
      </w:r>
      <w:r>
        <w:rPr>
          <w:snapToGrid w:val="0"/>
        </w:rPr>
        <w:t xml:space="preserve"> may retain possession of a vehicle removed and stored under this by</w:t>
      </w:r>
      <w:r>
        <w:rPr>
          <w:snapToGrid w:val="0"/>
        </w:rPr>
        <w:noBreakHyphen/>
        <w:t xml:space="preserve">law until the </w:t>
      </w:r>
      <w:r>
        <w:t>responsible person for</w:t>
      </w:r>
      <w:r>
        <w:rPr>
          <w:snapToGrid w:val="0"/>
        </w:rPr>
        <w:t xml:space="preserve"> that vehicle has paid </w:t>
      </w:r>
      <w:r>
        <w:t>to the chief executive of the North Metropolitan Health Service</w:t>
      </w:r>
      <w:r>
        <w:rPr>
          <w:snapToGrid w:val="0"/>
        </w:rPr>
        <w:t xml:space="preserve"> </w:t>
      </w:r>
      <w:r>
        <w:t>the prescribed fee.</w:t>
      </w:r>
    </w:p>
    <w:p>
      <w:pPr>
        <w:pStyle w:val="Footnotesection"/>
        <w:keepLines w:val="0"/>
      </w:pPr>
      <w:r>
        <w:tab/>
        <w:t>[By</w:t>
      </w:r>
      <w:r>
        <w:noBreakHyphen/>
        <w:t xml:space="preserve">law 26B inserted: Gazette 9 Dec 1988 p. 4821; amended: Gazette 29 Jun 2001 p. 3113; 22 Jun 2010 p. 2778; 10 Feb 2015 p. 618; 1 Jul 2016 p. 2747.] </w:t>
      </w:r>
    </w:p>
    <w:p>
      <w:pPr>
        <w:pStyle w:val="Heading2"/>
      </w:pPr>
      <w:bookmarkStart w:id="55" w:name="_Toc201915717"/>
      <w:bookmarkStart w:id="56" w:name="_Toc201916238"/>
      <w:bookmarkStart w:id="57" w:name="_Toc201918845"/>
      <w:r>
        <w:rPr>
          <w:rStyle w:val="CharPartNo"/>
        </w:rPr>
        <w:lastRenderedPageBreak/>
        <w:t>Part V</w:t>
      </w:r>
      <w:r>
        <w:rPr>
          <w:rStyle w:val="CharDivNo"/>
        </w:rPr>
        <w:t> </w:t>
      </w:r>
      <w:r>
        <w:t>—</w:t>
      </w:r>
      <w:r>
        <w:rPr>
          <w:rStyle w:val="CharDivText"/>
        </w:rPr>
        <w:t> </w:t>
      </w:r>
      <w:r>
        <w:rPr>
          <w:rStyle w:val="CharPartText"/>
        </w:rPr>
        <w:t>Offences and penalties</w:t>
      </w:r>
      <w:bookmarkEnd w:id="55"/>
      <w:bookmarkEnd w:id="56"/>
      <w:bookmarkEnd w:id="57"/>
      <w:r>
        <w:rPr>
          <w:rStyle w:val="CharPartText"/>
        </w:rPr>
        <w:t xml:space="preserve"> </w:t>
      </w:r>
    </w:p>
    <w:p>
      <w:pPr>
        <w:pStyle w:val="Heading5"/>
        <w:rPr>
          <w:snapToGrid w:val="0"/>
        </w:rPr>
      </w:pPr>
      <w:bookmarkStart w:id="58" w:name="_Toc201918846"/>
      <w:r>
        <w:rPr>
          <w:rStyle w:val="CharSectno"/>
        </w:rPr>
        <w:t>27</w:t>
      </w:r>
      <w:r>
        <w:rPr>
          <w:snapToGrid w:val="0"/>
        </w:rPr>
        <w:t>.</w:t>
      </w:r>
      <w:r>
        <w:rPr>
          <w:snapToGrid w:val="0"/>
        </w:rPr>
        <w:tab/>
        <w:t>Terms used</w:t>
      </w:r>
      <w:bookmarkEnd w:id="5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in respect of a vehicle on or in which an infringement notice has been left under by</w:t>
      </w:r>
      <w:r>
        <w:noBreakHyphen/>
        <w:t>law 30 by an authorised person includes the responsible person for the vehicle;</w:t>
      </w:r>
    </w:p>
    <w:p>
      <w:pPr>
        <w:pStyle w:val="Defstart"/>
      </w:pPr>
      <w:r>
        <w:rPr>
          <w:b/>
        </w:rPr>
        <w:tab/>
      </w:r>
      <w:r>
        <w:rPr>
          <w:rStyle w:val="CharDefText"/>
        </w:rPr>
        <w:t>infringement notice</w:t>
      </w:r>
      <w:r>
        <w:t xml:space="preserve"> means infringement notice referred to in by</w:t>
      </w:r>
      <w:r>
        <w:noBreakHyphen/>
        <w:t>law 30;</w:t>
      </w:r>
    </w:p>
    <w:p>
      <w:pPr>
        <w:pStyle w:val="Defstart"/>
      </w:pPr>
      <w:r>
        <w:rPr>
          <w:b/>
        </w:rPr>
        <w:tab/>
      </w:r>
      <w:bookmarkStart w:id="59" w:name="endcomma"/>
      <w:bookmarkEnd w:id="59"/>
      <w:r>
        <w:rPr>
          <w:rStyle w:val="CharDefText"/>
        </w:rPr>
        <w:t>modified penalty</w:t>
      </w:r>
      <w:r>
        <w:t xml:space="preserve"> </w:t>
      </w:r>
      <w:bookmarkStart w:id="60" w:name="comma"/>
      <w:bookmarkEnd w:id="60"/>
      <w:r>
        <w:t>means modified penalty prescribed in Schedule 2 for an offence under these by</w:t>
      </w:r>
      <w:r>
        <w:noBreakHyphen/>
        <w:t>laws.</w:t>
      </w:r>
    </w:p>
    <w:p>
      <w:pPr>
        <w:pStyle w:val="Footnotesection"/>
      </w:pPr>
      <w:r>
        <w:tab/>
        <w:t>[By-law 27 amended: Gazette 29 Jun 2001 p. 3113; 22 Jun 2010 p. 2778; 10 Feb 2015 p. 619.]</w:t>
      </w:r>
    </w:p>
    <w:p>
      <w:pPr>
        <w:pStyle w:val="Heading5"/>
        <w:spacing w:before="240"/>
        <w:rPr>
          <w:snapToGrid w:val="0"/>
        </w:rPr>
      </w:pPr>
      <w:bookmarkStart w:id="61" w:name="_Toc201918847"/>
      <w:r>
        <w:rPr>
          <w:rStyle w:val="CharSectno"/>
        </w:rPr>
        <w:t>27A</w:t>
      </w:r>
      <w:r>
        <w:rPr>
          <w:snapToGrid w:val="0"/>
        </w:rPr>
        <w:t>.</w:t>
      </w:r>
      <w:r>
        <w:rPr>
          <w:snapToGrid w:val="0"/>
        </w:rPr>
        <w:tab/>
        <w:t>Offences</w:t>
      </w:r>
      <w:bookmarkEnd w:id="61"/>
      <w:r>
        <w:rPr>
          <w:snapToGrid w:val="0"/>
        </w:rPr>
        <w:t xml:space="preserve"> </w:t>
      </w:r>
    </w:p>
    <w:p>
      <w:pPr>
        <w:pStyle w:val="Subsection"/>
        <w:rPr>
          <w:snapToGrid w:val="0"/>
        </w:rPr>
      </w:pPr>
      <w:r>
        <w:rPr>
          <w:snapToGrid w:val="0"/>
        </w:rPr>
        <w:tab/>
      </w:r>
      <w:r>
        <w:rPr>
          <w:snapToGrid w:val="0"/>
        </w:rPr>
        <w:tab/>
        <w:t>A person who contravenes or fails to comply with any of the provisions of these by</w:t>
      </w:r>
      <w:r>
        <w:rPr>
          <w:snapToGrid w:val="0"/>
        </w:rPr>
        <w:noBreakHyphen/>
        <w:t>laws commits an offence.</w:t>
      </w:r>
    </w:p>
    <w:p>
      <w:pPr>
        <w:pStyle w:val="Footnotesection"/>
      </w:pPr>
      <w:r>
        <w:tab/>
        <w:t>[By</w:t>
      </w:r>
      <w:r>
        <w:noBreakHyphen/>
        <w:t xml:space="preserve">law 27A inserted: Gazette 9 Dec 1988 p. 4821.] </w:t>
      </w:r>
    </w:p>
    <w:p>
      <w:pPr>
        <w:pStyle w:val="Heading5"/>
        <w:spacing w:before="240"/>
        <w:rPr>
          <w:snapToGrid w:val="0"/>
        </w:rPr>
      </w:pPr>
      <w:bookmarkStart w:id="62" w:name="_Toc201918848"/>
      <w:r>
        <w:rPr>
          <w:rStyle w:val="CharSectno"/>
        </w:rPr>
        <w:t>28</w:t>
      </w:r>
      <w:r>
        <w:rPr>
          <w:snapToGrid w:val="0"/>
        </w:rPr>
        <w:t>.</w:t>
      </w:r>
      <w:r>
        <w:rPr>
          <w:snapToGrid w:val="0"/>
        </w:rPr>
        <w:tab/>
        <w:t>General penalty</w:t>
      </w:r>
      <w:bookmarkEnd w:id="62"/>
      <w:r>
        <w:rPr>
          <w:snapToGrid w:val="0"/>
        </w:rPr>
        <w:t xml:space="preserve"> </w:t>
      </w:r>
    </w:p>
    <w:p>
      <w:pPr>
        <w:pStyle w:val="Subsection"/>
        <w:rPr>
          <w:snapToGrid w:val="0"/>
        </w:rPr>
      </w:pPr>
      <w:r>
        <w:rPr>
          <w:snapToGrid w:val="0"/>
        </w:rPr>
        <w:tab/>
      </w:r>
      <w:r>
        <w:rPr>
          <w:snapToGrid w:val="0"/>
        </w:rPr>
        <w:tab/>
        <w:t>A person who commits an offence under these by</w:t>
      </w:r>
      <w:r>
        <w:rPr>
          <w:snapToGrid w:val="0"/>
        </w:rPr>
        <w:noBreakHyphen/>
        <w:t xml:space="preserve">laws is liable to a penalty not exceeding </w:t>
      </w:r>
      <w:r>
        <w:t>$200.</w:t>
      </w:r>
    </w:p>
    <w:p>
      <w:pPr>
        <w:pStyle w:val="Footnotesection"/>
      </w:pPr>
      <w:r>
        <w:tab/>
        <w:t>[By-law 28 amended: Gazette 1 Jul 2016 p. 2747.]</w:t>
      </w:r>
    </w:p>
    <w:p>
      <w:pPr>
        <w:pStyle w:val="Heading5"/>
        <w:spacing w:before="240"/>
        <w:rPr>
          <w:snapToGrid w:val="0"/>
        </w:rPr>
      </w:pPr>
      <w:bookmarkStart w:id="63" w:name="_Toc201918849"/>
      <w:r>
        <w:rPr>
          <w:rStyle w:val="CharSectno"/>
        </w:rPr>
        <w:t>29</w:t>
      </w:r>
      <w:r>
        <w:rPr>
          <w:snapToGrid w:val="0"/>
        </w:rPr>
        <w:t>.</w:t>
      </w:r>
      <w:r>
        <w:rPr>
          <w:snapToGrid w:val="0"/>
        </w:rPr>
        <w:tab/>
        <w:t>Modified penalties</w:t>
      </w:r>
      <w:bookmarkEnd w:id="63"/>
      <w:r>
        <w:rPr>
          <w:snapToGrid w:val="0"/>
        </w:rPr>
        <w:t xml:space="preserve"> </w:t>
      </w:r>
    </w:p>
    <w:p>
      <w:pPr>
        <w:pStyle w:val="Subsection"/>
        <w:rPr>
          <w:snapToGrid w:val="0"/>
        </w:rPr>
      </w:pPr>
      <w:r>
        <w:rPr>
          <w:snapToGrid w:val="0"/>
        </w:rPr>
        <w:tab/>
        <w:t>(1)</w:t>
      </w:r>
      <w:r>
        <w:rPr>
          <w:snapToGrid w:val="0"/>
        </w:rPr>
        <w:tab/>
        <w:t>A person who does not contest an allegation that he committed an offence under these by</w:t>
      </w:r>
      <w:r>
        <w:rPr>
          <w:snapToGrid w:val="0"/>
        </w:rPr>
        <w:noBreakHyphen/>
        <w:t>laws may pay to the Hospital within the time specified in the relevant infringement notice or within such extended time as the secretary allows the modified penalty prescribed for that offence in Schedule 2.</w:t>
      </w:r>
    </w:p>
    <w:p>
      <w:pPr>
        <w:pStyle w:val="Subsection"/>
        <w:keepLines/>
        <w:rPr>
          <w:snapToGrid w:val="0"/>
        </w:rPr>
      </w:pPr>
      <w:r>
        <w:rPr>
          <w:snapToGrid w:val="0"/>
        </w:rPr>
        <w:lastRenderedPageBreak/>
        <w:tab/>
        <w:t>(2)</w:t>
      </w:r>
      <w:r>
        <w:rPr>
          <w:snapToGrid w:val="0"/>
        </w:rPr>
        <w:tab/>
        <w:t>The production of an acknowledgement from the Hospital of the payment under sub</w:t>
      </w:r>
      <w:r>
        <w:rPr>
          <w:snapToGrid w:val="0"/>
        </w:rPr>
        <w:noBreakHyphen/>
        <w:t>bylaw (1) of the modified penalty concerned is a defence to a charge of the offence in respect of which that modified penalty was paid.</w:t>
      </w:r>
    </w:p>
    <w:p>
      <w:pPr>
        <w:pStyle w:val="Heading5"/>
        <w:rPr>
          <w:snapToGrid w:val="0"/>
        </w:rPr>
      </w:pPr>
      <w:bookmarkStart w:id="64" w:name="_Toc201918850"/>
      <w:r>
        <w:rPr>
          <w:rStyle w:val="CharSectno"/>
        </w:rPr>
        <w:t>30</w:t>
      </w:r>
      <w:r>
        <w:rPr>
          <w:snapToGrid w:val="0"/>
        </w:rPr>
        <w:t>.</w:t>
      </w:r>
      <w:r>
        <w:rPr>
          <w:snapToGrid w:val="0"/>
        </w:rPr>
        <w:tab/>
        <w:t>Infringement notices</w:t>
      </w:r>
      <w:bookmarkEnd w:id="64"/>
      <w:r>
        <w:rPr>
          <w:snapToGrid w:val="0"/>
        </w:rPr>
        <w:t xml:space="preserve"> </w:t>
      </w:r>
    </w:p>
    <w:p>
      <w:pPr>
        <w:pStyle w:val="Subsection"/>
        <w:rPr>
          <w:snapToGrid w:val="0"/>
        </w:rPr>
      </w:pPr>
      <w:r>
        <w:rPr>
          <w:snapToGrid w:val="0"/>
        </w:rPr>
        <w:tab/>
        <w:t>(1)</w:t>
      </w:r>
      <w:r>
        <w:rPr>
          <w:snapToGrid w:val="0"/>
        </w:rPr>
        <w:tab/>
        <w:t>An authorised person who believes on reasonable grounds that a person has committed an offence under these by</w:t>
      </w:r>
      <w:r>
        <w:rPr>
          <w:snapToGrid w:val="0"/>
        </w:rPr>
        <w:noBreakHyphen/>
        <w:t>laws may serve on that person an infringement notice by delivering it to the alleged offender or by affixing it to the vehicle of the alleged offender.</w:t>
      </w:r>
    </w:p>
    <w:p>
      <w:pPr>
        <w:pStyle w:val="Subsection"/>
        <w:rPr>
          <w:snapToGrid w:val="0"/>
        </w:rPr>
      </w:pPr>
      <w:r>
        <w:rPr>
          <w:snapToGrid w:val="0"/>
        </w:rPr>
        <w:tab/>
        <w:t>(2)</w:t>
      </w:r>
      <w:r>
        <w:rPr>
          <w:snapToGrid w:val="0"/>
        </w:rPr>
        <w:tab/>
        <w:t>An infringement notice shall be in the form of Form 1 or 2 Schedule 3 and shall — </w:t>
      </w:r>
    </w:p>
    <w:p>
      <w:pPr>
        <w:pStyle w:val="Indenta"/>
        <w:rPr>
          <w:snapToGrid w:val="0"/>
        </w:rPr>
      </w:pPr>
      <w:r>
        <w:rPr>
          <w:snapToGrid w:val="0"/>
        </w:rPr>
        <w:tab/>
        <w:t>(a)</w:t>
      </w:r>
      <w:r>
        <w:rPr>
          <w:snapToGrid w:val="0"/>
        </w:rPr>
        <w:tab/>
        <w:t>be identified by a serial number; and</w:t>
      </w:r>
    </w:p>
    <w:p>
      <w:pPr>
        <w:pStyle w:val="Indenta"/>
        <w:rPr>
          <w:snapToGrid w:val="0"/>
        </w:rPr>
      </w:pPr>
      <w:r>
        <w:rPr>
          <w:snapToGrid w:val="0"/>
        </w:rPr>
        <w:tab/>
        <w:t>(b)</w:t>
      </w:r>
      <w:r>
        <w:rPr>
          <w:snapToGrid w:val="0"/>
        </w:rPr>
        <w:tab/>
        <w:t>identify the alleged offender by reference to his name and address or the vehicle make and registration number of his vehicle; and</w:t>
      </w:r>
    </w:p>
    <w:p>
      <w:pPr>
        <w:pStyle w:val="Indenta"/>
        <w:rPr>
          <w:snapToGrid w:val="0"/>
        </w:rPr>
      </w:pPr>
      <w:r>
        <w:rPr>
          <w:snapToGrid w:val="0"/>
        </w:rPr>
        <w:tab/>
        <w:t>(c)</w:t>
      </w:r>
      <w:r>
        <w:rPr>
          <w:snapToGrid w:val="0"/>
        </w:rPr>
        <w:tab/>
        <w:t>state the by</w:t>
      </w:r>
      <w:r>
        <w:rPr>
          <w:snapToGrid w:val="0"/>
        </w:rPr>
        <w:noBreakHyphen/>
        <w:t>law under which the offence is alleged to have been committed, and the brief description of offence and modified penalty set out opposite that by</w:t>
      </w:r>
      <w:r>
        <w:rPr>
          <w:snapToGrid w:val="0"/>
        </w:rPr>
        <w:noBreakHyphen/>
        <w:t>law in Schedule 2; and</w:t>
      </w:r>
    </w:p>
    <w:p>
      <w:pPr>
        <w:pStyle w:val="Indenta"/>
        <w:rPr>
          <w:snapToGrid w:val="0"/>
        </w:rPr>
      </w:pPr>
      <w:r>
        <w:rPr>
          <w:snapToGrid w:val="0"/>
        </w:rPr>
        <w:tab/>
        <w:t>(d)</w:t>
      </w:r>
      <w:r>
        <w:rPr>
          <w:snapToGrid w:val="0"/>
        </w:rPr>
        <w:tab/>
      </w:r>
      <w:r>
        <w:rPr>
          <w:snapToGrid w:val="0"/>
          <w:spacing w:val="-4"/>
        </w:rPr>
        <w:t>inform the alleged offender in general terms that if he does not wish to have the alleged offence heard and determined by a court of summary jurisdiction, then he may deliver the amount of the modified penalty to an authorised person within the time provided in the infringement notice, which shall not be less than 21 days.</w:t>
      </w:r>
    </w:p>
    <w:p>
      <w:pPr>
        <w:pStyle w:val="Footnotesection"/>
      </w:pPr>
      <w:r>
        <w:tab/>
        <w:t>[By</w:t>
      </w:r>
      <w:r>
        <w:noBreakHyphen/>
        <w:t xml:space="preserve">law 30 amended: Gazette 9 Dec 1988 p. 4821; 29 Jun 2001 p. 3113; 22 Jun 2010 p. 2778.] </w:t>
      </w:r>
    </w:p>
    <w:p>
      <w:pPr>
        <w:pStyle w:val="Heading5"/>
        <w:rPr>
          <w:snapToGrid w:val="0"/>
        </w:rPr>
      </w:pPr>
      <w:bookmarkStart w:id="65" w:name="_Toc201918851"/>
      <w:r>
        <w:rPr>
          <w:rStyle w:val="CharSectno"/>
        </w:rPr>
        <w:t>31</w:t>
      </w:r>
      <w:r>
        <w:rPr>
          <w:snapToGrid w:val="0"/>
        </w:rPr>
        <w:t>.</w:t>
      </w:r>
      <w:r>
        <w:rPr>
          <w:snapToGrid w:val="0"/>
        </w:rPr>
        <w:tab/>
        <w:t>Modified penalties</w:t>
      </w:r>
      <w:bookmarkEnd w:id="65"/>
      <w:r>
        <w:rPr>
          <w:snapToGrid w:val="0"/>
        </w:rPr>
        <w:t xml:space="preserve"> </w:t>
      </w:r>
    </w:p>
    <w:p>
      <w:pPr>
        <w:pStyle w:val="Subsection"/>
        <w:rPr>
          <w:snapToGrid w:val="0"/>
        </w:rPr>
      </w:pPr>
      <w:r>
        <w:rPr>
          <w:snapToGrid w:val="0"/>
        </w:rPr>
        <w:tab/>
        <w:t>(1)</w:t>
      </w:r>
      <w:r>
        <w:rPr>
          <w:snapToGrid w:val="0"/>
        </w:rPr>
        <w:tab/>
        <w:t>A person who does not contest an allegation that he has committed an offence under these by</w:t>
      </w:r>
      <w:r>
        <w:rPr>
          <w:snapToGrid w:val="0"/>
        </w:rPr>
        <w:noBreakHyphen/>
        <w:t xml:space="preserve">laws may complete the infringement notice by signing the admission on that notice and </w:t>
      </w:r>
      <w:r>
        <w:rPr>
          <w:snapToGrid w:val="0"/>
        </w:rPr>
        <w:lastRenderedPageBreak/>
        <w:t>forwarding the infringement notice and the amount of the modified penalty set out in Schedule 2 opposite the by</w:t>
      </w:r>
      <w:r>
        <w:rPr>
          <w:snapToGrid w:val="0"/>
        </w:rPr>
        <w:noBreakHyphen/>
        <w:t>law alleged to have been breached to an authorised person.</w:t>
      </w:r>
    </w:p>
    <w:p>
      <w:pPr>
        <w:pStyle w:val="Subsection"/>
        <w:rPr>
          <w:snapToGrid w:val="0"/>
        </w:rPr>
      </w:pPr>
      <w:r>
        <w:rPr>
          <w:snapToGrid w:val="0"/>
        </w:rPr>
        <w:tab/>
        <w:t>(2)</w:t>
      </w:r>
      <w:r>
        <w:rPr>
          <w:snapToGrid w:val="0"/>
        </w:rPr>
        <w:tab/>
        <w:t>Upon receipt of a modified penalty under sub</w:t>
      </w:r>
      <w:r>
        <w:rPr>
          <w:snapToGrid w:val="0"/>
        </w:rPr>
        <w:noBreakHyphen/>
        <w:t>bylaw (1) sent within the time provided in the infringement notice or such further time as an authorised person allows, an authorised person shall issue to the person paying that modified penalty an acknowledgement.</w:t>
      </w:r>
    </w:p>
    <w:p>
      <w:pPr>
        <w:pStyle w:val="Subsection"/>
        <w:rPr>
          <w:snapToGrid w:val="0"/>
        </w:rPr>
      </w:pPr>
      <w:r>
        <w:rPr>
          <w:snapToGrid w:val="0"/>
        </w:rPr>
        <w:tab/>
        <w:t>(3)</w:t>
      </w:r>
      <w:r>
        <w:rPr>
          <w:snapToGrid w:val="0"/>
        </w:rPr>
        <w:tab/>
        <w:t>An acknowledgement under sub</w:t>
      </w:r>
      <w:r>
        <w:rPr>
          <w:snapToGrid w:val="0"/>
        </w:rPr>
        <w:noBreakHyphen/>
        <w:t>bylaw (2) shall be a defence to a charge of the offence in respect of which the modified penalty was paid.</w:t>
      </w:r>
    </w:p>
    <w:p>
      <w:pPr>
        <w:pStyle w:val="Heading5"/>
        <w:rPr>
          <w:snapToGrid w:val="0"/>
        </w:rPr>
      </w:pPr>
      <w:bookmarkStart w:id="66" w:name="_Toc201918852"/>
      <w:r>
        <w:rPr>
          <w:rStyle w:val="CharSectno"/>
        </w:rPr>
        <w:t>32</w:t>
      </w:r>
      <w:r>
        <w:rPr>
          <w:snapToGrid w:val="0"/>
        </w:rPr>
        <w:t>.</w:t>
      </w:r>
      <w:r>
        <w:rPr>
          <w:snapToGrid w:val="0"/>
        </w:rPr>
        <w:tab/>
        <w:t>Withdrawal of infringement notice</w:t>
      </w:r>
      <w:bookmarkEnd w:id="66"/>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(2), an authorised person may by notice in the form of Form 3 in Schedule 3 served on the alleged offender withdraw an infringement notice.</w:t>
      </w:r>
    </w:p>
    <w:p>
      <w:pPr>
        <w:pStyle w:val="Subsection"/>
        <w:rPr>
          <w:snapToGrid w:val="0"/>
        </w:rPr>
      </w:pPr>
      <w:r>
        <w:rPr>
          <w:snapToGrid w:val="0"/>
        </w:rPr>
        <w:tab/>
        <w:t>(2)</w:t>
      </w:r>
      <w:r>
        <w:rPr>
          <w:snapToGrid w:val="0"/>
        </w:rPr>
        <w:tab/>
        <w:t>A person shall not be authorised to withdraw an infringement notice which was issued by that person.</w:t>
      </w:r>
    </w:p>
    <w:p>
      <w:pPr>
        <w:pStyle w:val="Footnotesection"/>
      </w:pPr>
      <w:r>
        <w:tab/>
        <w:t>[By</w:t>
      </w:r>
      <w:r>
        <w:noBreakHyphen/>
        <w:t xml:space="preserve">law 32 inserted: Gazette 9 Dec 1988 p. 4821.] </w:t>
      </w:r>
    </w:p>
    <w:p>
      <w:pPr>
        <w:pStyle w:val="Heading5"/>
      </w:pPr>
      <w:bookmarkStart w:id="67" w:name="_Toc201918853"/>
      <w:r>
        <w:rPr>
          <w:rStyle w:val="CharSectno"/>
        </w:rPr>
        <w:t>33A</w:t>
      </w:r>
      <w:r>
        <w:t>.</w:t>
      </w:r>
      <w:r>
        <w:tab/>
        <w:t>Authorised persons to produce certificate</w:t>
      </w:r>
      <w:bookmarkEnd w:id="67"/>
    </w:p>
    <w:p>
      <w:pPr>
        <w:pStyle w:val="Subsection"/>
      </w:pPr>
      <w:r>
        <w:tab/>
        <w:t>(1)</w:t>
      </w:r>
      <w:r>
        <w:tab/>
        <w:t>The person whom an authorised person has given, or is about to give, an infringement notice may require the authorised person to produce the certificate referred to in by</w:t>
      </w:r>
      <w:r>
        <w:noBreakHyphen/>
        <w:t>law 3A(2).</w:t>
      </w:r>
    </w:p>
    <w:p>
      <w:pPr>
        <w:pStyle w:val="Subsection"/>
      </w:pPr>
      <w:r>
        <w:tab/>
        <w:t>(2)</w:t>
      </w:r>
      <w:r>
        <w:tab/>
        <w:t>The authorised person must comply with a request under sub</w:t>
      </w:r>
      <w:r>
        <w:noBreakHyphen/>
        <w:t>bylaw (1).</w:t>
      </w:r>
    </w:p>
    <w:p>
      <w:pPr>
        <w:pStyle w:val="Footnotesection"/>
      </w:pPr>
      <w:r>
        <w:tab/>
        <w:t>[By-law 33A inserted: Gazette 8 May 2015 p. 1621.]</w:t>
      </w:r>
    </w:p>
    <w:p>
      <w:pPr>
        <w:pStyle w:val="Heading5"/>
        <w:rPr>
          <w:snapToGrid w:val="0"/>
        </w:rPr>
      </w:pPr>
      <w:bookmarkStart w:id="68" w:name="_Toc201918854"/>
      <w:r>
        <w:rPr>
          <w:rStyle w:val="CharSectno"/>
        </w:rPr>
        <w:t>33</w:t>
      </w:r>
      <w:r>
        <w:rPr>
          <w:snapToGrid w:val="0"/>
        </w:rPr>
        <w:t>.</w:t>
      </w:r>
      <w:r>
        <w:rPr>
          <w:snapToGrid w:val="0"/>
        </w:rPr>
        <w:tab/>
        <w:t>Removal and endorsement of infringement notices</w:t>
      </w:r>
      <w:bookmarkEnd w:id="68"/>
      <w:r>
        <w:rPr>
          <w:snapToGrid w:val="0"/>
        </w:rPr>
        <w:t xml:space="preserve"> </w:t>
      </w:r>
    </w:p>
    <w:p>
      <w:pPr>
        <w:pStyle w:val="Subsection"/>
        <w:rPr>
          <w:snapToGrid w:val="0"/>
        </w:rPr>
      </w:pPr>
      <w:r>
        <w:rPr>
          <w:snapToGrid w:val="0"/>
        </w:rPr>
        <w:tab/>
      </w:r>
      <w:r>
        <w:rPr>
          <w:snapToGrid w:val="0"/>
        </w:rPr>
        <w:tab/>
        <w:t>A person other than an authorised person who — </w:t>
      </w:r>
    </w:p>
    <w:p>
      <w:pPr>
        <w:pStyle w:val="Indenta"/>
        <w:rPr>
          <w:snapToGrid w:val="0"/>
        </w:rPr>
      </w:pPr>
      <w:r>
        <w:rPr>
          <w:snapToGrid w:val="0"/>
        </w:rPr>
        <w:tab/>
        <w:t>(a)</w:t>
      </w:r>
      <w:r>
        <w:rPr>
          <w:snapToGrid w:val="0"/>
        </w:rPr>
        <w:tab/>
        <w:t>makes an endorsement on or alteration to an infringement notice; or</w:t>
      </w:r>
    </w:p>
    <w:p>
      <w:pPr>
        <w:pStyle w:val="Indenta"/>
        <w:rPr>
          <w:snapToGrid w:val="0"/>
        </w:rPr>
      </w:pPr>
      <w:r>
        <w:rPr>
          <w:snapToGrid w:val="0"/>
        </w:rPr>
        <w:lastRenderedPageBreak/>
        <w:tab/>
        <w:t>(b)</w:t>
      </w:r>
      <w:r>
        <w:rPr>
          <w:snapToGrid w:val="0"/>
        </w:rPr>
        <w:tab/>
        <w:t>not being the driver of, responsible person for, or person in charge of, a vehicle to which an infringement notice is attached, removes the infringement notice,</w:t>
      </w:r>
    </w:p>
    <w:p>
      <w:pPr>
        <w:pStyle w:val="Subsection"/>
        <w:rPr>
          <w:snapToGrid w:val="0"/>
        </w:rPr>
      </w:pPr>
      <w:r>
        <w:rPr>
          <w:snapToGrid w:val="0"/>
        </w:rPr>
        <w:tab/>
      </w:r>
      <w:r>
        <w:rPr>
          <w:snapToGrid w:val="0"/>
        </w:rPr>
        <w:tab/>
        <w:t>commits an offence.</w:t>
      </w:r>
    </w:p>
    <w:p>
      <w:pPr>
        <w:pStyle w:val="Footnotesection"/>
      </w:pPr>
      <w:r>
        <w:tab/>
        <w:t>[By-law 33 amended: Gazette 29 Jun 2001 p. 3113; 10 Feb 2015 p. 619.]</w:t>
      </w:r>
    </w:p>
    <w:p>
      <w:pPr>
        <w:pStyle w:val="Heading5"/>
        <w:rPr>
          <w:snapToGrid w:val="0"/>
        </w:rPr>
      </w:pPr>
      <w:bookmarkStart w:id="69" w:name="_Toc201918855"/>
      <w:r>
        <w:rPr>
          <w:rStyle w:val="CharSectno"/>
        </w:rPr>
        <w:t>34</w:t>
      </w:r>
      <w:r>
        <w:rPr>
          <w:snapToGrid w:val="0"/>
        </w:rPr>
        <w:t>.</w:t>
      </w:r>
      <w:r>
        <w:rPr>
          <w:snapToGrid w:val="0"/>
        </w:rPr>
        <w:tab/>
        <w:t>Prosecutions</w:t>
      </w:r>
      <w:bookmarkEnd w:id="69"/>
      <w:r>
        <w:rPr>
          <w:snapToGrid w:val="0"/>
        </w:rPr>
        <w:t xml:space="preserve"> </w:t>
      </w:r>
    </w:p>
    <w:p>
      <w:pPr>
        <w:pStyle w:val="Subsection"/>
        <w:rPr>
          <w:snapToGrid w:val="0"/>
        </w:rPr>
      </w:pPr>
      <w:r>
        <w:rPr>
          <w:snapToGrid w:val="0"/>
        </w:rPr>
        <w:tab/>
      </w:r>
      <w:r>
        <w:rPr>
          <w:snapToGrid w:val="0"/>
        </w:rPr>
        <w:tab/>
        <w:t>Proceedings for an offence against these by</w:t>
      </w:r>
      <w:r>
        <w:rPr>
          <w:snapToGrid w:val="0"/>
        </w:rPr>
        <w:noBreakHyphen/>
        <w:t>laws may be taken by an authorised person.</w:t>
      </w:r>
    </w:p>
    <w:p>
      <w:pPr>
        <w:pStyle w:val="Footnotesection"/>
      </w:pPr>
      <w:r>
        <w:tab/>
        <w:t>[By</w:t>
      </w:r>
      <w:r>
        <w:noBreakHyphen/>
        <w:t xml:space="preserve">law 34 inserted: Gazette 9 Dec 1988 p. 4821; amended: Gazette 29 Jun 2001 p. 3114.] </w:t>
      </w:r>
    </w:p>
    <w:p>
      <w:pPr>
        <w:pStyle w:val="Heading2"/>
      </w:pPr>
      <w:bookmarkStart w:id="70" w:name="_Toc201915728"/>
      <w:bookmarkStart w:id="71" w:name="_Toc201916249"/>
      <w:bookmarkStart w:id="72" w:name="_Toc201918856"/>
      <w:r>
        <w:rPr>
          <w:rStyle w:val="CharPartNo"/>
        </w:rPr>
        <w:lastRenderedPageBreak/>
        <w:t>Part VI</w:t>
      </w:r>
      <w:r>
        <w:rPr>
          <w:rStyle w:val="CharDivNo"/>
        </w:rPr>
        <w:t> </w:t>
      </w:r>
      <w:r>
        <w:t>—</w:t>
      </w:r>
      <w:r>
        <w:rPr>
          <w:rStyle w:val="CharDivText"/>
        </w:rPr>
        <w:t> </w:t>
      </w:r>
      <w:r>
        <w:rPr>
          <w:rStyle w:val="CharPartText"/>
        </w:rPr>
        <w:t>General</w:t>
      </w:r>
      <w:bookmarkEnd w:id="70"/>
      <w:bookmarkEnd w:id="71"/>
      <w:bookmarkEnd w:id="72"/>
      <w:r>
        <w:rPr>
          <w:rStyle w:val="CharPartText"/>
        </w:rPr>
        <w:t xml:space="preserve"> </w:t>
      </w:r>
    </w:p>
    <w:p>
      <w:pPr>
        <w:pStyle w:val="Heading5"/>
        <w:spacing w:before="180"/>
        <w:rPr>
          <w:snapToGrid w:val="0"/>
        </w:rPr>
      </w:pPr>
      <w:bookmarkStart w:id="73" w:name="_Toc201918857"/>
      <w:r>
        <w:rPr>
          <w:rStyle w:val="CharSectno"/>
        </w:rPr>
        <w:t>35</w:t>
      </w:r>
      <w:r>
        <w:rPr>
          <w:snapToGrid w:val="0"/>
        </w:rPr>
        <w:t>.</w:t>
      </w:r>
      <w:r>
        <w:rPr>
          <w:snapToGrid w:val="0"/>
        </w:rPr>
        <w:tab/>
        <w:t>Responsible person may be treated as driver or person in charge of vehicle</w:t>
      </w:r>
      <w:bookmarkEnd w:id="73"/>
    </w:p>
    <w:p>
      <w:pPr>
        <w:pStyle w:val="Subsection"/>
        <w:rPr>
          <w:snapToGrid w:val="0"/>
        </w:rPr>
      </w:pPr>
      <w:r>
        <w:rPr>
          <w:snapToGrid w:val="0"/>
        </w:rPr>
        <w:tab/>
        <w:t>(1)</w:t>
      </w:r>
      <w:r>
        <w:rPr>
          <w:snapToGrid w:val="0"/>
        </w:rPr>
        <w:tab/>
        <w:t>Where an offence under these by</w:t>
      </w:r>
      <w:r>
        <w:rPr>
          <w:snapToGrid w:val="0"/>
        </w:rPr>
        <w:noBreakHyphen/>
        <w:t xml:space="preserve">laws is alleged to have been committed by the driver or person in charge of a vehicle, the </w:t>
      </w:r>
      <w:r>
        <w:t>responsible person for</w:t>
      </w:r>
      <w:r>
        <w:rPr>
          <w:snapToGrid w:val="0"/>
        </w:rPr>
        <w:t xml:space="preserve"> the vehicle shall, within 14 days of the date of receipt of a notice in writing from an authorised person or the secretary, requesting the name and address of the driver or person in charge of the vehicle, supply the name and address of the person driving or in charge of the vehicle at the time the offence is alleged to have been committed.</w:t>
      </w:r>
    </w:p>
    <w:p>
      <w:pPr>
        <w:pStyle w:val="Subsection"/>
        <w:rPr>
          <w:snapToGrid w:val="0"/>
        </w:rPr>
      </w:pPr>
      <w:r>
        <w:rPr>
          <w:snapToGrid w:val="0"/>
        </w:rPr>
        <w:tab/>
        <w:t>(2)</w:t>
      </w:r>
      <w:r>
        <w:rPr>
          <w:snapToGrid w:val="0"/>
        </w:rPr>
        <w:tab/>
        <w:t xml:space="preserve">A </w:t>
      </w:r>
      <w:r>
        <w:t>responsible person for a vehicle</w:t>
      </w:r>
      <w:r>
        <w:rPr>
          <w:snapToGrid w:val="0"/>
        </w:rPr>
        <w:t xml:space="preserve"> who fails to comply with sub</w:t>
      </w:r>
      <w:r>
        <w:rPr>
          <w:snapToGrid w:val="0"/>
        </w:rPr>
        <w:noBreakHyphen/>
        <w:t>bylaw (1) shall be deemed to be the driver or person in charge of the vehicle at the time the offence is alleged to have been committed.</w:t>
      </w:r>
    </w:p>
    <w:p>
      <w:pPr>
        <w:pStyle w:val="Footnotesection"/>
      </w:pPr>
      <w:r>
        <w:tab/>
        <w:t xml:space="preserve">[By-law 35 inserted: Gazette 28 Jun 1991 p. 3146; amended: Gazette 29 Jun 2001 p. 3114; 10 Feb 2015 p. 619.] </w:t>
      </w:r>
    </w:p>
    <w:p>
      <w:pPr>
        <w:pStyle w:val="Heading5"/>
        <w:spacing w:before="180"/>
        <w:rPr>
          <w:snapToGrid w:val="0"/>
        </w:rPr>
      </w:pPr>
      <w:bookmarkStart w:id="74" w:name="_Toc201918858"/>
      <w:r>
        <w:rPr>
          <w:rStyle w:val="CharSectno"/>
        </w:rPr>
        <w:t>36</w:t>
      </w:r>
      <w:r>
        <w:rPr>
          <w:snapToGrid w:val="0"/>
        </w:rPr>
        <w:t>.</w:t>
      </w:r>
      <w:r>
        <w:rPr>
          <w:snapToGrid w:val="0"/>
        </w:rPr>
        <w:tab/>
        <w:t>Other offences</w:t>
      </w:r>
      <w:bookmarkEnd w:id="74"/>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wilfully obstructs any </w:t>
      </w:r>
      <w:r>
        <w:t xml:space="preserve">member or employee in the North Metropolitan Health Service </w:t>
      </w:r>
      <w:r>
        <w:rPr>
          <w:snapToGrid w:val="0"/>
        </w:rPr>
        <w:t>in the discharge of his duty under these by</w:t>
      </w:r>
      <w:r>
        <w:rPr>
          <w:snapToGrid w:val="0"/>
        </w:rPr>
        <w:noBreakHyphen/>
        <w:t>laws;</w:t>
      </w:r>
    </w:p>
    <w:p>
      <w:pPr>
        <w:pStyle w:val="Indenta"/>
        <w:rPr>
          <w:snapToGrid w:val="0"/>
        </w:rPr>
      </w:pPr>
      <w:r>
        <w:rPr>
          <w:snapToGrid w:val="0"/>
        </w:rPr>
        <w:tab/>
        <w:t>(b)</w:t>
      </w:r>
      <w:r>
        <w:rPr>
          <w:snapToGrid w:val="0"/>
        </w:rPr>
        <w:tab/>
        <w:t>wilfully obstructs, disturbs, interrupts or annoys any person in the exercise and enjoyment by him of any lawful activity on the site;</w:t>
      </w:r>
    </w:p>
    <w:p>
      <w:pPr>
        <w:pStyle w:val="Indenta"/>
        <w:rPr>
          <w:snapToGrid w:val="0"/>
        </w:rPr>
      </w:pPr>
      <w:r>
        <w:rPr>
          <w:snapToGrid w:val="0"/>
        </w:rPr>
        <w:tab/>
        <w:t>(c)</w:t>
      </w:r>
      <w:r>
        <w:rPr>
          <w:snapToGrid w:val="0"/>
        </w:rPr>
        <w:tab/>
        <w:t>removes, damages, defaces or misuses a ticket vending machine or sign;</w:t>
      </w:r>
    </w:p>
    <w:p>
      <w:pPr>
        <w:pStyle w:val="Indenta"/>
        <w:keepNext/>
        <w:rPr>
          <w:snapToGrid w:val="0"/>
        </w:rPr>
      </w:pPr>
      <w:r>
        <w:rPr>
          <w:snapToGrid w:val="0"/>
        </w:rPr>
        <w:tab/>
        <w:t>(d)</w:t>
      </w:r>
      <w:r>
        <w:rPr>
          <w:snapToGrid w:val="0"/>
        </w:rPr>
        <w:tab/>
        <w:t xml:space="preserve">disobeys or fails to comply with any notice or sign, including a traffic sign erected or displayed by the </w:t>
      </w:r>
      <w:r>
        <w:rPr>
          <w:snapToGrid w:val="0"/>
        </w:rPr>
        <w:lastRenderedPageBreak/>
        <w:t>delegate or an authorised person in accordance with these by</w:t>
      </w:r>
      <w:r>
        <w:rPr>
          <w:snapToGrid w:val="0"/>
        </w:rPr>
        <w:noBreakHyphen/>
        <w:t>laws,</w:t>
      </w:r>
    </w:p>
    <w:p>
      <w:pPr>
        <w:pStyle w:val="Subsection"/>
        <w:keepNext/>
        <w:rPr>
          <w:snapToGrid w:val="0"/>
        </w:rPr>
      </w:pPr>
      <w:r>
        <w:rPr>
          <w:snapToGrid w:val="0"/>
        </w:rPr>
        <w:tab/>
      </w:r>
      <w:r>
        <w:rPr>
          <w:snapToGrid w:val="0"/>
        </w:rPr>
        <w:tab/>
        <w:t>commits an offence.</w:t>
      </w:r>
    </w:p>
    <w:p>
      <w:pPr>
        <w:pStyle w:val="Footnotesection"/>
      </w:pPr>
      <w:r>
        <w:tab/>
        <w:t>[By-law 36 amended: Gazette 1 Jul 2016 p. 2747.]</w:t>
      </w:r>
    </w:p>
    <w:p>
      <w:pPr>
        <w:rPr>
          <w:rStyle w:val="CharDivText"/>
        </w:rPr>
        <w:sectPr>
          <w:headerReference w:type="even" r:id="rId21"/>
          <w:headerReference w:type="default" r:id="rId22"/>
          <w:headerReference w:type="first" r:id="rId23"/>
          <w:pgSz w:w="11907" w:h="16840" w:code="9"/>
          <w:pgMar w:top="2381" w:right="2410" w:bottom="3544" w:left="2410" w:header="720" w:footer="3544" w:gutter="0"/>
          <w:pgNumType w:start="1"/>
          <w:cols w:space="720"/>
          <w:noEndnote/>
          <w:titlePg/>
          <w:docGrid w:linePitch="326"/>
        </w:sectPr>
      </w:pPr>
    </w:p>
    <w:p>
      <w:pPr>
        <w:pStyle w:val="yScheduleHeading"/>
      </w:pPr>
      <w:bookmarkStart w:id="75" w:name="_Toc201912302"/>
      <w:bookmarkStart w:id="76" w:name="_Toc201912384"/>
      <w:bookmarkStart w:id="77" w:name="_Toc201912584"/>
      <w:bookmarkStart w:id="78" w:name="_Toc201916252"/>
      <w:bookmarkStart w:id="79" w:name="_Toc201918859"/>
      <w:bookmarkStart w:id="80" w:name="_Toc201915731"/>
      <w:r>
        <w:rPr>
          <w:rStyle w:val="CharSchNo"/>
        </w:rPr>
        <w:lastRenderedPageBreak/>
        <w:t>Schedule 1</w:t>
      </w:r>
      <w:r>
        <w:t> —</w:t>
      </w:r>
      <w:r>
        <w:rPr>
          <w:rStyle w:val="CharSchText"/>
        </w:rPr>
        <w:t> Fees</w:t>
      </w:r>
      <w:bookmarkEnd w:id="75"/>
      <w:bookmarkEnd w:id="76"/>
      <w:bookmarkEnd w:id="77"/>
      <w:bookmarkEnd w:id="78"/>
      <w:bookmarkEnd w:id="79"/>
    </w:p>
    <w:p>
      <w:pPr>
        <w:pStyle w:val="yShoulderClause"/>
      </w:pPr>
      <w:r>
        <w:t>[bl. 3(1)]</w:t>
      </w:r>
    </w:p>
    <w:p>
      <w:pPr>
        <w:pStyle w:val="yFootnoteheading"/>
      </w:pPr>
      <w:r>
        <w:tab/>
        <w:t>[Heading inserted: SL 2025/127 bl. 4.]</w:t>
      </w:r>
    </w:p>
    <w:tbl>
      <w:tblPr>
        <w:tblW w:w="6317"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79"/>
        <w:gridCol w:w="2503"/>
        <w:gridCol w:w="2835"/>
      </w:tblGrid>
      <w:tr>
        <w:trPr>
          <w:cantSplit/>
          <w:tblHeader/>
        </w:trPr>
        <w:tc>
          <w:tcPr>
            <w:tcW w:w="979" w:type="dxa"/>
            <w:noWrap/>
            <w:tcMar>
              <w:left w:w="57" w:type="dxa"/>
              <w:right w:w="57" w:type="dxa"/>
            </w:tcMar>
          </w:tcPr>
          <w:p>
            <w:pPr>
              <w:pStyle w:val="yTableNAm"/>
              <w:keepNext/>
              <w:keepLines/>
              <w:jc w:val="center"/>
              <w:rPr>
                <w:b/>
              </w:rPr>
            </w:pPr>
            <w:r>
              <w:rPr>
                <w:b/>
              </w:rPr>
              <w:t>By</w:t>
            </w:r>
            <w:r>
              <w:rPr>
                <w:b/>
              </w:rPr>
              <w:noBreakHyphen/>
              <w:t>law</w:t>
            </w:r>
          </w:p>
        </w:tc>
        <w:tc>
          <w:tcPr>
            <w:tcW w:w="2503" w:type="dxa"/>
            <w:noWrap/>
            <w:tcMar>
              <w:left w:w="57" w:type="dxa"/>
              <w:right w:w="57" w:type="dxa"/>
            </w:tcMar>
          </w:tcPr>
          <w:p>
            <w:pPr>
              <w:pStyle w:val="yTableNAm"/>
              <w:keepNext/>
              <w:keepLines/>
              <w:ind w:right="-111"/>
              <w:rPr>
                <w:b/>
              </w:rPr>
            </w:pPr>
          </w:p>
        </w:tc>
        <w:tc>
          <w:tcPr>
            <w:tcW w:w="2835" w:type="dxa"/>
            <w:noWrap/>
            <w:tcMar>
              <w:left w:w="57" w:type="dxa"/>
              <w:right w:w="57" w:type="dxa"/>
            </w:tcMar>
          </w:tcPr>
          <w:p>
            <w:pPr>
              <w:pStyle w:val="yTableNAm"/>
              <w:keepNext/>
              <w:keepLines/>
              <w:tabs>
                <w:tab w:val="right" w:pos="2612"/>
              </w:tabs>
              <w:jc w:val="center"/>
              <w:rPr>
                <w:b/>
              </w:rPr>
            </w:pPr>
            <w:r>
              <w:rPr>
                <w:b/>
              </w:rPr>
              <w:t>Fee</w:t>
            </w:r>
          </w:p>
        </w:tc>
      </w:tr>
      <w:tr>
        <w:trPr>
          <w:cantSplit/>
        </w:trPr>
        <w:tc>
          <w:tcPr>
            <w:tcW w:w="979" w:type="dxa"/>
            <w:vMerge w:val="restart"/>
            <w:noWrap/>
            <w:tcMar>
              <w:left w:w="57" w:type="dxa"/>
              <w:bottom w:w="0" w:type="dxa"/>
              <w:right w:w="57" w:type="dxa"/>
            </w:tcMar>
          </w:tcPr>
          <w:p>
            <w:pPr>
              <w:pStyle w:val="yTableNAm"/>
              <w:keepNext/>
              <w:keepLines/>
              <w:jc w:val="center"/>
            </w:pPr>
            <w:r>
              <w:t>26AA(2)</w:t>
            </w:r>
            <w:r>
              <w:br/>
              <w:t>or</w:t>
            </w:r>
            <w:r>
              <w:br/>
              <w:t>26AA(4)</w:t>
            </w:r>
          </w:p>
        </w:tc>
        <w:tc>
          <w:tcPr>
            <w:tcW w:w="2503" w:type="dxa"/>
            <w:vMerge w:val="restart"/>
            <w:noWrap/>
            <w:tcMar>
              <w:bottom w:w="0" w:type="dxa"/>
            </w:tcMar>
          </w:tcPr>
          <w:p>
            <w:pPr>
              <w:pStyle w:val="yTableNAm"/>
            </w:pPr>
            <w:r>
              <w:t>Ticket parking</w:t>
            </w:r>
          </w:p>
        </w:tc>
        <w:tc>
          <w:tcPr>
            <w:tcW w:w="2835" w:type="dxa"/>
            <w:tcBorders>
              <w:bottom w:val="nil"/>
            </w:tcBorders>
            <w:noWrap/>
            <w:tcMar>
              <w:bottom w:w="0" w:type="dxa"/>
            </w:tcMar>
            <w:vAlign w:val="bottom"/>
          </w:tcPr>
          <w:p>
            <w:pPr>
              <w:pStyle w:val="yTableNAm"/>
              <w:keepNext/>
              <w:keepLines/>
              <w:tabs>
                <w:tab w:val="clear" w:pos="567"/>
                <w:tab w:val="right" w:pos="2612"/>
              </w:tabs>
              <w:ind w:right="-47"/>
            </w:pPr>
            <w:r>
              <w:t>For each day:</w:t>
            </w:r>
          </w:p>
        </w:tc>
      </w:tr>
      <w:tr>
        <w:trPr>
          <w:cantSplit/>
        </w:trPr>
        <w:tc>
          <w:tcPr>
            <w:tcW w:w="979" w:type="dxa"/>
            <w:vMerge/>
            <w:tcBorders>
              <w:bottom w:val="nil"/>
            </w:tcBorders>
            <w:noWrap/>
            <w:tcMar>
              <w:left w:w="57" w:type="dxa"/>
              <w:bottom w:w="0" w:type="dxa"/>
              <w:right w:w="57" w:type="dxa"/>
            </w:tcMar>
          </w:tcPr>
          <w:p>
            <w:pPr>
              <w:pStyle w:val="yTableNAm"/>
              <w:keepNext/>
              <w:keepLines/>
              <w:jc w:val="center"/>
            </w:pPr>
          </w:p>
        </w:tc>
        <w:tc>
          <w:tcPr>
            <w:tcW w:w="2503" w:type="dxa"/>
            <w:vMerge/>
            <w:tcBorders>
              <w:bottom w:val="nil"/>
            </w:tcBorders>
            <w:noWrap/>
            <w:tcMar>
              <w:bottom w:w="0" w:type="dxa"/>
            </w:tcMar>
          </w:tcPr>
          <w:p>
            <w:pPr>
              <w:pStyle w:val="yTableNAm"/>
              <w:keepNext/>
              <w:keepLines/>
              <w:tabs>
                <w:tab w:val="left" w:leader="dot" w:pos="3402"/>
              </w:tabs>
              <w:ind w:right="-111"/>
            </w:pPr>
          </w:p>
        </w:tc>
        <w:tc>
          <w:tcPr>
            <w:tcW w:w="2835" w:type="dxa"/>
            <w:tcBorders>
              <w:top w:val="nil"/>
              <w:bottom w:val="nil"/>
            </w:tcBorders>
            <w:noWrap/>
            <w:tcMar>
              <w:bottom w:w="0" w:type="dxa"/>
            </w:tcMar>
            <w:vAlign w:val="bottom"/>
          </w:tcPr>
          <w:p>
            <w:pPr>
              <w:pStyle w:val="yTableNAm"/>
              <w:keepNext/>
              <w:keepLines/>
              <w:tabs>
                <w:tab w:val="left" w:pos="57"/>
                <w:tab w:val="left" w:pos="284"/>
                <w:tab w:val="left" w:pos="312"/>
                <w:tab w:val="left" w:pos="1840"/>
                <w:tab w:val="left" w:pos="1873"/>
                <w:tab w:val="right" w:pos="2612"/>
              </w:tabs>
            </w:pPr>
            <w:r>
              <w:t>0</w:t>
            </w:r>
            <w:r>
              <w:noBreakHyphen/>
              <w:t>15 minutes</w:t>
            </w:r>
            <w:r>
              <w:tab/>
              <w:t>=</w:t>
            </w:r>
            <w:r>
              <w:tab/>
              <w:t>free</w:t>
            </w:r>
          </w:p>
        </w:tc>
      </w:tr>
      <w:t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pPr>
          </w:p>
        </w:tc>
        <w:tc>
          <w:tcPr>
            <w:tcW w:w="2835" w:type="dxa"/>
            <w:tcBorders>
              <w:top w:val="nil"/>
              <w:bottom w:val="nil"/>
            </w:tcBorders>
            <w:noWrap/>
            <w:tcMar>
              <w:bottom w:w="0" w:type="dxa"/>
            </w:tcMar>
            <w:vAlign w:val="bottom"/>
          </w:tcPr>
          <w:p>
            <w:pPr>
              <w:pStyle w:val="yTableNAm"/>
              <w:tabs>
                <w:tab w:val="clear" w:pos="567"/>
                <w:tab w:val="left" w:pos="1840"/>
                <w:tab w:val="right" w:pos="2612"/>
              </w:tabs>
            </w:pPr>
            <w:r>
              <w:t xml:space="preserve">15 minutes </w:t>
            </w:r>
            <w:r>
              <w:noBreakHyphen/>
              <w:t xml:space="preserve"> 1 hour</w:t>
            </w:r>
            <w:r>
              <w:tab/>
              <w:t>=</w:t>
            </w:r>
            <w:r>
              <w:tab/>
            </w:r>
            <w:r>
              <w:rPr>
                <w:szCs w:val="22"/>
              </w:rPr>
              <w:t>$3.90</w:t>
            </w:r>
          </w:p>
        </w:tc>
      </w:tr>
      <w:t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pPr>
          </w:p>
        </w:tc>
        <w:tc>
          <w:tcPr>
            <w:tcW w:w="2835" w:type="dxa"/>
            <w:tcBorders>
              <w:top w:val="nil"/>
              <w:bottom w:val="nil"/>
            </w:tcBorders>
            <w:noWrap/>
            <w:tcMar>
              <w:bottom w:w="0" w:type="dxa"/>
            </w:tcMar>
            <w:vAlign w:val="bottom"/>
          </w:tcPr>
          <w:p>
            <w:pPr>
              <w:pStyle w:val="yTableNAm"/>
              <w:tabs>
                <w:tab w:val="clear" w:pos="567"/>
                <w:tab w:val="left" w:pos="1840"/>
                <w:tab w:val="right" w:pos="2612"/>
              </w:tabs>
              <w:rPr>
                <w:szCs w:val="22"/>
              </w:rPr>
            </w:pPr>
            <w:r>
              <w:rPr>
                <w:szCs w:val="22"/>
              </w:rPr>
              <w:t xml:space="preserve">1 hour </w:t>
            </w:r>
            <w:r>
              <w:rPr>
                <w:szCs w:val="22"/>
              </w:rPr>
              <w:noBreakHyphen/>
              <w:t xml:space="preserve"> 2 hours</w:t>
            </w:r>
            <w:r>
              <w:rPr>
                <w:szCs w:val="22"/>
              </w:rPr>
              <w:tab/>
              <w:t>=</w:t>
            </w:r>
            <w:r>
              <w:rPr>
                <w:szCs w:val="22"/>
              </w:rPr>
              <w:tab/>
              <w:t>$7.80</w:t>
            </w:r>
          </w:p>
        </w:tc>
      </w:tr>
      <w:t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pPr>
          </w:p>
        </w:tc>
        <w:tc>
          <w:tcPr>
            <w:tcW w:w="2835" w:type="dxa"/>
            <w:tcBorders>
              <w:top w:val="nil"/>
              <w:bottom w:val="nil"/>
            </w:tcBorders>
            <w:noWrap/>
            <w:tcMar>
              <w:bottom w:w="0" w:type="dxa"/>
            </w:tcMar>
            <w:vAlign w:val="bottom"/>
          </w:tcPr>
          <w:p>
            <w:pPr>
              <w:pStyle w:val="yTableNAm"/>
              <w:tabs>
                <w:tab w:val="clear" w:pos="567"/>
                <w:tab w:val="left" w:pos="1840"/>
                <w:tab w:val="right" w:pos="2612"/>
              </w:tabs>
              <w:rPr>
                <w:szCs w:val="22"/>
              </w:rPr>
            </w:pPr>
            <w:r>
              <w:rPr>
                <w:szCs w:val="22"/>
              </w:rPr>
              <w:t xml:space="preserve">2 hours </w:t>
            </w:r>
            <w:r>
              <w:rPr>
                <w:szCs w:val="22"/>
              </w:rPr>
              <w:noBreakHyphen/>
              <w:t xml:space="preserve"> 3 hours</w:t>
            </w:r>
            <w:r>
              <w:rPr>
                <w:szCs w:val="22"/>
              </w:rPr>
              <w:tab/>
              <w:t>=</w:t>
            </w:r>
            <w:r>
              <w:rPr>
                <w:szCs w:val="22"/>
              </w:rPr>
              <w:tab/>
              <w:t>$11.70</w:t>
            </w:r>
          </w:p>
        </w:tc>
      </w:tr>
      <w:t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pPr>
          </w:p>
        </w:tc>
        <w:tc>
          <w:tcPr>
            <w:tcW w:w="2835" w:type="dxa"/>
            <w:tcBorders>
              <w:top w:val="nil"/>
              <w:bottom w:val="nil"/>
            </w:tcBorders>
            <w:noWrap/>
            <w:tcMar>
              <w:bottom w:w="0" w:type="dxa"/>
            </w:tcMar>
            <w:vAlign w:val="bottom"/>
          </w:tcPr>
          <w:p>
            <w:pPr>
              <w:pStyle w:val="yTableNAm"/>
              <w:tabs>
                <w:tab w:val="clear" w:pos="567"/>
                <w:tab w:val="left" w:pos="1840"/>
                <w:tab w:val="right" w:pos="2612"/>
              </w:tabs>
              <w:rPr>
                <w:szCs w:val="22"/>
              </w:rPr>
            </w:pPr>
            <w:r>
              <w:rPr>
                <w:szCs w:val="22"/>
              </w:rPr>
              <w:t xml:space="preserve">3 hours </w:t>
            </w:r>
            <w:r>
              <w:rPr>
                <w:szCs w:val="22"/>
              </w:rPr>
              <w:noBreakHyphen/>
              <w:t xml:space="preserve"> 4 hours</w:t>
            </w:r>
            <w:r>
              <w:rPr>
                <w:szCs w:val="22"/>
              </w:rPr>
              <w:tab/>
              <w:t>=</w:t>
            </w:r>
            <w:r>
              <w:rPr>
                <w:szCs w:val="22"/>
              </w:rPr>
              <w:tab/>
              <w:t>$15.60</w:t>
            </w:r>
          </w:p>
        </w:tc>
      </w:tr>
      <w:t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pPr>
          </w:p>
        </w:tc>
        <w:tc>
          <w:tcPr>
            <w:tcW w:w="2835" w:type="dxa"/>
            <w:tcBorders>
              <w:top w:val="nil"/>
              <w:bottom w:val="nil"/>
            </w:tcBorders>
            <w:noWrap/>
            <w:tcMar>
              <w:bottom w:w="0" w:type="dxa"/>
            </w:tcMar>
            <w:vAlign w:val="bottom"/>
          </w:tcPr>
          <w:p>
            <w:pPr>
              <w:pStyle w:val="yTableNAm"/>
              <w:tabs>
                <w:tab w:val="clear" w:pos="567"/>
                <w:tab w:val="left" w:pos="1840"/>
                <w:tab w:val="right" w:pos="2612"/>
              </w:tabs>
              <w:rPr>
                <w:szCs w:val="22"/>
              </w:rPr>
            </w:pPr>
            <w:r>
              <w:rPr>
                <w:szCs w:val="22"/>
              </w:rPr>
              <w:t xml:space="preserve">4 hours </w:t>
            </w:r>
            <w:r>
              <w:rPr>
                <w:szCs w:val="22"/>
              </w:rPr>
              <w:noBreakHyphen/>
              <w:t xml:space="preserve"> 5 hours</w:t>
            </w:r>
            <w:r>
              <w:rPr>
                <w:szCs w:val="22"/>
              </w:rPr>
              <w:tab/>
              <w:t>=</w:t>
            </w:r>
            <w:r>
              <w:rPr>
                <w:szCs w:val="22"/>
              </w:rPr>
              <w:tab/>
              <w:t>$19.50</w:t>
            </w:r>
          </w:p>
        </w:tc>
      </w:tr>
      <w:t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pPr>
          </w:p>
        </w:tc>
        <w:tc>
          <w:tcPr>
            <w:tcW w:w="2835" w:type="dxa"/>
            <w:tcBorders>
              <w:top w:val="nil"/>
              <w:bottom w:val="nil"/>
            </w:tcBorders>
            <w:noWrap/>
            <w:tcMar>
              <w:bottom w:w="0" w:type="dxa"/>
            </w:tcMar>
            <w:vAlign w:val="bottom"/>
          </w:tcPr>
          <w:p>
            <w:pPr>
              <w:pStyle w:val="yTableNAm"/>
              <w:tabs>
                <w:tab w:val="clear" w:pos="567"/>
                <w:tab w:val="left" w:pos="1838"/>
                <w:tab w:val="right" w:pos="2612"/>
              </w:tabs>
              <w:rPr>
                <w:szCs w:val="22"/>
              </w:rPr>
            </w:pPr>
            <w:r>
              <w:rPr>
                <w:szCs w:val="22"/>
              </w:rPr>
              <w:t xml:space="preserve">5 hours </w:t>
            </w:r>
            <w:r>
              <w:rPr>
                <w:szCs w:val="22"/>
              </w:rPr>
              <w:noBreakHyphen/>
              <w:t xml:space="preserve"> 6 hours</w:t>
            </w:r>
            <w:r>
              <w:rPr>
                <w:szCs w:val="22"/>
              </w:rPr>
              <w:tab/>
              <w:t>=</w:t>
            </w:r>
            <w:r>
              <w:rPr>
                <w:szCs w:val="22"/>
              </w:rPr>
              <w:tab/>
              <w:t>$23.40</w:t>
            </w:r>
          </w:p>
        </w:tc>
      </w:tr>
      <w:tr>
        <w:tc>
          <w:tcPr>
            <w:tcW w:w="979" w:type="dxa"/>
            <w:tcBorders>
              <w:top w:val="nil"/>
            </w:tcBorders>
            <w:noWrap/>
            <w:tcMar>
              <w:left w:w="57" w:type="dxa"/>
              <w:bottom w:w="0" w:type="dxa"/>
              <w:right w:w="57" w:type="dxa"/>
            </w:tcMar>
          </w:tcPr>
          <w:p>
            <w:pPr>
              <w:pStyle w:val="yTableNAm"/>
              <w:jc w:val="center"/>
            </w:pPr>
          </w:p>
        </w:tc>
        <w:tc>
          <w:tcPr>
            <w:tcW w:w="2503" w:type="dxa"/>
            <w:tcBorders>
              <w:top w:val="nil"/>
            </w:tcBorders>
            <w:noWrap/>
            <w:tcMar>
              <w:bottom w:w="0" w:type="dxa"/>
            </w:tcMar>
          </w:tcPr>
          <w:p>
            <w:pPr>
              <w:pStyle w:val="yTableNAm"/>
            </w:pPr>
          </w:p>
        </w:tc>
        <w:tc>
          <w:tcPr>
            <w:tcW w:w="2835" w:type="dxa"/>
            <w:tcBorders>
              <w:top w:val="nil"/>
            </w:tcBorders>
            <w:noWrap/>
            <w:tcMar>
              <w:bottom w:w="0" w:type="dxa"/>
            </w:tcMar>
            <w:vAlign w:val="bottom"/>
          </w:tcPr>
          <w:p>
            <w:pPr>
              <w:pStyle w:val="yTableNAm"/>
              <w:tabs>
                <w:tab w:val="clear" w:pos="567"/>
                <w:tab w:val="left" w:pos="1840"/>
                <w:tab w:val="right" w:pos="2612"/>
              </w:tabs>
              <w:spacing w:after="60"/>
              <w:rPr>
                <w:szCs w:val="22"/>
              </w:rPr>
            </w:pPr>
            <w:r>
              <w:rPr>
                <w:szCs w:val="22"/>
              </w:rPr>
              <w:t>More than 6 hours</w:t>
            </w:r>
            <w:r>
              <w:rPr>
                <w:szCs w:val="22"/>
              </w:rPr>
              <w:tab/>
              <w:t>=</w:t>
            </w:r>
            <w:r>
              <w:rPr>
                <w:szCs w:val="22"/>
              </w:rPr>
              <w:tab/>
              <w:t>$27.30</w:t>
            </w:r>
          </w:p>
        </w:tc>
      </w:tr>
      <w:tr>
        <w:tc>
          <w:tcPr>
            <w:tcW w:w="979" w:type="dxa"/>
            <w:noWrap/>
            <w:tcMar>
              <w:left w:w="57" w:type="dxa"/>
              <w:right w:w="57" w:type="dxa"/>
            </w:tcMar>
          </w:tcPr>
          <w:p>
            <w:pPr>
              <w:pStyle w:val="yTableNAm"/>
              <w:jc w:val="center"/>
            </w:pPr>
            <w:r>
              <w:t>26AB(3)</w:t>
            </w:r>
          </w:p>
        </w:tc>
        <w:tc>
          <w:tcPr>
            <w:tcW w:w="2503" w:type="dxa"/>
            <w:noWrap/>
          </w:tcPr>
          <w:p>
            <w:pPr>
              <w:pStyle w:val="yTableNAm"/>
            </w:pPr>
            <w:r>
              <w:t>Paid staff parking</w:t>
            </w:r>
          </w:p>
        </w:tc>
        <w:tc>
          <w:tcPr>
            <w:tcW w:w="2835" w:type="dxa"/>
            <w:noWrap/>
            <w:vAlign w:val="bottom"/>
          </w:tcPr>
          <w:p>
            <w:pPr>
              <w:pStyle w:val="yTableNAm"/>
              <w:tabs>
                <w:tab w:val="right" w:pos="2612"/>
              </w:tabs>
              <w:ind w:right="-47"/>
            </w:pPr>
            <w:r>
              <w:t>$6.75 per day, to a maximum of $33.75 per week</w:t>
            </w:r>
          </w:p>
        </w:tc>
      </w:tr>
      <w:tr>
        <w:trPr>
          <w:cantSplit/>
        </w:trPr>
        <w:tc>
          <w:tcPr>
            <w:tcW w:w="979" w:type="dxa"/>
            <w:tcBorders>
              <w:bottom w:val="single" w:sz="4" w:space="0" w:color="auto"/>
            </w:tcBorders>
            <w:noWrap/>
            <w:tcMar>
              <w:left w:w="57" w:type="dxa"/>
              <w:right w:w="57" w:type="dxa"/>
            </w:tcMar>
          </w:tcPr>
          <w:p>
            <w:pPr>
              <w:pStyle w:val="yTableNAm"/>
              <w:jc w:val="center"/>
            </w:pPr>
            <w:r>
              <w:t>26B(3)</w:t>
            </w:r>
          </w:p>
        </w:tc>
        <w:tc>
          <w:tcPr>
            <w:tcW w:w="2503" w:type="dxa"/>
            <w:tcBorders>
              <w:bottom w:val="single" w:sz="4" w:space="0" w:color="auto"/>
            </w:tcBorders>
            <w:noWrap/>
          </w:tcPr>
          <w:p>
            <w:pPr>
              <w:pStyle w:val="yTableNAm"/>
            </w:pPr>
            <w:r>
              <w:t xml:space="preserve">Removal and storage of vehicle — </w:t>
            </w:r>
          </w:p>
          <w:p>
            <w:pPr>
              <w:pStyle w:val="yTableNAm"/>
            </w:pPr>
            <w:r>
              <w:t>(a)</w:t>
            </w:r>
            <w:r>
              <w:tab/>
              <w:t>basic fee</w:t>
            </w:r>
          </w:p>
          <w:p>
            <w:pPr>
              <w:pStyle w:val="yTableNAm"/>
            </w:pPr>
            <w:r>
              <w:rPr>
                <w:iCs/>
              </w:rPr>
              <w:tab/>
            </w:r>
            <w:r>
              <w:rPr>
                <w:i/>
              </w:rPr>
              <w:t>plus</w:t>
            </w:r>
          </w:p>
          <w:p>
            <w:pPr>
              <w:pStyle w:val="yTableNAm"/>
              <w:ind w:left="548" w:hanging="548"/>
            </w:pPr>
            <w:r>
              <w:t>(b)</w:t>
            </w:r>
            <w:r>
              <w:tab/>
              <w:t>if the vehicle is stored for more than 24 hours — for each 7 days or part of 7 days for which the vehicle is stored after the first 24 hours</w:t>
            </w:r>
          </w:p>
        </w:tc>
        <w:tc>
          <w:tcPr>
            <w:tcW w:w="2835" w:type="dxa"/>
            <w:tcBorders>
              <w:bottom w:val="single" w:sz="4" w:space="0" w:color="auto"/>
            </w:tcBorders>
            <w:noWrap/>
            <w:vAlign w:val="bottom"/>
          </w:tcPr>
          <w:p>
            <w:pPr>
              <w:pStyle w:val="yTableNAm"/>
            </w:pPr>
            <w:r>
              <w:t>$200</w:t>
            </w:r>
          </w:p>
          <w:p>
            <w:pPr>
              <w:pStyle w:val="yTableNAm"/>
              <w:spacing w:before="200"/>
            </w:pPr>
            <w:r>
              <w:br/>
            </w:r>
            <w:r>
              <w:br/>
            </w:r>
            <w:r>
              <w:br/>
            </w:r>
            <w:r>
              <w:br/>
            </w:r>
            <w:r>
              <w:br/>
            </w:r>
            <w:r>
              <w:br/>
            </w:r>
            <w:r>
              <w:br/>
            </w:r>
            <w:r>
              <w:br/>
              <w:t>$20</w:t>
            </w:r>
          </w:p>
        </w:tc>
      </w:tr>
    </w:tbl>
    <w:p>
      <w:pPr>
        <w:pStyle w:val="yFootnotesection"/>
      </w:pPr>
      <w:r>
        <w:tab/>
        <w:t>[Schedule 1 inserted: SL 2025/127 bl. 4.]</w:t>
      </w:r>
    </w:p>
    <w:bookmarkEnd w:id="80"/>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yScheduleHeading"/>
        <w:keepNext w:val="0"/>
        <w:pageBreakBefore w:val="0"/>
        <w:widowControl w:val="0"/>
        <w:spacing w:before="60"/>
      </w:pPr>
      <w:bookmarkStart w:id="82" w:name="_Toc201915732"/>
      <w:bookmarkStart w:id="83" w:name="_Toc201916253"/>
      <w:bookmarkStart w:id="84" w:name="_Toc201918860"/>
      <w:r>
        <w:rPr>
          <w:rStyle w:val="CharSchNo"/>
        </w:rPr>
        <w:lastRenderedPageBreak/>
        <w:t>Schedule 2</w:t>
      </w:r>
      <w:bookmarkEnd w:id="82"/>
      <w:bookmarkEnd w:id="83"/>
      <w:bookmarkEnd w:id="84"/>
    </w:p>
    <w:p>
      <w:pPr>
        <w:pStyle w:val="yShoulderClause"/>
        <w:spacing w:after="120"/>
        <w:rPr>
          <w:snapToGrid w:val="0"/>
        </w:rPr>
      </w:pPr>
      <w:r>
        <w:rPr>
          <w:snapToGrid w:val="0"/>
        </w:rPr>
        <w:t>[By</w:t>
      </w:r>
      <w:r>
        <w:rPr>
          <w:snapToGrid w:val="0"/>
        </w:rPr>
        <w:noBreakHyphen/>
        <w:t>law 29(1)]</w:t>
      </w:r>
    </w:p>
    <w:tbl>
      <w:tblPr>
        <w:tblW w:w="7223" w:type="dxa"/>
        <w:tblLayout w:type="fixed"/>
        <w:tblCellMar>
          <w:left w:w="141" w:type="dxa"/>
          <w:right w:w="141" w:type="dxa"/>
        </w:tblCellMar>
        <w:tblLook w:val="0000" w:firstRow="0" w:lastRow="0" w:firstColumn="0" w:lastColumn="0" w:noHBand="0" w:noVBand="0"/>
      </w:tblPr>
      <w:tblGrid>
        <w:gridCol w:w="1221"/>
        <w:gridCol w:w="4723"/>
        <w:gridCol w:w="1279"/>
      </w:tblGrid>
      <w:tr>
        <w:trPr>
          <w:tblHeader/>
        </w:trPr>
        <w:tc>
          <w:tcPr>
            <w:tcW w:w="1221" w:type="dxa"/>
          </w:tcPr>
          <w:p>
            <w:pPr>
              <w:pStyle w:val="yTableNAm"/>
              <w:rPr>
                <w:b/>
                <w:bCs/>
              </w:rPr>
            </w:pPr>
            <w:r>
              <w:rPr>
                <w:b/>
                <w:bCs/>
              </w:rPr>
              <w:t>By</w:t>
            </w:r>
            <w:r>
              <w:rPr>
                <w:b/>
                <w:bCs/>
              </w:rPr>
              <w:noBreakHyphen/>
              <w:t>law</w:t>
            </w:r>
          </w:p>
        </w:tc>
        <w:tc>
          <w:tcPr>
            <w:tcW w:w="4723" w:type="dxa"/>
          </w:tcPr>
          <w:p>
            <w:pPr>
              <w:pStyle w:val="yTableNAm"/>
              <w:rPr>
                <w:b/>
                <w:bCs/>
              </w:rPr>
            </w:pPr>
            <w:r>
              <w:rPr>
                <w:b/>
                <w:bCs/>
              </w:rPr>
              <w:t>Brief description of offence</w:t>
            </w:r>
          </w:p>
        </w:tc>
        <w:tc>
          <w:tcPr>
            <w:tcW w:w="1279" w:type="dxa"/>
          </w:tcPr>
          <w:p>
            <w:pPr>
              <w:pStyle w:val="yTableNAm"/>
              <w:spacing w:before="0"/>
              <w:jc w:val="center"/>
              <w:rPr>
                <w:b/>
                <w:bCs/>
              </w:rPr>
            </w:pPr>
            <w:r>
              <w:rPr>
                <w:b/>
                <w:bCs/>
              </w:rPr>
              <w:t>Modified</w:t>
            </w:r>
          </w:p>
          <w:p>
            <w:pPr>
              <w:pStyle w:val="yTableNAm"/>
              <w:spacing w:before="0"/>
              <w:jc w:val="center"/>
              <w:rPr>
                <w:b/>
                <w:bCs/>
              </w:rPr>
            </w:pPr>
            <w:r>
              <w:rPr>
                <w:b/>
                <w:bCs/>
              </w:rPr>
              <w:t>penalty</w:t>
            </w:r>
          </w:p>
          <w:p>
            <w:pPr>
              <w:pStyle w:val="yTableNAm"/>
              <w:spacing w:before="0"/>
              <w:jc w:val="center"/>
              <w:rPr>
                <w:b/>
                <w:bCs/>
              </w:rPr>
            </w:pPr>
            <w:r>
              <w:rPr>
                <w:b/>
                <w:bCs/>
              </w:rPr>
              <w:t>($)</w:t>
            </w:r>
          </w:p>
        </w:tc>
      </w:tr>
      <w:tr>
        <w:tc>
          <w:tcPr>
            <w:tcW w:w="1221" w:type="dxa"/>
          </w:tcPr>
          <w:p>
            <w:pPr>
              <w:pStyle w:val="yTableNAm"/>
            </w:pPr>
            <w:r>
              <w:t>16</w:t>
            </w:r>
          </w:p>
        </w:tc>
        <w:tc>
          <w:tcPr>
            <w:tcW w:w="4723" w:type="dxa"/>
          </w:tcPr>
          <w:p>
            <w:pPr>
              <w:pStyle w:val="yTableNAm"/>
              <w:tabs>
                <w:tab w:val="left" w:leader="dot" w:pos="5387"/>
              </w:tabs>
            </w:pPr>
            <w:r>
              <w:t xml:space="preserve">Driving or bringing vehicle on site other than roadway or parking area or standing area </w:t>
            </w:r>
            <w:r>
              <w:tab/>
            </w:r>
          </w:p>
        </w:tc>
        <w:tc>
          <w:tcPr>
            <w:tcW w:w="1279" w:type="dxa"/>
          </w:tcPr>
          <w:p>
            <w:pPr>
              <w:pStyle w:val="yTableNAm"/>
            </w:pPr>
            <w:r>
              <w:br/>
            </w:r>
            <w:r>
              <w:tab/>
              <w:t>45</w:t>
            </w:r>
          </w:p>
        </w:tc>
      </w:tr>
      <w:tr>
        <w:tc>
          <w:tcPr>
            <w:tcW w:w="1221" w:type="dxa"/>
          </w:tcPr>
          <w:p>
            <w:pPr>
              <w:pStyle w:val="yTableNAm"/>
            </w:pPr>
            <w:r>
              <w:t>17</w:t>
            </w:r>
          </w:p>
        </w:tc>
        <w:tc>
          <w:tcPr>
            <w:tcW w:w="4723" w:type="dxa"/>
          </w:tcPr>
          <w:p>
            <w:pPr>
              <w:pStyle w:val="yTableNAm"/>
              <w:tabs>
                <w:tab w:val="left" w:leader="dot" w:pos="5387"/>
              </w:tabs>
            </w:pPr>
            <w:r>
              <w:t>Disobeying any reasonable order or directive given by authorised person</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speed limit specified in traffic sign </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30 kph </w:t>
            </w:r>
            <w:r>
              <w:tab/>
            </w:r>
          </w:p>
        </w:tc>
        <w:tc>
          <w:tcPr>
            <w:tcW w:w="1279" w:type="dxa"/>
          </w:tcPr>
          <w:p>
            <w:pPr>
              <w:pStyle w:val="yTableNAm"/>
            </w:pPr>
            <w:r>
              <w:tab/>
              <w:t>45</w:t>
            </w:r>
          </w:p>
        </w:tc>
      </w:tr>
      <w:tr>
        <w:tc>
          <w:tcPr>
            <w:tcW w:w="1221" w:type="dxa"/>
          </w:tcPr>
          <w:p>
            <w:pPr>
              <w:pStyle w:val="yTableNAm"/>
            </w:pPr>
            <w:r>
              <w:t>20</w:t>
            </w:r>
          </w:p>
        </w:tc>
        <w:tc>
          <w:tcPr>
            <w:tcW w:w="4723" w:type="dxa"/>
          </w:tcPr>
          <w:p>
            <w:pPr>
              <w:pStyle w:val="yTableNAm"/>
              <w:tabs>
                <w:tab w:val="left" w:leader="dot" w:pos="5387"/>
              </w:tabs>
            </w:pPr>
            <w:r>
              <w:t xml:space="preserve">Using Hospital Avenue or Gairdner Drive as a thoroughfare </w:t>
            </w:r>
            <w:r>
              <w:tab/>
            </w:r>
          </w:p>
        </w:tc>
        <w:tc>
          <w:tcPr>
            <w:tcW w:w="1279" w:type="dxa"/>
          </w:tcPr>
          <w:p>
            <w:pPr>
              <w:pStyle w:val="yTableNAm"/>
            </w:pPr>
            <w:r>
              <w:br/>
            </w:r>
            <w:r>
              <w:tab/>
              <w:t>30</w:t>
            </w:r>
          </w:p>
        </w:tc>
      </w:tr>
      <w:tr>
        <w:tc>
          <w:tcPr>
            <w:tcW w:w="1221" w:type="dxa"/>
          </w:tcPr>
          <w:p>
            <w:pPr>
              <w:pStyle w:val="yTableNAm"/>
            </w:pPr>
            <w:r>
              <w:t>21</w:t>
            </w:r>
          </w:p>
        </w:tc>
        <w:tc>
          <w:tcPr>
            <w:tcW w:w="4723" w:type="dxa"/>
          </w:tcPr>
          <w:p>
            <w:pPr>
              <w:pStyle w:val="yTableNAm"/>
              <w:tabs>
                <w:tab w:val="left" w:leader="dot" w:pos="5387"/>
              </w:tabs>
            </w:pPr>
            <w:r>
              <w:t xml:space="preserve">Failing to give way when entering or leaving parking area or standing area </w:t>
            </w:r>
            <w:r>
              <w:tab/>
            </w:r>
          </w:p>
        </w:tc>
        <w:tc>
          <w:tcPr>
            <w:tcW w:w="1279" w:type="dxa"/>
          </w:tcPr>
          <w:p>
            <w:pPr>
              <w:pStyle w:val="yTableNAm"/>
            </w:pPr>
            <w:r>
              <w:br/>
            </w:r>
            <w:r>
              <w:tab/>
              <w:t>40</w:t>
            </w:r>
          </w:p>
        </w:tc>
      </w:tr>
      <w:tr>
        <w:tc>
          <w:tcPr>
            <w:tcW w:w="1221" w:type="dxa"/>
          </w:tcPr>
          <w:p>
            <w:pPr>
              <w:pStyle w:val="yTableNAm"/>
            </w:pPr>
            <w:r>
              <w:t>22</w:t>
            </w:r>
          </w:p>
        </w:tc>
        <w:tc>
          <w:tcPr>
            <w:tcW w:w="4723" w:type="dxa"/>
          </w:tcPr>
          <w:p>
            <w:pPr>
              <w:pStyle w:val="yTableNAm"/>
              <w:tabs>
                <w:tab w:val="left" w:leader="dot" w:pos="5387"/>
              </w:tabs>
            </w:pPr>
            <w:r>
              <w:t xml:space="preserve">Repairing vehicle on site </w:t>
            </w:r>
            <w:r>
              <w:tab/>
            </w:r>
          </w:p>
        </w:tc>
        <w:tc>
          <w:tcPr>
            <w:tcW w:w="1279" w:type="dxa"/>
          </w:tcPr>
          <w:p>
            <w:pPr>
              <w:pStyle w:val="yTableNAm"/>
            </w:pPr>
            <w:r>
              <w:tab/>
              <w:t>30</w:t>
            </w:r>
          </w:p>
        </w:tc>
      </w:tr>
      <w:tr>
        <w:tc>
          <w:tcPr>
            <w:tcW w:w="1221" w:type="dxa"/>
          </w:tcPr>
          <w:p>
            <w:pPr>
              <w:pStyle w:val="yTableNAm"/>
            </w:pPr>
            <w:r>
              <w:t>22</w:t>
            </w:r>
          </w:p>
        </w:tc>
        <w:tc>
          <w:tcPr>
            <w:tcW w:w="4723" w:type="dxa"/>
          </w:tcPr>
          <w:p>
            <w:pPr>
              <w:pStyle w:val="yTableNAm"/>
              <w:tabs>
                <w:tab w:val="left" w:leader="dot" w:pos="5387"/>
              </w:tabs>
            </w:pPr>
            <w:r>
              <w:t xml:space="preserve">Instructing learner driver on site </w:t>
            </w:r>
            <w:r>
              <w:tab/>
            </w:r>
          </w:p>
        </w:tc>
        <w:tc>
          <w:tcPr>
            <w:tcW w:w="1279" w:type="dxa"/>
          </w:tcPr>
          <w:p>
            <w:pPr>
              <w:pStyle w:val="yTableNAm"/>
            </w:pPr>
            <w:r>
              <w:tab/>
              <w:t>30</w:t>
            </w:r>
          </w:p>
        </w:tc>
      </w:tr>
      <w:tr>
        <w:tc>
          <w:tcPr>
            <w:tcW w:w="1221" w:type="dxa"/>
          </w:tcPr>
          <w:p>
            <w:pPr>
              <w:pStyle w:val="yTableNAm"/>
            </w:pPr>
            <w:r>
              <w:t>24</w:t>
            </w:r>
          </w:p>
        </w:tc>
        <w:tc>
          <w:tcPr>
            <w:tcW w:w="4723" w:type="dxa"/>
          </w:tcPr>
          <w:p>
            <w:pPr>
              <w:pStyle w:val="yTableNAm"/>
            </w:pPr>
            <w:r>
              <w:t>Failing to comply with an indication displayed on a sign in particular</w:t>
            </w:r>
          </w:p>
        </w:tc>
        <w:tc>
          <w:tcPr>
            <w:tcW w:w="1279" w:type="dxa"/>
          </w:tcPr>
          <w:p>
            <w:pPr>
              <w:pStyle w:val="yTableNAm"/>
            </w:pPr>
          </w:p>
        </w:tc>
      </w:tr>
      <w:tr>
        <w:tc>
          <w:tcPr>
            <w:tcW w:w="1221" w:type="dxa"/>
          </w:tcPr>
          <w:p>
            <w:pPr>
              <w:pStyle w:val="yTableNAm"/>
            </w:pPr>
          </w:p>
        </w:tc>
        <w:tc>
          <w:tcPr>
            <w:tcW w:w="4723" w:type="dxa"/>
          </w:tcPr>
          <w:p>
            <w:pPr>
              <w:pStyle w:val="yTableNAm"/>
              <w:tabs>
                <w:tab w:val="left" w:leader="dot" w:pos="5387"/>
              </w:tabs>
            </w:pPr>
            <w:r>
              <w:tab/>
              <w:t> — STOP</w:t>
            </w:r>
            <w:r>
              <w:tab/>
            </w:r>
          </w:p>
        </w:tc>
        <w:tc>
          <w:tcPr>
            <w:tcW w:w="1279" w:type="dxa"/>
          </w:tcPr>
          <w:p>
            <w:pPr>
              <w:pStyle w:val="yTableNAm"/>
            </w:pPr>
            <w:r>
              <w:tab/>
              <w:t>45</w:t>
            </w:r>
          </w:p>
        </w:tc>
      </w:tr>
      <w:tr>
        <w:tc>
          <w:tcPr>
            <w:tcW w:w="1221" w:type="dxa"/>
          </w:tcPr>
          <w:p>
            <w:pPr>
              <w:pStyle w:val="yTableNAm"/>
            </w:pPr>
          </w:p>
        </w:tc>
        <w:tc>
          <w:tcPr>
            <w:tcW w:w="4723" w:type="dxa"/>
          </w:tcPr>
          <w:p>
            <w:pPr>
              <w:pStyle w:val="yTableNAm"/>
              <w:tabs>
                <w:tab w:val="left" w:leader="dot" w:pos="5387"/>
              </w:tabs>
            </w:pPr>
            <w:r>
              <w:tab/>
              <w:t> — GIVE WAY</w:t>
            </w:r>
            <w:r>
              <w:tab/>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ab/>
              <w:t> — ONE WAY</w:t>
            </w:r>
            <w:r>
              <w:tab/>
              <w:t xml:space="preserve"> </w:t>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 xml:space="preserve">or any other sign displayed directing the driver of a motor vehicle to do a particular thing </w:t>
            </w:r>
            <w:r>
              <w:tab/>
            </w:r>
          </w:p>
        </w:tc>
        <w:tc>
          <w:tcPr>
            <w:tcW w:w="1279" w:type="dxa"/>
          </w:tcPr>
          <w:p>
            <w:pPr>
              <w:pStyle w:val="yTableNAm"/>
            </w:pPr>
            <w:r>
              <w:br/>
            </w:r>
            <w:r>
              <w:tab/>
              <w:t>40</w:t>
            </w:r>
          </w:p>
        </w:tc>
      </w:tr>
      <w:tr>
        <w:tc>
          <w:tcPr>
            <w:tcW w:w="1221" w:type="dxa"/>
          </w:tcPr>
          <w:p>
            <w:pPr>
              <w:pStyle w:val="yTableNAm"/>
            </w:pPr>
            <w:r>
              <w:t>23</w:t>
            </w:r>
          </w:p>
        </w:tc>
        <w:tc>
          <w:tcPr>
            <w:tcW w:w="4723" w:type="dxa"/>
          </w:tcPr>
          <w:p>
            <w:pPr>
              <w:pStyle w:val="yTableNAm"/>
              <w:tabs>
                <w:tab w:val="clear" w:pos="567"/>
                <w:tab w:val="left" w:pos="481"/>
                <w:tab w:val="left" w:leader="dot" w:pos="5387"/>
              </w:tabs>
            </w:pPr>
            <w:r>
              <w:t>Parking or standing on site outside of a parking space</w:t>
            </w:r>
            <w:r>
              <w:tab/>
            </w:r>
            <w:r>
              <w:tab/>
            </w:r>
          </w:p>
        </w:tc>
        <w:tc>
          <w:tcPr>
            <w:tcW w:w="1279" w:type="dxa"/>
          </w:tcPr>
          <w:p>
            <w:pPr>
              <w:pStyle w:val="yTableNAm"/>
            </w:pPr>
            <w:r>
              <w:br/>
            </w:r>
            <w:r>
              <w:tab/>
              <w:t>40</w:t>
            </w:r>
          </w:p>
        </w:tc>
      </w:tr>
      <w:tr>
        <w:tc>
          <w:tcPr>
            <w:tcW w:w="1221" w:type="dxa"/>
          </w:tcPr>
          <w:p>
            <w:pPr>
              <w:pStyle w:val="yTableNAm"/>
              <w:keepNext/>
              <w:keepLines/>
            </w:pPr>
            <w:r>
              <w:t>24</w:t>
            </w:r>
          </w:p>
        </w:tc>
        <w:tc>
          <w:tcPr>
            <w:tcW w:w="4723" w:type="dxa"/>
          </w:tcPr>
          <w:p>
            <w:pPr>
              <w:pStyle w:val="yTableNAm"/>
              <w:keepNext/>
              <w:keepLines/>
            </w:pPr>
            <w:r>
              <w:t>Parking contrary to a sign specifying</w:t>
            </w:r>
          </w:p>
        </w:tc>
        <w:tc>
          <w:tcPr>
            <w:tcW w:w="1279" w:type="dxa"/>
          </w:tcPr>
          <w:p>
            <w:pPr>
              <w:pStyle w:val="yTableNAm"/>
              <w:keepNext/>
              <w:keepLines/>
            </w:pPr>
          </w:p>
        </w:tc>
      </w:tr>
      <w:tr>
        <w:tc>
          <w:tcPr>
            <w:tcW w:w="1221" w:type="dxa"/>
          </w:tcPr>
          <w:p>
            <w:pPr>
              <w:pStyle w:val="yTableNAm"/>
              <w:keepNext/>
              <w:keepLines/>
            </w:pPr>
          </w:p>
        </w:tc>
        <w:tc>
          <w:tcPr>
            <w:tcW w:w="4723" w:type="dxa"/>
          </w:tcPr>
          <w:p>
            <w:pPr>
              <w:pStyle w:val="yTableNAm"/>
              <w:keepNext/>
              <w:keepLines/>
              <w:tabs>
                <w:tab w:val="left" w:leader="dot" w:pos="5387"/>
              </w:tabs>
            </w:pPr>
            <w:r>
              <w:tab/>
              <w:t xml:space="preserve"> — No Standing at Any time </w:t>
            </w:r>
            <w:r>
              <w:tab/>
            </w:r>
          </w:p>
        </w:tc>
        <w:tc>
          <w:tcPr>
            <w:tcW w:w="1279" w:type="dxa"/>
          </w:tcPr>
          <w:p>
            <w:pPr>
              <w:pStyle w:val="yTableNAm"/>
              <w:keepNext/>
              <w:keepLines/>
            </w:pPr>
            <w:r>
              <w:tab/>
              <w:t>45</w:t>
            </w:r>
          </w:p>
        </w:tc>
      </w:tr>
      <w:tr>
        <w:tc>
          <w:tcPr>
            <w:tcW w:w="1221" w:type="dxa"/>
          </w:tcPr>
          <w:p>
            <w:pPr>
              <w:pStyle w:val="yTableNAm"/>
            </w:pPr>
          </w:p>
        </w:tc>
        <w:tc>
          <w:tcPr>
            <w:tcW w:w="4723" w:type="dxa"/>
          </w:tcPr>
          <w:p>
            <w:pPr>
              <w:pStyle w:val="yTableNAm"/>
              <w:tabs>
                <w:tab w:val="left" w:leader="dot" w:pos="5387"/>
              </w:tabs>
            </w:pPr>
            <w:r>
              <w:tab/>
              <w:t xml:space="preserve"> — No Parking at Any time </w:t>
            </w:r>
            <w:r>
              <w:tab/>
            </w:r>
          </w:p>
        </w:tc>
        <w:tc>
          <w:tcPr>
            <w:tcW w:w="1279" w:type="dxa"/>
          </w:tcPr>
          <w:p>
            <w:pPr>
              <w:pStyle w:val="yTableNAm"/>
            </w:pPr>
            <w:r>
              <w:tab/>
              <w:t>40</w:t>
            </w:r>
          </w:p>
        </w:tc>
      </w:tr>
      <w:tr>
        <w:tc>
          <w:tcPr>
            <w:tcW w:w="1221" w:type="dxa"/>
          </w:tcPr>
          <w:p>
            <w:pPr>
              <w:pStyle w:val="yTableNAm"/>
            </w:pPr>
            <w:r>
              <w:t>25</w:t>
            </w:r>
          </w:p>
        </w:tc>
        <w:tc>
          <w:tcPr>
            <w:tcW w:w="4723" w:type="dxa"/>
          </w:tcPr>
          <w:p>
            <w:pPr>
              <w:pStyle w:val="yTableNAm"/>
              <w:tabs>
                <w:tab w:val="left" w:leader="dot" w:pos="5387"/>
              </w:tabs>
            </w:pPr>
            <w:r>
              <w:t xml:space="preserve">Parking contrary to a sign </w:t>
            </w:r>
            <w:r>
              <w:tab/>
            </w:r>
          </w:p>
        </w:tc>
        <w:tc>
          <w:tcPr>
            <w:tcW w:w="1279" w:type="dxa"/>
          </w:tcPr>
          <w:p>
            <w:pPr>
              <w:pStyle w:val="yTableNAm"/>
            </w:pPr>
            <w:r>
              <w:tab/>
              <w:t>40</w:t>
            </w:r>
          </w:p>
        </w:tc>
      </w:tr>
      <w:tr>
        <w:tblPrEx>
          <w:tblCellMar>
            <w:left w:w="142" w:type="dxa"/>
            <w:right w:w="142" w:type="dxa"/>
          </w:tblCellMar>
        </w:tblPrEx>
        <w:trPr>
          <w:cantSplit/>
        </w:trPr>
        <w:tc>
          <w:tcPr>
            <w:tcW w:w="1221" w:type="dxa"/>
            <w:tcMar>
              <w:left w:w="57" w:type="dxa"/>
              <w:right w:w="57" w:type="dxa"/>
            </w:tcMar>
          </w:tcPr>
          <w:p>
            <w:pPr>
              <w:pStyle w:val="yTableNAm"/>
              <w:ind w:left="85"/>
            </w:pPr>
            <w:r>
              <w:t>26AA(2)</w:t>
            </w:r>
          </w:p>
        </w:tc>
        <w:tc>
          <w:tcPr>
            <w:tcW w:w="4723" w:type="dxa"/>
          </w:tcPr>
          <w:p>
            <w:pPr>
              <w:pStyle w:val="yTableNAm"/>
            </w:pPr>
            <w:r>
              <w:t xml:space="preserve">Parking in ticket parking area — </w:t>
            </w:r>
          </w:p>
          <w:p>
            <w:pPr>
              <w:pStyle w:val="yTableNAm"/>
              <w:tabs>
                <w:tab w:val="left" w:leader="dot" w:pos="5387"/>
              </w:tabs>
              <w:ind w:left="586" w:hanging="586"/>
            </w:pPr>
            <w:r>
              <w:t>(a)</w:t>
            </w:r>
            <w:r>
              <w:tab/>
              <w:t xml:space="preserve">failing to purchase ticket for required period </w:t>
            </w:r>
            <w:r>
              <w:tab/>
            </w:r>
          </w:p>
          <w:p>
            <w:pPr>
              <w:pStyle w:val="yTableNAm"/>
              <w:tabs>
                <w:tab w:val="left" w:leader="dot" w:pos="5387"/>
              </w:tabs>
              <w:ind w:left="586" w:hanging="586"/>
            </w:pPr>
            <w:r>
              <w:t>(b)</w:t>
            </w:r>
            <w:r>
              <w:tab/>
              <w:t xml:space="preserve">failing to display ticket </w:t>
            </w:r>
            <w:r>
              <w:tab/>
            </w:r>
          </w:p>
        </w:tc>
        <w:tc>
          <w:tcPr>
            <w:tcW w:w="1279" w:type="dxa"/>
          </w:tcPr>
          <w:p>
            <w:pPr>
              <w:pStyle w:val="yTableNAm"/>
            </w:pPr>
          </w:p>
          <w:p>
            <w:pPr>
              <w:pStyle w:val="yTableNAm"/>
            </w:pPr>
            <w:r>
              <w:br/>
            </w:r>
            <w:r>
              <w:tab/>
              <w:t>30</w:t>
            </w:r>
          </w:p>
          <w:p>
            <w:pPr>
              <w:pStyle w:val="yTableNAm"/>
            </w:pP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26AA(3)</w:t>
            </w:r>
          </w:p>
        </w:tc>
        <w:tc>
          <w:tcPr>
            <w:tcW w:w="4723" w:type="dxa"/>
          </w:tcPr>
          <w:p>
            <w:pPr>
              <w:pStyle w:val="yTableNAm"/>
              <w:tabs>
                <w:tab w:val="left" w:leader="dot" w:pos="5387"/>
              </w:tabs>
            </w:pPr>
            <w:r>
              <w:t xml:space="preserve">Parking in boom gate controlled ticket parking area without a ticket </w:t>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26AA(4)</w:t>
            </w:r>
          </w:p>
        </w:tc>
        <w:tc>
          <w:tcPr>
            <w:tcW w:w="4723" w:type="dxa"/>
          </w:tcPr>
          <w:p>
            <w:pPr>
              <w:pStyle w:val="yTableNAm"/>
              <w:tabs>
                <w:tab w:val="clear" w:pos="567"/>
                <w:tab w:val="left" w:pos="291"/>
                <w:tab w:val="left" w:leader="dot" w:pos="5387"/>
              </w:tabs>
            </w:pPr>
            <w:r>
              <w:t>Removing a vehicle from boom gate controlled ticket parking area without paying the prescribed fee</w:t>
            </w:r>
            <w:r>
              <w:tab/>
            </w:r>
            <w:r>
              <w:tab/>
            </w:r>
          </w:p>
        </w:tc>
        <w:tc>
          <w:tcPr>
            <w:tcW w:w="1279" w:type="dxa"/>
          </w:tcPr>
          <w:p>
            <w:pPr>
              <w:pStyle w:val="yTableNAm"/>
            </w:pPr>
            <w:r>
              <w:br/>
            </w: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lastRenderedPageBreak/>
              <w:t>26AA(5)</w:t>
            </w:r>
          </w:p>
        </w:tc>
        <w:tc>
          <w:tcPr>
            <w:tcW w:w="4723" w:type="dxa"/>
          </w:tcPr>
          <w:p>
            <w:pPr>
              <w:pStyle w:val="yTableNAm"/>
              <w:tabs>
                <w:tab w:val="clear" w:pos="567"/>
                <w:tab w:val="left" w:pos="433"/>
                <w:tab w:val="left" w:leader="dot" w:pos="5387"/>
              </w:tabs>
              <w:ind w:right="-142"/>
            </w:pPr>
            <w:r>
              <w:t xml:space="preserve">Parking a vehicle in a ticket parking area or a boom gate controlled ticket parking area and leaving the site while the vehicle is parked there </w:t>
            </w:r>
            <w:r>
              <w:tab/>
            </w:r>
            <w:r>
              <w:tab/>
            </w:r>
          </w:p>
        </w:tc>
        <w:tc>
          <w:tcPr>
            <w:tcW w:w="1279" w:type="dxa"/>
          </w:tcPr>
          <w:p>
            <w:pPr>
              <w:pStyle w:val="yTableNAm"/>
            </w:pPr>
            <w:r>
              <w:br/>
            </w:r>
            <w:r>
              <w:br/>
            </w: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26AB(2)</w:t>
            </w:r>
          </w:p>
        </w:tc>
        <w:tc>
          <w:tcPr>
            <w:tcW w:w="4723" w:type="dxa"/>
          </w:tcPr>
          <w:p>
            <w:pPr>
              <w:pStyle w:val="yTableNAm"/>
              <w:tabs>
                <w:tab w:val="left" w:leader="dot" w:pos="5387"/>
              </w:tabs>
            </w:pPr>
            <w:r>
              <w:t xml:space="preserve">Parking in paid staff parking area when not an eligible staff member </w:t>
            </w:r>
            <w:r>
              <w:tab/>
            </w:r>
          </w:p>
        </w:tc>
        <w:tc>
          <w:tcPr>
            <w:tcW w:w="1279" w:type="dxa"/>
          </w:tcPr>
          <w:p>
            <w:pPr>
              <w:pStyle w:val="yTableNAm"/>
            </w:pPr>
            <w:r>
              <w:br/>
            </w:r>
            <w:r>
              <w:tab/>
              <w:t>45</w:t>
            </w:r>
          </w:p>
        </w:tc>
      </w:tr>
      <w:tr>
        <w:tblPrEx>
          <w:tblCellMar>
            <w:left w:w="142" w:type="dxa"/>
            <w:right w:w="142" w:type="dxa"/>
          </w:tblCellMar>
        </w:tblPrEx>
        <w:trPr>
          <w:cantSplit/>
        </w:trPr>
        <w:tc>
          <w:tcPr>
            <w:tcW w:w="1221" w:type="dxa"/>
            <w:tcMar>
              <w:left w:w="57" w:type="dxa"/>
              <w:right w:w="57" w:type="dxa"/>
            </w:tcMar>
          </w:tcPr>
          <w:p>
            <w:pPr>
              <w:pStyle w:val="yTableNAm"/>
              <w:ind w:left="85"/>
            </w:pPr>
            <w:r>
              <w:t>26AB(3)</w:t>
            </w:r>
          </w:p>
        </w:tc>
        <w:tc>
          <w:tcPr>
            <w:tcW w:w="4723" w:type="dxa"/>
          </w:tcPr>
          <w:p>
            <w:pPr>
              <w:pStyle w:val="yTableNAm"/>
              <w:tabs>
                <w:tab w:val="clear" w:pos="567"/>
                <w:tab w:val="left" w:pos="480"/>
                <w:tab w:val="left" w:leader="dot" w:pos="5387"/>
              </w:tabs>
            </w:pPr>
            <w:r>
              <w:t>Failing to pay before leaving a paid staff parking area</w:t>
            </w:r>
            <w:r>
              <w:tab/>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26AC(2)</w:t>
            </w:r>
          </w:p>
        </w:tc>
        <w:tc>
          <w:tcPr>
            <w:tcW w:w="4723" w:type="dxa"/>
          </w:tcPr>
          <w:p>
            <w:pPr>
              <w:pStyle w:val="yTableNAm"/>
              <w:tabs>
                <w:tab w:val="left" w:leader="dot" w:pos="5387"/>
              </w:tabs>
            </w:pPr>
            <w:r>
              <w:t xml:space="preserve">Unlawfully parking in a permit parking area </w:t>
            </w:r>
            <w:r>
              <w:tab/>
            </w:r>
          </w:p>
        </w:tc>
        <w:tc>
          <w:tcPr>
            <w:tcW w:w="1279" w:type="dxa"/>
          </w:tcPr>
          <w:p>
            <w:pPr>
              <w:pStyle w:val="yTableNAm"/>
            </w:pPr>
            <w:r>
              <w:tab/>
              <w:t>45</w:t>
            </w:r>
          </w:p>
        </w:tc>
      </w:tr>
      <w:tr>
        <w:tc>
          <w:tcPr>
            <w:tcW w:w="1221" w:type="dxa"/>
          </w:tcPr>
          <w:p>
            <w:pPr>
              <w:pStyle w:val="yTableNAm"/>
            </w:pPr>
            <w:r>
              <w:t>33</w:t>
            </w:r>
          </w:p>
        </w:tc>
        <w:tc>
          <w:tcPr>
            <w:tcW w:w="4723" w:type="dxa"/>
          </w:tcPr>
          <w:p>
            <w:pPr>
              <w:pStyle w:val="yTableNAm"/>
              <w:tabs>
                <w:tab w:val="left" w:leader="dot" w:pos="5387"/>
              </w:tabs>
            </w:pPr>
            <w:r>
              <w:t>Unauthorised person endorsing an infringement notice</w:t>
            </w:r>
            <w:r>
              <w:tab/>
            </w:r>
            <w:r>
              <w:tab/>
            </w:r>
          </w:p>
        </w:tc>
        <w:tc>
          <w:tcPr>
            <w:tcW w:w="1279" w:type="dxa"/>
          </w:tcPr>
          <w:p>
            <w:pPr>
              <w:pStyle w:val="yTableNAm"/>
            </w:pPr>
            <w:r>
              <w:br/>
            </w:r>
            <w:r>
              <w:tab/>
              <w:t>45</w:t>
            </w:r>
          </w:p>
        </w:tc>
      </w:tr>
      <w:tr>
        <w:tc>
          <w:tcPr>
            <w:tcW w:w="1221" w:type="dxa"/>
          </w:tcPr>
          <w:p>
            <w:pPr>
              <w:pStyle w:val="yTableNAm"/>
            </w:pPr>
            <w:r>
              <w:t>33</w:t>
            </w:r>
          </w:p>
        </w:tc>
        <w:tc>
          <w:tcPr>
            <w:tcW w:w="4723" w:type="dxa"/>
          </w:tcPr>
          <w:p>
            <w:pPr>
              <w:pStyle w:val="yTableNAm"/>
              <w:tabs>
                <w:tab w:val="left" w:leader="dot" w:pos="5387"/>
              </w:tabs>
            </w:pPr>
            <w:r>
              <w:t xml:space="preserve">Removal of infringement notice by unauthorised person </w:t>
            </w:r>
            <w:r>
              <w:tab/>
            </w:r>
          </w:p>
        </w:tc>
        <w:tc>
          <w:tcPr>
            <w:tcW w:w="1279" w:type="dxa"/>
          </w:tcPr>
          <w:p>
            <w:pPr>
              <w:pStyle w:val="yTableNAm"/>
            </w:pPr>
            <w:r>
              <w:br/>
            </w:r>
            <w:r>
              <w:tab/>
              <w:t>45</w:t>
            </w:r>
          </w:p>
        </w:tc>
      </w:tr>
      <w:tr>
        <w:tc>
          <w:tcPr>
            <w:tcW w:w="1221" w:type="dxa"/>
          </w:tcPr>
          <w:p>
            <w:pPr>
              <w:pStyle w:val="yTableNAm"/>
            </w:pPr>
            <w:r>
              <w:t>35</w:t>
            </w:r>
          </w:p>
        </w:tc>
        <w:tc>
          <w:tcPr>
            <w:tcW w:w="4723" w:type="dxa"/>
          </w:tcPr>
          <w:p>
            <w:pPr>
              <w:pStyle w:val="yTableNAm"/>
              <w:tabs>
                <w:tab w:val="left" w:leader="dot" w:pos="5387"/>
              </w:tabs>
            </w:pPr>
            <w:r>
              <w:t xml:space="preserve">Refusing to supply name and address to authorised person when required </w:t>
            </w:r>
            <w:r>
              <w:tab/>
            </w:r>
          </w:p>
        </w:tc>
        <w:tc>
          <w:tcPr>
            <w:tcW w:w="1279" w:type="dxa"/>
          </w:tcPr>
          <w:p>
            <w:pPr>
              <w:pStyle w:val="yTableNAm"/>
            </w:pPr>
            <w:r>
              <w:br/>
            </w:r>
            <w:r>
              <w:tab/>
              <w:t>45</w:t>
            </w:r>
          </w:p>
        </w:tc>
      </w:tr>
      <w:tr>
        <w:trPr>
          <w:cantSplit/>
        </w:trPr>
        <w:tc>
          <w:tcPr>
            <w:tcW w:w="1221" w:type="dxa"/>
          </w:tcPr>
          <w:p>
            <w:pPr>
              <w:pStyle w:val="yTableNAm"/>
            </w:pPr>
            <w:r>
              <w:t>36</w:t>
            </w:r>
          </w:p>
        </w:tc>
        <w:tc>
          <w:tcPr>
            <w:tcW w:w="4723" w:type="dxa"/>
          </w:tcPr>
          <w:p>
            <w:pPr>
              <w:pStyle w:val="yTableNAm"/>
              <w:tabs>
                <w:tab w:val="left" w:leader="dot" w:pos="5387"/>
              </w:tabs>
            </w:pPr>
            <w:r>
              <w:t xml:space="preserve">Wilfully obstructing person employed on site in discharge of his duty </w:t>
            </w:r>
            <w:r>
              <w:tab/>
            </w:r>
          </w:p>
        </w:tc>
        <w:tc>
          <w:tcPr>
            <w:tcW w:w="1279" w:type="dxa"/>
          </w:tcPr>
          <w:p>
            <w:pPr>
              <w:pStyle w:val="yTableNAm"/>
            </w:pPr>
            <w:r>
              <w:br/>
            </w:r>
            <w:r>
              <w:tab/>
              <w:t>45</w:t>
            </w:r>
          </w:p>
        </w:tc>
      </w:tr>
      <w:tr>
        <w:trPr>
          <w:cantSplit/>
        </w:trPr>
        <w:tc>
          <w:tcPr>
            <w:tcW w:w="1221" w:type="dxa"/>
          </w:tcPr>
          <w:p>
            <w:pPr>
              <w:pStyle w:val="yTableNAm"/>
              <w:keepNext/>
              <w:keepLines/>
            </w:pPr>
            <w:r>
              <w:t>36</w:t>
            </w:r>
          </w:p>
        </w:tc>
        <w:tc>
          <w:tcPr>
            <w:tcW w:w="4723" w:type="dxa"/>
          </w:tcPr>
          <w:p>
            <w:pPr>
              <w:pStyle w:val="yTableNAm"/>
              <w:keepNext/>
              <w:keepLines/>
              <w:widowControl w:val="0"/>
              <w:tabs>
                <w:tab w:val="left" w:leader="dot" w:pos="5387"/>
              </w:tabs>
            </w:pPr>
            <w:r>
              <w:t xml:space="preserve">Obstructing, disturbing, interrupting or annoying person lawfully using site </w:t>
            </w:r>
            <w:r>
              <w:tab/>
            </w:r>
          </w:p>
        </w:tc>
        <w:tc>
          <w:tcPr>
            <w:tcW w:w="1279" w:type="dxa"/>
            <w:vAlign w:val="bottom"/>
          </w:tcPr>
          <w:p>
            <w:pPr>
              <w:pStyle w:val="yTableNAm"/>
              <w:keepNext/>
              <w:keepLines/>
            </w:pPr>
            <w:r>
              <w:tab/>
              <w:t>45</w:t>
            </w:r>
          </w:p>
        </w:tc>
      </w:tr>
    </w:tbl>
    <w:p>
      <w:pPr>
        <w:pStyle w:val="yFootnotesection"/>
        <w:keepNext/>
        <w:widowControl w:val="0"/>
      </w:pPr>
      <w:r>
        <w:tab/>
        <w:t>[Schedule 2 inserted: Gazette 22 Feb 1991 p. 881</w:t>
      </w:r>
      <w:r>
        <w:noBreakHyphen/>
        <w:t>2; amended: Gazette 29 Jun 2001 p. 3114; 22 Jun 2010 p. 2779-80; 17 Dec 2010 p. 6355; 17 Jun 2014 p. 1981.]</w:t>
      </w:r>
    </w:p>
    <w:p>
      <w:pPr>
        <w:sectPr>
          <w:headerReference w:type="even" r:id="rId27"/>
          <w:headerReference w:type="default" r:id="rId28"/>
          <w:pgSz w:w="11907" w:h="16840" w:code="9"/>
          <w:pgMar w:top="2381" w:right="2410" w:bottom="3544" w:left="2410" w:header="720" w:footer="3544" w:gutter="0"/>
          <w:cols w:space="720"/>
          <w:noEndnote/>
          <w:docGrid w:linePitch="326"/>
        </w:sectPr>
      </w:pPr>
    </w:p>
    <w:p>
      <w:pPr>
        <w:pStyle w:val="yScheduleHeading"/>
      </w:pPr>
      <w:bookmarkStart w:id="85" w:name="_Toc201915733"/>
      <w:bookmarkStart w:id="86" w:name="_Toc201916254"/>
      <w:bookmarkStart w:id="87" w:name="_Toc201918861"/>
      <w:r>
        <w:rPr>
          <w:rStyle w:val="CharSchNo"/>
        </w:rPr>
        <w:lastRenderedPageBreak/>
        <w:t>Schedule 3</w:t>
      </w:r>
      <w:bookmarkEnd w:id="85"/>
      <w:bookmarkEnd w:id="86"/>
      <w:bookmarkEnd w:id="87"/>
    </w:p>
    <w:p>
      <w:pPr>
        <w:pStyle w:val="yShoulderClause"/>
        <w:spacing w:before="0"/>
        <w:rPr>
          <w:snapToGrid w:val="0"/>
        </w:rPr>
      </w:pPr>
      <w:r>
        <w:rPr>
          <w:snapToGrid w:val="0"/>
        </w:rPr>
        <w:t>[By</w:t>
      </w:r>
      <w:r>
        <w:rPr>
          <w:snapToGrid w:val="0"/>
        </w:rPr>
        <w:noBreakHyphen/>
        <w:t>law 30]</w:t>
      </w:r>
    </w:p>
    <w:p>
      <w:pPr>
        <w:pStyle w:val="yScheduleHeading"/>
        <w:pageBreakBefore w:val="0"/>
        <w:spacing w:before="120"/>
        <w:rPr>
          <w:bCs/>
        </w:rPr>
      </w:pPr>
      <w:bookmarkStart w:id="88" w:name="_Toc201915734"/>
      <w:bookmarkStart w:id="89" w:name="_Toc201916255"/>
      <w:bookmarkStart w:id="90" w:name="_Toc201918862"/>
      <w:r>
        <w:rPr>
          <w:rStyle w:val="CharSchText"/>
        </w:rPr>
        <w:t>Forms</w:t>
      </w:r>
      <w:bookmarkEnd w:id="88"/>
      <w:bookmarkEnd w:id="89"/>
      <w:bookmarkEnd w:id="90"/>
    </w:p>
    <w:p>
      <w:pPr>
        <w:pStyle w:val="yTable"/>
        <w:spacing w:before="240"/>
        <w:jc w:val="center"/>
      </w:pPr>
      <w:r>
        <w:rPr>
          <w:rStyle w:val="CharSClsNo"/>
          <w:b/>
        </w:rPr>
        <w:t>Form 1</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tabs>
          <w:tab w:val="left" w:pos="4536"/>
        </w:tabs>
        <w:spacing w:before="240"/>
        <w:rPr>
          <w:snapToGrid w:val="0"/>
        </w:rPr>
      </w:pPr>
      <w:r>
        <w:rPr>
          <w:snapToGrid w:val="0"/>
        </w:rPr>
        <w:tab/>
        <w:t>(By</w:t>
      </w:r>
      <w:r>
        <w:rPr>
          <w:snapToGrid w:val="0"/>
        </w:rPr>
        <w:noBreakHyphen/>
        <w:t>law ..............................)</w:t>
      </w:r>
    </w:p>
    <w:p>
      <w:pPr>
        <w:pStyle w:val="yTable"/>
        <w:jc w:val="center"/>
        <w:rPr>
          <w:b/>
          <w:snapToGrid w:val="0"/>
        </w:rPr>
      </w:pPr>
      <w:r>
        <w:rPr>
          <w:b/>
          <w:snapToGrid w:val="0"/>
        </w:rPr>
        <w:t>INFRINGEMENT NOTICE (PART II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w:t>
      </w:r>
    </w:p>
    <w:p>
      <w:pPr>
        <w:pStyle w:val="yTable"/>
        <w:spacing w:before="240"/>
        <w:rPr>
          <w:snapToGrid w:val="0"/>
        </w:rPr>
      </w:pPr>
      <w:r>
        <w:rPr>
          <w:snapToGrid w:val="0"/>
        </w:rPr>
        <w:t>It is alleged that at about ...................... a.m./p.m. on the ............................ day of .................................. 20 ................ you contravened the by</w:t>
      </w:r>
      <w:r>
        <w:rPr>
          <w:snapToGrid w:val="0"/>
        </w:rPr>
        <w:noBreakHyphen/>
        <w:t>law specified and briefly described hereunder.</w:t>
      </w:r>
    </w:p>
    <w:p>
      <w:pPr>
        <w:pStyle w:val="yTable"/>
        <w:tabs>
          <w:tab w:val="left" w:pos="3119"/>
        </w:tabs>
        <w:rPr>
          <w:snapToGrid w:val="0"/>
        </w:rPr>
      </w:pPr>
      <w:r>
        <w:rPr>
          <w:snapToGrid w:val="0"/>
        </w:rPr>
        <w:tab/>
        <w:t>Authorised person .........................................</w:t>
      </w:r>
    </w:p>
    <w:p>
      <w:pPr>
        <w:pStyle w:val="yTable"/>
        <w:tabs>
          <w:tab w:val="left" w:pos="2268"/>
          <w:tab w:val="left" w:pos="5387"/>
        </w:tabs>
        <w:rPr>
          <w:snapToGrid w:val="0"/>
        </w:rPr>
      </w:pPr>
      <w:r>
        <w:rPr>
          <w:snapToGrid w:val="0"/>
        </w:rPr>
        <w:t>By</w:t>
      </w:r>
      <w:r>
        <w:rPr>
          <w:snapToGrid w:val="0"/>
        </w:rPr>
        <w:noBreakHyphen/>
        <w:t>law No.</w:t>
      </w:r>
      <w:r>
        <w:rPr>
          <w:snapToGrid w:val="0"/>
        </w:rPr>
        <w:tab/>
        <w:t>Brief description offence</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ind w:left="1134" w:hanging="1134"/>
        <w:rPr>
          <w:snapToGrid w:val="0"/>
        </w:rPr>
      </w:pPr>
      <w:r>
        <w:rPr>
          <w:snapToGrid w:val="0"/>
        </w:rPr>
        <w:tab/>
        <w:t>(b)</w:t>
      </w:r>
      <w:r>
        <w:rPr>
          <w:snapToGrid w:val="0"/>
        </w:rPr>
        <w:tab/>
        <w:t>by having it dealt with by a court.</w:t>
      </w:r>
    </w:p>
    <w:p>
      <w:pPr>
        <w:pStyle w:val="yTable"/>
        <w:rPr>
          <w:snapToGrid w:val="0"/>
        </w:rPr>
      </w:pPr>
      <w:r>
        <w:rPr>
          <w:snapToGrid w:val="0"/>
        </w:rPr>
        <w:t>If the modified penalty is not paid within          days, or such further time as the delegate allows, court proceedings may be taken against you.</w:t>
      </w:r>
    </w:p>
    <w:p>
      <w:pPr>
        <w:pStyle w:val="yTable"/>
        <w:rPr>
          <w:snapToGrid w:val="0"/>
        </w:rPr>
      </w:pPr>
      <w:r>
        <w:rPr>
          <w:snapToGrid w:val="0"/>
        </w:rPr>
        <w:t>I, (Name) ........................................................................................................... of (Address) ................................................................................................................</w:t>
      </w:r>
    </w:p>
    <w:p>
      <w:pPr>
        <w:pStyle w:val="yTable"/>
        <w:spacing w:before="0"/>
        <w:jc w:val="center"/>
        <w:rPr>
          <w:snapToGrid w:val="0"/>
        </w:rPr>
      </w:pPr>
      <w:r>
        <w:rPr>
          <w:snapToGrid w:val="0"/>
        </w:rPr>
        <w:t>(Number and street)</w:t>
      </w:r>
    </w:p>
    <w:p>
      <w:pPr>
        <w:pStyle w:val="yTable"/>
        <w:keepNext/>
        <w:rPr>
          <w:snapToGrid w:val="0"/>
        </w:rPr>
      </w:pPr>
      <w:r>
        <w:rPr>
          <w:snapToGrid w:val="0"/>
        </w:rPr>
        <w:t>................................................................................................................................</w:t>
      </w:r>
    </w:p>
    <w:p>
      <w:pPr>
        <w:pStyle w:val="yTable"/>
        <w:tabs>
          <w:tab w:val="left" w:pos="1134"/>
          <w:tab w:val="left" w:pos="5103"/>
        </w:tabs>
        <w:spacing w:before="0"/>
        <w:rPr>
          <w:snapToGrid w:val="0"/>
        </w:rPr>
      </w:pPr>
      <w:r>
        <w:rPr>
          <w:snapToGrid w:val="0"/>
        </w:rPr>
        <w:tab/>
        <w:t>(Town or suburb)</w:t>
      </w:r>
      <w:r>
        <w:rPr>
          <w:snapToGrid w:val="0"/>
        </w:rPr>
        <w:tab/>
        <w:t xml:space="preserve">(Postcode) </w:t>
      </w:r>
    </w:p>
    <w:p>
      <w:pPr>
        <w:pStyle w:val="yTable"/>
        <w:rPr>
          <w:snapToGrid w:val="0"/>
        </w:rPr>
      </w:pPr>
      <w:r>
        <w:rPr>
          <w:snapToGrid w:val="0"/>
        </w:rPr>
        <w:t>admit contravening the by</w:t>
      </w:r>
      <w:r>
        <w:rPr>
          <w:snapToGrid w:val="0"/>
        </w:rPr>
        <w:noBreakHyphen/>
        <w:t>law indicated in this form.</w:t>
      </w:r>
    </w:p>
    <w:p>
      <w:pPr>
        <w:pStyle w:val="yTable"/>
        <w:tabs>
          <w:tab w:val="left" w:pos="4536"/>
        </w:tabs>
        <w:rPr>
          <w:snapToGrid w:val="0"/>
        </w:rPr>
      </w:pPr>
      <w:r>
        <w:rPr>
          <w:snapToGrid w:val="0"/>
        </w:rPr>
        <w:tab/>
        <w:t>..............................................</w:t>
      </w:r>
    </w:p>
    <w:p>
      <w:pPr>
        <w:pStyle w:val="yTable"/>
        <w:tabs>
          <w:tab w:val="left" w:pos="4820"/>
        </w:tabs>
        <w:spacing w:before="0"/>
        <w:rPr>
          <w:snapToGrid w:val="0"/>
        </w:rPr>
      </w:pPr>
      <w:r>
        <w:rPr>
          <w:snapToGrid w:val="0"/>
        </w:rPr>
        <w:tab/>
        <w:t>(Signature of offender).</w:t>
      </w:r>
    </w:p>
    <w:p>
      <w:pPr>
        <w:pStyle w:val="yTable"/>
        <w:pageBreakBefore/>
        <w:spacing w:before="240"/>
        <w:jc w:val="center"/>
      </w:pPr>
      <w:r>
        <w:rPr>
          <w:rStyle w:val="CharSClsNo"/>
          <w:b/>
        </w:rPr>
        <w:lastRenderedPageBreak/>
        <w:t>Form 2</w:t>
      </w:r>
    </w:p>
    <w:p>
      <w:pPr>
        <w:pStyle w:val="yTable"/>
        <w:jc w:val="center"/>
        <w:rPr>
          <w:i/>
          <w:snapToGrid w:val="0"/>
        </w:rPr>
      </w:pPr>
      <w:r>
        <w:rPr>
          <w:i/>
          <w:snapToGrid w:val="0"/>
        </w:rPr>
        <w:t>Queen Elizabeth II Medical Centre Act 1966</w:t>
      </w:r>
    </w:p>
    <w:p>
      <w:pPr>
        <w:pStyle w:val="yTable"/>
        <w:jc w:val="center"/>
        <w:rPr>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30)</w:t>
      </w:r>
    </w:p>
    <w:p>
      <w:pPr>
        <w:pStyle w:val="yTable"/>
        <w:jc w:val="center"/>
        <w:rPr>
          <w:b/>
          <w:snapToGrid w:val="0"/>
        </w:rPr>
      </w:pPr>
      <w:r>
        <w:rPr>
          <w:b/>
          <w:snapToGrid w:val="0"/>
        </w:rPr>
        <w:t>INFRINGEMENT NOTICE (PARTS III AND IV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 / ....... / ......</w:t>
      </w:r>
    </w:p>
    <w:p>
      <w:pPr>
        <w:pStyle w:val="yTable"/>
        <w:rPr>
          <w:snapToGrid w:val="0"/>
        </w:rPr>
      </w:pPr>
      <w:r>
        <w:rPr>
          <w:snapToGrid w:val="0"/>
        </w:rPr>
        <w:t xml:space="preserve">To the </w:t>
      </w:r>
      <w:r>
        <w:rPr>
          <w:szCs w:val="22"/>
        </w:rPr>
        <w:t>responsible person for/</w:t>
      </w:r>
      <w:r>
        <w:rPr>
          <w:snapToGrid w:val="0"/>
        </w:rPr>
        <w:t>driver/person in charge of motor vehicle make ............................... type ........................................................................................................................</w:t>
      </w:r>
    </w:p>
    <w:p>
      <w:pPr>
        <w:pStyle w:val="yTable"/>
        <w:rPr>
          <w:snapToGrid w:val="0"/>
        </w:rPr>
      </w:pPr>
      <w:r>
        <w:rPr>
          <w:snapToGrid w:val="0"/>
        </w:rPr>
        <w:t>Plate No ........................... C/R ......................... or bicycle make .........................</w:t>
      </w:r>
    </w:p>
    <w:p>
      <w:pPr>
        <w:pStyle w:val="yTable"/>
        <w:rPr>
          <w:snapToGrid w:val="0"/>
        </w:rPr>
      </w:pPr>
      <w:r>
        <w:rPr>
          <w:snapToGrid w:val="0"/>
        </w:rPr>
        <w:t>It is alleged that at about ..................... a.m./p.m. on the .............................. day of .............................. 20 ........... you contravened the by</w:t>
      </w:r>
      <w:r>
        <w:rPr>
          <w:snapToGrid w:val="0"/>
        </w:rPr>
        <w:noBreakHyphen/>
        <w:t>law specified and briefly described hereunder.</w:t>
      </w:r>
    </w:p>
    <w:p>
      <w:pPr>
        <w:pStyle w:val="yTable"/>
        <w:jc w:val="right"/>
        <w:rPr>
          <w:snapToGrid w:val="0"/>
        </w:rPr>
      </w:pPr>
      <w:r>
        <w:rPr>
          <w:snapToGrid w:val="0"/>
        </w:rPr>
        <w:t>Authorised person ...............................................</w:t>
      </w:r>
    </w:p>
    <w:p>
      <w:pPr>
        <w:pStyle w:val="yTable"/>
        <w:tabs>
          <w:tab w:val="left" w:pos="1701"/>
          <w:tab w:val="left" w:pos="5103"/>
        </w:tabs>
        <w:rPr>
          <w:snapToGrid w:val="0"/>
        </w:rPr>
      </w:pPr>
      <w:r>
        <w:rPr>
          <w:snapToGrid w:val="0"/>
        </w:rPr>
        <w:t>By</w:t>
      </w:r>
      <w:r>
        <w:rPr>
          <w:snapToGrid w:val="0"/>
        </w:rPr>
        <w:noBreakHyphen/>
        <w:t>law No.</w:t>
      </w:r>
      <w:r>
        <w:rPr>
          <w:snapToGrid w:val="0"/>
        </w:rPr>
        <w:tab/>
        <w:t xml:space="preserve">Brief description of offence </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rPr>
          <w:snapToGrid w:val="0"/>
        </w:rPr>
      </w:pPr>
      <w:r>
        <w:rPr>
          <w:snapToGrid w:val="0"/>
        </w:rPr>
        <w:tab/>
        <w:t>(b)</w:t>
      </w:r>
      <w:r>
        <w:rPr>
          <w:snapToGrid w:val="0"/>
        </w:rPr>
        <w:tab/>
        <w:t>by having it dealt with by a court.</w:t>
      </w:r>
    </w:p>
    <w:p>
      <w:pPr>
        <w:pStyle w:val="yTable"/>
        <w:keepNext/>
        <w:keepLines/>
        <w:rPr>
          <w:snapToGrid w:val="0"/>
        </w:rPr>
      </w:pPr>
      <w:r>
        <w:rPr>
          <w:snapToGrid w:val="0"/>
        </w:rPr>
        <w:t>If the modified penalty is not paid within           days, or such further time as the delegate allows, court proceedings may be taken against you.</w:t>
      </w:r>
    </w:p>
    <w:p>
      <w:pPr>
        <w:pStyle w:val="yTable"/>
        <w:spacing w:before="240"/>
        <w:rPr>
          <w:snapToGrid w:val="0"/>
        </w:rPr>
      </w:pPr>
      <w:r>
        <w:rPr>
          <w:snapToGrid w:val="0"/>
        </w:rPr>
        <w:t>I, (Name) ........................................................................................................... of (Address) ................................................................................................................</w:t>
      </w:r>
    </w:p>
    <w:p>
      <w:pPr>
        <w:pStyle w:val="yTable"/>
        <w:spacing w:before="0"/>
        <w:jc w:val="center"/>
        <w:rPr>
          <w:snapToGrid w:val="0"/>
        </w:rPr>
      </w:pPr>
      <w:r>
        <w:rPr>
          <w:snapToGrid w:val="0"/>
        </w:rPr>
        <w:t>(Number and street)</w:t>
      </w:r>
    </w:p>
    <w:p>
      <w:pPr>
        <w:pStyle w:val="yTable"/>
        <w:rPr>
          <w:snapToGrid w:val="0"/>
        </w:rPr>
      </w:pPr>
      <w:r>
        <w:rPr>
          <w:snapToGrid w:val="0"/>
        </w:rPr>
        <w:t>................................................................................................................................</w:t>
      </w:r>
    </w:p>
    <w:p>
      <w:pPr>
        <w:pStyle w:val="yTable"/>
        <w:tabs>
          <w:tab w:val="left" w:pos="851"/>
          <w:tab w:val="left" w:pos="5103"/>
        </w:tabs>
        <w:spacing w:before="0"/>
        <w:rPr>
          <w:snapToGrid w:val="0"/>
        </w:rPr>
      </w:pPr>
      <w:r>
        <w:rPr>
          <w:snapToGrid w:val="0"/>
        </w:rPr>
        <w:tab/>
        <w:t>(Town or suburb)</w:t>
      </w:r>
      <w:r>
        <w:rPr>
          <w:snapToGrid w:val="0"/>
        </w:rPr>
        <w:tab/>
        <w:t>(Postcode)</w:t>
      </w:r>
    </w:p>
    <w:p>
      <w:pPr>
        <w:pStyle w:val="yTable"/>
        <w:rPr>
          <w:snapToGrid w:val="0"/>
        </w:rPr>
      </w:pPr>
      <w:r>
        <w:rPr>
          <w:snapToGrid w:val="0"/>
        </w:rPr>
        <w:t>admit contravening the by</w:t>
      </w:r>
      <w:r>
        <w:rPr>
          <w:snapToGrid w:val="0"/>
        </w:rPr>
        <w:noBreakHyphen/>
        <w:t>law indicated in this form.</w:t>
      </w:r>
    </w:p>
    <w:p>
      <w:pPr>
        <w:pStyle w:val="yTable"/>
        <w:jc w:val="right"/>
        <w:rPr>
          <w:snapToGrid w:val="0"/>
        </w:rPr>
      </w:pPr>
      <w:r>
        <w:rPr>
          <w:snapToGrid w:val="0"/>
        </w:rPr>
        <w:t>......................................................................</w:t>
      </w:r>
    </w:p>
    <w:p>
      <w:pPr>
        <w:pStyle w:val="yTable"/>
        <w:tabs>
          <w:tab w:val="left" w:pos="4820"/>
        </w:tabs>
        <w:spacing w:before="0"/>
        <w:rPr>
          <w:snapToGrid w:val="0"/>
        </w:rPr>
      </w:pPr>
      <w:r>
        <w:rPr>
          <w:snapToGrid w:val="0"/>
        </w:rPr>
        <w:tab/>
        <w:t>(Signature of offender).</w:t>
      </w:r>
    </w:p>
    <w:p>
      <w:pPr>
        <w:pStyle w:val="yFootnotesection"/>
      </w:pPr>
      <w:r>
        <w:tab/>
        <w:t xml:space="preserve">[Form 2 amended: Gazette 9 Dec 1988 p. 4822; 29 Jun 2001 p. 3114; 10 Feb 2015 p. 620.] </w:t>
      </w:r>
    </w:p>
    <w:p>
      <w:pPr>
        <w:pStyle w:val="yTable"/>
        <w:pageBreakBefore/>
        <w:jc w:val="center"/>
      </w:pPr>
      <w:r>
        <w:rPr>
          <w:rStyle w:val="CharSClsNo"/>
          <w:b/>
        </w:rPr>
        <w:lastRenderedPageBreak/>
        <w:t>Form 3</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32)</w:t>
      </w:r>
    </w:p>
    <w:p>
      <w:pPr>
        <w:pStyle w:val="yTable"/>
        <w:jc w:val="center"/>
        <w:rPr>
          <w:b/>
          <w:snapToGrid w:val="0"/>
        </w:rPr>
      </w:pPr>
      <w:r>
        <w:rPr>
          <w:b/>
          <w:snapToGrid w:val="0"/>
        </w:rPr>
        <w:t>WITHDRAWAL OF INFRINGEMENT NOTICE</w:t>
      </w:r>
    </w:p>
    <w:p>
      <w:pPr>
        <w:pStyle w:val="yTable"/>
        <w:jc w:val="right"/>
        <w:rPr>
          <w:snapToGrid w:val="0"/>
        </w:rPr>
      </w:pPr>
      <w:r>
        <w:rPr>
          <w:snapToGrid w:val="0"/>
        </w:rPr>
        <w:t>No. ...... / ..... / .....</w:t>
      </w:r>
    </w:p>
    <w:p>
      <w:pPr>
        <w:pStyle w:val="yTable"/>
        <w:spacing w:before="0"/>
        <w:jc w:val="right"/>
        <w:rPr>
          <w:snapToGrid w:val="0"/>
        </w:rPr>
      </w:pPr>
      <w:r>
        <w:rPr>
          <w:snapToGrid w:val="0"/>
        </w:rPr>
        <w:t>Date of service ........................................</w:t>
      </w:r>
    </w:p>
    <w:p>
      <w:pPr>
        <w:pStyle w:val="yTable"/>
        <w:rPr>
          <w:snapToGrid w:val="0"/>
        </w:rPr>
      </w:pPr>
      <w:r>
        <w:rPr>
          <w:snapToGrid w:val="0"/>
        </w:rPr>
        <w:t>To ........................................................... of ...........................................................</w:t>
      </w:r>
    </w:p>
    <w:p>
      <w:pPr>
        <w:pStyle w:val="yTable"/>
        <w:tabs>
          <w:tab w:val="left" w:pos="709"/>
          <w:tab w:val="left" w:pos="4536"/>
        </w:tabs>
        <w:spacing w:before="0"/>
        <w:rPr>
          <w:snapToGrid w:val="0"/>
        </w:rPr>
      </w:pPr>
      <w:r>
        <w:rPr>
          <w:snapToGrid w:val="0"/>
        </w:rPr>
        <w:tab/>
        <w:t>(Name)</w:t>
      </w:r>
      <w:r>
        <w:rPr>
          <w:snapToGrid w:val="0"/>
        </w:rPr>
        <w:tab/>
        <w:t xml:space="preserve">(Address) </w:t>
      </w:r>
    </w:p>
    <w:p>
      <w:pPr>
        <w:pStyle w:val="yTable"/>
        <w:rPr>
          <w:snapToGrid w:val="0"/>
        </w:rPr>
      </w:pPr>
      <w:r>
        <w:rPr>
          <w:snapToGrid w:val="0"/>
        </w:rPr>
        <w:t>Infringement notice No. .................. served on you on the ............................. day of ................................ 20 .......... for the alleged offence of ..................................</w:t>
      </w:r>
    </w:p>
    <w:p>
      <w:pPr>
        <w:pStyle w:val="yTable"/>
        <w:spacing w:before="0"/>
        <w:rPr>
          <w:snapToGrid w:val="0"/>
        </w:rPr>
      </w:pPr>
      <w:r>
        <w:rPr>
          <w:snapToGrid w:val="0"/>
        </w:rPr>
        <w:t>................................................................................ is hereby withdrawn and no further action will be taken against you in respect of the alleged offence.</w:t>
      </w:r>
    </w:p>
    <w:p>
      <w:pPr>
        <w:pStyle w:val="yTable"/>
        <w:spacing w:before="0"/>
        <w:jc w:val="right"/>
        <w:rPr>
          <w:snapToGrid w:val="0"/>
        </w:rPr>
      </w:pPr>
      <w:r>
        <w:rPr>
          <w:snapToGrid w:val="0"/>
        </w:rPr>
        <w:t>......................................................................</w:t>
      </w:r>
    </w:p>
    <w:p>
      <w:pPr>
        <w:pStyle w:val="yTable"/>
        <w:spacing w:before="0"/>
        <w:jc w:val="right"/>
        <w:rPr>
          <w:snapToGrid w:val="0"/>
        </w:rPr>
      </w:pPr>
      <w:r>
        <w:rPr>
          <w:snapToGrid w:val="0"/>
        </w:rPr>
        <w:t>Authorised person.</w:t>
      </w:r>
    </w:p>
    <w:p>
      <w:pPr>
        <w:pStyle w:val="yFootnotesection"/>
      </w:pPr>
      <w:r>
        <w:tab/>
        <w:t xml:space="preserve">[Form 3 amended: Gazette 9 Dec 1988 p. 4822.]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81" w:right="2409" w:bottom="3543" w:left="2409" w:header="720" w:footer="3544" w:gutter="0"/>
          <w:cols w:space="720"/>
          <w:noEndnote/>
          <w:docGrid w:linePitch="326"/>
        </w:sectPr>
      </w:pPr>
    </w:p>
    <w:p>
      <w:pPr>
        <w:pStyle w:val="nHeading2"/>
      </w:pPr>
      <w:bookmarkStart w:id="91" w:name="_Toc201915735"/>
      <w:bookmarkStart w:id="92" w:name="_Toc201916256"/>
      <w:bookmarkStart w:id="93" w:name="_Toc201918863"/>
      <w:r>
        <w:lastRenderedPageBreak/>
        <w:t>Notes</w:t>
      </w:r>
      <w:bookmarkEnd w:id="91"/>
      <w:bookmarkEnd w:id="92"/>
      <w:bookmarkEnd w:id="93"/>
    </w:p>
    <w:p>
      <w:pPr>
        <w:pStyle w:val="nStatement"/>
      </w:pPr>
      <w:r>
        <w:t xml:space="preserve">This is a compilation of the </w:t>
      </w:r>
      <w:r>
        <w:rPr>
          <w:i/>
          <w:noProof/>
        </w:rPr>
        <w:t>Queen Elizabeth II Medical Centre (Delegated Site) By</w:t>
      </w:r>
      <w:r>
        <w:rPr>
          <w:i/>
          <w:noProof/>
        </w:rPr>
        <w:noBreakHyphen/>
        <w:t>laws 1986</w:t>
      </w:r>
      <w:r>
        <w:t xml:space="preserve"> and includes amendments made by other written laws </w:t>
      </w:r>
      <w:r>
        <w:rPr>
          <w:vertAlign w:val="superscript"/>
        </w:rPr>
        <w:t>2</w:t>
      </w:r>
      <w:r>
        <w:t>. For provisions that have come into operation, and for information about any reprints, see the compilation table. For provisions that have not yet come into operation see the uncommenced provisions table.</w:t>
      </w:r>
    </w:p>
    <w:p>
      <w:pPr>
        <w:pStyle w:val="nHeading3"/>
      </w:pPr>
      <w:bookmarkStart w:id="94" w:name="_Toc201918864"/>
      <w:r>
        <w:t>Compilation table</w:t>
      </w:r>
      <w:bookmarkEnd w:id="94"/>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70"/>
            </w:pPr>
            <w:r>
              <w:rPr>
                <w:i/>
              </w:rPr>
              <w:t>Queen Elizabeth II Medical Centre (Delegated Site) By</w:t>
            </w:r>
            <w:r>
              <w:rPr>
                <w:i/>
              </w:rPr>
              <w:noBreakHyphen/>
              <w:t>laws 1986</w:t>
            </w:r>
          </w:p>
        </w:tc>
        <w:tc>
          <w:tcPr>
            <w:tcW w:w="1276" w:type="dxa"/>
          </w:tcPr>
          <w:p>
            <w:pPr>
              <w:pStyle w:val="nTable"/>
              <w:spacing w:after="40"/>
            </w:pPr>
            <w:r>
              <w:t>24 Oct 1986 p. 3947</w:t>
            </w:r>
            <w:r>
              <w:noBreakHyphen/>
              <w:t>54</w:t>
            </w:r>
          </w:p>
        </w:tc>
        <w:tc>
          <w:tcPr>
            <w:tcW w:w="2693" w:type="dxa"/>
          </w:tcPr>
          <w:p>
            <w:pPr>
              <w:pStyle w:val="nTable"/>
              <w:spacing w:after="40"/>
            </w:pPr>
            <w:r>
              <w:t xml:space="preserve">1 Nov 1986 (see bl. 2 and </w:t>
            </w:r>
            <w:r>
              <w:rPr>
                <w:i/>
              </w:rPr>
              <w:t>Gazette</w:t>
            </w:r>
            <w:r>
              <w:t xml:space="preserve"> 24 Oct 1986 p. 3938)</w:t>
            </w:r>
          </w:p>
        </w:tc>
      </w:tr>
      <w:tr>
        <w:trPr>
          <w:cantSplit/>
        </w:trPr>
        <w:tc>
          <w:tcPr>
            <w:tcW w:w="3118" w:type="dxa"/>
          </w:tcPr>
          <w:p>
            <w:pPr>
              <w:pStyle w:val="nTable"/>
              <w:spacing w:after="40"/>
              <w:ind w:right="170"/>
            </w:pPr>
            <w:r>
              <w:rPr>
                <w:i/>
              </w:rPr>
              <w:t>Queen Elizabeth II Medical Centre (Delegated Site) Amendment By</w:t>
            </w:r>
            <w:r>
              <w:rPr>
                <w:i/>
              </w:rPr>
              <w:noBreakHyphen/>
              <w:t>laws 1988</w:t>
            </w:r>
          </w:p>
        </w:tc>
        <w:tc>
          <w:tcPr>
            <w:tcW w:w="1276" w:type="dxa"/>
          </w:tcPr>
          <w:p>
            <w:pPr>
              <w:pStyle w:val="nTable"/>
              <w:spacing w:after="40"/>
            </w:pPr>
            <w:r>
              <w:t>9 Dec 1988 p. 4820</w:t>
            </w:r>
            <w:r>
              <w:noBreakHyphen/>
              <w:t>2</w:t>
            </w:r>
          </w:p>
        </w:tc>
        <w:tc>
          <w:tcPr>
            <w:tcW w:w="2693" w:type="dxa"/>
          </w:tcPr>
          <w:p>
            <w:pPr>
              <w:pStyle w:val="nTable"/>
              <w:spacing w:after="40"/>
            </w:pPr>
            <w:r>
              <w:t>9 Dec 1988</w:t>
            </w:r>
          </w:p>
        </w:tc>
      </w:tr>
      <w:tr>
        <w:trPr>
          <w:cantSplit/>
        </w:trPr>
        <w:tc>
          <w:tcPr>
            <w:tcW w:w="3118" w:type="dxa"/>
          </w:tcPr>
          <w:p>
            <w:pPr>
              <w:pStyle w:val="nTable"/>
              <w:spacing w:after="40"/>
              <w:ind w:right="170"/>
            </w:pPr>
            <w:r>
              <w:rPr>
                <w:i/>
              </w:rPr>
              <w:t>Queen Elizabeth II Medical Centre (Delegated Site) Amendment By</w:t>
            </w:r>
            <w:r>
              <w:rPr>
                <w:i/>
              </w:rPr>
              <w:noBreakHyphen/>
              <w:t>laws 1991</w:t>
            </w:r>
          </w:p>
        </w:tc>
        <w:tc>
          <w:tcPr>
            <w:tcW w:w="1276" w:type="dxa"/>
          </w:tcPr>
          <w:p>
            <w:pPr>
              <w:pStyle w:val="nTable"/>
              <w:spacing w:after="40"/>
            </w:pPr>
            <w:r>
              <w:t>22 Feb 1991 p. 881</w:t>
            </w:r>
            <w:r>
              <w:noBreakHyphen/>
              <w:t>2</w:t>
            </w:r>
          </w:p>
        </w:tc>
        <w:tc>
          <w:tcPr>
            <w:tcW w:w="2693" w:type="dxa"/>
          </w:tcPr>
          <w:p>
            <w:pPr>
              <w:pStyle w:val="nTable"/>
              <w:spacing w:after="40"/>
            </w:pPr>
            <w:r>
              <w:t>1 Mar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1991</w:t>
            </w:r>
          </w:p>
        </w:tc>
        <w:tc>
          <w:tcPr>
            <w:tcW w:w="1276" w:type="dxa"/>
          </w:tcPr>
          <w:p>
            <w:pPr>
              <w:pStyle w:val="nTable"/>
              <w:spacing w:after="40"/>
            </w:pPr>
            <w:r>
              <w:t>28 Jun 1991 p. 3145</w:t>
            </w:r>
            <w:r>
              <w:noBreakHyphen/>
              <w:t>6</w:t>
            </w:r>
          </w:p>
        </w:tc>
        <w:tc>
          <w:tcPr>
            <w:tcW w:w="2693" w:type="dxa"/>
          </w:tcPr>
          <w:p>
            <w:pPr>
              <w:pStyle w:val="nTable"/>
              <w:spacing w:after="40"/>
            </w:pPr>
            <w:r>
              <w:t>1 Jul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3) 1991</w:t>
            </w:r>
          </w:p>
        </w:tc>
        <w:tc>
          <w:tcPr>
            <w:tcW w:w="1276" w:type="dxa"/>
          </w:tcPr>
          <w:p>
            <w:pPr>
              <w:pStyle w:val="nTable"/>
              <w:spacing w:after="40"/>
            </w:pPr>
            <w:r>
              <w:t>24 Dec 1991 p. 6433</w:t>
            </w:r>
            <w:r>
              <w:noBreakHyphen/>
              <w:t>4</w:t>
            </w:r>
          </w:p>
        </w:tc>
        <w:tc>
          <w:tcPr>
            <w:tcW w:w="2693" w:type="dxa"/>
          </w:tcPr>
          <w:p>
            <w:pPr>
              <w:pStyle w:val="nTable"/>
              <w:spacing w:after="40"/>
            </w:pPr>
            <w:r>
              <w:t>1 Jan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1992</w:t>
            </w:r>
          </w:p>
        </w:tc>
        <w:tc>
          <w:tcPr>
            <w:tcW w:w="1276" w:type="dxa"/>
          </w:tcPr>
          <w:p>
            <w:pPr>
              <w:pStyle w:val="nTable"/>
              <w:spacing w:after="40"/>
            </w:pPr>
            <w:r>
              <w:t>26 Jun 1992 p. 2693</w:t>
            </w:r>
          </w:p>
        </w:tc>
        <w:tc>
          <w:tcPr>
            <w:tcW w:w="2693" w:type="dxa"/>
          </w:tcPr>
          <w:p>
            <w:pPr>
              <w:pStyle w:val="nTable"/>
              <w:spacing w:after="40"/>
            </w:pPr>
            <w:r>
              <w:t>1 Jul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1992</w:t>
            </w:r>
          </w:p>
        </w:tc>
        <w:tc>
          <w:tcPr>
            <w:tcW w:w="1276" w:type="dxa"/>
          </w:tcPr>
          <w:p>
            <w:pPr>
              <w:pStyle w:val="nTable"/>
              <w:spacing w:after="40"/>
            </w:pPr>
            <w:r>
              <w:t>15 Dec 1992 p. 6028</w:t>
            </w:r>
            <w:r>
              <w:noBreakHyphen/>
              <w:t>9</w:t>
            </w:r>
          </w:p>
        </w:tc>
        <w:tc>
          <w:tcPr>
            <w:tcW w:w="2693" w:type="dxa"/>
          </w:tcPr>
          <w:p>
            <w:pPr>
              <w:pStyle w:val="nTable"/>
              <w:spacing w:after="40"/>
            </w:pPr>
            <w:r>
              <w:t>1 Jan 1993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1995</w:t>
            </w:r>
          </w:p>
        </w:tc>
        <w:tc>
          <w:tcPr>
            <w:tcW w:w="1276" w:type="dxa"/>
          </w:tcPr>
          <w:p>
            <w:pPr>
              <w:pStyle w:val="nTable"/>
              <w:spacing w:after="40"/>
            </w:pPr>
            <w:r>
              <w:t>22 Aug 1995 p. 3802</w:t>
            </w:r>
            <w:r>
              <w:noBreakHyphen/>
              <w:t>3</w:t>
            </w:r>
          </w:p>
        </w:tc>
        <w:tc>
          <w:tcPr>
            <w:tcW w:w="2693" w:type="dxa"/>
          </w:tcPr>
          <w:p>
            <w:pPr>
              <w:pStyle w:val="nTable"/>
              <w:spacing w:after="40"/>
            </w:pPr>
            <w:r>
              <w:t>22 Aug 1995</w:t>
            </w:r>
          </w:p>
        </w:tc>
      </w:tr>
      <w:tr>
        <w:trPr>
          <w:cantSplit/>
        </w:trPr>
        <w:tc>
          <w:tcPr>
            <w:tcW w:w="3118" w:type="dxa"/>
          </w:tcPr>
          <w:p>
            <w:pPr>
              <w:pStyle w:val="nTable"/>
              <w:spacing w:after="40"/>
              <w:ind w:right="170"/>
            </w:pPr>
            <w:r>
              <w:rPr>
                <w:i/>
              </w:rPr>
              <w:t>Queen Elizabeth II Medical Centre (Delegated Site) Amendment By</w:t>
            </w:r>
            <w:r>
              <w:rPr>
                <w:i/>
              </w:rPr>
              <w:noBreakHyphen/>
              <w:t>laws 1996</w:t>
            </w:r>
          </w:p>
        </w:tc>
        <w:tc>
          <w:tcPr>
            <w:tcW w:w="1276" w:type="dxa"/>
          </w:tcPr>
          <w:p>
            <w:pPr>
              <w:pStyle w:val="nTable"/>
              <w:keepLines/>
              <w:spacing w:after="40"/>
            </w:pPr>
            <w:r>
              <w:t>28 Jun 1996 p. 3019</w:t>
            </w:r>
            <w:r>
              <w:noBreakHyphen/>
              <w:t>20</w:t>
            </w:r>
          </w:p>
        </w:tc>
        <w:tc>
          <w:tcPr>
            <w:tcW w:w="2693" w:type="dxa"/>
          </w:tcPr>
          <w:p>
            <w:pPr>
              <w:pStyle w:val="nTable"/>
              <w:keepLines/>
              <w:spacing w:after="40"/>
            </w:pPr>
            <w:r>
              <w:t>28 Jun 1996</w:t>
            </w:r>
          </w:p>
        </w:tc>
      </w:tr>
      <w:tr>
        <w:trPr>
          <w:cantSplit/>
        </w:trPr>
        <w:tc>
          <w:tcPr>
            <w:tcW w:w="7087" w:type="dxa"/>
            <w:gridSpan w:val="3"/>
          </w:tcPr>
          <w:p>
            <w:pPr>
              <w:pStyle w:val="nTable"/>
              <w:keepLines/>
              <w:spacing w:after="40"/>
            </w:pPr>
            <w:r>
              <w:rPr>
                <w:b/>
              </w:rPr>
              <w:t>Reprint of the</w:t>
            </w:r>
            <w:r>
              <w:rPr>
                <w:b/>
                <w:i/>
              </w:rPr>
              <w:t xml:space="preserve"> Queen Elizabeth II Medical Centre (Delegated Site) By</w:t>
            </w:r>
            <w:r>
              <w:rPr>
                <w:b/>
                <w:i/>
              </w:rPr>
              <w:noBreakHyphen/>
              <w:t xml:space="preserve">laws 1986 </w:t>
            </w:r>
            <w:r>
              <w:rPr>
                <w:b/>
              </w:rPr>
              <w:t>as at 10 Nov 2000</w:t>
            </w:r>
            <w:r>
              <w:t xml:space="preserve"> (includes amendments listed above)</w:t>
            </w:r>
          </w:p>
        </w:tc>
      </w:tr>
      <w:tr>
        <w:trPr>
          <w:cantSplit/>
        </w:trPr>
        <w:tc>
          <w:tcPr>
            <w:tcW w:w="3118" w:type="dxa"/>
          </w:tcPr>
          <w:p>
            <w:pPr>
              <w:pStyle w:val="nTable"/>
              <w:spacing w:after="40"/>
              <w:ind w:right="170"/>
              <w:rPr>
                <w:i/>
              </w:rPr>
            </w:pPr>
            <w:r>
              <w:rPr>
                <w:i/>
              </w:rPr>
              <w:lastRenderedPageBreak/>
              <w:t xml:space="preserve">Queen Elizabeth II Medical Centre (Delegated Site) Amendment </w:t>
            </w:r>
            <w:r>
              <w:rPr>
                <w:i/>
              </w:rPr>
              <w:br/>
              <w:t>By-laws 2001</w:t>
            </w:r>
          </w:p>
        </w:tc>
        <w:tc>
          <w:tcPr>
            <w:tcW w:w="1276" w:type="dxa"/>
          </w:tcPr>
          <w:p>
            <w:pPr>
              <w:pStyle w:val="nTable"/>
              <w:keepLines/>
              <w:spacing w:after="40"/>
            </w:pPr>
            <w:r>
              <w:t>29 Jun 2001 p. 3111-14</w:t>
            </w:r>
          </w:p>
        </w:tc>
        <w:tc>
          <w:tcPr>
            <w:tcW w:w="2693" w:type="dxa"/>
          </w:tcPr>
          <w:p>
            <w:pPr>
              <w:pStyle w:val="nTable"/>
              <w:keepLines/>
              <w:spacing w:after="40"/>
            </w:pPr>
            <w:r>
              <w:t>29 Jun 2001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2010</w:t>
            </w:r>
          </w:p>
        </w:tc>
        <w:tc>
          <w:tcPr>
            <w:tcW w:w="1276" w:type="dxa"/>
          </w:tcPr>
          <w:p>
            <w:pPr>
              <w:pStyle w:val="nTable"/>
              <w:keepLines/>
              <w:spacing w:after="40"/>
            </w:pPr>
            <w:r>
              <w:t>22 Jun 2010 p. 2772-80</w:t>
            </w:r>
          </w:p>
        </w:tc>
        <w:tc>
          <w:tcPr>
            <w:tcW w:w="2693" w:type="dxa"/>
          </w:tcPr>
          <w:p>
            <w:pPr>
              <w:pStyle w:val="nTable"/>
              <w:keepLines/>
              <w:spacing w:after="40"/>
            </w:pPr>
            <w:r>
              <w:rPr>
                <w:snapToGrid w:val="0"/>
                <w:spacing w:val="-2"/>
              </w:rPr>
              <w:t>bl. 1 and 2: 22 Jun 2010 (see bl. 2(a));</w:t>
            </w:r>
            <w:r>
              <w:rPr>
                <w:snapToGrid w:val="0"/>
                <w:spacing w:val="-2"/>
              </w:rPr>
              <w:br/>
              <w:t>By-laws other than bl. 1 and 2: 23 Jun 2010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2010</w:t>
            </w:r>
          </w:p>
        </w:tc>
        <w:tc>
          <w:tcPr>
            <w:tcW w:w="1276" w:type="dxa"/>
          </w:tcPr>
          <w:p>
            <w:pPr>
              <w:pStyle w:val="nTable"/>
              <w:keepLines/>
              <w:spacing w:after="40"/>
            </w:pPr>
            <w:r>
              <w:t>17 Dec 2010 p. 6354</w:t>
            </w:r>
            <w:r>
              <w:noBreakHyphen/>
              <w:t>5</w:t>
            </w:r>
          </w:p>
        </w:tc>
        <w:tc>
          <w:tcPr>
            <w:tcW w:w="2693" w:type="dxa"/>
          </w:tcPr>
          <w:p>
            <w:pPr>
              <w:pStyle w:val="nTable"/>
              <w:keepLines/>
              <w:spacing w:after="40"/>
              <w:rPr>
                <w:snapToGrid w:val="0"/>
                <w:spacing w:val="-2"/>
              </w:rPr>
            </w:pPr>
            <w:r>
              <w:rPr>
                <w:snapToGrid w:val="0"/>
                <w:spacing w:val="-2"/>
              </w:rPr>
              <w:t>bl. 1 and 2: 17 Dec 2010 (see bl. 2(a));</w:t>
            </w:r>
            <w:r>
              <w:rPr>
                <w:snapToGrid w:val="0"/>
                <w:spacing w:val="-2"/>
              </w:rPr>
              <w:br/>
              <w:t>By-laws other than bl. 1 and 2: 1 Jan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2011</w:t>
            </w:r>
          </w:p>
        </w:tc>
        <w:tc>
          <w:tcPr>
            <w:tcW w:w="1276" w:type="dxa"/>
          </w:tcPr>
          <w:p>
            <w:pPr>
              <w:pStyle w:val="nTable"/>
              <w:keepLines/>
              <w:spacing w:after="40"/>
            </w:pPr>
            <w:r>
              <w:t>21 Jun 2011 p. 2220-1</w:t>
            </w:r>
          </w:p>
        </w:tc>
        <w:tc>
          <w:tcPr>
            <w:tcW w:w="2693" w:type="dxa"/>
          </w:tcPr>
          <w:p>
            <w:pPr>
              <w:pStyle w:val="nTable"/>
              <w:keepLines/>
              <w:spacing w:after="40"/>
              <w:rPr>
                <w:snapToGrid w:val="0"/>
                <w:spacing w:val="-2"/>
              </w:rPr>
            </w:pPr>
            <w:r>
              <w:rPr>
                <w:snapToGrid w:val="0"/>
                <w:spacing w:val="-2"/>
              </w:rPr>
              <w:t>bl. 1 and 2: 21 Jun 2011 (see bl. 2(a));</w:t>
            </w:r>
            <w:r>
              <w:rPr>
                <w:snapToGrid w:val="0"/>
                <w:spacing w:val="-2"/>
              </w:rPr>
              <w:br/>
              <w:t>By-laws other than bl. 1 and 2: 1 Jul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2011</w:t>
            </w:r>
          </w:p>
        </w:tc>
        <w:tc>
          <w:tcPr>
            <w:tcW w:w="1276" w:type="dxa"/>
          </w:tcPr>
          <w:p>
            <w:pPr>
              <w:pStyle w:val="nTable"/>
              <w:keepLines/>
              <w:spacing w:after="40"/>
            </w:pPr>
            <w:r>
              <w:t>9 Dec 2011 p. 5233</w:t>
            </w:r>
            <w:r>
              <w:noBreakHyphen/>
              <w:t>4</w:t>
            </w:r>
          </w:p>
        </w:tc>
        <w:tc>
          <w:tcPr>
            <w:tcW w:w="2693" w:type="dxa"/>
          </w:tcPr>
          <w:p>
            <w:pPr>
              <w:pStyle w:val="nTable"/>
              <w:keepLines/>
              <w:spacing w:after="40"/>
              <w:rPr>
                <w:snapToGrid w:val="0"/>
                <w:spacing w:val="-2"/>
              </w:rPr>
            </w:pPr>
            <w:r>
              <w:rPr>
                <w:snapToGrid w:val="0"/>
                <w:spacing w:val="-2"/>
              </w:rPr>
              <w:t>bl. 1 and 2: 9 Dec 2011 (see bl. 2(a));</w:t>
            </w:r>
            <w:r>
              <w:rPr>
                <w:snapToGrid w:val="0"/>
                <w:spacing w:val="-2"/>
              </w:rPr>
              <w:br/>
              <w:t>By-laws other than bl. 1 and 2: 1 Jan 2012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2013</w:t>
            </w:r>
          </w:p>
        </w:tc>
        <w:tc>
          <w:tcPr>
            <w:tcW w:w="1276" w:type="dxa"/>
          </w:tcPr>
          <w:p>
            <w:pPr>
              <w:pStyle w:val="nTable"/>
              <w:keepLines/>
              <w:spacing w:after="40"/>
            </w:pPr>
            <w:r>
              <w:t>28 Jun 2013 p. 2755-6</w:t>
            </w:r>
          </w:p>
        </w:tc>
        <w:tc>
          <w:tcPr>
            <w:tcW w:w="2693" w:type="dxa"/>
          </w:tcPr>
          <w:p>
            <w:pPr>
              <w:pStyle w:val="nTable"/>
              <w:keepLines/>
              <w:spacing w:after="40"/>
              <w:rPr>
                <w:b/>
                <w:snapToGrid w:val="0"/>
                <w:spacing w:val="-2"/>
                <w:kern w:val="28"/>
              </w:rPr>
            </w:pPr>
            <w:r>
              <w:rPr>
                <w:snapToGrid w:val="0"/>
                <w:spacing w:val="-2"/>
              </w:rPr>
              <w:t>bl. 1 and 2: 28 Jun 2013 (see bl. 2(a));</w:t>
            </w:r>
            <w:r>
              <w:rPr>
                <w:snapToGrid w:val="0"/>
                <w:spacing w:val="-2"/>
              </w:rPr>
              <w:br/>
              <w:t>By-laws other than bl. 1 and 2: 1 Jul 2013 (see bl. 2(b))</w:t>
            </w:r>
          </w:p>
        </w:tc>
      </w:tr>
      <w:tr>
        <w:trPr>
          <w:cantSplit/>
        </w:trPr>
        <w:tc>
          <w:tcPr>
            <w:tcW w:w="7087" w:type="dxa"/>
            <w:gridSpan w:val="3"/>
            <w:shd w:val="clear" w:color="auto" w:fill="auto"/>
          </w:tcPr>
          <w:p>
            <w:pPr>
              <w:pStyle w:val="nTable"/>
              <w:keepLines/>
              <w:spacing w:after="40"/>
              <w:rPr>
                <w:snapToGrid w:val="0"/>
                <w:spacing w:val="-2"/>
              </w:rPr>
            </w:pPr>
            <w:r>
              <w:rPr>
                <w:b/>
              </w:rPr>
              <w:t>Reprint 2: The</w:t>
            </w:r>
            <w:r>
              <w:rPr>
                <w:b/>
                <w:i/>
              </w:rPr>
              <w:t xml:space="preserve"> Queen Elizabeth II Medical Centre (Delegated Site) By</w:t>
            </w:r>
            <w:r>
              <w:rPr>
                <w:b/>
                <w:i/>
              </w:rPr>
              <w:noBreakHyphen/>
              <w:t xml:space="preserve">laws 1986 </w:t>
            </w:r>
            <w:r>
              <w:rPr>
                <w:b/>
              </w:rPr>
              <w:t>as at 18 Apr 2014</w:t>
            </w:r>
            <w:r>
              <w:t xml:space="preserve"> (includes amendments listed above)</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2014</w:t>
            </w:r>
          </w:p>
        </w:tc>
        <w:tc>
          <w:tcPr>
            <w:tcW w:w="1276" w:type="dxa"/>
          </w:tcPr>
          <w:p>
            <w:pPr>
              <w:pStyle w:val="nTable"/>
              <w:keepLines/>
              <w:spacing w:after="40"/>
            </w:pPr>
            <w:r>
              <w:rPr>
                <w:spacing w:val="-4"/>
              </w:rPr>
              <w:t>17 Jun 2014 p. 1</w:t>
            </w:r>
            <w:r>
              <w:t>980</w:t>
            </w:r>
            <w:r>
              <w:noBreakHyphen/>
              <w:t>1</w:t>
            </w:r>
          </w:p>
        </w:tc>
        <w:tc>
          <w:tcPr>
            <w:tcW w:w="2693" w:type="dxa"/>
          </w:tcPr>
          <w:p>
            <w:pPr>
              <w:pStyle w:val="nTable"/>
              <w:keepLines/>
              <w:spacing w:after="40"/>
              <w:rPr>
                <w:b/>
                <w:snapToGrid w:val="0"/>
                <w:spacing w:val="-2"/>
                <w:kern w:val="28"/>
              </w:rPr>
            </w:pPr>
            <w:r>
              <w:rPr>
                <w:snapToGrid w:val="0"/>
                <w:spacing w:val="-2"/>
              </w:rPr>
              <w:t>bl. 1 and 2: 17 Jun 2014 (see bl. 2(a));</w:t>
            </w:r>
            <w:r>
              <w:rPr>
                <w:snapToGrid w:val="0"/>
                <w:spacing w:val="-2"/>
              </w:rPr>
              <w:br/>
              <w:t>By-laws other than bl. 1 and 2: 1 Jul 2014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2015</w:t>
            </w:r>
          </w:p>
        </w:tc>
        <w:tc>
          <w:tcPr>
            <w:tcW w:w="1276" w:type="dxa"/>
          </w:tcPr>
          <w:p>
            <w:pPr>
              <w:pStyle w:val="nTable"/>
              <w:keepLines/>
              <w:spacing w:after="40"/>
              <w:rPr>
                <w:spacing w:val="-4"/>
              </w:rPr>
            </w:pPr>
            <w:r>
              <w:t>10 Feb 2015 p. 617</w:t>
            </w:r>
            <w:r>
              <w:noBreakHyphen/>
              <w:t>20</w:t>
            </w:r>
          </w:p>
        </w:tc>
        <w:tc>
          <w:tcPr>
            <w:tcW w:w="2693" w:type="dxa"/>
          </w:tcPr>
          <w:p>
            <w:pPr>
              <w:pStyle w:val="nTable"/>
              <w:keepLines/>
              <w:spacing w:after="40"/>
              <w:rPr>
                <w:snapToGrid w:val="0"/>
                <w:spacing w:val="-2"/>
              </w:rPr>
            </w:pPr>
            <w:r>
              <w:rPr>
                <w:snapToGrid w:val="0"/>
                <w:spacing w:val="-2"/>
              </w:rPr>
              <w:t>bl. 1 and 2: 10 Feb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2015</w:t>
            </w:r>
          </w:p>
        </w:tc>
        <w:tc>
          <w:tcPr>
            <w:tcW w:w="1276" w:type="dxa"/>
          </w:tcPr>
          <w:p>
            <w:pPr>
              <w:pStyle w:val="nTable"/>
              <w:keepLines/>
              <w:spacing w:after="40"/>
            </w:pPr>
            <w:r>
              <w:t>8 May 2015 p. 1619</w:t>
            </w:r>
            <w:r>
              <w:noBreakHyphen/>
              <w:t>21</w:t>
            </w:r>
          </w:p>
        </w:tc>
        <w:tc>
          <w:tcPr>
            <w:tcW w:w="2693" w:type="dxa"/>
          </w:tcPr>
          <w:p>
            <w:pPr>
              <w:pStyle w:val="nTable"/>
              <w:keepLines/>
              <w:spacing w:after="40"/>
              <w:rPr>
                <w:snapToGrid w:val="0"/>
                <w:spacing w:val="-2"/>
              </w:rPr>
            </w:pPr>
            <w:r>
              <w:rPr>
                <w:snapToGrid w:val="0"/>
                <w:spacing w:val="-2"/>
              </w:rPr>
              <w:t>bl. 1 and 2: 8 May 2015 (see bl. 2(a));</w:t>
            </w:r>
            <w:r>
              <w:rPr>
                <w:snapToGrid w:val="0"/>
                <w:spacing w:val="-2"/>
              </w:rPr>
              <w:br/>
              <w:t>By-laws other than bl. 1 and 2: 9 May 2015 (see bl. 2(b))</w:t>
            </w:r>
          </w:p>
        </w:tc>
      </w:tr>
      <w:tr>
        <w:trPr>
          <w:cantSplit/>
        </w:trPr>
        <w:tc>
          <w:tcPr>
            <w:tcW w:w="3118" w:type="dxa"/>
          </w:tcPr>
          <w:p>
            <w:pPr>
              <w:pStyle w:val="nTable"/>
              <w:spacing w:after="40"/>
              <w:ind w:right="170"/>
              <w:rPr>
                <w:i/>
              </w:rPr>
            </w:pPr>
            <w:r>
              <w:rPr>
                <w:i/>
              </w:rPr>
              <w:lastRenderedPageBreak/>
              <w:t>Queen Elizabeth II Medical Centre (Delegated Site) Amendment By</w:t>
            </w:r>
            <w:r>
              <w:rPr>
                <w:i/>
              </w:rPr>
              <w:noBreakHyphen/>
              <w:t>laws (No. 3) 2015</w:t>
            </w:r>
          </w:p>
        </w:tc>
        <w:tc>
          <w:tcPr>
            <w:tcW w:w="1276" w:type="dxa"/>
          </w:tcPr>
          <w:p>
            <w:pPr>
              <w:pStyle w:val="nTable"/>
              <w:keepLines/>
              <w:spacing w:after="40"/>
            </w:pPr>
            <w:r>
              <w:t>30 Jun 2015 p. 2335</w:t>
            </w:r>
            <w:r>
              <w:noBreakHyphen/>
              <w:t>6</w:t>
            </w:r>
          </w:p>
        </w:tc>
        <w:tc>
          <w:tcPr>
            <w:tcW w:w="2693" w:type="dxa"/>
          </w:tcPr>
          <w:p>
            <w:pPr>
              <w:pStyle w:val="nTable"/>
              <w:keepLines/>
              <w:spacing w:after="40"/>
              <w:rPr>
                <w:snapToGrid w:val="0"/>
                <w:spacing w:val="-2"/>
              </w:rPr>
            </w:pPr>
            <w:r>
              <w:rPr>
                <w:snapToGrid w:val="0"/>
                <w:spacing w:val="-2"/>
              </w:rPr>
              <w:t>bl. 1 and 2: 30 Jun 2015 (see bl. 2(a));</w:t>
            </w:r>
            <w:r>
              <w:rPr>
                <w:snapToGrid w:val="0"/>
                <w:spacing w:val="-2"/>
              </w:rPr>
              <w:br/>
              <w:t>By-laws other than bl. 1 and 2: 1 Jul 2015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2016</w:t>
            </w:r>
          </w:p>
        </w:tc>
        <w:tc>
          <w:tcPr>
            <w:tcW w:w="1276" w:type="dxa"/>
          </w:tcPr>
          <w:p>
            <w:pPr>
              <w:pStyle w:val="nTable"/>
              <w:keepLines/>
              <w:spacing w:after="40"/>
            </w:pPr>
            <w:r>
              <w:t>1 Jul 2016 p. 2743-5</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By-laws other than bl. 1 and 2: 1 Jul 2016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2016</w:t>
            </w:r>
          </w:p>
        </w:tc>
        <w:tc>
          <w:tcPr>
            <w:tcW w:w="1276" w:type="dxa"/>
          </w:tcPr>
          <w:p>
            <w:pPr>
              <w:pStyle w:val="nTable"/>
              <w:keepLines/>
              <w:spacing w:after="40"/>
            </w:pPr>
            <w:r>
              <w:t>1 Jul 2016 p. 2745-7</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 xml:space="preserve">By-laws other than bl. 1 and 2: 1 Jul 2016 (see bl. 2(b) and </w:t>
            </w:r>
            <w:r>
              <w:rPr>
                <w:i/>
                <w:snapToGrid w:val="0"/>
              </w:rPr>
              <w:t>Gazette</w:t>
            </w:r>
            <w:r>
              <w:rPr>
                <w:snapToGrid w:val="0"/>
              </w:rPr>
              <w:t xml:space="preserve"> 24 Jun 2016 p. 2291)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2017</w:t>
            </w:r>
          </w:p>
        </w:tc>
        <w:tc>
          <w:tcPr>
            <w:tcW w:w="1276" w:type="dxa"/>
          </w:tcPr>
          <w:p>
            <w:pPr>
              <w:pStyle w:val="nTable"/>
              <w:keepLines/>
              <w:spacing w:after="40"/>
            </w:pPr>
            <w:r>
              <w:t>30 Jun 2017 p. 3574</w:t>
            </w:r>
          </w:p>
        </w:tc>
        <w:tc>
          <w:tcPr>
            <w:tcW w:w="2693" w:type="dxa"/>
          </w:tcPr>
          <w:p>
            <w:pPr>
              <w:pStyle w:val="nTable"/>
              <w:keepLines/>
              <w:spacing w:after="40"/>
              <w:rPr>
                <w:snapToGrid w:val="0"/>
              </w:rPr>
            </w:pPr>
            <w:r>
              <w:rPr>
                <w:snapToGrid w:val="0"/>
              </w:rPr>
              <w:t xml:space="preserve">bl. 1 and 2: </w:t>
            </w:r>
            <w:r>
              <w:t>30 Jun 2017</w:t>
            </w:r>
            <w:r>
              <w:rPr>
                <w:snapToGrid w:val="0"/>
              </w:rPr>
              <w:t xml:space="preserve"> (see bl. 2(a));</w:t>
            </w:r>
            <w:r>
              <w:rPr>
                <w:snapToGrid w:val="0"/>
              </w:rPr>
              <w:br/>
              <w:t>By-laws other than bl. 1 and 2: 1 Jul 2017 (see bl. 2(b))</w:t>
            </w:r>
          </w:p>
        </w:tc>
      </w:tr>
      <w:tr>
        <w:trPr>
          <w:cantSplit/>
        </w:trPr>
        <w:tc>
          <w:tcPr>
            <w:tcW w:w="7087" w:type="dxa"/>
            <w:gridSpan w:val="3"/>
            <w:shd w:val="clear" w:color="auto" w:fill="auto"/>
          </w:tcPr>
          <w:p>
            <w:pPr>
              <w:pStyle w:val="nTable"/>
              <w:keepLines/>
              <w:spacing w:after="40"/>
              <w:rPr>
                <w:snapToGrid w:val="0"/>
              </w:rPr>
            </w:pPr>
            <w:r>
              <w:rPr>
                <w:b/>
                <w:snapToGrid w:val="0"/>
              </w:rPr>
              <w:t xml:space="preserve">Reprint 3: The </w:t>
            </w:r>
            <w:r>
              <w:rPr>
                <w:b/>
                <w:i/>
                <w:noProof/>
                <w:snapToGrid w:val="0"/>
              </w:rPr>
              <w:t>Queen Elizabeth II Medical Centre (Delegated Site) By-laws 1986</w:t>
            </w:r>
            <w:r>
              <w:rPr>
                <w:b/>
                <w:snapToGrid w:val="0"/>
              </w:rPr>
              <w:t xml:space="preserve"> as at 4 Aug 2017</w:t>
            </w:r>
            <w:r>
              <w:rPr>
                <w:snapToGrid w:val="0"/>
              </w:rPr>
              <w:t xml:space="preserve"> (includes amendments listed above)</w:t>
            </w:r>
          </w:p>
        </w:tc>
      </w:tr>
      <w:tr>
        <w:trPr>
          <w:cantSplit/>
        </w:trPr>
        <w:tc>
          <w:tcPr>
            <w:tcW w:w="3118" w:type="dxa"/>
          </w:tcPr>
          <w:p>
            <w:pPr>
              <w:pStyle w:val="nTable"/>
              <w:spacing w:after="40"/>
              <w:ind w:right="170"/>
            </w:pPr>
            <w:r>
              <w:rPr>
                <w:i/>
              </w:rPr>
              <w:t>Queen Elizabeth II Medical Centre (Delegated Site) Amendment By</w:t>
            </w:r>
            <w:r>
              <w:rPr>
                <w:i/>
              </w:rPr>
              <w:noBreakHyphen/>
              <w:t>laws 2018</w:t>
            </w:r>
          </w:p>
        </w:tc>
        <w:tc>
          <w:tcPr>
            <w:tcW w:w="1276" w:type="dxa"/>
          </w:tcPr>
          <w:p>
            <w:pPr>
              <w:pStyle w:val="nTable"/>
              <w:keepLines/>
              <w:spacing w:after="40"/>
            </w:pPr>
            <w:r>
              <w:t>8 Jun 2018 p. 1833</w:t>
            </w:r>
            <w:r>
              <w:noBreakHyphen/>
              <w:t>4</w:t>
            </w:r>
          </w:p>
        </w:tc>
        <w:tc>
          <w:tcPr>
            <w:tcW w:w="2693" w:type="dxa"/>
          </w:tcPr>
          <w:p>
            <w:pPr>
              <w:pStyle w:val="nTable"/>
              <w:keepLines/>
              <w:spacing w:after="40"/>
              <w:rPr>
                <w:snapToGrid w:val="0"/>
              </w:rPr>
            </w:pPr>
            <w:r>
              <w:rPr>
                <w:snapToGrid w:val="0"/>
              </w:rPr>
              <w:t xml:space="preserve">bl. 1 and 2: </w:t>
            </w:r>
            <w:r>
              <w:t>8 Jun 2018</w:t>
            </w:r>
            <w:r>
              <w:rPr>
                <w:snapToGrid w:val="0"/>
              </w:rPr>
              <w:t xml:space="preserve"> (see bl. 2(a));</w:t>
            </w:r>
            <w:r>
              <w:rPr>
                <w:snapToGrid w:val="0"/>
              </w:rPr>
              <w:br/>
              <w:t>By</w:t>
            </w:r>
            <w:r>
              <w:rPr>
                <w:snapToGrid w:val="0"/>
              </w:rPr>
              <w:noBreakHyphen/>
              <w:t>laws other than bl. 1 and 2: 1 Jul 2018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2019</w:t>
            </w:r>
          </w:p>
        </w:tc>
        <w:tc>
          <w:tcPr>
            <w:tcW w:w="1276" w:type="dxa"/>
          </w:tcPr>
          <w:p>
            <w:pPr>
              <w:pStyle w:val="nTable"/>
              <w:keepLines/>
              <w:spacing w:after="40"/>
            </w:pPr>
            <w:r>
              <w:t>7 Jun 2019 p. 1825</w:t>
            </w:r>
          </w:p>
        </w:tc>
        <w:tc>
          <w:tcPr>
            <w:tcW w:w="2693" w:type="dxa"/>
          </w:tcPr>
          <w:p>
            <w:pPr>
              <w:pStyle w:val="nTable"/>
              <w:keepLines/>
              <w:spacing w:after="40"/>
              <w:rPr>
                <w:snapToGrid w:val="0"/>
              </w:rPr>
            </w:pPr>
            <w:r>
              <w:rPr>
                <w:snapToGrid w:val="0"/>
              </w:rPr>
              <w:t xml:space="preserve">bl. 1 and 2: </w:t>
            </w:r>
            <w:r>
              <w:t>7 Jun 2019</w:t>
            </w:r>
            <w:r>
              <w:rPr>
                <w:snapToGrid w:val="0"/>
              </w:rPr>
              <w:t xml:space="preserve"> (see bl. 2(a));</w:t>
            </w:r>
            <w:r>
              <w:rPr>
                <w:snapToGrid w:val="0"/>
              </w:rPr>
              <w:br/>
              <w:t>By</w:t>
            </w:r>
            <w:r>
              <w:rPr>
                <w:snapToGrid w:val="0"/>
              </w:rPr>
              <w:noBreakHyphen/>
              <w:t>laws other than bl. 1 and 2: 1 Jul 2019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2019</w:t>
            </w:r>
          </w:p>
        </w:tc>
        <w:tc>
          <w:tcPr>
            <w:tcW w:w="1276" w:type="dxa"/>
          </w:tcPr>
          <w:p>
            <w:pPr>
              <w:pStyle w:val="nTable"/>
              <w:keepLines/>
              <w:spacing w:after="40"/>
            </w:pPr>
            <w:r>
              <w:t>14 Jun 2019 p. 1900-1</w:t>
            </w:r>
          </w:p>
        </w:tc>
        <w:tc>
          <w:tcPr>
            <w:tcW w:w="2693" w:type="dxa"/>
          </w:tcPr>
          <w:p>
            <w:pPr>
              <w:pStyle w:val="nTable"/>
              <w:keepLines/>
              <w:spacing w:after="40"/>
              <w:rPr>
                <w:snapToGrid w:val="0"/>
              </w:rPr>
            </w:pPr>
            <w:r>
              <w:rPr>
                <w:snapToGrid w:val="0"/>
              </w:rPr>
              <w:t xml:space="preserve">bl. 1 and 2: </w:t>
            </w:r>
            <w:r>
              <w:t>14 Jun 2019</w:t>
            </w:r>
            <w:r>
              <w:rPr>
                <w:snapToGrid w:val="0"/>
              </w:rPr>
              <w:t xml:space="preserve"> (see bl. 2(a));</w:t>
            </w:r>
            <w:r>
              <w:rPr>
                <w:snapToGrid w:val="0"/>
              </w:rPr>
              <w:br/>
              <w:t>By</w:t>
            </w:r>
            <w:r>
              <w:rPr>
                <w:snapToGrid w:val="0"/>
              </w:rPr>
              <w:noBreakHyphen/>
              <w:t xml:space="preserve">laws other than bl. 1 and 2: 2 Jul 2019 (see bl. 2(b) and </w:t>
            </w:r>
            <w:r>
              <w:rPr>
                <w:i/>
                <w:snapToGrid w:val="0"/>
              </w:rPr>
              <w:t>Gazette</w:t>
            </w:r>
            <w:r>
              <w:rPr>
                <w:snapToGrid w:val="0"/>
              </w:rPr>
              <w:t xml:space="preserve"> 28 Jun 2019 p. 2473)</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2021</w:t>
            </w:r>
          </w:p>
        </w:tc>
        <w:tc>
          <w:tcPr>
            <w:tcW w:w="1276" w:type="dxa"/>
          </w:tcPr>
          <w:p>
            <w:pPr>
              <w:pStyle w:val="nTable"/>
              <w:keepLines/>
              <w:spacing w:after="40"/>
            </w:pPr>
            <w:r>
              <w:t>SL 2021/179 5 Nov 2021</w:t>
            </w:r>
          </w:p>
        </w:tc>
        <w:tc>
          <w:tcPr>
            <w:tcW w:w="2693" w:type="dxa"/>
          </w:tcPr>
          <w:p>
            <w:pPr>
              <w:pStyle w:val="nTable"/>
              <w:keepLines/>
              <w:spacing w:after="40"/>
              <w:rPr>
                <w:snapToGrid w:val="0"/>
              </w:rPr>
            </w:pPr>
            <w:r>
              <w:rPr>
                <w:snapToGrid w:val="0"/>
              </w:rPr>
              <w:t>bl. 1 and 2: 5 Nov 2021 (see bl. 2(a));</w:t>
            </w:r>
            <w:r>
              <w:rPr>
                <w:snapToGrid w:val="0"/>
              </w:rPr>
              <w:br/>
              <w:t>By-laws other than bl. 1 and 2: 6 Nov 2021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2022</w:t>
            </w:r>
          </w:p>
        </w:tc>
        <w:tc>
          <w:tcPr>
            <w:tcW w:w="1276" w:type="dxa"/>
          </w:tcPr>
          <w:p>
            <w:pPr>
              <w:pStyle w:val="nTable"/>
              <w:keepLines/>
              <w:spacing w:after="40"/>
            </w:pPr>
            <w:r>
              <w:t>SL 2022/140 5 Aug 2022</w:t>
            </w:r>
          </w:p>
        </w:tc>
        <w:tc>
          <w:tcPr>
            <w:tcW w:w="2693" w:type="dxa"/>
          </w:tcPr>
          <w:p>
            <w:pPr>
              <w:pStyle w:val="nTable"/>
              <w:keepLines/>
              <w:spacing w:after="40"/>
              <w:rPr>
                <w:snapToGrid w:val="0"/>
              </w:rPr>
            </w:pPr>
            <w:r>
              <w:rPr>
                <w:snapToGrid w:val="0"/>
              </w:rPr>
              <w:t>bl. 1 and 2: 5 Aug 2022 (see bl. 2(a));</w:t>
            </w:r>
            <w:r>
              <w:rPr>
                <w:snapToGrid w:val="0"/>
              </w:rPr>
              <w:br/>
              <w:t>By-laws other than bl. 1 and 2: 6 Aug 2022 (see bl. 2(b))</w:t>
            </w:r>
          </w:p>
        </w:tc>
      </w:tr>
      <w:tr>
        <w:trPr>
          <w:cantSplit/>
        </w:trPr>
        <w:tc>
          <w:tcPr>
            <w:tcW w:w="3118" w:type="dxa"/>
          </w:tcPr>
          <w:p>
            <w:pPr>
              <w:pStyle w:val="nTable"/>
              <w:spacing w:after="40"/>
              <w:ind w:right="170"/>
              <w:rPr>
                <w:i/>
              </w:rPr>
            </w:pPr>
            <w:r>
              <w:rPr>
                <w:i/>
              </w:rPr>
              <w:lastRenderedPageBreak/>
              <w:t>Queen Elizabeth II Medical Centre (Delegated Site) Amendment By</w:t>
            </w:r>
            <w:r>
              <w:rPr>
                <w:i/>
              </w:rPr>
              <w:noBreakHyphen/>
              <w:t>laws 2023</w:t>
            </w:r>
          </w:p>
        </w:tc>
        <w:tc>
          <w:tcPr>
            <w:tcW w:w="1276" w:type="dxa"/>
          </w:tcPr>
          <w:p>
            <w:pPr>
              <w:pStyle w:val="nTable"/>
              <w:keepLines/>
              <w:spacing w:after="40"/>
            </w:pPr>
            <w:r>
              <w:t>SL 2023/83 30 Jun 2023</w:t>
            </w:r>
          </w:p>
        </w:tc>
        <w:tc>
          <w:tcPr>
            <w:tcW w:w="2693" w:type="dxa"/>
          </w:tcPr>
          <w:p>
            <w:pPr>
              <w:pStyle w:val="nTable"/>
              <w:keepLines/>
              <w:spacing w:after="40"/>
              <w:rPr>
                <w:snapToGrid w:val="0"/>
              </w:rPr>
            </w:pPr>
            <w:r>
              <w:rPr>
                <w:snapToGrid w:val="0"/>
              </w:rPr>
              <w:t>bl. 1 and 2: 30</w:t>
            </w:r>
            <w:r>
              <w:t> Jun 2023</w:t>
            </w:r>
            <w:r>
              <w:rPr>
                <w:snapToGrid w:val="0"/>
              </w:rPr>
              <w:t xml:space="preserve"> (see bl. 2(a));</w:t>
            </w:r>
            <w:r>
              <w:rPr>
                <w:snapToGrid w:val="0"/>
              </w:rPr>
              <w:br/>
              <w:t>By-laws other than bl. 1 and 2: 1 Jul 2023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2024</w:t>
            </w:r>
          </w:p>
        </w:tc>
        <w:tc>
          <w:tcPr>
            <w:tcW w:w="1276" w:type="dxa"/>
          </w:tcPr>
          <w:p>
            <w:pPr>
              <w:pStyle w:val="nTable"/>
              <w:keepLines/>
              <w:spacing w:after="40"/>
            </w:pPr>
            <w:r>
              <w:t>SL 2024/141 27 Jun 2024</w:t>
            </w:r>
          </w:p>
        </w:tc>
        <w:tc>
          <w:tcPr>
            <w:tcW w:w="2693" w:type="dxa"/>
          </w:tcPr>
          <w:p>
            <w:pPr>
              <w:pStyle w:val="nTable"/>
              <w:keepLines/>
              <w:spacing w:after="40"/>
              <w:rPr>
                <w:snapToGrid w:val="0"/>
              </w:rPr>
            </w:pPr>
            <w:r>
              <w:rPr>
                <w:snapToGrid w:val="0"/>
              </w:rPr>
              <w:t>bl. 1 and 2: 27</w:t>
            </w:r>
            <w:r>
              <w:t> Jun 2024</w:t>
            </w:r>
            <w:r>
              <w:rPr>
                <w:snapToGrid w:val="0"/>
              </w:rPr>
              <w:t xml:space="preserve"> (see bl. 2(a));</w:t>
            </w:r>
            <w:r>
              <w:rPr>
                <w:snapToGrid w:val="0"/>
              </w:rPr>
              <w:br/>
              <w:t>By-laws other than bl. 1 and 2: 1 Jul 2024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3) 2024</w:t>
            </w:r>
          </w:p>
        </w:tc>
        <w:tc>
          <w:tcPr>
            <w:tcW w:w="1276" w:type="dxa"/>
          </w:tcPr>
          <w:p>
            <w:pPr>
              <w:pStyle w:val="nTable"/>
              <w:keepLines/>
              <w:spacing w:after="40"/>
            </w:pPr>
            <w:r>
              <w:rPr>
                <w:iCs/>
              </w:rPr>
              <w:t>SL 2024/248 5 Dec 2024</w:t>
            </w:r>
          </w:p>
        </w:tc>
        <w:tc>
          <w:tcPr>
            <w:tcW w:w="2693" w:type="dxa"/>
          </w:tcPr>
          <w:p>
            <w:pPr>
              <w:pStyle w:val="nTable"/>
              <w:keepLines/>
              <w:spacing w:after="40"/>
              <w:rPr>
                <w:snapToGrid w:val="0"/>
              </w:rPr>
            </w:pPr>
            <w:r>
              <w:rPr>
                <w:snapToGrid w:val="0"/>
              </w:rPr>
              <w:t xml:space="preserve">bl. 1 and 2: 5 Dec 2024 </w:t>
            </w:r>
            <w:r>
              <w:t>(see bl. 2(a));</w:t>
            </w:r>
            <w:r>
              <w:br/>
            </w:r>
            <w:r>
              <w:rPr>
                <w:snapToGrid w:val="0"/>
              </w:rPr>
              <w:t>By-laws other than bl. 1 and 2: 20 Dec 2024 (see bl. 2(b) and SL 2024/277 cl. 2)</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2025</w:t>
            </w:r>
          </w:p>
        </w:tc>
        <w:tc>
          <w:tcPr>
            <w:tcW w:w="1276" w:type="dxa"/>
          </w:tcPr>
          <w:p>
            <w:pPr>
              <w:pStyle w:val="nTable"/>
              <w:keepLines/>
              <w:spacing w:after="40"/>
              <w:rPr>
                <w:iCs/>
              </w:rPr>
            </w:pPr>
            <w:r>
              <w:rPr>
                <w:iCs/>
              </w:rPr>
              <w:t>SL 2025/39 27 Feb 2025</w:t>
            </w:r>
          </w:p>
        </w:tc>
        <w:tc>
          <w:tcPr>
            <w:tcW w:w="2693" w:type="dxa"/>
          </w:tcPr>
          <w:p>
            <w:pPr>
              <w:pStyle w:val="nTable"/>
              <w:keepLines/>
              <w:spacing w:after="40"/>
              <w:rPr>
                <w:snapToGrid w:val="0"/>
              </w:rPr>
            </w:pPr>
            <w:r>
              <w:rPr>
                <w:snapToGrid w:val="0"/>
              </w:rPr>
              <w:t xml:space="preserve">bl. 1 and 2: 27 Feb 2025 </w:t>
            </w:r>
            <w:r>
              <w:t>(see bl. 2(a));</w:t>
            </w:r>
            <w:r>
              <w:br/>
            </w:r>
            <w:r>
              <w:rPr>
                <w:snapToGrid w:val="0"/>
              </w:rPr>
              <w:t xml:space="preserve">By-laws other than bl. 1 and 2: </w:t>
            </w:r>
            <w:r>
              <w:t>31 Mar 2025 (see bl. 2(b) and SL 2024/289 cl. 2)</w:t>
            </w:r>
          </w:p>
        </w:tc>
      </w:tr>
      <w:tr>
        <w:trPr>
          <w:cantSplit/>
        </w:trPr>
        <w:tc>
          <w:tcPr>
            <w:tcW w:w="3118" w:type="dxa"/>
            <w:tcBorders>
              <w:bottom w:val="single" w:sz="4" w:space="0" w:color="auto"/>
            </w:tcBorders>
          </w:tcPr>
          <w:p>
            <w:pPr>
              <w:pStyle w:val="nTable"/>
              <w:spacing w:after="40"/>
              <w:ind w:right="170"/>
              <w:rPr>
                <w:i/>
              </w:rPr>
            </w:pPr>
            <w:r>
              <w:rPr>
                <w:i/>
              </w:rPr>
              <w:t>Queen Elizabeth II Medical Centre (Delegated Site) Amendment By</w:t>
            </w:r>
            <w:r>
              <w:rPr>
                <w:i/>
              </w:rPr>
              <w:noBreakHyphen/>
              <w:t>laws (No. 2) 2025</w:t>
            </w:r>
          </w:p>
        </w:tc>
        <w:tc>
          <w:tcPr>
            <w:tcW w:w="1276" w:type="dxa"/>
            <w:tcBorders>
              <w:bottom w:val="single" w:sz="4" w:space="0" w:color="auto"/>
            </w:tcBorders>
          </w:tcPr>
          <w:p>
            <w:pPr>
              <w:pStyle w:val="nTable"/>
              <w:keepLines/>
              <w:spacing w:after="40"/>
              <w:rPr>
                <w:iCs/>
              </w:rPr>
            </w:pPr>
            <w:r>
              <w:rPr>
                <w:iCs/>
              </w:rPr>
              <w:t>SL 2025/127 30 Jun 2025</w:t>
            </w:r>
          </w:p>
        </w:tc>
        <w:tc>
          <w:tcPr>
            <w:tcW w:w="2693" w:type="dxa"/>
            <w:tcBorders>
              <w:bottom w:val="single" w:sz="4" w:space="0" w:color="auto"/>
            </w:tcBorders>
          </w:tcPr>
          <w:p>
            <w:pPr>
              <w:pStyle w:val="nTable"/>
              <w:keepLines/>
              <w:spacing w:after="40"/>
              <w:rPr>
                <w:snapToGrid w:val="0"/>
              </w:rPr>
            </w:pPr>
            <w:r>
              <w:rPr>
                <w:snapToGrid w:val="0"/>
              </w:rPr>
              <w:t>bl. 1 and 2: 30</w:t>
            </w:r>
            <w:r>
              <w:t> Jun 2025</w:t>
            </w:r>
            <w:r>
              <w:rPr>
                <w:snapToGrid w:val="0"/>
              </w:rPr>
              <w:t xml:space="preserve"> (see bl. 2(a));</w:t>
            </w:r>
            <w:r>
              <w:rPr>
                <w:snapToGrid w:val="0"/>
              </w:rPr>
              <w:br/>
              <w:t>By-laws other than bl. 1 and 2: 1 Jul 2025 (see bl. 2(b))</w:t>
            </w:r>
          </w:p>
        </w:tc>
      </w:tr>
    </w:tbl>
    <w:p>
      <w:pPr>
        <w:pStyle w:val="nHeading3"/>
      </w:pPr>
      <w:bookmarkStart w:id="95" w:name="_Toc201918865"/>
      <w:r>
        <w:t>Uncommenced provisions table</w:t>
      </w:r>
      <w:bookmarkEnd w:id="95"/>
    </w:p>
    <w:p>
      <w:pPr>
        <w:pStyle w:val="nStatement"/>
        <w:keepNext/>
        <w:spacing w:after="240"/>
      </w:pPr>
      <w:r>
        <w:t xml:space="preserve">To view the text of the uncommenced provisions see </w:t>
      </w:r>
      <w:r>
        <w:rPr>
          <w:i/>
        </w:rPr>
        <w:t>Acts as passed</w:t>
      </w:r>
      <w:r>
        <w:t xml:space="preserve"> on the WA Legislation website.</w:t>
      </w:r>
    </w:p>
    <w:tbl>
      <w:tblPr>
        <w:tblW w:w="7087" w:type="dxa"/>
        <w:tblInd w:w="28" w:type="dxa"/>
        <w:tblLayout w:type="fixed"/>
        <w:tblCellMar>
          <w:left w:w="56" w:type="dxa"/>
          <w:right w:w="56" w:type="dxa"/>
        </w:tblCellMar>
        <w:tblLook w:val="0000" w:firstRow="0" w:lastRow="0" w:firstColumn="0" w:lastColumn="0" w:noHBand="0" w:noVBand="0"/>
      </w:tblPr>
      <w:tblGrid>
        <w:gridCol w:w="3091"/>
        <w:gridCol w:w="1303"/>
        <w:gridCol w:w="2693"/>
      </w:tblGrid>
      <w:tr>
        <w:trPr>
          <w:cantSplit/>
          <w:tblHeader/>
        </w:trPr>
        <w:tc>
          <w:tcPr>
            <w:tcW w:w="3091" w:type="dxa"/>
            <w:tcBorders>
              <w:top w:val="single" w:sz="8" w:space="0" w:color="auto"/>
              <w:bottom w:val="single" w:sz="4" w:space="0" w:color="auto"/>
            </w:tcBorders>
            <w:shd w:val="clear" w:color="auto" w:fill="auto"/>
          </w:tcPr>
          <w:p>
            <w:pPr>
              <w:pStyle w:val="nTable"/>
              <w:spacing w:after="40"/>
              <w:ind w:right="170"/>
              <w:rPr>
                <w:b/>
              </w:rPr>
            </w:pPr>
            <w:r>
              <w:rPr>
                <w:b/>
              </w:rPr>
              <w:t>Citation</w:t>
            </w:r>
          </w:p>
        </w:tc>
        <w:tc>
          <w:tcPr>
            <w:tcW w:w="1303" w:type="dxa"/>
            <w:tcBorders>
              <w:top w:val="single" w:sz="8" w:space="0" w:color="auto"/>
              <w:bottom w:val="single" w:sz="4"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4" w:space="0" w:color="auto"/>
            </w:tcBorders>
            <w:shd w:val="clear" w:color="auto" w:fill="auto"/>
          </w:tcPr>
          <w:p>
            <w:pPr>
              <w:pStyle w:val="nTable"/>
              <w:spacing w:after="40"/>
              <w:rPr>
                <w:b/>
              </w:rPr>
            </w:pPr>
            <w:r>
              <w:rPr>
                <w:b/>
              </w:rPr>
              <w:t>Commencement</w:t>
            </w:r>
          </w:p>
        </w:tc>
      </w:tr>
      <w:tr>
        <w:trPr>
          <w:cantSplit/>
        </w:trPr>
        <w:tc>
          <w:tcPr>
            <w:tcW w:w="4394" w:type="dxa"/>
            <w:gridSpan w:val="2"/>
            <w:tcBorders>
              <w:top w:val="single" w:sz="4" w:space="0" w:color="auto"/>
              <w:bottom w:val="single" w:sz="4" w:space="0" w:color="auto"/>
            </w:tcBorders>
          </w:tcPr>
          <w:p>
            <w:pPr>
              <w:pStyle w:val="nTable"/>
              <w:spacing w:after="40"/>
            </w:pPr>
            <w:r>
              <w:rPr>
                <w:i/>
              </w:rPr>
              <w:t xml:space="preserve">Queen Elizabeth II Medical Centre Act 1966 </w:t>
            </w:r>
            <w:r>
              <w:t>s. 22 (as amended by Act No. 2023/1 s. 97)</w:t>
            </w:r>
          </w:p>
        </w:tc>
        <w:tc>
          <w:tcPr>
            <w:tcW w:w="2693" w:type="dxa"/>
            <w:tcBorders>
              <w:top w:val="single" w:sz="4" w:space="0" w:color="auto"/>
              <w:bottom w:val="single" w:sz="4" w:space="0" w:color="auto"/>
            </w:tcBorders>
          </w:tcPr>
          <w:p>
            <w:pPr>
              <w:pStyle w:val="nTable"/>
              <w:spacing w:after="40"/>
            </w:pPr>
            <w:r>
              <w:t>To be proclaimed (see s. 2(b))</w:t>
            </w:r>
          </w:p>
        </w:tc>
      </w:tr>
    </w:tbl>
    <w:p>
      <w:pPr>
        <w:pStyle w:val="nHeading3"/>
      </w:pPr>
      <w:bookmarkStart w:id="96" w:name="_Toc201918866"/>
      <w:r>
        <w:t>Other notes</w:t>
      </w:r>
      <w:bookmarkEnd w:id="96"/>
    </w:p>
    <w:p>
      <w:pPr>
        <w:pStyle w:val="nNote"/>
        <w:keepNext/>
        <w:keepLines/>
        <w:spacing w:before="160"/>
      </w:pPr>
      <w:r>
        <w:rPr>
          <w:vertAlign w:val="superscript"/>
        </w:rPr>
        <w:t>1</w:t>
      </w:r>
      <w:r>
        <w:rPr>
          <w:vertAlign w:val="superscript"/>
        </w:rPr>
        <w:tab/>
      </w:r>
      <w:r>
        <w:t xml:space="preserve">Formerly referred to as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  The reference was changed under the </w:t>
      </w:r>
      <w:r>
        <w:rPr>
          <w:i/>
        </w:rPr>
        <w:t>Reprints Act 1984</w:t>
      </w:r>
      <w:r>
        <w:t xml:space="preserve"> s. 7(3)(gb).</w:t>
      </w:r>
    </w:p>
    <w:p>
      <w:pPr>
        <w:pStyle w:val="nNote"/>
        <w:keepNext/>
        <w:keepLines/>
        <w:spacing w:before="160"/>
      </w:pPr>
      <w:r>
        <w:rPr>
          <w:vertAlign w:val="superscript"/>
        </w:rPr>
        <w:t>2</w:t>
      </w:r>
      <w:r>
        <w:tab/>
        <w:t>The</w:t>
      </w:r>
      <w:r>
        <w:rPr>
          <w:i/>
        </w:rPr>
        <w:t xml:space="preserve"> </w:t>
      </w:r>
      <w:r>
        <w:rPr>
          <w:i/>
          <w:noProof/>
        </w:rPr>
        <w:t>Health Services Act 2016</w:t>
      </w:r>
      <w:r>
        <w:rPr>
          <w:noProof/>
        </w:rPr>
        <w:t xml:space="preserve"> s. 307(j) </w:t>
      </w:r>
      <w:r>
        <w:t xml:space="preserve">had not come into operation when it was deleted by the </w:t>
      </w:r>
      <w:r>
        <w:rPr>
          <w:i/>
          <w:noProof/>
        </w:rPr>
        <w:t>Health Services Amendment Act 2023</w:t>
      </w:r>
      <w:r>
        <w:rPr>
          <w:noProof/>
        </w:rPr>
        <w:t xml:space="preserve"> s. 85</w:t>
      </w:r>
      <w:r>
        <w:t>.</w:t>
      </w:r>
    </w:p>
    <w:p>
      <w:pPr>
        <w:sectPr>
          <w:headerReference w:type="even" r:id="rId32"/>
          <w:headerReference w:type="default" r:id="rId33"/>
          <w:pgSz w:w="11907" w:h="16840" w:code="9"/>
          <w:pgMar w:top="2376" w:right="2404" w:bottom="3544" w:left="2404" w:header="720" w:footer="3544" w:gutter="0"/>
          <w:cols w:space="720"/>
          <w:noEndnote/>
          <w:docGrid w:linePitch="326"/>
        </w:sectPr>
      </w:pPr>
    </w:p>
    <w:p>
      <w:pPr>
        <w:pStyle w:val="nHeading2"/>
        <w:rPr>
          <w:sz w:val="28"/>
        </w:rPr>
      </w:pPr>
      <w:bookmarkStart w:id="98" w:name="_Toc201915739"/>
      <w:bookmarkStart w:id="99" w:name="_Toc201916260"/>
      <w:bookmarkStart w:id="100" w:name="_Toc201918867"/>
      <w:r>
        <w:rPr>
          <w:sz w:val="28"/>
        </w:rPr>
        <w:lastRenderedPageBreak/>
        <w:t>Defined terms</w:t>
      </w:r>
      <w:bookmarkEnd w:id="98"/>
      <w:bookmarkEnd w:id="99"/>
      <w:bookmarkEnd w:id="1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27</w:t>
      </w:r>
    </w:p>
    <w:p>
      <w:pPr>
        <w:pStyle w:val="DefinedTerms"/>
      </w:pPr>
      <w:r>
        <w:t>authorised person</w:t>
      </w:r>
      <w:r>
        <w:tab/>
        <w:t>3(1)</w:t>
      </w:r>
    </w:p>
    <w:p>
      <w:pPr>
        <w:pStyle w:val="DefinedTerms"/>
      </w:pPr>
      <w:r>
        <w:t>boom gate controlled ticket parking area</w:t>
      </w:r>
      <w:r>
        <w:tab/>
        <w:t>26AA(1)</w:t>
      </w:r>
    </w:p>
    <w:p>
      <w:pPr>
        <w:pStyle w:val="DefinedTerms"/>
      </w:pPr>
      <w:r>
        <w:t>committee</w:t>
      </w:r>
      <w:r>
        <w:tab/>
        <w:t>26AF(1)</w:t>
      </w:r>
    </w:p>
    <w:p>
      <w:pPr>
        <w:pStyle w:val="DefinedTerms"/>
      </w:pPr>
      <w:r>
        <w:t>decision</w:t>
      </w:r>
      <w:r>
        <w:tab/>
        <w:t>26AF(1)</w:t>
      </w:r>
    </w:p>
    <w:p>
      <w:pPr>
        <w:pStyle w:val="DefinedTerms"/>
      </w:pPr>
      <w:r>
        <w:t>driver</w:t>
      </w:r>
      <w:r>
        <w:tab/>
        <w:t>3(1)</w:t>
      </w:r>
    </w:p>
    <w:p>
      <w:pPr>
        <w:pStyle w:val="DefinedTerms"/>
      </w:pPr>
      <w:r>
        <w:t>eligible staff member</w:t>
      </w:r>
      <w:r>
        <w:tab/>
        <w:t>26AB(1)</w:t>
      </w:r>
    </w:p>
    <w:p>
      <w:pPr>
        <w:pStyle w:val="DefinedTerms"/>
      </w:pPr>
      <w:r>
        <w:t>firearm</w:t>
      </w:r>
      <w:r>
        <w:tab/>
        <w:t>3(1)</w:t>
      </w:r>
    </w:p>
    <w:p>
      <w:pPr>
        <w:pStyle w:val="DefinedTerms"/>
      </w:pPr>
      <w:r>
        <w:t>Hospital</w:t>
      </w:r>
      <w:r>
        <w:tab/>
        <w:t>3(1)</w:t>
      </w:r>
    </w:p>
    <w:p>
      <w:pPr>
        <w:pStyle w:val="DefinedTerms"/>
      </w:pPr>
      <w:r>
        <w:t>infringement notice</w:t>
      </w:r>
      <w:r>
        <w:tab/>
        <w:t>27</w:t>
      </w:r>
    </w:p>
    <w:p>
      <w:pPr>
        <w:pStyle w:val="DefinedTerms"/>
      </w:pPr>
      <w:r>
        <w:t>modified penalty</w:t>
      </w:r>
      <w:r>
        <w:tab/>
        <w:t>27</w:t>
      </w:r>
    </w:p>
    <w:p>
      <w:pPr>
        <w:pStyle w:val="DefinedTerms"/>
      </w:pPr>
      <w:r>
        <w:t>North Metropolitan Health Service</w:t>
      </w:r>
      <w:r>
        <w:tab/>
        <w:t>3(1)</w:t>
      </w:r>
    </w:p>
    <w:p>
      <w:pPr>
        <w:pStyle w:val="DefinedTerms"/>
      </w:pPr>
      <w:r>
        <w:t>on-demand rank or hail vehicle authorisation</w:t>
      </w:r>
      <w:r>
        <w:tab/>
        <w:t>2(1)</w:t>
      </w:r>
    </w:p>
    <w:p>
      <w:pPr>
        <w:pStyle w:val="DefinedTerms"/>
      </w:pPr>
      <w:r>
        <w:t>paid staff parking area</w:t>
      </w:r>
      <w:r>
        <w:tab/>
        <w:t>26AB(1)</w:t>
      </w:r>
    </w:p>
    <w:p>
      <w:pPr>
        <w:pStyle w:val="DefinedTerms"/>
      </w:pPr>
      <w:r>
        <w:t>parking facility</w:t>
      </w:r>
      <w:r>
        <w:tab/>
        <w:t>3(1)</w:t>
      </w:r>
    </w:p>
    <w:p>
      <w:pPr>
        <w:pStyle w:val="DefinedTerms"/>
      </w:pPr>
      <w:r>
        <w:t>parking permit</w:t>
      </w:r>
      <w:r>
        <w:tab/>
        <w:t>3(1)</w:t>
      </w:r>
    </w:p>
    <w:p>
      <w:pPr>
        <w:pStyle w:val="DefinedTerms"/>
      </w:pPr>
      <w:r>
        <w:t>parking space</w:t>
      </w:r>
      <w:r>
        <w:tab/>
        <w:t>3(1)</w:t>
      </w:r>
    </w:p>
    <w:p>
      <w:pPr>
        <w:pStyle w:val="DefinedTerms"/>
      </w:pPr>
      <w:r>
        <w:t>permit parking area</w:t>
      </w:r>
      <w:r>
        <w:tab/>
        <w:t>26AC(1)</w:t>
      </w:r>
    </w:p>
    <w:p>
      <w:pPr>
        <w:pStyle w:val="DefinedTerms"/>
      </w:pPr>
      <w:r>
        <w:t>prescribed fee</w:t>
      </w:r>
      <w:r>
        <w:tab/>
        <w:t>3(1)</w:t>
      </w:r>
    </w:p>
    <w:p>
      <w:pPr>
        <w:pStyle w:val="DefinedTerms"/>
      </w:pPr>
      <w:r>
        <w:t>prohibited item</w:t>
      </w:r>
      <w:r>
        <w:tab/>
        <w:t>7(1)</w:t>
      </w:r>
    </w:p>
    <w:p>
      <w:pPr>
        <w:pStyle w:val="DefinedTerms"/>
      </w:pPr>
      <w:r>
        <w:t>public hospital</w:t>
      </w:r>
      <w:r>
        <w:tab/>
        <w:t>3(1)</w:t>
      </w:r>
    </w:p>
    <w:p>
      <w:pPr>
        <w:pStyle w:val="DefinedTerms"/>
      </w:pPr>
      <w:r>
        <w:t>responsible person</w:t>
      </w:r>
      <w:r>
        <w:tab/>
        <w:t>3(1)</w:t>
      </w:r>
    </w:p>
    <w:p>
      <w:pPr>
        <w:pStyle w:val="DefinedTerms"/>
      </w:pPr>
      <w:r>
        <w:t>roadway</w:t>
      </w:r>
      <w:r>
        <w:tab/>
        <w:t>3(1)</w:t>
      </w:r>
    </w:p>
    <w:p>
      <w:pPr>
        <w:pStyle w:val="DefinedTerms"/>
      </w:pPr>
      <w:r>
        <w:t>secretary</w:t>
      </w:r>
      <w:r>
        <w:tab/>
        <w:t>3(1)</w:t>
      </w:r>
    </w:p>
    <w:p>
      <w:pPr>
        <w:pStyle w:val="DefinedTerms"/>
      </w:pPr>
      <w:r>
        <w:t>sign</w:t>
      </w:r>
      <w:r>
        <w:tab/>
        <w:t>3(1)</w:t>
      </w:r>
    </w:p>
    <w:p>
      <w:pPr>
        <w:pStyle w:val="DefinedTerms"/>
      </w:pPr>
      <w:r>
        <w:t>site</w:t>
      </w:r>
      <w:r>
        <w:tab/>
        <w:t>3(1)</w:t>
      </w:r>
    </w:p>
    <w:p>
      <w:pPr>
        <w:pStyle w:val="DefinedTerms"/>
      </w:pPr>
      <w:r>
        <w:t>specified</w:t>
      </w:r>
      <w:r>
        <w:tab/>
        <w:t>15(3), 25(5)</w:t>
      </w:r>
    </w:p>
    <w:p>
      <w:pPr>
        <w:pStyle w:val="DefinedTerms"/>
      </w:pPr>
      <w:r>
        <w:t>speed restriction sign</w:t>
      </w:r>
      <w:r>
        <w:tab/>
        <w:t>3(1)</w:t>
      </w:r>
    </w:p>
    <w:p>
      <w:pPr>
        <w:pStyle w:val="DefinedTerms"/>
      </w:pPr>
      <w:r>
        <w:t>ticket</w:t>
      </w:r>
      <w:r>
        <w:tab/>
        <w:t>3(1)</w:t>
      </w:r>
    </w:p>
    <w:p>
      <w:pPr>
        <w:pStyle w:val="DefinedTerms"/>
      </w:pPr>
      <w:r>
        <w:t>ticket parking area</w:t>
      </w:r>
      <w:r>
        <w:tab/>
        <w:t>26AA(1)</w:t>
      </w:r>
    </w:p>
    <w:p>
      <w:pPr>
        <w:pStyle w:val="DefinedTerms"/>
      </w:pPr>
      <w:r>
        <w:t>ticket vending machine</w:t>
      </w:r>
      <w:r>
        <w:tab/>
        <w:t>3(1)</w:t>
      </w:r>
    </w:p>
    <w:p>
      <w:pPr>
        <w:pStyle w:val="DefinedTerms"/>
      </w:pPr>
      <w:r>
        <w:t>vehicle</w:t>
      </w:r>
      <w:r>
        <w:tab/>
        <w:t>3(1)</w:t>
      </w:r>
    </w:p>
    <w:p/>
    <w:p>
      <w:pPr>
        <w:sectPr>
          <w:headerReference w:type="even" r:id="rId34"/>
          <w:headerReference w:type="default" r:id="rId3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9E403A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5BD8AB8" w14:textId="48B81CEA" w:rsidR="00D217F1" w:rsidRDefault="002949F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1336F">
                        <w:rPr>
                          <w:sz w:val="16"/>
                        </w:rPr>
                        <w:t>2025</w:t>
                      </w:r>
                      <w:r>
                        <w:rPr>
                          <w:sz w:val="16"/>
                        </w:rPr>
                        <w:fldChar w:fldCharType="end"/>
                      </w:r>
                      <w:r>
                        <w:rPr>
                          <w:sz w:val="16"/>
                        </w:rPr>
                        <w:t>.</w:t>
                      </w:r>
                    </w:p>
                    <w:p w14:paraId="437F816C" w14:textId="77777777" w:rsidR="00D217F1" w:rsidRDefault="002949F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D94D824" w14:textId="775C2EEA" w:rsidR="00D217F1" w:rsidRDefault="002949F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1336F">
                        <w:rPr>
                          <w:sz w:val="16"/>
                        </w:rPr>
                        <w:t>2025</w:t>
                      </w:r>
                      <w:r>
                        <w:rPr>
                          <w:sz w:val="16"/>
                        </w:rPr>
                        <w:fldChar w:fldCharType="end"/>
                      </w:r>
                      <w:r>
                        <w:rPr>
                          <w:sz w:val="16"/>
                        </w:rPr>
                        <w:t>.</w:t>
                      </w:r>
                    </w:p>
                    <w:p w14:paraId="223490A2" w14:textId="77777777" w:rsidR="00D217F1" w:rsidRDefault="002949F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03-q0-00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03-q0-00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03-q0-00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03-q0-00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03-q0-00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03-q0-00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81" w:name="Schedule"/>
    <w:bookmarkEnd w:id="8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separate"/>
          </w:r>
          <w:r>
            <w:rPr>
              <w:b/>
            </w:rPr>
            <w:t>Schedule 1</w:t>
          </w:r>
          <w:r>
            <w:rPr>
              <w:b/>
            </w:rPr>
            <w:fldChar w:fldCharType="end"/>
          </w: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e 1</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7" w:name="Compilation"/>
    <w:bookmarkEnd w:id="97"/>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1" w:name="DefinedTerms"/>
    <w:bookmarkEnd w:id="101"/>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2" w:name="Coversheet"/>
    <w:bookmarkEnd w:id="1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DADB5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80D0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D74E19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C060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286995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A48DD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5BE6A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DE520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C843D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CE89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D5E6D6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1"/>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41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7111831"/>
    <w:docVar w:name="WAFER_20140124140320" w:val="RemoveTocBookmarks,RemoveUnusedBookmarks,RemoveLanguageTags,UsedStyles,ResetPageSize,UpdateArrangement"/>
    <w:docVar w:name="WAFER_20140124140320_GUID" w:val="fa5df158-5eb9-4b5b-ad7a-b76e4e02162d"/>
    <w:docVar w:name="WAFER_20140124143440" w:val="RemoveTocBookmarks,RunningHeaders"/>
    <w:docVar w:name="WAFER_20140124143440_GUID" w:val="4d2fd4ff-72c0-4753-9730-48353a9dae63"/>
    <w:docVar w:name="WAFER_20140217102954" w:val="RemoveTocBookmarks,RemoveUnusedBookmarks,RemoveLanguageTags,UsedStyles,ResetPageSize,RemoveCustomizations,UpdateArrangement"/>
    <w:docVar w:name="WAFER_20140217102954_GUID" w:val="c89db622-f898-4a13-a711-8c8e0d4cb7b4"/>
    <w:docVar w:name="WAFER_20140327125627" w:val="RemoveTocBookmarks,RemoveLanguageTags,RemoveTrackChanges,RunningHeaders"/>
    <w:docVar w:name="WAFER_20140327125627_GUID" w:val="c12f67ad-5f23-467e-8352-92d0c4a3460c"/>
    <w:docVar w:name="WAFER_20140327125647" w:val="RemoveTocBookmarks,RemoveLanguageTags,RemoveTrackChanges,RunningHeaders"/>
    <w:docVar w:name="WAFER_20140327125647_GUID" w:val="c490c061-c4c1-4729-b0d3-a8867c568614"/>
    <w:docVar w:name="WAFER_20140502151010" w:val="RemoveTocBookmarks,RemoveLanguageTags,RemoveTrackChanges,RunningHeaders"/>
    <w:docVar w:name="WAFER_20140502151010_GUID" w:val="3a387cd8-b3fc-49c3-824f-8185c1d8d692"/>
    <w:docVar w:name="WAFER_20140507113511" w:val="RemoveTocBookmarks,RemoveUnusedBookmarks,RemoveLanguageTags,UsedStyles,ResetPageSize"/>
    <w:docVar w:name="WAFER_20140507113511_GUID" w:val="7cb320ce-3b2a-408e-b19c-063a98c1d20b"/>
    <w:docVar w:name="WAFER_20140626130316" w:val="RemoveTocBookmarks,RemoveUnusedBookmarks,RemoveLanguageTags,UsedStyles,ResetPageSize,UpdateArrangement"/>
    <w:docVar w:name="WAFER_20140626130316_GUID" w:val="1cd141dd-31ca-4768-997c-87f1af80714e"/>
    <w:docVar w:name="WAFER_20150416103201" w:val="ResetPageSize,UpdateArrangement,UpdateNTable"/>
    <w:docVar w:name="WAFER_20150416103201_GUID" w:val="06e6223f-5572-457b-b629-8b0e808eafde"/>
    <w:docVar w:name="WAFER_20151112114216" w:val="UpdateStyles,UsedStyles"/>
    <w:docVar w:name="WAFER_20151112114216_GUID" w:val="25f77460-f198-41fe-8170-086a55b8c6ce"/>
    <w:docVar w:name="WAFER_20170209113101" w:val="RemoveTocBookmarks,RemoveUnusedBookmarks,RemoveLanguageTags,UsedStyles,ResetPageSize,RemoveCustomizations"/>
    <w:docVar w:name="WAFER_20170209113101_GUID" w:val="26ee3d78-f765-4e77-9ae3-b9ef745e23e1"/>
    <w:docVar w:name="WAFER_20180607153515" w:val="RemoveTocBookmarks,RemoveUnusedBookmarks,RemoveLanguageTags,UsedStyles,ResetPageSize"/>
    <w:docVar w:name="WAFER_20180607153515_GUID" w:val="bac5804d-bcfb-4900-bfd3-60aaf4bdab4e"/>
    <w:docVar w:name="WAFER_20180627160459" w:val="RemoveTocBookmarks,RemoveUnusedBookmarks,RemoveLanguageTags,UsedStyles,ResetPageSize"/>
    <w:docVar w:name="WAFER_20180627160459_GUID" w:val="3dcf1855-28e8-4d3f-9f72-dabd875d2aea"/>
    <w:docVar w:name="WAFER_2020021217191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71919_GUID" w:val="f2828cb6-abab-4439-98d5-747009964e57"/>
    <w:docVar w:name="WAFER_202111031212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21244_GUID" w:val="9ea63970-7d97-42d8-b89f-c4f4c829f22a"/>
    <w:docVar w:name="WAFER_202208021335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2133513_GUID" w:val="cf7ce9f8-7a09-46bf-9f6b-2370ecd7a1b5"/>
    <w:docVar w:name="WAFER_202306221513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2151319_GUID" w:val="3e913dba-9dfa-4efe-8d12-9a33715b968a"/>
    <w:docVar w:name="WAFER_202312281403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359_GUID" w:val="d23558cb-80d3-48ea-8b92-19b189946ee4"/>
    <w:docVar w:name="WAFER_202406261153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115327_GUID" w:val="ac11c490-886d-4522-9979-d655439ec87d"/>
    <w:docVar w:name="WAFER_202412040937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4093716_GUID" w:val="f44d92fa-db98-417d-8ced-9c1090ba8c3b"/>
    <w:docVar w:name="WAFER_202412160826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6082603_GUID" w:val="6bee4cb9-07ca-44c9-b258-f7e215817fb3"/>
    <w:docVar w:name="WAFER_202502261324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226132431_GUID" w:val="fd93394b-a1bc-4f07-bc5f-b2f855e3c398"/>
    <w:docVar w:name="WAFER_202503141205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20540_GUID" w:val="2e6c6b2a-7f32-4a5c-8c1e-81cf77776f31"/>
    <w:docVar w:name="WAFER_202506271118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7111831_GUID" w:val="21f6f78a-c131-4d07-9406-aa608847c5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1313"/>
    <o:shapelayout v:ext="edit">
      <o:idmap v:ext="edit" data="1"/>
    </o:shapelayout>
  </w:shapeDefaults>
  <w:decimalSymbol w:val="."/>
  <w:listSeparator w:val=","/>
  <w15:docId w15:val="{C27725A9-87B2-4FB1-8849-5D483D80A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6380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1D4E3B-EE55-4C59-97F3-8F9CB4242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8847</Words>
  <Characters>43087</Characters>
  <Application>Microsoft Office Word</Application>
  <DocSecurity>0</DocSecurity>
  <Lines>1538</Lines>
  <Paragraphs>961</Paragraphs>
  <ScaleCrop>false</ScaleCrop>
  <HeadingPairs>
    <vt:vector size="2" baseType="variant">
      <vt:variant>
        <vt:lpstr>Title</vt:lpstr>
      </vt:variant>
      <vt:variant>
        <vt:i4>1</vt:i4>
      </vt:variant>
    </vt:vector>
  </HeadingPairs>
  <TitlesOfParts>
    <vt:vector size="1" baseType="lpstr">
      <vt:lpstr>Queen Elizabeth II Medical Centre (Delegated Site) By-laws 1986</vt:lpstr>
    </vt:vector>
  </TitlesOfParts>
  <Manager/>
  <Company/>
  <LinksUpToDate>false</LinksUpToDate>
  <CharactersWithSpaces>50973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(Delegated Site) By-laws 1986 - 03-q0-00</dc:title>
  <dc:subject/>
  <dc:creator/>
  <cp:keywords/>
  <dc:description/>
  <cp:lastModifiedBy>Master Repository Process</cp:lastModifiedBy>
  <cp:revision>4</cp:revision>
  <cp:lastPrinted>2017-08-01T07:58:00Z</cp:lastPrinted>
  <dcterms:created xsi:type="dcterms:W3CDTF">2025-06-27T06:30:00Z</dcterms:created>
  <dcterms:modified xsi:type="dcterms:W3CDTF">2025-06-27T06:30:00Z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October 1986 pp.3947-54</vt:lpwstr>
  </property>
  <property fmtid="{D5CDD505-2E9C-101B-9397-08002B2CF9AE}" pid="3" name="DocumentType">
    <vt:lpwstr>Reg</vt:lpwstr>
  </property>
  <property fmtid="{D5CDD505-2E9C-101B-9397-08002B2CF9AE}" pid="4" name="OwlsUID">
    <vt:i4>4726</vt:i4>
  </property>
  <property fmtid="{D5CDD505-2E9C-101B-9397-08002B2CF9AE}" pid="5" name="ReprintedAsAt">
    <vt:filetime>2017-08-03T16:00:00Z</vt:filetime>
  </property>
  <property fmtid="{D5CDD505-2E9C-101B-9397-08002B2CF9AE}" pid="6" name="ReprintNo">
    <vt:lpwstr>3</vt:lpwstr>
  </property>
  <property fmtid="{D5CDD505-2E9C-101B-9397-08002B2CF9AE}" pid="7" name="CommencementDate">
    <vt:lpwstr>20250701</vt:lpwstr>
  </property>
  <property fmtid="{D5CDD505-2E9C-101B-9397-08002B2CF9AE}" pid="8" name="CommencementAsAt">
    <vt:filetime>2025-06-30T16:00:00Z</vt:filetime>
  </property>
  <property fmtid="{D5CDD505-2E9C-101B-9397-08002B2CF9AE}" pid="9" name="CommencementYear">
    <vt:lpwstr>2025</vt:lpwstr>
  </property>
  <property fmtid="{D5CDD505-2E9C-101B-9397-08002B2CF9AE}" pid="10" name="AsAtDate">
    <vt:lpwstr>01 Jul 2025</vt:lpwstr>
  </property>
  <property fmtid="{D5CDD505-2E9C-101B-9397-08002B2CF9AE}" pid="11" name="Suffix">
    <vt:lpwstr>03-q0-00</vt:lpwstr>
  </property>
  <property fmtid="{D5CDD505-2E9C-101B-9397-08002B2CF9AE}" pid="12" name="Official">
    <vt:lpwstr/>
  </property>
</Properties>
</file>