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National Regulations (Fees)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National Regulations (Fees)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_Toc202185015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_Toc202185016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provisions</w:t>
      </w:r>
      <w:r>
        <w:tab/>
      </w:r>
      <w:r>
        <w:fldChar w:fldCharType="begin"/>
      </w:r>
      <w:r>
        <w:instrText xml:space="preserve"> PAGEREF _Toc202185017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Amendment of </w:t>
      </w:r>
      <w:r>
        <w:rPr>
          <w:i/>
          <w:iCs/>
        </w:rPr>
        <w:t>Rail Safety National Law National Regulations 2012</w:t>
      </w:r>
    </w:p>
    <w:p>
      <w:pPr>
        <w:pStyle w:val="TOC8"/>
        <w:rPr>
          <w:rFonts w:asciiTheme="minorHAnsi" w:eastAsiaTheme="minorEastAsia" w:hAnsiTheme="minorHAnsi" w:cstheme="minorBidi"/>
          <w:szCs w:val="22"/>
        </w:rPr>
      </w:pPr>
      <w:r>
        <w:t>4</w:t>
      </w:r>
      <w:r>
        <w:rPr>
          <w:snapToGrid w:val="0"/>
        </w:rPr>
        <w:t>.</w:t>
      </w:r>
      <w:r>
        <w:rPr>
          <w:snapToGrid w:val="0"/>
        </w:rPr>
        <w:tab/>
        <w:t>Amendment of Schedule 3 — Fees</w:t>
      </w:r>
      <w:r>
        <w:tab/>
      </w:r>
      <w:r>
        <w:fldChar w:fldCharType="begin"/>
      </w:r>
      <w:r>
        <w:instrText xml:space="preserve"> PAGEREF _Toc202185019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Law National Regulations (Fees) Amendment Regulations 2025</w:t>
      </w:r>
    </w:p>
    <w:p>
      <w:pPr>
        <w:pStyle w:val="MadeBy"/>
        <w:rPr>
          <w:strike/>
        </w:rPr>
      </w:pPr>
      <w:r>
        <w:t>Made by the Governor’s Deputy of South Australia on the unanimous recommendation of the responsible Ministers and with the advice and consent of the Executive Council of that State on 26 June 2025.</w:t>
      </w:r>
    </w:p>
    <w:p>
      <w:pPr>
        <w:pStyle w:val="PermNoteHeading"/>
      </w:pPr>
      <w:r>
        <w:t xml:space="preserve">[Editorial note: </w:t>
      </w:r>
    </w:p>
    <w:p>
      <w:pPr>
        <w:pStyle w:val="PermNoteText"/>
        <w:tabs>
          <w:tab w:val="clear" w:pos="879"/>
          <w:tab w:val="left" w:pos="567"/>
        </w:tabs>
        <w:ind w:left="567" w:hanging="567"/>
      </w:pPr>
      <w:r>
        <w:tab/>
        <w:t xml:space="preserve">Regulations made under the </w:t>
      </w:r>
      <w:r>
        <w:rPr>
          <w:i/>
          <w:iCs/>
        </w:rPr>
        <w:t>Rail Safety National Law (WA)</w:t>
      </w:r>
      <w:r>
        <w:t xml:space="preserve"> s. 264 are made by the Governor of South Australia (see SL 2025</w:t>
      </w:r>
      <w:r>
        <w:noBreakHyphen/>
        <w:t xml:space="preserve">51 published in SA </w:t>
      </w:r>
      <w:r>
        <w:rPr>
          <w:i/>
          <w:iCs/>
        </w:rPr>
        <w:t>Gazette</w:t>
      </w:r>
      <w:r>
        <w:t xml:space="preserve"> 26 June 2025 p. 2117</w:t>
      </w:r>
      <w:r>
        <w:noBreakHyphen/>
        <w:t>18).]</w:t>
      </w:r>
    </w:p>
    <w:p>
      <w:pPr>
        <w:pStyle w:val="Heading2"/>
        <w:pageBreakBefore w:val="0"/>
        <w:spacing w:before="360"/>
      </w:pPr>
      <w:bookmarkStart w:id="2" w:name="_Toc202184747"/>
      <w:bookmarkStart w:id="3" w:name="_Toc202184820"/>
      <w:bookmarkStart w:id="4" w:name="_Toc20218501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2184748"/>
      <w:bookmarkStart w:id="6" w:name="_Toc202185015"/>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Rail Safety National Law National Regulations (Fees) Amendment Regulations 2025</w:t>
      </w:r>
      <w:r>
        <w:t>.</w:t>
      </w:r>
    </w:p>
    <w:p>
      <w:pPr>
        <w:pStyle w:val="Heading5"/>
        <w:rPr>
          <w:spacing w:val="-2"/>
        </w:rPr>
      </w:pPr>
      <w:bookmarkStart w:id="8" w:name="_Toc202184749"/>
      <w:bookmarkStart w:id="9" w:name="_Toc202185016"/>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r>
      <w:r>
        <w:t xml:space="preserve">These </w:t>
      </w:r>
      <w:r>
        <w:rPr>
          <w:spacing w:val="-2"/>
        </w:rPr>
        <w:t>regulations come into operation on 1 July 2025.</w:t>
      </w:r>
    </w:p>
    <w:p>
      <w:pPr>
        <w:pStyle w:val="Heading5"/>
        <w:rPr>
          <w:snapToGrid w:val="0"/>
        </w:rPr>
      </w:pPr>
      <w:bookmarkStart w:id="10" w:name="_Toc202184750"/>
      <w:bookmarkStart w:id="11" w:name="_Toc202185017"/>
      <w:r>
        <w:rPr>
          <w:rStyle w:val="CharSectno"/>
        </w:rPr>
        <w:t>3</w:t>
      </w:r>
      <w:r>
        <w:rPr>
          <w:snapToGrid w:val="0"/>
        </w:rPr>
        <w:t>.</w:t>
      </w:r>
      <w:r>
        <w:rPr>
          <w:snapToGrid w:val="0"/>
        </w:rPr>
        <w:tab/>
        <w:t>Amendment provisions</w:t>
      </w:r>
      <w:bookmarkEnd w:id="10"/>
      <w:bookmarkEnd w:id="11"/>
    </w:p>
    <w:p>
      <w:pPr>
        <w:pStyle w:val="Subsection"/>
      </w:pPr>
      <w:r>
        <w:tab/>
      </w:r>
      <w:r>
        <w:tab/>
        <w:t>In these regulations, a provision under a heading referring to the amendment of specified regulations amends the regulations so specified.</w:t>
      </w:r>
    </w:p>
    <w:p>
      <w:pPr>
        <w:pStyle w:val="Heading2"/>
        <w:pageBreakBefore w:val="0"/>
        <w:spacing w:before="360"/>
      </w:pPr>
      <w:bookmarkStart w:id="12" w:name="_Toc202184751"/>
      <w:bookmarkStart w:id="13" w:name="_Toc202184824"/>
      <w:bookmarkStart w:id="14" w:name="_Toc202185018"/>
      <w:r>
        <w:rPr>
          <w:rStyle w:val="CharPartNo"/>
        </w:rPr>
        <w:lastRenderedPageBreak/>
        <w:t>Part 2</w:t>
      </w:r>
      <w:r>
        <w:rPr>
          <w:rStyle w:val="CharDivNo"/>
        </w:rPr>
        <w:t> </w:t>
      </w:r>
      <w:r>
        <w:t>—</w:t>
      </w:r>
      <w:r>
        <w:rPr>
          <w:rStyle w:val="CharDivText"/>
        </w:rPr>
        <w:t> </w:t>
      </w:r>
      <w:r>
        <w:rPr>
          <w:rStyle w:val="CharPartText"/>
        </w:rPr>
        <w:t xml:space="preserve">Amendment of </w:t>
      </w:r>
      <w:r>
        <w:rPr>
          <w:rStyle w:val="CharPartText"/>
          <w:i/>
          <w:iCs/>
        </w:rPr>
        <w:t>Rail Safety National Law National Regulations 2012</w:t>
      </w:r>
      <w:bookmarkEnd w:id="12"/>
      <w:bookmarkEnd w:id="13"/>
      <w:bookmarkEnd w:id="14"/>
    </w:p>
    <w:p>
      <w:pPr>
        <w:pStyle w:val="PermNoteHeading"/>
      </w:pPr>
      <w:r>
        <w:t xml:space="preserve">[Editorial note: </w:t>
      </w:r>
    </w:p>
    <w:p>
      <w:pPr>
        <w:pStyle w:val="PermNoteText"/>
        <w:tabs>
          <w:tab w:val="clear" w:pos="879"/>
          <w:tab w:val="left" w:pos="567"/>
        </w:tabs>
        <w:ind w:left="567" w:hanging="567"/>
      </w:pPr>
      <w:r>
        <w:tab/>
        <w:t xml:space="preserve">These regulations have the effect of amending the </w:t>
      </w:r>
      <w:r>
        <w:rPr>
          <w:i/>
          <w:iCs/>
        </w:rPr>
        <w:t>Rail Safety National Regulations (WA)</w:t>
      </w:r>
      <w:r>
        <w:t xml:space="preserve">. See the </w:t>
      </w:r>
      <w:r>
        <w:rPr>
          <w:i/>
          <w:iCs/>
        </w:rPr>
        <w:t>Rail Safety National Law Application Act 2024</w:t>
      </w:r>
      <w:r>
        <w:t xml:space="preserve"> section 12.]</w:t>
      </w:r>
    </w:p>
    <w:p>
      <w:pPr>
        <w:pStyle w:val="Heading5"/>
        <w:rPr>
          <w:snapToGrid w:val="0"/>
        </w:rPr>
      </w:pPr>
      <w:bookmarkStart w:id="15" w:name="_Toc202184752"/>
      <w:bookmarkStart w:id="16" w:name="_Toc202185019"/>
      <w:r>
        <w:rPr>
          <w:rStyle w:val="CharSectno"/>
        </w:rPr>
        <w:t>4</w:t>
      </w:r>
      <w:r>
        <w:rPr>
          <w:snapToGrid w:val="0"/>
        </w:rPr>
        <w:t>.</w:t>
      </w:r>
      <w:r>
        <w:rPr>
          <w:snapToGrid w:val="0"/>
        </w:rPr>
        <w:tab/>
        <w:t>Amendment of Schedule 3 — Fees</w:t>
      </w:r>
      <w:bookmarkEnd w:id="15"/>
      <w:bookmarkEnd w:id="16"/>
    </w:p>
    <w:p>
      <w:pPr>
        <w:pStyle w:val="Subsection"/>
        <w:rPr>
          <w:color w:val="000000"/>
          <w:szCs w:val="24"/>
        </w:rPr>
      </w:pPr>
      <w:r>
        <w:tab/>
        <w:t>(1)</w:t>
      </w:r>
      <w:r>
        <w:tab/>
      </w:r>
      <w:r>
        <w:rPr>
          <w:color w:val="000000"/>
          <w:szCs w:val="24"/>
        </w:rPr>
        <w:t>Schedule 3, Part 1, table, item 1A — delete “</w:t>
      </w:r>
      <w:r>
        <w:rPr>
          <w:color w:val="000000"/>
          <w:sz w:val="22"/>
          <w:szCs w:val="22"/>
        </w:rPr>
        <w:t>$93 755</w:t>
      </w:r>
      <w:r>
        <w:rPr>
          <w:color w:val="000000"/>
          <w:szCs w:val="24"/>
        </w:rPr>
        <w:t>” and substitute:</w:t>
      </w:r>
    </w:p>
    <w:p>
      <w:pPr>
        <w:pStyle w:val="BlankOpen"/>
      </w:pPr>
    </w:p>
    <w:p>
      <w:pPr>
        <w:pStyle w:val="Subsection"/>
        <w:rPr>
          <w:sz w:val="22"/>
          <w:szCs w:val="22"/>
        </w:rPr>
      </w:pPr>
      <w:r>
        <w:tab/>
      </w:r>
      <w:r>
        <w:tab/>
      </w:r>
      <w:r>
        <w:rPr>
          <w:color w:val="000000"/>
          <w:sz w:val="22"/>
          <w:szCs w:val="22"/>
        </w:rPr>
        <w:t>$96 755</w:t>
      </w:r>
    </w:p>
    <w:p>
      <w:pPr>
        <w:pStyle w:val="BlankClose"/>
      </w:pPr>
    </w:p>
    <w:p>
      <w:pPr>
        <w:pStyle w:val="Subsection"/>
      </w:pPr>
      <w:r>
        <w:tab/>
        <w:t>(2)</w:t>
      </w:r>
      <w:r>
        <w:tab/>
        <w:t>Schedule 3, Part 1, table, item 2 — delete the item</w:t>
      </w:r>
    </w:p>
    <w:p>
      <w:pPr>
        <w:pStyle w:val="Subsection"/>
      </w:pPr>
      <w:r>
        <w:tab/>
        <w:t>(3)</w:t>
      </w:r>
      <w:r>
        <w:tab/>
        <w:t>Schedule 3, Part 1, table, item 5 — delete the item</w:t>
      </w:r>
    </w:p>
    <w:p>
      <w:pPr>
        <w:pStyle w:val="Subsection"/>
      </w:pPr>
      <w:r>
        <w:tab/>
        <w:t>(4)</w:t>
      </w:r>
      <w:r>
        <w:tab/>
        <w:t>Schedule 3, Part 2, clause 1(1), table — delete the table in clause 1(1) and substitute:</w:t>
      </w:r>
    </w:p>
    <w:p>
      <w:pPr>
        <w:pStyle w:val="BlankOpen"/>
      </w:pPr>
    </w:p>
    <w:tbl>
      <w:tblPr>
        <w:tblW w:w="6941" w:type="dxa"/>
        <w:tblInd w:w="137" w:type="dxa"/>
        <w:tblLayout w:type="fixed"/>
        <w:tblCellMar>
          <w:left w:w="60" w:type="dxa"/>
          <w:right w:w="60" w:type="dxa"/>
        </w:tblCellMar>
        <w:tblLook w:val="0000" w:firstRow="0" w:lastRow="0" w:firstColumn="0" w:lastColumn="0" w:noHBand="0" w:noVBand="0"/>
      </w:tblPr>
      <w:tblGrid>
        <w:gridCol w:w="1276"/>
        <w:gridCol w:w="709"/>
        <w:gridCol w:w="708"/>
        <w:gridCol w:w="709"/>
        <w:gridCol w:w="709"/>
        <w:gridCol w:w="709"/>
        <w:gridCol w:w="708"/>
        <w:gridCol w:w="735"/>
        <w:gridCol w:w="678"/>
      </w:tblGrid>
      <w:tr>
        <w:trPr>
          <w:cantSplit/>
          <w:tblHeader/>
        </w:trPr>
        <w:tc>
          <w:tcPr>
            <w:tcW w:w="1276" w:type="dxa"/>
            <w:tcBorders>
              <w:top w:val="single" w:sz="4" w:space="0" w:color="auto"/>
              <w:left w:val="single" w:sz="4" w:space="0" w:color="auto"/>
              <w:bottom w:val="single" w:sz="4" w:space="0" w:color="auto"/>
              <w:right w:val="single" w:sz="4" w:space="0" w:color="auto"/>
            </w:tcBorders>
            <w:vAlign w:val="center"/>
          </w:tcPr>
          <w:p>
            <w:pPr>
              <w:pStyle w:val="zyTableNAm"/>
              <w:keepNext/>
              <w:rPr>
                <w:sz w:val="20"/>
              </w:rPr>
            </w:pPr>
          </w:p>
        </w:tc>
        <w:tc>
          <w:tcPr>
            <w:tcW w:w="709"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ACT</w:t>
            </w:r>
          </w:p>
        </w:tc>
        <w:tc>
          <w:tcPr>
            <w:tcW w:w="708"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QLD</w:t>
            </w:r>
          </w:p>
        </w:tc>
        <w:tc>
          <w:tcPr>
            <w:tcW w:w="709"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SA</w:t>
            </w:r>
          </w:p>
        </w:tc>
        <w:tc>
          <w:tcPr>
            <w:tcW w:w="708"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TAS</w:t>
            </w:r>
          </w:p>
        </w:tc>
        <w:tc>
          <w:tcPr>
            <w:tcW w:w="735"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VIC</w:t>
            </w:r>
          </w:p>
        </w:tc>
        <w:tc>
          <w:tcPr>
            <w:tcW w:w="678" w:type="dxa"/>
            <w:tcBorders>
              <w:top w:val="single" w:sz="4" w:space="0" w:color="auto"/>
              <w:left w:val="nil"/>
              <w:bottom w:val="single" w:sz="4" w:space="0" w:color="auto"/>
              <w:right w:val="single" w:sz="4" w:space="0" w:color="auto"/>
            </w:tcBorders>
            <w:vAlign w:val="center"/>
          </w:tcPr>
          <w:p>
            <w:pPr>
              <w:pStyle w:val="zyTableNAm"/>
              <w:keepNext/>
              <w:rPr>
                <w:b/>
                <w:bCs/>
                <w:sz w:val="20"/>
              </w:rPr>
            </w:pPr>
            <w:r>
              <w:rPr>
                <w:b/>
                <w:bCs/>
                <w:sz w:val="20"/>
              </w:rPr>
              <w:t>WA</w:t>
            </w:r>
          </w:p>
        </w:tc>
      </w:tr>
      <w:tr>
        <w:tc>
          <w:tcPr>
            <w:tcW w:w="1276" w:type="dxa"/>
            <w:tcBorders>
              <w:top w:val="single" w:sz="4" w:space="0" w:color="auto"/>
              <w:left w:val="single" w:sz="4" w:space="0" w:color="auto"/>
              <w:bottom w:val="single" w:sz="4" w:space="0" w:color="auto"/>
              <w:right w:val="single" w:sz="4" w:space="0" w:color="auto"/>
            </w:tcBorders>
            <w:vAlign w:val="center"/>
          </w:tcPr>
          <w:p>
            <w:pPr>
              <w:pStyle w:val="z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9"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320.98</w:t>
            </w:r>
          </w:p>
        </w:tc>
        <w:tc>
          <w:tcPr>
            <w:tcW w:w="708"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160.08</w:t>
            </w:r>
          </w:p>
        </w:tc>
        <w:tc>
          <w:tcPr>
            <w:tcW w:w="709"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147.11</w:t>
            </w:r>
          </w:p>
        </w:tc>
        <w:tc>
          <w:tcPr>
            <w:tcW w:w="708"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149.51</w:t>
            </w:r>
          </w:p>
        </w:tc>
        <w:tc>
          <w:tcPr>
            <w:tcW w:w="735"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296.17</w:t>
            </w:r>
          </w:p>
        </w:tc>
        <w:tc>
          <w:tcPr>
            <w:tcW w:w="678" w:type="dxa"/>
            <w:tcBorders>
              <w:top w:val="single" w:sz="4" w:space="0" w:color="auto"/>
              <w:left w:val="nil"/>
              <w:bottom w:val="single" w:sz="4" w:space="0" w:color="auto"/>
              <w:right w:val="single" w:sz="4" w:space="0" w:color="auto"/>
            </w:tcBorders>
            <w:vAlign w:val="center"/>
          </w:tcPr>
          <w:p>
            <w:pPr>
              <w:pStyle w:val="zyTableNAm"/>
              <w:keepNext/>
              <w:rPr>
                <w:sz w:val="18"/>
                <w:szCs w:val="18"/>
              </w:rPr>
            </w:pPr>
            <w:r>
              <w:rPr>
                <w:sz w:val="18"/>
                <w:szCs w:val="18"/>
              </w:rPr>
              <w:t>101.81</w:t>
            </w:r>
          </w:p>
        </w:tc>
      </w:tr>
      <w:tr>
        <w:trPr>
          <w:cantSplit/>
        </w:trPr>
        <w:tc>
          <w:tcPr>
            <w:tcW w:w="1276" w:type="dxa"/>
            <w:tcBorders>
              <w:top w:val="single" w:sz="4" w:space="0" w:color="auto"/>
              <w:left w:val="single" w:sz="4" w:space="0" w:color="auto"/>
              <w:bottom w:val="single" w:sz="4" w:space="0" w:color="auto"/>
              <w:right w:val="single" w:sz="4" w:space="0" w:color="auto"/>
            </w:tcBorders>
            <w:vAlign w:val="center"/>
          </w:tcPr>
          <w:p>
            <w:pPr>
              <w:pStyle w:val="z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9"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0.134</w:t>
            </w:r>
          </w:p>
        </w:tc>
        <w:tc>
          <w:tcPr>
            <w:tcW w:w="708"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0.094</w:t>
            </w:r>
          </w:p>
        </w:tc>
        <w:tc>
          <w:tcPr>
            <w:tcW w:w="709"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0.120</w:t>
            </w:r>
          </w:p>
        </w:tc>
        <w:tc>
          <w:tcPr>
            <w:tcW w:w="708"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0.393</w:t>
            </w:r>
          </w:p>
        </w:tc>
        <w:tc>
          <w:tcPr>
            <w:tcW w:w="735"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0.066</w:t>
            </w:r>
          </w:p>
        </w:tc>
        <w:tc>
          <w:tcPr>
            <w:tcW w:w="678" w:type="dxa"/>
            <w:tcBorders>
              <w:top w:val="single" w:sz="4" w:space="0" w:color="auto"/>
              <w:left w:val="nil"/>
              <w:bottom w:val="single" w:sz="4" w:space="0" w:color="auto"/>
              <w:right w:val="single" w:sz="4" w:space="0" w:color="auto"/>
            </w:tcBorders>
            <w:vAlign w:val="center"/>
          </w:tcPr>
          <w:p>
            <w:pPr>
              <w:pStyle w:val="zyTableNAm"/>
              <w:rPr>
                <w:sz w:val="20"/>
              </w:rPr>
            </w:pPr>
            <w:r>
              <w:rPr>
                <w:sz w:val="20"/>
              </w:rPr>
              <w:t>0.067</w:t>
            </w:r>
          </w:p>
        </w:tc>
      </w:tr>
    </w:tbl>
    <w:p>
      <w:pPr>
        <w:pStyle w:val="BlankClose"/>
      </w:pPr>
    </w:p>
    <w:p>
      <w:pPr>
        <w:pStyle w:val="Subsection"/>
        <w:keepNext/>
        <w:rPr>
          <w:color w:val="000000"/>
          <w:szCs w:val="24"/>
        </w:rPr>
      </w:pPr>
      <w:r>
        <w:lastRenderedPageBreak/>
        <w:tab/>
        <w:t>(5)</w:t>
      </w:r>
      <w:r>
        <w:tab/>
      </w:r>
      <w:r>
        <w:rPr>
          <w:color w:val="000000"/>
          <w:szCs w:val="24"/>
        </w:rPr>
        <w:t>Schedule 3, Part 2, clause 1(1a)(a) to (c) — delete paragraphs (a) to (c) (inclusive) and substitute:</w:t>
      </w:r>
    </w:p>
    <w:p>
      <w:pPr>
        <w:pStyle w:val="BlankOpen"/>
      </w:pPr>
    </w:p>
    <w:p>
      <w:pPr>
        <w:pStyle w:val="zyIndenta"/>
      </w:pPr>
      <w:r>
        <w:tab/>
        <w:t>(a)</w:t>
      </w:r>
      <w:r>
        <w:tab/>
        <w:t>$239 468;</w:t>
      </w:r>
    </w:p>
    <w:p>
      <w:pPr>
        <w:pStyle w:val="zyIndenta"/>
      </w:pPr>
      <w:r>
        <w:tab/>
        <w:t>(b)</w:t>
      </w:r>
      <w:r>
        <w:tab/>
        <w:t>$169 320;</w:t>
      </w:r>
    </w:p>
    <w:p>
      <w:pPr>
        <w:pStyle w:val="zyIndenta"/>
      </w:pPr>
      <w:r>
        <w:tab/>
        <w:t>(c)</w:t>
      </w:r>
      <w:r>
        <w:tab/>
        <w:t>$112 477.</w:t>
      </w:r>
    </w:p>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Jul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3014045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63014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30140459_GUID" w:val="e1600afc-c396-4fd3-9a29-aa45036fca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1F89A4C5-CC1E-476B-97F6-F777B433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2496</Characters>
  <Application>Microsoft Office Word</Application>
  <DocSecurity>0</DocSecurity>
  <Lines>138</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National Regulations (Fees) Amendment Regulations 2025 - 00-00-00</dc:title>
  <dc:subject/>
  <dc:creator/>
  <cp:keywords/>
  <dc:description/>
  <cp:lastModifiedBy>Master Repository Process</cp:lastModifiedBy>
  <cp:revision>4</cp:revision>
  <cp:lastPrinted>2021-03-14T07:59:00Z</cp:lastPrinted>
  <dcterms:created xsi:type="dcterms:W3CDTF">2025-06-30T06:48:00Z</dcterms:created>
  <dcterms:modified xsi:type="dcterms:W3CDTF">2025-06-30T06:48:00Z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55545</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2025-06-29T16:00:00Z</vt:filetime>
  </property>
  <property fmtid="{D5CDD505-2E9C-101B-9397-08002B2CF9AE}" pid="8" name="CommencementYear">
    <vt:lpwstr>2025</vt:lpwstr>
  </property>
  <property fmtid="{D5CDD505-2E9C-101B-9397-08002B2CF9AE}" pid="9" name="SLAPId">
    <vt:lpwstr>2025/129</vt:lpwstr>
  </property>
  <property fmtid="{D5CDD505-2E9C-101B-9397-08002B2CF9AE}" pid="10" name="PublishDate">
    <vt:lpwstr>1 Jul 2025</vt:lpwstr>
  </property>
  <property fmtid="{D5CDD505-2E9C-101B-9397-08002B2CF9AE}" pid="11" name="CommencementDate">
    <vt:lpwstr>20250701</vt:lpwstr>
  </property>
</Properties>
</file>