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Mining Act 1978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Mining Act 1978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_Toc202366016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_Toc202366017 \h </w:instrText>
      </w:r>
      <w:r>
        <w:fldChar w:fldCharType="separate"/>
      </w:r>
      <w:r>
        <w:t>2</w:t>
      </w:r>
      <w:r>
        <w:fldChar w:fldCharType="end"/>
      </w:r>
    </w:p>
    <w:p>
      <w:pPr>
        <w:pStyle w:val="TOC8"/>
        <w:rPr>
          <w:rFonts w:asciiTheme="minorHAnsi" w:eastAsiaTheme="minorEastAsia" w:hAnsiTheme="minorHAnsi" w:cstheme="minorBidi"/>
          <w:szCs w:val="22"/>
        </w:rPr>
      </w:pPr>
      <w:r>
        <w:rPr>
          <w:snapToGrid w:val="0"/>
        </w:rPr>
        <w:t>4.</w:t>
      </w:r>
      <w:r>
        <w:rPr>
          <w:snapToGrid w:val="0"/>
        </w:rPr>
        <w:tab/>
        <w:t>Transitional provisions</w:t>
      </w:r>
      <w:r>
        <w:tab/>
      </w:r>
      <w:r>
        <w:fldChar w:fldCharType="begin"/>
      </w:r>
      <w:r>
        <w:instrText xml:space="preserve"> PAGEREF _Toc202366018 \h </w:instrText>
      </w:r>
      <w:r>
        <w:fldChar w:fldCharType="separate"/>
      </w:r>
      <w:r>
        <w:t>2</w:t>
      </w:r>
      <w:r>
        <w:fldChar w:fldCharType="end"/>
      </w:r>
    </w:p>
    <w:p>
      <w:pPr>
        <w:pStyle w:val="TOC8"/>
        <w:rPr>
          <w:rFonts w:asciiTheme="minorHAnsi" w:eastAsiaTheme="minorEastAsia" w:hAnsiTheme="minorHAnsi" w:cstheme="minorBidi"/>
          <w:szCs w:val="22"/>
        </w:rPr>
      </w:pPr>
      <w:r>
        <w:rPr>
          <w:snapToGrid w:val="0"/>
        </w:rPr>
        <w:t>5.</w:t>
      </w:r>
      <w:r>
        <w:rPr>
          <w:snapToGrid w:val="0"/>
        </w:rPr>
        <w:tab/>
        <w:t>Saving</w:t>
      </w:r>
      <w:r>
        <w:tab/>
      </w:r>
      <w:r>
        <w:fldChar w:fldCharType="begin"/>
      </w:r>
      <w:r>
        <w:instrText xml:space="preserve"> PAGEREF _Toc202366019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Operation of this Act</w:t>
      </w:r>
      <w:r>
        <w:tab/>
      </w:r>
      <w:r>
        <w:fldChar w:fldCharType="begin"/>
      </w:r>
      <w:r>
        <w:instrText xml:space="preserve"> PAGEREF _Toc202366020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Terms used</w:t>
      </w:r>
      <w:r>
        <w:tab/>
      </w:r>
      <w:r>
        <w:fldChar w:fldCharType="begin"/>
      </w:r>
      <w:r>
        <w:instrText xml:space="preserve"> PAGEREF _Toc202366021 \h </w:instrText>
      </w:r>
      <w:r>
        <w:fldChar w:fldCharType="separate"/>
      </w:r>
      <w:r>
        <w:t>5</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Rights in respect of oil shale or coal</w:t>
      </w:r>
      <w:r>
        <w:tab/>
      </w:r>
      <w:r>
        <w:fldChar w:fldCharType="begin"/>
      </w:r>
      <w:r>
        <w:instrText xml:space="preserve"> PAGEREF _Toc202366022 \h </w:instrText>
      </w:r>
      <w:r>
        <w:fldChar w:fldCharType="separate"/>
      </w:r>
      <w:r>
        <w:t>14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Gold, silver and other precious metals property of Crown</w:t>
      </w:r>
      <w:r>
        <w:tab/>
      </w:r>
      <w:r>
        <w:fldChar w:fldCharType="begin"/>
      </w:r>
      <w:r>
        <w:instrText xml:space="preserve"> PAGEREF _Toc202366023 \h </w:instrText>
      </w:r>
      <w:r>
        <w:fldChar w:fldCharType="separate"/>
      </w:r>
      <w:r>
        <w:t>15</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Effect of change of baseline</w:t>
      </w:r>
      <w:r>
        <w:tab/>
      </w:r>
      <w:r>
        <w:fldChar w:fldCharType="begin"/>
      </w:r>
      <w:r>
        <w:instrText xml:space="preserve"> PAGEREF _Toc202366024 \h </w:instrText>
      </w:r>
      <w:r>
        <w:fldChar w:fldCharType="separate"/>
      </w:r>
      <w:r>
        <w:t>15</w:t>
      </w:r>
      <w:r>
        <w:fldChar w:fldCharType="end"/>
      </w:r>
    </w:p>
    <w:p>
      <w:pPr>
        <w:pStyle w:val="TOC8"/>
        <w:rPr>
          <w:rFonts w:asciiTheme="minorHAnsi" w:eastAsiaTheme="minorEastAsia" w:hAnsiTheme="minorHAnsi" w:cstheme="minorBidi"/>
          <w:szCs w:val="22"/>
        </w:rPr>
      </w:pPr>
      <w:r>
        <w:t>9B.</w:t>
      </w:r>
      <w:r>
        <w:tab/>
        <w:t>Position on Earth’s surface</w:t>
      </w:r>
      <w:r>
        <w:tab/>
      </w:r>
      <w:r>
        <w:fldChar w:fldCharType="begin"/>
      </w:r>
      <w:r>
        <w:instrText xml:space="preserve"> PAGEREF _Toc202366025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 mineral fields and courts</w:t>
      </w:r>
    </w:p>
    <w:p>
      <w:pPr>
        <w:pStyle w:val="TOC8"/>
        <w:rPr>
          <w:rFonts w:asciiTheme="minorHAnsi" w:eastAsiaTheme="minorEastAsia" w:hAnsiTheme="minorHAnsi" w:cstheme="minorBidi"/>
          <w:szCs w:val="22"/>
        </w:rPr>
      </w:pPr>
      <w:r>
        <w:t>10</w:t>
      </w:r>
      <w:r>
        <w:rPr>
          <w:snapToGrid w:val="0"/>
        </w:rPr>
        <w:t>.</w:t>
      </w:r>
      <w:r>
        <w:rPr>
          <w:snapToGrid w:val="0"/>
        </w:rPr>
        <w:tab/>
        <w:t>Administration of Act</w:t>
      </w:r>
      <w:r>
        <w:tab/>
      </w:r>
      <w:r>
        <w:fldChar w:fldCharType="begin"/>
      </w:r>
      <w:r>
        <w:instrText xml:space="preserve"> PAGEREF _Toc202366027 \h </w:instrText>
      </w:r>
      <w:r>
        <w:fldChar w:fldCharType="separate"/>
      </w:r>
      <w:r>
        <w:t>18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Chief executive officer and other officers</w:t>
      </w:r>
      <w:r>
        <w:tab/>
      </w:r>
      <w:r>
        <w:fldChar w:fldCharType="begin"/>
      </w:r>
      <w:r>
        <w:instrText xml:space="preserve"> PAGEREF _Toc202366028 \h </w:instrText>
      </w:r>
      <w:r>
        <w:fldChar w:fldCharType="separate"/>
      </w:r>
      <w:r>
        <w:t>18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Delegation</w:t>
      </w:r>
      <w:r>
        <w:tab/>
      </w:r>
      <w:r>
        <w:fldChar w:fldCharType="begin"/>
      </w:r>
      <w:r>
        <w:instrText xml:space="preserve"> PAGEREF _Toc202366029 \h </w:instrText>
      </w:r>
      <w:r>
        <w:fldChar w:fldCharType="separate"/>
      </w:r>
      <w:r>
        <w:t>18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Wardens of mines, mining registrar</w:t>
      </w:r>
      <w:r>
        <w:tab/>
      </w:r>
      <w:r>
        <w:fldChar w:fldCharType="begin"/>
      </w:r>
      <w:r>
        <w:instrText xml:space="preserve"> PAGEREF _Toc202366030 \h </w:instrText>
      </w:r>
      <w:r>
        <w:fldChar w:fldCharType="separate"/>
      </w:r>
      <w:r>
        <w:t>19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Prohibition from adjudicating in certain matters or from using certain information</w:t>
      </w:r>
      <w:r>
        <w:tab/>
      </w:r>
      <w:r>
        <w:fldChar w:fldCharType="begin"/>
      </w:r>
      <w:r>
        <w:instrText xml:space="preserve"> PAGEREF _Toc202366031 \h </w:instrText>
      </w:r>
      <w:r>
        <w:fldChar w:fldCharType="separate"/>
      </w:r>
      <w:r>
        <w:t>20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r>
      <w:r>
        <w:t>Constitution of mineral fields and dealings with Crown land in them</w:t>
      </w:r>
      <w:r>
        <w:tab/>
      </w:r>
      <w:r>
        <w:fldChar w:fldCharType="begin"/>
      </w:r>
      <w:r>
        <w:instrText xml:space="preserve"> PAGEREF _Toc202366032 \h </w:instrText>
      </w:r>
      <w:r>
        <w:fldChar w:fldCharType="separate"/>
      </w:r>
      <w:r>
        <w:t>20</w:t>
      </w:r>
      <w:r>
        <w:fldChar w:fldCharType="end"/>
      </w:r>
    </w:p>
    <w:p>
      <w:pPr>
        <w:pStyle w:val="TOC8"/>
        <w:rPr>
          <w:rFonts w:asciiTheme="minorHAnsi" w:eastAsiaTheme="minorEastAsia" w:hAnsiTheme="minorHAnsi" w:cstheme="minorBidi"/>
          <w:szCs w:val="22"/>
        </w:rPr>
      </w:pPr>
      <w:r>
        <w:t>17.</w:t>
      </w:r>
      <w:r>
        <w:tab/>
        <w:t>Designated tenement contact</w:t>
      </w:r>
      <w:r>
        <w:tab/>
      </w:r>
      <w:r>
        <w:fldChar w:fldCharType="begin"/>
      </w:r>
      <w:r>
        <w:instrText xml:space="preserve"> PAGEREF _Toc202366033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III — Land open for mining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Crown land</w:t>
      </w:r>
    </w:p>
    <w:p>
      <w:pPr>
        <w:pStyle w:val="TOC8"/>
        <w:rPr>
          <w:rFonts w:asciiTheme="minorHAnsi" w:eastAsiaTheme="minorEastAsia" w:hAnsiTheme="minorHAnsi" w:cstheme="minorBidi"/>
          <w:szCs w:val="22"/>
        </w:rPr>
      </w:pPr>
      <w:r>
        <w:t>18</w:t>
      </w:r>
      <w:r>
        <w:rPr>
          <w:snapToGrid w:val="0"/>
        </w:rPr>
        <w:t>.</w:t>
      </w:r>
      <w:r>
        <w:rPr>
          <w:snapToGrid w:val="0"/>
        </w:rPr>
        <w:tab/>
        <w:t>Crown land open for mining</w:t>
      </w:r>
      <w:r>
        <w:tab/>
      </w:r>
      <w:r>
        <w:fldChar w:fldCharType="begin"/>
      </w:r>
      <w:r>
        <w:instrText xml:space="preserve"> PAGEREF _Toc202366036 \h </w:instrText>
      </w:r>
      <w:r>
        <w:fldChar w:fldCharType="separate"/>
      </w:r>
      <w:r>
        <w:t>23</w:t>
      </w:r>
      <w:r>
        <w:fldChar w:fldCharType="end"/>
      </w:r>
    </w:p>
    <w:p>
      <w:pPr>
        <w:pStyle w:val="TOC8"/>
        <w:rPr>
          <w:rFonts w:asciiTheme="minorHAnsi" w:eastAsiaTheme="minorEastAsia" w:hAnsiTheme="minorHAnsi" w:cstheme="minorBidi"/>
          <w:szCs w:val="22"/>
        </w:rPr>
      </w:pPr>
      <w:r>
        <w:lastRenderedPageBreak/>
        <w:t>19</w:t>
      </w:r>
      <w:r>
        <w:rPr>
          <w:snapToGrid w:val="0"/>
        </w:rPr>
        <w:t>.</w:t>
      </w:r>
      <w:r>
        <w:rPr>
          <w:snapToGrid w:val="0"/>
        </w:rPr>
        <w:tab/>
        <w:t>Minister may exempt land from mining etc.</w:t>
      </w:r>
      <w:r>
        <w:tab/>
      </w:r>
      <w:r>
        <w:fldChar w:fldCharType="begin"/>
      </w:r>
      <w:r>
        <w:instrText xml:space="preserve"> PAGEREF _Toc202366037 \h </w:instrText>
      </w:r>
      <w:r>
        <w:fldChar w:fldCharType="separate"/>
      </w:r>
      <w:r>
        <w:t>23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Protection of certain Crown land</w:t>
      </w:r>
      <w:r>
        <w:tab/>
      </w:r>
      <w:r>
        <w:fldChar w:fldCharType="begin"/>
      </w:r>
      <w:r>
        <w:instrText xml:space="preserve"> PAGEREF _Toc202366038 \h </w:instrText>
      </w:r>
      <w:r>
        <w:fldChar w:fldCharType="separate"/>
      </w:r>
      <w:r>
        <w:t>25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Power to resume land</w:t>
      </w:r>
      <w:r>
        <w:tab/>
      </w:r>
      <w:r>
        <w:fldChar w:fldCharType="begin"/>
      </w:r>
      <w:r>
        <w:instrText xml:space="preserve"> PAGEREF _Toc202366039 \h </w:instrText>
      </w:r>
      <w:r>
        <w:fldChar w:fldCharType="separate"/>
      </w:r>
      <w:r>
        <w:t>29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Effect of resumption</w:t>
      </w:r>
      <w:r>
        <w:tab/>
      </w:r>
      <w:r>
        <w:fldChar w:fldCharType="begin"/>
      </w:r>
      <w:r>
        <w:instrText xml:space="preserve"> PAGEREF _Toc202366040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Public reserves, etc. and Commonwealth land</w:t>
      </w:r>
    </w:p>
    <w:p>
      <w:pPr>
        <w:pStyle w:val="TOC8"/>
        <w:rPr>
          <w:rFonts w:asciiTheme="minorHAnsi" w:eastAsiaTheme="minorEastAsia" w:hAnsiTheme="minorHAnsi" w:cstheme="minorBidi"/>
          <w:szCs w:val="22"/>
        </w:rPr>
      </w:pPr>
      <w:r>
        <w:t>23.</w:t>
      </w:r>
      <w:r>
        <w:tab/>
        <w:t>Mining on public reserves etc. and Commonwealth land</w:t>
      </w:r>
      <w:r>
        <w:tab/>
      </w:r>
      <w:r>
        <w:fldChar w:fldCharType="begin"/>
      </w:r>
      <w:r>
        <w:instrText xml:space="preserve"> PAGEREF _Toc202366042 \h </w:instrText>
      </w:r>
      <w:r>
        <w:fldChar w:fldCharType="separate"/>
      </w:r>
      <w:r>
        <w:t>31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Classification of reserves</w:t>
      </w:r>
      <w:r>
        <w:tab/>
      </w:r>
      <w:r>
        <w:fldChar w:fldCharType="begin"/>
      </w:r>
      <w:r>
        <w:instrText xml:space="preserve"> PAGEREF _Toc202366043 \h </w:instrText>
      </w:r>
      <w:r>
        <w:fldChar w:fldCharType="separate"/>
      </w:r>
      <w:r>
        <w:t>32</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Mining in marine reserves</w:t>
      </w:r>
      <w:r>
        <w:tab/>
      </w:r>
      <w:r>
        <w:fldChar w:fldCharType="begin"/>
      </w:r>
      <w:r>
        <w:instrText xml:space="preserve"> PAGEREF _Toc202366044 \h </w:instrText>
      </w:r>
      <w:r>
        <w:fldChar w:fldCharType="separate"/>
      </w:r>
      <w:r>
        <w:t>36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Mining on foreshore, sea bed, navigable waters or townsite</w:t>
      </w:r>
      <w:r>
        <w:tab/>
      </w:r>
      <w:r>
        <w:fldChar w:fldCharType="begin"/>
      </w:r>
      <w:r>
        <w:instrText xml:space="preserve"> PAGEREF _Toc202366045 \h </w:instrText>
      </w:r>
      <w:r>
        <w:fldChar w:fldCharType="separate"/>
      </w:r>
      <w:r>
        <w:t>38</w:t>
      </w:r>
      <w:r>
        <w:fldChar w:fldCharType="end"/>
      </w:r>
    </w:p>
    <w:p>
      <w:pPr>
        <w:pStyle w:val="TOC8"/>
        <w:rPr>
          <w:rFonts w:asciiTheme="minorHAnsi" w:eastAsiaTheme="minorEastAsia" w:hAnsiTheme="minorHAnsi" w:cstheme="minorBidi"/>
          <w:szCs w:val="22"/>
        </w:rPr>
      </w:pPr>
      <w:r>
        <w:t>25A.</w:t>
      </w:r>
      <w:r>
        <w:tab/>
        <w:t>Mining on Commonwealth land</w:t>
      </w:r>
      <w:r>
        <w:tab/>
      </w:r>
      <w:r>
        <w:fldChar w:fldCharType="begin"/>
      </w:r>
      <w:r>
        <w:instrText xml:space="preserve"> PAGEREF _Toc202366046 \h </w:instrText>
      </w:r>
      <w:r>
        <w:fldChar w:fldCharType="separate"/>
      </w:r>
      <w:r>
        <w:t>39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Terms and conditions</w:t>
      </w:r>
      <w:r>
        <w:tab/>
      </w:r>
      <w:r>
        <w:fldChar w:fldCharType="begin"/>
      </w:r>
      <w:r>
        <w:instrText xml:space="preserve"> PAGEREF _Toc202366047 \h </w:instrText>
      </w:r>
      <w:r>
        <w:fldChar w:fldCharType="separate"/>
      </w:r>
      <w:r>
        <w:t>39</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Mining tenements within townsites</w:t>
      </w:r>
      <w:r>
        <w:tab/>
      </w:r>
      <w:r>
        <w:fldChar w:fldCharType="begin"/>
      </w:r>
      <w:r>
        <w:instrText xml:space="preserve"> PAGEREF _Toc202366048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Private land</w:t>
      </w:r>
    </w:p>
    <w:p>
      <w:pPr>
        <w:pStyle w:val="TOC8"/>
        <w:rPr>
          <w:rFonts w:asciiTheme="minorHAnsi" w:eastAsiaTheme="minorEastAsia" w:hAnsiTheme="minorHAnsi" w:cstheme="minorBidi"/>
          <w:szCs w:val="22"/>
        </w:rPr>
      </w:pPr>
      <w:r>
        <w:t>27</w:t>
      </w:r>
      <w:r>
        <w:rPr>
          <w:snapToGrid w:val="0"/>
        </w:rPr>
        <w:t>.</w:t>
      </w:r>
      <w:r>
        <w:rPr>
          <w:snapToGrid w:val="0"/>
        </w:rPr>
        <w:tab/>
        <w:t>Private land open for mining</w:t>
      </w:r>
      <w:r>
        <w:tab/>
      </w:r>
      <w:r>
        <w:fldChar w:fldCharType="begin"/>
      </w:r>
      <w:r>
        <w:instrText xml:space="preserve"> PAGEREF _Toc202366050 \h </w:instrText>
      </w:r>
      <w:r>
        <w:fldChar w:fldCharType="separate"/>
      </w:r>
      <w:r>
        <w:t>43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Unlawful entry on private land</w:t>
      </w:r>
      <w:r>
        <w:tab/>
      </w:r>
      <w:r>
        <w:fldChar w:fldCharType="begin"/>
      </w:r>
      <w:r>
        <w:instrText xml:space="preserve"> PAGEREF _Toc202366051 \h </w:instrText>
      </w:r>
      <w:r>
        <w:fldChar w:fldCharType="separate"/>
      </w:r>
      <w:r>
        <w:t>43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Granting of mining tenements in respect of private land</w:t>
      </w:r>
      <w:r>
        <w:tab/>
      </w:r>
      <w:r>
        <w:fldChar w:fldCharType="begin"/>
      </w:r>
      <w:r>
        <w:instrText xml:space="preserve"> PAGEREF _Toc202366052 \h </w:instrText>
      </w:r>
      <w:r>
        <w:fldChar w:fldCharType="separate"/>
      </w:r>
      <w:r>
        <w:t>44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Granting of permits in respect of private land</w:t>
      </w:r>
      <w:r>
        <w:tab/>
      </w:r>
      <w:r>
        <w:fldChar w:fldCharType="begin"/>
      </w:r>
      <w:r>
        <w:instrText xml:space="preserve"> PAGEREF _Toc202366053 \h </w:instrText>
      </w:r>
      <w:r>
        <w:fldChar w:fldCharType="separate"/>
      </w:r>
      <w:r>
        <w:t>47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Holder of permit to give notice to owner and occupier</w:t>
      </w:r>
      <w:r>
        <w:tab/>
      </w:r>
      <w:r>
        <w:fldChar w:fldCharType="begin"/>
      </w:r>
      <w:r>
        <w:instrText xml:space="preserve"> PAGEREF _Toc202366054 \h </w:instrText>
      </w:r>
      <w:r>
        <w:fldChar w:fldCharType="separate"/>
      </w:r>
      <w:r>
        <w:t>49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Rights conferred by a permit</w:t>
      </w:r>
      <w:r>
        <w:tab/>
      </w:r>
      <w:r>
        <w:fldChar w:fldCharType="begin"/>
      </w:r>
      <w:r>
        <w:instrText xml:space="preserve"> PAGEREF _Toc202366055 \h </w:instrText>
      </w:r>
      <w:r>
        <w:fldChar w:fldCharType="separate"/>
      </w:r>
      <w:r>
        <w:t>50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Application for mining tenement by permit holder</w:t>
      </w:r>
      <w:r>
        <w:tab/>
      </w:r>
      <w:r>
        <w:fldChar w:fldCharType="begin"/>
      </w:r>
      <w:r>
        <w:instrText xml:space="preserve"> PAGEREF _Toc202366056 \h </w:instrText>
      </w:r>
      <w:r>
        <w:fldChar w:fldCharType="separate"/>
      </w:r>
      <w:r>
        <w:t>51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Compensation to be agreed upon or determined before mining operation commences</w:t>
      </w:r>
      <w:r>
        <w:tab/>
      </w:r>
      <w:r>
        <w:fldChar w:fldCharType="begin"/>
      </w:r>
      <w:r>
        <w:instrText xml:space="preserve"> PAGEREF _Toc202366057 \h </w:instrText>
      </w:r>
      <w:r>
        <w:fldChar w:fldCharType="separate"/>
      </w:r>
      <w:r>
        <w:t>53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Application to bring certain private land under this Division</w:t>
      </w:r>
      <w:r>
        <w:tab/>
      </w:r>
      <w:r>
        <w:fldChar w:fldCharType="begin"/>
      </w:r>
      <w:r>
        <w:instrText xml:space="preserve"> PAGEREF _Toc202366058 \h </w:instrText>
      </w:r>
      <w:r>
        <w:fldChar w:fldCharType="separate"/>
      </w:r>
      <w:r>
        <w:t>53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Right of owner to apply for mining tenement</w:t>
      </w:r>
      <w:r>
        <w:tab/>
      </w:r>
      <w:r>
        <w:fldChar w:fldCharType="begin"/>
      </w:r>
      <w:r>
        <w:instrText xml:space="preserve"> PAGEREF _Toc202366059 \h </w:instrText>
      </w:r>
      <w:r>
        <w:fldChar w:fldCharType="separate"/>
      </w:r>
      <w:r>
        <w:t>54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Owner to comply with mining tenement conditions</w:t>
      </w:r>
      <w:r>
        <w:tab/>
      </w:r>
      <w:r>
        <w:fldChar w:fldCharType="begin"/>
      </w:r>
      <w:r>
        <w:instrText xml:space="preserve"> PAGEREF _Toc202366060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IIIA — Miner’s rights and related permits</w:t>
      </w:r>
    </w:p>
    <w:p>
      <w:pPr>
        <w:pStyle w:val="TOC8"/>
        <w:rPr>
          <w:rFonts w:asciiTheme="minorHAnsi" w:eastAsiaTheme="minorEastAsia" w:hAnsiTheme="minorHAnsi" w:cstheme="minorBidi"/>
          <w:szCs w:val="22"/>
        </w:rPr>
      </w:pPr>
      <w:r>
        <w:t>40A.</w:t>
      </w:r>
      <w:r>
        <w:tab/>
        <w:t>Terms used</w:t>
      </w:r>
      <w:r>
        <w:tab/>
      </w:r>
      <w:r>
        <w:fldChar w:fldCharType="begin"/>
      </w:r>
      <w:r>
        <w:instrText xml:space="preserve"> PAGEREF _Toc202366062 \h </w:instrText>
      </w:r>
      <w:r>
        <w:fldChar w:fldCharType="separate"/>
      </w:r>
      <w:r>
        <w:t>56</w:t>
      </w:r>
      <w:r>
        <w:fldChar w:fldCharType="end"/>
      </w:r>
    </w:p>
    <w:p>
      <w:pPr>
        <w:pStyle w:val="TOC8"/>
        <w:rPr>
          <w:rFonts w:asciiTheme="minorHAnsi" w:eastAsiaTheme="minorEastAsia" w:hAnsiTheme="minorHAnsi" w:cstheme="minorBidi"/>
          <w:szCs w:val="22"/>
        </w:rPr>
      </w:pPr>
      <w:r>
        <w:t>40B.</w:t>
      </w:r>
      <w:r>
        <w:tab/>
        <w:t>Conservation land</w:t>
      </w:r>
      <w:r>
        <w:tab/>
      </w:r>
      <w:r>
        <w:fldChar w:fldCharType="begin"/>
      </w:r>
      <w:r>
        <w:instrText xml:space="preserve"> PAGEREF _Toc202366063 \h </w:instrText>
      </w:r>
      <w:r>
        <w:fldChar w:fldCharType="separate"/>
      </w:r>
      <w:r>
        <w:t>56</w:t>
      </w:r>
      <w:r>
        <w:fldChar w:fldCharType="end"/>
      </w:r>
    </w:p>
    <w:p>
      <w:pPr>
        <w:pStyle w:val="TOC8"/>
        <w:rPr>
          <w:rFonts w:asciiTheme="minorHAnsi" w:eastAsiaTheme="minorEastAsia" w:hAnsiTheme="minorHAnsi" w:cstheme="minorBidi"/>
          <w:szCs w:val="22"/>
        </w:rPr>
      </w:pPr>
      <w:r>
        <w:t>40C.</w:t>
      </w:r>
      <w:r>
        <w:tab/>
        <w:t>Issue of miner’s right</w:t>
      </w:r>
      <w:r>
        <w:tab/>
      </w:r>
      <w:r>
        <w:fldChar w:fldCharType="begin"/>
      </w:r>
      <w:r>
        <w:instrText xml:space="preserve"> PAGEREF _Toc202366064 \h </w:instrText>
      </w:r>
      <w:r>
        <w:fldChar w:fldCharType="separate"/>
      </w:r>
      <w:r>
        <w:t>57</w:t>
      </w:r>
      <w:r>
        <w:fldChar w:fldCharType="end"/>
      </w:r>
    </w:p>
    <w:p>
      <w:pPr>
        <w:pStyle w:val="TOC8"/>
        <w:rPr>
          <w:rFonts w:asciiTheme="minorHAnsi" w:eastAsiaTheme="minorEastAsia" w:hAnsiTheme="minorHAnsi" w:cstheme="minorBidi"/>
          <w:szCs w:val="22"/>
        </w:rPr>
      </w:pPr>
      <w:r>
        <w:t>40D.</w:t>
      </w:r>
      <w:r>
        <w:tab/>
        <w:t>Authorisation under miner’s right</w:t>
      </w:r>
      <w:r>
        <w:tab/>
      </w:r>
      <w:r>
        <w:fldChar w:fldCharType="begin"/>
      </w:r>
      <w:r>
        <w:instrText xml:space="preserve"> PAGEREF _Toc202366065 \h </w:instrText>
      </w:r>
      <w:r>
        <w:fldChar w:fldCharType="separate"/>
      </w:r>
      <w:r>
        <w:t>57</w:t>
      </w:r>
      <w:r>
        <w:fldChar w:fldCharType="end"/>
      </w:r>
    </w:p>
    <w:p>
      <w:pPr>
        <w:pStyle w:val="TOC8"/>
        <w:rPr>
          <w:rFonts w:asciiTheme="minorHAnsi" w:eastAsiaTheme="minorEastAsia" w:hAnsiTheme="minorHAnsi" w:cstheme="minorBidi"/>
          <w:szCs w:val="22"/>
        </w:rPr>
      </w:pPr>
      <w:r>
        <w:lastRenderedPageBreak/>
        <w:t>40E.</w:t>
      </w:r>
      <w:r>
        <w:tab/>
        <w:t>Permit to prospect on Crown land or conservation land subject of exploration licence</w:t>
      </w:r>
      <w:r>
        <w:tab/>
      </w:r>
      <w:r>
        <w:fldChar w:fldCharType="begin"/>
      </w:r>
      <w:r>
        <w:instrText xml:space="preserve"> PAGEREF _Toc202366066 \h </w:instrText>
      </w:r>
      <w:r>
        <w:fldChar w:fldCharType="separate"/>
      </w:r>
      <w:r>
        <w:t>60</w:t>
      </w:r>
      <w:r>
        <w:fldChar w:fldCharType="end"/>
      </w:r>
    </w:p>
    <w:p>
      <w:pPr>
        <w:pStyle w:val="TOC8"/>
        <w:rPr>
          <w:rFonts w:asciiTheme="minorHAnsi" w:eastAsiaTheme="minorEastAsia" w:hAnsiTheme="minorHAnsi" w:cstheme="minorBidi"/>
          <w:szCs w:val="22"/>
        </w:rPr>
      </w:pPr>
      <w:r>
        <w:t>40F.</w:t>
      </w:r>
      <w:r>
        <w:tab/>
        <w:t>Power to remove Crown land or conservation land from operation of s. 40E</w:t>
      </w:r>
      <w:r>
        <w:tab/>
      </w:r>
      <w:r>
        <w:fldChar w:fldCharType="begin"/>
      </w:r>
      <w:r>
        <w:instrText xml:space="preserve"> PAGEREF _Toc202366067 \h </w:instrText>
      </w:r>
      <w:r>
        <w:fldChar w:fldCharType="separate"/>
      </w:r>
      <w:r>
        <w:t>61</w:t>
      </w:r>
      <w:r>
        <w:fldChar w:fldCharType="end"/>
      </w:r>
    </w:p>
    <w:p>
      <w:pPr>
        <w:pStyle w:val="TOC8"/>
        <w:rPr>
          <w:rFonts w:asciiTheme="minorHAnsi" w:eastAsiaTheme="minorEastAsia" w:hAnsiTheme="minorHAnsi" w:cstheme="minorBidi"/>
          <w:szCs w:val="22"/>
        </w:rPr>
      </w:pPr>
      <w:r>
        <w:t>40G.</w:t>
      </w:r>
      <w:r>
        <w:tab/>
        <w:t>Limitation on actions in tort</w:t>
      </w:r>
      <w:r>
        <w:tab/>
      </w:r>
      <w:r>
        <w:fldChar w:fldCharType="begin"/>
      </w:r>
      <w:r>
        <w:instrText xml:space="preserve"> PAGEREF _Toc202366068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IV — Mining tenements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Prospecting licence</w:t>
      </w:r>
    </w:p>
    <w:p>
      <w:pPr>
        <w:pStyle w:val="TOC8"/>
        <w:rPr>
          <w:rFonts w:asciiTheme="minorHAnsi" w:eastAsiaTheme="minorEastAsia" w:hAnsiTheme="minorHAnsi" w:cstheme="minorBidi"/>
          <w:szCs w:val="22"/>
        </w:rPr>
      </w:pPr>
      <w:r>
        <w:t>40</w:t>
      </w:r>
      <w:r>
        <w:rPr>
          <w:snapToGrid w:val="0"/>
        </w:rPr>
        <w:t>.</w:t>
      </w:r>
      <w:r>
        <w:rPr>
          <w:snapToGrid w:val="0"/>
        </w:rPr>
        <w:tab/>
        <w:t>Grant of prospecting licence</w:t>
      </w:r>
      <w:r>
        <w:tab/>
      </w:r>
      <w:r>
        <w:fldChar w:fldCharType="begin"/>
      </w:r>
      <w:r>
        <w:instrText xml:space="preserve"> PAGEREF _Toc202366071 \h </w:instrText>
      </w:r>
      <w:r>
        <w:fldChar w:fldCharType="separate"/>
      </w:r>
      <w:r>
        <w:t>63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Application for prospecting licence</w:t>
      </w:r>
      <w:r>
        <w:tab/>
      </w:r>
      <w:r>
        <w:fldChar w:fldCharType="begin"/>
      </w:r>
      <w:r>
        <w:instrText xml:space="preserve"> PAGEREF _Toc202366072 \h </w:instrText>
      </w:r>
      <w:r>
        <w:fldChar w:fldCharType="separate"/>
      </w:r>
      <w:r>
        <w:t>63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Determination of application for prospecting licence</w:t>
      </w:r>
      <w:r>
        <w:tab/>
      </w:r>
      <w:r>
        <w:fldChar w:fldCharType="begin"/>
      </w:r>
      <w:r>
        <w:instrText xml:space="preserve"> PAGEREF _Toc202366073 \h </w:instrText>
      </w:r>
      <w:r>
        <w:fldChar w:fldCharType="separate"/>
      </w:r>
      <w:r>
        <w:t>64</w:t>
      </w:r>
      <w:r>
        <w:fldChar w:fldCharType="end"/>
      </w:r>
    </w:p>
    <w:p>
      <w:pPr>
        <w:pStyle w:val="TOC8"/>
        <w:rPr>
          <w:rFonts w:asciiTheme="minorHAnsi" w:eastAsiaTheme="minorEastAsia" w:hAnsiTheme="minorHAnsi" w:cstheme="minorBidi"/>
          <w:szCs w:val="22"/>
        </w:rPr>
      </w:pPr>
      <w:r>
        <w:t>43.</w:t>
      </w:r>
      <w:r>
        <w:tab/>
        <w:t>Prospecting licence not to include land already subject of mining tenement</w:t>
      </w:r>
      <w:r>
        <w:tab/>
      </w:r>
      <w:r>
        <w:fldChar w:fldCharType="begin"/>
      </w:r>
      <w:r>
        <w:instrText xml:space="preserve"> PAGEREF _Toc202366074 \h </w:instrText>
      </w:r>
      <w:r>
        <w:fldChar w:fldCharType="separate"/>
      </w:r>
      <w:r>
        <w:t>65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Power to grant prospecting licence over all or part of land in application</w:t>
      </w:r>
      <w:r>
        <w:tab/>
      </w:r>
      <w:r>
        <w:fldChar w:fldCharType="begin"/>
      </w:r>
      <w:r>
        <w:instrText xml:space="preserve"> PAGEREF _Toc202366075 \h </w:instrText>
      </w:r>
      <w:r>
        <w:fldChar w:fldCharType="separate"/>
      </w:r>
      <w:r>
        <w:t>66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Term of prospecting licence</w:t>
      </w:r>
      <w:r>
        <w:tab/>
      </w:r>
      <w:r>
        <w:fldChar w:fldCharType="begin"/>
      </w:r>
      <w:r>
        <w:instrText xml:space="preserve"> PAGEREF _Toc202366076 \h </w:instrText>
      </w:r>
      <w:r>
        <w:fldChar w:fldCharType="separate"/>
      </w:r>
      <w:r>
        <w:t>66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Conditions attached to every prospecting licence</w:t>
      </w:r>
      <w:r>
        <w:tab/>
      </w:r>
      <w:r>
        <w:fldChar w:fldCharType="begin"/>
      </w:r>
      <w:r>
        <w:instrText xml:space="preserve"> PAGEREF _Toc202366077 \h </w:instrText>
      </w:r>
      <w:r>
        <w:fldChar w:fldCharType="separate"/>
      </w:r>
      <w:r>
        <w:t>68</w:t>
      </w:r>
      <w:r>
        <w:fldChar w:fldCharType="end"/>
      </w:r>
    </w:p>
    <w:p>
      <w:pPr>
        <w:pStyle w:val="TOC8"/>
        <w:rPr>
          <w:rFonts w:asciiTheme="minorHAnsi" w:eastAsiaTheme="minorEastAsia" w:hAnsiTheme="minorHAnsi" w:cstheme="minorBidi"/>
          <w:szCs w:val="22"/>
        </w:rPr>
      </w:pPr>
      <w:r>
        <w:t>46A</w:t>
      </w:r>
      <w:r>
        <w:rPr>
          <w:snapToGrid w:val="0"/>
        </w:rPr>
        <w:t>.</w:t>
      </w:r>
      <w:r>
        <w:rPr>
          <w:snapToGrid w:val="0"/>
        </w:rPr>
        <w:tab/>
        <w:t>Conditions for prevention or reduction of injury to land</w:t>
      </w:r>
      <w:r>
        <w:tab/>
      </w:r>
      <w:r>
        <w:fldChar w:fldCharType="begin"/>
      </w:r>
      <w:r>
        <w:instrText xml:space="preserve"> PAGEREF _Toc202366078 \h </w:instrText>
      </w:r>
      <w:r>
        <w:fldChar w:fldCharType="separate"/>
      </w:r>
      <w:r>
        <w:t>69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Survey of area of prospecting licence not required in first instance</w:t>
      </w:r>
      <w:r>
        <w:tab/>
      </w:r>
      <w:r>
        <w:fldChar w:fldCharType="begin"/>
      </w:r>
      <w:r>
        <w:instrText xml:space="preserve"> PAGEREF _Toc202366079 \h </w:instrText>
      </w:r>
      <w:r>
        <w:fldChar w:fldCharType="separate"/>
      </w:r>
      <w:r>
        <w:t>70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Rights conferred by prospecting licence</w:t>
      </w:r>
      <w:r>
        <w:tab/>
      </w:r>
      <w:r>
        <w:fldChar w:fldCharType="begin"/>
      </w:r>
      <w:r>
        <w:instrText xml:space="preserve"> PAGEREF _Toc202366080 \h </w:instrText>
      </w:r>
      <w:r>
        <w:fldChar w:fldCharType="separate"/>
      </w:r>
      <w:r>
        <w:t>70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Holder of prospecting licence to have priority for grant of mining leases or general purpose leases</w:t>
      </w:r>
      <w:r>
        <w:tab/>
      </w:r>
      <w:r>
        <w:fldChar w:fldCharType="begin"/>
      </w:r>
      <w:r>
        <w:instrText xml:space="preserve"> PAGEREF _Toc202366081 \h </w:instrText>
      </w:r>
      <w:r>
        <w:fldChar w:fldCharType="separate"/>
      </w:r>
      <w:r>
        <w:t>71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Compliance with expenditure conditions</w:t>
      </w:r>
      <w:r>
        <w:tab/>
      </w:r>
      <w:r>
        <w:fldChar w:fldCharType="begin"/>
      </w:r>
      <w:r>
        <w:instrText xml:space="preserve"> PAGEREF _Toc202366082 \h </w:instrText>
      </w:r>
      <w:r>
        <w:fldChar w:fldCharType="separate"/>
      </w:r>
      <w:r>
        <w:t>72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Reports of work and expenditure</w:t>
      </w:r>
      <w:r>
        <w:tab/>
      </w:r>
      <w:r>
        <w:fldChar w:fldCharType="begin"/>
      </w:r>
      <w:r>
        <w:instrText xml:space="preserve"> PAGEREF _Toc202366083 \h </w:instrText>
      </w:r>
      <w:r>
        <w:fldChar w:fldCharType="separate"/>
      </w:r>
      <w:r>
        <w:t>73</w:t>
      </w:r>
      <w:r>
        <w:fldChar w:fldCharType="end"/>
      </w:r>
    </w:p>
    <w:p>
      <w:pPr>
        <w:pStyle w:val="TOC8"/>
        <w:rPr>
          <w:rFonts w:asciiTheme="minorHAnsi" w:eastAsiaTheme="minorEastAsia" w:hAnsiTheme="minorHAnsi" w:cstheme="minorBidi"/>
          <w:szCs w:val="22"/>
        </w:rPr>
      </w:pPr>
      <w:r>
        <w:t>51A.</w:t>
      </w:r>
      <w:r>
        <w:tab/>
        <w:t>Geological samples</w:t>
      </w:r>
      <w:r>
        <w:tab/>
      </w:r>
      <w:r>
        <w:fldChar w:fldCharType="begin"/>
      </w:r>
      <w:r>
        <w:instrText xml:space="preserve"> PAGEREF _Toc202366084 \h </w:instrText>
      </w:r>
      <w:r>
        <w:fldChar w:fldCharType="separate"/>
      </w:r>
      <w:r>
        <w:t>73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Security relating to prospecting licence</w:t>
      </w:r>
      <w:r>
        <w:tab/>
      </w:r>
      <w:r>
        <w:fldChar w:fldCharType="begin"/>
      </w:r>
      <w:r>
        <w:instrText xml:space="preserve"> PAGEREF _Toc202366085 \h </w:instrText>
      </w:r>
      <w:r>
        <w:fldChar w:fldCharType="separate"/>
      </w:r>
      <w:r>
        <w:t>73</w:t>
      </w:r>
      <w:r>
        <w:fldChar w:fldCharType="end"/>
      </w:r>
    </w:p>
    <w:p>
      <w:pPr>
        <w:pStyle w:val="TOC8"/>
        <w:rPr>
          <w:rFonts w:asciiTheme="minorHAnsi" w:eastAsiaTheme="minorEastAsia" w:hAnsiTheme="minorHAnsi" w:cstheme="minorBidi"/>
          <w:szCs w:val="22"/>
        </w:rPr>
      </w:pPr>
      <w:r>
        <w:t>53.</w:t>
      </w:r>
      <w:r>
        <w:tab/>
        <w:t>Application for retention status</w:t>
      </w:r>
      <w:r>
        <w:tab/>
      </w:r>
      <w:r>
        <w:fldChar w:fldCharType="begin"/>
      </w:r>
      <w:r>
        <w:instrText xml:space="preserve"> PAGEREF _Toc202366086 \h </w:instrText>
      </w:r>
      <w:r>
        <w:fldChar w:fldCharType="separate"/>
      </w:r>
      <w:r>
        <w:t>74</w:t>
      </w:r>
      <w:r>
        <w:fldChar w:fldCharType="end"/>
      </w:r>
    </w:p>
    <w:p>
      <w:pPr>
        <w:pStyle w:val="TOC8"/>
        <w:rPr>
          <w:rFonts w:asciiTheme="minorHAnsi" w:eastAsiaTheme="minorEastAsia" w:hAnsiTheme="minorHAnsi" w:cstheme="minorBidi"/>
          <w:szCs w:val="22"/>
        </w:rPr>
      </w:pPr>
      <w:r>
        <w:t>54.</w:t>
      </w:r>
      <w:r>
        <w:tab/>
        <w:t>Approval of retention status</w:t>
      </w:r>
      <w:r>
        <w:tab/>
      </w:r>
      <w:r>
        <w:fldChar w:fldCharType="begin"/>
      </w:r>
      <w:r>
        <w:instrText xml:space="preserve"> PAGEREF _Toc202366087 \h </w:instrText>
      </w:r>
      <w:r>
        <w:fldChar w:fldCharType="separate"/>
      </w:r>
      <w:r>
        <w:t>75</w:t>
      </w:r>
      <w:r>
        <w:fldChar w:fldCharType="end"/>
      </w:r>
    </w:p>
    <w:p>
      <w:pPr>
        <w:pStyle w:val="TOC8"/>
        <w:rPr>
          <w:rFonts w:asciiTheme="minorHAnsi" w:eastAsiaTheme="minorEastAsia" w:hAnsiTheme="minorHAnsi" w:cstheme="minorBidi"/>
          <w:szCs w:val="22"/>
        </w:rPr>
      </w:pPr>
      <w:r>
        <w:t>55.</w:t>
      </w:r>
      <w:r>
        <w:tab/>
        <w:t>Consultation with other Ministers</w:t>
      </w:r>
      <w:r>
        <w:tab/>
      </w:r>
      <w:r>
        <w:fldChar w:fldCharType="begin"/>
      </w:r>
      <w:r>
        <w:instrText xml:space="preserve"> PAGEREF _Toc202366088 \h </w:instrText>
      </w:r>
      <w:r>
        <w:fldChar w:fldCharType="separate"/>
      </w:r>
      <w:r>
        <w:t>76</w:t>
      </w:r>
      <w:r>
        <w:fldChar w:fldCharType="end"/>
      </w:r>
    </w:p>
    <w:p>
      <w:pPr>
        <w:pStyle w:val="TOC8"/>
        <w:rPr>
          <w:rFonts w:asciiTheme="minorHAnsi" w:eastAsiaTheme="minorEastAsia" w:hAnsiTheme="minorHAnsi" w:cstheme="minorBidi"/>
          <w:szCs w:val="22"/>
        </w:rPr>
      </w:pPr>
      <w:r>
        <w:t>55A.</w:t>
      </w:r>
      <w:r>
        <w:tab/>
        <w:t>Programme of work</w:t>
      </w:r>
      <w:r>
        <w:tab/>
      </w:r>
      <w:r>
        <w:fldChar w:fldCharType="begin"/>
      </w:r>
      <w:r>
        <w:instrText xml:space="preserve"> PAGEREF _Toc202366089 \h </w:instrText>
      </w:r>
      <w:r>
        <w:fldChar w:fldCharType="separate"/>
      </w:r>
      <w:r>
        <w:t>77</w:t>
      </w:r>
      <w:r>
        <w:fldChar w:fldCharType="end"/>
      </w:r>
    </w:p>
    <w:p>
      <w:pPr>
        <w:pStyle w:val="TOC8"/>
        <w:rPr>
          <w:rFonts w:asciiTheme="minorHAnsi" w:eastAsiaTheme="minorEastAsia" w:hAnsiTheme="minorHAnsi" w:cstheme="minorBidi"/>
          <w:szCs w:val="22"/>
        </w:rPr>
      </w:pPr>
      <w:r>
        <w:t>55B.</w:t>
      </w:r>
      <w:r>
        <w:tab/>
        <w:t>Holder of prospecting licence with retention status may be required to apply for mining lease</w:t>
      </w:r>
      <w:r>
        <w:tab/>
      </w:r>
      <w:r>
        <w:fldChar w:fldCharType="begin"/>
      </w:r>
      <w:r>
        <w:instrText xml:space="preserve"> PAGEREF _Toc202366090 \h </w:instrText>
      </w:r>
      <w:r>
        <w:fldChar w:fldCharType="separate"/>
      </w:r>
      <w:r>
        <w:t>78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Appeal against refusal to grant prospecting licence</w:t>
      </w:r>
      <w:r>
        <w:tab/>
      </w:r>
      <w:r>
        <w:fldChar w:fldCharType="begin"/>
      </w:r>
      <w:r>
        <w:instrText xml:space="preserve"> PAGEREF _Toc202366091 \h </w:instrText>
      </w:r>
      <w:r>
        <w:fldChar w:fldCharType="separate"/>
      </w:r>
      <w:r>
        <w:t>78</w:t>
      </w:r>
      <w:r>
        <w:fldChar w:fldCharType="end"/>
      </w:r>
    </w:p>
    <w:p>
      <w:pPr>
        <w:pStyle w:val="TOC8"/>
        <w:rPr>
          <w:rFonts w:asciiTheme="minorHAnsi" w:eastAsiaTheme="minorEastAsia" w:hAnsiTheme="minorHAnsi" w:cstheme="minorBidi"/>
          <w:szCs w:val="22"/>
        </w:rPr>
      </w:pPr>
      <w:r>
        <w:t>56A</w:t>
      </w:r>
      <w:r>
        <w:rPr>
          <w:snapToGrid w:val="0"/>
        </w:rPr>
        <w:t>.</w:t>
      </w:r>
      <w:r>
        <w:rPr>
          <w:snapToGrid w:val="0"/>
        </w:rPr>
        <w:tab/>
        <w:t>Special prospecting licences</w:t>
      </w:r>
      <w:r>
        <w:tab/>
      </w:r>
      <w:r>
        <w:fldChar w:fldCharType="begin"/>
      </w:r>
      <w:r>
        <w:instrText xml:space="preserve"> PAGEREF _Toc202366092 \h </w:instrText>
      </w:r>
      <w:r>
        <w:fldChar w:fldCharType="separate"/>
      </w:r>
      <w:r>
        <w:t>79</w:t>
      </w:r>
      <w:r>
        <w:fldChar w:fldCharType="end"/>
      </w:r>
    </w:p>
    <w:p>
      <w:pPr>
        <w:pStyle w:val="TOC8"/>
        <w:rPr>
          <w:rFonts w:asciiTheme="minorHAnsi" w:eastAsiaTheme="minorEastAsia" w:hAnsiTheme="minorHAnsi" w:cstheme="minorBidi"/>
          <w:szCs w:val="22"/>
        </w:rPr>
      </w:pPr>
      <w:r>
        <w:t>56B.</w:t>
      </w:r>
      <w:r>
        <w:tab/>
        <w:t>Certain licence holders to have right to apply for further prospecting licence</w:t>
      </w:r>
      <w:r>
        <w:tab/>
      </w:r>
      <w:r>
        <w:fldChar w:fldCharType="begin"/>
      </w:r>
      <w:r>
        <w:instrText xml:space="preserve"> PAGEREF _Toc202366093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w:t>
      </w:r>
      <w:r>
        <w:rPr>
          <w:snapToGrid w:val="0"/>
        </w:rPr>
        <w:t> — </w:t>
      </w:r>
      <w:r>
        <w:t>Exploration licence</w:t>
      </w:r>
    </w:p>
    <w:p>
      <w:pPr>
        <w:pStyle w:val="TOC8"/>
        <w:rPr>
          <w:rFonts w:asciiTheme="minorHAnsi" w:eastAsiaTheme="minorEastAsia" w:hAnsiTheme="minorHAnsi" w:cstheme="minorBidi"/>
          <w:szCs w:val="22"/>
        </w:rPr>
      </w:pPr>
      <w:r>
        <w:t>56C</w:t>
      </w:r>
      <w:r>
        <w:rPr>
          <w:snapToGrid w:val="0"/>
        </w:rPr>
        <w:t>.</w:t>
      </w:r>
      <w:r>
        <w:rPr>
          <w:snapToGrid w:val="0"/>
        </w:rPr>
        <w:tab/>
        <w:t>Graticular sections</w:t>
      </w:r>
      <w:r>
        <w:tab/>
      </w:r>
      <w:r>
        <w:fldChar w:fldCharType="begin"/>
      </w:r>
      <w:r>
        <w:instrText xml:space="preserve"> PAGEREF _Toc202366095 \h </w:instrText>
      </w:r>
      <w:r>
        <w:fldChar w:fldCharType="separate"/>
      </w:r>
      <w:r>
        <w:t>86</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Grant of exploration licence</w:t>
      </w:r>
      <w:r>
        <w:tab/>
      </w:r>
      <w:r>
        <w:fldChar w:fldCharType="begin"/>
      </w:r>
      <w:r>
        <w:instrText xml:space="preserve"> PAGEREF _Toc202366096 \h </w:instrText>
      </w:r>
      <w:r>
        <w:fldChar w:fldCharType="separate"/>
      </w:r>
      <w:r>
        <w:t>88</w:t>
      </w:r>
      <w:r>
        <w:fldChar w:fldCharType="end"/>
      </w:r>
    </w:p>
    <w:p>
      <w:pPr>
        <w:pStyle w:val="TOC8"/>
        <w:rPr>
          <w:rFonts w:asciiTheme="minorHAnsi" w:eastAsiaTheme="minorEastAsia" w:hAnsiTheme="minorHAnsi" w:cstheme="minorBidi"/>
          <w:szCs w:val="22"/>
        </w:rPr>
      </w:pPr>
      <w:r>
        <w:t>57A.</w:t>
      </w:r>
      <w:r>
        <w:tab/>
        <w:t>Designation of areas for purposes of s. 57(2aa)</w:t>
      </w:r>
      <w:r>
        <w:tab/>
      </w:r>
      <w:r>
        <w:fldChar w:fldCharType="begin"/>
      </w:r>
      <w:r>
        <w:instrText xml:space="preserve"> PAGEREF _Toc202366097 \h </w:instrText>
      </w:r>
      <w:r>
        <w:fldChar w:fldCharType="separate"/>
      </w:r>
      <w:r>
        <w:t>91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Application for exploration licence</w:t>
      </w:r>
      <w:r>
        <w:tab/>
      </w:r>
      <w:r>
        <w:fldChar w:fldCharType="begin"/>
      </w:r>
      <w:r>
        <w:instrText xml:space="preserve"> PAGEREF _Toc202366098 \h </w:instrText>
      </w:r>
      <w:r>
        <w:fldChar w:fldCharType="separate"/>
      </w:r>
      <w:r>
        <w:t>91</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Determination of application for exploration licence</w:t>
      </w:r>
      <w:r>
        <w:tab/>
      </w:r>
      <w:r>
        <w:fldChar w:fldCharType="begin"/>
      </w:r>
      <w:r>
        <w:instrText xml:space="preserve"> PAGEREF _Toc202366099 \h </w:instrText>
      </w:r>
      <w:r>
        <w:fldChar w:fldCharType="separate"/>
      </w:r>
      <w:r>
        <w:t>93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Security relating to exploration licence</w:t>
      </w:r>
      <w:r>
        <w:tab/>
      </w:r>
      <w:r>
        <w:fldChar w:fldCharType="begin"/>
      </w:r>
      <w:r>
        <w:instrText xml:space="preserve"> PAGEREF _Toc202366100 \h </w:instrText>
      </w:r>
      <w:r>
        <w:fldChar w:fldCharType="separate"/>
      </w:r>
      <w:r>
        <w:t>95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Term of exploration licence</w:t>
      </w:r>
      <w:r>
        <w:tab/>
      </w:r>
      <w:r>
        <w:fldChar w:fldCharType="begin"/>
      </w:r>
      <w:r>
        <w:instrText xml:space="preserve"> PAGEREF _Toc202366101 \h </w:instrText>
      </w:r>
      <w:r>
        <w:fldChar w:fldCharType="separate"/>
      </w:r>
      <w:r>
        <w:t>96</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Expenditure conditions</w:t>
      </w:r>
      <w:r>
        <w:tab/>
      </w:r>
      <w:r>
        <w:fldChar w:fldCharType="begin"/>
      </w:r>
      <w:r>
        <w:instrText xml:space="preserve"> PAGEREF _Toc202366102 \h </w:instrText>
      </w:r>
      <w:r>
        <w:fldChar w:fldCharType="separate"/>
      </w:r>
      <w:r>
        <w:t>97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Condition attached to exploration licence</w:t>
      </w:r>
      <w:r>
        <w:tab/>
      </w:r>
      <w:r>
        <w:fldChar w:fldCharType="begin"/>
      </w:r>
      <w:r>
        <w:instrText xml:space="preserve"> PAGEREF _Toc202366103 \h </w:instrText>
      </w:r>
      <w:r>
        <w:fldChar w:fldCharType="separate"/>
      </w:r>
      <w:r>
        <w:t>97</w:t>
      </w:r>
      <w:r>
        <w:fldChar w:fldCharType="end"/>
      </w:r>
    </w:p>
    <w:p>
      <w:pPr>
        <w:pStyle w:val="TOC8"/>
        <w:rPr>
          <w:rFonts w:asciiTheme="minorHAnsi" w:eastAsiaTheme="minorEastAsia" w:hAnsiTheme="minorHAnsi" w:cstheme="minorBidi"/>
          <w:szCs w:val="22"/>
        </w:rPr>
      </w:pPr>
      <w:r>
        <w:t>63AA</w:t>
      </w:r>
      <w:r>
        <w:rPr>
          <w:snapToGrid w:val="0"/>
        </w:rPr>
        <w:t>.</w:t>
      </w:r>
      <w:r>
        <w:rPr>
          <w:snapToGrid w:val="0"/>
        </w:rPr>
        <w:tab/>
        <w:t>Conditions for prevention or reduction of injury to land</w:t>
      </w:r>
      <w:r>
        <w:tab/>
      </w:r>
      <w:r>
        <w:fldChar w:fldCharType="begin"/>
      </w:r>
      <w:r>
        <w:instrText xml:space="preserve"> PAGEREF _Toc202366104 \h </w:instrText>
      </w:r>
      <w:r>
        <w:fldChar w:fldCharType="separate"/>
      </w:r>
      <w:r>
        <w:t>98</w:t>
      </w:r>
      <w:r>
        <w:fldChar w:fldCharType="end"/>
      </w:r>
    </w:p>
    <w:p>
      <w:pPr>
        <w:pStyle w:val="TOC8"/>
        <w:rPr>
          <w:rFonts w:asciiTheme="minorHAnsi" w:eastAsiaTheme="minorEastAsia" w:hAnsiTheme="minorHAnsi" w:cstheme="minorBidi"/>
          <w:szCs w:val="22"/>
        </w:rPr>
      </w:pPr>
      <w:r>
        <w:t>63A</w:t>
      </w:r>
      <w:r>
        <w:rPr>
          <w:snapToGrid w:val="0"/>
        </w:rPr>
        <w:t>.</w:t>
      </w:r>
      <w:r>
        <w:rPr>
          <w:snapToGrid w:val="0"/>
        </w:rPr>
        <w:tab/>
        <w:t>When exploration licence liable to forfeiture</w:t>
      </w:r>
      <w:r>
        <w:tab/>
      </w:r>
      <w:r>
        <w:fldChar w:fldCharType="begin"/>
      </w:r>
      <w:r>
        <w:instrText xml:space="preserve"> PAGEREF _Toc202366105 \h </w:instrText>
      </w:r>
      <w:r>
        <w:fldChar w:fldCharType="separate"/>
      </w:r>
      <w:r>
        <w:t>99</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Consent to dealing in exploration licence</w:t>
      </w:r>
      <w:r>
        <w:tab/>
      </w:r>
      <w:r>
        <w:fldChar w:fldCharType="begin"/>
      </w:r>
      <w:r>
        <w:instrText xml:space="preserve"> PAGEREF _Toc202366106 \h </w:instrText>
      </w:r>
      <w:r>
        <w:fldChar w:fldCharType="separate"/>
      </w:r>
      <w:r>
        <w:t>100</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Surrender of certain areas subject to exploration licence</w:t>
      </w:r>
      <w:r>
        <w:tab/>
      </w:r>
      <w:r>
        <w:fldChar w:fldCharType="begin"/>
      </w:r>
      <w:r>
        <w:instrText xml:space="preserve"> PAGEREF _Toc202366107 \h </w:instrText>
      </w:r>
      <w:r>
        <w:fldChar w:fldCharType="separate"/>
      </w:r>
      <w:r>
        <w:t>101</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Rights conferred by exploration licence</w:t>
      </w:r>
      <w:r>
        <w:tab/>
      </w:r>
      <w:r>
        <w:fldChar w:fldCharType="begin"/>
      </w:r>
      <w:r>
        <w:instrText xml:space="preserve"> PAGEREF _Toc202366108 \h </w:instrText>
      </w:r>
      <w:r>
        <w:fldChar w:fldCharType="separate"/>
      </w:r>
      <w:r>
        <w:t>103</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Holder of exploration licence to have priority for grant of mining leases or general purpose leases</w:t>
      </w:r>
      <w:r>
        <w:tab/>
      </w:r>
      <w:r>
        <w:fldChar w:fldCharType="begin"/>
      </w:r>
      <w:r>
        <w:instrText xml:space="preserve"> PAGEREF _Toc202366109 \h </w:instrText>
      </w:r>
      <w:r>
        <w:fldChar w:fldCharType="separate"/>
      </w:r>
      <w:r>
        <w:t>104</w:t>
      </w:r>
      <w:r>
        <w:fldChar w:fldCharType="end"/>
      </w:r>
    </w:p>
    <w:p>
      <w:pPr>
        <w:pStyle w:val="TOC8"/>
        <w:rPr>
          <w:rFonts w:asciiTheme="minorHAnsi" w:eastAsiaTheme="minorEastAsia" w:hAnsiTheme="minorHAnsi" w:cstheme="minorBidi"/>
          <w:szCs w:val="22"/>
        </w:rPr>
      </w:pPr>
      <w:r>
        <w:t>67A</w:t>
      </w:r>
      <w:r>
        <w:rPr>
          <w:snapToGrid w:val="0"/>
        </w:rPr>
        <w:t>.</w:t>
      </w:r>
      <w:r>
        <w:rPr>
          <w:snapToGrid w:val="0"/>
        </w:rPr>
        <w:tab/>
        <w:t>Holder of exploration licence may apply to amalgamate secondary tenement</w:t>
      </w:r>
      <w:r>
        <w:tab/>
      </w:r>
      <w:r>
        <w:fldChar w:fldCharType="begin"/>
      </w:r>
      <w:r>
        <w:instrText xml:space="preserve"> PAGEREF _Toc202366110 \h </w:instrText>
      </w:r>
      <w:r>
        <w:fldChar w:fldCharType="separate"/>
      </w:r>
      <w:r>
        <w:t>105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Holder of exploration licence to keep geological records</w:t>
      </w:r>
      <w:r>
        <w:tab/>
      </w:r>
      <w:r>
        <w:fldChar w:fldCharType="begin"/>
      </w:r>
      <w:r>
        <w:instrText xml:space="preserve"> PAGEREF _Toc202366111 \h </w:instrText>
      </w:r>
      <w:r>
        <w:fldChar w:fldCharType="separate"/>
      </w:r>
      <w:r>
        <w:t>108</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Land the subject of exploration licence not to be again marked out for a certain period</w:t>
      </w:r>
      <w:r>
        <w:tab/>
      </w:r>
      <w:r>
        <w:fldChar w:fldCharType="begin"/>
      </w:r>
      <w:r>
        <w:instrText xml:space="preserve"> PAGEREF _Toc202366112 \h </w:instrText>
      </w:r>
      <w:r>
        <w:fldChar w:fldCharType="separate"/>
      </w:r>
      <w:r>
        <w:t>108</w:t>
      </w:r>
      <w:r>
        <w:fldChar w:fldCharType="end"/>
      </w:r>
    </w:p>
    <w:p>
      <w:pPr>
        <w:pStyle w:val="TOC8"/>
        <w:rPr>
          <w:rFonts w:asciiTheme="minorHAnsi" w:eastAsiaTheme="minorEastAsia" w:hAnsiTheme="minorHAnsi" w:cstheme="minorBidi"/>
          <w:szCs w:val="22"/>
        </w:rPr>
      </w:pPr>
      <w:r>
        <w:t>69A.</w:t>
      </w:r>
      <w:r>
        <w:tab/>
        <w:t>Application for retention status</w:t>
      </w:r>
      <w:r>
        <w:tab/>
      </w:r>
      <w:r>
        <w:fldChar w:fldCharType="begin"/>
      </w:r>
      <w:r>
        <w:instrText xml:space="preserve"> PAGEREF _Toc202366113 \h </w:instrText>
      </w:r>
      <w:r>
        <w:fldChar w:fldCharType="separate"/>
      </w:r>
      <w:r>
        <w:t>109</w:t>
      </w:r>
      <w:r>
        <w:fldChar w:fldCharType="end"/>
      </w:r>
    </w:p>
    <w:p>
      <w:pPr>
        <w:pStyle w:val="TOC8"/>
        <w:rPr>
          <w:rFonts w:asciiTheme="minorHAnsi" w:eastAsiaTheme="minorEastAsia" w:hAnsiTheme="minorHAnsi" w:cstheme="minorBidi"/>
          <w:szCs w:val="22"/>
        </w:rPr>
      </w:pPr>
      <w:r>
        <w:t>69B.</w:t>
      </w:r>
      <w:r>
        <w:tab/>
        <w:t>Approval of retention status</w:t>
      </w:r>
      <w:r>
        <w:tab/>
      </w:r>
      <w:r>
        <w:fldChar w:fldCharType="begin"/>
      </w:r>
      <w:r>
        <w:instrText xml:space="preserve"> PAGEREF _Toc202366114 \h </w:instrText>
      </w:r>
      <w:r>
        <w:fldChar w:fldCharType="separate"/>
      </w:r>
      <w:r>
        <w:t>110</w:t>
      </w:r>
      <w:r>
        <w:fldChar w:fldCharType="end"/>
      </w:r>
    </w:p>
    <w:p>
      <w:pPr>
        <w:pStyle w:val="TOC8"/>
        <w:rPr>
          <w:rFonts w:asciiTheme="minorHAnsi" w:eastAsiaTheme="minorEastAsia" w:hAnsiTheme="minorHAnsi" w:cstheme="minorBidi"/>
          <w:szCs w:val="22"/>
        </w:rPr>
      </w:pPr>
      <w:r>
        <w:t>69C.</w:t>
      </w:r>
      <w:r>
        <w:tab/>
        <w:t>Consultation with other Ministers</w:t>
      </w:r>
      <w:r>
        <w:tab/>
      </w:r>
      <w:r>
        <w:fldChar w:fldCharType="begin"/>
      </w:r>
      <w:r>
        <w:instrText xml:space="preserve"> PAGEREF _Toc202366115 \h </w:instrText>
      </w:r>
      <w:r>
        <w:fldChar w:fldCharType="separate"/>
      </w:r>
      <w:r>
        <w:t>111</w:t>
      </w:r>
      <w:r>
        <w:fldChar w:fldCharType="end"/>
      </w:r>
    </w:p>
    <w:p>
      <w:pPr>
        <w:pStyle w:val="TOC8"/>
        <w:rPr>
          <w:rFonts w:asciiTheme="minorHAnsi" w:eastAsiaTheme="minorEastAsia" w:hAnsiTheme="minorHAnsi" w:cstheme="minorBidi"/>
          <w:szCs w:val="22"/>
        </w:rPr>
      </w:pPr>
      <w:r>
        <w:t>69D.</w:t>
      </w:r>
      <w:r>
        <w:tab/>
        <w:t>Programme of work</w:t>
      </w:r>
      <w:r>
        <w:tab/>
      </w:r>
      <w:r>
        <w:fldChar w:fldCharType="begin"/>
      </w:r>
      <w:r>
        <w:instrText xml:space="preserve"> PAGEREF _Toc202366116 \h </w:instrText>
      </w:r>
      <w:r>
        <w:fldChar w:fldCharType="separate"/>
      </w:r>
      <w:r>
        <w:t>112</w:t>
      </w:r>
      <w:r>
        <w:fldChar w:fldCharType="end"/>
      </w:r>
    </w:p>
    <w:p>
      <w:pPr>
        <w:pStyle w:val="TOC8"/>
        <w:rPr>
          <w:rFonts w:asciiTheme="minorHAnsi" w:eastAsiaTheme="minorEastAsia" w:hAnsiTheme="minorHAnsi" w:cstheme="minorBidi"/>
          <w:szCs w:val="22"/>
        </w:rPr>
      </w:pPr>
      <w:r>
        <w:t>69E.</w:t>
      </w:r>
      <w:r>
        <w:tab/>
        <w:t>Holder of exploration licence with retention status may be required to apply for mining lease</w:t>
      </w:r>
      <w:r>
        <w:tab/>
      </w:r>
      <w:r>
        <w:fldChar w:fldCharType="begin"/>
      </w:r>
      <w:r>
        <w:instrText xml:space="preserve"> PAGEREF _Toc202366117 \h </w:instrText>
      </w:r>
      <w:r>
        <w:fldChar w:fldCharType="separate"/>
      </w:r>
      <w:r>
        <w:t>112</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 xml:space="preserve">Special prospecting licence on an </w:t>
      </w:r>
      <w:r>
        <w:t>exploration licence</w:t>
      </w:r>
      <w:r>
        <w:tab/>
      </w:r>
      <w:r>
        <w:fldChar w:fldCharType="begin"/>
      </w:r>
      <w:r>
        <w:instrText xml:space="preserve"> PAGEREF _Toc202366118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2A</w:t>
      </w:r>
      <w:r>
        <w:rPr>
          <w:snapToGrid w:val="0"/>
        </w:rPr>
        <w:t> — </w:t>
      </w:r>
      <w:r>
        <w:t>Retention licence</w:t>
      </w:r>
    </w:p>
    <w:p>
      <w:pPr>
        <w:pStyle w:val="TOC8"/>
        <w:rPr>
          <w:rFonts w:asciiTheme="minorHAnsi" w:eastAsiaTheme="minorEastAsia" w:hAnsiTheme="minorHAnsi" w:cstheme="minorBidi"/>
          <w:szCs w:val="22"/>
        </w:rPr>
      </w:pPr>
      <w:r>
        <w:t>70A.</w:t>
      </w:r>
      <w:r>
        <w:tab/>
        <w:t>Term used: primary tenement</w:t>
      </w:r>
      <w:r>
        <w:tab/>
      </w:r>
      <w:r>
        <w:fldChar w:fldCharType="begin"/>
      </w:r>
      <w:r>
        <w:instrText xml:space="preserve"> PAGEREF _Toc202366120 \h </w:instrText>
      </w:r>
      <w:r>
        <w:fldChar w:fldCharType="separate"/>
      </w:r>
      <w:r>
        <w:t>120</w:t>
      </w:r>
      <w:r>
        <w:fldChar w:fldCharType="end"/>
      </w:r>
    </w:p>
    <w:p>
      <w:pPr>
        <w:pStyle w:val="TOC8"/>
        <w:rPr>
          <w:rFonts w:asciiTheme="minorHAnsi" w:eastAsiaTheme="minorEastAsia" w:hAnsiTheme="minorHAnsi" w:cstheme="minorBidi"/>
          <w:szCs w:val="22"/>
        </w:rPr>
      </w:pPr>
      <w:r>
        <w:t>70B</w:t>
      </w:r>
      <w:r>
        <w:rPr>
          <w:snapToGrid w:val="0"/>
        </w:rPr>
        <w:t>.</w:t>
      </w:r>
      <w:r>
        <w:rPr>
          <w:snapToGrid w:val="0"/>
        </w:rPr>
        <w:tab/>
        <w:t>Grant of retention licence</w:t>
      </w:r>
      <w:r>
        <w:tab/>
      </w:r>
      <w:r>
        <w:fldChar w:fldCharType="begin"/>
      </w:r>
      <w:r>
        <w:instrText xml:space="preserve"> PAGEREF _Toc202366121 \h </w:instrText>
      </w:r>
      <w:r>
        <w:fldChar w:fldCharType="separate"/>
      </w:r>
      <w:r>
        <w:t>120</w:t>
      </w:r>
      <w:r>
        <w:fldChar w:fldCharType="end"/>
      </w:r>
    </w:p>
    <w:p>
      <w:pPr>
        <w:pStyle w:val="TOC8"/>
        <w:rPr>
          <w:rFonts w:asciiTheme="minorHAnsi" w:eastAsiaTheme="minorEastAsia" w:hAnsiTheme="minorHAnsi" w:cstheme="minorBidi"/>
          <w:szCs w:val="22"/>
        </w:rPr>
      </w:pPr>
      <w:r>
        <w:t>70C</w:t>
      </w:r>
      <w:r>
        <w:rPr>
          <w:snapToGrid w:val="0"/>
        </w:rPr>
        <w:t>.</w:t>
      </w:r>
      <w:r>
        <w:rPr>
          <w:snapToGrid w:val="0"/>
        </w:rPr>
        <w:tab/>
        <w:t>Application for retention licence</w:t>
      </w:r>
      <w:r>
        <w:tab/>
      </w:r>
      <w:r>
        <w:fldChar w:fldCharType="begin"/>
      </w:r>
      <w:r>
        <w:instrText xml:space="preserve"> PAGEREF _Toc202366122 \h </w:instrText>
      </w:r>
      <w:r>
        <w:fldChar w:fldCharType="separate"/>
      </w:r>
      <w:r>
        <w:t>121</w:t>
      </w:r>
      <w:r>
        <w:fldChar w:fldCharType="end"/>
      </w:r>
    </w:p>
    <w:p>
      <w:pPr>
        <w:pStyle w:val="TOC8"/>
        <w:rPr>
          <w:rFonts w:asciiTheme="minorHAnsi" w:eastAsiaTheme="minorEastAsia" w:hAnsiTheme="minorHAnsi" w:cstheme="minorBidi"/>
          <w:szCs w:val="22"/>
        </w:rPr>
      </w:pPr>
      <w:r>
        <w:t>70D</w:t>
      </w:r>
      <w:r>
        <w:rPr>
          <w:snapToGrid w:val="0"/>
        </w:rPr>
        <w:t>.</w:t>
      </w:r>
      <w:r>
        <w:rPr>
          <w:snapToGrid w:val="0"/>
        </w:rPr>
        <w:tab/>
        <w:t>Determination of application for retention licence</w:t>
      </w:r>
      <w:r>
        <w:tab/>
      </w:r>
      <w:r>
        <w:fldChar w:fldCharType="begin"/>
      </w:r>
      <w:r>
        <w:instrText xml:space="preserve"> PAGEREF _Toc202366123 \h </w:instrText>
      </w:r>
      <w:r>
        <w:fldChar w:fldCharType="separate"/>
      </w:r>
      <w:r>
        <w:t>124</w:t>
      </w:r>
      <w:r>
        <w:fldChar w:fldCharType="end"/>
      </w:r>
    </w:p>
    <w:p>
      <w:pPr>
        <w:pStyle w:val="TOC8"/>
        <w:rPr>
          <w:rFonts w:asciiTheme="minorHAnsi" w:eastAsiaTheme="minorEastAsia" w:hAnsiTheme="minorHAnsi" w:cstheme="minorBidi"/>
          <w:szCs w:val="22"/>
        </w:rPr>
      </w:pPr>
      <w:r>
        <w:t>70E</w:t>
      </w:r>
      <w:r>
        <w:rPr>
          <w:snapToGrid w:val="0"/>
        </w:rPr>
        <w:t>.</w:t>
      </w:r>
      <w:r>
        <w:rPr>
          <w:snapToGrid w:val="0"/>
        </w:rPr>
        <w:tab/>
        <w:t>Term of retention licence and renewal</w:t>
      </w:r>
      <w:r>
        <w:tab/>
      </w:r>
      <w:r>
        <w:fldChar w:fldCharType="begin"/>
      </w:r>
      <w:r>
        <w:instrText xml:space="preserve"> PAGEREF _Toc202366124 \h </w:instrText>
      </w:r>
      <w:r>
        <w:fldChar w:fldCharType="separate"/>
      </w:r>
      <w:r>
        <w:t>126</w:t>
      </w:r>
      <w:r>
        <w:fldChar w:fldCharType="end"/>
      </w:r>
    </w:p>
    <w:p>
      <w:pPr>
        <w:pStyle w:val="TOC8"/>
        <w:rPr>
          <w:rFonts w:asciiTheme="minorHAnsi" w:eastAsiaTheme="minorEastAsia" w:hAnsiTheme="minorHAnsi" w:cstheme="minorBidi"/>
          <w:szCs w:val="22"/>
        </w:rPr>
      </w:pPr>
      <w:r>
        <w:lastRenderedPageBreak/>
        <w:t>70F.</w:t>
      </w:r>
      <w:r>
        <w:tab/>
        <w:t>Security relating to retention licence</w:t>
      </w:r>
      <w:r>
        <w:tab/>
      </w:r>
      <w:r>
        <w:fldChar w:fldCharType="begin"/>
      </w:r>
      <w:r>
        <w:instrText xml:space="preserve"> PAGEREF _Toc202366125 \h </w:instrText>
      </w:r>
      <w:r>
        <w:fldChar w:fldCharType="separate"/>
      </w:r>
      <w:r>
        <w:t>127</w:t>
      </w:r>
      <w:r>
        <w:fldChar w:fldCharType="end"/>
      </w:r>
    </w:p>
    <w:p>
      <w:pPr>
        <w:pStyle w:val="TOC8"/>
        <w:rPr>
          <w:rFonts w:asciiTheme="minorHAnsi" w:eastAsiaTheme="minorEastAsia" w:hAnsiTheme="minorHAnsi" w:cstheme="minorBidi"/>
          <w:szCs w:val="22"/>
        </w:rPr>
      </w:pPr>
      <w:r>
        <w:t>70G</w:t>
      </w:r>
      <w:r>
        <w:rPr>
          <w:snapToGrid w:val="0"/>
        </w:rPr>
        <w:t>.</w:t>
      </w:r>
      <w:r>
        <w:rPr>
          <w:snapToGrid w:val="0"/>
        </w:rPr>
        <w:tab/>
        <w:t>Survey of area of retention licence not required in first instance</w:t>
      </w:r>
      <w:r>
        <w:tab/>
      </w:r>
      <w:r>
        <w:fldChar w:fldCharType="begin"/>
      </w:r>
      <w:r>
        <w:instrText xml:space="preserve"> PAGEREF _Toc202366126 \h </w:instrText>
      </w:r>
      <w:r>
        <w:fldChar w:fldCharType="separate"/>
      </w:r>
      <w:r>
        <w:t>127</w:t>
      </w:r>
      <w:r>
        <w:fldChar w:fldCharType="end"/>
      </w:r>
    </w:p>
    <w:p>
      <w:pPr>
        <w:pStyle w:val="TOC8"/>
        <w:rPr>
          <w:rFonts w:asciiTheme="minorHAnsi" w:eastAsiaTheme="minorEastAsia" w:hAnsiTheme="minorHAnsi" w:cstheme="minorBidi"/>
          <w:szCs w:val="22"/>
        </w:rPr>
      </w:pPr>
      <w:r>
        <w:t>70H</w:t>
      </w:r>
      <w:r>
        <w:rPr>
          <w:snapToGrid w:val="0"/>
        </w:rPr>
        <w:t>.</w:t>
      </w:r>
      <w:r>
        <w:rPr>
          <w:snapToGrid w:val="0"/>
        </w:rPr>
        <w:tab/>
        <w:t>Conditions attached to retention licence</w:t>
      </w:r>
      <w:r>
        <w:tab/>
      </w:r>
      <w:r>
        <w:fldChar w:fldCharType="begin"/>
      </w:r>
      <w:r>
        <w:instrText xml:space="preserve"> PAGEREF _Toc202366127 \h </w:instrText>
      </w:r>
      <w:r>
        <w:fldChar w:fldCharType="separate"/>
      </w:r>
      <w:r>
        <w:t>128</w:t>
      </w:r>
      <w:r>
        <w:fldChar w:fldCharType="end"/>
      </w:r>
    </w:p>
    <w:p>
      <w:pPr>
        <w:pStyle w:val="TOC8"/>
        <w:rPr>
          <w:rFonts w:asciiTheme="minorHAnsi" w:eastAsiaTheme="minorEastAsia" w:hAnsiTheme="minorHAnsi" w:cstheme="minorBidi"/>
          <w:szCs w:val="22"/>
        </w:rPr>
      </w:pPr>
      <w:r>
        <w:t>70I</w:t>
      </w:r>
      <w:r>
        <w:rPr>
          <w:snapToGrid w:val="0"/>
        </w:rPr>
        <w:t>.</w:t>
      </w:r>
      <w:r>
        <w:rPr>
          <w:snapToGrid w:val="0"/>
        </w:rPr>
        <w:tab/>
        <w:t>Conditions for prevention or reduction of injury to land</w:t>
      </w:r>
      <w:r>
        <w:tab/>
      </w:r>
      <w:r>
        <w:fldChar w:fldCharType="begin"/>
      </w:r>
      <w:r>
        <w:instrText xml:space="preserve"> PAGEREF _Toc202366128 \h </w:instrText>
      </w:r>
      <w:r>
        <w:fldChar w:fldCharType="separate"/>
      </w:r>
      <w:r>
        <w:t>129</w:t>
      </w:r>
      <w:r>
        <w:fldChar w:fldCharType="end"/>
      </w:r>
    </w:p>
    <w:p>
      <w:pPr>
        <w:pStyle w:val="TOC8"/>
        <w:rPr>
          <w:rFonts w:asciiTheme="minorHAnsi" w:eastAsiaTheme="minorEastAsia" w:hAnsiTheme="minorHAnsi" w:cstheme="minorBidi"/>
          <w:szCs w:val="22"/>
        </w:rPr>
      </w:pPr>
      <w:r>
        <w:t>70IA</w:t>
      </w:r>
      <w:r>
        <w:rPr>
          <w:snapToGrid w:val="0"/>
        </w:rPr>
        <w:t>.</w:t>
      </w:r>
      <w:r>
        <w:rPr>
          <w:snapToGrid w:val="0"/>
        </w:rPr>
        <w:tab/>
        <w:t>Programme of work</w:t>
      </w:r>
      <w:r>
        <w:tab/>
      </w:r>
      <w:r>
        <w:fldChar w:fldCharType="begin"/>
      </w:r>
      <w:r>
        <w:instrText xml:space="preserve"> PAGEREF _Toc202366129 \h </w:instrText>
      </w:r>
      <w:r>
        <w:fldChar w:fldCharType="separate"/>
      </w:r>
      <w:r>
        <w:t>130</w:t>
      </w:r>
      <w:r>
        <w:fldChar w:fldCharType="end"/>
      </w:r>
    </w:p>
    <w:p>
      <w:pPr>
        <w:pStyle w:val="TOC8"/>
        <w:rPr>
          <w:rFonts w:asciiTheme="minorHAnsi" w:eastAsiaTheme="minorEastAsia" w:hAnsiTheme="minorHAnsi" w:cstheme="minorBidi"/>
          <w:szCs w:val="22"/>
        </w:rPr>
      </w:pPr>
      <w:r>
        <w:t>70J</w:t>
      </w:r>
      <w:r>
        <w:rPr>
          <w:snapToGrid w:val="0"/>
        </w:rPr>
        <w:t>.</w:t>
      </w:r>
      <w:r>
        <w:rPr>
          <w:snapToGrid w:val="0"/>
        </w:rPr>
        <w:tab/>
        <w:t>Rights conferred by retention licence</w:t>
      </w:r>
      <w:r>
        <w:tab/>
      </w:r>
      <w:r>
        <w:fldChar w:fldCharType="begin"/>
      </w:r>
      <w:r>
        <w:instrText xml:space="preserve"> PAGEREF _Toc202366130 \h </w:instrText>
      </w:r>
      <w:r>
        <w:fldChar w:fldCharType="separate"/>
      </w:r>
      <w:r>
        <w:t>131</w:t>
      </w:r>
      <w:r>
        <w:fldChar w:fldCharType="end"/>
      </w:r>
    </w:p>
    <w:p>
      <w:pPr>
        <w:pStyle w:val="TOC8"/>
        <w:rPr>
          <w:rFonts w:asciiTheme="minorHAnsi" w:eastAsiaTheme="minorEastAsia" w:hAnsiTheme="minorHAnsi" w:cstheme="minorBidi"/>
          <w:szCs w:val="22"/>
        </w:rPr>
      </w:pPr>
      <w:r>
        <w:t>70K</w:t>
      </w:r>
      <w:r>
        <w:rPr>
          <w:snapToGrid w:val="0"/>
        </w:rPr>
        <w:t>.</w:t>
      </w:r>
      <w:r>
        <w:rPr>
          <w:snapToGrid w:val="0"/>
        </w:rPr>
        <w:tab/>
        <w:t>When retention licence liable to forfeiture</w:t>
      </w:r>
      <w:r>
        <w:tab/>
      </w:r>
      <w:r>
        <w:fldChar w:fldCharType="begin"/>
      </w:r>
      <w:r>
        <w:instrText xml:space="preserve"> PAGEREF _Toc202366131 \h </w:instrText>
      </w:r>
      <w:r>
        <w:fldChar w:fldCharType="separate"/>
      </w:r>
      <w:r>
        <w:t>132</w:t>
      </w:r>
      <w:r>
        <w:fldChar w:fldCharType="end"/>
      </w:r>
    </w:p>
    <w:p>
      <w:pPr>
        <w:pStyle w:val="TOC8"/>
        <w:rPr>
          <w:rFonts w:asciiTheme="minorHAnsi" w:eastAsiaTheme="minorEastAsia" w:hAnsiTheme="minorHAnsi" w:cstheme="minorBidi"/>
          <w:szCs w:val="22"/>
        </w:rPr>
      </w:pPr>
      <w:r>
        <w:t>70L</w:t>
      </w:r>
      <w:r>
        <w:rPr>
          <w:snapToGrid w:val="0"/>
        </w:rPr>
        <w:t>.</w:t>
      </w:r>
      <w:r>
        <w:rPr>
          <w:snapToGrid w:val="0"/>
        </w:rPr>
        <w:tab/>
        <w:t>Holder of retention licence to have priority for grant of mining lease or general purpose lease</w:t>
      </w:r>
      <w:r>
        <w:tab/>
      </w:r>
      <w:r>
        <w:fldChar w:fldCharType="begin"/>
      </w:r>
      <w:r>
        <w:instrText xml:space="preserve"> PAGEREF _Toc202366132 \h </w:instrText>
      </w:r>
      <w:r>
        <w:fldChar w:fldCharType="separate"/>
      </w:r>
      <w:r>
        <w:t>133</w:t>
      </w:r>
      <w:r>
        <w:fldChar w:fldCharType="end"/>
      </w:r>
    </w:p>
    <w:p>
      <w:pPr>
        <w:pStyle w:val="TOC8"/>
        <w:rPr>
          <w:rFonts w:asciiTheme="minorHAnsi" w:eastAsiaTheme="minorEastAsia" w:hAnsiTheme="minorHAnsi" w:cstheme="minorBidi"/>
          <w:szCs w:val="22"/>
        </w:rPr>
      </w:pPr>
      <w:r>
        <w:t>70M</w:t>
      </w:r>
      <w:r>
        <w:rPr>
          <w:snapToGrid w:val="0"/>
        </w:rPr>
        <w:t>.</w:t>
      </w:r>
      <w:r>
        <w:rPr>
          <w:snapToGrid w:val="0"/>
        </w:rPr>
        <w:tab/>
        <w:t>Holder of retention licence to show cause why mining lease should not be applied for</w:t>
      </w:r>
      <w:r>
        <w:tab/>
      </w:r>
      <w:r>
        <w:fldChar w:fldCharType="begin"/>
      </w:r>
      <w:r>
        <w:instrText xml:space="preserve"> PAGEREF _Toc202366133 \h </w:instrText>
      </w:r>
      <w:r>
        <w:fldChar w:fldCharType="separate"/>
      </w:r>
      <w:r>
        <w:t>134</w:t>
      </w:r>
      <w:r>
        <w:fldChar w:fldCharType="end"/>
      </w:r>
    </w:p>
    <w:p>
      <w:pPr>
        <w:pStyle w:val="TOC8"/>
        <w:rPr>
          <w:rFonts w:asciiTheme="minorHAnsi" w:eastAsiaTheme="minorEastAsia" w:hAnsiTheme="minorHAnsi" w:cstheme="minorBidi"/>
          <w:szCs w:val="22"/>
        </w:rPr>
      </w:pPr>
      <w:r>
        <w:t>70N</w:t>
      </w:r>
      <w:r>
        <w:rPr>
          <w:snapToGrid w:val="0"/>
        </w:rPr>
        <w:t>.</w:t>
      </w:r>
      <w:r>
        <w:rPr>
          <w:snapToGrid w:val="0"/>
        </w:rPr>
        <w:tab/>
        <w:t>Land subject of retention licence not to be again marked out for certain period</w:t>
      </w:r>
      <w:r>
        <w:tab/>
      </w:r>
      <w:r>
        <w:fldChar w:fldCharType="begin"/>
      </w:r>
      <w:r>
        <w:instrText xml:space="preserve"> PAGEREF _Toc202366134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Mining lease</w:t>
      </w:r>
    </w:p>
    <w:p>
      <w:pPr>
        <w:pStyle w:val="TOC8"/>
        <w:rPr>
          <w:rFonts w:asciiTheme="minorHAnsi" w:eastAsiaTheme="minorEastAsia" w:hAnsiTheme="minorHAnsi" w:cstheme="minorBidi"/>
          <w:szCs w:val="22"/>
        </w:rPr>
      </w:pPr>
      <w:r>
        <w:t>70O.</w:t>
      </w:r>
      <w:r>
        <w:tab/>
        <w:t>Terms used</w:t>
      </w:r>
      <w:r>
        <w:tab/>
      </w:r>
      <w:r>
        <w:fldChar w:fldCharType="begin"/>
      </w:r>
      <w:r>
        <w:instrText xml:space="preserve"> PAGEREF _Toc202366136 \h </w:instrText>
      </w:r>
      <w:r>
        <w:fldChar w:fldCharType="separate"/>
      </w:r>
      <w:r>
        <w:t>135</w:t>
      </w:r>
      <w:r>
        <w:fldChar w:fldCharType="end"/>
      </w:r>
    </w:p>
    <w:p>
      <w:pPr>
        <w:pStyle w:val="TOC8"/>
        <w:rPr>
          <w:rFonts w:asciiTheme="minorHAnsi" w:eastAsiaTheme="minorEastAsia" w:hAnsiTheme="minorHAnsi" w:cstheme="minorBidi"/>
          <w:szCs w:val="22"/>
        </w:rPr>
      </w:pPr>
      <w:r>
        <w:t>70P.</w:t>
      </w:r>
      <w:r>
        <w:tab/>
        <w:t>Guidelines to be publicly available</w:t>
      </w:r>
      <w:r>
        <w:tab/>
      </w:r>
      <w:r>
        <w:fldChar w:fldCharType="begin"/>
      </w:r>
      <w:r>
        <w:instrText xml:space="preserve"> PAGEREF _Toc202366137 \h </w:instrText>
      </w:r>
      <w:r>
        <w:fldChar w:fldCharType="separate"/>
      </w:r>
      <w:r>
        <w:t>136</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Grant of mining lease</w:t>
      </w:r>
      <w:r>
        <w:tab/>
      </w:r>
      <w:r>
        <w:fldChar w:fldCharType="begin"/>
      </w:r>
      <w:r>
        <w:instrText xml:space="preserve"> PAGEREF _Toc202366138 \h </w:instrText>
      </w:r>
      <w:r>
        <w:fldChar w:fldCharType="separate"/>
      </w:r>
      <w:r>
        <w:t>136</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Person may be granted more than one mining lease</w:t>
      </w:r>
      <w:r>
        <w:tab/>
      </w:r>
      <w:r>
        <w:fldChar w:fldCharType="begin"/>
      </w:r>
      <w:r>
        <w:instrText xml:space="preserve"> PAGEREF _Toc202366139 \h </w:instrText>
      </w:r>
      <w:r>
        <w:fldChar w:fldCharType="separate"/>
      </w:r>
      <w:r>
        <w:t>137</w:t>
      </w:r>
      <w:r>
        <w:fldChar w:fldCharType="end"/>
      </w:r>
    </w:p>
    <w:p>
      <w:pPr>
        <w:pStyle w:val="TOC8"/>
        <w:rPr>
          <w:rFonts w:asciiTheme="minorHAnsi" w:eastAsiaTheme="minorEastAsia" w:hAnsiTheme="minorHAnsi" w:cstheme="minorBidi"/>
          <w:szCs w:val="22"/>
        </w:rPr>
      </w:pPr>
      <w:r>
        <w:t>73.</w:t>
      </w:r>
      <w:r>
        <w:tab/>
        <w:t>Area of mining lease may be less than area sought</w:t>
      </w:r>
      <w:r>
        <w:tab/>
      </w:r>
      <w:r>
        <w:fldChar w:fldCharType="begin"/>
      </w:r>
      <w:r>
        <w:instrText xml:space="preserve"> PAGEREF _Toc202366140 \h </w:instrText>
      </w:r>
      <w:r>
        <w:fldChar w:fldCharType="separate"/>
      </w:r>
      <w:r>
        <w:t>137</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Application for mining lease</w:t>
      </w:r>
      <w:r>
        <w:tab/>
      </w:r>
      <w:r>
        <w:fldChar w:fldCharType="begin"/>
      </w:r>
      <w:r>
        <w:instrText xml:space="preserve"> PAGEREF _Toc202366141 \h </w:instrText>
      </w:r>
      <w:r>
        <w:fldChar w:fldCharType="separate"/>
      </w:r>
      <w:r>
        <w:t>137</w:t>
      </w:r>
      <w:r>
        <w:fldChar w:fldCharType="end"/>
      </w:r>
    </w:p>
    <w:p>
      <w:pPr>
        <w:pStyle w:val="TOC8"/>
        <w:rPr>
          <w:rFonts w:asciiTheme="minorHAnsi" w:eastAsiaTheme="minorEastAsia" w:hAnsiTheme="minorHAnsi" w:cstheme="minorBidi"/>
          <w:szCs w:val="22"/>
        </w:rPr>
      </w:pPr>
      <w:r>
        <w:t>74A.</w:t>
      </w:r>
      <w:r>
        <w:tab/>
        <w:t>Report on significant mineralisation required for certain applications</w:t>
      </w:r>
      <w:r>
        <w:tab/>
      </w:r>
      <w:r>
        <w:fldChar w:fldCharType="begin"/>
      </w:r>
      <w:r>
        <w:instrText xml:space="preserve"> PAGEREF _Toc202366142 \h </w:instrText>
      </w:r>
      <w:r>
        <w:fldChar w:fldCharType="separate"/>
      </w:r>
      <w:r>
        <w:t>140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Determination of application for mining lease</w:t>
      </w:r>
      <w:r>
        <w:tab/>
      </w:r>
      <w:r>
        <w:fldChar w:fldCharType="begin"/>
      </w:r>
      <w:r>
        <w:instrText xml:space="preserve"> PAGEREF _Toc202366143 \h </w:instrText>
      </w:r>
      <w:r>
        <w:fldChar w:fldCharType="separate"/>
      </w:r>
      <w:r>
        <w:t>141</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Priorities as to mining tenements</w:t>
      </w:r>
      <w:r>
        <w:tab/>
      </w:r>
      <w:r>
        <w:fldChar w:fldCharType="begin"/>
      </w:r>
      <w:r>
        <w:instrText xml:space="preserve"> PAGEREF _Toc202366144 \h </w:instrText>
      </w:r>
      <w:r>
        <w:fldChar w:fldCharType="separate"/>
      </w:r>
      <w:r>
        <w:t>144</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Term of leases, options and renewals</w:t>
      </w:r>
      <w:r>
        <w:tab/>
      </w:r>
      <w:r>
        <w:fldChar w:fldCharType="begin"/>
      </w:r>
      <w:r>
        <w:instrText xml:space="preserve"> PAGEREF _Toc202366145 \h </w:instrText>
      </w:r>
      <w:r>
        <w:fldChar w:fldCharType="separate"/>
      </w:r>
      <w:r>
        <w:t>145</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Approval of application</w:t>
      </w:r>
      <w:r>
        <w:tab/>
      </w:r>
      <w:r>
        <w:fldChar w:fldCharType="begin"/>
      </w:r>
      <w:r>
        <w:instrText xml:space="preserve"> PAGEREF _Toc202366146 \h </w:instrText>
      </w:r>
      <w:r>
        <w:fldChar w:fldCharType="separate"/>
      </w:r>
      <w:r>
        <w:t>145</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Surveys of mining leases</w:t>
      </w:r>
      <w:r>
        <w:tab/>
      </w:r>
      <w:r>
        <w:fldChar w:fldCharType="begin"/>
      </w:r>
      <w:r>
        <w:instrText xml:space="preserve"> PAGEREF _Toc202366147 \h </w:instrText>
      </w:r>
      <w:r>
        <w:fldChar w:fldCharType="separate"/>
      </w:r>
      <w:r>
        <w:t>146</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Covenants and conditions of lease</w:t>
      </w:r>
      <w:r>
        <w:tab/>
      </w:r>
      <w:r>
        <w:fldChar w:fldCharType="begin"/>
      </w:r>
      <w:r>
        <w:instrText xml:space="preserve"> PAGEREF _Toc202366148 \h </w:instrText>
      </w:r>
      <w:r>
        <w:fldChar w:fldCharType="separate"/>
      </w:r>
      <w:r>
        <w:t>146</w:t>
      </w:r>
      <w:r>
        <w:fldChar w:fldCharType="end"/>
      </w:r>
    </w:p>
    <w:p>
      <w:pPr>
        <w:pStyle w:val="TOC8"/>
        <w:rPr>
          <w:rFonts w:asciiTheme="minorHAnsi" w:eastAsiaTheme="minorEastAsia" w:hAnsiTheme="minorHAnsi" w:cstheme="minorBidi"/>
          <w:szCs w:val="22"/>
        </w:rPr>
      </w:pPr>
      <w:r>
        <w:t>82A.</w:t>
      </w:r>
      <w:r>
        <w:tab/>
        <w:t>Condition to be included in certain mining leases</w:t>
      </w:r>
      <w:r>
        <w:tab/>
      </w:r>
      <w:r>
        <w:fldChar w:fldCharType="begin"/>
      </w:r>
      <w:r>
        <w:instrText xml:space="preserve"> PAGEREF _Toc202366149 \h </w:instrText>
      </w:r>
      <w:r>
        <w:fldChar w:fldCharType="separate"/>
      </w:r>
      <w:r>
        <w:t>149</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Issue of mining leases</w:t>
      </w:r>
      <w:r>
        <w:tab/>
      </w:r>
      <w:r>
        <w:fldChar w:fldCharType="begin"/>
      </w:r>
      <w:r>
        <w:instrText xml:space="preserve"> PAGEREF _Toc202366150 \h </w:instrText>
      </w:r>
      <w:r>
        <w:fldChar w:fldCharType="separate"/>
      </w:r>
      <w:r>
        <w:t>149</w:t>
      </w:r>
      <w:r>
        <w:fldChar w:fldCharType="end"/>
      </w:r>
    </w:p>
    <w:p>
      <w:pPr>
        <w:pStyle w:val="TOC8"/>
        <w:rPr>
          <w:rFonts w:asciiTheme="minorHAnsi" w:eastAsiaTheme="minorEastAsia" w:hAnsiTheme="minorHAnsi" w:cstheme="minorBidi"/>
          <w:szCs w:val="22"/>
        </w:rPr>
      </w:pPr>
      <w:r>
        <w:t>84AA.</w:t>
      </w:r>
      <w:r>
        <w:tab/>
        <w:t>Review of mine closure plans</w:t>
      </w:r>
      <w:r>
        <w:tab/>
      </w:r>
      <w:r>
        <w:fldChar w:fldCharType="begin"/>
      </w:r>
      <w:r>
        <w:instrText xml:space="preserve"> PAGEREF _Toc202366151 \h </w:instrText>
      </w:r>
      <w:r>
        <w:fldChar w:fldCharType="separate"/>
      </w:r>
      <w:r>
        <w:t>150</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Conditions for prevention or reduction of injury to land</w:t>
      </w:r>
      <w:r>
        <w:tab/>
      </w:r>
      <w:r>
        <w:fldChar w:fldCharType="begin"/>
      </w:r>
      <w:r>
        <w:instrText xml:space="preserve"> PAGEREF _Toc202366152 \h </w:instrText>
      </w:r>
      <w:r>
        <w:fldChar w:fldCharType="separate"/>
      </w:r>
      <w:r>
        <w:t>150</w:t>
      </w:r>
      <w:r>
        <w:fldChar w:fldCharType="end"/>
      </w:r>
    </w:p>
    <w:p>
      <w:pPr>
        <w:pStyle w:val="TOC8"/>
        <w:rPr>
          <w:rFonts w:asciiTheme="minorHAnsi" w:eastAsiaTheme="minorEastAsia" w:hAnsiTheme="minorHAnsi" w:cstheme="minorBidi"/>
          <w:szCs w:val="22"/>
        </w:rPr>
      </w:pPr>
      <w:r>
        <w:t>84A.</w:t>
      </w:r>
      <w:r>
        <w:tab/>
        <w:t>Security relating to mining lease</w:t>
      </w:r>
      <w:r>
        <w:tab/>
      </w:r>
      <w:r>
        <w:fldChar w:fldCharType="begin"/>
      </w:r>
      <w:r>
        <w:instrText xml:space="preserve"> PAGEREF _Toc202366153 \h </w:instrText>
      </w:r>
      <w:r>
        <w:fldChar w:fldCharType="separate"/>
      </w:r>
      <w:r>
        <w:t>151</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Rights of holder of mining lease</w:t>
      </w:r>
      <w:r>
        <w:tab/>
      </w:r>
      <w:r>
        <w:fldChar w:fldCharType="begin"/>
      </w:r>
      <w:r>
        <w:instrText xml:space="preserve"> PAGEREF _Toc202366154 \h </w:instrText>
      </w:r>
      <w:r>
        <w:fldChar w:fldCharType="separate"/>
      </w:r>
      <w:r>
        <w:t>152</w:t>
      </w:r>
      <w:r>
        <w:fldChar w:fldCharType="end"/>
      </w:r>
    </w:p>
    <w:p>
      <w:pPr>
        <w:pStyle w:val="TOC8"/>
        <w:rPr>
          <w:rFonts w:asciiTheme="minorHAnsi" w:eastAsiaTheme="minorEastAsia" w:hAnsiTheme="minorHAnsi" w:cstheme="minorBidi"/>
          <w:szCs w:val="22"/>
        </w:rPr>
      </w:pPr>
      <w:r>
        <w:t>85A</w:t>
      </w:r>
      <w:r>
        <w:rPr>
          <w:snapToGrid w:val="0"/>
        </w:rPr>
        <w:t>.</w:t>
      </w:r>
      <w:r>
        <w:rPr>
          <w:snapToGrid w:val="0"/>
        </w:rPr>
        <w:tab/>
        <w:t>Land the subject of mining lease not to be again marked out for a certain period</w:t>
      </w:r>
      <w:r>
        <w:tab/>
      </w:r>
      <w:r>
        <w:fldChar w:fldCharType="begin"/>
      </w:r>
      <w:r>
        <w:instrText xml:space="preserve"> PAGEREF _Toc202366155 \h </w:instrText>
      </w:r>
      <w:r>
        <w:fldChar w:fldCharType="separate"/>
      </w:r>
      <w:r>
        <w:t>153</w:t>
      </w:r>
      <w:r>
        <w:fldChar w:fldCharType="end"/>
      </w:r>
    </w:p>
    <w:p>
      <w:pPr>
        <w:pStyle w:val="TOC8"/>
        <w:rPr>
          <w:rFonts w:asciiTheme="minorHAnsi" w:eastAsiaTheme="minorEastAsia" w:hAnsiTheme="minorHAnsi" w:cstheme="minorBidi"/>
          <w:szCs w:val="22"/>
        </w:rPr>
      </w:pPr>
      <w:r>
        <w:t>85B</w:t>
      </w:r>
      <w:r>
        <w:rPr>
          <w:snapToGrid w:val="0"/>
        </w:rPr>
        <w:t>.</w:t>
      </w:r>
      <w:r>
        <w:rPr>
          <w:snapToGrid w:val="0"/>
        </w:rPr>
        <w:tab/>
        <w:t>Special prospecting licence on a mining lease</w:t>
      </w:r>
      <w:r>
        <w:tab/>
      </w:r>
      <w:r>
        <w:fldChar w:fldCharType="begin"/>
      </w:r>
      <w:r>
        <w:instrText xml:space="preserve"> PAGEREF _Toc202366156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w:t>
      </w:r>
      <w:r>
        <w:rPr>
          <w:snapToGrid w:val="0"/>
        </w:rPr>
        <w:t> — </w:t>
      </w:r>
      <w:r>
        <w:t>General purpose lease</w:t>
      </w:r>
    </w:p>
    <w:p>
      <w:pPr>
        <w:pStyle w:val="TOC8"/>
        <w:rPr>
          <w:rFonts w:asciiTheme="minorHAnsi" w:eastAsiaTheme="minorEastAsia" w:hAnsiTheme="minorHAnsi" w:cstheme="minorBidi"/>
          <w:szCs w:val="22"/>
        </w:rPr>
      </w:pPr>
      <w:r>
        <w:t>86</w:t>
      </w:r>
      <w:r>
        <w:rPr>
          <w:snapToGrid w:val="0"/>
        </w:rPr>
        <w:t>.</w:t>
      </w:r>
      <w:r>
        <w:rPr>
          <w:snapToGrid w:val="0"/>
        </w:rPr>
        <w:tab/>
        <w:t>Grant of general purpose lease</w:t>
      </w:r>
      <w:r>
        <w:tab/>
      </w:r>
      <w:r>
        <w:fldChar w:fldCharType="begin"/>
      </w:r>
      <w:r>
        <w:instrText xml:space="preserve"> PAGEREF _Toc202366158 \h </w:instrText>
      </w:r>
      <w:r>
        <w:fldChar w:fldCharType="separate"/>
      </w:r>
      <w:r>
        <w:t>158</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Purposes for which general purpose lease may be granted</w:t>
      </w:r>
      <w:r>
        <w:tab/>
      </w:r>
      <w:r>
        <w:fldChar w:fldCharType="begin"/>
      </w:r>
      <w:r>
        <w:instrText xml:space="preserve"> PAGEREF _Toc202366159 \h </w:instrText>
      </w:r>
      <w:r>
        <w:fldChar w:fldCharType="separate"/>
      </w:r>
      <w:r>
        <w:t>159</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Term of general purpose lease</w:t>
      </w:r>
      <w:r>
        <w:tab/>
      </w:r>
      <w:r>
        <w:fldChar w:fldCharType="begin"/>
      </w:r>
      <w:r>
        <w:instrText xml:space="preserve"> PAGEREF _Toc202366160 \h </w:instrText>
      </w:r>
      <w:r>
        <w:fldChar w:fldCharType="separate"/>
      </w:r>
      <w:r>
        <w:t>160</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Form of general purpose lease</w:t>
      </w:r>
      <w:r>
        <w:tab/>
      </w:r>
      <w:r>
        <w:fldChar w:fldCharType="begin"/>
      </w:r>
      <w:r>
        <w:instrText xml:space="preserve"> PAGEREF _Toc202366161 \h </w:instrText>
      </w:r>
      <w:r>
        <w:fldChar w:fldCharType="separate"/>
      </w:r>
      <w:r>
        <w:t>161</w:t>
      </w:r>
      <w:r>
        <w:fldChar w:fldCharType="end"/>
      </w:r>
    </w:p>
    <w:p>
      <w:pPr>
        <w:pStyle w:val="TOC8"/>
        <w:rPr>
          <w:rFonts w:asciiTheme="minorHAnsi" w:eastAsiaTheme="minorEastAsia" w:hAnsiTheme="minorHAnsi" w:cstheme="minorBidi"/>
          <w:szCs w:val="22"/>
        </w:rPr>
      </w:pPr>
      <w:r>
        <w:t>90.</w:t>
      </w:r>
      <w:r>
        <w:tab/>
        <w:t>Application of certain provisions to general purpose leases</w:t>
      </w:r>
      <w:r>
        <w:tab/>
      </w:r>
      <w:r>
        <w:fldChar w:fldCharType="begin"/>
      </w:r>
      <w:r>
        <w:instrText xml:space="preserve"> PAGEREF _Toc202366162 \h </w:instrText>
      </w:r>
      <w:r>
        <w:fldChar w:fldCharType="separate"/>
      </w:r>
      <w:r>
        <w:t>161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Miscellaneous licences</w:t>
      </w:r>
    </w:p>
    <w:p>
      <w:pPr>
        <w:pStyle w:val="TOC8"/>
        <w:rPr>
          <w:rFonts w:asciiTheme="minorHAnsi" w:eastAsiaTheme="minorEastAsia" w:hAnsiTheme="minorHAnsi" w:cstheme="minorBidi"/>
          <w:szCs w:val="22"/>
        </w:rPr>
      </w:pPr>
      <w:r>
        <w:t>91</w:t>
      </w:r>
      <w:r>
        <w:rPr>
          <w:snapToGrid w:val="0"/>
        </w:rPr>
        <w:t>.</w:t>
      </w:r>
      <w:r>
        <w:rPr>
          <w:snapToGrid w:val="0"/>
        </w:rPr>
        <w:tab/>
        <w:t>Grant of miscellaneous licence</w:t>
      </w:r>
      <w:r>
        <w:tab/>
      </w:r>
      <w:r>
        <w:fldChar w:fldCharType="begin"/>
      </w:r>
      <w:r>
        <w:instrText xml:space="preserve"> PAGEREF _Toc202366164 \h </w:instrText>
      </w:r>
      <w:r>
        <w:fldChar w:fldCharType="separate"/>
      </w:r>
      <w:r>
        <w:t>162</w:t>
      </w:r>
      <w:r>
        <w:fldChar w:fldCharType="end"/>
      </w:r>
    </w:p>
    <w:p>
      <w:pPr>
        <w:pStyle w:val="TOC8"/>
        <w:rPr>
          <w:rFonts w:asciiTheme="minorHAnsi" w:eastAsiaTheme="minorEastAsia" w:hAnsiTheme="minorHAnsi" w:cstheme="minorBidi"/>
          <w:szCs w:val="22"/>
        </w:rPr>
      </w:pPr>
      <w:r>
        <w:t>91A</w:t>
      </w:r>
      <w:r>
        <w:rPr>
          <w:snapToGrid w:val="0"/>
        </w:rPr>
        <w:t>.</w:t>
      </w:r>
      <w:r>
        <w:rPr>
          <w:snapToGrid w:val="0"/>
        </w:rPr>
        <w:tab/>
        <w:t>Term and renewal of existing licence or licence granted in respect of existing application</w:t>
      </w:r>
      <w:r>
        <w:tab/>
      </w:r>
      <w:r>
        <w:fldChar w:fldCharType="begin"/>
      </w:r>
      <w:r>
        <w:instrText xml:space="preserve"> PAGEREF _Toc202366165 \h </w:instrText>
      </w:r>
      <w:r>
        <w:fldChar w:fldCharType="separate"/>
      </w:r>
      <w:r>
        <w:t>164</w:t>
      </w:r>
      <w:r>
        <w:fldChar w:fldCharType="end"/>
      </w:r>
    </w:p>
    <w:p>
      <w:pPr>
        <w:pStyle w:val="TOC8"/>
        <w:rPr>
          <w:rFonts w:asciiTheme="minorHAnsi" w:eastAsiaTheme="minorEastAsia" w:hAnsiTheme="minorHAnsi" w:cstheme="minorBidi"/>
          <w:szCs w:val="22"/>
        </w:rPr>
      </w:pPr>
      <w:r>
        <w:t>91B</w:t>
      </w:r>
      <w:r>
        <w:rPr>
          <w:snapToGrid w:val="0"/>
        </w:rPr>
        <w:t>.</w:t>
      </w:r>
      <w:r>
        <w:rPr>
          <w:snapToGrid w:val="0"/>
        </w:rPr>
        <w:tab/>
        <w:t>Term and renewal of licence granted in respect of new application</w:t>
      </w:r>
      <w:r>
        <w:tab/>
      </w:r>
      <w:r>
        <w:fldChar w:fldCharType="begin"/>
      </w:r>
      <w:r>
        <w:instrText xml:space="preserve"> PAGEREF _Toc202366166 \h </w:instrText>
      </w:r>
      <w:r>
        <w:fldChar w:fldCharType="separate"/>
      </w:r>
      <w:r>
        <w:t>165</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Provisions applying to all miscellaneous licences</w:t>
      </w:r>
      <w:r>
        <w:tab/>
      </w:r>
      <w:r>
        <w:fldChar w:fldCharType="begin"/>
      </w:r>
      <w:r>
        <w:instrText xml:space="preserve"> PAGEREF _Toc202366167 \h </w:instrText>
      </w:r>
      <w:r>
        <w:fldChar w:fldCharType="separate"/>
      </w:r>
      <w:r>
        <w:t>166</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Map to accompany application</w:t>
      </w:r>
      <w:r>
        <w:tab/>
      </w:r>
      <w:r>
        <w:fldChar w:fldCharType="begin"/>
      </w:r>
      <w:r>
        <w:instrText xml:space="preserve"> PAGEREF _Toc202366168 \h </w:instrText>
      </w:r>
      <w:r>
        <w:fldChar w:fldCharType="separate"/>
      </w:r>
      <w:r>
        <w:t>166</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Terms and conditions</w:t>
      </w:r>
      <w:r>
        <w:tab/>
      </w:r>
      <w:r>
        <w:fldChar w:fldCharType="begin"/>
      </w:r>
      <w:r>
        <w:instrText xml:space="preserve"> PAGEREF _Toc202366169 \h </w:instrText>
      </w:r>
      <w:r>
        <w:fldChar w:fldCharType="separate"/>
      </w:r>
      <w:r>
        <w:t>167</w:t>
      </w:r>
      <w:r>
        <w:fldChar w:fldCharType="end"/>
      </w:r>
    </w:p>
    <w:p>
      <w:pPr>
        <w:pStyle w:val="TOC8"/>
        <w:rPr>
          <w:rFonts w:asciiTheme="minorHAnsi" w:eastAsiaTheme="minorEastAsia" w:hAnsiTheme="minorHAnsi" w:cstheme="minorBidi"/>
          <w:szCs w:val="22"/>
        </w:rPr>
      </w:pPr>
      <w:r>
        <w:t>94A</w:t>
      </w:r>
      <w:r>
        <w:rPr>
          <w:snapToGrid w:val="0"/>
        </w:rPr>
        <w:t>.</w:t>
      </w:r>
      <w:r>
        <w:rPr>
          <w:snapToGrid w:val="0"/>
        </w:rPr>
        <w:tab/>
        <w:t>Grant of mining tenement on land in a miscellaneous licence</w:t>
      </w:r>
      <w:r>
        <w:tab/>
      </w:r>
      <w:r>
        <w:fldChar w:fldCharType="begin"/>
      </w:r>
      <w:r>
        <w:instrText xml:space="preserve"> PAGEREF _Toc202366170 \h </w:instrText>
      </w:r>
      <w:r>
        <w:fldChar w:fldCharType="separate"/>
      </w:r>
      <w:r>
        <w:t>167</w:t>
      </w:r>
      <w:r>
        <w:fldChar w:fldCharType="end"/>
      </w:r>
    </w:p>
    <w:p>
      <w:pPr>
        <w:pStyle w:val="TOC8"/>
        <w:rPr>
          <w:rFonts w:asciiTheme="minorHAnsi" w:eastAsiaTheme="minorEastAsia" w:hAnsiTheme="minorHAnsi" w:cstheme="minorBidi"/>
          <w:szCs w:val="22"/>
        </w:rPr>
      </w:pPr>
      <w:r>
        <w:t>94B</w:t>
      </w:r>
      <w:r>
        <w:rPr>
          <w:snapToGrid w:val="0"/>
        </w:rPr>
        <w:t>.</w:t>
      </w:r>
      <w:r>
        <w:rPr>
          <w:snapToGrid w:val="0"/>
        </w:rPr>
        <w:tab/>
        <w:t>Surrender, forfeiture or expiry of concurrent tenement</w:t>
      </w:r>
      <w:r>
        <w:tab/>
      </w:r>
      <w:r>
        <w:fldChar w:fldCharType="begin"/>
      </w:r>
      <w:r>
        <w:instrText xml:space="preserve"> PAGEREF _Toc202366171 \h </w:instrText>
      </w:r>
      <w:r>
        <w:fldChar w:fldCharType="separate"/>
      </w:r>
      <w:r>
        <w:t>168</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Surrender and forfeiture of mining tenements</w:t>
      </w:r>
    </w:p>
    <w:p>
      <w:pPr>
        <w:pStyle w:val="TOC8"/>
        <w:rPr>
          <w:rFonts w:asciiTheme="minorHAnsi" w:eastAsiaTheme="minorEastAsia" w:hAnsiTheme="minorHAnsi" w:cstheme="minorBidi"/>
          <w:szCs w:val="22"/>
        </w:rPr>
      </w:pPr>
      <w:r>
        <w:t>95</w:t>
      </w:r>
      <w:r>
        <w:rPr>
          <w:snapToGrid w:val="0"/>
        </w:rPr>
        <w:t>.</w:t>
      </w:r>
      <w:r>
        <w:rPr>
          <w:snapToGrid w:val="0"/>
        </w:rPr>
        <w:tab/>
        <w:t>Surrender of mining tenement</w:t>
      </w:r>
      <w:r>
        <w:tab/>
      </w:r>
      <w:r>
        <w:fldChar w:fldCharType="begin"/>
      </w:r>
      <w:r>
        <w:instrText xml:space="preserve"> PAGEREF _Toc202366173 \h </w:instrText>
      </w:r>
      <w:r>
        <w:fldChar w:fldCharType="separate"/>
      </w:r>
      <w:r>
        <w:t>168</w:t>
      </w:r>
      <w:r>
        <w:fldChar w:fldCharType="end"/>
      </w:r>
    </w:p>
    <w:p>
      <w:pPr>
        <w:pStyle w:val="TOC8"/>
        <w:rPr>
          <w:rFonts w:asciiTheme="minorHAnsi" w:eastAsiaTheme="minorEastAsia" w:hAnsiTheme="minorHAnsi" w:cstheme="minorBidi"/>
          <w:szCs w:val="22"/>
        </w:rPr>
      </w:pPr>
      <w:r>
        <w:t>95A.</w:t>
      </w:r>
      <w:r>
        <w:tab/>
        <w:t>Exploration licence — surrender of part of block</w:t>
      </w:r>
      <w:r>
        <w:tab/>
      </w:r>
      <w:r>
        <w:fldChar w:fldCharType="begin"/>
      </w:r>
      <w:r>
        <w:instrText xml:space="preserve"> PAGEREF _Toc202366174 \h </w:instrText>
      </w:r>
      <w:r>
        <w:fldChar w:fldCharType="separate"/>
      </w:r>
      <w:r>
        <w:t>169</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Forfeiture of certain mining tenements</w:t>
      </w:r>
      <w:r>
        <w:tab/>
      </w:r>
      <w:r>
        <w:fldChar w:fldCharType="begin"/>
      </w:r>
      <w:r>
        <w:instrText xml:space="preserve"> PAGEREF _Toc202366175 \h </w:instrText>
      </w:r>
      <w:r>
        <w:fldChar w:fldCharType="separate"/>
      </w:r>
      <w:r>
        <w:t>170</w:t>
      </w:r>
      <w:r>
        <w:fldChar w:fldCharType="end"/>
      </w:r>
    </w:p>
    <w:p>
      <w:pPr>
        <w:pStyle w:val="TOC8"/>
        <w:rPr>
          <w:rFonts w:asciiTheme="minorHAnsi" w:eastAsiaTheme="minorEastAsia" w:hAnsiTheme="minorHAnsi" w:cstheme="minorBidi"/>
          <w:szCs w:val="22"/>
        </w:rPr>
      </w:pPr>
      <w:r>
        <w:t>96A</w:t>
      </w:r>
      <w:r>
        <w:rPr>
          <w:snapToGrid w:val="0"/>
        </w:rPr>
        <w:t>.</w:t>
      </w:r>
      <w:r>
        <w:rPr>
          <w:snapToGrid w:val="0"/>
        </w:rPr>
        <w:tab/>
        <w:t>Forfeiture of exploration licence or retention licence</w:t>
      </w:r>
      <w:r>
        <w:tab/>
      </w:r>
      <w:r>
        <w:fldChar w:fldCharType="begin"/>
      </w:r>
      <w:r>
        <w:instrText xml:space="preserve"> PAGEREF _Toc202366176 \h </w:instrText>
      </w:r>
      <w:r>
        <w:fldChar w:fldCharType="separate"/>
      </w:r>
      <w:r>
        <w:t>174</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Forfeiture of mining lease or general purpose lease</w:t>
      </w:r>
      <w:r>
        <w:tab/>
      </w:r>
      <w:r>
        <w:fldChar w:fldCharType="begin"/>
      </w:r>
      <w:r>
        <w:instrText xml:space="preserve"> PAGEREF _Toc202366177 \h </w:instrText>
      </w:r>
      <w:r>
        <w:fldChar w:fldCharType="separate"/>
      </w:r>
      <w:r>
        <w:t>175</w:t>
      </w:r>
      <w:r>
        <w:fldChar w:fldCharType="end"/>
      </w:r>
    </w:p>
    <w:p>
      <w:pPr>
        <w:pStyle w:val="TOC8"/>
        <w:rPr>
          <w:rFonts w:asciiTheme="minorHAnsi" w:eastAsiaTheme="minorEastAsia" w:hAnsiTheme="minorHAnsi" w:cstheme="minorBidi"/>
          <w:szCs w:val="22"/>
        </w:rPr>
      </w:pPr>
      <w:r>
        <w:t>97A</w:t>
      </w:r>
      <w:r>
        <w:rPr>
          <w:snapToGrid w:val="0"/>
        </w:rPr>
        <w:t>.</w:t>
      </w:r>
      <w:r>
        <w:rPr>
          <w:snapToGrid w:val="0"/>
        </w:rPr>
        <w:tab/>
        <w:t>Application for restoration of mining tenement after forfeiture</w:t>
      </w:r>
      <w:r>
        <w:tab/>
      </w:r>
      <w:r>
        <w:fldChar w:fldCharType="begin"/>
      </w:r>
      <w:r>
        <w:instrText xml:space="preserve"> PAGEREF _Toc202366178 \h </w:instrText>
      </w:r>
      <w:r>
        <w:fldChar w:fldCharType="separate"/>
      </w:r>
      <w:r>
        <w:t>177</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Application for forfeiture on other grounds</w:t>
      </w:r>
      <w:r>
        <w:tab/>
      </w:r>
      <w:r>
        <w:fldChar w:fldCharType="begin"/>
      </w:r>
      <w:r>
        <w:instrText xml:space="preserve"> PAGEREF _Toc202366179 \h </w:instrText>
      </w:r>
      <w:r>
        <w:fldChar w:fldCharType="separate"/>
      </w:r>
      <w:r>
        <w:t>179</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Proceedings by Minister on recommendation</w:t>
      </w:r>
      <w:r>
        <w:tab/>
      </w:r>
      <w:r>
        <w:fldChar w:fldCharType="begin"/>
      </w:r>
      <w:r>
        <w:instrText xml:space="preserve"> PAGEREF _Toc202366180 \h </w:instrText>
      </w:r>
      <w:r>
        <w:fldChar w:fldCharType="separate"/>
      </w:r>
      <w:r>
        <w:t>180</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Applicant to have priority for marking out and applying for surrendered or forfeited licence or lease</w:t>
      </w:r>
      <w:r>
        <w:tab/>
      </w:r>
      <w:r>
        <w:fldChar w:fldCharType="begin"/>
      </w:r>
      <w:r>
        <w:instrText xml:space="preserve"> PAGEREF _Toc202366181 \h </w:instrText>
      </w:r>
      <w:r>
        <w:fldChar w:fldCharType="separate"/>
      </w:r>
      <w:r>
        <w:t>181</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Application for forfeiture of mining tenement while holder is a company in process of winding up</w:t>
      </w:r>
      <w:r>
        <w:tab/>
      </w:r>
      <w:r>
        <w:fldChar w:fldCharType="begin"/>
      </w:r>
      <w:r>
        <w:instrText xml:space="preserve"> PAGEREF _Toc202366182 \h </w:instrText>
      </w:r>
      <w:r>
        <w:fldChar w:fldCharType="separate"/>
      </w:r>
      <w:r>
        <w:t>182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7</w:t>
      </w:r>
      <w:r>
        <w:rPr>
          <w:snapToGrid w:val="0"/>
        </w:rPr>
        <w:t> — </w:t>
      </w:r>
      <w:r>
        <w:t>Exemption from expenditure conditions</w:t>
      </w:r>
    </w:p>
    <w:p>
      <w:pPr>
        <w:pStyle w:val="TOC8"/>
        <w:rPr>
          <w:rFonts w:asciiTheme="minorHAnsi" w:eastAsiaTheme="minorEastAsia" w:hAnsiTheme="minorHAnsi" w:cstheme="minorBidi"/>
          <w:szCs w:val="22"/>
        </w:rPr>
      </w:pPr>
      <w:r>
        <w:t>102</w:t>
      </w:r>
      <w:r>
        <w:rPr>
          <w:snapToGrid w:val="0"/>
        </w:rPr>
        <w:t>.</w:t>
      </w:r>
      <w:r>
        <w:rPr>
          <w:snapToGrid w:val="0"/>
        </w:rPr>
        <w:tab/>
        <w:t>Exemption from expenditure conditions</w:t>
      </w:r>
      <w:r>
        <w:tab/>
      </w:r>
      <w:r>
        <w:fldChar w:fldCharType="begin"/>
      </w:r>
      <w:r>
        <w:instrText xml:space="preserve"> PAGEREF _Toc202366184 \h </w:instrText>
      </w:r>
      <w:r>
        <w:fldChar w:fldCharType="separate"/>
      </w:r>
      <w:r>
        <w:t>183</w:t>
      </w:r>
      <w:r>
        <w:fldChar w:fldCharType="end"/>
      </w:r>
    </w:p>
    <w:p>
      <w:pPr>
        <w:pStyle w:val="TOC8"/>
        <w:rPr>
          <w:rFonts w:asciiTheme="minorHAnsi" w:eastAsiaTheme="minorEastAsia" w:hAnsiTheme="minorHAnsi" w:cstheme="minorBidi"/>
          <w:szCs w:val="22"/>
        </w:rPr>
      </w:pPr>
      <w:r>
        <w:t>102A</w:t>
      </w:r>
      <w:r>
        <w:rPr>
          <w:snapToGrid w:val="0"/>
        </w:rPr>
        <w:t>.</w:t>
      </w:r>
      <w:r>
        <w:rPr>
          <w:snapToGrid w:val="0"/>
        </w:rPr>
        <w:tab/>
        <w:t>Exemption from expenditure conditions in respect of certain holders of exploration licences</w:t>
      </w:r>
      <w:r>
        <w:tab/>
      </w:r>
      <w:r>
        <w:fldChar w:fldCharType="begin"/>
      </w:r>
      <w:r>
        <w:instrText xml:space="preserve"> PAGEREF _Toc202366185 \h </w:instrText>
      </w:r>
      <w:r>
        <w:fldChar w:fldCharType="separate"/>
      </w:r>
      <w:r>
        <w:t>186</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Effect of exemption</w:t>
      </w:r>
      <w:r>
        <w:tab/>
      </w:r>
      <w:r>
        <w:fldChar w:fldCharType="begin"/>
      </w:r>
      <w:r>
        <w:instrText xml:space="preserve"> PAGEREF _Toc202366186 \h </w:instrText>
      </w:r>
      <w:r>
        <w:fldChar w:fldCharType="separate"/>
      </w:r>
      <w:r>
        <w:t>187</w:t>
      </w:r>
      <w:r>
        <w:fldChar w:fldCharType="end"/>
      </w:r>
    </w:p>
    <w:p>
      <w:pPr>
        <w:pStyle w:val="TOC2"/>
        <w:tabs>
          <w:tab w:val="right" w:leader="dot" w:pos="7077"/>
        </w:tabs>
        <w:rPr>
          <w:rFonts w:asciiTheme="minorHAnsi" w:eastAsiaTheme="minorEastAsia" w:hAnsiTheme="minorHAnsi" w:cstheme="minorBidi"/>
          <w:b w:val="0"/>
          <w:sz w:val="22"/>
          <w:szCs w:val="22"/>
        </w:rPr>
      </w:pPr>
      <w:r>
        <w:t>Part IVA — Registration of instruments and register</w:t>
      </w:r>
    </w:p>
    <w:p>
      <w:pPr>
        <w:pStyle w:val="TOC8"/>
        <w:rPr>
          <w:rFonts w:asciiTheme="minorHAnsi" w:eastAsiaTheme="minorEastAsia" w:hAnsiTheme="minorHAnsi" w:cstheme="minorBidi"/>
          <w:szCs w:val="22"/>
        </w:rPr>
      </w:pPr>
      <w:r>
        <w:t>103A</w:t>
      </w:r>
      <w:r>
        <w:rPr>
          <w:snapToGrid w:val="0"/>
        </w:rPr>
        <w:t>.</w:t>
      </w:r>
      <w:r>
        <w:rPr>
          <w:snapToGrid w:val="0"/>
        </w:rPr>
        <w:tab/>
        <w:t>Terms used</w:t>
      </w:r>
      <w:r>
        <w:tab/>
      </w:r>
      <w:r>
        <w:fldChar w:fldCharType="begin"/>
      </w:r>
      <w:r>
        <w:instrText xml:space="preserve"> PAGEREF _Toc202366188 \h </w:instrText>
      </w:r>
      <w:r>
        <w:fldChar w:fldCharType="separate"/>
      </w:r>
      <w:r>
        <w:t>188</w:t>
      </w:r>
      <w:r>
        <w:fldChar w:fldCharType="end"/>
      </w:r>
    </w:p>
    <w:p>
      <w:pPr>
        <w:pStyle w:val="TOC8"/>
        <w:rPr>
          <w:rFonts w:asciiTheme="minorHAnsi" w:eastAsiaTheme="minorEastAsia" w:hAnsiTheme="minorHAnsi" w:cstheme="minorBidi"/>
          <w:szCs w:val="22"/>
        </w:rPr>
      </w:pPr>
      <w:r>
        <w:t>103B</w:t>
      </w:r>
      <w:r>
        <w:rPr>
          <w:snapToGrid w:val="0"/>
        </w:rPr>
        <w:t>.</w:t>
      </w:r>
      <w:r>
        <w:rPr>
          <w:snapToGrid w:val="0"/>
        </w:rPr>
        <w:tab/>
        <w:t>Authorised officers</w:t>
      </w:r>
      <w:r>
        <w:tab/>
      </w:r>
      <w:r>
        <w:fldChar w:fldCharType="begin"/>
      </w:r>
      <w:r>
        <w:instrText xml:space="preserve"> PAGEREF _Toc202366189 \h </w:instrText>
      </w:r>
      <w:r>
        <w:fldChar w:fldCharType="separate"/>
      </w:r>
      <w:r>
        <w:t>188</w:t>
      </w:r>
      <w:r>
        <w:fldChar w:fldCharType="end"/>
      </w:r>
    </w:p>
    <w:p>
      <w:pPr>
        <w:pStyle w:val="TOC8"/>
        <w:rPr>
          <w:rFonts w:asciiTheme="minorHAnsi" w:eastAsiaTheme="minorEastAsia" w:hAnsiTheme="minorHAnsi" w:cstheme="minorBidi"/>
          <w:szCs w:val="22"/>
        </w:rPr>
      </w:pPr>
      <w:r>
        <w:t>103C</w:t>
      </w:r>
      <w:r>
        <w:rPr>
          <w:snapToGrid w:val="0"/>
        </w:rPr>
        <w:t>.</w:t>
      </w:r>
      <w:r>
        <w:rPr>
          <w:snapToGrid w:val="0"/>
        </w:rPr>
        <w:tab/>
        <w:t>Registration</w:t>
      </w:r>
      <w:r>
        <w:tab/>
      </w:r>
      <w:r>
        <w:fldChar w:fldCharType="begin"/>
      </w:r>
      <w:r>
        <w:instrText xml:space="preserve"> PAGEREF _Toc202366190 \h </w:instrText>
      </w:r>
      <w:r>
        <w:fldChar w:fldCharType="separate"/>
      </w:r>
      <w:r>
        <w:t>188</w:t>
      </w:r>
      <w:r>
        <w:fldChar w:fldCharType="end"/>
      </w:r>
    </w:p>
    <w:p>
      <w:pPr>
        <w:pStyle w:val="TOC8"/>
        <w:rPr>
          <w:rFonts w:asciiTheme="minorHAnsi" w:eastAsiaTheme="minorEastAsia" w:hAnsiTheme="minorHAnsi" w:cstheme="minorBidi"/>
          <w:szCs w:val="22"/>
        </w:rPr>
      </w:pPr>
      <w:r>
        <w:t>103D</w:t>
      </w:r>
      <w:r>
        <w:rPr>
          <w:snapToGrid w:val="0"/>
        </w:rPr>
        <w:t>.</w:t>
      </w:r>
      <w:r>
        <w:rPr>
          <w:snapToGrid w:val="0"/>
        </w:rPr>
        <w:tab/>
        <w:t>Provisional lodgment</w:t>
      </w:r>
      <w:r>
        <w:tab/>
      </w:r>
      <w:r>
        <w:fldChar w:fldCharType="begin"/>
      </w:r>
      <w:r>
        <w:instrText xml:space="preserve"> PAGEREF _Toc202366191 \h </w:instrText>
      </w:r>
      <w:r>
        <w:fldChar w:fldCharType="separate"/>
      </w:r>
      <w:r>
        <w:t>190</w:t>
      </w:r>
      <w:r>
        <w:fldChar w:fldCharType="end"/>
      </w:r>
    </w:p>
    <w:p>
      <w:pPr>
        <w:pStyle w:val="TOC8"/>
        <w:rPr>
          <w:rFonts w:asciiTheme="minorHAnsi" w:eastAsiaTheme="minorEastAsia" w:hAnsiTheme="minorHAnsi" w:cstheme="minorBidi"/>
          <w:szCs w:val="22"/>
        </w:rPr>
      </w:pPr>
      <w:r>
        <w:t>103EA.</w:t>
      </w:r>
      <w:r>
        <w:tab/>
        <w:t>Memorial for unpaid tax</w:t>
      </w:r>
      <w:r>
        <w:tab/>
      </w:r>
      <w:r>
        <w:fldChar w:fldCharType="begin"/>
      </w:r>
      <w:r>
        <w:instrText xml:space="preserve"> PAGEREF _Toc202366192 \h </w:instrText>
      </w:r>
      <w:r>
        <w:fldChar w:fldCharType="separate"/>
      </w:r>
      <w:r>
        <w:t>190</w:t>
      </w:r>
      <w:r>
        <w:fldChar w:fldCharType="end"/>
      </w:r>
    </w:p>
    <w:p>
      <w:pPr>
        <w:pStyle w:val="TOC8"/>
        <w:rPr>
          <w:rFonts w:asciiTheme="minorHAnsi" w:eastAsiaTheme="minorEastAsia" w:hAnsiTheme="minorHAnsi" w:cstheme="minorBidi"/>
          <w:szCs w:val="22"/>
        </w:rPr>
      </w:pPr>
      <w:r>
        <w:t>103E</w:t>
      </w:r>
      <w:r>
        <w:rPr>
          <w:snapToGrid w:val="0"/>
        </w:rPr>
        <w:t>.</w:t>
      </w:r>
      <w:r>
        <w:rPr>
          <w:snapToGrid w:val="0"/>
        </w:rPr>
        <w:tab/>
        <w:t>Priority of dealings</w:t>
      </w:r>
      <w:r>
        <w:tab/>
      </w:r>
      <w:r>
        <w:fldChar w:fldCharType="begin"/>
      </w:r>
      <w:r>
        <w:instrText xml:space="preserve"> PAGEREF _Toc202366193 \h </w:instrText>
      </w:r>
      <w:r>
        <w:fldChar w:fldCharType="separate"/>
      </w:r>
      <w:r>
        <w:t>191</w:t>
      </w:r>
      <w:r>
        <w:fldChar w:fldCharType="end"/>
      </w:r>
    </w:p>
    <w:p>
      <w:pPr>
        <w:pStyle w:val="TOC8"/>
        <w:rPr>
          <w:rFonts w:asciiTheme="minorHAnsi" w:eastAsiaTheme="minorEastAsia" w:hAnsiTheme="minorHAnsi" w:cstheme="minorBidi"/>
          <w:szCs w:val="22"/>
        </w:rPr>
      </w:pPr>
      <w:r>
        <w:t>103F</w:t>
      </w:r>
      <w:r>
        <w:rPr>
          <w:snapToGrid w:val="0"/>
        </w:rPr>
        <w:t>.</w:t>
      </w:r>
      <w:r>
        <w:rPr>
          <w:snapToGrid w:val="0"/>
        </w:rPr>
        <w:tab/>
        <w:t>Register</w:t>
      </w:r>
      <w:r>
        <w:tab/>
      </w:r>
      <w:r>
        <w:fldChar w:fldCharType="begin"/>
      </w:r>
      <w:r>
        <w:instrText xml:space="preserve"> PAGEREF _Toc202366194 \h </w:instrText>
      </w:r>
      <w:r>
        <w:fldChar w:fldCharType="separate"/>
      </w:r>
      <w:r>
        <w:t>191</w:t>
      </w:r>
      <w:r>
        <w:fldChar w:fldCharType="end"/>
      </w:r>
    </w:p>
    <w:p>
      <w:pPr>
        <w:pStyle w:val="TOC8"/>
        <w:rPr>
          <w:rFonts w:asciiTheme="minorHAnsi" w:eastAsiaTheme="minorEastAsia" w:hAnsiTheme="minorHAnsi" w:cstheme="minorBidi"/>
          <w:szCs w:val="22"/>
        </w:rPr>
      </w:pPr>
      <w:r>
        <w:t>103G</w:t>
      </w:r>
      <w:r>
        <w:rPr>
          <w:snapToGrid w:val="0"/>
        </w:rPr>
        <w:t>.</w:t>
      </w:r>
      <w:r>
        <w:rPr>
          <w:snapToGrid w:val="0"/>
        </w:rPr>
        <w:tab/>
        <w:t>Amendment of register</w:t>
      </w:r>
      <w:r>
        <w:tab/>
      </w:r>
      <w:r>
        <w:fldChar w:fldCharType="begin"/>
      </w:r>
      <w:r>
        <w:instrText xml:space="preserve"> PAGEREF _Toc202366195 \h </w:instrText>
      </w:r>
      <w:r>
        <w:fldChar w:fldCharType="separate"/>
      </w:r>
      <w:r>
        <w:t>192</w:t>
      </w:r>
      <w:r>
        <w:fldChar w:fldCharType="end"/>
      </w:r>
    </w:p>
    <w:p>
      <w:pPr>
        <w:pStyle w:val="TOC8"/>
        <w:rPr>
          <w:rFonts w:asciiTheme="minorHAnsi" w:eastAsiaTheme="minorEastAsia" w:hAnsiTheme="minorHAnsi" w:cstheme="minorBidi"/>
          <w:szCs w:val="22"/>
        </w:rPr>
      </w:pPr>
      <w:r>
        <w:t>103H</w:t>
      </w:r>
      <w:r>
        <w:rPr>
          <w:snapToGrid w:val="0"/>
        </w:rPr>
        <w:t>.</w:t>
      </w:r>
      <w:r>
        <w:rPr>
          <w:snapToGrid w:val="0"/>
        </w:rPr>
        <w:tab/>
        <w:t>Regulations relating to register</w:t>
      </w:r>
      <w:r>
        <w:tab/>
      </w:r>
      <w:r>
        <w:fldChar w:fldCharType="begin"/>
      </w:r>
      <w:r>
        <w:instrText xml:space="preserve"> PAGEREF _Toc202366196 \h </w:instrText>
      </w:r>
      <w:r>
        <w:fldChar w:fldCharType="separate"/>
      </w:r>
      <w:r>
        <w:t>192</w:t>
      </w:r>
      <w:r>
        <w:fldChar w:fldCharType="end"/>
      </w:r>
    </w:p>
    <w:p>
      <w:pPr>
        <w:pStyle w:val="TOC2"/>
        <w:tabs>
          <w:tab w:val="right" w:leader="dot" w:pos="7077"/>
        </w:tabs>
        <w:rPr>
          <w:rFonts w:asciiTheme="minorHAnsi" w:eastAsiaTheme="minorEastAsia" w:hAnsiTheme="minorHAnsi" w:cstheme="minorBidi"/>
          <w:b w:val="0"/>
          <w:sz w:val="22"/>
          <w:szCs w:val="22"/>
        </w:rPr>
      </w:pPr>
      <w:r>
        <w:t>Part V — General provisions relating to mining and mining tenements</w:t>
      </w:r>
    </w:p>
    <w:p>
      <w:pPr>
        <w:pStyle w:val="TOC8"/>
        <w:rPr>
          <w:rFonts w:asciiTheme="minorHAnsi" w:eastAsiaTheme="minorEastAsia" w:hAnsiTheme="minorHAnsi" w:cstheme="minorBidi"/>
          <w:szCs w:val="22"/>
        </w:rPr>
      </w:pPr>
      <w:r>
        <w:t>104</w:t>
      </w:r>
      <w:r>
        <w:rPr>
          <w:snapToGrid w:val="0"/>
        </w:rPr>
        <w:t>.</w:t>
      </w:r>
      <w:r>
        <w:rPr>
          <w:snapToGrid w:val="0"/>
        </w:rPr>
        <w:tab/>
        <w:t>Entry on land for purpose of marking out, surveying etc.</w:t>
      </w:r>
      <w:r>
        <w:tab/>
      </w:r>
      <w:r>
        <w:fldChar w:fldCharType="begin"/>
      </w:r>
      <w:r>
        <w:instrText xml:space="preserve"> PAGEREF _Toc202366198 \h </w:instrText>
      </w:r>
      <w:r>
        <w:fldChar w:fldCharType="separate"/>
      </w:r>
      <w:r>
        <w:t>193</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Marking out of mining tenement</w:t>
      </w:r>
      <w:r>
        <w:tab/>
      </w:r>
      <w:r>
        <w:fldChar w:fldCharType="begin"/>
      </w:r>
      <w:r>
        <w:instrText xml:space="preserve"> PAGEREF _Toc202366199 \h </w:instrText>
      </w:r>
      <w:r>
        <w:fldChar w:fldCharType="separate"/>
      </w:r>
      <w:r>
        <w:t>194</w:t>
      </w:r>
      <w:r>
        <w:fldChar w:fldCharType="end"/>
      </w:r>
    </w:p>
    <w:p>
      <w:pPr>
        <w:pStyle w:val="TOC8"/>
        <w:rPr>
          <w:rFonts w:asciiTheme="minorHAnsi" w:eastAsiaTheme="minorEastAsia" w:hAnsiTheme="minorHAnsi" w:cstheme="minorBidi"/>
          <w:szCs w:val="22"/>
        </w:rPr>
      </w:pPr>
      <w:r>
        <w:t>105A</w:t>
      </w:r>
      <w:r>
        <w:rPr>
          <w:snapToGrid w:val="0"/>
        </w:rPr>
        <w:t>.</w:t>
      </w:r>
      <w:r>
        <w:rPr>
          <w:snapToGrid w:val="0"/>
        </w:rPr>
        <w:tab/>
        <w:t>Priorities between applicants for certain tenements</w:t>
      </w:r>
      <w:r>
        <w:tab/>
      </w:r>
      <w:r>
        <w:fldChar w:fldCharType="begin"/>
      </w:r>
      <w:r>
        <w:instrText xml:space="preserve"> PAGEREF _Toc202366200 \h </w:instrText>
      </w:r>
      <w:r>
        <w:fldChar w:fldCharType="separate"/>
      </w:r>
      <w:r>
        <w:t>196</w:t>
      </w:r>
      <w:r>
        <w:fldChar w:fldCharType="end"/>
      </w:r>
    </w:p>
    <w:p>
      <w:pPr>
        <w:pStyle w:val="TOC8"/>
        <w:rPr>
          <w:rFonts w:asciiTheme="minorHAnsi" w:eastAsiaTheme="minorEastAsia" w:hAnsiTheme="minorHAnsi" w:cstheme="minorBidi"/>
          <w:szCs w:val="22"/>
        </w:rPr>
      </w:pPr>
      <w:r>
        <w:t>105B</w:t>
      </w:r>
      <w:r>
        <w:rPr>
          <w:snapToGrid w:val="0"/>
        </w:rPr>
        <w:t>.</w:t>
      </w:r>
      <w:r>
        <w:rPr>
          <w:snapToGrid w:val="0"/>
        </w:rPr>
        <w:tab/>
        <w:t>Grant of tenement subject to survey</w:t>
      </w:r>
      <w:r>
        <w:tab/>
      </w:r>
      <w:r>
        <w:fldChar w:fldCharType="begin"/>
      </w:r>
      <w:r>
        <w:instrText xml:space="preserve"> PAGEREF _Toc202366201 \h </w:instrText>
      </w:r>
      <w:r>
        <w:fldChar w:fldCharType="separate"/>
      </w:r>
      <w:r>
        <w:t>198</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Offence of destroying marks or obstructing surveyor etc.</w:t>
      </w:r>
      <w:r>
        <w:tab/>
      </w:r>
      <w:r>
        <w:fldChar w:fldCharType="begin"/>
      </w:r>
      <w:r>
        <w:instrText xml:space="preserve"> PAGEREF _Toc202366202 \h </w:instrText>
      </w:r>
      <w:r>
        <w:fldChar w:fldCharType="separate"/>
      </w:r>
      <w:r>
        <w:t>198</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Areas covered by water not required to be marked out</w:t>
      </w:r>
      <w:r>
        <w:tab/>
      </w:r>
      <w:r>
        <w:fldChar w:fldCharType="begin"/>
      </w:r>
      <w:r>
        <w:instrText xml:space="preserve"> PAGEREF _Toc202366203 \h </w:instrText>
      </w:r>
      <w:r>
        <w:fldChar w:fldCharType="separate"/>
      </w:r>
      <w:r>
        <w:t>199</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Rent payable for mining tenement</w:t>
      </w:r>
      <w:r>
        <w:tab/>
      </w:r>
      <w:r>
        <w:fldChar w:fldCharType="begin"/>
      </w:r>
      <w:r>
        <w:instrText xml:space="preserve"> PAGEREF _Toc202366204 \h </w:instrText>
      </w:r>
      <w:r>
        <w:fldChar w:fldCharType="separate"/>
      </w:r>
      <w:r>
        <w:t>199</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Royalties</w:t>
      </w:r>
      <w:r>
        <w:tab/>
      </w:r>
      <w:r>
        <w:fldChar w:fldCharType="begin"/>
      </w:r>
      <w:r>
        <w:instrText xml:space="preserve"> PAGEREF _Toc202366205 \h </w:instrText>
      </w:r>
      <w:r>
        <w:fldChar w:fldCharType="separate"/>
      </w:r>
      <w:r>
        <w:t>199</w:t>
      </w:r>
      <w:r>
        <w:fldChar w:fldCharType="end"/>
      </w:r>
    </w:p>
    <w:p>
      <w:pPr>
        <w:pStyle w:val="TOC8"/>
        <w:rPr>
          <w:rFonts w:asciiTheme="minorHAnsi" w:eastAsiaTheme="minorEastAsia" w:hAnsiTheme="minorHAnsi" w:cstheme="minorBidi"/>
          <w:szCs w:val="22"/>
        </w:rPr>
      </w:pPr>
      <w:r>
        <w:t>109A</w:t>
      </w:r>
      <w:r>
        <w:rPr>
          <w:snapToGrid w:val="0"/>
        </w:rPr>
        <w:t>.</w:t>
      </w:r>
      <w:r>
        <w:rPr>
          <w:snapToGrid w:val="0"/>
        </w:rPr>
        <w:tab/>
        <w:t>Verification of royalties payable</w:t>
      </w:r>
      <w:r>
        <w:tab/>
      </w:r>
      <w:r>
        <w:fldChar w:fldCharType="begin"/>
      </w:r>
      <w:r>
        <w:instrText xml:space="preserve"> PAGEREF _Toc202366206 \h </w:instrText>
      </w:r>
      <w:r>
        <w:fldChar w:fldCharType="separate"/>
      </w:r>
      <w:r>
        <w:t>200</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Mining lease restricted to certain minerals</w:t>
      </w:r>
      <w:r>
        <w:tab/>
      </w:r>
      <w:r>
        <w:fldChar w:fldCharType="begin"/>
      </w:r>
      <w:r>
        <w:instrText xml:space="preserve"> PAGEREF _Toc202366207 \h </w:instrText>
      </w:r>
      <w:r>
        <w:fldChar w:fldCharType="separate"/>
      </w:r>
      <w:r>
        <w:t>205</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Iron authorisations</w:t>
      </w:r>
      <w:r>
        <w:tab/>
      </w:r>
      <w:r>
        <w:fldChar w:fldCharType="begin"/>
      </w:r>
      <w:r>
        <w:instrText xml:space="preserve"> PAGEREF _Toc202366208 \h </w:instrText>
      </w:r>
      <w:r>
        <w:fldChar w:fldCharType="separate"/>
      </w:r>
      <w:r>
        <w:t>206</w:t>
      </w:r>
      <w:r>
        <w:fldChar w:fldCharType="end"/>
      </w:r>
    </w:p>
    <w:p>
      <w:pPr>
        <w:pStyle w:val="TOC8"/>
        <w:rPr>
          <w:rFonts w:asciiTheme="minorHAnsi" w:eastAsiaTheme="minorEastAsia" w:hAnsiTheme="minorHAnsi" w:cstheme="minorBidi"/>
          <w:szCs w:val="22"/>
        </w:rPr>
      </w:pPr>
      <w:r>
        <w:t>111A</w:t>
      </w:r>
      <w:r>
        <w:rPr>
          <w:snapToGrid w:val="0"/>
        </w:rPr>
        <w:t>.</w:t>
      </w:r>
      <w:r>
        <w:rPr>
          <w:snapToGrid w:val="0"/>
        </w:rPr>
        <w:tab/>
        <w:t>Minister may terminate or summarily refuse certain applications</w:t>
      </w:r>
      <w:r>
        <w:tab/>
      </w:r>
      <w:r>
        <w:fldChar w:fldCharType="begin"/>
      </w:r>
      <w:r>
        <w:instrText xml:space="preserve"> PAGEREF _Toc202366209 \h </w:instrText>
      </w:r>
      <w:r>
        <w:fldChar w:fldCharType="separate"/>
      </w:r>
      <w:r>
        <w:t>207</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Reservation in favour of Crown on prospecting licence or exploration licence to take rock etc.</w:t>
      </w:r>
      <w:r>
        <w:tab/>
      </w:r>
      <w:r>
        <w:fldChar w:fldCharType="begin"/>
      </w:r>
      <w:r>
        <w:instrText xml:space="preserve"> PAGEREF _Toc202366210 \h </w:instrText>
      </w:r>
      <w:r>
        <w:fldChar w:fldCharType="separate"/>
      </w:r>
      <w:r>
        <w:t>208</w:t>
      </w:r>
      <w:r>
        <w:fldChar w:fldCharType="end"/>
      </w:r>
    </w:p>
    <w:p>
      <w:pPr>
        <w:pStyle w:val="TOC8"/>
        <w:rPr>
          <w:rFonts w:asciiTheme="minorHAnsi" w:eastAsiaTheme="minorEastAsia" w:hAnsiTheme="minorHAnsi" w:cstheme="minorBidi"/>
          <w:szCs w:val="22"/>
        </w:rPr>
      </w:pPr>
      <w:r>
        <w:lastRenderedPageBreak/>
        <w:t>113</w:t>
      </w:r>
      <w:r>
        <w:rPr>
          <w:snapToGrid w:val="0"/>
        </w:rPr>
        <w:t>.</w:t>
      </w:r>
      <w:r>
        <w:rPr>
          <w:snapToGrid w:val="0"/>
        </w:rPr>
        <w:tab/>
        <w:t>Repossession of land on expiry, surrender or forfeiture of mining tenement</w:t>
      </w:r>
      <w:r>
        <w:tab/>
      </w:r>
      <w:r>
        <w:fldChar w:fldCharType="begin"/>
      </w:r>
      <w:r>
        <w:instrText xml:space="preserve"> PAGEREF _Toc202366211 \h </w:instrText>
      </w:r>
      <w:r>
        <w:fldChar w:fldCharType="separate"/>
      </w:r>
      <w:r>
        <w:t>209</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Removal of mining plant on expiry, surrender or forfeiture of mining tenement</w:t>
      </w:r>
      <w:r>
        <w:tab/>
      </w:r>
      <w:r>
        <w:fldChar w:fldCharType="begin"/>
      </w:r>
      <w:r>
        <w:instrText xml:space="preserve"> PAGEREF _Toc202366212 \h </w:instrText>
      </w:r>
      <w:r>
        <w:fldChar w:fldCharType="separate"/>
      </w:r>
      <w:r>
        <w:t>209</w:t>
      </w:r>
      <w:r>
        <w:fldChar w:fldCharType="end"/>
      </w:r>
    </w:p>
    <w:p>
      <w:pPr>
        <w:pStyle w:val="TOC8"/>
        <w:rPr>
          <w:rFonts w:asciiTheme="minorHAnsi" w:eastAsiaTheme="minorEastAsia" w:hAnsiTheme="minorHAnsi" w:cstheme="minorBidi"/>
          <w:szCs w:val="22"/>
        </w:rPr>
      </w:pPr>
      <w:r>
        <w:t>114A</w:t>
      </w:r>
      <w:r>
        <w:rPr>
          <w:snapToGrid w:val="0"/>
        </w:rPr>
        <w:t>.</w:t>
      </w:r>
      <w:r>
        <w:rPr>
          <w:snapToGrid w:val="0"/>
        </w:rPr>
        <w:tab/>
        <w:t>Rights conferred under mining tenement exercisable in respect of mining product belonging to Crown</w:t>
      </w:r>
      <w:r>
        <w:tab/>
      </w:r>
      <w:r>
        <w:fldChar w:fldCharType="begin"/>
      </w:r>
      <w:r>
        <w:instrText xml:space="preserve"> PAGEREF _Toc202366213 \h </w:instrText>
      </w:r>
      <w:r>
        <w:fldChar w:fldCharType="separate"/>
      </w:r>
      <w:r>
        <w:t>211</w:t>
      </w:r>
      <w:r>
        <w:fldChar w:fldCharType="end"/>
      </w:r>
    </w:p>
    <w:p>
      <w:pPr>
        <w:pStyle w:val="TOC8"/>
        <w:rPr>
          <w:rFonts w:asciiTheme="minorHAnsi" w:eastAsiaTheme="minorEastAsia" w:hAnsiTheme="minorHAnsi" w:cstheme="minorBidi"/>
          <w:szCs w:val="22"/>
        </w:rPr>
      </w:pPr>
      <w:r>
        <w:t>114B.</w:t>
      </w:r>
      <w:r>
        <w:tab/>
        <w:t>Continuation of liability after expiry, surrender or forfeiture of mining tenement</w:t>
      </w:r>
      <w:r>
        <w:tab/>
      </w:r>
      <w:r>
        <w:fldChar w:fldCharType="begin"/>
      </w:r>
      <w:r>
        <w:instrText xml:space="preserve"> PAGEREF _Toc202366214 \h </w:instrText>
      </w:r>
      <w:r>
        <w:fldChar w:fldCharType="separate"/>
      </w:r>
      <w:r>
        <w:t>212</w:t>
      </w:r>
      <w:r>
        <w:fldChar w:fldCharType="end"/>
      </w:r>
    </w:p>
    <w:p>
      <w:pPr>
        <w:pStyle w:val="TOC8"/>
        <w:rPr>
          <w:rFonts w:asciiTheme="minorHAnsi" w:eastAsiaTheme="minorEastAsia" w:hAnsiTheme="minorHAnsi" w:cstheme="minorBidi"/>
          <w:szCs w:val="22"/>
        </w:rPr>
      </w:pPr>
      <w:r>
        <w:t>114C.</w:t>
      </w:r>
      <w:r>
        <w:tab/>
        <w:t>Right to enter land to carry out remedial work after expiry, surrender or forfeiture of mining tenement</w:t>
      </w:r>
      <w:r>
        <w:tab/>
      </w:r>
      <w:r>
        <w:fldChar w:fldCharType="begin"/>
      </w:r>
      <w:r>
        <w:instrText xml:space="preserve"> PAGEREF _Toc202366215 \h </w:instrText>
      </w:r>
      <w:r>
        <w:fldChar w:fldCharType="separate"/>
      </w:r>
      <w:r>
        <w:t>213</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Power to enter on land for surveys</w:t>
      </w:r>
      <w:r>
        <w:tab/>
      </w:r>
      <w:r>
        <w:fldChar w:fldCharType="begin"/>
      </w:r>
      <w:r>
        <w:instrText xml:space="preserve"> PAGEREF _Toc202366216 \h </w:instrText>
      </w:r>
      <w:r>
        <w:fldChar w:fldCharType="separate"/>
      </w:r>
      <w:r>
        <w:t>213</w:t>
      </w:r>
      <w:r>
        <w:fldChar w:fldCharType="end"/>
      </w:r>
    </w:p>
    <w:p>
      <w:pPr>
        <w:pStyle w:val="TOC8"/>
        <w:rPr>
          <w:rFonts w:asciiTheme="minorHAnsi" w:eastAsiaTheme="minorEastAsia" w:hAnsiTheme="minorHAnsi" w:cstheme="minorBidi"/>
          <w:szCs w:val="22"/>
        </w:rPr>
      </w:pPr>
      <w:r>
        <w:t>115A</w:t>
      </w:r>
      <w:r>
        <w:rPr>
          <w:snapToGrid w:val="0"/>
        </w:rPr>
        <w:t>.</w:t>
      </w:r>
      <w:r>
        <w:rPr>
          <w:snapToGrid w:val="0"/>
        </w:rPr>
        <w:tab/>
        <w:t>Mineral exploration reports</w:t>
      </w:r>
      <w:r>
        <w:tab/>
      </w:r>
      <w:r>
        <w:fldChar w:fldCharType="begin"/>
      </w:r>
      <w:r>
        <w:instrText xml:space="preserve"> PAGEREF _Toc202366217 \h </w:instrText>
      </w:r>
      <w:r>
        <w:fldChar w:fldCharType="separate"/>
      </w:r>
      <w:r>
        <w:t>215</w:t>
      </w:r>
      <w:r>
        <w:fldChar w:fldCharType="end"/>
      </w:r>
    </w:p>
    <w:p>
      <w:pPr>
        <w:pStyle w:val="TOC8"/>
        <w:rPr>
          <w:rFonts w:asciiTheme="minorHAnsi" w:eastAsiaTheme="minorEastAsia" w:hAnsiTheme="minorHAnsi" w:cstheme="minorBidi"/>
          <w:szCs w:val="22"/>
        </w:rPr>
      </w:pPr>
      <w:r>
        <w:t>115B.</w:t>
      </w:r>
      <w:r>
        <w:tab/>
        <w:t>Verification of expenditure amounts in operations reports</w:t>
      </w:r>
      <w:r>
        <w:tab/>
      </w:r>
      <w:r>
        <w:fldChar w:fldCharType="begin"/>
      </w:r>
      <w:r>
        <w:instrText xml:space="preserve"> PAGEREF _Toc202366218 \h </w:instrText>
      </w:r>
      <w:r>
        <w:fldChar w:fldCharType="separate"/>
      </w:r>
      <w:r>
        <w:t>216</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Instrument of licence or lease</w:t>
      </w:r>
      <w:r>
        <w:tab/>
      </w:r>
      <w:r>
        <w:fldChar w:fldCharType="begin"/>
      </w:r>
      <w:r>
        <w:instrText xml:space="preserve"> PAGEREF _Toc202366219 \h </w:instrText>
      </w:r>
      <w:r>
        <w:fldChar w:fldCharType="separate"/>
      </w:r>
      <w:r>
        <w:t>217</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Mining tenements protected</w:t>
      </w:r>
      <w:r>
        <w:tab/>
      </w:r>
      <w:r>
        <w:fldChar w:fldCharType="begin"/>
      </w:r>
      <w:r>
        <w:instrText xml:space="preserve"> PAGEREF _Toc202366220 \h </w:instrText>
      </w:r>
      <w:r>
        <w:fldChar w:fldCharType="separate"/>
      </w:r>
      <w:r>
        <w:t>218</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r>
      <w:r>
        <w:t>Notice of application to be given to lessee of pastoral lease or diversification lease</w:t>
      </w:r>
      <w:r>
        <w:tab/>
      </w:r>
      <w:r>
        <w:fldChar w:fldCharType="begin"/>
      </w:r>
      <w:r>
        <w:instrText xml:space="preserve"> PAGEREF _Toc202366221 \h </w:instrText>
      </w:r>
      <w:r>
        <w:fldChar w:fldCharType="separate"/>
      </w:r>
      <w:r>
        <w:t>218</w:t>
      </w:r>
      <w:r>
        <w:fldChar w:fldCharType="end"/>
      </w:r>
    </w:p>
    <w:p>
      <w:pPr>
        <w:pStyle w:val="TOC8"/>
        <w:rPr>
          <w:rFonts w:asciiTheme="minorHAnsi" w:eastAsiaTheme="minorEastAsia" w:hAnsiTheme="minorHAnsi" w:cstheme="minorBidi"/>
          <w:szCs w:val="22"/>
        </w:rPr>
      </w:pPr>
      <w:r>
        <w:t>118A.</w:t>
      </w:r>
      <w:r>
        <w:tab/>
        <w:t>Tenement holder may authorise mining by third party</w:t>
      </w:r>
      <w:r>
        <w:tab/>
      </w:r>
      <w:r>
        <w:fldChar w:fldCharType="begin"/>
      </w:r>
      <w:r>
        <w:instrText xml:space="preserve"> PAGEREF _Toc202366222 \h </w:instrText>
      </w:r>
      <w:r>
        <w:fldChar w:fldCharType="separate"/>
      </w:r>
      <w:r>
        <w:t>219</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Mining tenement may be sold, encumbered etc.</w:t>
      </w:r>
      <w:r>
        <w:tab/>
      </w:r>
      <w:r>
        <w:fldChar w:fldCharType="begin"/>
      </w:r>
      <w:r>
        <w:instrText xml:space="preserve"> PAGEREF _Toc202366223 \h </w:instrText>
      </w:r>
      <w:r>
        <w:fldChar w:fldCharType="separate"/>
      </w:r>
      <w:r>
        <w:t>219</w:t>
      </w:r>
      <w:r>
        <w:fldChar w:fldCharType="end"/>
      </w:r>
    </w:p>
    <w:p>
      <w:pPr>
        <w:pStyle w:val="TOC8"/>
        <w:rPr>
          <w:rFonts w:asciiTheme="minorHAnsi" w:eastAsiaTheme="minorEastAsia" w:hAnsiTheme="minorHAnsi" w:cstheme="minorBidi"/>
          <w:szCs w:val="22"/>
        </w:rPr>
      </w:pPr>
      <w:r>
        <w:t>119A</w:t>
      </w:r>
      <w:r>
        <w:rPr>
          <w:snapToGrid w:val="0"/>
        </w:rPr>
        <w:t>.</w:t>
      </w:r>
      <w:r>
        <w:rPr>
          <w:snapToGrid w:val="0"/>
        </w:rPr>
        <w:tab/>
        <w:t>Mining tenement may be mortgaged</w:t>
      </w:r>
      <w:r>
        <w:tab/>
      </w:r>
      <w:r>
        <w:fldChar w:fldCharType="begin"/>
      </w:r>
      <w:r>
        <w:instrText xml:space="preserve"> PAGEREF _Toc202366224 \h </w:instrText>
      </w:r>
      <w:r>
        <w:fldChar w:fldCharType="separate"/>
      </w:r>
      <w:r>
        <w:t>220</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Planning schemes to be considered but not to derogate from this Act</w:t>
      </w:r>
      <w:r>
        <w:tab/>
      </w:r>
      <w:r>
        <w:fldChar w:fldCharType="begin"/>
      </w:r>
      <w:r>
        <w:instrText xml:space="preserve"> PAGEREF _Toc202366225 \h </w:instrText>
      </w:r>
      <w:r>
        <w:fldChar w:fldCharType="separate"/>
      </w:r>
      <w:r>
        <w:t>220</w:t>
      </w:r>
      <w:r>
        <w:fldChar w:fldCharType="end"/>
      </w:r>
    </w:p>
    <w:p>
      <w:pPr>
        <w:pStyle w:val="TOC8"/>
        <w:rPr>
          <w:rFonts w:asciiTheme="minorHAnsi" w:eastAsiaTheme="minorEastAsia" w:hAnsiTheme="minorHAnsi" w:cstheme="minorBidi"/>
          <w:szCs w:val="22"/>
        </w:rPr>
      </w:pPr>
      <w:r>
        <w:t>120AA.</w:t>
      </w:r>
      <w:r>
        <w:tab/>
        <w:t>Scheme for reversion licence applications</w:t>
      </w:r>
      <w:r>
        <w:tab/>
      </w:r>
      <w:r>
        <w:fldChar w:fldCharType="begin"/>
      </w:r>
      <w:r>
        <w:instrText xml:space="preserve"> PAGEREF _Toc202366226 \h </w:instrText>
      </w:r>
      <w:r>
        <w:fldChar w:fldCharType="separate"/>
      </w:r>
      <w:r>
        <w:t>221</w:t>
      </w:r>
      <w:r>
        <w:fldChar w:fldCharType="end"/>
      </w:r>
    </w:p>
    <w:p>
      <w:pPr>
        <w:pStyle w:val="TOC2"/>
        <w:tabs>
          <w:tab w:val="right" w:leader="dot" w:pos="7077"/>
        </w:tabs>
        <w:rPr>
          <w:rFonts w:asciiTheme="minorHAnsi" w:eastAsiaTheme="minorEastAsia" w:hAnsiTheme="minorHAnsi" w:cstheme="minorBidi"/>
          <w:b w:val="0"/>
          <w:sz w:val="22"/>
          <w:szCs w:val="22"/>
        </w:rPr>
      </w:pPr>
      <w:r>
        <w:t>Part VI — Caveats</w:t>
      </w:r>
    </w:p>
    <w:p>
      <w:pPr>
        <w:pStyle w:val="TOC8"/>
        <w:rPr>
          <w:rFonts w:asciiTheme="minorHAnsi" w:eastAsiaTheme="minorEastAsia" w:hAnsiTheme="minorHAnsi" w:cstheme="minorBidi"/>
          <w:szCs w:val="22"/>
        </w:rPr>
      </w:pPr>
      <w:r>
        <w:t>121</w:t>
      </w:r>
      <w:r>
        <w:rPr>
          <w:snapToGrid w:val="0"/>
        </w:rPr>
        <w:t>.</w:t>
      </w:r>
      <w:r>
        <w:rPr>
          <w:snapToGrid w:val="0"/>
        </w:rPr>
        <w:tab/>
        <w:t>Terms used</w:t>
      </w:r>
      <w:r>
        <w:tab/>
      </w:r>
      <w:r>
        <w:fldChar w:fldCharType="begin"/>
      </w:r>
      <w:r>
        <w:instrText xml:space="preserve"> PAGEREF _Toc202366228 \h </w:instrText>
      </w:r>
      <w:r>
        <w:fldChar w:fldCharType="separate"/>
      </w:r>
      <w:r>
        <w:t>224</w:t>
      </w:r>
      <w:r>
        <w:fldChar w:fldCharType="end"/>
      </w:r>
    </w:p>
    <w:p>
      <w:pPr>
        <w:pStyle w:val="TOC8"/>
        <w:rPr>
          <w:rFonts w:asciiTheme="minorHAnsi" w:eastAsiaTheme="minorEastAsia" w:hAnsiTheme="minorHAnsi" w:cstheme="minorBidi"/>
          <w:szCs w:val="22"/>
        </w:rPr>
      </w:pPr>
      <w:r>
        <w:rPr>
          <w:snapToGrid w:val="0"/>
        </w:rPr>
        <w:t>122.</w:t>
      </w:r>
      <w:r>
        <w:rPr>
          <w:snapToGrid w:val="0"/>
        </w:rPr>
        <w:tab/>
        <w:t>Certain surrenders not affected by this Part</w:t>
      </w:r>
      <w:r>
        <w:tab/>
      </w:r>
      <w:r>
        <w:fldChar w:fldCharType="begin"/>
      </w:r>
      <w:r>
        <w:instrText xml:space="preserve"> PAGEREF _Toc202366229 \h </w:instrText>
      </w:r>
      <w:r>
        <w:fldChar w:fldCharType="separate"/>
      </w:r>
      <w:r>
        <w:t>224</w:t>
      </w:r>
      <w:r>
        <w:fldChar w:fldCharType="end"/>
      </w:r>
    </w:p>
    <w:p>
      <w:pPr>
        <w:pStyle w:val="TOC8"/>
        <w:rPr>
          <w:rFonts w:asciiTheme="minorHAnsi" w:eastAsiaTheme="minorEastAsia" w:hAnsiTheme="minorHAnsi" w:cstheme="minorBidi"/>
          <w:szCs w:val="22"/>
        </w:rPr>
      </w:pPr>
      <w:r>
        <w:t>122A</w:t>
      </w:r>
      <w:r>
        <w:rPr>
          <w:snapToGrid w:val="0"/>
        </w:rPr>
        <w:t>.</w:t>
      </w:r>
      <w:r>
        <w:rPr>
          <w:snapToGrid w:val="0"/>
        </w:rPr>
        <w:tab/>
        <w:t>Lodgment of caveats</w:t>
      </w:r>
      <w:r>
        <w:tab/>
      </w:r>
      <w:r>
        <w:fldChar w:fldCharType="begin"/>
      </w:r>
      <w:r>
        <w:instrText xml:space="preserve"> PAGEREF _Toc202366230 \h </w:instrText>
      </w:r>
      <w:r>
        <w:fldChar w:fldCharType="separate"/>
      </w:r>
      <w:r>
        <w:t>225</w:t>
      </w:r>
      <w:r>
        <w:fldChar w:fldCharType="end"/>
      </w:r>
    </w:p>
    <w:p>
      <w:pPr>
        <w:pStyle w:val="TOC8"/>
        <w:rPr>
          <w:rFonts w:asciiTheme="minorHAnsi" w:eastAsiaTheme="minorEastAsia" w:hAnsiTheme="minorHAnsi" w:cstheme="minorBidi"/>
          <w:szCs w:val="22"/>
        </w:rPr>
      </w:pPr>
      <w:r>
        <w:t>122B</w:t>
      </w:r>
      <w:r>
        <w:rPr>
          <w:snapToGrid w:val="0"/>
        </w:rPr>
        <w:t>.</w:t>
      </w:r>
      <w:r>
        <w:rPr>
          <w:snapToGrid w:val="0"/>
        </w:rPr>
        <w:tab/>
        <w:t>Provisional lodgment</w:t>
      </w:r>
      <w:r>
        <w:tab/>
      </w:r>
      <w:r>
        <w:fldChar w:fldCharType="begin"/>
      </w:r>
      <w:r>
        <w:instrText xml:space="preserve"> PAGEREF _Toc202366231 \h </w:instrText>
      </w:r>
      <w:r>
        <w:fldChar w:fldCharType="separate"/>
      </w:r>
      <w:r>
        <w:t>226</w:t>
      </w:r>
      <w:r>
        <w:fldChar w:fldCharType="end"/>
      </w:r>
    </w:p>
    <w:p>
      <w:pPr>
        <w:pStyle w:val="TOC8"/>
        <w:rPr>
          <w:rFonts w:asciiTheme="minorHAnsi" w:eastAsiaTheme="minorEastAsia" w:hAnsiTheme="minorHAnsi" w:cstheme="minorBidi"/>
          <w:szCs w:val="22"/>
        </w:rPr>
      </w:pPr>
      <w:r>
        <w:t>122C</w:t>
      </w:r>
      <w:r>
        <w:rPr>
          <w:snapToGrid w:val="0"/>
        </w:rPr>
        <w:t>.</w:t>
      </w:r>
      <w:r>
        <w:rPr>
          <w:snapToGrid w:val="0"/>
        </w:rPr>
        <w:tab/>
        <w:t>Caveats deemed to be lodged against later tenements</w:t>
      </w:r>
      <w:r>
        <w:tab/>
      </w:r>
      <w:r>
        <w:fldChar w:fldCharType="begin"/>
      </w:r>
      <w:r>
        <w:instrText xml:space="preserve"> PAGEREF _Toc202366232 \h </w:instrText>
      </w:r>
      <w:r>
        <w:fldChar w:fldCharType="separate"/>
      </w:r>
      <w:r>
        <w:t>227</w:t>
      </w:r>
      <w:r>
        <w:fldChar w:fldCharType="end"/>
      </w:r>
    </w:p>
    <w:p>
      <w:pPr>
        <w:pStyle w:val="TOC8"/>
        <w:rPr>
          <w:rFonts w:asciiTheme="minorHAnsi" w:eastAsiaTheme="minorEastAsia" w:hAnsiTheme="minorHAnsi" w:cstheme="minorBidi"/>
          <w:szCs w:val="22"/>
        </w:rPr>
      </w:pPr>
      <w:r>
        <w:t>122D</w:t>
      </w:r>
      <w:r>
        <w:rPr>
          <w:snapToGrid w:val="0"/>
        </w:rPr>
        <w:t>.</w:t>
      </w:r>
      <w:r>
        <w:rPr>
          <w:snapToGrid w:val="0"/>
        </w:rPr>
        <w:tab/>
        <w:t>Effect of caveat</w:t>
      </w:r>
      <w:r>
        <w:tab/>
      </w:r>
      <w:r>
        <w:fldChar w:fldCharType="begin"/>
      </w:r>
      <w:r>
        <w:instrText xml:space="preserve"> PAGEREF _Toc202366233 \h </w:instrText>
      </w:r>
      <w:r>
        <w:fldChar w:fldCharType="separate"/>
      </w:r>
      <w:r>
        <w:t>227</w:t>
      </w:r>
      <w:r>
        <w:fldChar w:fldCharType="end"/>
      </w:r>
    </w:p>
    <w:p>
      <w:pPr>
        <w:pStyle w:val="TOC8"/>
        <w:rPr>
          <w:rFonts w:asciiTheme="minorHAnsi" w:eastAsiaTheme="minorEastAsia" w:hAnsiTheme="minorHAnsi" w:cstheme="minorBidi"/>
          <w:szCs w:val="22"/>
        </w:rPr>
      </w:pPr>
      <w:r>
        <w:t>122E</w:t>
      </w:r>
      <w:r>
        <w:rPr>
          <w:snapToGrid w:val="0"/>
        </w:rPr>
        <w:t>.</w:t>
      </w:r>
      <w:r>
        <w:rPr>
          <w:snapToGrid w:val="0"/>
        </w:rPr>
        <w:tab/>
        <w:t>Duration of caveat</w:t>
      </w:r>
      <w:r>
        <w:tab/>
      </w:r>
      <w:r>
        <w:fldChar w:fldCharType="begin"/>
      </w:r>
      <w:r>
        <w:instrText xml:space="preserve"> PAGEREF _Toc202366234 \h </w:instrText>
      </w:r>
      <w:r>
        <w:fldChar w:fldCharType="separate"/>
      </w:r>
      <w:r>
        <w:t>228</w:t>
      </w:r>
      <w:r>
        <w:fldChar w:fldCharType="end"/>
      </w:r>
    </w:p>
    <w:p>
      <w:pPr>
        <w:pStyle w:val="TOC2"/>
        <w:tabs>
          <w:tab w:val="right" w:leader="dot" w:pos="7077"/>
        </w:tabs>
        <w:rPr>
          <w:rFonts w:asciiTheme="minorHAnsi" w:eastAsiaTheme="minorEastAsia" w:hAnsiTheme="minorHAnsi" w:cstheme="minorBidi"/>
          <w:b w:val="0"/>
          <w:sz w:val="22"/>
          <w:szCs w:val="22"/>
        </w:rPr>
      </w:pPr>
      <w:r>
        <w:t>Part VII — Compensation</w:t>
      </w:r>
    </w:p>
    <w:p>
      <w:pPr>
        <w:pStyle w:val="TOC8"/>
        <w:rPr>
          <w:rFonts w:asciiTheme="minorHAnsi" w:eastAsiaTheme="minorEastAsia" w:hAnsiTheme="minorHAnsi" w:cstheme="minorBidi"/>
          <w:szCs w:val="22"/>
        </w:rPr>
      </w:pPr>
      <w:r>
        <w:t>123</w:t>
      </w:r>
      <w:r>
        <w:rPr>
          <w:snapToGrid w:val="0"/>
        </w:rPr>
        <w:t>.</w:t>
      </w:r>
      <w:r>
        <w:rPr>
          <w:snapToGrid w:val="0"/>
        </w:rPr>
        <w:tab/>
        <w:t>Compensation in respect of mining</w:t>
      </w:r>
      <w:r>
        <w:tab/>
      </w:r>
      <w:r>
        <w:fldChar w:fldCharType="begin"/>
      </w:r>
      <w:r>
        <w:instrText xml:space="preserve"> PAGEREF _Toc202366236 \h </w:instrText>
      </w:r>
      <w:r>
        <w:fldChar w:fldCharType="separate"/>
      </w:r>
      <w:r>
        <w:t>230</w:t>
      </w:r>
      <w:r>
        <w:fldChar w:fldCharType="end"/>
      </w:r>
    </w:p>
    <w:p>
      <w:pPr>
        <w:pStyle w:val="TOC8"/>
        <w:rPr>
          <w:rFonts w:asciiTheme="minorHAnsi" w:eastAsiaTheme="minorEastAsia" w:hAnsiTheme="minorHAnsi" w:cstheme="minorBidi"/>
          <w:szCs w:val="22"/>
        </w:rPr>
      </w:pPr>
      <w:r>
        <w:lastRenderedPageBreak/>
        <w:t>124</w:t>
      </w:r>
      <w:r>
        <w:rPr>
          <w:snapToGrid w:val="0"/>
        </w:rPr>
        <w:t>.</w:t>
      </w:r>
      <w:r>
        <w:rPr>
          <w:snapToGrid w:val="0"/>
        </w:rPr>
        <w:tab/>
        <w:t>Matters to be considered by warden’s court in relation to compensation</w:t>
      </w:r>
      <w:r>
        <w:tab/>
      </w:r>
      <w:r>
        <w:fldChar w:fldCharType="begin"/>
      </w:r>
      <w:r>
        <w:instrText xml:space="preserve"> PAGEREF _Toc202366237 \h </w:instrText>
      </w:r>
      <w:r>
        <w:fldChar w:fldCharType="separate"/>
      </w:r>
      <w:r>
        <w:t>234</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Limitation on compensation</w:t>
      </w:r>
      <w:r>
        <w:tab/>
      </w:r>
      <w:r>
        <w:fldChar w:fldCharType="begin"/>
      </w:r>
      <w:r>
        <w:instrText xml:space="preserve"> PAGEREF _Toc202366238 \h </w:instrText>
      </w:r>
      <w:r>
        <w:fldChar w:fldCharType="separate"/>
      </w:r>
      <w:r>
        <w:t>235</w:t>
      </w:r>
      <w:r>
        <w:fldChar w:fldCharType="end"/>
      </w:r>
    </w:p>
    <w:p>
      <w:pPr>
        <w:pStyle w:val="TOC8"/>
        <w:rPr>
          <w:rFonts w:asciiTheme="minorHAnsi" w:eastAsiaTheme="minorEastAsia" w:hAnsiTheme="minorHAnsi" w:cstheme="minorBidi"/>
          <w:szCs w:val="22"/>
        </w:rPr>
      </w:pPr>
      <w:r>
        <w:t>125A</w:t>
      </w:r>
      <w:r>
        <w:rPr>
          <w:snapToGrid w:val="0"/>
        </w:rPr>
        <w:t>.</w:t>
      </w:r>
      <w:r>
        <w:rPr>
          <w:snapToGrid w:val="0"/>
        </w:rPr>
        <w:tab/>
        <w:t>Liability for payment of compensation to native title holders</w:t>
      </w:r>
      <w:r>
        <w:tab/>
      </w:r>
      <w:r>
        <w:fldChar w:fldCharType="begin"/>
      </w:r>
      <w:r>
        <w:instrText xml:space="preserve"> PAGEREF _Toc202366239 \h </w:instrText>
      </w:r>
      <w:r>
        <w:fldChar w:fldCharType="separate"/>
      </w:r>
      <w:r>
        <w:t>235</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Securities</w:t>
      </w:r>
      <w:r>
        <w:tab/>
      </w:r>
      <w:r>
        <w:fldChar w:fldCharType="begin"/>
      </w:r>
      <w:r>
        <w:instrText xml:space="preserve"> PAGEREF _Toc202366240 \h </w:instrText>
      </w:r>
      <w:r>
        <w:fldChar w:fldCharType="separate"/>
      </w:r>
      <w:r>
        <w:t>236</w:t>
      </w:r>
      <w:r>
        <w:fldChar w:fldCharType="end"/>
      </w:r>
    </w:p>
    <w:p>
      <w:pPr>
        <w:pStyle w:val="TOC2"/>
        <w:tabs>
          <w:tab w:val="right" w:leader="dot" w:pos="7077"/>
        </w:tabs>
        <w:rPr>
          <w:rFonts w:asciiTheme="minorHAnsi" w:eastAsiaTheme="minorEastAsia" w:hAnsiTheme="minorHAnsi" w:cstheme="minorBidi"/>
          <w:b w:val="0"/>
          <w:sz w:val="22"/>
          <w:szCs w:val="22"/>
        </w:rPr>
      </w:pPr>
      <w:r>
        <w:t>Part VIII — Administration of justice</w:t>
      </w:r>
    </w:p>
    <w:p>
      <w:pPr>
        <w:pStyle w:val="TOC8"/>
        <w:rPr>
          <w:rFonts w:asciiTheme="minorHAnsi" w:eastAsiaTheme="minorEastAsia" w:hAnsiTheme="minorHAnsi" w:cstheme="minorBidi"/>
          <w:szCs w:val="22"/>
        </w:rPr>
      </w:pPr>
      <w:r>
        <w:t>127</w:t>
      </w:r>
      <w:r>
        <w:rPr>
          <w:snapToGrid w:val="0"/>
        </w:rPr>
        <w:t>.</w:t>
      </w:r>
      <w:r>
        <w:rPr>
          <w:snapToGrid w:val="0"/>
        </w:rPr>
        <w:tab/>
        <w:t>Establishment of wardens’ courts</w:t>
      </w:r>
      <w:r>
        <w:tab/>
      </w:r>
      <w:r>
        <w:fldChar w:fldCharType="begin"/>
      </w:r>
      <w:r>
        <w:instrText xml:space="preserve"> PAGEREF _Toc202366242 \h </w:instrText>
      </w:r>
      <w:r>
        <w:fldChar w:fldCharType="separate"/>
      </w:r>
      <w:r>
        <w:t>239</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Warden’s court to be court of record</w:t>
      </w:r>
      <w:r>
        <w:tab/>
      </w:r>
      <w:r>
        <w:fldChar w:fldCharType="begin"/>
      </w:r>
      <w:r>
        <w:instrText xml:space="preserve"> PAGEREF _Toc202366243 \h </w:instrText>
      </w:r>
      <w:r>
        <w:fldChar w:fldCharType="separate"/>
      </w:r>
      <w:r>
        <w:t>239</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Signing of process</w:t>
      </w:r>
      <w:r>
        <w:tab/>
      </w:r>
      <w:r>
        <w:fldChar w:fldCharType="begin"/>
      </w:r>
      <w:r>
        <w:instrText xml:space="preserve"> PAGEREF _Toc202366244 \h </w:instrText>
      </w:r>
      <w:r>
        <w:fldChar w:fldCharType="separate"/>
      </w:r>
      <w:r>
        <w:t>239</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Times for holding warden’s court</w:t>
      </w:r>
      <w:r>
        <w:tab/>
      </w:r>
      <w:r>
        <w:fldChar w:fldCharType="begin"/>
      </w:r>
      <w:r>
        <w:instrText xml:space="preserve"> PAGEREF _Toc202366245 \h </w:instrText>
      </w:r>
      <w:r>
        <w:fldChar w:fldCharType="separate"/>
      </w:r>
      <w:r>
        <w:t>240</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Power of warden to act in absence of warden usually presiding</w:t>
      </w:r>
      <w:r>
        <w:tab/>
      </w:r>
      <w:r>
        <w:fldChar w:fldCharType="begin"/>
      </w:r>
      <w:r>
        <w:instrText xml:space="preserve"> PAGEREF _Toc202366246 \h </w:instrText>
      </w:r>
      <w:r>
        <w:fldChar w:fldCharType="separate"/>
      </w:r>
      <w:r>
        <w:t>240</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Jurisdiction of warden’s court</w:t>
      </w:r>
      <w:r>
        <w:tab/>
      </w:r>
      <w:r>
        <w:fldChar w:fldCharType="begin"/>
      </w:r>
      <w:r>
        <w:instrText xml:space="preserve"> PAGEREF _Toc202366247 \h </w:instrText>
      </w:r>
      <w:r>
        <w:fldChar w:fldCharType="separate"/>
      </w:r>
      <w:r>
        <w:t>240</w:t>
      </w:r>
      <w:r>
        <w:fldChar w:fldCharType="end"/>
      </w:r>
    </w:p>
    <w:p>
      <w:pPr>
        <w:pStyle w:val="TOC8"/>
        <w:rPr>
          <w:rFonts w:asciiTheme="minorHAnsi" w:eastAsiaTheme="minorEastAsia" w:hAnsiTheme="minorHAnsi" w:cstheme="minorBidi"/>
          <w:szCs w:val="22"/>
        </w:rPr>
      </w:pPr>
      <w:r>
        <w:t>133.</w:t>
      </w:r>
      <w:r>
        <w:tab/>
        <w:t>Offences to be dealt with by magistrate</w:t>
      </w:r>
      <w:r>
        <w:tab/>
      </w:r>
      <w:r>
        <w:fldChar w:fldCharType="begin"/>
      </w:r>
      <w:r>
        <w:instrText xml:space="preserve"> PAGEREF _Toc202366248 \h </w:instrText>
      </w:r>
      <w:r>
        <w:fldChar w:fldCharType="separate"/>
      </w:r>
      <w:r>
        <w:t>242</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Powers of warden’s court</w:t>
      </w:r>
      <w:r>
        <w:tab/>
      </w:r>
      <w:r>
        <w:fldChar w:fldCharType="begin"/>
      </w:r>
      <w:r>
        <w:instrText xml:space="preserve"> PAGEREF _Toc202366249 \h </w:instrText>
      </w:r>
      <w:r>
        <w:fldChar w:fldCharType="separate"/>
      </w:r>
      <w:r>
        <w:t>242</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Summary determination by warden by consent</w:t>
      </w:r>
      <w:r>
        <w:tab/>
      </w:r>
      <w:r>
        <w:fldChar w:fldCharType="begin"/>
      </w:r>
      <w:r>
        <w:instrText xml:space="preserve"> PAGEREF _Toc202366250 \h </w:instrText>
      </w:r>
      <w:r>
        <w:fldChar w:fldCharType="separate"/>
      </w:r>
      <w:r>
        <w:t>246</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Practice and procedure in warden’s court</w:t>
      </w:r>
      <w:r>
        <w:tab/>
      </w:r>
      <w:r>
        <w:fldChar w:fldCharType="begin"/>
      </w:r>
      <w:r>
        <w:instrText xml:space="preserve"> PAGEREF _Toc202366251 \h </w:instrText>
      </w:r>
      <w:r>
        <w:fldChar w:fldCharType="separate"/>
      </w:r>
      <w:r>
        <w:t>246</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Records of evidence</w:t>
      </w:r>
      <w:r>
        <w:tab/>
      </w:r>
      <w:r>
        <w:fldChar w:fldCharType="begin"/>
      </w:r>
      <w:r>
        <w:instrText xml:space="preserve"> PAGEREF _Toc202366252 \h </w:instrText>
      </w:r>
      <w:r>
        <w:fldChar w:fldCharType="separate"/>
      </w:r>
      <w:r>
        <w:t>247</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Mode of trial</w:t>
      </w:r>
      <w:r>
        <w:tab/>
      </w:r>
      <w:r>
        <w:fldChar w:fldCharType="begin"/>
      </w:r>
      <w:r>
        <w:instrText xml:space="preserve"> PAGEREF _Toc202366253 \h </w:instrText>
      </w:r>
      <w:r>
        <w:fldChar w:fldCharType="separate"/>
      </w:r>
      <w:r>
        <w:t>247</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Contempt of court</w:t>
      </w:r>
      <w:r>
        <w:tab/>
      </w:r>
      <w:r>
        <w:fldChar w:fldCharType="begin"/>
      </w:r>
      <w:r>
        <w:instrText xml:space="preserve"> PAGEREF _Toc202366254 \h </w:instrText>
      </w:r>
      <w:r>
        <w:fldChar w:fldCharType="separate"/>
      </w:r>
      <w:r>
        <w:t>248</w:t>
      </w:r>
      <w:r>
        <w:fldChar w:fldCharType="end"/>
      </w:r>
    </w:p>
    <w:p>
      <w:pPr>
        <w:pStyle w:val="TOC8"/>
        <w:rPr>
          <w:rFonts w:asciiTheme="minorHAnsi" w:eastAsiaTheme="minorEastAsia" w:hAnsiTheme="minorHAnsi" w:cstheme="minorBidi"/>
          <w:szCs w:val="22"/>
        </w:rPr>
      </w:pPr>
      <w:r>
        <w:t>140.</w:t>
      </w:r>
      <w:r>
        <w:tab/>
        <w:t>Judgments, enforcement of</w:t>
      </w:r>
      <w:r>
        <w:tab/>
      </w:r>
      <w:r>
        <w:fldChar w:fldCharType="begin"/>
      </w:r>
      <w:r>
        <w:instrText xml:space="preserve"> PAGEREF _Toc202366255 \h </w:instrText>
      </w:r>
      <w:r>
        <w:fldChar w:fldCharType="separate"/>
      </w:r>
      <w:r>
        <w:t>249</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Informality and amendment</w:t>
      </w:r>
      <w:r>
        <w:tab/>
      </w:r>
      <w:r>
        <w:fldChar w:fldCharType="begin"/>
      </w:r>
      <w:r>
        <w:instrText xml:space="preserve"> PAGEREF _Toc202366256 \h </w:instrText>
      </w:r>
      <w:r>
        <w:fldChar w:fldCharType="separate"/>
      </w:r>
      <w:r>
        <w:t>249</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Grant of injunction affecting mining tenement to be notified</w:t>
      </w:r>
      <w:r>
        <w:tab/>
      </w:r>
      <w:r>
        <w:fldChar w:fldCharType="begin"/>
      </w:r>
      <w:r>
        <w:instrText xml:space="preserve"> PAGEREF _Toc202366257 \h </w:instrText>
      </w:r>
      <w:r>
        <w:fldChar w:fldCharType="separate"/>
      </w:r>
      <w:r>
        <w:t>250</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Reservation of questions of law: hearing and determination</w:t>
      </w:r>
      <w:r>
        <w:tab/>
      </w:r>
      <w:r>
        <w:fldChar w:fldCharType="begin"/>
      </w:r>
      <w:r>
        <w:instrText xml:space="preserve"> PAGEREF _Toc202366258 \h </w:instrText>
      </w:r>
      <w:r>
        <w:fldChar w:fldCharType="separate"/>
      </w:r>
      <w:r>
        <w:t>251</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Appeal to Supreme Court</w:t>
      </w:r>
      <w:r>
        <w:tab/>
      </w:r>
      <w:r>
        <w:fldChar w:fldCharType="begin"/>
      </w:r>
      <w:r>
        <w:instrText xml:space="preserve"> PAGEREF _Toc202366259 \h </w:instrText>
      </w:r>
      <w:r>
        <w:fldChar w:fldCharType="separate"/>
      </w:r>
      <w:r>
        <w:t>252</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Procedure on appeal</w:t>
      </w:r>
      <w:r>
        <w:tab/>
      </w:r>
      <w:r>
        <w:fldChar w:fldCharType="begin"/>
      </w:r>
      <w:r>
        <w:instrText xml:space="preserve"> PAGEREF _Toc202366260 \h </w:instrText>
      </w:r>
      <w:r>
        <w:fldChar w:fldCharType="separate"/>
      </w:r>
      <w:r>
        <w:t>253</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Power of Supreme Court on appeal</w:t>
      </w:r>
      <w:r>
        <w:tab/>
      </w:r>
      <w:r>
        <w:fldChar w:fldCharType="begin"/>
      </w:r>
      <w:r>
        <w:instrText xml:space="preserve"> PAGEREF _Toc202366261 \h </w:instrText>
      </w:r>
      <w:r>
        <w:fldChar w:fldCharType="separate"/>
      </w:r>
      <w:r>
        <w:t>254</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Withdrawal or failure to prosecute appeal</w:t>
      </w:r>
      <w:r>
        <w:tab/>
      </w:r>
      <w:r>
        <w:fldChar w:fldCharType="begin"/>
      </w:r>
      <w:r>
        <w:instrText xml:space="preserve"> PAGEREF _Toc202366262 \h </w:instrText>
      </w:r>
      <w:r>
        <w:fldChar w:fldCharType="separate"/>
      </w:r>
      <w:r>
        <w:t>255</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Limitation of right of appeal</w:t>
      </w:r>
      <w:r>
        <w:tab/>
      </w:r>
      <w:r>
        <w:fldChar w:fldCharType="begin"/>
      </w:r>
      <w:r>
        <w:instrText xml:space="preserve"> PAGEREF _Toc202366263 \h </w:instrText>
      </w:r>
      <w:r>
        <w:fldChar w:fldCharType="separate"/>
      </w:r>
      <w:r>
        <w:t>255</w:t>
      </w:r>
      <w:r>
        <w:fldChar w:fldCharType="end"/>
      </w:r>
    </w:p>
    <w:p>
      <w:pPr>
        <w:pStyle w:val="TOC2"/>
        <w:tabs>
          <w:tab w:val="right" w:leader="dot" w:pos="7077"/>
        </w:tabs>
        <w:rPr>
          <w:rFonts w:asciiTheme="minorHAnsi" w:eastAsiaTheme="minorEastAsia" w:hAnsiTheme="minorHAnsi" w:cstheme="minorBidi"/>
          <w:b w:val="0"/>
          <w:sz w:val="22"/>
          <w:szCs w:val="22"/>
        </w:rPr>
      </w:pPr>
      <w:r>
        <w:t>Part IX — Miscellaneous and regulations</w:t>
      </w:r>
    </w:p>
    <w:p>
      <w:pPr>
        <w:pStyle w:val="TOC8"/>
        <w:rPr>
          <w:rFonts w:asciiTheme="minorHAnsi" w:eastAsiaTheme="minorEastAsia" w:hAnsiTheme="minorHAnsi" w:cstheme="minorBidi"/>
          <w:szCs w:val="22"/>
        </w:rPr>
      </w:pPr>
      <w:r>
        <w:t>152</w:t>
      </w:r>
      <w:r>
        <w:rPr>
          <w:snapToGrid w:val="0"/>
        </w:rPr>
        <w:t>.</w:t>
      </w:r>
      <w:r>
        <w:rPr>
          <w:snapToGrid w:val="0"/>
        </w:rPr>
        <w:tab/>
        <w:t>Police to assist warden</w:t>
      </w:r>
      <w:r>
        <w:tab/>
      </w:r>
      <w:r>
        <w:fldChar w:fldCharType="begin"/>
      </w:r>
      <w:r>
        <w:instrText xml:space="preserve"> PAGEREF _Toc202366265 \h </w:instrText>
      </w:r>
      <w:r>
        <w:fldChar w:fldCharType="separate"/>
      </w:r>
      <w:r>
        <w:t>256</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Minor capable of being sued and of suing</w:t>
      </w:r>
      <w:r>
        <w:tab/>
      </w:r>
      <w:r>
        <w:fldChar w:fldCharType="begin"/>
      </w:r>
      <w:r>
        <w:instrText xml:space="preserve"> PAGEREF _Toc202366266 \h </w:instrText>
      </w:r>
      <w:r>
        <w:fldChar w:fldCharType="separate"/>
      </w:r>
      <w:r>
        <w:t>256</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General penalty</w:t>
      </w:r>
      <w:r>
        <w:tab/>
      </w:r>
      <w:r>
        <w:fldChar w:fldCharType="begin"/>
      </w:r>
      <w:r>
        <w:instrText xml:space="preserve"> PAGEREF _Toc202366267 \h </w:instrText>
      </w:r>
      <w:r>
        <w:fldChar w:fldCharType="separate"/>
      </w:r>
      <w:r>
        <w:t>256</w:t>
      </w:r>
      <w:r>
        <w:fldChar w:fldCharType="end"/>
      </w:r>
    </w:p>
    <w:p>
      <w:pPr>
        <w:pStyle w:val="TOC8"/>
        <w:rPr>
          <w:rFonts w:asciiTheme="minorHAnsi" w:eastAsiaTheme="minorEastAsia" w:hAnsiTheme="minorHAnsi" w:cstheme="minorBidi"/>
          <w:szCs w:val="22"/>
        </w:rPr>
      </w:pPr>
      <w:r>
        <w:t>154A.</w:t>
      </w:r>
      <w:r>
        <w:tab/>
        <w:t>Liability of officers for offence by body corporate</w:t>
      </w:r>
      <w:r>
        <w:tab/>
      </w:r>
      <w:r>
        <w:fldChar w:fldCharType="begin"/>
      </w:r>
      <w:r>
        <w:instrText xml:space="preserve"> PAGEREF _Toc202366268 \h </w:instrText>
      </w:r>
      <w:r>
        <w:fldChar w:fldCharType="separate"/>
      </w:r>
      <w:r>
        <w:t>257</w:t>
      </w:r>
      <w:r>
        <w:fldChar w:fldCharType="end"/>
      </w:r>
    </w:p>
    <w:p>
      <w:pPr>
        <w:pStyle w:val="TOC8"/>
        <w:rPr>
          <w:rFonts w:asciiTheme="minorHAnsi" w:eastAsiaTheme="minorEastAsia" w:hAnsiTheme="minorHAnsi" w:cstheme="minorBidi"/>
          <w:szCs w:val="22"/>
        </w:rPr>
      </w:pPr>
      <w:r>
        <w:lastRenderedPageBreak/>
        <w:t>155</w:t>
      </w:r>
      <w:r>
        <w:rPr>
          <w:snapToGrid w:val="0"/>
        </w:rPr>
        <w:t>.</w:t>
      </w:r>
      <w:r>
        <w:rPr>
          <w:snapToGrid w:val="0"/>
        </w:rPr>
        <w:tab/>
        <w:t>Offence of mining without authority</w:t>
      </w:r>
      <w:r>
        <w:tab/>
      </w:r>
      <w:r>
        <w:fldChar w:fldCharType="begin"/>
      </w:r>
      <w:r>
        <w:instrText xml:space="preserve"> PAGEREF _Toc202366269 \h </w:instrText>
      </w:r>
      <w:r>
        <w:fldChar w:fldCharType="separate"/>
      </w:r>
      <w:r>
        <w:t>257</w:t>
      </w:r>
      <w:r>
        <w:fldChar w:fldCharType="end"/>
      </w:r>
    </w:p>
    <w:p>
      <w:pPr>
        <w:pStyle w:val="TOC8"/>
        <w:rPr>
          <w:rFonts w:asciiTheme="minorHAnsi" w:eastAsiaTheme="minorEastAsia" w:hAnsiTheme="minorHAnsi" w:cstheme="minorBidi"/>
          <w:szCs w:val="22"/>
        </w:rPr>
      </w:pPr>
      <w:r>
        <w:t>155A</w:t>
      </w:r>
      <w:r>
        <w:rPr>
          <w:snapToGrid w:val="0"/>
        </w:rPr>
        <w:t>.</w:t>
      </w:r>
      <w:r>
        <w:rPr>
          <w:snapToGrid w:val="0"/>
        </w:rPr>
        <w:tab/>
        <w:t>Aerial survey work</w:t>
      </w:r>
      <w:r>
        <w:tab/>
      </w:r>
      <w:r>
        <w:fldChar w:fldCharType="begin"/>
      </w:r>
      <w:r>
        <w:instrText xml:space="preserve"> PAGEREF _Toc202366270 \h </w:instrText>
      </w:r>
      <w:r>
        <w:fldChar w:fldCharType="separate"/>
      </w:r>
      <w:r>
        <w:t>258</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Offences</w:t>
      </w:r>
      <w:r>
        <w:tab/>
      </w:r>
      <w:r>
        <w:fldChar w:fldCharType="begin"/>
      </w:r>
      <w:r>
        <w:instrText xml:space="preserve"> PAGEREF _Toc202366271 \h </w:instrText>
      </w:r>
      <w:r>
        <w:fldChar w:fldCharType="separate"/>
      </w:r>
      <w:r>
        <w:t>258</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Obstruction of persons authorised to mine under this Act</w:t>
      </w:r>
      <w:r>
        <w:tab/>
      </w:r>
      <w:r>
        <w:fldChar w:fldCharType="begin"/>
      </w:r>
      <w:r>
        <w:instrText xml:space="preserve"> PAGEREF _Toc202366272 \h </w:instrText>
      </w:r>
      <w:r>
        <w:fldChar w:fldCharType="separate"/>
      </w:r>
      <w:r>
        <w:t>259</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Power to require information as to right to mine</w:t>
      </w:r>
      <w:r>
        <w:tab/>
      </w:r>
      <w:r>
        <w:fldChar w:fldCharType="begin"/>
      </w:r>
      <w:r>
        <w:instrText xml:space="preserve"> PAGEREF _Toc202366273 \h </w:instrText>
      </w:r>
      <w:r>
        <w:fldChar w:fldCharType="separate"/>
      </w:r>
      <w:r>
        <w:t>259</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Disputes between licensees and other persons</w:t>
      </w:r>
      <w:r>
        <w:tab/>
      </w:r>
      <w:r>
        <w:fldChar w:fldCharType="begin"/>
      </w:r>
      <w:r>
        <w:instrText xml:space="preserve"> PAGEREF _Toc202366274 \h </w:instrText>
      </w:r>
      <w:r>
        <w:fldChar w:fldCharType="separate"/>
      </w:r>
      <w:r>
        <w:t>261</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Saving of civil remedies</w:t>
      </w:r>
      <w:r>
        <w:tab/>
      </w:r>
      <w:r>
        <w:fldChar w:fldCharType="begin"/>
      </w:r>
      <w:r>
        <w:instrText xml:space="preserve"> PAGEREF _Toc202366275 \h </w:instrText>
      </w:r>
      <w:r>
        <w:fldChar w:fldCharType="separate"/>
      </w:r>
      <w:r>
        <w:t>262</w:t>
      </w:r>
      <w:r>
        <w:fldChar w:fldCharType="end"/>
      </w:r>
    </w:p>
    <w:p>
      <w:pPr>
        <w:pStyle w:val="TOC8"/>
        <w:rPr>
          <w:rFonts w:asciiTheme="minorHAnsi" w:eastAsiaTheme="minorEastAsia" w:hAnsiTheme="minorHAnsi" w:cstheme="minorBidi"/>
          <w:szCs w:val="22"/>
        </w:rPr>
      </w:pPr>
      <w:r>
        <w:t>160AA.</w:t>
      </w:r>
      <w:r>
        <w:tab/>
        <w:t>Authority to perform certain functions of LAA Minister under this Act</w:t>
      </w:r>
      <w:r>
        <w:tab/>
      </w:r>
      <w:r>
        <w:fldChar w:fldCharType="begin"/>
      </w:r>
      <w:r>
        <w:instrText xml:space="preserve"> PAGEREF _Toc202366276 \h </w:instrText>
      </w:r>
      <w:r>
        <w:fldChar w:fldCharType="separate"/>
      </w:r>
      <w:r>
        <w:t>262</w:t>
      </w:r>
      <w:r>
        <w:fldChar w:fldCharType="end"/>
      </w:r>
    </w:p>
    <w:p>
      <w:pPr>
        <w:pStyle w:val="TOC8"/>
        <w:rPr>
          <w:rFonts w:asciiTheme="minorHAnsi" w:eastAsiaTheme="minorEastAsia" w:hAnsiTheme="minorHAnsi" w:cstheme="minorBidi"/>
          <w:szCs w:val="22"/>
        </w:rPr>
      </w:pPr>
      <w:r>
        <w:t>160A</w:t>
      </w:r>
      <w:r>
        <w:rPr>
          <w:snapToGrid w:val="0"/>
        </w:rPr>
        <w:t>.</w:t>
      </w:r>
      <w:r>
        <w:rPr>
          <w:snapToGrid w:val="0"/>
        </w:rPr>
        <w:tab/>
        <w:t xml:space="preserve">Immunity of Minister, </w:t>
      </w:r>
      <w:r>
        <w:t>wardens</w:t>
      </w:r>
      <w:r>
        <w:rPr>
          <w:snapToGrid w:val="0"/>
        </w:rPr>
        <w:t xml:space="preserve"> and officials</w:t>
      </w:r>
      <w:r>
        <w:tab/>
      </w:r>
      <w:r>
        <w:fldChar w:fldCharType="begin"/>
      </w:r>
      <w:r>
        <w:instrText xml:space="preserve"> PAGEREF _Toc202366277 \h </w:instrText>
      </w:r>
      <w:r>
        <w:fldChar w:fldCharType="separate"/>
      </w:r>
      <w:r>
        <w:t>263</w:t>
      </w:r>
      <w:r>
        <w:fldChar w:fldCharType="end"/>
      </w:r>
    </w:p>
    <w:p>
      <w:pPr>
        <w:pStyle w:val="TOC8"/>
        <w:rPr>
          <w:rFonts w:asciiTheme="minorHAnsi" w:eastAsiaTheme="minorEastAsia" w:hAnsiTheme="minorHAnsi" w:cstheme="minorBidi"/>
          <w:szCs w:val="22"/>
        </w:rPr>
      </w:pPr>
      <w:r>
        <w:t>160B.</w:t>
      </w:r>
      <w:r>
        <w:tab/>
        <w:t>Time limit for prosecution action</w:t>
      </w:r>
      <w:r>
        <w:tab/>
      </w:r>
      <w:r>
        <w:fldChar w:fldCharType="begin"/>
      </w:r>
      <w:r>
        <w:instrText xml:space="preserve"> PAGEREF _Toc202366278 \h </w:instrText>
      </w:r>
      <w:r>
        <w:fldChar w:fldCharType="separate"/>
      </w:r>
      <w:r>
        <w:t>263</w:t>
      </w:r>
      <w:r>
        <w:fldChar w:fldCharType="end"/>
      </w:r>
    </w:p>
    <w:p>
      <w:pPr>
        <w:pStyle w:val="TOC8"/>
        <w:rPr>
          <w:rFonts w:asciiTheme="minorHAnsi" w:eastAsiaTheme="minorEastAsia" w:hAnsiTheme="minorHAnsi" w:cstheme="minorBidi"/>
          <w:szCs w:val="22"/>
        </w:rPr>
      </w:pPr>
      <w:r>
        <w:t>160C.</w:t>
      </w:r>
      <w:r>
        <w:tab/>
        <w:t>No right of appeal from certain decisions of warden, mining registrar or Minister</w:t>
      </w:r>
      <w:r>
        <w:tab/>
      </w:r>
      <w:r>
        <w:fldChar w:fldCharType="begin"/>
      </w:r>
      <w:r>
        <w:instrText xml:space="preserve"> PAGEREF _Toc202366279 \h </w:instrText>
      </w:r>
      <w:r>
        <w:fldChar w:fldCharType="separate"/>
      </w:r>
      <w:r>
        <w:t>263</w:t>
      </w:r>
      <w:r>
        <w:fldChar w:fldCharType="end"/>
      </w:r>
    </w:p>
    <w:p>
      <w:pPr>
        <w:pStyle w:val="TOC8"/>
        <w:rPr>
          <w:rFonts w:asciiTheme="minorHAnsi" w:eastAsiaTheme="minorEastAsia" w:hAnsiTheme="minorHAnsi" w:cstheme="minorBidi"/>
          <w:szCs w:val="22"/>
        </w:rPr>
      </w:pPr>
      <w:r>
        <w:t>160D.</w:t>
      </w:r>
      <w:r>
        <w:tab/>
        <w:t>Persons before whom affidavit may be sworn</w:t>
      </w:r>
      <w:r>
        <w:tab/>
      </w:r>
      <w:r>
        <w:fldChar w:fldCharType="begin"/>
      </w:r>
      <w:r>
        <w:instrText xml:space="preserve"> PAGEREF _Toc202366280 \h </w:instrText>
      </w:r>
      <w:r>
        <w:fldChar w:fldCharType="separate"/>
      </w:r>
      <w:r>
        <w:t>264</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Evidentiary provisions</w:t>
      </w:r>
      <w:r>
        <w:tab/>
      </w:r>
      <w:r>
        <w:fldChar w:fldCharType="begin"/>
      </w:r>
      <w:r>
        <w:instrText xml:space="preserve"> PAGEREF _Toc202366281 \h </w:instrText>
      </w:r>
      <w:r>
        <w:fldChar w:fldCharType="separate"/>
      </w:r>
      <w:r>
        <w:t>264</w:t>
      </w:r>
      <w:r>
        <w:fldChar w:fldCharType="end"/>
      </w:r>
    </w:p>
    <w:p>
      <w:pPr>
        <w:pStyle w:val="TOC8"/>
        <w:rPr>
          <w:rFonts w:asciiTheme="minorHAnsi" w:eastAsiaTheme="minorEastAsia" w:hAnsiTheme="minorHAnsi" w:cstheme="minorBidi"/>
          <w:szCs w:val="22"/>
        </w:rPr>
      </w:pPr>
      <w:r>
        <w:t>162A.</w:t>
      </w:r>
      <w:r>
        <w:tab/>
        <w:t xml:space="preserve">Certain things are not personal property for purposes of </w:t>
      </w:r>
      <w:r>
        <w:rPr>
          <w:i/>
          <w:iCs/>
        </w:rPr>
        <w:t>Personal Property Securities Act 2009</w:t>
      </w:r>
      <w:r>
        <w:t xml:space="preserve"> (Cwlth)</w:t>
      </w:r>
      <w:r>
        <w:tab/>
      </w:r>
      <w:r>
        <w:fldChar w:fldCharType="begin"/>
      </w:r>
      <w:r>
        <w:instrText xml:space="preserve"> PAGEREF _Toc202366282 \h </w:instrText>
      </w:r>
      <w:r>
        <w:fldChar w:fldCharType="separate"/>
      </w:r>
      <w:r>
        <w:t>265</w:t>
      </w:r>
      <w:r>
        <w:fldChar w:fldCharType="end"/>
      </w:r>
    </w:p>
    <w:p>
      <w:pPr>
        <w:pStyle w:val="TOC8"/>
        <w:rPr>
          <w:rFonts w:asciiTheme="minorHAnsi" w:eastAsiaTheme="minorEastAsia" w:hAnsiTheme="minorHAnsi" w:cstheme="minorBidi"/>
          <w:szCs w:val="22"/>
        </w:rPr>
      </w:pPr>
      <w:r>
        <w:t>162B.</w:t>
      </w:r>
      <w:r>
        <w:tab/>
        <w:t>Extension of prescribed period or time</w:t>
      </w:r>
      <w:r>
        <w:tab/>
      </w:r>
      <w:r>
        <w:fldChar w:fldCharType="begin"/>
      </w:r>
      <w:r>
        <w:instrText xml:space="preserve"> PAGEREF _Toc202366283 \h </w:instrText>
      </w:r>
      <w:r>
        <w:fldChar w:fldCharType="separate"/>
      </w:r>
      <w:r>
        <w:t>266</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Regulations</w:t>
      </w:r>
      <w:r>
        <w:tab/>
      </w:r>
      <w:r>
        <w:fldChar w:fldCharType="begin"/>
      </w:r>
      <w:r>
        <w:instrText xml:space="preserve"> PAGEREF _Toc202366284 \h </w:instrText>
      </w:r>
      <w:r>
        <w:fldChar w:fldCharType="separate"/>
      </w:r>
      <w:r>
        <w:t>266</w:t>
      </w:r>
      <w:r>
        <w:fldChar w:fldCharType="end"/>
      </w:r>
    </w:p>
    <w:p>
      <w:pPr>
        <w:pStyle w:val="TOC8"/>
        <w:rPr>
          <w:rFonts w:asciiTheme="minorHAnsi" w:eastAsiaTheme="minorEastAsia" w:hAnsiTheme="minorHAnsi" w:cstheme="minorBidi"/>
          <w:szCs w:val="22"/>
        </w:rPr>
      </w:pPr>
      <w:r>
        <w:t>163.</w:t>
      </w:r>
      <w:r>
        <w:tab/>
        <w:t>Review of Act</w:t>
      </w:r>
      <w:r>
        <w:tab/>
      </w:r>
      <w:r>
        <w:fldChar w:fldCharType="begin"/>
      </w:r>
      <w:r>
        <w:instrText xml:space="preserve"> PAGEREF _Toc202366285 \h </w:instrText>
      </w:r>
      <w:r>
        <w:fldChar w:fldCharType="separate"/>
      </w:r>
      <w:r>
        <w:t>274</w:t>
      </w:r>
      <w:r>
        <w:fldChar w:fldCharType="end"/>
      </w:r>
    </w:p>
    <w:p>
      <w:pPr>
        <w:pStyle w:val="TOC2"/>
        <w:tabs>
          <w:tab w:val="right" w:leader="dot" w:pos="7077"/>
        </w:tabs>
        <w:rPr>
          <w:rFonts w:asciiTheme="minorHAnsi" w:eastAsiaTheme="minorEastAsia" w:hAnsiTheme="minorHAnsi" w:cstheme="minorBidi"/>
          <w:b w:val="0"/>
          <w:sz w:val="22"/>
          <w:szCs w:val="22"/>
        </w:rPr>
      </w:pPr>
      <w:r>
        <w:t>Second Schedule — Transitional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Provisions relating to transition from repealed Act</w:t>
      </w:r>
    </w:p>
    <w:p>
      <w:pPr>
        <w:pStyle w:val="TOC8"/>
        <w:rPr>
          <w:rFonts w:asciiTheme="minorHAnsi" w:eastAsiaTheme="minorEastAsia" w:hAnsiTheme="minorHAnsi" w:cstheme="minorBidi"/>
          <w:szCs w:val="22"/>
        </w:rPr>
      </w:pPr>
      <w:r>
        <w:t>1.</w:t>
      </w:r>
      <w:r>
        <w:tab/>
        <w:t>Continuation of certain temporary reserves and rights of occupancy</w:t>
      </w:r>
      <w:r>
        <w:tab/>
      </w:r>
      <w:r>
        <w:fldChar w:fldCharType="begin"/>
      </w:r>
      <w:r>
        <w:instrText xml:space="preserve"> PAGEREF _Toc202366288 \h </w:instrText>
      </w:r>
      <w:r>
        <w:fldChar w:fldCharType="separate"/>
      </w:r>
      <w:r>
        <w:t>275</w:t>
      </w:r>
      <w:r>
        <w:fldChar w:fldCharType="end"/>
      </w:r>
    </w:p>
    <w:p>
      <w:pPr>
        <w:pStyle w:val="TOC8"/>
        <w:rPr>
          <w:rFonts w:asciiTheme="minorHAnsi" w:eastAsiaTheme="minorEastAsia" w:hAnsiTheme="minorHAnsi" w:cstheme="minorBidi"/>
          <w:szCs w:val="22"/>
        </w:rPr>
      </w:pPr>
      <w:r>
        <w:t>2.</w:t>
      </w:r>
      <w:r>
        <w:tab/>
        <w:t>Certain gold mining leases, coal mining leases and mineral leases to become mining leases</w:t>
      </w:r>
      <w:r>
        <w:tab/>
      </w:r>
      <w:r>
        <w:fldChar w:fldCharType="begin"/>
      </w:r>
      <w:r>
        <w:instrText xml:space="preserve"> PAGEREF _Toc202366289 \h </w:instrText>
      </w:r>
      <w:r>
        <w:fldChar w:fldCharType="separate"/>
      </w:r>
      <w:r>
        <w:t>276</w:t>
      </w:r>
      <w:r>
        <w:fldChar w:fldCharType="end"/>
      </w:r>
    </w:p>
    <w:p>
      <w:pPr>
        <w:pStyle w:val="TOC8"/>
        <w:rPr>
          <w:rFonts w:asciiTheme="minorHAnsi" w:eastAsiaTheme="minorEastAsia" w:hAnsiTheme="minorHAnsi" w:cstheme="minorBidi"/>
          <w:szCs w:val="22"/>
        </w:rPr>
      </w:pPr>
      <w:r>
        <w:t>3.</w:t>
      </w:r>
      <w:r>
        <w:tab/>
        <w:t>Rights conferred on holders of certain mineral claims and dredging claims</w:t>
      </w:r>
      <w:r>
        <w:tab/>
      </w:r>
      <w:r>
        <w:fldChar w:fldCharType="begin"/>
      </w:r>
      <w:r>
        <w:instrText xml:space="preserve"> PAGEREF _Toc202366290 \h </w:instrText>
      </w:r>
      <w:r>
        <w:fldChar w:fldCharType="separate"/>
      </w:r>
      <w:r>
        <w:t>278</w:t>
      </w:r>
      <w:r>
        <w:fldChar w:fldCharType="end"/>
      </w:r>
    </w:p>
    <w:p>
      <w:pPr>
        <w:pStyle w:val="TOC8"/>
        <w:rPr>
          <w:rFonts w:asciiTheme="minorHAnsi" w:eastAsiaTheme="minorEastAsia" w:hAnsiTheme="minorHAnsi" w:cstheme="minorBidi"/>
          <w:szCs w:val="22"/>
        </w:rPr>
      </w:pPr>
      <w:r>
        <w:t>4.</w:t>
      </w:r>
      <w:r>
        <w:tab/>
        <w:t>Rights conferred on holders of certain miners’ homestead leases, residential leases, residence areas, business areas and garden areas</w:t>
      </w:r>
      <w:r>
        <w:tab/>
      </w:r>
      <w:r>
        <w:fldChar w:fldCharType="begin"/>
      </w:r>
      <w:r>
        <w:instrText xml:space="preserve"> PAGEREF _Toc202366291 \h </w:instrText>
      </w:r>
      <w:r>
        <w:fldChar w:fldCharType="separate"/>
      </w:r>
      <w:r>
        <w:t>279</w:t>
      </w:r>
      <w:r>
        <w:fldChar w:fldCharType="end"/>
      </w:r>
    </w:p>
    <w:p>
      <w:pPr>
        <w:pStyle w:val="TOC8"/>
        <w:rPr>
          <w:rFonts w:asciiTheme="minorHAnsi" w:eastAsiaTheme="minorEastAsia" w:hAnsiTheme="minorHAnsi" w:cstheme="minorBidi"/>
          <w:szCs w:val="22"/>
        </w:rPr>
      </w:pPr>
      <w:r>
        <w:t>5.</w:t>
      </w:r>
      <w:r>
        <w:tab/>
        <w:t>Continuation of mining tenements held by virtue of miners’ rights</w:t>
      </w:r>
      <w:r>
        <w:tab/>
      </w:r>
      <w:r>
        <w:fldChar w:fldCharType="begin"/>
      </w:r>
      <w:r>
        <w:instrText xml:space="preserve"> PAGEREF _Toc202366292 \h </w:instrText>
      </w:r>
      <w:r>
        <w:fldChar w:fldCharType="separate"/>
      </w:r>
      <w:r>
        <w:t>280</w:t>
      </w:r>
      <w:r>
        <w:fldChar w:fldCharType="end"/>
      </w:r>
    </w:p>
    <w:p>
      <w:pPr>
        <w:pStyle w:val="TOC8"/>
        <w:rPr>
          <w:rFonts w:asciiTheme="minorHAnsi" w:eastAsiaTheme="minorEastAsia" w:hAnsiTheme="minorHAnsi" w:cstheme="minorBidi"/>
          <w:szCs w:val="22"/>
        </w:rPr>
      </w:pPr>
      <w:r>
        <w:lastRenderedPageBreak/>
        <w:t>6.</w:t>
      </w:r>
      <w:r>
        <w:tab/>
        <w:t>Temporary continuation of certain machinery areas, tailings areas, quarrying areas and water rights</w:t>
      </w:r>
      <w:r>
        <w:tab/>
      </w:r>
      <w:r>
        <w:fldChar w:fldCharType="begin"/>
      </w:r>
      <w:r>
        <w:instrText xml:space="preserve"> PAGEREF _Toc202366293 \h </w:instrText>
      </w:r>
      <w:r>
        <w:fldChar w:fldCharType="separate"/>
      </w:r>
      <w:r>
        <w:t>280</w:t>
      </w:r>
      <w:r>
        <w:fldChar w:fldCharType="end"/>
      </w:r>
    </w:p>
    <w:p>
      <w:pPr>
        <w:pStyle w:val="TOC8"/>
        <w:rPr>
          <w:rFonts w:asciiTheme="minorHAnsi" w:eastAsiaTheme="minorEastAsia" w:hAnsiTheme="minorHAnsi" w:cstheme="minorBidi"/>
          <w:szCs w:val="22"/>
        </w:rPr>
      </w:pPr>
      <w:r>
        <w:t>7.</w:t>
      </w:r>
      <w:r>
        <w:tab/>
        <w:t>Continuation of certain licences</w:t>
      </w:r>
      <w:r>
        <w:tab/>
      </w:r>
      <w:r>
        <w:fldChar w:fldCharType="begin"/>
      </w:r>
      <w:r>
        <w:instrText xml:space="preserve"> PAGEREF _Toc202366294 \h </w:instrText>
      </w:r>
      <w:r>
        <w:fldChar w:fldCharType="separate"/>
      </w:r>
      <w:r>
        <w:t>281</w:t>
      </w:r>
      <w:r>
        <w:fldChar w:fldCharType="end"/>
      </w:r>
    </w:p>
    <w:p>
      <w:pPr>
        <w:pStyle w:val="TOC8"/>
        <w:rPr>
          <w:rFonts w:asciiTheme="minorHAnsi" w:eastAsiaTheme="minorEastAsia" w:hAnsiTheme="minorHAnsi" w:cstheme="minorBidi"/>
          <w:szCs w:val="22"/>
        </w:rPr>
      </w:pPr>
      <w:r>
        <w:t>8.</w:t>
      </w:r>
      <w:r>
        <w:tab/>
        <w:t>Disposal of pending applications for mining tenements</w:t>
      </w:r>
      <w:r>
        <w:tab/>
      </w:r>
      <w:r>
        <w:fldChar w:fldCharType="begin"/>
      </w:r>
      <w:r>
        <w:instrText xml:space="preserve"> PAGEREF _Toc202366295 \h </w:instrText>
      </w:r>
      <w:r>
        <w:fldChar w:fldCharType="separate"/>
      </w:r>
      <w:r>
        <w:t>283</w:t>
      </w:r>
      <w:r>
        <w:fldChar w:fldCharType="end"/>
      </w:r>
    </w:p>
    <w:p>
      <w:pPr>
        <w:pStyle w:val="TOC8"/>
        <w:rPr>
          <w:rFonts w:asciiTheme="minorHAnsi" w:eastAsiaTheme="minorEastAsia" w:hAnsiTheme="minorHAnsi" w:cstheme="minorBidi"/>
          <w:szCs w:val="22"/>
        </w:rPr>
      </w:pPr>
      <w:r>
        <w:t>9.</w:t>
      </w:r>
      <w:r>
        <w:tab/>
        <w:t>Rights of holders of certain prospecting areas</w:t>
      </w:r>
      <w:r>
        <w:tab/>
      </w:r>
      <w:r>
        <w:fldChar w:fldCharType="begin"/>
      </w:r>
      <w:r>
        <w:instrText xml:space="preserve"> PAGEREF _Toc202366296 \h </w:instrText>
      </w:r>
      <w:r>
        <w:fldChar w:fldCharType="separate"/>
      </w:r>
      <w:r>
        <w:t>285</w:t>
      </w:r>
      <w:r>
        <w:fldChar w:fldCharType="end"/>
      </w:r>
    </w:p>
    <w:p>
      <w:pPr>
        <w:pStyle w:val="TOC8"/>
        <w:rPr>
          <w:rFonts w:asciiTheme="minorHAnsi" w:eastAsiaTheme="minorEastAsia" w:hAnsiTheme="minorHAnsi" w:cstheme="minorBidi"/>
          <w:szCs w:val="22"/>
        </w:rPr>
      </w:pPr>
      <w:r>
        <w:t>10.</w:t>
      </w:r>
      <w:r>
        <w:tab/>
        <w:t>Transitional provisions relating to mortgages</w:t>
      </w:r>
      <w:r>
        <w:tab/>
      </w:r>
      <w:r>
        <w:fldChar w:fldCharType="begin"/>
      </w:r>
      <w:r>
        <w:instrText xml:space="preserve"> PAGEREF _Toc202366297 \h </w:instrText>
      </w:r>
      <w:r>
        <w:fldChar w:fldCharType="separate"/>
      </w:r>
      <w:r>
        <w:t>285</w:t>
      </w:r>
      <w:r>
        <w:fldChar w:fldCharType="end"/>
      </w:r>
    </w:p>
    <w:p>
      <w:pPr>
        <w:pStyle w:val="TOC8"/>
        <w:rPr>
          <w:rFonts w:asciiTheme="minorHAnsi" w:eastAsiaTheme="minorEastAsia" w:hAnsiTheme="minorHAnsi" w:cstheme="minorBidi"/>
          <w:szCs w:val="22"/>
        </w:rPr>
      </w:pPr>
      <w:r>
        <w:t>11.</w:t>
      </w:r>
      <w:r>
        <w:tab/>
        <w:t>Officers</w:t>
      </w:r>
      <w:r>
        <w:tab/>
      </w:r>
      <w:r>
        <w:fldChar w:fldCharType="begin"/>
      </w:r>
      <w:r>
        <w:instrText xml:space="preserve"> PAGEREF _Toc202366298 \h </w:instrText>
      </w:r>
      <w:r>
        <w:fldChar w:fldCharType="separate"/>
      </w:r>
      <w:r>
        <w:t>287</w:t>
      </w:r>
      <w:r>
        <w:fldChar w:fldCharType="end"/>
      </w:r>
    </w:p>
    <w:p>
      <w:pPr>
        <w:pStyle w:val="TOC8"/>
        <w:rPr>
          <w:rFonts w:asciiTheme="minorHAnsi" w:eastAsiaTheme="minorEastAsia" w:hAnsiTheme="minorHAnsi" w:cstheme="minorBidi"/>
          <w:szCs w:val="22"/>
        </w:rPr>
      </w:pPr>
      <w:r>
        <w:t>12.</w:t>
      </w:r>
      <w:r>
        <w:tab/>
        <w:t>Warden’s courts and warden’s offices</w:t>
      </w:r>
      <w:r>
        <w:tab/>
      </w:r>
      <w:r>
        <w:fldChar w:fldCharType="begin"/>
      </w:r>
      <w:r>
        <w:instrText xml:space="preserve"> PAGEREF _Toc202366299 \h </w:instrText>
      </w:r>
      <w:r>
        <w:fldChar w:fldCharType="separate"/>
      </w:r>
      <w:r>
        <w:t>287</w:t>
      </w:r>
      <w:r>
        <w:fldChar w:fldCharType="end"/>
      </w:r>
    </w:p>
    <w:p>
      <w:pPr>
        <w:pStyle w:val="TOC8"/>
        <w:rPr>
          <w:rFonts w:asciiTheme="minorHAnsi" w:eastAsiaTheme="minorEastAsia" w:hAnsiTheme="minorHAnsi" w:cstheme="minorBidi"/>
          <w:szCs w:val="22"/>
        </w:rPr>
      </w:pPr>
      <w:r>
        <w:t>13.</w:t>
      </w:r>
      <w:r>
        <w:tab/>
        <w:t>Lodging of certain applications</w:t>
      </w:r>
      <w:r>
        <w:tab/>
      </w:r>
      <w:r>
        <w:fldChar w:fldCharType="begin"/>
      </w:r>
      <w:r>
        <w:instrText xml:space="preserve"> PAGEREF _Toc202366300 \h </w:instrText>
      </w:r>
      <w:r>
        <w:fldChar w:fldCharType="separate"/>
      </w:r>
      <w:r>
        <w:t>287</w:t>
      </w:r>
      <w:r>
        <w:fldChar w:fldCharType="end"/>
      </w:r>
    </w:p>
    <w:p>
      <w:pPr>
        <w:pStyle w:val="TOC8"/>
        <w:rPr>
          <w:rFonts w:asciiTheme="minorHAnsi" w:eastAsiaTheme="minorEastAsia" w:hAnsiTheme="minorHAnsi" w:cstheme="minorBidi"/>
          <w:szCs w:val="22"/>
        </w:rPr>
      </w:pPr>
      <w:r>
        <w:t>13A.</w:t>
      </w:r>
      <w:r>
        <w:tab/>
        <w:t>Consents to follow land</w:t>
      </w:r>
      <w:r>
        <w:tab/>
      </w:r>
      <w:r>
        <w:fldChar w:fldCharType="begin"/>
      </w:r>
      <w:r>
        <w:instrText xml:space="preserve"> PAGEREF _Toc202366301 \h </w:instrText>
      </w:r>
      <w:r>
        <w:fldChar w:fldCharType="separate"/>
      </w:r>
      <w:r>
        <w:t>288</w:t>
      </w:r>
      <w:r>
        <w:fldChar w:fldCharType="end"/>
      </w:r>
    </w:p>
    <w:p>
      <w:pPr>
        <w:pStyle w:val="TOC8"/>
        <w:rPr>
          <w:rFonts w:asciiTheme="minorHAnsi" w:eastAsiaTheme="minorEastAsia" w:hAnsiTheme="minorHAnsi" w:cstheme="minorBidi"/>
          <w:szCs w:val="22"/>
        </w:rPr>
      </w:pPr>
      <w:r>
        <w:t>14.</w:t>
      </w:r>
      <w:r>
        <w:tab/>
        <w:t>References to repealed Act</w:t>
      </w:r>
      <w:r>
        <w:tab/>
      </w:r>
      <w:r>
        <w:fldChar w:fldCharType="begin"/>
      </w:r>
      <w:r>
        <w:instrText xml:space="preserve"> PAGEREF _Toc202366302 \h </w:instrText>
      </w:r>
      <w:r>
        <w:fldChar w:fldCharType="separate"/>
      </w:r>
      <w:r>
        <w:t>288</w:t>
      </w:r>
      <w:r>
        <w:fldChar w:fldCharType="end"/>
      </w:r>
    </w:p>
    <w:p>
      <w:pPr>
        <w:pStyle w:val="TOC8"/>
        <w:rPr>
          <w:rFonts w:asciiTheme="minorHAnsi" w:eastAsiaTheme="minorEastAsia" w:hAnsiTheme="minorHAnsi" w:cstheme="minorBidi"/>
          <w:szCs w:val="22"/>
        </w:rPr>
      </w:pPr>
      <w:r>
        <w:t>15.</w:t>
      </w:r>
      <w:r>
        <w:tab/>
        <w:t>Prevention of anomalies during transitional period</w:t>
      </w:r>
      <w:r>
        <w:tab/>
      </w:r>
      <w:r>
        <w:fldChar w:fldCharType="begin"/>
      </w:r>
      <w:r>
        <w:instrText xml:space="preserve"> PAGEREF _Toc202366303 \h </w:instrText>
      </w:r>
      <w:r>
        <w:fldChar w:fldCharType="separate"/>
      </w:r>
      <w:r>
        <w:t>289</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relating to </w:t>
      </w:r>
      <w:r>
        <w:rPr>
          <w:i/>
        </w:rPr>
        <w:t>Mining Amendment Act 2012</w:t>
      </w:r>
    </w:p>
    <w:p>
      <w:pPr>
        <w:pStyle w:val="TOC8"/>
        <w:rPr>
          <w:rFonts w:asciiTheme="minorHAnsi" w:eastAsiaTheme="minorEastAsia" w:hAnsiTheme="minorHAnsi" w:cstheme="minorBidi"/>
          <w:szCs w:val="22"/>
        </w:rPr>
      </w:pPr>
      <w:r>
        <w:t>16.</w:t>
      </w:r>
      <w:r>
        <w:tab/>
        <w:t>Miner’s rights</w:t>
      </w:r>
      <w:r>
        <w:tab/>
      </w:r>
      <w:r>
        <w:fldChar w:fldCharType="begin"/>
      </w:r>
      <w:r>
        <w:instrText xml:space="preserve"> PAGEREF _Toc202366305 \h </w:instrText>
      </w:r>
      <w:r>
        <w:fldChar w:fldCharType="separate"/>
      </w:r>
      <w:r>
        <w:t>289</w:t>
      </w:r>
      <w:r>
        <w:fldChar w:fldCharType="end"/>
      </w:r>
    </w:p>
    <w:p>
      <w:pPr>
        <w:pStyle w:val="TOC8"/>
        <w:rPr>
          <w:rFonts w:asciiTheme="minorHAnsi" w:eastAsiaTheme="minorEastAsia" w:hAnsiTheme="minorHAnsi" w:cstheme="minorBidi"/>
          <w:szCs w:val="22"/>
        </w:rPr>
      </w:pPr>
      <w:r>
        <w:t>17.</w:t>
      </w:r>
      <w:r>
        <w:tab/>
        <w:t>Surrender requirements</w:t>
      </w:r>
      <w:r>
        <w:tab/>
      </w:r>
      <w:r>
        <w:fldChar w:fldCharType="begin"/>
      </w:r>
      <w:r>
        <w:instrText xml:space="preserve"> PAGEREF _Toc202366306 \h </w:instrText>
      </w:r>
      <w:r>
        <w:fldChar w:fldCharType="separate"/>
      </w:r>
      <w:r>
        <w:t>289</w:t>
      </w:r>
      <w:r>
        <w:fldChar w:fldCharType="end"/>
      </w:r>
    </w:p>
    <w:p>
      <w:pPr>
        <w:pStyle w:val="TOC8"/>
        <w:rPr>
          <w:rFonts w:asciiTheme="minorHAnsi" w:eastAsiaTheme="minorEastAsia" w:hAnsiTheme="minorHAnsi" w:cstheme="minorBidi"/>
          <w:szCs w:val="22"/>
        </w:rPr>
      </w:pPr>
      <w:r>
        <w:t>18.</w:t>
      </w:r>
      <w:r>
        <w:tab/>
        <w:t>Commonwealth land</w:t>
      </w:r>
      <w:r>
        <w:tab/>
      </w:r>
      <w:r>
        <w:fldChar w:fldCharType="begin"/>
      </w:r>
      <w:r>
        <w:instrText xml:space="preserve"> PAGEREF _Toc202366307 \h </w:instrText>
      </w:r>
      <w:r>
        <w:fldChar w:fldCharType="separate"/>
      </w:r>
      <w:r>
        <w:t>290</w:t>
      </w:r>
      <w:r>
        <w:fldChar w:fldCharType="end"/>
      </w:r>
    </w:p>
    <w:p>
      <w:pPr>
        <w:pStyle w:val="TOC8"/>
        <w:rPr>
          <w:rFonts w:asciiTheme="minorHAnsi" w:eastAsiaTheme="minorEastAsia" w:hAnsiTheme="minorHAnsi" w:cstheme="minorBidi"/>
          <w:szCs w:val="22"/>
        </w:rPr>
      </w:pPr>
      <w:r>
        <w:t>19.</w:t>
      </w:r>
      <w:r>
        <w:tab/>
        <w:t>Time limit for prosecution action</w:t>
      </w:r>
      <w:r>
        <w:tab/>
      </w:r>
      <w:r>
        <w:fldChar w:fldCharType="begin"/>
      </w:r>
      <w:r>
        <w:instrText xml:space="preserve"> PAGEREF _Toc202366308 \h </w:instrText>
      </w:r>
      <w:r>
        <w:fldChar w:fldCharType="separate"/>
      </w:r>
      <w:r>
        <w:t>290</w:t>
      </w:r>
      <w:r>
        <w:fldChar w:fldCharType="end"/>
      </w:r>
    </w:p>
    <w:p>
      <w:pPr>
        <w:pStyle w:val="TOC2"/>
        <w:tabs>
          <w:tab w:val="right" w:leader="dot" w:pos="7077"/>
        </w:tabs>
        <w:rPr>
          <w:rFonts w:asciiTheme="minorHAnsi" w:eastAsiaTheme="minorEastAsia" w:hAnsiTheme="minorHAnsi" w:cstheme="minorBidi"/>
          <w:b w:val="0"/>
          <w:sz w:val="22"/>
          <w:szCs w:val="22"/>
        </w:rPr>
      </w:pPr>
      <w:r>
        <w:t>Third Schedule — Private land not open for mining</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_Toc202366311 \h </w:instrText>
      </w:r>
      <w:r>
        <w:fldChar w:fldCharType="separate"/>
      </w:r>
      <w:r>
        <w:t>293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_Toc202366312 \h </w:instrText>
      </w:r>
      <w:r>
        <w:fldChar w:fldCharType="separate"/>
      </w:r>
      <w:r>
        <w:t>301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_Toc202366313 \h </w:instrText>
      </w:r>
      <w:r>
        <w:fldChar w:fldCharType="separate"/>
      </w:r>
      <w:r>
        <w:t>302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after="720"/>
      </w:pPr>
      <w:r>
        <w:t>Mining Act 1978</w:t>
      </w:r>
    </w:p>
    <w:p>
      <w:pPr>
        <w:pStyle w:val="LongTitle"/>
        <w:spacing w:before="480"/>
        <w:rPr>
          <w:snapToGrid w:val="0"/>
        </w:rPr>
      </w:pPr>
      <w:r>
        <w:rPr>
          <w:snapToGrid w:val="0"/>
        </w:rPr>
        <w:t>An Act to consolidate and amend the law relating to mining and for incidental and other purposes.</w:t>
      </w:r>
    </w:p>
    <w:p>
      <w:pPr>
        <w:pStyle w:val="Heading2"/>
      </w:pPr>
      <w:bookmarkStart w:id="2" w:name="_Toc202186559"/>
      <w:bookmarkStart w:id="3" w:name="_Toc202366015"/>
      <w:r>
        <w:rPr>
          <w:rStyle w:val="CharPartNo"/>
        </w:rPr>
        <w:lastRenderedPageBreak/>
        <w:t>Part I</w:t>
      </w:r>
      <w:r>
        <w:rPr>
          <w:rStyle w:val="CharDivNo"/>
        </w:rPr>
        <w:t> </w:t>
      </w:r>
      <w:r>
        <w:t>—</w:t>
      </w:r>
      <w:r>
        <w:rPr>
          <w:rStyle w:val="CharDivText"/>
        </w:rPr>
        <w:t> </w:t>
      </w:r>
      <w:r>
        <w:rPr>
          <w:rStyle w:val="CharPartText"/>
        </w:rPr>
        <w:t>Preliminary</w:t>
      </w:r>
      <w:bookmarkEnd w:id="2"/>
      <w:bookmarkEnd w:id="3"/>
    </w:p>
    <w:p>
      <w:pPr>
        <w:pStyle w:val="Heading5"/>
        <w:rPr>
          <w:snapToGrid w:val="0"/>
        </w:rPr>
      </w:pPr>
      <w:bookmarkStart w:id="4" w:name="_Toc202366016"/>
      <w:r>
        <w:rPr>
          <w:rStyle w:val="CharSectno"/>
        </w:rPr>
        <w:t>1</w:t>
      </w:r>
      <w:r>
        <w:rPr>
          <w:snapToGrid w:val="0"/>
        </w:rPr>
        <w:t>.</w:t>
      </w:r>
      <w:r>
        <w:rPr>
          <w:snapToGrid w:val="0"/>
        </w:rPr>
        <w:tab/>
        <w:t>Short title</w:t>
      </w:r>
      <w:bookmarkEnd w:id="4"/>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rPr>
        <w:t>.</w:t>
      </w:r>
    </w:p>
    <w:p>
      <w:pPr>
        <w:pStyle w:val="Heading5"/>
        <w:rPr>
          <w:snapToGrid w:val="0"/>
        </w:rPr>
      </w:pPr>
      <w:bookmarkStart w:id="5" w:name="_Toc202366017"/>
      <w:r>
        <w:rPr>
          <w:rStyle w:val="CharSectno"/>
        </w:rPr>
        <w:t>2</w:t>
      </w:r>
      <w:r>
        <w:rPr>
          <w:snapToGrid w:val="0"/>
        </w:rPr>
        <w:t>.</w:t>
      </w:r>
      <w:r>
        <w:rPr>
          <w:snapToGrid w:val="0"/>
        </w:rPr>
        <w:tab/>
        <w:t>Commencement</w:t>
      </w:r>
      <w:bookmarkEnd w:id="5"/>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p>
    <w:p>
      <w:pPr>
        <w:pStyle w:val="Subsection"/>
        <w:rPr>
          <w:snapToGrid w:val="0"/>
        </w:rPr>
      </w:pPr>
      <w:r>
        <w:rPr>
          <w:snapToGrid w:val="0"/>
        </w:rPr>
        <w:tab/>
        <w:t>(2)</w:t>
      </w:r>
      <w:r>
        <w:rPr>
          <w:snapToGrid w:val="0"/>
        </w:rPr>
        <w:tab/>
        <w:t>The remaining provisions of this Act shall come into operation on a date to be fixed by proclamation.</w:t>
      </w:r>
    </w:p>
    <w:p>
      <w:pPr>
        <w:pStyle w:val="Ednotesection"/>
        <w:ind w:left="890" w:hanging="890"/>
      </w:pPr>
      <w:r>
        <w:t>[</w:t>
      </w:r>
      <w:r>
        <w:rPr>
          <w:b/>
        </w:rPr>
        <w:t>3.</w:t>
      </w:r>
      <w:r>
        <w:tab/>
        <w:t>Omitted under Reprints Act 1984 s. 7(4)(f).]</w:t>
      </w:r>
    </w:p>
    <w:p>
      <w:pPr>
        <w:pStyle w:val="Heading5"/>
        <w:rPr>
          <w:snapToGrid w:val="0"/>
        </w:rPr>
      </w:pPr>
      <w:bookmarkStart w:id="6" w:name="_Toc202366018"/>
      <w:r>
        <w:rPr>
          <w:snapToGrid w:val="0"/>
        </w:rPr>
        <w:t>4.</w:t>
      </w:r>
      <w:r>
        <w:rPr>
          <w:snapToGrid w:val="0"/>
        </w:rPr>
        <w:tab/>
        <w:t>Transitional provisions</w:t>
      </w:r>
      <w:bookmarkEnd w:id="6"/>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w:t>
      </w:r>
    </w:p>
    <w:p>
      <w:pPr>
        <w:pStyle w:val="Indenta"/>
        <w:tabs>
          <w:tab w:val="left" w:pos="2694"/>
        </w:tabs>
        <w:rPr>
          <w:snapToGrid w:val="0"/>
        </w:rPr>
      </w:pPr>
      <w:r>
        <w:rPr>
          <w:snapToGrid w:val="0"/>
        </w:rPr>
        <w:tab/>
        <w:t>(a)</w:t>
      </w:r>
      <w:r>
        <w:rPr>
          <w:snapToGrid w:val="0"/>
        </w:rPr>
        <w:tab/>
        <w:t xml:space="preserve">in so far as that Act applies, the </w:t>
      </w:r>
      <w:r>
        <w:rPr>
          <w:i/>
          <w:snapToGrid w:val="0"/>
        </w:rPr>
        <w:t>Interpretation Act 1918</w:t>
      </w:r>
      <w:r>
        <w:rPr>
          <w:snapToGrid w:val="0"/>
          <w:vertAlign w:val="superscript"/>
        </w:rPr>
        <w:t> 1</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[Section 4 inserted: No. 100 of 1985 s. 3.]</w:t>
      </w:r>
    </w:p>
    <w:p>
      <w:pPr>
        <w:pStyle w:val="Heading5"/>
        <w:rPr>
          <w:snapToGrid w:val="0"/>
        </w:rPr>
      </w:pPr>
      <w:bookmarkStart w:id="7" w:name="_Toc202366019"/>
      <w:r>
        <w:rPr>
          <w:snapToGrid w:val="0"/>
        </w:rPr>
        <w:t>5.</w:t>
      </w:r>
      <w:r>
        <w:rPr>
          <w:snapToGrid w:val="0"/>
        </w:rPr>
        <w:tab/>
        <w:t>Saving</w:t>
      </w:r>
      <w:bookmarkEnd w:id="7"/>
    </w:p>
    <w:p>
      <w:pPr>
        <w:pStyle w:val="Subsection"/>
        <w:rPr>
          <w:snapToGrid w:val="0"/>
        </w:rPr>
      </w:pPr>
      <w:r>
        <w:rPr>
          <w:snapToGrid w:val="0"/>
        </w:rPr>
        <w:tab/>
        <w:t>(1)</w:t>
      </w:r>
      <w:r>
        <w:rPr>
          <w:snapToGrid w:val="0"/>
        </w:rPr>
        <w:tab/>
        <w:t xml:space="preserve">Nothing in this Act shall affect the provisions of any Act in force on the commencing date that approves or ratifies any agreement to which the State is a party and under which a party </w:t>
      </w:r>
      <w:r>
        <w:rPr>
          <w:snapToGrid w:val="0"/>
        </w:rPr>
        <w:lastRenderedPageBreak/>
        <w:t>to the agreement is authorised or required to carry out any mining operations pursuant to the agreement.</w:t>
      </w:r>
    </w:p>
    <w:p>
      <w:pPr>
        <w:pStyle w:val="Subsection"/>
        <w:rPr>
          <w:snapToGrid w:val="0"/>
        </w:rPr>
      </w:pPr>
      <w:r>
        <w:rPr>
          <w:snapToGrid w:val="0"/>
        </w:rPr>
        <w:tab/>
        <w:t>(2)</w:t>
      </w:r>
      <w:r>
        <w:rPr>
          <w:snapToGrid w:val="0"/>
        </w:rPr>
        <w:tab/>
        <w:t xml:space="preserve">Notwithstanding anything in the Second </w:t>
      </w:r>
      <w:r>
        <w:t xml:space="preserve">Schedule Division 1, </w:t>
      </w:r>
      <w:r>
        <w:rPr>
          <w:snapToGrid w:val="0"/>
        </w:rPr>
        <w:t>a party to an agreement referred to in subsection (1)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[Section 5 amended: No. 69 of 1981 s. 5; No. 51 of 2012 s. 4.]</w:t>
      </w:r>
    </w:p>
    <w:p>
      <w:pPr>
        <w:pStyle w:val="Heading5"/>
        <w:rPr>
          <w:snapToGrid w:val="0"/>
        </w:rPr>
      </w:pPr>
      <w:bookmarkStart w:id="8" w:name="_Toc202366020"/>
      <w:r>
        <w:rPr>
          <w:rStyle w:val="CharSectno"/>
        </w:rPr>
        <w:t>6</w:t>
      </w:r>
      <w:r>
        <w:rPr>
          <w:snapToGrid w:val="0"/>
        </w:rPr>
        <w:t>.</w:t>
      </w:r>
      <w:r>
        <w:rPr>
          <w:snapToGrid w:val="0"/>
        </w:rPr>
        <w:tab/>
        <w:t>Operation of this Act</w:t>
      </w:r>
      <w:bookmarkEnd w:id="8"/>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in the case of an application for a mining lease accompanied by the documentation referred to in section 74(1)(ca)(ii) —</w:t>
      </w:r>
    </w:p>
    <w:p>
      <w:pPr>
        <w:pStyle w:val="Indenta"/>
      </w:pPr>
      <w:r>
        <w:tab/>
        <w:t>(a)</w:t>
      </w:r>
      <w:r>
        <w:tab/>
        <w:t>only the applicant can refer a proposal to which the application relates under section 38(1) of that Act; and</w:t>
      </w:r>
    </w:p>
    <w:p>
      <w:pPr>
        <w:pStyle w:val="Indenta"/>
      </w:pPr>
      <w:r>
        <w:lastRenderedPageBreak/>
        <w:tab/>
        <w:t>(b)</w:t>
      </w:r>
      <w:r>
        <w:tab/>
        <w:t>section 38(4) of that Act does not apply to such a proposal.</w:t>
      </w:r>
    </w:p>
    <w:p>
      <w:pPr>
        <w:pStyle w:val="Subsection"/>
      </w:pPr>
      <w:r>
        <w:tab/>
        <w:t>(1b)</w:t>
      </w:r>
      <w:r>
        <w:tab/>
        <w:t>In subsection (1a) —</w:t>
      </w:r>
    </w:p>
    <w:p>
      <w:pPr>
        <w:pStyle w:val="Defstart"/>
      </w:pPr>
      <w:r>
        <w:rPr>
          <w:b/>
        </w:rPr>
        <w:tab/>
      </w:r>
      <w:r>
        <w:rPr>
          <w:rStyle w:val="CharDefText"/>
        </w:rPr>
        <w:t>proposal</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or 38A of the </w:t>
      </w:r>
      <w:r>
        <w:rPr>
          <w:i/>
        </w:rPr>
        <w:t xml:space="preserve">Environmental Protection Act 1986 </w:t>
      </w:r>
      <w:r>
        <w:t>to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w:t>
      </w:r>
    </w:p>
    <w:p>
      <w:pPr>
        <w:pStyle w:val="Indenta"/>
        <w:rPr>
          <w:snapToGrid w:val="0"/>
        </w:rPr>
      </w:pPr>
      <w:r>
        <w:rPr>
          <w:snapToGrid w:val="0"/>
        </w:rPr>
        <w:tab/>
        <w:t>(a)</w:t>
      </w:r>
      <w:r>
        <w:rPr>
          <w:snapToGrid w:val="0"/>
        </w:rPr>
        <w:tab/>
        <w:t>a local government is not required to hold a mining tenement to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if a local government leases local government property to another person, that person is not required to hold a mining tenement to remove from that land, rock, stone, </w:t>
      </w:r>
      <w:r>
        <w:rPr>
          <w:snapToGrid w:val="0"/>
        </w:rPr>
        <w:lastRenderedPageBreak/>
        <w:t>clay, sand or gravel for use in the construction of local government facilities, unless the Minister requires that person to hold a tenement.</w:t>
      </w:r>
    </w:p>
    <w:p>
      <w:pPr>
        <w:pStyle w:val="Subsection"/>
      </w:pPr>
      <w:r>
        <w:tab/>
        <w:t>(3)</w:t>
      </w:r>
      <w:r>
        <w:tab/>
        <w:t xml:space="preserve">Whenever a provision of the </w:t>
      </w:r>
      <w:r>
        <w:rPr>
          <w:i/>
        </w:rPr>
        <w:t>Contaminated Sites Act </w:t>
      </w:r>
      <w:r>
        <w:rPr>
          <w:i/>
          <w:iCs/>
        </w:rPr>
        <w:t>2003</w:t>
      </w:r>
      <w:r>
        <w:t xml:space="preserve"> is inconsistent with a provision of this Act or a mining tenement, the provision of the </w:t>
      </w:r>
      <w:r>
        <w:rPr>
          <w:i/>
        </w:rPr>
        <w:t>Contaminated Sites Act </w:t>
      </w:r>
      <w:r>
        <w:rPr>
          <w:i/>
          <w:iCs/>
        </w:rPr>
        <w:t>2003</w:t>
      </w:r>
      <w:r>
        <w:t xml:space="preserve"> prevails.</w:t>
      </w:r>
    </w:p>
    <w:p>
      <w:pPr>
        <w:pStyle w:val="Subsection"/>
      </w:pPr>
      <w:r>
        <w:tab/>
        <w:t>(4)</w:t>
      </w:r>
      <w:r>
        <w:tab/>
        <w:t xml:space="preserve">The operation of this Act is subject to the </w:t>
      </w:r>
      <w:r>
        <w:rPr>
          <w:i/>
        </w:rPr>
        <w:t>Alumina Refinery (Mitchell Plateau) Agreement Act 1971</w:t>
      </w:r>
      <w:r>
        <w:t xml:space="preserve"> sections 5B and 5C.</w:t>
      </w:r>
    </w:p>
    <w:p>
      <w:pPr>
        <w:pStyle w:val="Footnotesection"/>
        <w:keepLines w:val="0"/>
        <w:ind w:left="890" w:hanging="890"/>
      </w:pPr>
      <w:r>
        <w:tab/>
        <w:t>[Section 6 amended: No. 100 of 1985 s. 4; No. 77 of 1986 s. 8; No. 14 of 1996 s. 4; No. 39 of 2004 s. 26; No. 12 of 2010 s. 4; No. 31 of 2015 s. 9; No. 40 of 2020 s. 116(2).]</w:t>
      </w:r>
    </w:p>
    <w:p>
      <w:pPr>
        <w:pStyle w:val="Ednotesection"/>
        <w:spacing w:before="200"/>
        <w:ind w:left="890" w:hanging="890"/>
      </w:pPr>
      <w:r>
        <w:t>[</w:t>
      </w:r>
      <w:r>
        <w:rPr>
          <w:b/>
        </w:rPr>
        <w:t>7.</w:t>
      </w:r>
      <w:r>
        <w:tab/>
        <w:t>Deleted: No. 122 of 1982 s. 4.]</w:t>
      </w:r>
    </w:p>
    <w:p>
      <w:pPr>
        <w:pStyle w:val="Heading5"/>
        <w:rPr>
          <w:snapToGrid w:val="0"/>
        </w:rPr>
      </w:pPr>
      <w:bookmarkStart w:id="9" w:name="_Toc202366021"/>
      <w:r>
        <w:rPr>
          <w:rStyle w:val="CharSectno"/>
        </w:rPr>
        <w:t>8</w:t>
      </w:r>
      <w:r>
        <w:rPr>
          <w:snapToGrid w:val="0"/>
        </w:rPr>
        <w:t>.</w:t>
      </w:r>
      <w:r>
        <w:rPr>
          <w:snapToGrid w:val="0"/>
        </w:rPr>
        <w:tab/>
        <w:t>Terms used</w:t>
      </w:r>
      <w:bookmarkEnd w:id="9"/>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agricultural</w:t>
      </w:r>
      <w:r>
        <w:t xml:space="preserve"> used in relation to the purposes for which land is occupied, includes cropping or pasturing purposes;</w:t>
      </w:r>
    </w:p>
    <w:p>
      <w:pPr>
        <w:pStyle w:val="Defstart"/>
      </w:pPr>
      <w:r>
        <w:rPr>
          <w:b/>
        </w:rPr>
        <w:tab/>
      </w:r>
      <w:r>
        <w:rPr>
          <w:rStyle w:val="CharDefText"/>
        </w:rPr>
        <w:t>burial ground</w:t>
      </w:r>
      <w:r>
        <w:t xml:space="preserve"> means an area of land reserved or demarcated exclusively for the purpose of burials;</w:t>
      </w:r>
    </w:p>
    <w:p>
      <w:pPr>
        <w:pStyle w:val="Defstart"/>
      </w:pPr>
      <w:r>
        <w:rPr>
          <w:b/>
        </w:rPr>
        <w:tab/>
      </w:r>
      <w:r>
        <w:rPr>
          <w:rStyle w:val="CharDefText"/>
        </w:rPr>
        <w:t>commencing date</w:t>
      </w:r>
      <w:r>
        <w:t xml:space="preserve"> means the date of the coming into operation of the provisions of this Act referred to in section 2(2);</w:t>
      </w:r>
    </w:p>
    <w:p>
      <w:pPr>
        <w:pStyle w:val="Defstart"/>
      </w:pPr>
      <w:r>
        <w:tab/>
      </w:r>
      <w:r>
        <w:rPr>
          <w:rStyle w:val="CharDefText"/>
        </w:rPr>
        <w:t>Commonwealth land</w:t>
      </w:r>
      <w:r>
        <w:t xml:space="preserve"> means —  </w:t>
      </w:r>
    </w:p>
    <w:p>
      <w:pPr>
        <w:pStyle w:val="Defpara"/>
      </w:pPr>
      <w:r>
        <w:tab/>
        <w:t>(a)</w:t>
      </w:r>
      <w:r>
        <w:tab/>
        <w:t>land in respect of which the Commonwealth holds a freehold or leasehold interest; or</w:t>
      </w:r>
    </w:p>
    <w:p>
      <w:pPr>
        <w:pStyle w:val="Defpara"/>
      </w:pPr>
      <w:r>
        <w:tab/>
        <w:t>(b)</w:t>
      </w:r>
      <w:r>
        <w:tab/>
        <w:t xml:space="preserve">land that is otherwise vested in or held by the Commonwealth or vested in or held by an officer or person on behalf of the Commonwealth; </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keepNext/>
      </w:pPr>
      <w:r>
        <w:rPr>
          <w:b/>
        </w:rPr>
        <w:lastRenderedPageBreak/>
        <w:tab/>
      </w:r>
      <w:r>
        <w:rPr>
          <w:rStyle w:val="CharDefText"/>
        </w:rPr>
        <w:t>Crown land</w:t>
      </w:r>
      <w:r>
        <w:t xml:space="preserve"> means all land except —</w:t>
      </w:r>
    </w:p>
    <w:p>
      <w:pPr>
        <w:pStyle w:val="Defpara"/>
        <w:keepNext/>
      </w:pPr>
      <w:r>
        <w:tab/>
        <w:t>(a)</w:t>
      </w:r>
      <w:r>
        <w:tab/>
        <w:t>land that has been reserved for or dedicated to any public purpose other than —</w:t>
      </w:r>
    </w:p>
    <w:p>
      <w:pPr>
        <w:pStyle w:val="Defsubpara"/>
      </w:pPr>
      <w:r>
        <w:tab/>
        <w:t>(i)</w:t>
      </w:r>
      <w:r>
        <w:tab/>
        <w:t>land reserved for mining or commons;</w:t>
      </w:r>
    </w:p>
    <w:p>
      <w:pPr>
        <w:pStyle w:val="Defsubpara"/>
      </w:pPr>
      <w:r>
        <w:tab/>
        <w:t>(ii)</w:t>
      </w:r>
      <w:r>
        <w:tab/>
        <w:t xml:space="preserve">land reserved and designated for public utility for any purpose under the </w:t>
      </w:r>
      <w:r>
        <w:rPr>
          <w:i/>
        </w:rPr>
        <w:t>Land Administration Act 1997</w:t>
      </w:r>
      <w:r>
        <w:t>;</w:t>
      </w:r>
    </w:p>
    <w:p>
      <w:pPr>
        <w:pStyle w:val="Defpara"/>
      </w:pPr>
      <w:r>
        <w:tab/>
        <w:t>(b)</w:t>
      </w:r>
      <w:r>
        <w:tab/>
        <w:t>land that has been lawfully granted or contracted to be granted in fee simple by or on behalf of the Crown;</w:t>
      </w:r>
    </w:p>
    <w:p>
      <w:pPr>
        <w:pStyle w:val="Defpara"/>
        <w:keepNext/>
      </w:pPr>
      <w:r>
        <w:tab/>
        <w:t>(c)</w:t>
      </w:r>
      <w:r>
        <w:tab/>
        <w:t>land that is subject to any lease granted by or on behalf of the Crown other than —</w:t>
      </w:r>
    </w:p>
    <w:p>
      <w:pPr>
        <w:pStyle w:val="Defsubpara"/>
      </w:pPr>
      <w:r>
        <w:tab/>
        <w:t>(i)</w:t>
      </w:r>
      <w:r>
        <w:tab/>
        <w:t>a pastoral lease or a lease otherwise granted for grazing purposes only; or</w:t>
      </w:r>
    </w:p>
    <w:p>
      <w:pPr>
        <w:pStyle w:val="Defsubpara"/>
      </w:pPr>
      <w:r>
        <w:tab/>
        <w:t>(ia)</w:t>
      </w:r>
      <w:r>
        <w:tab/>
        <w:t>a diversification lease; or</w:t>
      </w:r>
    </w:p>
    <w:p>
      <w:pPr>
        <w:pStyle w:val="Defsubpara"/>
      </w:pPr>
      <w:r>
        <w:tab/>
        <w:t>(ii)</w:t>
      </w:r>
      <w:r>
        <w:tab/>
        <w:t>a lease for timber purposes; or</w:t>
      </w:r>
    </w:p>
    <w:p>
      <w:pPr>
        <w:pStyle w:val="Defsubpara"/>
      </w:pPr>
      <w:r>
        <w:tab/>
        <w:t>(iii)</w:t>
      </w:r>
      <w: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r>
      <w:r>
        <w:rPr>
          <w:rStyle w:val="CharDefText"/>
        </w:rPr>
        <w:t>dam</w:t>
      </w:r>
      <w:r>
        <w:t xml:space="preserve"> means any accumulation or storage of water, whether natural or artificial;</w:t>
      </w:r>
    </w:p>
    <w:p>
      <w:pPr>
        <w:pStyle w:val="Defstart"/>
      </w:pPr>
      <w:r>
        <w:rPr>
          <w:b/>
        </w:rPr>
        <w:tab/>
      </w:r>
      <w:r>
        <w:rPr>
          <w:rStyle w:val="CharDefText"/>
        </w:rPr>
        <w:t>damage</w:t>
      </w:r>
      <w:r>
        <w:t>, in relation to agricultural land, includes the disturbance of stock and any proper cost reasonably incurred for the purpose of rectifying that disturbance;</w:t>
      </w:r>
    </w:p>
    <w:p>
      <w:pPr>
        <w:pStyle w:val="Defstart"/>
      </w:pPr>
      <w:r>
        <w:tab/>
      </w:r>
      <w:r>
        <w:rPr>
          <w:rStyle w:val="CharDefText"/>
        </w:rPr>
        <w:t>dealing</w:t>
      </w:r>
      <w:r>
        <w:t xml:space="preserve"> means a transfer or mortgage of a legal interest in a mining tenement;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tab/>
      </w:r>
      <w:r>
        <w:rPr>
          <w:rStyle w:val="CharDefText"/>
        </w:rPr>
        <w:t>designated tenement contact (DTC)</w:t>
      </w:r>
      <w:r>
        <w:t xml:space="preserve">, in respect of a mining tenement, or an application for a mining tenement, means the person who is, or the persons who are, in accordance with the </w:t>
      </w:r>
      <w:r>
        <w:lastRenderedPageBreak/>
        <w:t>regulations, the designated tenement contact for the mining tenement or application;</w:t>
      </w:r>
    </w:p>
    <w:p>
      <w:pPr>
        <w:pStyle w:val="Defstart"/>
      </w:pPr>
      <w:r>
        <w:tab/>
      </w:r>
      <w:r>
        <w:rPr>
          <w:rStyle w:val="CharDefText"/>
        </w:rPr>
        <w:t>Director General of Mines</w:t>
      </w:r>
      <w:r>
        <w:t xml:space="preserve"> means the person for the time being holding or acting in the office of chief executive officer of the Department;</w:t>
      </w:r>
    </w:p>
    <w:p>
      <w:pPr>
        <w:pStyle w:val="Defstart"/>
      </w:pPr>
      <w:r>
        <w:rPr>
          <w:b/>
        </w:rPr>
        <w:tab/>
      </w:r>
      <w:r>
        <w:rPr>
          <w:rStyle w:val="CharDefText"/>
        </w:rPr>
        <w:t>Director, Geological Survey</w:t>
      </w:r>
      <w:r>
        <w:t xml:space="preserve"> means the person for the time being holding or acting in the office of Director, Geological Survey in the Department;</w:t>
      </w:r>
    </w:p>
    <w:p>
      <w:pPr>
        <w:pStyle w:val="Defstart"/>
        <w:rPr>
          <w:b/>
        </w:rPr>
      </w:pPr>
      <w:r>
        <w:tab/>
      </w:r>
      <w:r>
        <w:rPr>
          <w:rStyle w:val="CharDefText"/>
        </w:rPr>
        <w:t>diversification lease</w:t>
      </w:r>
      <w:r>
        <w:t xml:space="preserve"> has the meaning given in the </w:t>
      </w:r>
      <w:r>
        <w:rPr>
          <w:i/>
        </w:rPr>
        <w:t xml:space="preserve">Land Administration Act 1997 </w:t>
      </w:r>
      <w:r>
        <w:t>section 92B(1);</w:t>
      </w:r>
    </w:p>
    <w:p>
      <w:pPr>
        <w:pStyle w:val="Defstart"/>
      </w:pPr>
      <w:r>
        <w:tab/>
      </w:r>
      <w:r>
        <w:rPr>
          <w:rStyle w:val="CharDefText"/>
        </w:rPr>
        <w:t>expenditure conditions</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r>
      <w:r>
        <w:rPr>
          <w:rStyle w:val="CharDefText"/>
        </w:rPr>
        <w:t>fossick</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r>
      <w:r>
        <w:rPr>
          <w:rStyle w:val="CharDefText"/>
        </w:rPr>
        <w:t>geological sample</w:t>
      </w:r>
      <w:r>
        <w:t xml:space="preserve"> includes a drill core;</w:t>
      </w:r>
    </w:p>
    <w:p>
      <w:pPr>
        <w:pStyle w:val="Defstart"/>
      </w:pPr>
      <w:r>
        <w:rPr>
          <w:b/>
        </w:rPr>
        <w:tab/>
      </w:r>
      <w:r>
        <w:rPr>
          <w:rStyle w:val="CharDefText"/>
        </w:rPr>
        <w:t>ground disturbing equipment</w:t>
      </w:r>
      <w:r>
        <w:t xml:space="preserve"> means —</w:t>
      </w:r>
    </w:p>
    <w:p>
      <w:pPr>
        <w:pStyle w:val="Defpara"/>
      </w:pPr>
      <w:r>
        <w:tab/>
        <w:t>(a)</w:t>
      </w:r>
      <w:r>
        <w:tab/>
        <w:t>mechanical drilling equipment; or</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r>
      <w:r>
        <w:rPr>
          <w:rStyle w:val="CharDefText"/>
        </w:rPr>
        <w:t>identified mineral resource</w:t>
      </w:r>
      <w:r>
        <w:t xml:space="preserve"> means a deposit of minerals identified in the prescribed manner;</w:t>
      </w:r>
    </w:p>
    <w:p>
      <w:pPr>
        <w:pStyle w:val="Defstart"/>
      </w:pPr>
      <w:r>
        <w:tab/>
      </w:r>
      <w:r>
        <w:rPr>
          <w:rStyle w:val="CharDefText"/>
        </w:rPr>
        <w:t>LAA Minister</w:t>
      </w:r>
      <w:r>
        <w:t xml:space="preserve"> means the Minister to whom the administration of the </w:t>
      </w:r>
      <w:r>
        <w:rPr>
          <w:i/>
          <w:iCs/>
        </w:rPr>
        <w:t>Land Administration Act 1997</w:t>
      </w:r>
      <w:r>
        <w:t xml:space="preserve"> is for the time being committed by the Governor;</w:t>
      </w:r>
    </w:p>
    <w:p>
      <w:pPr>
        <w:pStyle w:val="Defstart"/>
        <w:keepNext/>
      </w:pPr>
      <w:r>
        <w:rPr>
          <w:b/>
        </w:rPr>
        <w:tab/>
      </w:r>
      <w:r>
        <w:rPr>
          <w:rStyle w:val="CharDefText"/>
        </w:rPr>
        <w:t>land</w:t>
      </w:r>
      <w:r>
        <w:t xml:space="preserve"> includes water; and also includes — </w:t>
      </w:r>
    </w:p>
    <w:p>
      <w:pPr>
        <w:pStyle w:val="Defpara"/>
      </w:pPr>
      <w:r>
        <w:tab/>
        <w:t>(a)</w:t>
      </w:r>
      <w:r>
        <w:tab/>
        <w:t>the foreshore as defined in section 25(1)(a); and</w:t>
      </w:r>
    </w:p>
    <w:p>
      <w:pPr>
        <w:pStyle w:val="Defpara"/>
      </w:pPr>
      <w:r>
        <w:lastRenderedPageBreak/>
        <w:tab/>
        <w:t>(b)</w:t>
      </w:r>
      <w:r>
        <w:tab/>
        <w:t xml:space="preserve">the sea bed and subsoil between the mean low water springs level and the inner limits of the coastal waters of the State as defined in section 16(1) and (2) of the </w:t>
      </w:r>
      <w:r>
        <w:rPr>
          <w:i/>
        </w:rPr>
        <w:t>Offshore Minerals Act 2003</w:t>
      </w:r>
      <w:r>
        <w:t>;</w:t>
      </w:r>
    </w:p>
    <w:p>
      <w:pPr>
        <w:pStyle w:val="Defstart"/>
      </w:pPr>
      <w:r>
        <w:rPr>
          <w:b/>
        </w:rPr>
        <w:tab/>
      </w:r>
      <w:r>
        <w:rPr>
          <w:rStyle w:val="CharDefText"/>
        </w:rPr>
        <w:t>land under cultivation</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pPr>
      <w:r>
        <w:rPr>
          <w:b/>
        </w:rPr>
        <w:tab/>
      </w:r>
      <w:r>
        <w:rPr>
          <w:rStyle w:val="CharDefText"/>
        </w:rPr>
        <w:t>lapidary work</w:t>
      </w:r>
      <w:r>
        <w:t xml:space="preserve"> includes the selection, cutting, polishing, engraving and setting of rock or other minerals;</w:t>
      </w:r>
    </w:p>
    <w:p>
      <w:pPr>
        <w:pStyle w:val="Defstart"/>
      </w:pPr>
      <w:r>
        <w:rPr>
          <w:b/>
        </w:rPr>
        <w:tab/>
      </w:r>
      <w:r>
        <w:rPr>
          <w:rStyle w:val="CharDefText"/>
        </w:rPr>
        <w:t>listed public company</w:t>
      </w:r>
      <w:r>
        <w:t xml:space="preserve"> means a corporation that is a listed corporation within the meaning of that expression in the Corporations Act;</w:t>
      </w:r>
    </w:p>
    <w:p>
      <w:pPr>
        <w:pStyle w:val="Defstart"/>
      </w:pPr>
      <w:r>
        <w:rPr>
          <w:b/>
        </w:rPr>
        <w:tab/>
      </w:r>
      <w:r>
        <w:rPr>
          <w:rStyle w:val="CharDefText"/>
        </w:rPr>
        <w:t>local government</w:t>
      </w:r>
      <w:r>
        <w:t xml:space="preserve"> means the local government of the district in which the matter in relation to which the term is used, arose or is situated;</w:t>
      </w:r>
    </w:p>
    <w:p>
      <w:pPr>
        <w:pStyle w:val="Defstart"/>
      </w:pPr>
      <w:r>
        <w:rPr>
          <w:b/>
        </w:rPr>
        <w:tab/>
      </w:r>
      <w:r>
        <w:rPr>
          <w:rStyle w:val="CharDefText"/>
        </w:rPr>
        <w:t>machinery</w:t>
      </w:r>
      <w:r>
        <w:t xml:space="preserve"> includes all mechanical appliances of whatever kind used or intended to be used for any mining purpose;</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Defstart"/>
      </w:pPr>
      <w:r>
        <w:rPr>
          <w:b/>
        </w:rPr>
        <w:tab/>
      </w:r>
      <w:r>
        <w:rPr>
          <w:rStyle w:val="CharDefText"/>
        </w:rPr>
        <w:t>mine</w:t>
      </w:r>
      <w:r>
        <w:t>, as a noun, means any place in, on or under which mining operations are carried on;</w:t>
      </w:r>
    </w:p>
    <w:p>
      <w:pPr>
        <w:pStyle w:val="Defstart"/>
      </w:pPr>
      <w:r>
        <w:rPr>
          <w:b/>
        </w:rPr>
        <w:tab/>
      </w:r>
      <w:r>
        <w:rPr>
          <w:rStyle w:val="CharDefText"/>
        </w:rPr>
        <w:t>mine</w:t>
      </w:r>
      <w:r>
        <w:t>, as a verb, includes any manner or method of mining operations;</w:t>
      </w:r>
    </w:p>
    <w:p>
      <w:pPr>
        <w:pStyle w:val="Defstart"/>
      </w:pPr>
      <w:r>
        <w:tab/>
      </w:r>
      <w:r>
        <w:rPr>
          <w:rStyle w:val="CharDefText"/>
        </w:rPr>
        <w:t>mineral field</w:t>
      </w:r>
      <w:r>
        <w:t xml:space="preserve"> means a mineral field constituted under this Act or deemed so to be;</w:t>
      </w:r>
    </w:p>
    <w:p>
      <w:pPr>
        <w:pStyle w:val="Defstart"/>
        <w:keepNext/>
      </w:pPr>
      <w:r>
        <w:tab/>
      </w:r>
      <w:r>
        <w:rPr>
          <w:rStyle w:val="CharDefText"/>
        </w:rPr>
        <w:t>minerals</w:t>
      </w:r>
      <w:r>
        <w:t xml:space="preserve"> means naturally occurring substances obtained or obtainable from any land by mining operations carried out on or under the surface of the land, but does not include —</w:t>
      </w:r>
    </w:p>
    <w:p>
      <w:pPr>
        <w:pStyle w:val="Defpara"/>
      </w:pPr>
      <w:r>
        <w:tab/>
        <w:t>(a)</w:t>
      </w:r>
      <w:r>
        <w:tab/>
        <w:t>soil; or</w:t>
      </w:r>
    </w:p>
    <w:p>
      <w:pPr>
        <w:pStyle w:val="Defpara"/>
      </w:pPr>
      <w:r>
        <w:lastRenderedPageBreak/>
        <w:tab/>
        <w:t>(b)</w:t>
      </w:r>
      <w:r>
        <w:tab/>
        <w:t xml:space="preserve">a substance the recovery of which is governed by the </w:t>
      </w:r>
      <w:r>
        <w:rPr>
          <w:i/>
          <w:iCs/>
        </w:rPr>
        <w:t xml:space="preserve">Petroleum and Geothermal Energy Resources Act 1967 </w:t>
      </w:r>
      <w:r>
        <w:t xml:space="preserve">or the </w:t>
      </w:r>
      <w:r>
        <w:rPr>
          <w:i/>
        </w:rPr>
        <w:t>Petroleum (Submerged Lands) Act 1982</w:t>
      </w:r>
      <w:r>
        <w:t>; or</w:t>
      </w:r>
    </w:p>
    <w:p>
      <w:pPr>
        <w:pStyle w:val="Defpara"/>
      </w:pPr>
      <w:r>
        <w:tab/>
        <w:t>(ba)</w:t>
      </w:r>
      <w:r>
        <w:tab/>
        <w:t xml:space="preserve">without limiting paragraph (b), geothermal energy resources as defined in the </w:t>
      </w:r>
      <w:r>
        <w:rPr>
          <w:i/>
          <w:iCs/>
        </w:rPr>
        <w:t>Petroleum and Geothermal Energy Resources Act 1967</w:t>
      </w:r>
      <w:r>
        <w:t xml:space="preserve"> section 5(1); or</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 or</w:t>
      </w:r>
    </w:p>
    <w:p>
      <w:pPr>
        <w:pStyle w:val="Defsubpara"/>
      </w:pPr>
      <w:r>
        <w:tab/>
        <w:t>(ii)</w:t>
      </w:r>
      <w:r>
        <w:tab/>
        <w:t>shale, other than oil shale; or</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tab/>
      </w:r>
      <w:r>
        <w:rPr>
          <w:rStyle w:val="CharDefText"/>
        </w:rPr>
        <w:t>miner’s right</w:t>
      </w:r>
      <w:r>
        <w:t xml:space="preserve"> means a miner’s right issued under section 40C;</w:t>
      </w:r>
    </w:p>
    <w:p>
      <w:pPr>
        <w:pStyle w:val="Defstart"/>
      </w:pPr>
      <w:r>
        <w:rPr>
          <w:b/>
        </w:rPr>
        <w:tab/>
      </w:r>
      <w:r>
        <w:rPr>
          <w:rStyle w:val="CharDefText"/>
        </w:rPr>
        <w:t>mining</w:t>
      </w:r>
      <w:r>
        <w:t xml:space="preserve"> includes fossicking, prospecting and exploring for minerals, and mining operations;</w:t>
      </w:r>
    </w:p>
    <w:p>
      <w:pPr>
        <w:pStyle w:val="Defstart"/>
      </w:pPr>
      <w:r>
        <w:rPr>
          <w:b/>
        </w:rPr>
        <w:tab/>
      </w:r>
      <w:r>
        <w:rPr>
          <w:rStyle w:val="CharDefText"/>
        </w:rPr>
        <w:t>mining operations</w:t>
      </w:r>
      <w:r>
        <w:t xml:space="preserve"> means any mode or method of working whereby the earth or any rock structure stone fluid or mineral bearing substance may be disturbed removed washed sifted crushed leached roasted distilled evaporated smelted combusted or refined or dealt with for the purpose of obtaining any mineral or processed mineral resource therefrom whether it has been previously disturbed or not and includes —</w:t>
      </w:r>
    </w:p>
    <w:p>
      <w:pPr>
        <w:pStyle w:val="Defpara"/>
      </w:pPr>
      <w:r>
        <w:tab/>
        <w:t>(a)</w:t>
      </w:r>
      <w:r>
        <w:tab/>
        <w:t>the removal of overburden by mechanical or other means and the stacking, deposit, storage and treatment of any substance considered to contain any mineral; and</w:t>
      </w:r>
    </w:p>
    <w:p>
      <w:pPr>
        <w:pStyle w:val="Defpara"/>
      </w:pPr>
      <w:r>
        <w:tab/>
        <w:t>(b)</w:t>
      </w:r>
      <w:r>
        <w:tab/>
        <w:t>operations by means of which salt or other evaporites may be harvested; and</w:t>
      </w:r>
    </w:p>
    <w:p>
      <w:pPr>
        <w:pStyle w:val="Defpara"/>
      </w:pPr>
      <w:r>
        <w:tab/>
        <w:t>(c)</w:t>
      </w:r>
      <w:r>
        <w:tab/>
        <w:t>operations by means of which mineral is recovered from the sea or a natural water supply; and</w:t>
      </w:r>
    </w:p>
    <w:p>
      <w:pPr>
        <w:pStyle w:val="Defpara"/>
      </w:pPr>
      <w:r>
        <w:lastRenderedPageBreak/>
        <w:tab/>
        <w:t>(da)</w:t>
      </w:r>
      <w:r>
        <w:tab/>
        <w:t>operations by means of which a processed mineral resource is produced and recovered; and</w:t>
      </w:r>
    </w:p>
    <w:p>
      <w:pPr>
        <w:pStyle w:val="Defpara"/>
      </w:pPr>
      <w:r>
        <w:tab/>
        <w:t>(d)</w:t>
      </w:r>
      <w:r>
        <w:tab/>
        <w:t>the doing of all acts incident or conducive to any such operation or purposes;</w:t>
      </w:r>
    </w:p>
    <w:p>
      <w:pPr>
        <w:pStyle w:val="Defstart"/>
      </w:pPr>
      <w:r>
        <w:rPr>
          <w:b/>
        </w:rPr>
        <w:tab/>
      </w:r>
      <w:r>
        <w:rPr>
          <w:rStyle w:val="CharDefText"/>
        </w:rPr>
        <w:t>mining product</w:t>
      </w:r>
      <w:r>
        <w:t xml:space="preserve"> means any material won from land by mining;</w:t>
      </w:r>
    </w:p>
    <w:p>
      <w:pPr>
        <w:pStyle w:val="Defstart"/>
      </w:pPr>
      <w:r>
        <w:rPr>
          <w:b/>
        </w:rPr>
        <w:tab/>
      </w:r>
      <w:r>
        <w:rPr>
          <w:rStyle w:val="CharDefText"/>
        </w:rPr>
        <w:t>mining registrar</w:t>
      </w:r>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r>
      <w:r>
        <w:rPr>
          <w:rStyle w:val="CharDefText"/>
        </w:rPr>
        <w:t>mining tenement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r>
      <w:r>
        <w:rPr>
          <w:rStyle w:val="CharDefText"/>
        </w:rPr>
        <w:t>occupier</w:t>
      </w:r>
      <w:r>
        <w:t xml:space="preserve"> in relation to any land includes any person in actual occupation of the land under any lawful title granted by or derived from the owner of the land;</w:t>
      </w:r>
    </w:p>
    <w:p>
      <w:pPr>
        <w:pStyle w:val="Defstart"/>
      </w:pPr>
      <w:r>
        <w:tab/>
      </w:r>
      <w:r>
        <w:rPr>
          <w:rStyle w:val="CharDefText"/>
        </w:rPr>
        <w:t>offsets project</w:t>
      </w:r>
      <w:r>
        <w:t xml:space="preserve"> means — </w:t>
      </w:r>
    </w:p>
    <w:p>
      <w:pPr>
        <w:pStyle w:val="Defpara"/>
      </w:pPr>
      <w:r>
        <w:tab/>
        <w:t>(a)</w:t>
      </w:r>
      <w:r>
        <w:tab/>
        <w:t xml:space="preserve">an eligible offsets project as defined in the </w:t>
      </w:r>
      <w:r>
        <w:rPr>
          <w:i/>
        </w:rPr>
        <w:t>Carbon Credits (Carbon Farming Initiative) Act 2011</w:t>
      </w:r>
      <w:r>
        <w:t xml:space="preserve"> (Commonwealth) section 5; or</w:t>
      </w:r>
    </w:p>
    <w:p>
      <w:pPr>
        <w:pStyle w:val="Defpara"/>
      </w:pPr>
      <w:r>
        <w:tab/>
        <w:t>(b)</w:t>
      </w:r>
      <w:r>
        <w:tab/>
        <w:t xml:space="preserve">an offsets project, as defined in the </w:t>
      </w:r>
      <w:r>
        <w:rPr>
          <w:i/>
        </w:rPr>
        <w:t>Carbon Credits (Carbon Farming Initiative) Act 2011</w:t>
      </w:r>
      <w:r>
        <w:t xml:space="preserve"> (Commonwealth) section 5, if — </w:t>
      </w:r>
    </w:p>
    <w:p>
      <w:pPr>
        <w:pStyle w:val="Defsubpara"/>
      </w:pPr>
      <w:r>
        <w:tab/>
        <w:t>(i)</w:t>
      </w:r>
      <w:r>
        <w:tab/>
        <w:t>the offsets project is the subject of an application under section 22 of that Act; and</w:t>
      </w:r>
    </w:p>
    <w:p>
      <w:pPr>
        <w:pStyle w:val="Defsubpara"/>
      </w:pPr>
      <w:r>
        <w:tab/>
        <w:t>(ii)</w:t>
      </w:r>
      <w:r>
        <w:tab/>
        <w:t>a decision on the application has not been made;</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keepNext/>
      </w:pPr>
      <w:r>
        <w:rPr>
          <w:b/>
        </w:rPr>
        <w:lastRenderedPageBreak/>
        <w:tab/>
      </w:r>
      <w:r>
        <w:rPr>
          <w:rStyle w:val="CharDefText"/>
        </w:rPr>
        <w:t>owner</w:t>
      </w:r>
      <w:r>
        <w:t xml:space="preserve"> in relation to any land means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 or</w:t>
      </w:r>
    </w:p>
    <w:p>
      <w:pPr>
        <w:pStyle w:val="Defpara"/>
      </w:pPr>
      <w:r>
        <w:tab/>
        <w:t>(b)</w:t>
      </w:r>
      <w:r>
        <w:tab/>
        <w:t>the lessee or licensee from the Crown in respect thereof; or</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rPr>
          <w:b/>
        </w:rPr>
      </w:pPr>
      <w:r>
        <w:tab/>
      </w:r>
      <w:r>
        <w:rPr>
          <w:rStyle w:val="CharDefText"/>
        </w:rPr>
        <w:t>pastoral lease</w:t>
      </w:r>
      <w:r>
        <w:t xml:space="preserve"> has the meaning given in the </w:t>
      </w:r>
      <w:r>
        <w:rPr>
          <w:i/>
        </w:rPr>
        <w:t xml:space="preserve">Land Administration Act 1997 </w:t>
      </w:r>
      <w:r>
        <w:t>section 3(1);</w:t>
      </w:r>
    </w:p>
    <w:p>
      <w:pPr>
        <w:pStyle w:val="Defstart"/>
      </w:pPr>
      <w:r>
        <w:tab/>
      </w:r>
      <w:r>
        <w:rPr>
          <w:rStyle w:val="CharDefText"/>
        </w:rPr>
        <w:t>prescribed official</w:t>
      </w:r>
      <w:r>
        <w:t xml:space="preserve"> means the holder of an office in the Department that is prescribed, or is of a class prescribed, for the purposes of the provision in which the term is used;</w:t>
      </w:r>
    </w:p>
    <w:p>
      <w:pPr>
        <w:pStyle w:val="Defstart"/>
      </w:pPr>
      <w:r>
        <w:rPr>
          <w:b/>
        </w:rPr>
        <w:tab/>
      </w:r>
      <w:r>
        <w:rPr>
          <w:rStyle w:val="CharDefText"/>
        </w:rPr>
        <w:t>private land</w:t>
      </w:r>
      <w:r>
        <w:t xml:space="preserve"> means any land, other than Commonwealth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or a lease or concession otherwise granted by or on behalf of the Crown for grazing purposes only or for timber purposes, a diversification lease or a lease of Crown land for the use and benefit of the Aboriginal inhabitants) but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 and</w:t>
      </w:r>
    </w:p>
    <w:p>
      <w:pPr>
        <w:pStyle w:val="Defpara"/>
      </w:pPr>
      <w:r>
        <w:tab/>
        <w:t>(b)</w:t>
      </w:r>
      <w:r>
        <w:tab/>
        <w:t xml:space="preserve">other than in so far as the primary tenement may be treated as private land in relation to mining for gold pursuant to a special prospecting licence or mining lease </w:t>
      </w:r>
      <w:r>
        <w:lastRenderedPageBreak/>
        <w:t>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tab/>
      </w:r>
      <w:r>
        <w:rPr>
          <w:rStyle w:val="CharDefText"/>
        </w:rPr>
        <w:t>processed mineral resource</w:t>
      </w:r>
      <w:r>
        <w:t xml:space="preserve"> means a substance produced from a mineral that is under the surface of land without the mineral being removed from the land;</w:t>
      </w:r>
    </w:p>
    <w:p>
      <w:pPr>
        <w:pStyle w:val="Defstart"/>
      </w:pPr>
      <w:r>
        <w:rPr>
          <w:b/>
        </w:rPr>
        <w:tab/>
      </w:r>
      <w:r>
        <w:rPr>
          <w:rStyle w:val="CharDefText"/>
        </w:rPr>
        <w:t>public purpose</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rStyle w:val="CharDefText"/>
        </w:rPr>
        <w:t>register</w:t>
      </w:r>
      <w:r>
        <w:t xml:space="preserve"> means the register kept under section 103F;</w:t>
      </w:r>
    </w:p>
    <w:p>
      <w:pPr>
        <w:pStyle w:val="Defstart"/>
      </w:pPr>
      <w:r>
        <w:tab/>
      </w:r>
      <w:r>
        <w:rPr>
          <w:rStyle w:val="CharDefText"/>
        </w:rPr>
        <w:t>registration</w:t>
      </w:r>
      <w:r>
        <w:t xml:space="preserve"> means registration under section 103C;</w:t>
      </w:r>
    </w:p>
    <w:p>
      <w:pPr>
        <w:pStyle w:val="Defstart"/>
      </w:pPr>
      <w:r>
        <w:tab/>
      </w:r>
      <w:r>
        <w:rPr>
          <w:rStyle w:val="CharDefText"/>
        </w:rPr>
        <w:t>related</w:t>
      </w:r>
      <w:r>
        <w:t xml:space="preserve"> has a meaning affected by subsection (4);</w:t>
      </w:r>
    </w:p>
    <w:p>
      <w:pPr>
        <w:pStyle w:val="Defstart"/>
        <w:rPr>
          <w:b/>
        </w:rPr>
      </w:pPr>
      <w:r>
        <w:rPr>
          <w:b/>
        </w:rPr>
        <w:tab/>
      </w:r>
      <w:r>
        <w:rPr>
          <w:rStyle w:val="CharDefText"/>
        </w:rPr>
        <w:t>repealed Act</w:t>
      </w:r>
      <w:r>
        <w:t xml:space="preserve"> means the </w:t>
      </w:r>
      <w:r>
        <w:rPr>
          <w:i/>
        </w:rPr>
        <w:t>Mining Act 1904</w:t>
      </w:r>
      <w:r>
        <w:rPr>
          <w:vertAlign w:val="superscript"/>
        </w:rPr>
        <w:t xml:space="preserve"> 2</w:t>
      </w:r>
      <w:r>
        <w:t>;</w:t>
      </w:r>
    </w:p>
    <w:p>
      <w:pPr>
        <w:pStyle w:val="Defstart"/>
      </w:pPr>
      <w:r>
        <w:tab/>
      </w:r>
      <w:r>
        <w:rPr>
          <w:rStyle w:val="CharDefText"/>
        </w:rPr>
        <w:t>retention status</w:t>
      </w:r>
      <w:r>
        <w:t xml:space="preserve"> has a meaning affected by subsection (5);</w:t>
      </w:r>
    </w:p>
    <w:p>
      <w:pPr>
        <w:pStyle w:val="Defstart"/>
      </w:pPr>
      <w:r>
        <w:rPr>
          <w:b/>
        </w:rPr>
        <w:tab/>
      </w:r>
      <w:r>
        <w:rPr>
          <w:rStyle w:val="CharDefText"/>
        </w:rPr>
        <w:t>reversion licence application</w:t>
      </w:r>
      <w:r>
        <w:t xml:space="preserve"> means a reversion licence application authorised by an order under section 120AA(2);</w:t>
      </w:r>
    </w:p>
    <w:p>
      <w:pPr>
        <w:pStyle w:val="Defstart"/>
      </w:pPr>
      <w:r>
        <w:rPr>
          <w:b/>
        </w:rPr>
        <w:tab/>
      </w:r>
      <w:r>
        <w:rPr>
          <w:rStyle w:val="CharDefText"/>
        </w:rPr>
        <w:t>the</w:t>
      </w:r>
      <w:r>
        <w:rPr>
          <w:rStyle w:val="CharDefText"/>
          <w:b w:val="0"/>
          <w:i w:val="0"/>
        </w:rPr>
        <w:t xml:space="preserve"> </w:t>
      </w:r>
      <w:r>
        <w:rPr>
          <w:rStyle w:val="CharDefText"/>
        </w:rPr>
        <w:t>warden</w:t>
      </w:r>
      <w:r>
        <w:t xml:space="preserve"> or </w:t>
      </w:r>
      <w:r>
        <w:rPr>
          <w:rStyle w:val="CharDefText"/>
        </w:rPr>
        <w:t>the mining registrar</w:t>
      </w:r>
      <w:r>
        <w:t xml:space="preserve"> means the warden or the mining registrar of the mineral field or district thereof in which the subject matter in relation to which the term is used arose or is;</w:t>
      </w:r>
    </w:p>
    <w:p>
      <w:pPr>
        <w:pStyle w:val="Defstart"/>
      </w:pPr>
      <w:r>
        <w:rPr>
          <w:b/>
        </w:rPr>
        <w:tab/>
      </w:r>
      <w:r>
        <w:rPr>
          <w:rStyle w:val="CharDefText"/>
        </w:rPr>
        <w:t>vehicle</w:t>
      </w:r>
      <w:r>
        <w:t xml:space="preserve"> includes an aircraft, helicopter or air cushion vehicle;</w:t>
      </w:r>
    </w:p>
    <w:p>
      <w:pPr>
        <w:pStyle w:val="Defstart"/>
      </w:pPr>
      <w:r>
        <w:rPr>
          <w:b/>
        </w:rPr>
        <w:tab/>
      </w:r>
      <w:r>
        <w:rPr>
          <w:rStyle w:val="CharDefText"/>
        </w:rPr>
        <w:t>warden</w:t>
      </w:r>
      <w:r>
        <w:t xml:space="preserve"> means a warden of mines appointed in accordance with this Act;</w:t>
      </w:r>
    </w:p>
    <w:p>
      <w:pPr>
        <w:pStyle w:val="Defstart"/>
      </w:pPr>
      <w:r>
        <w:tab/>
      </w:r>
      <w:r>
        <w:rPr>
          <w:rStyle w:val="CharDefText"/>
        </w:rPr>
        <w:t>warden’s court</w:t>
      </w:r>
      <w:r>
        <w:t xml:space="preserve"> means the warden’s court constituted under this Act or deemed so to be for the mineral field or district thereof in which the subject matter in relation to which the term is used arose or is.</w:t>
      </w:r>
    </w:p>
    <w:p>
      <w:pPr>
        <w:pStyle w:val="Subsection"/>
        <w:rPr>
          <w:snapToGrid w:val="0"/>
        </w:rPr>
      </w:pPr>
      <w:r>
        <w:rPr>
          <w:snapToGrid w:val="0"/>
        </w:rPr>
        <w:lastRenderedPageBreak/>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iCs/>
        </w:rPr>
        <w:t>Petroleum and Geothermal Energy Resources Act 1967</w:t>
      </w:r>
      <w:r>
        <w:t xml:space="preserve"> </w:t>
      </w:r>
      <w:r>
        <w:rPr>
          <w:snapToGrid w:val="0"/>
        </w:rPr>
        <w:t xml:space="preserve">and </w:t>
      </w:r>
      <w:r>
        <w:t>the Minister’s</w:t>
      </w:r>
      <w:r>
        <w:rPr>
          <w:snapToGrid w:val="0"/>
        </w:rPr>
        <w:t xml:space="preserve"> decision in the matter shall be final.</w:t>
      </w:r>
    </w:p>
    <w:p>
      <w:pPr>
        <w:pStyle w:val="Subsection"/>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keepNext/>
      </w:pPr>
      <w:r>
        <w:tab/>
        <w:t>(4)</w:t>
      </w:r>
      <w:r>
        <w:tab/>
        <w:t>For the purposes of this Act a person is related to —</w:t>
      </w:r>
    </w:p>
    <w:p>
      <w:pPr>
        <w:pStyle w:val="Indenta"/>
      </w:pPr>
      <w:r>
        <w:tab/>
        <w:t>(a)</w:t>
      </w:r>
      <w:r>
        <w:tab/>
        <w:t>an individual, if the person is —</w:t>
      </w:r>
    </w:p>
    <w:p>
      <w:pPr>
        <w:pStyle w:val="Indenti"/>
      </w:pPr>
      <w:r>
        <w:tab/>
        <w:t>(i)</w:t>
      </w:r>
      <w:r>
        <w:tab/>
        <w:t>a spouse or de facto partner; or</w:t>
      </w:r>
    </w:p>
    <w:p>
      <w:pPr>
        <w:pStyle w:val="Indenti"/>
      </w:pPr>
      <w:r>
        <w:tab/>
        <w:t>(ii)</w:t>
      </w:r>
      <w:r>
        <w:tab/>
        <w:t>a parent, grandparent or great</w:t>
      </w:r>
      <w:r>
        <w:noBreakHyphen/>
        <w:t>grandparent; or</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pPr>
      <w:r>
        <w:tab/>
        <w:t>(5)</w:t>
      </w:r>
      <w:r>
        <w:tab/>
        <w:t>For the purposes of this Act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Subsection"/>
        <w:keepNext/>
      </w:pPr>
      <w:r>
        <w:tab/>
        <w:t>(6)</w:t>
      </w:r>
      <w:r>
        <w:tab/>
        <w:t xml:space="preserve">A reference in this Act to a lease of Crown land for the use and benefit of the Aboriginal inhabitants includes a lease of Crown </w:t>
      </w:r>
      <w:r>
        <w:lastRenderedPageBreak/>
        <w:t>land for the social, cultural or economic benefit of Aboriginal persons.</w:t>
      </w:r>
    </w:p>
    <w:p>
      <w:pPr>
        <w:pStyle w:val="Footnotesection"/>
        <w:keepLines w:val="0"/>
        <w:spacing w:before="100"/>
        <w:ind w:left="890" w:hanging="890"/>
      </w:pPr>
      <w:r>
        <w:tab/>
        <w:t>[Section 8 amended: No. 69 of 1981 s. 6; No. 122 of 1982 s. 5; No. 100 of 1985 s. 5; No. 105 of 1986 s. 7; No. 22 of 1990 s. 4; No. 37 of 1993 s. 10(2), 12(2), 26 and 27; No. 14 of 1996 s. 4; No. 54 of 1996 s. 4; No. 5 of 1997 s. 40; No. 31 of 1997 s. 71(1) and 141; No. 10 of 2001 s. 130; No. 15 of 2002 s. 4; No. 12 of 2003 s. 4; No. 28 of 2003 s. 152; No. 39 of 2004 s. 20, 42, 47 and 87; No. 27 of 2005 s. 4; No. 35 of 2007 s. 100(2) and (3); No. 8 of 2010 s. 17; No. 12 of 2010 s. 14; (correction to reprint: Gazette 1 Jun 2012 p. 2282); No. 51 of 2012 s. 5; No. 44 of 2016 s. 20; No. 4 of 2023 s. 131; No. 27 of 2023 s. 4.]</w:t>
      </w:r>
    </w:p>
    <w:p>
      <w:pPr>
        <w:pStyle w:val="Heading5"/>
        <w:rPr>
          <w:snapToGrid w:val="0"/>
        </w:rPr>
      </w:pPr>
      <w:bookmarkStart w:id="10" w:name="_Toc202366022"/>
      <w:r>
        <w:rPr>
          <w:rStyle w:val="CharSectno"/>
        </w:rPr>
        <w:t>8A</w:t>
      </w:r>
      <w:r>
        <w:rPr>
          <w:snapToGrid w:val="0"/>
        </w:rPr>
        <w:t>.</w:t>
      </w:r>
      <w:r>
        <w:rPr>
          <w:snapToGrid w:val="0"/>
        </w:rPr>
        <w:tab/>
        <w:t>Rights in respect of oil shale or coal</w:t>
      </w:r>
      <w:bookmarkEnd w:id="10"/>
    </w:p>
    <w:p>
      <w:pPr>
        <w:pStyle w:val="Subsection"/>
        <w:spacing w:before="100"/>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iCs/>
        </w:rPr>
        <w:t>Petroleum and Geothermal Energy Resources Act 1967</w:t>
      </w:r>
      <w:r>
        <w:t xml:space="preserve"> </w:t>
      </w:r>
      <w:r>
        <w:rPr>
          <w:snapToGrid w:val="0"/>
        </w:rPr>
        <w:t>does not confer on the holder of that mining tenement any rights in respect of oil shale or coal.</w:t>
      </w:r>
    </w:p>
    <w:p>
      <w:pPr>
        <w:pStyle w:val="Subsection"/>
        <w:spacing w:before="100"/>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spacing w:before="100"/>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tab/>
        <w:t>[Section 8A inserted: No. 69 of 1981 s. 7; amended: No. 35 of 2007 s. 100(4).]</w:t>
      </w:r>
    </w:p>
    <w:p>
      <w:pPr>
        <w:pStyle w:val="Heading5"/>
        <w:rPr>
          <w:snapToGrid w:val="0"/>
        </w:rPr>
      </w:pPr>
      <w:bookmarkStart w:id="11" w:name="_Toc202366023"/>
      <w:r>
        <w:rPr>
          <w:rStyle w:val="CharSectno"/>
        </w:rPr>
        <w:lastRenderedPageBreak/>
        <w:t>9</w:t>
      </w:r>
      <w:r>
        <w:rPr>
          <w:snapToGrid w:val="0"/>
        </w:rPr>
        <w:t>.</w:t>
      </w:r>
      <w:r>
        <w:rPr>
          <w:snapToGrid w:val="0"/>
        </w:rPr>
        <w:tab/>
        <w:t>Gold, silver and other precious metals property of Crown</w:t>
      </w:r>
      <w:bookmarkEnd w:id="11"/>
    </w:p>
    <w:p>
      <w:pPr>
        <w:pStyle w:val="Subsection"/>
        <w:rPr>
          <w:snapToGrid w:val="0"/>
        </w:rPr>
      </w:pPr>
      <w:r>
        <w:rPr>
          <w:snapToGrid w:val="0"/>
        </w:rPr>
        <w:tab/>
        <w:t>(1)</w:t>
      </w:r>
      <w:r>
        <w:rPr>
          <w:snapToGrid w:val="0"/>
        </w:rPr>
        <w:tab/>
        <w:t>Subject to this Act —</w:t>
      </w:r>
    </w:p>
    <w:p>
      <w:pPr>
        <w:pStyle w:val="Indenta"/>
        <w:rPr>
          <w:snapToGrid w:val="0"/>
        </w:rPr>
      </w:pPr>
      <w:r>
        <w:rPr>
          <w:snapToGrid w:val="0"/>
        </w:rPr>
        <w:tab/>
        <w:t>(a)</w:t>
      </w:r>
      <w:r>
        <w:rPr>
          <w:snapToGrid w:val="0"/>
        </w:rPr>
        <w:tab/>
        <w:t>all gold, silver, and any other precious metal existing in its natural condition on or below the surface of any land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that was not alienated in fee simple from the Crown before 1 January 1899 are the property of the Crown.</w:t>
      </w:r>
    </w:p>
    <w:p>
      <w:pPr>
        <w:pStyle w:val="Subsection"/>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Footnotesection"/>
      </w:pPr>
      <w:r>
        <w:tab/>
        <w:t>[Section 9 amended: No. 12 of 2003 s. 5.]</w:t>
      </w:r>
    </w:p>
    <w:p>
      <w:pPr>
        <w:pStyle w:val="Heading5"/>
        <w:rPr>
          <w:snapToGrid w:val="0"/>
        </w:rPr>
      </w:pPr>
      <w:bookmarkStart w:id="12" w:name="_Toc202366024"/>
      <w:r>
        <w:rPr>
          <w:rStyle w:val="CharSectno"/>
        </w:rPr>
        <w:t>9A</w:t>
      </w:r>
      <w:r>
        <w:rPr>
          <w:snapToGrid w:val="0"/>
        </w:rPr>
        <w:t>.</w:t>
      </w:r>
      <w:r>
        <w:rPr>
          <w:snapToGrid w:val="0"/>
        </w:rPr>
        <w:tab/>
        <w:t>Effect of change of baseline</w:t>
      </w:r>
      <w:bookmarkEnd w:id="12"/>
    </w:p>
    <w:p>
      <w:pPr>
        <w:pStyle w:val="Subsection"/>
      </w:pPr>
      <w:r>
        <w:tab/>
        <w:t>(1)</w:t>
      </w:r>
      <w:r>
        <w:tab/>
        <w:t>If —</w:t>
      </w:r>
    </w:p>
    <w:p>
      <w:pPr>
        <w:pStyle w:val="Indenta"/>
      </w:pPr>
      <w:r>
        <w:tab/>
        <w:t>(a)</w:t>
      </w:r>
      <w:r>
        <w:tab/>
      </w:r>
      <w:r>
        <w:rPr>
          <w:snapToGrid w:val="0"/>
        </w:rPr>
        <w:t>an offshore area is covered by a mining tenement; and</w:t>
      </w:r>
    </w:p>
    <w:p>
      <w:pPr>
        <w:pStyle w:val="Indenta"/>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Indenta"/>
        <w:keepNext/>
        <w:rPr>
          <w:snapToGrid w:val="0"/>
        </w:rPr>
      </w:pPr>
      <w:r>
        <w:rPr>
          <w:snapToGrid w:val="0"/>
        </w:rPr>
        <w:tab/>
        <w:t>(c)</w:t>
      </w:r>
      <w:r>
        <w:rPr>
          <w:snapToGrid w:val="0"/>
        </w:rPr>
        <w:tab/>
        <w:t>as a result of the change the offshore area comes within those coastal waters,</w:t>
      </w:r>
    </w:p>
    <w:p>
      <w:pPr>
        <w:pStyle w:val="Subsection"/>
      </w:pPr>
      <w:r>
        <w:tab/>
      </w:r>
      <w:r>
        <w:tab/>
        <w:t>this Act applies, while the tenement or any successor tenement remains in force, as if the area were still within the offshore area.</w:t>
      </w:r>
    </w:p>
    <w:p>
      <w:pPr>
        <w:pStyle w:val="Subsection"/>
        <w:keepNext/>
      </w:pPr>
      <w:r>
        <w:lastRenderedPageBreak/>
        <w:tab/>
        <w:t>(2)</w:t>
      </w:r>
      <w:r>
        <w:tab/>
        <w:t>In subsection (1) — </w:t>
      </w:r>
    </w:p>
    <w:p>
      <w:pPr>
        <w:pStyle w:val="Defstart"/>
      </w:pPr>
      <w:r>
        <w:tab/>
      </w:r>
      <w:r>
        <w:rPr>
          <w:rStyle w:val="CharDefText"/>
        </w:rPr>
        <w:t>offshore area</w:t>
      </w:r>
      <w:r>
        <w:t xml:space="preserve"> means an area that comes within paragraph (b) of the definition of </w:t>
      </w:r>
      <w:r>
        <w:rPr>
          <w:b/>
          <w:i/>
        </w:rPr>
        <w:t>land</w:t>
      </w:r>
      <w:r>
        <w:t xml:space="preserve"> in section 8(1).</w:t>
      </w:r>
    </w:p>
    <w:p>
      <w:pPr>
        <w:pStyle w:val="Subsection"/>
      </w:pPr>
      <w:r>
        <w:tab/>
        <w:t>(3)</w:t>
      </w:r>
      <w:r>
        <w:tab/>
        <w:t>If — </w:t>
      </w:r>
    </w:p>
    <w:p>
      <w:pPr>
        <w:pStyle w:val="Indenta"/>
      </w:pPr>
      <w:r>
        <w:tab/>
        <w:t>(a)</w:t>
      </w:r>
      <w:r>
        <w:tab/>
        <w:t>a mining lease takes effect immediately after an exploration licence expires; and</w:t>
      </w:r>
    </w:p>
    <w:p>
      <w:pPr>
        <w:pStyle w:val="Indenta"/>
      </w:pPr>
      <w:r>
        <w:tab/>
        <w:t>(b)</w:t>
      </w:r>
      <w:r>
        <w:tab/>
        <w:t>the holder of the mining lease immediately after it takes effect was the holder of the exploration licence immediately before it expired,</w:t>
      </w:r>
    </w:p>
    <w:p>
      <w:pPr>
        <w:pStyle w:val="Subsection"/>
      </w:pPr>
      <w:r>
        <w:tab/>
      </w:r>
      <w:r>
        <w:tab/>
        <w:t>the mining lease is a successor tenement to the exploration licence for the purposes of subsection (1).</w:t>
      </w:r>
    </w:p>
    <w:p>
      <w:pPr>
        <w:pStyle w:val="Subsection"/>
        <w:keepNext/>
      </w:pPr>
      <w:r>
        <w:tab/>
        <w:t>(4)</w:t>
      </w:r>
      <w:r>
        <w:tab/>
        <w:t>If — </w:t>
      </w:r>
    </w:p>
    <w:p>
      <w:pPr>
        <w:pStyle w:val="Indenta"/>
      </w:pPr>
      <w:r>
        <w:tab/>
        <w:t>(a)</w:t>
      </w:r>
      <w:r>
        <w:tab/>
        <w:t>a retention licence takes effect immediately after an exploration licence expires; and</w:t>
      </w:r>
    </w:p>
    <w:p>
      <w:pPr>
        <w:pStyle w:val="Indenta"/>
      </w:pPr>
      <w:r>
        <w:tab/>
        <w:t>(b)</w:t>
      </w:r>
      <w:r>
        <w:tab/>
        <w:t>the holder of the retention licence immediately after it takes effect was the holder of the exploration licence immediately before it expired,</w:t>
      </w:r>
    </w:p>
    <w:p>
      <w:pPr>
        <w:pStyle w:val="Subsection"/>
      </w:pPr>
      <w:r>
        <w:tab/>
      </w:r>
      <w:r>
        <w:tab/>
        <w:t>the retention licence is a successor tenement to the exploration licence for the purposes of subsection (1).</w:t>
      </w:r>
    </w:p>
    <w:p>
      <w:pPr>
        <w:pStyle w:val="Subsection"/>
      </w:pPr>
      <w:r>
        <w:tab/>
        <w:t>(5)</w:t>
      </w:r>
      <w:r>
        <w:tab/>
        <w:t>If — </w:t>
      </w:r>
    </w:p>
    <w:p>
      <w:pPr>
        <w:pStyle w:val="Indenta"/>
      </w:pPr>
      <w:r>
        <w:tab/>
        <w:t>(a)</w:t>
      </w:r>
      <w:r>
        <w:tab/>
        <w:t>a mining lease takes effect immediately after a retention licence expires; and</w:t>
      </w:r>
    </w:p>
    <w:p>
      <w:pPr>
        <w:pStyle w:val="Indenta"/>
      </w:pPr>
      <w:r>
        <w:tab/>
        <w:t>(b)</w:t>
      </w:r>
      <w:r>
        <w:tab/>
        <w:t>the retention licence took effect immediately after an exploration licence expired; and</w:t>
      </w:r>
    </w:p>
    <w:p>
      <w:pPr>
        <w:pStyle w:val="Indenta"/>
      </w:pPr>
      <w:r>
        <w:tab/>
        <w:t>(c)</w:t>
      </w:r>
      <w:r>
        <w:tab/>
        <w:t>the holder of the mining lease immediately after it takes effect was the holder of the retention licence immediately before it expired; and</w:t>
      </w:r>
    </w:p>
    <w:p>
      <w:pPr>
        <w:pStyle w:val="Indenta"/>
        <w:keepNext/>
      </w:pPr>
      <w:r>
        <w:lastRenderedPageBreak/>
        <w:tab/>
        <w:t>(d)</w:t>
      </w:r>
      <w:r>
        <w:tab/>
        <w:t>the holder of the retention licence immediately after it took effect was the holder of the exploration licence immediately before it expired,</w:t>
      </w:r>
    </w:p>
    <w:p>
      <w:pPr>
        <w:pStyle w:val="Subsection"/>
      </w:pPr>
      <w:r>
        <w:tab/>
      </w:r>
      <w:r>
        <w:tab/>
        <w:t>the mining lease is a successor tenement to the exploration licence and the retention licence for the purposes of subsection (1).</w:t>
      </w:r>
    </w:p>
    <w:p>
      <w:pPr>
        <w:pStyle w:val="Footnotesection"/>
      </w:pPr>
      <w:r>
        <w:tab/>
        <w:t>[Section 9A inserted: No. 12 of 2003 s. 6.]</w:t>
      </w:r>
    </w:p>
    <w:p>
      <w:pPr>
        <w:pStyle w:val="Heading5"/>
      </w:pPr>
      <w:bookmarkStart w:id="13" w:name="_Toc202366025"/>
      <w:r>
        <w:rPr>
          <w:rStyle w:val="CharSectno"/>
        </w:rPr>
        <w:t>9B</w:t>
      </w:r>
      <w:r>
        <w:t>.</w:t>
      </w:r>
      <w:r>
        <w:tab/>
        <w:t>Position on Earth’s surface</w:t>
      </w:r>
      <w:bookmarkEnd w:id="13"/>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(1A)</w:t>
      </w:r>
      <w:r>
        <w:tab/>
        <w:t>A datum may be prescribed for all or some of the purposes referred to in subsection (1), and different datums may be prescribed for different purposes.</w:t>
      </w:r>
    </w:p>
    <w:p>
      <w:pPr>
        <w:pStyle w:val="Subsection"/>
      </w:pPr>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mining tenements granted or acquired before the regulations take effect; or</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keepNext/>
      </w:pPr>
      <w:r>
        <w:tab/>
        <w:t>(3)</w:t>
      </w:r>
      <w:r>
        <w:tab/>
        <w:t>Regulations referred to in subsection (2) may modify or otherwise affect the operation of this Act.</w:t>
      </w:r>
    </w:p>
    <w:p>
      <w:pPr>
        <w:pStyle w:val="Footnotesection"/>
      </w:pPr>
      <w:r>
        <w:tab/>
        <w:t>[Section 9B inserted: No. 54 of 2000 s. 5(2); amended: No. 39 of 2022 s. 4.]</w:t>
      </w:r>
    </w:p>
    <w:p>
      <w:pPr>
        <w:pStyle w:val="Heading2"/>
      </w:pPr>
      <w:bookmarkStart w:id="14" w:name="_Toc202186570"/>
      <w:bookmarkStart w:id="15" w:name="_Toc202366026"/>
      <w:r>
        <w:rPr>
          <w:rStyle w:val="CharPartNo"/>
        </w:rPr>
        <w:lastRenderedPageBreak/>
        <w:t>Part II</w:t>
      </w:r>
      <w:r>
        <w:rPr>
          <w:rStyle w:val="CharDivNo"/>
        </w:rPr>
        <w:t> </w:t>
      </w:r>
      <w:r>
        <w:t>—</w:t>
      </w:r>
      <w:r>
        <w:rPr>
          <w:rStyle w:val="CharDivText"/>
        </w:rPr>
        <w:t> </w:t>
      </w:r>
      <w:r>
        <w:rPr>
          <w:rStyle w:val="CharPartText"/>
        </w:rPr>
        <w:t>Administration, mineral fields and courts</w:t>
      </w:r>
      <w:bookmarkEnd w:id="14"/>
      <w:bookmarkEnd w:id="15"/>
    </w:p>
    <w:p>
      <w:pPr>
        <w:pStyle w:val="Heading5"/>
        <w:spacing w:before="260"/>
        <w:rPr>
          <w:snapToGrid w:val="0"/>
        </w:rPr>
      </w:pPr>
      <w:bookmarkStart w:id="16" w:name="_Toc202366027"/>
      <w:r>
        <w:rPr>
          <w:rStyle w:val="CharSectno"/>
        </w:rPr>
        <w:t>10</w:t>
      </w:r>
      <w:r>
        <w:rPr>
          <w:snapToGrid w:val="0"/>
        </w:rPr>
        <w:t>.</w:t>
      </w:r>
      <w:r>
        <w:rPr>
          <w:snapToGrid w:val="0"/>
        </w:rPr>
        <w:tab/>
        <w:t>Administration of Act</w:t>
      </w:r>
      <w:bookmarkEnd w:id="16"/>
    </w:p>
    <w:p>
      <w:pPr>
        <w:pStyle w:val="Subsection"/>
        <w:spacing w:before="220"/>
        <w:rPr>
          <w:snapToGrid w:val="0"/>
        </w:rPr>
      </w:pPr>
      <w:r>
        <w:rPr>
          <w:snapToGrid w:val="0"/>
        </w:rPr>
        <w:tab/>
        <w:t>(1)</w:t>
      </w:r>
      <w:r>
        <w:rPr>
          <w:snapToGrid w:val="0"/>
        </w:rPr>
        <w:tab/>
        <w:t>This Act shall be administered by the Minister.</w:t>
      </w:r>
    </w:p>
    <w:p>
      <w:pPr>
        <w:pStyle w:val="Subsection"/>
        <w:spacing w:before="220"/>
        <w:rPr>
          <w:snapToGrid w:val="0"/>
        </w:rPr>
      </w:pPr>
      <w:r>
        <w:rPr>
          <w:snapToGrid w:val="0"/>
        </w:rPr>
        <w:tab/>
        <w:t>(2)</w:t>
      </w:r>
      <w:r>
        <w:rPr>
          <w:snapToGrid w:val="0"/>
        </w:rPr>
        <w:tab/>
        <w:t>The Minister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260"/>
        <w:rPr>
          <w:snapToGrid w:val="0"/>
        </w:rPr>
      </w:pPr>
      <w:bookmarkStart w:id="17" w:name="_Toc202366028"/>
      <w:r>
        <w:rPr>
          <w:rStyle w:val="CharSectno"/>
        </w:rPr>
        <w:t>11</w:t>
      </w:r>
      <w:r>
        <w:rPr>
          <w:snapToGrid w:val="0"/>
        </w:rPr>
        <w:t>.</w:t>
      </w:r>
      <w:r>
        <w:rPr>
          <w:snapToGrid w:val="0"/>
        </w:rPr>
        <w:tab/>
        <w:t>Chief executive officer and other officers</w:t>
      </w:r>
      <w:bookmarkEnd w:id="17"/>
    </w:p>
    <w:p>
      <w:pPr>
        <w:pStyle w:val="Subsection"/>
        <w:spacing w:before="2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ind w:left="890" w:hanging="890"/>
      </w:pPr>
      <w:r>
        <w:tab/>
        <w:t>[Section 11 amended: No. 113 of 1987 s. 32; No. 32 of 1994 s. 19.]</w:t>
      </w:r>
    </w:p>
    <w:p>
      <w:pPr>
        <w:pStyle w:val="Heading5"/>
        <w:spacing w:before="260"/>
        <w:rPr>
          <w:snapToGrid w:val="0"/>
        </w:rPr>
      </w:pPr>
      <w:bookmarkStart w:id="18" w:name="_Toc202366029"/>
      <w:r>
        <w:rPr>
          <w:rStyle w:val="CharSectno"/>
        </w:rPr>
        <w:t>12</w:t>
      </w:r>
      <w:r>
        <w:rPr>
          <w:snapToGrid w:val="0"/>
        </w:rPr>
        <w:t>.</w:t>
      </w:r>
      <w:r>
        <w:rPr>
          <w:snapToGrid w:val="0"/>
        </w:rPr>
        <w:tab/>
        <w:t>Delegation</w:t>
      </w:r>
      <w:bookmarkEnd w:id="18"/>
    </w:p>
    <w:p>
      <w:pPr>
        <w:pStyle w:val="Subsection"/>
        <w:spacing w:before="220"/>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by instrument in writing delegate any of his powers and functions (except this power of delegation) to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lastRenderedPageBreak/>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[Section 12 amended: No. 100 of 1985 s. 6.]</w:t>
      </w:r>
    </w:p>
    <w:p>
      <w:pPr>
        <w:pStyle w:val="Heading5"/>
        <w:rPr>
          <w:snapToGrid w:val="0"/>
        </w:rPr>
      </w:pPr>
      <w:bookmarkStart w:id="19" w:name="_Toc202366030"/>
      <w:r>
        <w:rPr>
          <w:rStyle w:val="CharSectno"/>
        </w:rPr>
        <w:t>13</w:t>
      </w:r>
      <w:r>
        <w:rPr>
          <w:snapToGrid w:val="0"/>
        </w:rPr>
        <w:t>.</w:t>
      </w:r>
      <w:r>
        <w:rPr>
          <w:snapToGrid w:val="0"/>
        </w:rPr>
        <w:tab/>
        <w:t>Wardens of mines, mining registrar</w:t>
      </w:r>
      <w:bookmarkEnd w:id="19"/>
    </w:p>
    <w:p>
      <w:pPr>
        <w:pStyle w:val="Subsection"/>
        <w:rPr>
          <w:snapToGrid w:val="0"/>
        </w:rPr>
      </w:pPr>
      <w:r>
        <w:rPr>
          <w:snapToGrid w:val="0"/>
        </w:rPr>
        <w:tab/>
        <w:t>(1)</w:t>
      </w:r>
      <w:r>
        <w:rPr>
          <w:snapToGrid w:val="0"/>
        </w:rPr>
        <w:tab/>
        <w:t xml:space="preserve">Any person holding office as a </w:t>
      </w:r>
      <w:r>
        <w:t xml:space="preserve">magistrate under the </w:t>
      </w:r>
      <w:r>
        <w:rPr>
          <w:i/>
        </w:rPr>
        <w:t>Magistrates Court Act 2004</w:t>
      </w:r>
      <w:r>
        <w:t xml:space="preserve">, </w:t>
      </w:r>
      <w:r>
        <w:rPr>
          <w:snapToGrid w:val="0"/>
        </w:rPr>
        <w:t>may be appointed by the Governor to be a warden of mines and is thereby authorised and empowered to preside in a warden’s court.</w:t>
      </w:r>
    </w:p>
    <w:p>
      <w:pPr>
        <w:pStyle w:val="Ednotesubsection"/>
      </w:pPr>
      <w:r>
        <w:tab/>
        <w:t>[(2), (3)</w:t>
      </w:r>
      <w:r>
        <w:tab/>
        <w:t>deleted]</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w:t>
      </w:r>
      <w:r>
        <w:t xml:space="preserve"> Public Sector Commissioner</w:t>
      </w:r>
      <w:r>
        <w:rPr>
          <w:snapToGrid w:val="0"/>
        </w:rPr>
        <w:t xml:space="preserve">, be appointed to hold or act in the office of a mining registrar notwithstanding that he is not a person appointed to the Department pursuant to section 11 and that </w:t>
      </w:r>
      <w:r>
        <w:rPr>
          <w:snapToGrid w:val="0"/>
        </w:rPr>
        <w:lastRenderedPageBreak/>
        <w:t>person shall, whilst holding, acting in or performing the functions of the office of mining registrar, be deemed for the purposes of this Act to be an officer of the Department.</w:t>
      </w:r>
    </w:p>
    <w:p>
      <w:pPr>
        <w:pStyle w:val="Footnotesection"/>
      </w:pPr>
      <w:r>
        <w:tab/>
        <w:t>[Section 13 amended: No. 100 of 1985 s. 7; No. 32 of 1994 s. 19; No. 39 of 2004 s. 48; No. 59 of 2004 s. 116; No. 39 of 2010 s. 89.]</w:t>
      </w:r>
    </w:p>
    <w:p>
      <w:pPr>
        <w:pStyle w:val="Ednotesection"/>
      </w:pPr>
      <w:r>
        <w:t>[</w:t>
      </w:r>
      <w:r>
        <w:rPr>
          <w:b/>
          <w:bCs/>
        </w:rPr>
        <w:t>14.</w:t>
      </w:r>
      <w:r>
        <w:tab/>
        <w:t>Deleted: No. 39 of 2004 s. 49.]</w:t>
      </w:r>
    </w:p>
    <w:p>
      <w:pPr>
        <w:pStyle w:val="Heading5"/>
        <w:spacing w:before="260"/>
        <w:rPr>
          <w:snapToGrid w:val="0"/>
        </w:rPr>
      </w:pPr>
      <w:bookmarkStart w:id="20" w:name="_Toc202366031"/>
      <w:r>
        <w:rPr>
          <w:rStyle w:val="CharSectno"/>
        </w:rPr>
        <w:t>15</w:t>
      </w:r>
      <w:r>
        <w:rPr>
          <w:snapToGrid w:val="0"/>
        </w:rPr>
        <w:t>.</w:t>
      </w:r>
      <w:r>
        <w:rPr>
          <w:snapToGrid w:val="0"/>
        </w:rPr>
        <w:tab/>
        <w:t>Prohibition from adjudicating in certain matters or from using certain information</w:t>
      </w:r>
      <w:bookmarkEnd w:id="20"/>
    </w:p>
    <w:p>
      <w:pPr>
        <w:pStyle w:val="Subsection"/>
      </w:pPr>
      <w:r>
        <w:tab/>
        <w:t>(1)</w:t>
      </w:r>
      <w:r>
        <w:tab/>
        <w:t xml:space="preserve">A warden who acts or adjudicates in any matter in which the warden has directly or indirectly any pecuniary interest, is guilty of a crime unless — </w:t>
      </w:r>
    </w:p>
    <w:p>
      <w:pPr>
        <w:pStyle w:val="Indenta"/>
      </w:pPr>
      <w:r>
        <w:tab/>
        <w:t>(a)</w:t>
      </w:r>
      <w:r>
        <w:tab/>
        <w:t>the warden declares the nature of the interest to each of the parties to the matter; and</w:t>
      </w:r>
    </w:p>
    <w:p>
      <w:pPr>
        <w:pStyle w:val="Indenta"/>
      </w:pPr>
      <w:r>
        <w:tab/>
        <w:t>(b)</w:t>
      </w:r>
      <w:r>
        <w:tab/>
        <w:t>each of the parties consents to the warden so acting or adjudicating.</w:t>
      </w:r>
    </w:p>
    <w:p>
      <w:pPr>
        <w:pStyle w:val="Penstart"/>
      </w:pPr>
      <w:r>
        <w:tab/>
        <w:t>Penalty: imprisonment for 2 years or a fine of $1 000.</w:t>
      </w:r>
    </w:p>
    <w:p>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ind w:left="890" w:hanging="890"/>
      </w:pPr>
      <w:r>
        <w:tab/>
        <w:t>[Section 15 amended: No. 100 of 1985 s. 9; No. 70 of 2004 s. 82; No. 51 of 2012 s. 6.]</w:t>
      </w:r>
    </w:p>
    <w:p>
      <w:pPr>
        <w:pStyle w:val="Heading5"/>
        <w:spacing w:before="260"/>
        <w:rPr>
          <w:snapToGrid w:val="0"/>
        </w:rPr>
      </w:pPr>
      <w:bookmarkStart w:id="21" w:name="_Toc202366032"/>
      <w:r>
        <w:rPr>
          <w:rStyle w:val="CharSectno"/>
        </w:rPr>
        <w:t>16</w:t>
      </w:r>
      <w:r>
        <w:rPr>
          <w:snapToGrid w:val="0"/>
        </w:rPr>
        <w:t>.</w:t>
      </w:r>
      <w:r>
        <w:rPr>
          <w:snapToGrid w:val="0"/>
        </w:rPr>
        <w:tab/>
      </w:r>
      <w:r>
        <w:t>Constitution of mineral fields and dealings with Crown land in them</w:t>
      </w:r>
      <w:bookmarkEnd w:id="21"/>
      <w:r>
        <w:rPr>
          <w:snapToGrid w:val="0"/>
        </w:rPr>
        <w:t xml:space="preserve"> </w:t>
      </w:r>
    </w:p>
    <w:p>
      <w:pPr>
        <w:pStyle w:val="Subsection"/>
        <w:spacing w:before="200"/>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 xml:space="preserve">constitute any part of the State, including any area that comes within paragraph (b) of the definition of </w:t>
      </w:r>
      <w:r>
        <w:rPr>
          <w:b/>
          <w:i/>
          <w:snapToGrid w:val="0"/>
        </w:rPr>
        <w:t>land</w:t>
      </w:r>
      <w:r>
        <w:rPr>
          <w:snapToGrid w:val="0"/>
        </w:rPr>
        <w:t xml:space="preserve"> in section 8(1), to be a mineral field; or</w:t>
      </w:r>
    </w:p>
    <w:p>
      <w:pPr>
        <w:pStyle w:val="Indenta"/>
        <w:rPr>
          <w:snapToGrid w:val="0"/>
        </w:rPr>
      </w:pPr>
      <w:r>
        <w:rPr>
          <w:snapToGrid w:val="0"/>
        </w:rPr>
        <w:lastRenderedPageBreak/>
        <w:tab/>
        <w:t>(b)</w:t>
      </w:r>
      <w:r>
        <w:rPr>
          <w:snapToGrid w:val="0"/>
        </w:rPr>
        <w:tab/>
        <w:t>divide any mineral field into districts; or</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Subsection"/>
      </w:pPr>
      <w:r>
        <w:tab/>
        <w:t>(4)</w:t>
      </w:r>
      <w:r>
        <w:tab/>
        <w:t>A provision of a diversification lease over Crown land that is in a mineral field must not be varied so as to alter a purpose of the lease without the approval of the Minister.</w:t>
      </w:r>
    </w:p>
    <w:p>
      <w:pPr>
        <w:pStyle w:val="Subsection"/>
      </w:pPr>
      <w:r>
        <w:tab/>
        <w:t>(5)</w:t>
      </w:r>
      <w:r>
        <w:tab/>
        <w:t xml:space="preserve">Crown land that is in a mineral field must not be identified in a diversification lease under the </w:t>
      </w:r>
      <w:r>
        <w:rPr>
          <w:i/>
        </w:rPr>
        <w:t>Land Administration Act 1997</w:t>
      </w:r>
      <w:r>
        <w:t xml:space="preserve"> section 92C(4) without the approval of the Minister.</w:t>
      </w:r>
    </w:p>
    <w:p>
      <w:pPr>
        <w:pStyle w:val="Footnotesection"/>
      </w:pPr>
      <w:r>
        <w:tab/>
        <w:t>[Section 16 amended: No. 31 of 1997 s. 71(2) and 141; No. 12 of 2003 s. 7; No. 4 of 2023 s. 132.]</w:t>
      </w:r>
    </w:p>
    <w:p>
      <w:pPr>
        <w:pStyle w:val="Heading5"/>
      </w:pPr>
      <w:bookmarkStart w:id="22" w:name="_Toc202366033"/>
      <w:r>
        <w:rPr>
          <w:rStyle w:val="CharSectno"/>
        </w:rPr>
        <w:t>17</w:t>
      </w:r>
      <w:r>
        <w:t>.</w:t>
      </w:r>
      <w:r>
        <w:tab/>
        <w:t>Designated tenement contact</w:t>
      </w:r>
      <w:bookmarkEnd w:id="22"/>
    </w:p>
    <w:p>
      <w:pPr>
        <w:pStyle w:val="Subsection"/>
      </w:pPr>
      <w:r>
        <w:tab/>
        <w:t>(1)</w:t>
      </w:r>
      <w:r>
        <w:tab/>
        <w:t xml:space="preserve">In this section — </w:t>
      </w:r>
    </w:p>
    <w:p>
      <w:pPr>
        <w:pStyle w:val="Defstart"/>
      </w:pPr>
      <w:r>
        <w:tab/>
      </w:r>
      <w:r>
        <w:rPr>
          <w:rStyle w:val="CharDefText"/>
        </w:rPr>
        <w:t>give</w:t>
      </w:r>
      <w:r>
        <w:t xml:space="preserve"> includes serve, send or any similar expression; </w:t>
      </w:r>
    </w:p>
    <w:p>
      <w:pPr>
        <w:pStyle w:val="Defstart"/>
      </w:pPr>
      <w:r>
        <w:tab/>
      </w:r>
      <w:r>
        <w:rPr>
          <w:rStyle w:val="CharDefText"/>
        </w:rPr>
        <w:t>prescribed provision</w:t>
      </w:r>
      <w:r>
        <w:t xml:space="preserve"> means a provision of this Act, or the regulations made for the purposes of this Act — </w:t>
      </w:r>
    </w:p>
    <w:p>
      <w:pPr>
        <w:pStyle w:val="Defpara"/>
      </w:pPr>
      <w:r>
        <w:tab/>
        <w:t>(a)</w:t>
      </w:r>
      <w:r>
        <w:tab/>
        <w:t>under which the Minister, a warden or any official of the Department is required or permitted to give information, a document, a notice or a notification to a person who holds, or has applied for, a mining tenement; and</w:t>
      </w:r>
    </w:p>
    <w:p>
      <w:pPr>
        <w:pStyle w:val="Defpara"/>
      </w:pPr>
      <w:r>
        <w:tab/>
        <w:t>(b)</w:t>
      </w:r>
      <w:r>
        <w:tab/>
        <w:t>that is prescribed for the purpose of this section.</w:t>
      </w:r>
    </w:p>
    <w:p>
      <w:pPr>
        <w:pStyle w:val="Subsection"/>
      </w:pPr>
      <w:r>
        <w:lastRenderedPageBreak/>
        <w:tab/>
        <w:t>(2)</w:t>
      </w:r>
      <w:r>
        <w:tab/>
        <w:t xml:space="preserve">Despite anything else in this Act, a prescribed provision is to be taken to have been complied with if — </w:t>
      </w:r>
    </w:p>
    <w:p>
      <w:pPr>
        <w:pStyle w:val="Indenta"/>
      </w:pPr>
      <w:r>
        <w:tab/>
        <w:t>(a)</w:t>
      </w:r>
      <w:r>
        <w:tab/>
        <w:t>under the prescribed provision, information, a document, a notice or a notification is required or permitted to be given to a person who holds, or has applied for, a mining tenement; and</w:t>
      </w:r>
    </w:p>
    <w:p>
      <w:pPr>
        <w:pStyle w:val="Indenta"/>
      </w:pPr>
      <w:r>
        <w:tab/>
        <w:t>(b)</w:t>
      </w:r>
      <w:r>
        <w:tab/>
        <w:t>the information, document, notice or notification referred to in the provision is given to the designated tenement contact for that mining tenement or application.</w:t>
      </w:r>
    </w:p>
    <w:p>
      <w:pPr>
        <w:pStyle w:val="Footnotesection"/>
      </w:pPr>
      <w:r>
        <w:tab/>
        <w:t>[Section 17 inserted: No. 44 of 2016 s. 21; amended: No. 39 of 2022 s. 5.]</w:t>
      </w:r>
    </w:p>
    <w:p>
      <w:pPr>
        <w:pStyle w:val="Heading2"/>
      </w:pPr>
      <w:bookmarkStart w:id="23" w:name="_Toc202186578"/>
      <w:bookmarkStart w:id="24" w:name="_Toc202366034"/>
      <w:r>
        <w:rPr>
          <w:rStyle w:val="CharPartNo"/>
        </w:rPr>
        <w:lastRenderedPageBreak/>
        <w:t>Part III</w:t>
      </w:r>
      <w:r>
        <w:t> — </w:t>
      </w:r>
      <w:r>
        <w:rPr>
          <w:rStyle w:val="CharPartText"/>
        </w:rPr>
        <w:t>Land open for mining</w:t>
      </w:r>
      <w:bookmarkEnd w:id="23"/>
      <w:bookmarkEnd w:id="24"/>
    </w:p>
    <w:p>
      <w:pPr>
        <w:pStyle w:val="Heading3"/>
      </w:pPr>
      <w:bookmarkStart w:id="25" w:name="_Toc202186579"/>
      <w:bookmarkStart w:id="26" w:name="_Toc202366035"/>
      <w:r>
        <w:rPr>
          <w:rStyle w:val="CharDivNo"/>
        </w:rPr>
        <w:t>Division 1</w:t>
      </w:r>
      <w:r>
        <w:rPr>
          <w:snapToGrid w:val="0"/>
        </w:rPr>
        <w:t> — </w:t>
      </w:r>
      <w:r>
        <w:rPr>
          <w:rStyle w:val="CharDivText"/>
        </w:rPr>
        <w:t>Crown land</w:t>
      </w:r>
      <w:bookmarkEnd w:id="25"/>
      <w:bookmarkEnd w:id="26"/>
    </w:p>
    <w:p>
      <w:pPr>
        <w:pStyle w:val="Heading5"/>
        <w:rPr>
          <w:snapToGrid w:val="0"/>
        </w:rPr>
      </w:pPr>
      <w:bookmarkStart w:id="27" w:name="_Toc202366036"/>
      <w:r>
        <w:rPr>
          <w:rStyle w:val="CharSectno"/>
        </w:rPr>
        <w:t>18</w:t>
      </w:r>
      <w:r>
        <w:rPr>
          <w:snapToGrid w:val="0"/>
        </w:rPr>
        <w:t>.</w:t>
      </w:r>
      <w:r>
        <w:rPr>
          <w:snapToGrid w:val="0"/>
        </w:rPr>
        <w:tab/>
        <w:t>Crown land open for mining</w:t>
      </w:r>
      <w:bookmarkEnd w:id="27"/>
    </w:p>
    <w:p>
      <w:pPr>
        <w:pStyle w:val="Subsection"/>
        <w:rPr>
          <w:snapToGrid w:val="0"/>
        </w:rPr>
      </w:pPr>
      <w:r>
        <w:rPr>
          <w:snapToGrid w:val="0"/>
        </w:rPr>
        <w:tab/>
      </w:r>
      <w:r>
        <w:rPr>
          <w:snapToGrid w:val="0"/>
        </w:rPr>
        <w:tab/>
        <w:t>All Crown land, not being Crown land that is the subject of a mining tenement, is open for mining and as such is land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 and</w:t>
      </w:r>
    </w:p>
    <w:p>
      <w:pPr>
        <w:pStyle w:val="Indenta"/>
      </w:pPr>
      <w:r>
        <w:tab/>
        <w:t>(b)</w:t>
      </w:r>
      <w:r>
        <w:tab/>
        <w:t>where the holder of a miner’s right may do the things authorised by section 40D;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[Section 18 amended: No. 100 of 1985 s. 11; No. 51 of 2012 s. 7.]</w:t>
      </w:r>
    </w:p>
    <w:p>
      <w:pPr>
        <w:pStyle w:val="Heading5"/>
        <w:rPr>
          <w:snapToGrid w:val="0"/>
        </w:rPr>
      </w:pPr>
      <w:bookmarkStart w:id="28" w:name="_Toc202366037"/>
      <w:r>
        <w:rPr>
          <w:rStyle w:val="CharSectno"/>
        </w:rPr>
        <w:t>19</w:t>
      </w:r>
      <w:r>
        <w:rPr>
          <w:snapToGrid w:val="0"/>
        </w:rPr>
        <w:t>.</w:t>
      </w:r>
      <w:r>
        <w:rPr>
          <w:snapToGrid w:val="0"/>
        </w:rPr>
        <w:tab/>
        <w:t>Minister may exempt land from mining etc.</w:t>
      </w:r>
      <w:bookmarkEnd w:id="28"/>
    </w:p>
    <w:p>
      <w:pPr>
        <w:pStyle w:val="Subsection"/>
        <w:rPr>
          <w:snapToGrid w:val="0"/>
        </w:rPr>
      </w:pPr>
      <w:r>
        <w:rPr>
          <w:snapToGrid w:val="0"/>
        </w:rPr>
        <w:tab/>
        <w:t>(1)</w:t>
      </w:r>
      <w:r>
        <w:rPr>
          <w:snapToGrid w:val="0"/>
        </w:rPr>
        <w:tab/>
        <w:t>The Minister may from time to time by instrument in writing under his hand —</w:t>
      </w:r>
    </w:p>
    <w:p>
      <w:pPr>
        <w:pStyle w:val="Indenta"/>
        <w:rPr>
          <w:snapToGrid w:val="0"/>
        </w:rPr>
      </w:pPr>
      <w:r>
        <w:rPr>
          <w:snapToGrid w:val="0"/>
        </w:rPr>
        <w:tab/>
        <w:t>(a)</w:t>
      </w:r>
      <w:r>
        <w:rPr>
          <w:snapToGrid w:val="0"/>
        </w:rPr>
        <w:tab/>
        <w:t>exempt any land, not being private land or land that is the subject of a mining tenement or of an application therefor, from —</w:t>
      </w:r>
    </w:p>
    <w:p>
      <w:pPr>
        <w:pStyle w:val="Indenti"/>
        <w:rPr>
          <w:snapToGrid w:val="0"/>
        </w:rPr>
      </w:pPr>
      <w:r>
        <w:rPr>
          <w:snapToGrid w:val="0"/>
        </w:rPr>
        <w:tab/>
        <w:t>(i)</w:t>
      </w:r>
      <w:r>
        <w:rPr>
          <w:snapToGrid w:val="0"/>
        </w:rPr>
        <w:tab/>
        <w:t>mining; or</w:t>
      </w:r>
    </w:p>
    <w:p>
      <w:pPr>
        <w:pStyle w:val="Indenti"/>
        <w:rPr>
          <w:snapToGrid w:val="0"/>
        </w:rPr>
      </w:pPr>
      <w:r>
        <w:rPr>
          <w:snapToGrid w:val="0"/>
        </w:rPr>
        <w:tab/>
        <w:t>(ii)</w:t>
      </w:r>
      <w:r>
        <w:rPr>
          <w:snapToGrid w:val="0"/>
        </w:rPr>
        <w:tab/>
        <w:t>a specified mining purpose; or</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keepNext/>
        <w:rPr>
          <w:snapToGrid w:val="0"/>
        </w:rPr>
      </w:pPr>
      <w:r>
        <w:rPr>
          <w:snapToGrid w:val="0"/>
        </w:rPr>
        <w:lastRenderedPageBreak/>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p>
    <w:p>
      <w:pPr>
        <w:pStyle w:val="Subsection"/>
        <w:rPr>
          <w:snapToGrid w:val="0"/>
        </w:rPr>
      </w:pPr>
      <w:r>
        <w:rPr>
          <w:snapToGrid w:val="0"/>
        </w:rPr>
        <w:tab/>
        <w:t>(2d)</w:t>
      </w:r>
      <w:r>
        <w:rPr>
          <w:snapToGrid w:val="0"/>
        </w:rPr>
        <w:tab/>
        <w:t>In subsections (2a) and (2b)</w:t>
      </w:r>
      <w:r>
        <w:t xml:space="preserve"> the </w:t>
      </w:r>
      <w:r>
        <w:rPr>
          <w:rStyle w:val="CharDefText"/>
        </w:rPr>
        <w:t>prescribed day</w:t>
      </w:r>
      <w:r>
        <w:rPr>
          <w:snapToGrid w:val="0"/>
        </w:rPr>
        <w:t xml:space="preserve"> means the day on which section 4 of the </w:t>
      </w:r>
      <w:r>
        <w:rPr>
          <w:i/>
          <w:snapToGrid w:val="0"/>
        </w:rPr>
        <w:t>Mining Amendment Act 1994</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lastRenderedPageBreak/>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[Section 19 amended: No. 69 of 1981 s. 8; No. 100 of 1985 s. 12; No. 21 of 1993 s. 45; No. 58 of 1994 s. 4; No. 52 of 1995 s. 20; No. 5 of 1997 s. 41(2).]</w:t>
      </w:r>
    </w:p>
    <w:p>
      <w:pPr>
        <w:pStyle w:val="Heading5"/>
        <w:spacing w:before="260"/>
        <w:rPr>
          <w:snapToGrid w:val="0"/>
        </w:rPr>
      </w:pPr>
      <w:bookmarkStart w:id="29" w:name="_Toc202366038"/>
      <w:r>
        <w:rPr>
          <w:rStyle w:val="CharSectno"/>
        </w:rPr>
        <w:t>20</w:t>
      </w:r>
      <w:r>
        <w:rPr>
          <w:snapToGrid w:val="0"/>
        </w:rPr>
        <w:t>.</w:t>
      </w:r>
      <w:r>
        <w:rPr>
          <w:snapToGrid w:val="0"/>
        </w:rPr>
        <w:tab/>
        <w:t>Protection of certain Crown land</w:t>
      </w:r>
      <w:bookmarkEnd w:id="29"/>
    </w:p>
    <w:p>
      <w:pPr>
        <w:pStyle w:val="Ednotesubsection"/>
      </w:pPr>
      <w:r>
        <w:tab/>
        <w:t>[(1)-(4)</w:t>
      </w:r>
      <w:r>
        <w:tab/>
        <w:t>deleted]</w:t>
      </w:r>
    </w:p>
    <w:p>
      <w:pPr>
        <w:pStyle w:val="Subsection"/>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w:t>
      </w:r>
    </w:p>
    <w:p>
      <w:pPr>
        <w:pStyle w:val="Indenta"/>
        <w:rPr>
          <w:snapToGrid w:val="0"/>
        </w:rPr>
      </w:pPr>
      <w:r>
        <w:rPr>
          <w:snapToGrid w:val="0"/>
        </w:rPr>
        <w:tab/>
        <w:t>(a)</w:t>
      </w:r>
      <w:r>
        <w:rPr>
          <w:snapToGrid w:val="0"/>
        </w:rPr>
        <w:tab/>
        <w:t>for the time being under crop, or which is situated within 100 m thereof; or</w:t>
      </w:r>
    </w:p>
    <w:p>
      <w:pPr>
        <w:pStyle w:val="Indenta"/>
        <w:rPr>
          <w:snapToGrid w:val="0"/>
        </w:rPr>
      </w:pPr>
      <w:r>
        <w:rPr>
          <w:snapToGrid w:val="0"/>
        </w:rPr>
        <w:lastRenderedPageBreak/>
        <w:tab/>
        <w:t>(b)</w:t>
      </w:r>
      <w:r>
        <w:rPr>
          <w:snapToGrid w:val="0"/>
        </w:rPr>
        <w:tab/>
        <w:t>used as or situated within 100 m of a yard, stockyard, garden, cultivated field, orchard, vineyard, plantation, airstrip or airfield; or</w:t>
      </w:r>
    </w:p>
    <w:p>
      <w:pPr>
        <w:pStyle w:val="Indenta"/>
        <w:rPr>
          <w:snapToGrid w:val="0"/>
        </w:rPr>
      </w:pPr>
      <w:r>
        <w:rPr>
          <w:snapToGrid w:val="0"/>
        </w:rPr>
        <w:tab/>
        <w:t>(c)</w:t>
      </w:r>
      <w:r>
        <w:rPr>
          <w:snapToGrid w:val="0"/>
        </w:rPr>
        <w:tab/>
        <w:t>situated within 100 m of any land that is in actual occupation and on which a house or other substantial building is erected; or</w:t>
      </w:r>
    </w:p>
    <w:p>
      <w:pPr>
        <w:pStyle w:val="Indenta"/>
        <w:rPr>
          <w:snapToGrid w:val="0"/>
        </w:rPr>
      </w:pPr>
      <w:r>
        <w:rPr>
          <w:snapToGrid w:val="0"/>
        </w:rPr>
        <w:tab/>
        <w:t>(d)</w:t>
      </w:r>
      <w:r>
        <w:rPr>
          <w:snapToGrid w:val="0"/>
        </w:rPr>
        <w:tab/>
        <w:t>the site of or situated within 100 m of any cemetery or burial ground; or</w:t>
      </w:r>
    </w:p>
    <w:p>
      <w:pPr>
        <w:pStyle w:val="Indenta"/>
      </w:pPr>
      <w:r>
        <w:tab/>
        <w:t>(da)</w:t>
      </w:r>
      <w:r>
        <w:tab/>
        <w:t>the site of or situated within 100 m of a permanent electrical or fibre optic cable; or</w:t>
      </w:r>
    </w:p>
    <w:p>
      <w:pPr>
        <w:pStyle w:val="Indenta"/>
      </w:pPr>
      <w:r>
        <w:tab/>
        <w:t>(db)</w:t>
      </w:r>
      <w:r>
        <w:tab/>
        <w:t xml:space="preserve">land under a diversification lease that is the site of, or situated within 100 m of, a substantial structure that — </w:t>
      </w:r>
    </w:p>
    <w:p>
      <w:pPr>
        <w:pStyle w:val="Indenti"/>
      </w:pPr>
      <w:r>
        <w:tab/>
        <w:t>(i)</w:t>
      </w:r>
      <w:r>
        <w:tab/>
        <w:t>is being erected or commissioned; or</w:t>
      </w:r>
    </w:p>
    <w:p>
      <w:pPr>
        <w:pStyle w:val="Indenti"/>
      </w:pPr>
      <w:r>
        <w:tab/>
        <w:t>(ii)</w:t>
      </w:r>
      <w:r>
        <w:tab/>
        <w:t>has been erected and is used,</w:t>
      </w:r>
      <w:r>
        <w:rPr>
          <w:snapToGrid w:val="0"/>
        </w:rPr>
        <w:t xml:space="preserve"> not being a structure previously erected and used for mining purposes by a person other than a lessee of that </w:t>
      </w:r>
      <w:r>
        <w:t>diversification lease;</w:t>
      </w:r>
    </w:p>
    <w:p>
      <w:pPr>
        <w:pStyle w:val="Indenta"/>
      </w:pPr>
      <w:r>
        <w:tab/>
      </w:r>
      <w:r>
        <w:tab/>
        <w:t>or</w:t>
      </w:r>
    </w:p>
    <w:p>
      <w:pPr>
        <w:pStyle w:val="Indenta"/>
      </w:pPr>
      <w:r>
        <w:rPr>
          <w:snapToGrid w:val="0"/>
        </w:rPr>
        <w:tab/>
        <w:t>(e)</w:t>
      </w:r>
      <w:r>
        <w:rPr>
          <w:snapToGrid w:val="0"/>
        </w:rPr>
        <w:tab/>
        <w:t xml:space="preserve">land </w:t>
      </w:r>
      <w:r>
        <w:t>under a pastoral lease or a diversification lease that</w:t>
      </w:r>
      <w:r>
        <w:rPr>
          <w:snapToGrid w:val="0"/>
        </w:rPr>
        <w:t xml:space="preserve"> is the site of, or is situated within 400 m of the outer edge of, any water works, race, dam, well or bore, not being an excavation previously made and used for mining purposes by a person other than a lessee of that pastoral </w:t>
      </w:r>
      <w:r>
        <w:t>lease or diversification lease,</w:t>
      </w:r>
    </w:p>
    <w:p>
      <w:pPr>
        <w:pStyle w:val="Subsection"/>
        <w:spacing w:before="80"/>
      </w:pPr>
      <w:r>
        <w:rPr>
          <w:snapToGrid w:val="0"/>
        </w:rPr>
        <w:tab/>
      </w:r>
      <w:r>
        <w:rPr>
          <w:snapToGrid w:val="0"/>
        </w:rPr>
        <w:tab/>
        <w:t xml:space="preserve">without the written consent of the occupier, </w:t>
      </w:r>
      <w:r>
        <w:t>unless —</w:t>
      </w:r>
    </w:p>
    <w:p>
      <w:pPr>
        <w:pStyle w:val="Indenta"/>
      </w:pPr>
      <w:r>
        <w:tab/>
        <w:t>(ea)</w:t>
      </w:r>
      <w:r>
        <w:tab/>
        <w:t>the warden in relation to any land other than land referred to in paragraph (c) or (db) otherwise directs; or</w:t>
      </w:r>
    </w:p>
    <w:p>
      <w:pPr>
        <w:pStyle w:val="Indenta"/>
      </w:pPr>
      <w:r>
        <w:tab/>
        <w:t>(eb)</w:t>
      </w:r>
      <w:r>
        <w:tab/>
        <w:t>in the case of mining, it is carried out not less than 30 m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w:t>
      </w:r>
    </w:p>
    <w:p>
      <w:pPr>
        <w:pStyle w:val="Indenta"/>
        <w:keepNext/>
        <w:rPr>
          <w:snapToGrid w:val="0"/>
        </w:rPr>
      </w:pPr>
      <w:r>
        <w:rPr>
          <w:snapToGrid w:val="0"/>
        </w:rPr>
        <w:lastRenderedPageBreak/>
        <w:tab/>
        <w:t>(f)</w:t>
      </w:r>
      <w:r>
        <w:rPr>
          <w:snapToGrid w:val="0"/>
        </w:rPr>
        <w:tab/>
        <w:t>100 m of any Crown land that is —</w:t>
      </w:r>
    </w:p>
    <w:p>
      <w:pPr>
        <w:pStyle w:val="Indenti"/>
        <w:rPr>
          <w:snapToGrid w:val="0"/>
        </w:rPr>
      </w:pPr>
      <w:r>
        <w:rPr>
          <w:snapToGrid w:val="0"/>
        </w:rPr>
        <w:tab/>
        <w:t>(i)</w:t>
      </w:r>
      <w:r>
        <w:rPr>
          <w:snapToGrid w:val="0"/>
        </w:rPr>
        <w:tab/>
        <w:t>for the time being under crop; or</w:t>
      </w:r>
    </w:p>
    <w:p>
      <w:pPr>
        <w:pStyle w:val="Indenti"/>
        <w:rPr>
          <w:snapToGrid w:val="0"/>
        </w:rPr>
      </w:pPr>
      <w:r>
        <w:rPr>
          <w:snapToGrid w:val="0"/>
        </w:rPr>
        <w:tab/>
        <w:t>(ii)</w:t>
      </w:r>
      <w:r>
        <w:rPr>
          <w:snapToGrid w:val="0"/>
        </w:rPr>
        <w:tab/>
        <w:t>used as a yard, stockyard, garden, cultivated field, orchard, vineyard, plantation, airstrip or airfield; or</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 or</w:t>
      </w:r>
    </w:p>
    <w:p>
      <w:pPr>
        <w:pStyle w:val="Indenti"/>
      </w:pPr>
      <w:r>
        <w:tab/>
        <w:t>(v)</w:t>
      </w:r>
      <w:r>
        <w:tab/>
        <w:t>the site of a permanent electrical or fibre optic cable; or</w:t>
      </w:r>
    </w:p>
    <w:p>
      <w:pPr>
        <w:pStyle w:val="Indenti"/>
      </w:pPr>
      <w:r>
        <w:tab/>
        <w:t>(vi)</w:t>
      </w:r>
      <w:r>
        <w:tab/>
        <w:t>the site of a substantial structure that is being erected or commissioned or that has been erected and is used;</w:t>
      </w:r>
    </w:p>
    <w:p>
      <w:pPr>
        <w:pStyle w:val="Indenta"/>
        <w:rPr>
          <w:snapToGrid w:val="0"/>
        </w:rPr>
      </w:pPr>
      <w:r>
        <w:rPr>
          <w:snapToGrid w:val="0"/>
        </w:rPr>
        <w:tab/>
      </w:r>
      <w:r>
        <w:rPr>
          <w:snapToGrid w:val="0"/>
        </w:rPr>
        <w:tab/>
        <w:t>or</w:t>
      </w:r>
    </w:p>
    <w:p>
      <w:pPr>
        <w:pStyle w:val="Indenta"/>
        <w:keepNext/>
        <w:rPr>
          <w:snapToGrid w:val="0"/>
        </w:rPr>
      </w:pPr>
      <w:r>
        <w:rPr>
          <w:snapToGrid w:val="0"/>
        </w:rPr>
        <w:tab/>
        <w:t>(g)</w:t>
      </w:r>
      <w:r>
        <w:rPr>
          <w:snapToGrid w:val="0"/>
        </w:rPr>
        <w:tab/>
        <w:t>400 m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pPr>
        <w:pStyle w:val="Subsection"/>
      </w:pPr>
      <w:r>
        <w:t>(5AA)</w:t>
      </w:r>
      <w:r>
        <w:tab/>
        <w:t xml:space="preserve">Subsection (5) does not apply to land under a diversification lease described in subsection (5)(db) unless the land is identified in the diversification lease under the </w:t>
      </w:r>
      <w:r>
        <w:rPr>
          <w:i/>
        </w:rPr>
        <w:t>Land Administration Act 1997</w:t>
      </w:r>
      <w:r>
        <w:t xml:space="preserve"> section 92C(4) for the purposes of this subsection.</w:t>
      </w:r>
    </w:p>
    <w:p>
      <w:pPr>
        <w:pStyle w:val="Subsection"/>
        <w:keepNext/>
        <w:rPr>
          <w:snapToGrid w:val="0"/>
        </w:rPr>
      </w:pPr>
      <w:r>
        <w:rPr>
          <w:snapToGrid w:val="0"/>
        </w:rPr>
        <w:lastRenderedPageBreak/>
        <w:tab/>
        <w:t>(5a)</w:t>
      </w:r>
      <w:r>
        <w:rPr>
          <w:snapToGrid w:val="0"/>
        </w:rPr>
        <w:tab/>
        <w:t>The holder of a mining tenement or Miner’s Right who passes or repasses over any Crown land that is situated within —</w:t>
      </w:r>
    </w:p>
    <w:p>
      <w:pPr>
        <w:pStyle w:val="Indenta"/>
        <w:rPr>
          <w:snapToGrid w:val="0"/>
        </w:rPr>
      </w:pPr>
      <w:r>
        <w:rPr>
          <w:snapToGrid w:val="0"/>
        </w:rPr>
        <w:tab/>
        <w:t>(a)</w:t>
      </w:r>
      <w:r>
        <w:rPr>
          <w:snapToGrid w:val="0"/>
        </w:rPr>
        <w:tab/>
        <w:t>100 m of any Crown land referred to in subsection (5)(f); or</w:t>
      </w:r>
    </w:p>
    <w:p>
      <w:pPr>
        <w:pStyle w:val="Indenta"/>
        <w:rPr>
          <w:snapToGrid w:val="0"/>
        </w:rPr>
      </w:pPr>
      <w:r>
        <w:rPr>
          <w:snapToGrid w:val="0"/>
        </w:rPr>
        <w:tab/>
        <w:t>(b)</w:t>
      </w:r>
      <w:r>
        <w:rPr>
          <w:snapToGrid w:val="0"/>
        </w:rPr>
        <w:tab/>
        <w:t>400 m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 and</w:t>
      </w:r>
    </w:p>
    <w:p>
      <w:pPr>
        <w:pStyle w:val="Indenta"/>
        <w:keepNext/>
        <w:rPr>
          <w:snapToGrid w:val="0"/>
        </w:rPr>
      </w:pPr>
      <w:r>
        <w:rPr>
          <w:snapToGrid w:val="0"/>
        </w:rPr>
        <w:tab/>
        <w:t>(d)</w:t>
      </w:r>
      <w:r>
        <w:rPr>
          <w:snapToGrid w:val="0"/>
        </w:rPr>
        <w:tab/>
        <w:t>when so passing or repassing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i"/>
        <w:rPr>
          <w:snapToGrid w:val="0"/>
        </w:rPr>
      </w:pPr>
      <w:r>
        <w:rPr>
          <w:snapToGrid w:val="0"/>
        </w:rPr>
        <w:tab/>
        <w:t>(ii)</w:t>
      </w:r>
      <w:r>
        <w:rPr>
          <w:snapToGrid w:val="0"/>
        </w:rPr>
        <w:tab/>
        <w:t>cause as little inconvenience as possible to the occupier of the Crown land so situated; and</w:t>
      </w:r>
    </w:p>
    <w:p>
      <w:pPr>
        <w:pStyle w:val="Indenti"/>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rPr>
          <w:snapToGrid w:val="0"/>
        </w:rPr>
      </w:pPr>
      <w:r>
        <w:rPr>
          <w:snapToGrid w:val="0"/>
        </w:rPr>
        <w:tab/>
        <w:t>(f)</w:t>
      </w:r>
      <w:r>
        <w:rPr>
          <w:snapToGrid w:val="0"/>
        </w:rPr>
        <w:tab/>
        <w:t>make good any damage caused by that passing or repassing to any improvements or livestock on the Crown land so situated,</w:t>
      </w:r>
    </w:p>
    <w:p>
      <w:pPr>
        <w:pStyle w:val="Subsection"/>
        <w:spacing w:before="100"/>
        <w:rPr>
          <w:snapToGrid w:val="0"/>
        </w:rPr>
      </w:pPr>
      <w:r>
        <w:rPr>
          <w:snapToGrid w:val="0"/>
        </w:rPr>
        <w:lastRenderedPageBreak/>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spacing w:before="100"/>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spacing w:before="100"/>
        <w:rPr>
          <w:snapToGrid w:val="0"/>
        </w:rPr>
      </w:pPr>
      <w:r>
        <w:rPr>
          <w:snapToGrid w:val="0"/>
        </w:rPr>
        <w:tab/>
        <w:t>(5c)</w:t>
      </w:r>
      <w:r>
        <w:rPr>
          <w:snapToGrid w:val="0"/>
        </w:rPr>
        <w:tab/>
        <w:t xml:space="preserve">A </w:t>
      </w:r>
      <w:r>
        <w:t>determination</w:t>
      </w:r>
      <w:r>
        <w:rPr>
          <w:snapToGrid w:val="0"/>
        </w:rPr>
        <w:t xml:space="preserve"> made by the warden’s court under subsection (5b) is, for the purposes of section 147(1), a final determination of the warden’s court.</w:t>
      </w:r>
    </w:p>
    <w:p>
      <w:pPr>
        <w:pStyle w:val="Footnotesection"/>
        <w:ind w:left="890" w:hanging="890"/>
      </w:pPr>
      <w:r>
        <w:tab/>
        <w:t>[Section 20</w:t>
      </w:r>
      <w:r>
        <w:rPr>
          <w:i w:val="0"/>
          <w:vertAlign w:val="superscript"/>
        </w:rPr>
        <w:t> 3</w:t>
      </w:r>
      <w:r>
        <w:t xml:space="preserve"> amended: No. 122 of 1982 s. 6; No. 100 of 1985 s. 13; No. 22 of 1990 s. 5; No. 31 of 1997 s. 141; No. 63 of 2000 s. 4; No. 15 of 2002 s. 5; No. 39 of 2004 s. 50 and 88; No. 51 of 2012 s. 8; No. 4 of 2023 s. 133.]</w:t>
      </w:r>
    </w:p>
    <w:p>
      <w:pPr>
        <w:pStyle w:val="Ednotesection"/>
      </w:pPr>
      <w:r>
        <w:t>[</w:t>
      </w:r>
      <w:r>
        <w:rPr>
          <w:b/>
          <w:bCs/>
        </w:rPr>
        <w:t>20A-20C.</w:t>
      </w:r>
      <w:r>
        <w:tab/>
        <w:t>Deleted: No. 51 of 2012 s. 9.]</w:t>
      </w:r>
    </w:p>
    <w:p>
      <w:pPr>
        <w:pStyle w:val="Heading5"/>
        <w:spacing w:before="180"/>
        <w:rPr>
          <w:snapToGrid w:val="0"/>
        </w:rPr>
      </w:pPr>
      <w:bookmarkStart w:id="30" w:name="_Toc202366039"/>
      <w:r>
        <w:rPr>
          <w:rStyle w:val="CharSectno"/>
        </w:rPr>
        <w:t>21</w:t>
      </w:r>
      <w:r>
        <w:rPr>
          <w:snapToGrid w:val="0"/>
        </w:rPr>
        <w:t>.</w:t>
      </w:r>
      <w:r>
        <w:rPr>
          <w:snapToGrid w:val="0"/>
        </w:rPr>
        <w:tab/>
        <w:t>Power to resume land</w:t>
      </w:r>
      <w:bookmarkEnd w:id="30"/>
    </w:p>
    <w:p>
      <w:pPr>
        <w:pStyle w:val="Subsection"/>
        <w:spacing w:before="100"/>
        <w:rPr>
          <w:snapToGrid w:val="0"/>
        </w:rPr>
      </w:pPr>
      <w:r>
        <w:rPr>
          <w:snapToGrid w:val="0"/>
        </w:rPr>
        <w:tab/>
        <w:t>(1)</w:t>
      </w:r>
      <w:r>
        <w:rPr>
          <w:snapToGrid w:val="0"/>
        </w:rPr>
        <w:tab/>
        <w:t xml:space="preserve">Any land, including </w:t>
      </w:r>
      <w:r>
        <w:t>land</w:t>
      </w:r>
      <w:r>
        <w:rPr>
          <w:snapToGrid w:val="0"/>
        </w:rPr>
        <w:t xml:space="preserve">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w:t>
      </w:r>
      <w:r>
        <w:rPr>
          <w:snapToGrid w:val="0"/>
        </w:rPr>
        <w:lastRenderedPageBreak/>
        <w:t>enter upon the land and carry out all necessary operations in accordance with that Act.</w:t>
      </w:r>
    </w:p>
    <w:p>
      <w:pPr>
        <w:pStyle w:val="Subsection"/>
        <w:spacing w:before="100"/>
      </w:pPr>
      <w:r>
        <w:tab/>
        <w:t>(2A)</w:t>
      </w:r>
      <w:r>
        <w:tab/>
        <w:t xml:space="preserve">In subsection (1) — </w:t>
      </w:r>
    </w:p>
    <w:p>
      <w:pPr>
        <w:pStyle w:val="Defstart"/>
      </w:pPr>
      <w:r>
        <w:tab/>
      </w:r>
      <w:r>
        <w:rPr>
          <w:rStyle w:val="CharDefText"/>
        </w:rPr>
        <w:t>land</w:t>
      </w:r>
      <w:r>
        <w:t xml:space="preserve"> does not include Commonwealth land.</w:t>
      </w:r>
    </w:p>
    <w:p>
      <w:pPr>
        <w:pStyle w:val="Subsection"/>
        <w:spacing w:before="100"/>
        <w:rPr>
          <w:snapToGrid w:val="0"/>
        </w:rPr>
      </w:pPr>
      <w:r>
        <w:rPr>
          <w:snapToGrid w:val="0"/>
        </w:rPr>
        <w:tab/>
        <w:t>(2)</w:t>
      </w:r>
      <w:r>
        <w:rPr>
          <w:snapToGrid w:val="0"/>
        </w:rPr>
        <w:tab/>
        <w:t xml:space="preserve">At the </w:t>
      </w:r>
      <w:r>
        <w:t>request</w:t>
      </w:r>
      <w:r>
        <w:rPr>
          <w:snapToGrid w:val="0"/>
        </w:rPr>
        <w:t xml:space="preserve">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spacing w:before="100"/>
        <w:rPr>
          <w:snapToGrid w:val="0"/>
        </w:rPr>
      </w:pPr>
      <w:r>
        <w:rPr>
          <w:snapToGrid w:val="0"/>
        </w:rPr>
        <w:tab/>
        <w:t>(3)</w:t>
      </w:r>
      <w:r>
        <w:rPr>
          <w:snapToGrid w:val="0"/>
        </w:rPr>
        <w:tab/>
        <w:t xml:space="preserve">Upon the </w:t>
      </w:r>
      <w:r>
        <w:t>taking</w:t>
      </w:r>
      <w:r>
        <w:rPr>
          <w:snapToGrid w:val="0"/>
        </w:rPr>
        <w:t xml:space="preserve">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spacing w:before="100"/>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No. 100 of 1985 s. 14; No. 31 of 1997 s. 71(3)</w:t>
      </w:r>
      <w:r>
        <w:noBreakHyphen/>
        <w:t>(6); No. 55 of 2004 s. 570; No. 51 of 2012 s. 10.]</w:t>
      </w:r>
    </w:p>
    <w:p>
      <w:pPr>
        <w:pStyle w:val="Heading5"/>
        <w:keepLines w:val="0"/>
        <w:rPr>
          <w:snapToGrid w:val="0"/>
        </w:rPr>
      </w:pPr>
      <w:bookmarkStart w:id="31" w:name="_Toc202366040"/>
      <w:r>
        <w:rPr>
          <w:rStyle w:val="CharSectno"/>
        </w:rPr>
        <w:t>22</w:t>
      </w:r>
      <w:r>
        <w:rPr>
          <w:snapToGrid w:val="0"/>
        </w:rPr>
        <w:t>.</w:t>
      </w:r>
      <w:r>
        <w:rPr>
          <w:snapToGrid w:val="0"/>
        </w:rPr>
        <w:tab/>
        <w:t>Effect of resumption</w:t>
      </w:r>
      <w:bookmarkEnd w:id="31"/>
    </w:p>
    <w:p>
      <w:pPr>
        <w:pStyle w:val="Subsection"/>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w:t>
      </w:r>
      <w:r>
        <w:rPr>
          <w:snapToGrid w:val="0"/>
        </w:rPr>
        <w:lastRenderedPageBreak/>
        <w:t>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[Section 22 amended: No. 100 of 1985 s. 15; No. 31 of 1997 s. 71(7).]</w:t>
      </w:r>
    </w:p>
    <w:p>
      <w:pPr>
        <w:pStyle w:val="Heading3"/>
      </w:pPr>
      <w:bookmarkStart w:id="32" w:name="_Toc202186585"/>
      <w:bookmarkStart w:id="33" w:name="_Toc202366041"/>
      <w:r>
        <w:rPr>
          <w:rStyle w:val="CharDivNo"/>
        </w:rPr>
        <w:t>Division 2</w:t>
      </w:r>
      <w:r>
        <w:rPr>
          <w:snapToGrid w:val="0"/>
        </w:rPr>
        <w:t> — </w:t>
      </w:r>
      <w:r>
        <w:rPr>
          <w:rStyle w:val="CharDivText"/>
        </w:rPr>
        <w:t>Public reserves, etc. and Commonwealth land</w:t>
      </w:r>
      <w:bookmarkEnd w:id="32"/>
      <w:bookmarkEnd w:id="33"/>
    </w:p>
    <w:p>
      <w:pPr>
        <w:pStyle w:val="Footnoteheading"/>
      </w:pPr>
      <w:r>
        <w:tab/>
        <w:t>[Heading amended: No. 51 of 2012 s. 11.]</w:t>
      </w:r>
    </w:p>
    <w:p>
      <w:pPr>
        <w:pStyle w:val="Heading5"/>
      </w:pPr>
      <w:bookmarkStart w:id="34" w:name="_Toc202366042"/>
      <w:r>
        <w:rPr>
          <w:rStyle w:val="CharSectno"/>
        </w:rPr>
        <w:t>23</w:t>
      </w:r>
      <w:r>
        <w:t>.</w:t>
      </w:r>
      <w:r>
        <w:tab/>
        <w:t>Mining on public reserves etc. and Commonwealth land</w:t>
      </w:r>
      <w:bookmarkEnd w:id="34"/>
    </w:p>
    <w:p>
      <w:pPr>
        <w:pStyle w:val="Subsection"/>
      </w:pPr>
      <w:r>
        <w:tab/>
        <w:t>(1)</w:t>
      </w:r>
      <w:r>
        <w:tab/>
        <w:t xml:space="preserve">Subject to this Act, a mining tenement may be applied for in respect of the following land (not being land that is already the subject of a mining tenement) — </w:t>
      </w:r>
    </w:p>
    <w:p>
      <w:pPr>
        <w:pStyle w:val="Indenta"/>
      </w:pPr>
      <w:r>
        <w:tab/>
        <w:t>(a)</w:t>
      </w:r>
      <w:r>
        <w:tab/>
        <w:t>land, or land of a class, to which section 24, 24A or 25 applies;</w:t>
      </w:r>
    </w:p>
    <w:p>
      <w:pPr>
        <w:pStyle w:val="Indenta"/>
      </w:pPr>
      <w:r>
        <w:tab/>
        <w:t>(b)</w:t>
      </w:r>
      <w:r>
        <w:tab/>
        <w:t>Commonwealth land.</w:t>
      </w:r>
    </w:p>
    <w:p>
      <w:pPr>
        <w:pStyle w:val="Subsection"/>
      </w:pPr>
      <w:r>
        <w:tab/>
        <w:t>(2)</w:t>
      </w:r>
      <w:r>
        <w:tab/>
        <w:t>The holder of a mining tenement in respect of such land must not carry out mining on or under that land otherwise than in accordance with a relevant consent obtained in relation to that land under section 24, 24A, 25 or 25A.</w:t>
      </w:r>
    </w:p>
    <w:p>
      <w:pPr>
        <w:pStyle w:val="Subsection"/>
      </w:pPr>
      <w:r>
        <w:tab/>
        <w:t>(3)</w:t>
      </w:r>
      <w:r>
        <w:tab/>
        <w:t>A mining tenement held in relation to such land is liable to be forfeited if the holder of the tenement —</w:t>
      </w:r>
    </w:p>
    <w:p>
      <w:pPr>
        <w:pStyle w:val="Indenta"/>
      </w:pPr>
      <w:r>
        <w:tab/>
        <w:t>(a)</w:t>
      </w:r>
      <w:r>
        <w:tab/>
        <w:t>contravenes this section; or</w:t>
      </w:r>
    </w:p>
    <w:p>
      <w:pPr>
        <w:pStyle w:val="Indenta"/>
        <w:keepNext/>
      </w:pPr>
      <w:r>
        <w:tab/>
        <w:t>(b)</w:t>
      </w:r>
      <w:r>
        <w:tab/>
        <w:t>is in breach of any term or condition to which a consent given under section 24, 24A, 25 or 25A is made subject.</w:t>
      </w:r>
    </w:p>
    <w:p>
      <w:pPr>
        <w:pStyle w:val="Footnotesection"/>
      </w:pPr>
      <w:r>
        <w:tab/>
        <w:t>[Section 23 inserted: No. 51 of 2012 s. 12.]</w:t>
      </w:r>
    </w:p>
    <w:p>
      <w:pPr>
        <w:pStyle w:val="Heading5"/>
        <w:rPr>
          <w:snapToGrid w:val="0"/>
        </w:rPr>
      </w:pPr>
      <w:bookmarkStart w:id="35" w:name="_Toc202366043"/>
      <w:r>
        <w:rPr>
          <w:rStyle w:val="CharSectno"/>
        </w:rPr>
        <w:lastRenderedPageBreak/>
        <w:t>24</w:t>
      </w:r>
      <w:r>
        <w:rPr>
          <w:snapToGrid w:val="0"/>
        </w:rPr>
        <w:t>.</w:t>
      </w:r>
      <w:r>
        <w:rPr>
          <w:snapToGrid w:val="0"/>
        </w:rPr>
        <w:tab/>
        <w:t>Classification of reserves</w:t>
      </w:r>
      <w:bookmarkEnd w:id="35"/>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 and</w:t>
      </w:r>
    </w:p>
    <w:p>
      <w:pPr>
        <w:pStyle w:val="Indenta"/>
        <w:rPr>
          <w:snapToGrid w:val="0"/>
        </w:rPr>
      </w:pPr>
      <w:r>
        <w:rPr>
          <w:snapToGrid w:val="0"/>
        </w:rPr>
        <w:tab/>
        <w:t>(b)</w:t>
      </w:r>
      <w:r>
        <w:rPr>
          <w:snapToGrid w:val="0"/>
        </w:rPr>
        <w:tab/>
        <w:t>any land comprised within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 or</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lastRenderedPageBreak/>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 and</w:t>
      </w:r>
    </w:p>
    <w:p>
      <w:pPr>
        <w:pStyle w:val="Indenta"/>
        <w:spacing w:before="60"/>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 and</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 and</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 and</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section shall apply to the extent and in the manner specified in the Order in Council.</w:t>
      </w:r>
    </w:p>
    <w:p>
      <w:pPr>
        <w:pStyle w:val="Subsection"/>
        <w:rPr>
          <w:snapToGrid w:val="0"/>
        </w:rPr>
      </w:pPr>
      <w:r>
        <w:rPr>
          <w:snapToGrid w:val="0"/>
        </w:rPr>
        <w:tab/>
        <w:t>(2B)</w:t>
      </w:r>
      <w:r>
        <w:rPr>
          <w:snapToGrid w:val="0"/>
        </w:rPr>
        <w:tab/>
        <w:t xml:space="preserve">The Minister shall cause an Order in Council made pursuant to subsection (2A) to be laid on the table of each House of Parliament within 12 sitting days of its making and if either </w:t>
      </w:r>
      <w:r>
        <w:rPr>
          <w:snapToGrid w:val="0"/>
        </w:rPr>
        <w:lastRenderedPageBreak/>
        <w:t>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(3B)</w:t>
      </w:r>
      <w:r>
        <w:rPr>
          <w:snapToGrid w:val="0"/>
        </w:rPr>
        <w:tab/>
        <w:t xml:space="preserve">Before giving his consent </w:t>
      </w:r>
      <w:r>
        <w:t xml:space="preserve">under subsection (3A)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spacing w:before="140"/>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(5B)</w:t>
      </w:r>
      <w:r>
        <w:rPr>
          <w:snapToGrid w:val="0"/>
        </w:rPr>
        <w:tab/>
      </w:r>
      <w:r>
        <w:t xml:space="preserve">Before giving his consent under subsection (5A) </w:t>
      </w:r>
      <w:r>
        <w:rPr>
          <w:snapToGrid w:val="0"/>
        </w:rPr>
        <w:t>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spacing w:before="140"/>
        <w:rPr>
          <w:snapToGrid w:val="0"/>
        </w:rPr>
      </w:pPr>
      <w:r>
        <w:rPr>
          <w:snapToGrid w:val="0"/>
        </w:rPr>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lastRenderedPageBreak/>
        <w:tab/>
        <w:t>(6B)</w:t>
      </w:r>
      <w:r>
        <w:rPr>
          <w:snapToGrid w:val="0"/>
        </w:rPr>
        <w:tab/>
      </w:r>
      <w:r>
        <w:t xml:space="preserve">Before giving his consent under subsection (6A),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spacing w:before="120"/>
        <w:rPr>
          <w:snapToGrid w:val="0"/>
        </w:rPr>
      </w:pPr>
      <w:r>
        <w:rPr>
          <w:snapToGrid w:val="0"/>
        </w:rPr>
        <w:tab/>
        <w:t>(7B)</w:t>
      </w:r>
      <w:r>
        <w:rPr>
          <w:snapToGrid w:val="0"/>
        </w:rPr>
        <w:tab/>
        <w:t xml:space="preserve">Before giving his consent </w:t>
      </w:r>
      <w:r>
        <w:t xml:space="preserve">under subsection (7A), </w:t>
      </w:r>
      <w:r>
        <w:rPr>
          <w:snapToGrid w:val="0"/>
        </w:rPr>
        <w:t>whether conditionally or unconditionally, the Minister shall first consult the responsible Minister with respect thereto and obtain his recommendation thereon.</w:t>
      </w:r>
    </w:p>
    <w:p>
      <w:pPr>
        <w:pStyle w:val="Subsection"/>
        <w:rPr>
          <w:snapToGrid w:val="0"/>
        </w:rPr>
      </w:pPr>
      <w:r>
        <w:rPr>
          <w:snapToGrid w:val="0"/>
        </w:rPr>
        <w:tab/>
        <w:t>(7C)</w:t>
      </w:r>
      <w:r>
        <w:rPr>
          <w:snapToGrid w:val="0"/>
        </w:rPr>
        <w:tab/>
        <w:t xml:space="preserve">The giving by the Minister of his consent under </w:t>
      </w:r>
      <w:r>
        <w:t xml:space="preserve">subsection (7A) </w:t>
      </w:r>
      <w:r>
        <w:rPr>
          <w:snapToGrid w:val="0"/>
        </w:rPr>
        <w:t xml:space="preserve">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No. 122 of 1982 s. 7; No. 100 of 1985 s. 17; No. 105 of 1986 s. 8; No. 22 of 1990 s. 6; No. 20 of 1991 s. 57; No. 35 of 1992 s. 49; No. 73 of 1995 s. 188; No. 14 of 1996 s. 4; No. 54 of 1996 s. 5; No. 31 of 1997 s. 71(8)</w:t>
      </w:r>
      <w:r>
        <w:rPr>
          <w:snapToGrid/>
        </w:rPr>
        <w:noBreakHyphen/>
        <w:t>(11); No. 19 of 2010 s. 51.]</w:t>
      </w:r>
    </w:p>
    <w:p>
      <w:pPr>
        <w:pStyle w:val="Heading5"/>
        <w:rPr>
          <w:snapToGrid w:val="0"/>
        </w:rPr>
      </w:pPr>
      <w:bookmarkStart w:id="36" w:name="_Toc202366044"/>
      <w:r>
        <w:rPr>
          <w:rStyle w:val="CharSectno"/>
        </w:rPr>
        <w:lastRenderedPageBreak/>
        <w:t>24A</w:t>
      </w:r>
      <w:r>
        <w:rPr>
          <w:snapToGrid w:val="0"/>
        </w:rPr>
        <w:t>.</w:t>
      </w:r>
      <w:r>
        <w:rPr>
          <w:snapToGrid w:val="0"/>
        </w:rPr>
        <w:tab/>
        <w:t>Mining in marine reserves</w:t>
      </w:r>
      <w:bookmarkEnd w:id="36"/>
    </w:p>
    <w:p>
      <w:pPr>
        <w:pStyle w:val="Subsection"/>
        <w:keepNext/>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w:t>
      </w:r>
    </w:p>
    <w:p>
      <w:pPr>
        <w:pStyle w:val="Indenta"/>
        <w:rPr>
          <w:snapToGrid w:val="0"/>
        </w:rPr>
      </w:pPr>
      <w:r>
        <w:rPr>
          <w:snapToGrid w:val="0"/>
        </w:rPr>
        <w:tab/>
        <w:t>(a)</w:t>
      </w:r>
      <w:r>
        <w:rPr>
          <w:snapToGrid w:val="0"/>
        </w:rPr>
        <w:tab/>
        <w:t>prevents a mining tenement from being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rPr>
          <w:snapToGrid w:val="0"/>
        </w:rPr>
      </w:pPr>
      <w:r>
        <w:rPr>
          <w:snapToGrid w:val="0"/>
        </w:rPr>
        <w:lastRenderedPageBreak/>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rPr>
          <w:snapToGrid w:val="0"/>
        </w:rPr>
      </w:pPr>
      <w:r>
        <w:rPr>
          <w:snapToGrid w:val="0"/>
        </w:rPr>
        <w:tab/>
        <w:t>(7)</w:t>
      </w:r>
      <w:r>
        <w:rPr>
          <w:snapToGrid w:val="0"/>
        </w:rPr>
        <w:tab/>
        <w:t>Despite any consent given under subsection (2) or (4), nothing in this Act authorises the disturbance of —</w:t>
      </w:r>
    </w:p>
    <w:p>
      <w:pPr>
        <w:pStyle w:val="Indenta"/>
        <w:rPr>
          <w:snapToGrid w:val="0"/>
        </w:rPr>
      </w:pPr>
      <w:r>
        <w:rPr>
          <w:snapToGrid w:val="0"/>
        </w:rPr>
        <w:tab/>
        <w:t>(a)</w:t>
      </w:r>
      <w:r>
        <w:rPr>
          <w:snapToGrid w:val="0"/>
        </w:rPr>
        <w:tab/>
        <w:t>the sea bed or other land beneath waters in any restricted area in a mining tenement; or</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w:t>
      </w:r>
    </w:p>
    <w:p>
      <w:pPr>
        <w:pStyle w:val="Subsection"/>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w:t>
      </w:r>
    </w:p>
    <w:p>
      <w:pPr>
        <w:pStyle w:val="Defstart"/>
      </w:pPr>
      <w:r>
        <w:rPr>
          <w:b/>
        </w:rPr>
        <w:tab/>
      </w:r>
      <w:r>
        <w:rPr>
          <w:rStyle w:val="CharDefText"/>
        </w:rPr>
        <w:t>conservation Minister</w:t>
      </w:r>
      <w:r>
        <w:t xml:space="preserve"> means the Minister for the time being charged with the administration of the </w:t>
      </w:r>
      <w:r>
        <w:rPr>
          <w:i/>
        </w:rPr>
        <w:t>Conservation and Land Management Act 1984</w:t>
      </w:r>
      <w:r>
        <w:t>;</w:t>
      </w:r>
    </w:p>
    <w:p>
      <w:pPr>
        <w:pStyle w:val="Defstart"/>
      </w:pPr>
      <w:r>
        <w:rPr>
          <w:b/>
        </w:rPr>
        <w:tab/>
      </w:r>
      <w:r>
        <w:rPr>
          <w:rStyle w:val="CharDefText"/>
        </w:rPr>
        <w:t>fisheries Minister</w:t>
      </w:r>
      <w:r>
        <w:t xml:space="preserve"> means the Minister for the time being charged with the administration of the </w:t>
      </w:r>
      <w:r>
        <w:rPr>
          <w:i/>
        </w:rPr>
        <w:t>Fish Resources Management Act 1994</w:t>
      </w:r>
      <w:r>
        <w:t>;</w:t>
      </w:r>
    </w:p>
    <w:p>
      <w:pPr>
        <w:pStyle w:val="Defstart"/>
      </w:pPr>
      <w:r>
        <w:rPr>
          <w:b/>
        </w:rPr>
        <w:tab/>
      </w:r>
      <w:r>
        <w:rPr>
          <w:rStyle w:val="CharDefText"/>
        </w:rPr>
        <w:t>marine Minister</w:t>
      </w:r>
      <w:r>
        <w:t xml:space="preserve"> means the Minister for the time being charged with the administration of the </w:t>
      </w:r>
      <w:r>
        <w:rPr>
          <w:i/>
        </w:rPr>
        <w:t>Marine and Harbours Act 1981</w:t>
      </w:r>
      <w:r>
        <w:t>;</w:t>
      </w:r>
    </w:p>
    <w:p>
      <w:pPr>
        <w:pStyle w:val="Defstart"/>
      </w:pPr>
      <w:r>
        <w:rPr>
          <w:b/>
        </w:rPr>
        <w:tab/>
      </w:r>
      <w:r>
        <w:rPr>
          <w:rStyle w:val="CharDefText"/>
        </w:rPr>
        <w:t>restricted area</w:t>
      </w:r>
      <w:r>
        <w:t xml:space="preserve"> means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w:t>
      </w:r>
    </w:p>
    <w:p>
      <w:pPr>
        <w:pStyle w:val="Defsubpara"/>
      </w:pPr>
      <w:r>
        <w:tab/>
        <w:t>(i)</w:t>
      </w:r>
      <w:r>
        <w:tab/>
        <w:t>a sanctuary area; or</w:t>
      </w:r>
    </w:p>
    <w:p>
      <w:pPr>
        <w:pStyle w:val="Defsubpara"/>
      </w:pPr>
      <w:r>
        <w:tab/>
        <w:t>(ii)</w:t>
      </w:r>
      <w:r>
        <w:tab/>
        <w:t>a recreation area; or</w:t>
      </w:r>
    </w:p>
    <w:p>
      <w:pPr>
        <w:pStyle w:val="Defsubpara"/>
        <w:keepNext/>
        <w:keepLines w:val="0"/>
      </w:pPr>
      <w:r>
        <w:tab/>
        <w:t>(iii)</w:t>
      </w:r>
      <w:r>
        <w:tab/>
        <w:t xml:space="preserve">a special purpose area which, or that part of such an area which, the conservation Minister has </w:t>
      </w:r>
      <w:r>
        <w:lastRenderedPageBreak/>
        <w:t>declared in the classification notice to be an area where disturbance of the land, sea bed or subsoil would be incompatible with a conservation purpose specified in the classification notice.</w:t>
      </w:r>
    </w:p>
    <w:p>
      <w:pPr>
        <w:pStyle w:val="Footnotesection"/>
      </w:pPr>
      <w:r>
        <w:tab/>
        <w:t>[Section 24A inserted: No. 5 of 1997 s. 41(1); amended: No. 10 of 1998 s. 52.]</w:t>
      </w:r>
    </w:p>
    <w:p>
      <w:pPr>
        <w:pStyle w:val="Heading5"/>
        <w:spacing w:before="180"/>
        <w:rPr>
          <w:snapToGrid w:val="0"/>
        </w:rPr>
      </w:pPr>
      <w:bookmarkStart w:id="37" w:name="_Toc202366045"/>
      <w:r>
        <w:rPr>
          <w:rStyle w:val="CharSectno"/>
        </w:rPr>
        <w:t>25</w:t>
      </w:r>
      <w:r>
        <w:rPr>
          <w:snapToGrid w:val="0"/>
        </w:rPr>
        <w:t>.</w:t>
      </w:r>
      <w:r>
        <w:rPr>
          <w:snapToGrid w:val="0"/>
        </w:rPr>
        <w:tab/>
        <w:t>Mining on foreshore, sea bed, navigable waters or townsite</w:t>
      </w:r>
      <w:bookmarkEnd w:id="37"/>
    </w:p>
    <w:p>
      <w:pPr>
        <w:pStyle w:val="Subsection"/>
        <w:keepNext/>
        <w:spacing w:before="120"/>
        <w:rPr>
          <w:snapToGrid w:val="0"/>
        </w:rPr>
      </w:pPr>
      <w:r>
        <w:rPr>
          <w:snapToGrid w:val="0"/>
        </w:rPr>
        <w:tab/>
        <w:t>(1)</w:t>
      </w:r>
      <w:r>
        <w:rPr>
          <w:snapToGrid w:val="0"/>
        </w:rPr>
        <w:tab/>
        <w:t>The classes of land to which this section applies are —</w:t>
      </w:r>
    </w:p>
    <w:p>
      <w:pPr>
        <w:pStyle w:val="Indenta"/>
        <w:spacing w:before="60"/>
        <w:rPr>
          <w:snapToGrid w:val="0"/>
        </w:rPr>
      </w:pPr>
      <w:r>
        <w:rPr>
          <w:snapToGrid w:val="0"/>
        </w:rPr>
        <w:tab/>
        <w:t>(a)</w:t>
      </w:r>
      <w:r>
        <w:rPr>
          <w:snapToGrid w:val="0"/>
        </w:rPr>
        <w:tab/>
        <w:t>any part of the foreshore, being the area between the mean high water springs level of the sea and the mean low water springs level of the sea; and</w:t>
      </w:r>
    </w:p>
    <w:p>
      <w:pPr>
        <w:pStyle w:val="Indenta"/>
        <w:spacing w:before="60"/>
        <w:rPr>
          <w:snapToGrid w:val="0"/>
        </w:rPr>
      </w:pPr>
      <w:r>
        <w:rPr>
          <w:snapToGrid w:val="0"/>
        </w:rPr>
        <w:tab/>
        <w:t>(b)</w:t>
      </w:r>
      <w:r>
        <w:rPr>
          <w:snapToGrid w:val="0"/>
        </w:rPr>
        <w:tab/>
        <w:t>any part of the sea bed between the mean low water springs level of the sea and the inner limits of the coastal waters of the State as defined in section 16(1) and (2) of the</w:t>
      </w:r>
      <w:r>
        <w:rPr>
          <w:i/>
          <w:snapToGrid w:val="0"/>
        </w:rPr>
        <w:t xml:space="preserve"> Offshore Minerals Act 2003</w:t>
      </w:r>
      <w:r>
        <w:rPr>
          <w:snapToGrid w:val="0"/>
        </w:rPr>
        <w:t>; and</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(2B)</w:t>
      </w:r>
      <w:r>
        <w:rPr>
          <w:snapToGrid w:val="0"/>
        </w:rPr>
        <w:tab/>
        <w:t>Before giving his consent</w:t>
      </w:r>
      <w:r>
        <w:t xml:space="preserve"> under subsection (2A) </w:t>
      </w:r>
      <w:r>
        <w:rPr>
          <w:snapToGrid w:val="0"/>
        </w:rPr>
        <w:t xml:space="preserve">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w:t>
      </w:r>
      <w:r>
        <w:t>LAA Minister</w:t>
      </w:r>
      <w:r>
        <w:rPr>
          <w:snapToGrid w:val="0"/>
        </w:rPr>
        <w:t xml:space="preserve"> and the Minister to whom </w:t>
      </w:r>
      <w:r>
        <w:rPr>
          <w:snapToGrid w:val="0"/>
        </w:rPr>
        <w:lastRenderedPageBreak/>
        <w:t xml:space="preserve">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Subsection"/>
        <w:spacing w:before="100"/>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spacing w:before="100"/>
        <w:rPr>
          <w:snapToGrid w:val="0"/>
        </w:rPr>
      </w:pPr>
      <w:r>
        <w:rPr>
          <w:snapToGrid w:val="0"/>
        </w:rPr>
        <w:tab/>
        <w:t>(3B)</w:t>
      </w:r>
      <w:r>
        <w:rPr>
          <w:snapToGrid w:val="0"/>
        </w:rPr>
        <w:tab/>
        <w:t xml:space="preserve">Before giving his consent </w:t>
      </w:r>
      <w:r>
        <w:t xml:space="preserve">under subsection (3A) </w:t>
      </w:r>
      <w:r>
        <w:rPr>
          <w:snapToGrid w:val="0"/>
        </w:rPr>
        <w:t xml:space="preserve">whether </w:t>
      </w:r>
      <w:r>
        <w:t>conditionally</w:t>
      </w:r>
      <w:r>
        <w:rPr>
          <w:snapToGrid w:val="0"/>
        </w:rPr>
        <w:t xml:space="preserve"> or unconditionally the Minister shall first consult the </w:t>
      </w:r>
      <w:r>
        <w:t>LAA Minister</w:t>
      </w:r>
      <w:r>
        <w:rPr>
          <w:snapToGrid w:val="0"/>
        </w:rPr>
        <w:t xml:space="preserve"> and the local government, in respect thereto and obtain their recommendations thereon.</w:t>
      </w:r>
    </w:p>
    <w:p>
      <w:pPr>
        <w:pStyle w:val="Footnotesection"/>
        <w:keepLines w:val="0"/>
        <w:widowControl w:val="0"/>
        <w:spacing w:before="80"/>
        <w:ind w:left="890" w:hanging="890"/>
      </w:pPr>
      <w:r>
        <w:tab/>
        <w:t>[Section 25 amended: No. 77 of 1986 s. 9; No. 22 of 1990 s. 7; No. 37 of 1993 s. 4; No. 14 of 1996 s. 4; No. 5 of 1997 s. 42; No. 31 of 1997 s. 71(12) and 141; No. 24 of 2000 s. 26(1); No. 12 of 2003 s. 8; No. 8 of 2010 s. 18; No. 19 of 2010 s. 51.]</w:t>
      </w:r>
    </w:p>
    <w:p>
      <w:pPr>
        <w:pStyle w:val="Heading5"/>
      </w:pPr>
      <w:bookmarkStart w:id="38" w:name="_Toc202366046"/>
      <w:r>
        <w:rPr>
          <w:rStyle w:val="CharSectno"/>
        </w:rPr>
        <w:t>25A</w:t>
      </w:r>
      <w:r>
        <w:t>.</w:t>
      </w:r>
      <w:r>
        <w:tab/>
        <w:t>Mining on Commonwealth land</w:t>
      </w:r>
      <w:bookmarkEnd w:id="38"/>
    </w:p>
    <w:p>
      <w:pPr>
        <w:pStyle w:val="Subsection"/>
        <w:spacing w:before="100"/>
      </w:pPr>
      <w:r>
        <w:tab/>
        <w:t>(1)</w:t>
      </w:r>
      <w:r>
        <w:tab/>
        <w:t>Mining may be carried out on Commonwealth land with the written consent of the Minister who may refuse consent or who may give consent subject to such terms and conditions as the Minister specifies in the consent.</w:t>
      </w:r>
    </w:p>
    <w:p>
      <w:pPr>
        <w:pStyle w:val="Subsection"/>
        <w:spacing w:before="100"/>
      </w:pPr>
      <w:r>
        <w:tab/>
        <w:t>(2)</w:t>
      </w:r>
      <w:r>
        <w:tab/>
        <w:t>Before giving consent under subsection (1), whether conditionally or unconditionally, the Minister must first consult, and obtain the concurrence of, the Minister of the Commonwealth responsible for the control and management of the land.</w:t>
      </w:r>
    </w:p>
    <w:p>
      <w:pPr>
        <w:pStyle w:val="Footnotesection"/>
      </w:pPr>
      <w:r>
        <w:tab/>
        <w:t>[Section 25A inserted: No. 51 of 2012 s. 13.]</w:t>
      </w:r>
    </w:p>
    <w:p>
      <w:pPr>
        <w:pStyle w:val="Heading5"/>
        <w:keepLines w:val="0"/>
        <w:rPr>
          <w:snapToGrid w:val="0"/>
        </w:rPr>
      </w:pPr>
      <w:bookmarkStart w:id="39" w:name="_Toc202366047"/>
      <w:r>
        <w:rPr>
          <w:rStyle w:val="CharSectno"/>
        </w:rPr>
        <w:t>26</w:t>
      </w:r>
      <w:r>
        <w:rPr>
          <w:snapToGrid w:val="0"/>
        </w:rPr>
        <w:t>.</w:t>
      </w:r>
      <w:r>
        <w:rPr>
          <w:snapToGrid w:val="0"/>
        </w:rPr>
        <w:tab/>
        <w:t>Terms and conditions</w:t>
      </w:r>
      <w:bookmarkEnd w:id="39"/>
    </w:p>
    <w:p>
      <w:pPr>
        <w:pStyle w:val="Subsection"/>
        <w:spacing w:before="100"/>
        <w:rPr>
          <w:snapToGrid w:val="0"/>
        </w:rPr>
      </w:pPr>
      <w:r>
        <w:rPr>
          <w:snapToGrid w:val="0"/>
        </w:rPr>
        <w:tab/>
        <w:t>(1)</w:t>
      </w:r>
      <w:r>
        <w:rPr>
          <w:snapToGrid w:val="0"/>
        </w:rPr>
        <w:tab/>
        <w:t xml:space="preserve">The terms and conditions that may be imposed pursuant to sections 24, </w:t>
      </w:r>
      <w:r>
        <w:t>24A, 25 and 25A</w:t>
      </w:r>
      <w:r>
        <w:rPr>
          <w:snapToGrid w:val="0"/>
        </w:rPr>
        <w:t xml:space="preserve"> may include among others a condition that —</w:t>
      </w:r>
    </w:p>
    <w:p>
      <w:pPr>
        <w:pStyle w:val="Indenta"/>
        <w:rPr>
          <w:snapToGrid w:val="0"/>
        </w:rPr>
      </w:pPr>
      <w:r>
        <w:rPr>
          <w:snapToGrid w:val="0"/>
        </w:rPr>
        <w:lastRenderedPageBreak/>
        <w:tab/>
        <w:t>(a)</w:t>
      </w:r>
      <w:r>
        <w:rPr>
          <w:snapToGrid w:val="0"/>
        </w:rPr>
        <w:tab/>
        <w:t>any person carrying out mining operations on the land shall make good injury to the surface of the land or injury to anything on the surface thereof;</w:t>
      </w:r>
    </w:p>
    <w:p>
      <w:pPr>
        <w:pStyle w:val="Indenta"/>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rPr>
          <w:snapToGrid w:val="0"/>
        </w:rPr>
      </w:pPr>
      <w:r>
        <w:rPr>
          <w:snapToGrid w:val="0"/>
        </w:rPr>
        <w:tab/>
        <w:t>(c)</w:t>
      </w:r>
      <w:r>
        <w:rPr>
          <w:snapToGrid w:val="0"/>
        </w:rPr>
        <w:tab/>
        <w:t>mining operations shall be confined to such depth below the surface of the land as may be specified in the conditions;</w:t>
      </w:r>
    </w:p>
    <w:p>
      <w:pPr>
        <w:pStyle w:val="Indenta"/>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rPr>
          <w:snapToGrid w:val="0"/>
        </w:rPr>
      </w:pPr>
      <w:r>
        <w:rPr>
          <w:snapToGrid w:val="0"/>
        </w:rPr>
        <w:tab/>
        <w:t>(2)</w:t>
      </w:r>
      <w:r>
        <w:rPr>
          <w:snapToGrid w:val="0"/>
        </w:rPr>
        <w:tab/>
        <w:t>In relation to any application for a mining tenement in respect of any land, or land of a class, to which section 24, 24A or 25 applies —</w:t>
      </w:r>
    </w:p>
    <w:p>
      <w:pPr>
        <w:pStyle w:val="Indenta"/>
        <w:rPr>
          <w:snapToGrid w:val="0"/>
        </w:rPr>
      </w:pPr>
      <w:r>
        <w:rPr>
          <w:snapToGrid w:val="0"/>
        </w:rPr>
        <w:tab/>
        <w:t>(a)</w:t>
      </w:r>
      <w:r>
        <w:rPr>
          <w:snapToGrid w:val="0"/>
        </w:rPr>
        <w:tab/>
        <w:t>land to which section 24(1)(a) or (b) refers may be marked out only with the consent of the Minister and the responsible Minister; and</w:t>
      </w:r>
    </w:p>
    <w:p>
      <w:pPr>
        <w:pStyle w:val="Indenta"/>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w:t>
      </w:r>
      <w:r>
        <w:rPr>
          <w:snapToGrid w:val="0"/>
        </w:rPr>
        <w:lastRenderedPageBreak/>
        <w:t xml:space="preserve">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tab/>
        <w:t>(3)</w:t>
      </w:r>
      <w:r>
        <w:rPr>
          <w:snapToGrid w:val="0"/>
        </w:rPr>
        <w:tab/>
        <w:t xml:space="preserve">The responsible Minister for the purposes of </w:t>
      </w:r>
      <w:r>
        <w:t xml:space="preserve">subsection (2)(a) </w:t>
      </w:r>
      <w:r>
        <w:rPr>
          <w:snapToGrid w:val="0"/>
        </w:rPr>
        <w:t>is the person who is the responsible Minister in relation to the land as determined pursuant to section 24(8).</w:t>
      </w:r>
    </w:p>
    <w:p>
      <w:pPr>
        <w:pStyle w:val="Subsection"/>
        <w:spacing w:before="100"/>
      </w:pPr>
      <w:r>
        <w:tab/>
        <w:t>(4)</w:t>
      </w:r>
      <w:r>
        <w:tab/>
        <w:t>In relation to any application for a mining tenement in respect of Commonwealth land, the Commonwealth land may be marked out only with the consent of the Minister and the Minister of the Commonwealth responsible for the control and management of the land, but otherwise the land is to be marked out as a mining tenement in accordance with this Act.</w:t>
      </w:r>
    </w:p>
    <w:p>
      <w:pPr>
        <w:pStyle w:val="Footnotesection"/>
        <w:keepLines w:val="0"/>
        <w:ind w:left="890" w:hanging="890"/>
      </w:pPr>
      <w:r>
        <w:tab/>
        <w:t>[Section 26 amended: No. 100 of 1985 s. 18; No. 5 of 1997 s. 41(2); No. 17 of 1999 s. 4; No. 51 of 2012 s. 14.]</w:t>
      </w:r>
    </w:p>
    <w:p>
      <w:pPr>
        <w:pStyle w:val="Heading5"/>
        <w:keepNext w:val="0"/>
        <w:keepLines w:val="0"/>
        <w:rPr>
          <w:snapToGrid w:val="0"/>
        </w:rPr>
      </w:pPr>
      <w:bookmarkStart w:id="40" w:name="_Toc202366048"/>
      <w:r>
        <w:rPr>
          <w:rStyle w:val="CharSectno"/>
        </w:rPr>
        <w:t>26A</w:t>
      </w:r>
      <w:r>
        <w:rPr>
          <w:snapToGrid w:val="0"/>
        </w:rPr>
        <w:t>.</w:t>
      </w:r>
      <w:r>
        <w:rPr>
          <w:snapToGrid w:val="0"/>
        </w:rPr>
        <w:tab/>
        <w:t>Mining tenements within townsites</w:t>
      </w:r>
      <w:bookmarkEnd w:id="40"/>
    </w:p>
    <w:p>
      <w:pPr>
        <w:pStyle w:val="Subsection"/>
        <w:spacing w:before="100"/>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w:t>
      </w:r>
      <w:r>
        <w:t>required</w:t>
      </w:r>
      <w:r>
        <w:rPr>
          <w:snapToGrid w:val="0"/>
        </w:rPr>
        <w:t xml:space="preserve"> for community purposes, the Minister may, by notice in writing given to the holder of the mining tenement, require the holder to surrender the land specified in the notice to a depth of 15 m from the lowest part of the natural surface of that land, within a period of 30 days after the giving of the notice.</w:t>
      </w:r>
    </w:p>
    <w:p>
      <w:pPr>
        <w:pStyle w:val="Subsection"/>
        <w:spacing w:before="100"/>
        <w:rPr>
          <w:snapToGrid w:val="0"/>
        </w:rPr>
      </w:pPr>
      <w:r>
        <w:rPr>
          <w:snapToGrid w:val="0"/>
        </w:rPr>
        <w:tab/>
        <w:t>(2)</w:t>
      </w:r>
      <w:r>
        <w:rPr>
          <w:snapToGrid w:val="0"/>
        </w:rPr>
        <w:tab/>
        <w:t xml:space="preserve">Where the holder of a mining tenement fails to surrender land when required to do so under subsection (1), the land specified in the </w:t>
      </w:r>
      <w:r>
        <w:t>notice</w:t>
      </w:r>
      <w:r>
        <w:rPr>
          <w:snapToGrid w:val="0"/>
        </w:rPr>
        <w:t xml:space="preserve"> shall, on the expiry of the period referred to in that subsection, be deemed to have been surrendered and a memorial to that effect shall be entered in the register.</w:t>
      </w:r>
    </w:p>
    <w:p>
      <w:pPr>
        <w:pStyle w:val="Subsection"/>
        <w:keepNext/>
        <w:spacing w:before="100"/>
        <w:rPr>
          <w:snapToGrid w:val="0"/>
        </w:rPr>
      </w:pPr>
      <w:r>
        <w:rPr>
          <w:snapToGrid w:val="0"/>
        </w:rPr>
        <w:lastRenderedPageBreak/>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rPr>
          <w:snapToGrid w:val="0"/>
        </w:rPr>
      </w:pPr>
      <w:r>
        <w:rPr>
          <w:snapToGrid w:val="0"/>
        </w:rPr>
        <w:tab/>
        <w:t>(4)</w:t>
      </w:r>
      <w:r>
        <w:rPr>
          <w:snapToGrid w:val="0"/>
        </w:rPr>
        <w:tab/>
        <w:t>The Minister shall consider an application under subsection (3)(b) and may —</w:t>
      </w:r>
    </w:p>
    <w:p>
      <w:pPr>
        <w:pStyle w:val="Indenta"/>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 xml:space="preserve">Land Administration </w:t>
      </w:r>
      <w:r>
        <w:rPr>
          <w:i/>
          <w:snapToGrid w:val="0"/>
        </w:rPr>
        <w:lastRenderedPageBreak/>
        <w:t>Act 1997</w:t>
      </w:r>
      <w:r>
        <w:rPr>
          <w:snapToGrid w:val="0"/>
        </w:rPr>
        <w:t xml:space="preserve"> as if the land had been taken by the Crown under that Act.</w:t>
      </w:r>
    </w:p>
    <w:p>
      <w:pPr>
        <w:pStyle w:val="Subsection"/>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No. 22 of 1990 s. 8; amended: No. 54 of 1996 s. 6; No. 31 of 1997 s. 71(13)</w:t>
      </w:r>
      <w:r>
        <w:noBreakHyphen/>
        <w:t>(16).]</w:t>
      </w:r>
    </w:p>
    <w:p>
      <w:pPr>
        <w:pStyle w:val="Heading3"/>
      </w:pPr>
      <w:bookmarkStart w:id="41" w:name="_Toc202186593"/>
      <w:bookmarkStart w:id="42" w:name="_Toc202366049"/>
      <w:r>
        <w:rPr>
          <w:rStyle w:val="CharDivNo"/>
        </w:rPr>
        <w:t>Division 3</w:t>
      </w:r>
      <w:r>
        <w:rPr>
          <w:snapToGrid w:val="0"/>
        </w:rPr>
        <w:t> — </w:t>
      </w:r>
      <w:r>
        <w:rPr>
          <w:rStyle w:val="CharDivText"/>
        </w:rPr>
        <w:t>Private land</w:t>
      </w:r>
      <w:bookmarkEnd w:id="41"/>
      <w:bookmarkEnd w:id="42"/>
    </w:p>
    <w:p>
      <w:pPr>
        <w:pStyle w:val="Heading5"/>
        <w:rPr>
          <w:snapToGrid w:val="0"/>
        </w:rPr>
      </w:pPr>
      <w:bookmarkStart w:id="43" w:name="_Toc202366050"/>
      <w:r>
        <w:rPr>
          <w:rStyle w:val="CharSectno"/>
        </w:rPr>
        <w:t>27</w:t>
      </w:r>
      <w:r>
        <w:rPr>
          <w:snapToGrid w:val="0"/>
        </w:rPr>
        <w:t>.</w:t>
      </w:r>
      <w:r>
        <w:rPr>
          <w:snapToGrid w:val="0"/>
        </w:rPr>
        <w:tab/>
        <w:t>Private land open for mining</w:t>
      </w:r>
      <w:bookmarkEnd w:id="43"/>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[Section 27 amended: No. 100 of 1985 s. 19; No. 37 of 1993 s. 12(2).]</w:t>
      </w:r>
    </w:p>
    <w:p>
      <w:pPr>
        <w:pStyle w:val="Heading5"/>
        <w:keepLines w:val="0"/>
        <w:rPr>
          <w:snapToGrid w:val="0"/>
        </w:rPr>
      </w:pPr>
      <w:bookmarkStart w:id="44" w:name="_Toc202366051"/>
      <w:r>
        <w:rPr>
          <w:rStyle w:val="CharSectno"/>
        </w:rPr>
        <w:t>28</w:t>
      </w:r>
      <w:r>
        <w:rPr>
          <w:snapToGrid w:val="0"/>
        </w:rPr>
        <w:t>.</w:t>
      </w:r>
      <w:r>
        <w:rPr>
          <w:snapToGrid w:val="0"/>
        </w:rPr>
        <w:tab/>
        <w:t>Unlawful entry on private land</w:t>
      </w:r>
      <w:bookmarkEnd w:id="44"/>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w:t>
      </w:r>
    </w:p>
    <w:p>
      <w:pPr>
        <w:pStyle w:val="Indenta"/>
        <w:rPr>
          <w:snapToGrid w:val="0"/>
        </w:rPr>
      </w:pPr>
      <w:r>
        <w:rPr>
          <w:snapToGrid w:val="0"/>
        </w:rPr>
        <w:tab/>
        <w:t>(a)</w:t>
      </w:r>
      <w:r>
        <w:rPr>
          <w:snapToGrid w:val="0"/>
        </w:rPr>
        <w:tab/>
        <w:t>is the owner in occupation of that private land; or</w:t>
      </w:r>
    </w:p>
    <w:p>
      <w:pPr>
        <w:pStyle w:val="Indenta"/>
        <w:keepNext/>
        <w:rPr>
          <w:snapToGrid w:val="0"/>
        </w:rPr>
      </w:pPr>
      <w:r>
        <w:rPr>
          <w:snapToGrid w:val="0"/>
        </w:rPr>
        <w:lastRenderedPageBreak/>
        <w:tab/>
        <w:t>(b)</w:t>
      </w:r>
      <w:r>
        <w:rPr>
          <w:snapToGrid w:val="0"/>
        </w:rPr>
        <w:tab/>
        <w:t>is authorised to do so, by a permit issued under section 30, or by any other provision of this Act, or by virtue of a mining tenement.</w:t>
      </w:r>
    </w:p>
    <w:p>
      <w:pPr>
        <w:pStyle w:val="Footnotesection"/>
        <w:keepLines w:val="0"/>
      </w:pPr>
      <w:r>
        <w:tab/>
        <w:t>[Section 28 amended: No. 39 of 2004 s. 51.]</w:t>
      </w:r>
    </w:p>
    <w:p>
      <w:pPr>
        <w:pStyle w:val="Heading5"/>
        <w:rPr>
          <w:snapToGrid w:val="0"/>
        </w:rPr>
      </w:pPr>
      <w:bookmarkStart w:id="45" w:name="_Toc202366052"/>
      <w:r>
        <w:rPr>
          <w:rStyle w:val="CharSectno"/>
        </w:rPr>
        <w:t>29</w:t>
      </w:r>
      <w:r>
        <w:rPr>
          <w:snapToGrid w:val="0"/>
        </w:rPr>
        <w:t>.</w:t>
      </w:r>
      <w:r>
        <w:rPr>
          <w:snapToGrid w:val="0"/>
        </w:rPr>
        <w:tab/>
        <w:t>Granting of mining tenements in respect of private land</w:t>
      </w:r>
      <w:bookmarkEnd w:id="45"/>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tab/>
        <w:t>(2)</w:t>
      </w:r>
      <w:r>
        <w:rPr>
          <w:snapToGrid w:val="0"/>
        </w:rPr>
        <w:tab/>
        <w:t>Except with the consent in writing of the owner and the occupier of the private land concerned, a mining tenement shall not be granted in respect of private land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 or</w:t>
      </w:r>
    </w:p>
    <w:p>
      <w:pPr>
        <w:pStyle w:val="Indenta"/>
        <w:rPr>
          <w:snapToGrid w:val="0"/>
        </w:rPr>
      </w:pPr>
      <w:r>
        <w:rPr>
          <w:snapToGrid w:val="0"/>
        </w:rPr>
        <w:tab/>
        <w:t>(b)</w:t>
      </w:r>
      <w:r>
        <w:rPr>
          <w:snapToGrid w:val="0"/>
        </w:rPr>
        <w:tab/>
        <w:t>which is the site of a cemetery or burial ground; or</w:t>
      </w:r>
    </w:p>
    <w:p>
      <w:pPr>
        <w:pStyle w:val="Indenta"/>
        <w:rPr>
          <w:snapToGrid w:val="0"/>
        </w:rPr>
      </w:pPr>
      <w:r>
        <w:rPr>
          <w:snapToGrid w:val="0"/>
        </w:rPr>
        <w:tab/>
        <w:t>(c)</w:t>
      </w:r>
      <w:r>
        <w:rPr>
          <w:snapToGrid w:val="0"/>
        </w:rPr>
        <w:tab/>
        <w:t>which is the site of a dam, bore, well or spring; or</w:t>
      </w:r>
    </w:p>
    <w:p>
      <w:pPr>
        <w:pStyle w:val="Indenta"/>
        <w:rPr>
          <w:snapToGrid w:val="0"/>
        </w:rPr>
      </w:pPr>
      <w:r>
        <w:rPr>
          <w:snapToGrid w:val="0"/>
        </w:rPr>
        <w:tab/>
        <w:t>(d)</w:t>
      </w:r>
      <w:r>
        <w:rPr>
          <w:snapToGrid w:val="0"/>
        </w:rPr>
        <w:tab/>
        <w:t>on which there is erected a substantial improvement; or</w:t>
      </w:r>
    </w:p>
    <w:p>
      <w:pPr>
        <w:pStyle w:val="Indenta"/>
        <w:rPr>
          <w:snapToGrid w:val="0"/>
        </w:rPr>
      </w:pPr>
      <w:r>
        <w:rPr>
          <w:snapToGrid w:val="0"/>
        </w:rPr>
        <w:tab/>
        <w:t>(e)</w:t>
      </w:r>
      <w:r>
        <w:rPr>
          <w:snapToGrid w:val="0"/>
        </w:rPr>
        <w:tab/>
        <w:t>which is situated within 100 m of any private land referred to in paragraph (a), (b), (c) or (d); or</w:t>
      </w:r>
    </w:p>
    <w:p>
      <w:pPr>
        <w:pStyle w:val="Indenta"/>
        <w:rPr>
          <w:snapToGrid w:val="0"/>
        </w:rPr>
      </w:pPr>
      <w:r>
        <w:rPr>
          <w:snapToGrid w:val="0"/>
        </w:rPr>
        <w:tab/>
        <w:t>(f)</w:t>
      </w:r>
      <w:r>
        <w:rPr>
          <w:snapToGrid w:val="0"/>
        </w:rPr>
        <w:tab/>
        <w:t>which is a separate parcel of land and has an area of 2 000 m</w:t>
      </w:r>
      <w:r>
        <w:rPr>
          <w:snapToGrid w:val="0"/>
          <w:vertAlign w:val="superscript"/>
        </w:rPr>
        <w:t>2</w:t>
      </w:r>
      <w:r>
        <w:rPr>
          <w:snapToGrid w:val="0"/>
        </w:rPr>
        <w:t xml:space="preserve"> or less,</w:t>
      </w:r>
    </w:p>
    <w:p>
      <w:pPr>
        <w:pStyle w:val="Subsection"/>
        <w:rPr>
          <w:snapToGrid w:val="0"/>
        </w:rPr>
      </w:pPr>
      <w:r>
        <w:rPr>
          <w:snapToGrid w:val="0"/>
        </w:rPr>
        <w:tab/>
      </w:r>
      <w:r>
        <w:rPr>
          <w:snapToGrid w:val="0"/>
        </w:rPr>
        <w:tab/>
        <w:t>unless the mining tenement is granted only in respect of that part of that private land which is not less than 30 m below the lowest part of the natural surface of that private land.</w:t>
      </w:r>
    </w:p>
    <w:p>
      <w:pPr>
        <w:pStyle w:val="Ednotesubsection"/>
      </w:pPr>
      <w:r>
        <w:tab/>
        <w:t>[(3)</w:t>
      </w:r>
      <w:r>
        <w:tab/>
        <w:t>deleted]</w:t>
      </w:r>
    </w:p>
    <w:p>
      <w:pPr>
        <w:pStyle w:val="Subsection"/>
      </w:pPr>
      <w:r>
        <w:tab/>
        <w:t>(4)</w:t>
      </w:r>
      <w:r>
        <w:tab/>
        <w:t xml:space="preserve">If a question arises as to whether something is a substantial improvement for the purposes of subsection (2)(d), the question </w:t>
      </w:r>
      <w:r>
        <w:lastRenderedPageBreak/>
        <w:t>is to be determined by the warden and the warden’s determination is final and conclusive and not subject to appeal.</w:t>
      </w:r>
    </w:p>
    <w:p>
      <w:pPr>
        <w:pStyle w:val="Subsection"/>
        <w:rPr>
          <w:snapToGrid w:val="0"/>
        </w:rPr>
      </w:pPr>
      <w:r>
        <w:rPr>
          <w:snapToGrid w:val="0"/>
        </w:rPr>
        <w:tab/>
        <w:t>(5)</w:t>
      </w:r>
      <w:r>
        <w:rPr>
          <w:snapToGrid w:val="0"/>
        </w:rPr>
        <w:tab/>
        <w:t>The holder of a mining tenement which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t xml:space="preserve">the </w:t>
      </w:r>
      <w:r>
        <w:rPr>
          <w:rStyle w:val="CharDefText"/>
        </w:rPr>
        <w:t>relevant portion</w:t>
      </w:r>
      <w:r>
        <w:rPr>
          <w:snapToGrid w:val="0"/>
        </w:rPr>
        <w:t>) that is less than 30 m below the lowest part of the natural surface of that private land because the consents referred to in subsection (2) have not been given.</w:t>
      </w:r>
    </w:p>
    <w:p>
      <w:pPr>
        <w:pStyle w:val="Subsection"/>
        <w:rPr>
          <w:snapToGrid w:val="0"/>
        </w:rPr>
      </w:pPr>
      <w:r>
        <w:rPr>
          <w:snapToGrid w:val="0"/>
        </w:rPr>
        <w:lastRenderedPageBreak/>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keepNext/>
        <w:rPr>
          <w:snapToGrid w:val="0"/>
        </w:rPr>
      </w:pPr>
      <w:r>
        <w:rPr>
          <w:snapToGrid w:val="0"/>
        </w:rPr>
        <w:tab/>
        <w:t>(7)</w:t>
      </w:r>
      <w:r>
        <w:rPr>
          <w:snapToGrid w:val="0"/>
        </w:rPr>
        <w:tab/>
        <w:t>A mining tenement granted under this Division in respect of any private land —</w:t>
      </w:r>
    </w:p>
    <w:p>
      <w:pPr>
        <w:pStyle w:val="Indenta"/>
        <w:spacing w:before="120"/>
        <w:rPr>
          <w:snapToGrid w:val="0"/>
        </w:rPr>
      </w:pPr>
      <w:r>
        <w:rPr>
          <w:snapToGrid w:val="0"/>
        </w:rPr>
        <w:tab/>
        <w:t>(a)</w:t>
      </w:r>
      <w:r>
        <w:rPr>
          <w:snapToGrid w:val="0"/>
        </w:rPr>
        <w:tab/>
        <w:t>shall, subject to this Act, authorise the holder of that mining tenement —</w:t>
      </w:r>
    </w:p>
    <w:p>
      <w:pPr>
        <w:pStyle w:val="Indenti"/>
        <w:spacing w:before="120"/>
        <w:rPr>
          <w:snapToGrid w:val="0"/>
        </w:rPr>
      </w:pPr>
      <w:r>
        <w:rPr>
          <w:snapToGrid w:val="0"/>
        </w:rPr>
        <w:tab/>
        <w:t>(i)</w:t>
      </w:r>
      <w:r>
        <w:rPr>
          <w:snapToGrid w:val="0"/>
        </w:rPr>
        <w:tab/>
        <w:t>to carry out mining on the natural surface of the private land and at any depth thereunder; or</w:t>
      </w:r>
    </w:p>
    <w:p>
      <w:pPr>
        <w:pStyle w:val="Indenti"/>
        <w:spacing w:before="120"/>
        <w:rPr>
          <w:snapToGrid w:val="0"/>
        </w:rPr>
      </w:pPr>
      <w:r>
        <w:rPr>
          <w:snapToGrid w:val="0"/>
        </w:rPr>
        <w:tab/>
        <w:t>(ii)</w:t>
      </w:r>
      <w:r>
        <w:rPr>
          <w:snapToGrid w:val="0"/>
        </w:rPr>
        <w:tab/>
        <w:t>to carry out mining at a depth of not less than 30 m from the lowest part of the natural surface of the private land;</w:t>
      </w:r>
    </w:p>
    <w:p>
      <w:pPr>
        <w:pStyle w:val="Indenta"/>
        <w:spacing w:before="120"/>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spacing w:before="120"/>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spacing w:before="120"/>
        <w:rPr>
          <w:snapToGrid w:val="0"/>
        </w:rPr>
      </w:pPr>
      <w:r>
        <w:rPr>
          <w:snapToGrid w:val="0"/>
        </w:rPr>
        <w:tab/>
        <w:t>(d)</w:t>
      </w:r>
      <w:r>
        <w:rPr>
          <w:snapToGrid w:val="0"/>
        </w:rPr>
        <w:tab/>
        <w:t xml:space="preserve">does not authorise the holder of that mining tenement to impound any stock or other animals belonging to or </w:t>
      </w:r>
      <w:r>
        <w:rPr>
          <w:snapToGrid w:val="0"/>
        </w:rPr>
        <w:lastRenderedPageBreak/>
        <w:t>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[Section 29 inserted: No. 69 of 1981 s. 9; amended: No. 100 of 1985 s. 20; No. 105 of 1986 s. 9; No. 58 of 1994 s. 6; No. 39 of 2004 s. 52.]</w:t>
      </w:r>
    </w:p>
    <w:p>
      <w:pPr>
        <w:pStyle w:val="Heading5"/>
        <w:rPr>
          <w:snapToGrid w:val="0"/>
        </w:rPr>
      </w:pPr>
      <w:bookmarkStart w:id="46" w:name="_Toc202366053"/>
      <w:r>
        <w:rPr>
          <w:rStyle w:val="CharSectno"/>
        </w:rPr>
        <w:t>30</w:t>
      </w:r>
      <w:r>
        <w:rPr>
          <w:snapToGrid w:val="0"/>
        </w:rPr>
        <w:t>.</w:t>
      </w:r>
      <w:r>
        <w:rPr>
          <w:snapToGrid w:val="0"/>
        </w:rPr>
        <w:tab/>
        <w:t>Granting of permits in respect of private land</w:t>
      </w:r>
      <w:bookmarkEnd w:id="46"/>
    </w:p>
    <w:p>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pPr>
        <w:pStyle w:val="Subsection"/>
        <w:rPr>
          <w:snapToGrid w:val="0"/>
        </w:rPr>
      </w:pPr>
      <w:r>
        <w:rPr>
          <w:snapToGrid w:val="0"/>
        </w:rPr>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rPr>
          <w:snapToGrid w:val="0"/>
        </w:rPr>
      </w:pPr>
      <w:r>
        <w:rPr>
          <w:snapToGrid w:val="0"/>
        </w:rPr>
        <w:tab/>
      </w:r>
      <w:r>
        <w:rPr>
          <w:snapToGrid w:val="0"/>
        </w:rPr>
        <w:tab/>
        <w:t xml:space="preserve">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w:t>
      </w:r>
      <w:r>
        <w:rPr>
          <w:snapToGrid w:val="0"/>
        </w:rPr>
        <w:lastRenderedPageBreak/>
        <w:t>until such time as the application for the mining tenement is determined.</w:t>
      </w:r>
    </w:p>
    <w:p>
      <w:pPr>
        <w:pStyle w:val="Subsection"/>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Subsection"/>
      </w:pPr>
      <w:r>
        <w:tab/>
        <w:t>(6b)</w:t>
      </w:r>
      <w:r>
        <w:tab/>
        <w:t>If an order is made under subsection (6a) that all of the sum be paid to the applicant, the Director General of Mines shall give effect to the order.</w:t>
      </w:r>
    </w:p>
    <w:p>
      <w:pPr>
        <w:pStyle w:val="Subsection"/>
      </w:pPr>
      <w:r>
        <w:tab/>
        <w:t>(6c)</w:t>
      </w:r>
      <w:r>
        <w:tab/>
        <w:t>If an order is made under subsection (6a) that part of the sum be paid to the applicant, the Director General of Mines shall —</w:t>
      </w:r>
    </w:p>
    <w:p>
      <w:pPr>
        <w:pStyle w:val="Indenta"/>
      </w:pPr>
      <w:r>
        <w:tab/>
        <w:t>(a)</w:t>
      </w:r>
      <w:r>
        <w:tab/>
        <w:t>give effect to the order; and</w:t>
      </w:r>
    </w:p>
    <w:p>
      <w:pPr>
        <w:pStyle w:val="Indenta"/>
      </w:pPr>
      <w:r>
        <w:tab/>
        <w:t>(b)</w:t>
      </w:r>
      <w:r>
        <w:tab/>
        <w:t>pay the balance of the sum to the holder of the permit.</w:t>
      </w:r>
    </w:p>
    <w:p>
      <w:pPr>
        <w:pStyle w:val="Subsection"/>
      </w:pPr>
      <w:r>
        <w:tab/>
        <w:t>(6d)</w:t>
      </w:r>
      <w:r>
        <w:tab/>
        <w:t>If —</w:t>
      </w:r>
    </w:p>
    <w:p>
      <w:pPr>
        <w:pStyle w:val="Indenta"/>
      </w:pPr>
      <w:r>
        <w:tab/>
        <w:t>(a)</w:t>
      </w:r>
      <w:r>
        <w:tab/>
        <w:t>no application is made under subsection (6); or</w:t>
      </w:r>
    </w:p>
    <w:p>
      <w:pPr>
        <w:pStyle w:val="Indenta"/>
      </w:pPr>
      <w:r>
        <w:lastRenderedPageBreak/>
        <w:tab/>
        <w:t>(b)</w:t>
      </w:r>
      <w:r>
        <w:tab/>
        <w:t>an application made under subsection (6) is refused, withdrawn or discontinued,</w:t>
      </w:r>
    </w:p>
    <w:p>
      <w:pPr>
        <w:pStyle w:val="Subsection"/>
      </w:pPr>
      <w:r>
        <w:tab/>
      </w:r>
      <w:r>
        <w:tab/>
        <w:t>the Director General of Mines shall pay the sum to the holder of the permit.</w:t>
      </w:r>
    </w:p>
    <w:p>
      <w:pPr>
        <w:pStyle w:val="Subsection"/>
        <w:rPr>
          <w:snapToGrid w:val="0"/>
        </w:rPr>
      </w:pPr>
      <w:r>
        <w:rPr>
          <w:snapToGrid w:val="0"/>
        </w:rPr>
        <w:tab/>
        <w:t>(7)</w:t>
      </w:r>
      <w:r>
        <w:rPr>
          <w:snapToGrid w:val="0"/>
        </w:rPr>
        <w:tab/>
        <w:t>A permit under subsection (3) shall be deemed to be held subject to the condition that the holder is liable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Subsection"/>
        <w:keepNext/>
      </w:pPr>
      <w:r>
        <w:tab/>
        <w:t>(8)</w:t>
      </w:r>
      <w:r>
        <w:tab/>
        <w:t>In this section —</w:t>
      </w:r>
    </w:p>
    <w:p>
      <w:pPr>
        <w:pStyle w:val="Defstart"/>
      </w:pPr>
      <w:r>
        <w:rPr>
          <w:b/>
        </w:rPr>
        <w:tab/>
      </w:r>
      <w:r>
        <w:rPr>
          <w:rStyle w:val="CharDefText"/>
        </w:rPr>
        <w:t>prescribed official</w:t>
      </w:r>
      <w:r>
        <w:t xml:space="preserve"> means a person who holds or acts in an office or position in the Department that is prescribed for the purposes of this section.</w:t>
      </w:r>
    </w:p>
    <w:p>
      <w:pPr>
        <w:pStyle w:val="Footnotesection"/>
        <w:keepLines w:val="0"/>
        <w:spacing w:before="80"/>
        <w:ind w:left="890" w:hanging="890"/>
      </w:pPr>
      <w:r>
        <w:tab/>
        <w:t>[Section 30 inserted: No. 69 of 1981 s. 10; amended: No. 100 of 1985 s. 21; No. 22 of 1990 s. 9; No. 39 of 2004 s. 53.]</w:t>
      </w:r>
    </w:p>
    <w:p>
      <w:pPr>
        <w:pStyle w:val="Heading5"/>
        <w:rPr>
          <w:snapToGrid w:val="0"/>
        </w:rPr>
      </w:pPr>
      <w:bookmarkStart w:id="47" w:name="_Toc202366054"/>
      <w:r>
        <w:rPr>
          <w:rStyle w:val="CharSectno"/>
        </w:rPr>
        <w:t>31</w:t>
      </w:r>
      <w:r>
        <w:rPr>
          <w:snapToGrid w:val="0"/>
        </w:rPr>
        <w:t>.</w:t>
      </w:r>
      <w:r>
        <w:rPr>
          <w:snapToGrid w:val="0"/>
        </w:rPr>
        <w:tab/>
        <w:t>Holder of permit to give notice to owner and occupier</w:t>
      </w:r>
      <w:bookmarkEnd w:id="47"/>
    </w:p>
    <w:p>
      <w:pPr>
        <w:pStyle w:val="Subsection"/>
        <w:spacing w:before="180"/>
        <w:rPr>
          <w:snapToGrid w:val="0"/>
        </w:rPr>
      </w:pPr>
      <w:r>
        <w:rPr>
          <w:snapToGrid w:val="0"/>
        </w:rPr>
        <w:tab/>
        <w:t>(1)</w:t>
      </w:r>
      <w:r>
        <w:rPr>
          <w:snapToGrid w:val="0"/>
        </w:rPr>
        <w:tab/>
        <w:t xml:space="preserve">The holder of a permit </w:t>
      </w:r>
      <w:r>
        <w:t>issued</w:t>
      </w:r>
      <w:r>
        <w:rPr>
          <w:snapToGrid w:val="0"/>
        </w:rPr>
        <w:t xml:space="preserve">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w:t>
      </w:r>
    </w:p>
    <w:p>
      <w:pPr>
        <w:pStyle w:val="Indenta"/>
        <w:rPr>
          <w:snapToGrid w:val="0"/>
        </w:rPr>
      </w:pPr>
      <w:r>
        <w:rPr>
          <w:snapToGrid w:val="0"/>
        </w:rPr>
        <w:tab/>
        <w:t>(a)</w:t>
      </w:r>
      <w:r>
        <w:rPr>
          <w:snapToGrid w:val="0"/>
        </w:rPr>
        <w:tab/>
        <w:t xml:space="preserve">on entering the land on that occasion place a copy of the permit in a prominent position on the occupier’s dwelling or in a prominent position at the main entrance </w:t>
      </w:r>
      <w:r>
        <w:rPr>
          <w:snapToGrid w:val="0"/>
        </w:rPr>
        <w:lastRenderedPageBreak/>
        <w:t>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spacing w:before="180"/>
        <w:rPr>
          <w:snapToGrid w:val="0"/>
        </w:rPr>
      </w:pPr>
      <w:r>
        <w:rPr>
          <w:snapToGrid w:val="0"/>
        </w:rPr>
        <w:tab/>
        <w:t>(2)</w:t>
      </w:r>
      <w:r>
        <w:rPr>
          <w:snapToGrid w:val="0"/>
        </w:rPr>
        <w:tab/>
        <w:t xml:space="preserve">Where the occupier of the private land is also the owner or one of the owners of that </w:t>
      </w:r>
      <w:r>
        <w:t>private</w:t>
      </w:r>
      <w:r>
        <w:rPr>
          <w:snapToGrid w:val="0"/>
        </w:rPr>
        <w:t xml:space="preserve"> land, no further notice other than that required by subsection (1) is required to be served on that owner or any of the other owners of that land for the purposes of subsection (3).</w:t>
      </w:r>
    </w:p>
    <w:p>
      <w:pPr>
        <w:pStyle w:val="Subsection"/>
        <w:keepNext/>
        <w:spacing w:before="180"/>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[Section 31 amended: No. 100 of 1985 s. 22; No. 22 of 1990 s. 10.]</w:t>
      </w:r>
    </w:p>
    <w:p>
      <w:pPr>
        <w:pStyle w:val="Heading5"/>
        <w:rPr>
          <w:snapToGrid w:val="0"/>
        </w:rPr>
      </w:pPr>
      <w:bookmarkStart w:id="48" w:name="_Toc202366055"/>
      <w:r>
        <w:rPr>
          <w:rStyle w:val="CharSectno"/>
        </w:rPr>
        <w:t>32</w:t>
      </w:r>
      <w:r>
        <w:rPr>
          <w:snapToGrid w:val="0"/>
        </w:rPr>
        <w:t>.</w:t>
      </w:r>
      <w:r>
        <w:rPr>
          <w:snapToGrid w:val="0"/>
        </w:rPr>
        <w:tab/>
        <w:t>Rights conferred by a permit</w:t>
      </w:r>
      <w:bookmarkEnd w:id="48"/>
    </w:p>
    <w:p>
      <w:pPr>
        <w:pStyle w:val="Subsection"/>
        <w:rPr>
          <w:snapToGrid w:val="0"/>
        </w:rPr>
      </w:pPr>
      <w:r>
        <w:rPr>
          <w:snapToGrid w:val="0"/>
        </w:rPr>
        <w:tab/>
        <w:t>(1)</w:t>
      </w:r>
      <w:r>
        <w:rPr>
          <w:snapToGrid w:val="0"/>
        </w:rPr>
        <w:tab/>
        <w:t>The holder of a permit issued under section 30 or his duly authorised employee or agent is thereby authorised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 and</w:t>
      </w:r>
    </w:p>
    <w:p>
      <w:pPr>
        <w:pStyle w:val="Indenta"/>
        <w:rPr>
          <w:snapToGrid w:val="0"/>
        </w:rPr>
      </w:pPr>
      <w:r>
        <w:rPr>
          <w:snapToGrid w:val="0"/>
        </w:rPr>
        <w:lastRenderedPageBreak/>
        <w:tab/>
        <w:t>(b)</w:t>
      </w:r>
      <w:r>
        <w:rPr>
          <w:snapToGrid w:val="0"/>
        </w:rPr>
        <w:tab/>
        <w:t>to search thereon for any mineral and detach one or more samples of any vein or lode outcropping on the surface thereof not exceeding in the aggregate 13 kg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[Section 32 amended: No. 69 of 1981 s. 11; No. 100 of 1985 s. 23; No. 39 of 2004 s. 54.]</w:t>
      </w:r>
    </w:p>
    <w:p>
      <w:pPr>
        <w:pStyle w:val="Heading5"/>
        <w:rPr>
          <w:snapToGrid w:val="0"/>
        </w:rPr>
      </w:pPr>
      <w:bookmarkStart w:id="49" w:name="_Toc202366056"/>
      <w:r>
        <w:rPr>
          <w:rStyle w:val="CharSectno"/>
        </w:rPr>
        <w:t>33</w:t>
      </w:r>
      <w:r>
        <w:rPr>
          <w:snapToGrid w:val="0"/>
        </w:rPr>
        <w:t>.</w:t>
      </w:r>
      <w:r>
        <w:rPr>
          <w:snapToGrid w:val="0"/>
        </w:rPr>
        <w:tab/>
        <w:t>Application for mining tenement by permit holder</w:t>
      </w:r>
      <w:bookmarkEnd w:id="49"/>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w:t>
      </w:r>
    </w:p>
    <w:p>
      <w:pPr>
        <w:pStyle w:val="Indenta"/>
        <w:rPr>
          <w:snapToGrid w:val="0"/>
        </w:rPr>
      </w:pPr>
      <w:r>
        <w:rPr>
          <w:snapToGrid w:val="0"/>
        </w:rPr>
        <w:tab/>
        <w:t>(a)</w:t>
      </w:r>
      <w:r>
        <w:rPr>
          <w:snapToGrid w:val="0"/>
        </w:rPr>
        <w:tab/>
        <w:t>the chief executive officer of the local government; and</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lastRenderedPageBreak/>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pPr>
      <w:r>
        <w:tab/>
        <w:t>(2a)</w:t>
      </w:r>
      <w:r>
        <w:tab/>
        <w:t>If a warden makes an order for the payment of costs under subsection (2), those costs are recoverable in accordance with the regulations.</w:t>
      </w:r>
    </w:p>
    <w:p>
      <w:pPr>
        <w:pStyle w:val="Subsection"/>
        <w:rPr>
          <w:snapToGrid w:val="0"/>
        </w:rPr>
      </w:pPr>
      <w:r>
        <w:rPr>
          <w:snapToGrid w:val="0"/>
        </w:rPr>
        <w:lastRenderedPageBreak/>
        <w:tab/>
        <w:t>(3)</w:t>
      </w:r>
      <w:r>
        <w:rPr>
          <w:snapToGrid w:val="0"/>
        </w:rPr>
        <w:tab/>
        <w:t>Nothing in subsection (2) limits or otherwise affects the other powers conferred by this Act upon a warden.</w:t>
      </w:r>
    </w:p>
    <w:p>
      <w:pPr>
        <w:pStyle w:val="Footnotesection"/>
        <w:ind w:left="890" w:hanging="890"/>
      </w:pPr>
      <w:r>
        <w:tab/>
        <w:t>[Section 33 amended: No. 100 of 1985 s. 24; No. 14 of 1996 s. 4; No. 39 of 2004 s. 55.]</w:t>
      </w:r>
    </w:p>
    <w:p>
      <w:pPr>
        <w:pStyle w:val="Ednotesection"/>
      </w:pPr>
      <w:r>
        <w:t>[</w:t>
      </w:r>
      <w:r>
        <w:rPr>
          <w:b/>
        </w:rPr>
        <w:t>34.</w:t>
      </w:r>
      <w:r>
        <w:tab/>
        <w:t>Deleted: No. 69 of 1981 s. 12.]</w:t>
      </w:r>
    </w:p>
    <w:p>
      <w:pPr>
        <w:pStyle w:val="Heading5"/>
        <w:rPr>
          <w:snapToGrid w:val="0"/>
        </w:rPr>
      </w:pPr>
      <w:bookmarkStart w:id="50" w:name="_Toc202366057"/>
      <w:r>
        <w:rPr>
          <w:rStyle w:val="CharSectno"/>
        </w:rPr>
        <w:t>35</w:t>
      </w:r>
      <w:r>
        <w:rPr>
          <w:snapToGrid w:val="0"/>
        </w:rPr>
        <w:t>.</w:t>
      </w:r>
      <w:r>
        <w:rPr>
          <w:snapToGrid w:val="0"/>
        </w:rPr>
        <w:tab/>
        <w:t>Compensation to be agreed upon or determined before mining operation commences</w:t>
      </w:r>
      <w:bookmarkEnd w:id="50"/>
    </w:p>
    <w:p>
      <w:pPr>
        <w:pStyle w:val="Subsection"/>
        <w:rPr>
          <w:snapToGrid w:val="0"/>
        </w:rPr>
      </w:pPr>
      <w:r>
        <w:rPr>
          <w:snapToGrid w:val="0"/>
        </w:rPr>
        <w:tab/>
        <w:t>(1)</w:t>
      </w:r>
      <w:r>
        <w:rPr>
          <w:snapToGrid w:val="0"/>
        </w:rPr>
        <w:tab/>
        <w:t>The holder of a mining tenement shall not commence any mining on the natural surface or within a depth of 30 m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[Section 35 amended: No. 69 of 1981 s. 13; No. 100 of 1985 s. 25.]</w:t>
      </w:r>
    </w:p>
    <w:p>
      <w:pPr>
        <w:pStyle w:val="Ednotesection"/>
      </w:pPr>
      <w:r>
        <w:t>[</w:t>
      </w:r>
      <w:r>
        <w:rPr>
          <w:b/>
        </w:rPr>
        <w:t>36.</w:t>
      </w:r>
      <w:r>
        <w:tab/>
        <w:t>Deleted: No. 69 of 1981 s. 14.]</w:t>
      </w:r>
    </w:p>
    <w:p>
      <w:pPr>
        <w:pStyle w:val="Heading5"/>
        <w:spacing w:before="120"/>
        <w:rPr>
          <w:snapToGrid w:val="0"/>
        </w:rPr>
      </w:pPr>
      <w:bookmarkStart w:id="51" w:name="_Toc202366058"/>
      <w:r>
        <w:rPr>
          <w:rStyle w:val="CharSectno"/>
        </w:rPr>
        <w:t>37</w:t>
      </w:r>
      <w:r>
        <w:rPr>
          <w:snapToGrid w:val="0"/>
        </w:rPr>
        <w:t>.</w:t>
      </w:r>
      <w:r>
        <w:rPr>
          <w:snapToGrid w:val="0"/>
        </w:rPr>
        <w:tab/>
        <w:t>Application to bring certain private land under this Division</w:t>
      </w:r>
      <w:bookmarkEnd w:id="51"/>
    </w:p>
    <w:p>
      <w:pPr>
        <w:pStyle w:val="Subsection"/>
        <w:spacing w:before="100"/>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spacing w:before="100"/>
        <w:rPr>
          <w:snapToGrid w:val="0"/>
        </w:rPr>
      </w:pPr>
      <w:r>
        <w:rPr>
          <w:snapToGrid w:val="0"/>
        </w:rPr>
        <w:tab/>
        <w:t>(2)</w:t>
      </w:r>
      <w:r>
        <w:rPr>
          <w:snapToGrid w:val="0"/>
        </w:rPr>
        <w:tab/>
        <w:t xml:space="preserve">In respect of an application under subsection (1), the Minister may authorise and instruct a geologist or any other professional officer in the Department to enter, inspect and report upon the </w:t>
      </w:r>
      <w:r>
        <w:rPr>
          <w:snapToGrid w:val="0"/>
        </w:rPr>
        <w:lastRenderedPageBreak/>
        <w:t>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spacing w:before="100"/>
        <w:rPr>
          <w:snapToGrid w:val="0"/>
        </w:rPr>
      </w:pPr>
      <w:r>
        <w:rPr>
          <w:snapToGrid w:val="0"/>
        </w:rPr>
        <w:tab/>
        <w:t>(3)</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spacing w:before="100"/>
        <w:rPr>
          <w:snapToGrid w:val="0"/>
        </w:rPr>
      </w:pPr>
      <w:r>
        <w:rPr>
          <w:snapToGrid w:val="0"/>
        </w:rPr>
        <w:tab/>
        <w:t>(4)</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Footnotesection"/>
        <w:spacing w:before="80"/>
        <w:ind w:left="890" w:hanging="890"/>
      </w:pPr>
      <w:r>
        <w:tab/>
        <w:t>[Section 37 amended: No. 19 of 2010 s. 51.]</w:t>
      </w:r>
    </w:p>
    <w:p>
      <w:pPr>
        <w:pStyle w:val="Heading5"/>
        <w:spacing w:before="260"/>
        <w:rPr>
          <w:snapToGrid w:val="0"/>
        </w:rPr>
      </w:pPr>
      <w:bookmarkStart w:id="52" w:name="_Toc202366059"/>
      <w:r>
        <w:rPr>
          <w:rStyle w:val="CharSectno"/>
        </w:rPr>
        <w:t>38</w:t>
      </w:r>
      <w:r>
        <w:rPr>
          <w:snapToGrid w:val="0"/>
        </w:rPr>
        <w:t>.</w:t>
      </w:r>
      <w:r>
        <w:rPr>
          <w:snapToGrid w:val="0"/>
        </w:rPr>
        <w:tab/>
        <w:t>Right of owner to apply for mining tenement</w:t>
      </w:r>
      <w:bookmarkEnd w:id="52"/>
    </w:p>
    <w:p>
      <w:pPr>
        <w:pStyle w:val="Subsection"/>
        <w:spacing w:before="200"/>
        <w:rPr>
          <w:snapToGrid w:val="0"/>
        </w:rPr>
      </w:pPr>
      <w:r>
        <w:rPr>
          <w:snapToGrid w:val="0"/>
        </w:rPr>
        <w:tab/>
        <w:t>(1)</w:t>
      </w:r>
      <w:r>
        <w:rPr>
          <w:snapToGrid w:val="0"/>
        </w:rPr>
        <w:tab/>
        <w:t xml:space="preserve">The owner of the private land to which section 37 refers may, at any time within the period referred to in </w:t>
      </w:r>
      <w:r>
        <w:t xml:space="preserve">section 37(3), </w:t>
      </w:r>
      <w:r>
        <w:rPr>
          <w:snapToGrid w:val="0"/>
        </w:rPr>
        <w:t>apply for a mining tenement in respect of the private land or any part thereof.</w:t>
      </w:r>
    </w:p>
    <w:p>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 xml:space="preserve">the Minister may grant to the person who made the application under section 37(1) for such period as he </w:t>
      </w:r>
      <w:r>
        <w:rPr>
          <w:snapToGrid w:val="0"/>
        </w:rPr>
        <w:lastRenderedPageBreak/>
        <w:t>thinks fit, the prior right to the exclusion of all other persons to mark out the private land or any part thereof and/or apply for a mining tenement in respect thereof.</w:t>
      </w:r>
    </w:p>
    <w:p>
      <w:pPr>
        <w:pStyle w:val="Footnotesection"/>
        <w:keepLines w:val="0"/>
      </w:pPr>
      <w:r>
        <w:tab/>
        <w:t>[Section 38 amended: No. 69 of 1981 s. 15; No. 100 of 1985 s. 26; No. 19 of 2010 s. 51.]</w:t>
      </w:r>
    </w:p>
    <w:p>
      <w:pPr>
        <w:pStyle w:val="Heading5"/>
        <w:rPr>
          <w:snapToGrid w:val="0"/>
        </w:rPr>
      </w:pPr>
      <w:bookmarkStart w:id="53" w:name="_Toc202366060"/>
      <w:r>
        <w:rPr>
          <w:rStyle w:val="CharSectno"/>
        </w:rPr>
        <w:t>39</w:t>
      </w:r>
      <w:r>
        <w:rPr>
          <w:snapToGrid w:val="0"/>
        </w:rPr>
        <w:t>.</w:t>
      </w:r>
      <w:r>
        <w:rPr>
          <w:snapToGrid w:val="0"/>
        </w:rPr>
        <w:tab/>
        <w:t>Owner to comply with mining tenement conditions</w:t>
      </w:r>
      <w:bookmarkEnd w:id="53"/>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54" w:name="_Toc202186605"/>
      <w:bookmarkStart w:id="55" w:name="_Toc202366061"/>
      <w:r>
        <w:rPr>
          <w:rStyle w:val="CharPartNo"/>
        </w:rPr>
        <w:lastRenderedPageBreak/>
        <w:t>Part IIIA</w:t>
      </w:r>
      <w:r>
        <w:rPr>
          <w:rStyle w:val="CharDivNo"/>
        </w:rPr>
        <w:t> </w:t>
      </w:r>
      <w:r>
        <w:t>—</w:t>
      </w:r>
      <w:r>
        <w:rPr>
          <w:rStyle w:val="CharDivText"/>
        </w:rPr>
        <w:t> </w:t>
      </w:r>
      <w:r>
        <w:rPr>
          <w:rStyle w:val="CharPartText"/>
        </w:rPr>
        <w:t>Miner’s rights and related permits</w:t>
      </w:r>
      <w:bookmarkEnd w:id="54"/>
      <w:bookmarkEnd w:id="55"/>
    </w:p>
    <w:p>
      <w:pPr>
        <w:pStyle w:val="Footnoteheading"/>
      </w:pPr>
      <w:r>
        <w:tab/>
        <w:t>[Heading inserted: No. 51 of 2012 s. 15.]</w:t>
      </w:r>
    </w:p>
    <w:p>
      <w:pPr>
        <w:pStyle w:val="Heading5"/>
      </w:pPr>
      <w:bookmarkStart w:id="56" w:name="_Toc202366062"/>
      <w:r>
        <w:rPr>
          <w:rStyle w:val="CharSectno"/>
        </w:rPr>
        <w:t>40A</w:t>
      </w:r>
      <w:r>
        <w:t>.</w:t>
      </w:r>
      <w:r>
        <w:tab/>
        <w:t>Terms used</w:t>
      </w:r>
      <w:bookmarkEnd w:id="56"/>
    </w:p>
    <w:p>
      <w:pPr>
        <w:pStyle w:val="Subsection"/>
      </w:pPr>
      <w:r>
        <w:tab/>
      </w:r>
      <w:r>
        <w:tab/>
        <w:t xml:space="preserve">In this Part — </w:t>
      </w:r>
    </w:p>
    <w:p>
      <w:pPr>
        <w:pStyle w:val="Defstart"/>
      </w:pPr>
      <w:r>
        <w:tab/>
      </w:r>
      <w:r>
        <w:rPr>
          <w:rStyle w:val="CharDefText"/>
        </w:rPr>
        <w:t>available land</w:t>
      </w:r>
      <w:r>
        <w:t xml:space="preserve">, in relation to a miner’s right, means — </w:t>
      </w:r>
    </w:p>
    <w:p>
      <w:pPr>
        <w:pStyle w:val="Defpara"/>
      </w:pPr>
      <w:r>
        <w:tab/>
        <w:t>(a)</w:t>
      </w:r>
      <w:r>
        <w:tab/>
        <w:t>Crown land or conservation land that is not the subject of a mining tenement; or</w:t>
      </w:r>
    </w:p>
    <w:p>
      <w:pPr>
        <w:pStyle w:val="Defpara"/>
      </w:pPr>
      <w:r>
        <w:tab/>
        <w:t>(b)</w:t>
      </w:r>
      <w:r>
        <w:tab/>
        <w:t>Crown land or conservation land that is the subject of an exploration licence if the holder of the miner’s right holds a permit under section 40E in respect of the land;</w:t>
      </w:r>
    </w:p>
    <w:p>
      <w:pPr>
        <w:pStyle w:val="Defstart"/>
      </w:pPr>
      <w:r>
        <w:tab/>
      </w:r>
      <w:r>
        <w:rPr>
          <w:rStyle w:val="CharDefText"/>
        </w:rPr>
        <w:t>conservation land</w:t>
      </w:r>
      <w:r>
        <w:t xml:space="preserve"> means land that is prescribed under section 40B as conservation land for the purposes of this Part.</w:t>
      </w:r>
    </w:p>
    <w:p>
      <w:pPr>
        <w:pStyle w:val="Footnotesection"/>
      </w:pPr>
      <w:r>
        <w:tab/>
        <w:t>[Section 40A inserted: No. 51 of 2012 s. 15.]</w:t>
      </w:r>
    </w:p>
    <w:p>
      <w:pPr>
        <w:pStyle w:val="Heading5"/>
      </w:pPr>
      <w:bookmarkStart w:id="57" w:name="_Toc202366063"/>
      <w:r>
        <w:rPr>
          <w:rStyle w:val="CharSectno"/>
        </w:rPr>
        <w:t>40B</w:t>
      </w:r>
      <w:r>
        <w:t>.</w:t>
      </w:r>
      <w:r>
        <w:tab/>
        <w:t>Conservation land</w:t>
      </w:r>
      <w:bookmarkEnd w:id="57"/>
    </w:p>
    <w:p>
      <w:pPr>
        <w:pStyle w:val="Subsection"/>
      </w:pPr>
      <w:r>
        <w:tab/>
        <w:t>(1)</w:t>
      </w:r>
      <w:r>
        <w:tab/>
        <w:t xml:space="preserve">The regulations may prescribe land as conservation land for the purposes of this Part if — </w:t>
      </w:r>
    </w:p>
    <w:p>
      <w:pPr>
        <w:pStyle w:val="Indenta"/>
      </w:pPr>
      <w:r>
        <w:tab/>
        <w:t>(a)</w:t>
      </w:r>
      <w:r>
        <w:tab/>
        <w:t>the land is of the class referred to in section 24(1)(c) and is not land that is classified as a class A reserve; and</w:t>
      </w:r>
    </w:p>
    <w:p>
      <w:pPr>
        <w:pStyle w:val="Indenta"/>
      </w:pPr>
      <w:r>
        <w:tab/>
        <w:t>(b)</w:t>
      </w:r>
      <w:r>
        <w:tab/>
        <w:t xml:space="preserve">the care, control and management of the land is placed by order under the </w:t>
      </w:r>
      <w:r>
        <w:rPr>
          <w:i/>
        </w:rPr>
        <w:t>Land Administration Act 1997</w:t>
      </w:r>
      <w:r>
        <w:t xml:space="preserve"> Part 4 with the Conservation and Parks Commission established under the </w:t>
      </w:r>
      <w:r>
        <w:rPr>
          <w:i/>
        </w:rPr>
        <w:t>Conservation and Land Management Act 1984</w:t>
      </w:r>
      <w:r>
        <w:t>.</w:t>
      </w:r>
    </w:p>
    <w:p>
      <w:pPr>
        <w:pStyle w:val="Subsection"/>
      </w:pPr>
      <w:r>
        <w:tab/>
        <w:t>(2)</w:t>
      </w:r>
      <w:r>
        <w:tab/>
        <w:t xml:space="preserve">Regulations made for the purposes of subsection (1) may only be made with the concurrence of the Minister responsible for the administration of the </w:t>
      </w:r>
      <w:r>
        <w:rPr>
          <w:i/>
        </w:rPr>
        <w:t>Conservation and Land Management Act 1984</w:t>
      </w:r>
      <w:r>
        <w:t>.</w:t>
      </w:r>
    </w:p>
    <w:p>
      <w:pPr>
        <w:pStyle w:val="Footnotesection"/>
      </w:pPr>
      <w:r>
        <w:tab/>
        <w:t>[Section 40B inserted: No. 51 of 2012 s. 15; amended: No. 28 of 2015 s. 77.]</w:t>
      </w:r>
    </w:p>
    <w:p>
      <w:pPr>
        <w:pStyle w:val="Heading5"/>
      </w:pPr>
      <w:bookmarkStart w:id="58" w:name="_Toc202366064"/>
      <w:r>
        <w:rPr>
          <w:rStyle w:val="CharSectno"/>
        </w:rPr>
        <w:lastRenderedPageBreak/>
        <w:t>40C</w:t>
      </w:r>
      <w:r>
        <w:t>.</w:t>
      </w:r>
      <w:r>
        <w:tab/>
        <w:t>Issue of miner’s right</w:t>
      </w:r>
      <w:bookmarkEnd w:id="58"/>
    </w:p>
    <w:p>
      <w:pPr>
        <w:pStyle w:val="Subsection"/>
      </w:pPr>
      <w:r>
        <w:tab/>
        <w:t>(1)</w:t>
      </w:r>
      <w:r>
        <w:tab/>
        <w:t>The Minister, the Director General of Mines or a mining registrar may, on the application of any person and on being satisfied of the identity of the person, issue a miner’s right to the person.</w:t>
      </w:r>
    </w:p>
    <w:p>
      <w:pPr>
        <w:pStyle w:val="Subsection"/>
      </w:pPr>
      <w:r>
        <w:tab/>
        <w:t>(2)</w:t>
      </w:r>
      <w:r>
        <w:tab/>
        <w:t>An application for a miner’s right must be accompanied by the prescribed application fee (if any).</w:t>
      </w:r>
    </w:p>
    <w:p>
      <w:pPr>
        <w:pStyle w:val="Subsection"/>
      </w:pPr>
      <w:r>
        <w:tab/>
        <w:t>(3)</w:t>
      </w:r>
      <w:r>
        <w:tab/>
        <w:t xml:space="preserve">A miner’s right — </w:t>
      </w:r>
    </w:p>
    <w:p>
      <w:pPr>
        <w:pStyle w:val="Indenta"/>
      </w:pPr>
      <w:r>
        <w:tab/>
        <w:t>(a)</w:t>
      </w:r>
      <w:r>
        <w:tab/>
        <w:t>must be in the prescribed form; and</w:t>
      </w:r>
    </w:p>
    <w:p>
      <w:pPr>
        <w:pStyle w:val="Indenta"/>
      </w:pPr>
      <w:r>
        <w:tab/>
        <w:t>(b)</w:t>
      </w:r>
      <w:r>
        <w:tab/>
        <w:t>is not limited in term; and</w:t>
      </w:r>
    </w:p>
    <w:p>
      <w:pPr>
        <w:pStyle w:val="Indenta"/>
      </w:pPr>
      <w:r>
        <w:tab/>
        <w:t>(c)</w:t>
      </w:r>
      <w:r>
        <w:tab/>
        <w:t>is not transferable.</w:t>
      </w:r>
    </w:p>
    <w:p>
      <w:pPr>
        <w:pStyle w:val="Footnotesection"/>
      </w:pPr>
      <w:r>
        <w:tab/>
        <w:t>[Section 40C inserted: No. 51 of 2012 s. 15; amended: No. 44 of 2016 s. 22.]</w:t>
      </w:r>
    </w:p>
    <w:p>
      <w:pPr>
        <w:pStyle w:val="Heading5"/>
        <w:spacing w:before="120"/>
      </w:pPr>
      <w:bookmarkStart w:id="59" w:name="_Toc202366065"/>
      <w:r>
        <w:rPr>
          <w:rStyle w:val="CharSectno"/>
        </w:rPr>
        <w:t>40D</w:t>
      </w:r>
      <w:r>
        <w:t>.</w:t>
      </w:r>
      <w:r>
        <w:tab/>
        <w:t>Authorisation under miner’s right</w:t>
      </w:r>
      <w:bookmarkEnd w:id="59"/>
    </w:p>
    <w:p>
      <w:pPr>
        <w:pStyle w:val="Subsection"/>
        <w:spacing w:before="100"/>
      </w:pPr>
      <w:r>
        <w:tab/>
        <w:t>(1)</w:t>
      </w:r>
      <w:r>
        <w:tab/>
      </w:r>
      <w:r>
        <w:rPr>
          <w:snapToGrid w:val="0"/>
        </w:rPr>
        <w:t>Subject</w:t>
      </w:r>
      <w:r>
        <w:t xml:space="preserve"> to this Act the holder of a miner’s right is authorised to do all or any of the following things —</w:t>
      </w:r>
    </w:p>
    <w:p>
      <w:pPr>
        <w:pStyle w:val="Indenta"/>
      </w:pPr>
      <w:r>
        <w:tab/>
        <w:t>(a)</w:t>
      </w:r>
      <w:r>
        <w:tab/>
        <w:t>pass and repass over Crown land or conservation land with such employees and agents, vehicles, machinery and equipment as may be necessary or expedient for the purpose of prospecting and marking out any land which may be made the subject of an application for a mining tenement;</w:t>
      </w:r>
    </w:p>
    <w:p>
      <w:pPr>
        <w:pStyle w:val="Indenta"/>
      </w:pPr>
      <w:r>
        <w:tab/>
        <w:t>(b)</w:t>
      </w:r>
      <w:r>
        <w:tab/>
        <w:t>prospect for minerals and conduct tests for minerals on available land for the purpose of determining whether to mark out or apply for a mining tenement in respect of any part of the land;</w:t>
      </w:r>
    </w:p>
    <w:p>
      <w:pPr>
        <w:pStyle w:val="Indenta"/>
      </w:pPr>
      <w:r>
        <w:tab/>
        <w:t>(c)</w:t>
      </w:r>
      <w:r>
        <w:tab/>
        <w:t>extract or remove from available land samples or specimens of rock, ore or minerals with as little damage to the surface of the land as possible, in quantities, in total or on occasions, not exceeding the prescribed limits;</w:t>
      </w:r>
    </w:p>
    <w:p>
      <w:pPr>
        <w:pStyle w:val="Indenta"/>
      </w:pPr>
      <w:r>
        <w:lastRenderedPageBreak/>
        <w:tab/>
        <w:t>(d)</w:t>
      </w:r>
      <w:r>
        <w:tab/>
        <w:t>keep as the holder’s property or use for testing or evaluation purposes any samples and specimens of any mineral found by the holder on available land;</w:t>
      </w:r>
    </w:p>
    <w:p>
      <w:pPr>
        <w:pStyle w:val="Indenta"/>
      </w:pPr>
      <w:r>
        <w:tab/>
        <w:t>(e)</w:t>
      </w:r>
      <w:r>
        <w:tab/>
        <w:t xml:space="preserve">for the purpose of prospecting and for domestic purposes and subject to the </w:t>
      </w:r>
      <w:r>
        <w:rPr>
          <w:i/>
        </w:rPr>
        <w:t>Rights in Water and Irrigation Act 1914</w:t>
      </w:r>
      <w:r>
        <w:t xml:space="preserve">, or any Act amending or replacing the relevant provisions of that Act — </w:t>
      </w:r>
    </w:p>
    <w:p>
      <w:pPr>
        <w:pStyle w:val="Indenti"/>
      </w:pPr>
      <w:r>
        <w:tab/>
        <w:t>(i)</w:t>
      </w:r>
      <w:r>
        <w:tab/>
        <w:t>take and use water from any natural spring, lake, pool or watercourse situated in or flowing through available land; and</w:t>
      </w:r>
    </w:p>
    <w:p>
      <w:pPr>
        <w:pStyle w:val="Indenti"/>
      </w:pPr>
      <w:r>
        <w:tab/>
        <w:t>(ii)</w:t>
      </w:r>
      <w:r>
        <w:tab/>
        <w:t>sink a well or bore on available land and take and use water from the well or bore;</w:t>
      </w:r>
    </w:p>
    <w:p>
      <w:pPr>
        <w:pStyle w:val="Indenta"/>
      </w:pPr>
      <w:r>
        <w:tab/>
        <w:t>(f)</w:t>
      </w:r>
      <w:r>
        <w:tab/>
        <w:t>for the purpose of prospecting, camp on Crown land or conservation land in such manner and subject to such conditions as may be prescribed;</w:t>
      </w:r>
    </w:p>
    <w:p>
      <w:pPr>
        <w:pStyle w:val="Indenta"/>
      </w:pPr>
      <w:r>
        <w:tab/>
        <w:t>(g)</w:t>
      </w:r>
      <w:r>
        <w:tab/>
        <w:t>fossick by prescribed means on Crown land or conservation land with the prior written consent of —</w:t>
      </w:r>
    </w:p>
    <w:p>
      <w:pPr>
        <w:pStyle w:val="Indenti"/>
      </w:pPr>
      <w:r>
        <w:tab/>
        <w:t>(i)</w:t>
      </w:r>
      <w:r>
        <w:tab/>
        <w:t>any occupier of that land; and</w:t>
      </w:r>
    </w:p>
    <w:p>
      <w:pPr>
        <w:pStyle w:val="Indenti"/>
      </w:pPr>
      <w:r>
        <w:tab/>
        <w:t>(ii)</w:t>
      </w:r>
      <w:r>
        <w:tab/>
        <w:t>if the land is subject to a mining tenement, the holder of the mining tenement.</w:t>
      </w:r>
    </w:p>
    <w:p>
      <w:pPr>
        <w:pStyle w:val="Subsection"/>
      </w:pPr>
      <w:r>
        <w:tab/>
        <w:t>(2)</w:t>
      </w:r>
      <w:r>
        <w:tab/>
        <w:t>Every miner’s right is to be regarded as having been issued subject to the conditions that the holder of the miner’s right or any other person acting in the exercise or purported exercise of an authorisation conferred or alleged to be conferred by subsection (1) —</w:t>
      </w:r>
    </w:p>
    <w:p>
      <w:pPr>
        <w:pStyle w:val="Indenta"/>
      </w:pPr>
      <w:r>
        <w:tab/>
        <w:t>(a)</w:t>
      </w:r>
      <w:r>
        <w:tab/>
        <w:t xml:space="preserve">must not, on conservation land, do any of the things referred to in that subsection unless authorised to do so under the </w:t>
      </w:r>
      <w:r>
        <w:rPr>
          <w:i/>
        </w:rPr>
        <w:t>Conservation and Land Management Act 1984</w:t>
      </w:r>
      <w:r>
        <w:t>; and</w:t>
      </w:r>
    </w:p>
    <w:p>
      <w:pPr>
        <w:pStyle w:val="Indenta"/>
      </w:pPr>
      <w:r>
        <w:tab/>
        <w:t>(b)</w:t>
      </w:r>
      <w:r>
        <w:tab/>
        <w:t>must not use explosives or tools, other than tools prescribed for the purposes of this paragraph or hand tools; and</w:t>
      </w:r>
    </w:p>
    <w:p>
      <w:pPr>
        <w:pStyle w:val="Indenta"/>
        <w:keepNext/>
      </w:pPr>
      <w:r>
        <w:lastRenderedPageBreak/>
        <w:tab/>
        <w:t>(c)</w:t>
      </w:r>
      <w:r>
        <w:tab/>
        <w:t xml:space="preserve">must cause to be filled in or otherwise made safe — </w:t>
      </w:r>
    </w:p>
    <w:p>
      <w:pPr>
        <w:pStyle w:val="Indenti"/>
      </w:pPr>
      <w:r>
        <w:tab/>
        <w:t>(i)</w:t>
      </w:r>
      <w:r>
        <w:tab/>
        <w:t>all holes, pits, trenches and other disturbances on the surface of the land which were made by the person while acting in the exercise or purported exercise of the authorisation and which are likely to endanger the safety of any person or animal; and</w:t>
      </w:r>
    </w:p>
    <w:p>
      <w:pPr>
        <w:pStyle w:val="Indenti"/>
      </w:pPr>
      <w:r>
        <w:tab/>
        <w:t>(ii)</w:t>
      </w:r>
      <w:r>
        <w:tab/>
        <w:t>such other holes, pits, trenches and other disturbances made, wholly or in part, by the person as the Minister may from time to time direct;</w:t>
      </w:r>
    </w:p>
    <w:p>
      <w:pPr>
        <w:pStyle w:val="Indenta"/>
      </w:pPr>
      <w:r>
        <w:tab/>
      </w:r>
      <w:r>
        <w:tab/>
        <w:t>and</w:t>
      </w:r>
    </w:p>
    <w:p>
      <w:pPr>
        <w:pStyle w:val="Indenta"/>
      </w:pPr>
      <w:r>
        <w:tab/>
        <w:t>(d)</w:t>
      </w:r>
      <w:r>
        <w:tab/>
        <w:t xml:space="preserve">must take all necessary steps to prevent the following — </w:t>
      </w:r>
    </w:p>
    <w:p>
      <w:pPr>
        <w:pStyle w:val="Indenti"/>
      </w:pPr>
      <w:r>
        <w:tab/>
        <w:t>(i)</w:t>
      </w:r>
      <w:r>
        <w:tab/>
        <w:t>fire damage to trees or other property;</w:t>
      </w:r>
    </w:p>
    <w:p>
      <w:pPr>
        <w:pStyle w:val="Indenti"/>
      </w:pPr>
      <w:r>
        <w:tab/>
        <w:t>(ii)</w:t>
      </w:r>
      <w:r>
        <w:tab/>
        <w:t>damage to property or to livestock by the presence of dogs, the discharge of firearms, the use of vehicles or otherwise.</w:t>
      </w:r>
    </w:p>
    <w:p>
      <w:pPr>
        <w:pStyle w:val="Subsection"/>
      </w:pPr>
      <w:r>
        <w:tab/>
        <w:t>(3)</w:t>
      </w:r>
      <w:r>
        <w:tab/>
        <w:t>The holder of a miner’s right is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the holder or any other person acting in the exercise or purported exercise of an authorisation conferred or alleged to be conferred by subsection (1).</w:t>
      </w:r>
    </w:p>
    <w:p>
      <w:pPr>
        <w:pStyle w:val="Subsection"/>
      </w:pPr>
      <w:r>
        <w:tab/>
        <w:t>(4)</w:t>
      </w:r>
      <w:r>
        <w:tab/>
        <w:t>A determination made by the warden’s court under subsection (3) is, for the purposes of section 147(1), a final determination of the warden’s court.</w:t>
      </w:r>
    </w:p>
    <w:p>
      <w:pPr>
        <w:pStyle w:val="Footnotesection"/>
      </w:pPr>
      <w:r>
        <w:tab/>
        <w:t>[Section 40D inserted: No. 51 of 2012 s. 15.]</w:t>
      </w:r>
    </w:p>
    <w:p>
      <w:pPr>
        <w:pStyle w:val="Heading5"/>
        <w:pageBreakBefore/>
        <w:spacing w:before="0"/>
      </w:pPr>
      <w:bookmarkStart w:id="60" w:name="_Toc202366066"/>
      <w:r>
        <w:rPr>
          <w:rStyle w:val="CharSectno"/>
        </w:rPr>
        <w:lastRenderedPageBreak/>
        <w:t>40E</w:t>
      </w:r>
      <w:r>
        <w:t>.</w:t>
      </w:r>
      <w:r>
        <w:tab/>
        <w:t>Permit to prospect on Crown land or conservation land subject of exploration licence</w:t>
      </w:r>
      <w:bookmarkEnd w:id="60"/>
    </w:p>
    <w:p>
      <w:pPr>
        <w:pStyle w:val="Subsection"/>
      </w:pPr>
      <w:r>
        <w:tab/>
        <w:t>(1)</w:t>
      </w:r>
      <w:r>
        <w:tab/>
        <w:t>The mining registrar or the holder of a prescribed office in the Department may issue a permit to prospect for minerals on Crown land or conservation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must be made in the prescribed form; and</w:t>
      </w:r>
    </w:p>
    <w:p>
      <w:pPr>
        <w:pStyle w:val="Indenta"/>
      </w:pPr>
      <w:r>
        <w:tab/>
        <w:t>(b)</w:t>
      </w:r>
      <w:r>
        <w:tab/>
        <w:t>must be lodged in the prescribed manner; and</w:t>
      </w:r>
    </w:p>
    <w:p>
      <w:pPr>
        <w:pStyle w:val="Indenta"/>
      </w:pPr>
      <w:r>
        <w:tab/>
        <w:t>(c)</w:t>
      </w:r>
      <w:r>
        <w:tab/>
        <w:t>must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must not use explosives or tools, other than hand tools, on the land the subject of the permit; and</w:t>
      </w:r>
    </w:p>
    <w:p>
      <w:pPr>
        <w:pStyle w:val="Indenta"/>
      </w:pPr>
      <w:r>
        <w:tab/>
        <w:t>(b)</w:t>
      </w:r>
      <w:r>
        <w:tab/>
        <w:t>must not prospect below the prescribed depth; and</w:t>
      </w:r>
    </w:p>
    <w:p>
      <w:pPr>
        <w:pStyle w:val="Indenta"/>
      </w:pPr>
      <w:r>
        <w:tab/>
        <w:t>(c)</w:t>
      </w:r>
      <w:r>
        <w:tab/>
        <w:t>must comply with the prescribed limits referred to in section 40D(1)(c); and</w:t>
      </w:r>
    </w:p>
    <w:p>
      <w:pPr>
        <w:pStyle w:val="Indenta"/>
      </w:pPr>
      <w:r>
        <w:lastRenderedPageBreak/>
        <w:tab/>
        <w:t>(d)</w:t>
      </w:r>
      <w:r>
        <w:tab/>
        <w:t>must not prospect within 100 m of any activities that are being carried out under the authority of an exploration licence; and</w:t>
      </w:r>
    </w:p>
    <w:p>
      <w:pPr>
        <w:pStyle w:val="Indenta"/>
      </w:pPr>
      <w:r>
        <w:tab/>
        <w:t>(e)</w:t>
      </w:r>
      <w:r>
        <w:tab/>
        <w:t>must not prospect on land that is the subject of a special prospecting licence under section 70.</w:t>
      </w:r>
    </w:p>
    <w:p>
      <w:pPr>
        <w:pStyle w:val="Subsection"/>
      </w:pPr>
      <w:r>
        <w:tab/>
        <w:t>(7)</w:t>
      </w:r>
      <w:r>
        <w:tab/>
        <w:t>A permit is not transferable.</w:t>
      </w:r>
    </w:p>
    <w:p>
      <w:pPr>
        <w:pStyle w:val="Footnotesection"/>
      </w:pPr>
      <w:r>
        <w:tab/>
        <w:t>[Section 40E inserted: No. 51 of 2012 s. 15.]</w:t>
      </w:r>
    </w:p>
    <w:p>
      <w:pPr>
        <w:pStyle w:val="Heading5"/>
      </w:pPr>
      <w:bookmarkStart w:id="61" w:name="_Toc202366067"/>
      <w:r>
        <w:rPr>
          <w:rStyle w:val="CharSectno"/>
        </w:rPr>
        <w:t>40F</w:t>
      </w:r>
      <w:r>
        <w:t>.</w:t>
      </w:r>
      <w:r>
        <w:tab/>
        <w:t>Power to remove Crown land or conservation land from operation of s. 40E</w:t>
      </w:r>
      <w:bookmarkEnd w:id="61"/>
    </w:p>
    <w:p>
      <w:pPr>
        <w:pStyle w:val="Subsection"/>
      </w:pPr>
      <w:r>
        <w:tab/>
        <w:t>(1)</w:t>
      </w:r>
      <w:r>
        <w:tab/>
        <w:t xml:space="preserve">The Minister may, by notice published in the </w:t>
      </w:r>
      <w:r>
        <w:rPr>
          <w:i/>
        </w:rPr>
        <w:t>Gazette</w:t>
      </w:r>
      <w:r>
        <w:t>, declare that section 40E does not apply to Crown land or conservation land that is —</w:t>
      </w:r>
    </w:p>
    <w:p>
      <w:pPr>
        <w:pStyle w:val="Indenta"/>
      </w:pPr>
      <w:r>
        <w:tab/>
        <w:t>(a)</w:t>
      </w:r>
      <w:r>
        <w:tab/>
        <w:t>the subject of a specified exploration licence; or</w:t>
      </w:r>
    </w:p>
    <w:p>
      <w:pPr>
        <w:pStyle w:val="Indenta"/>
      </w:pPr>
      <w:r>
        <w:tab/>
        <w:t>(b)</w:t>
      </w:r>
      <w:r>
        <w:tab/>
        <w:t>in a specified block (within the meaning of Part IV Division 2);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40E before the day on which the notice takes effect.</w:t>
      </w:r>
    </w:p>
    <w:p>
      <w:pPr>
        <w:pStyle w:val="Footnotesection"/>
      </w:pPr>
      <w:r>
        <w:tab/>
        <w:t>[Section 40F inserted: No. 51 of 2012 s. 15.]</w:t>
      </w:r>
    </w:p>
    <w:p>
      <w:pPr>
        <w:pStyle w:val="Heading5"/>
      </w:pPr>
      <w:bookmarkStart w:id="62" w:name="_Toc202366068"/>
      <w:r>
        <w:rPr>
          <w:rStyle w:val="CharSectno"/>
        </w:rPr>
        <w:t>40G</w:t>
      </w:r>
      <w:r>
        <w:t>.</w:t>
      </w:r>
      <w:r>
        <w:tab/>
        <w:t>Limitation on actions in tort</w:t>
      </w:r>
      <w:bookmarkEnd w:id="62"/>
    </w:p>
    <w:p>
      <w:pPr>
        <w:pStyle w:val="Subsection"/>
      </w:pPr>
      <w:r>
        <w:tab/>
        <w:t>(1)</w:t>
      </w:r>
      <w:r>
        <w:tab/>
        <w:t>In this section —</w:t>
      </w:r>
    </w:p>
    <w:p>
      <w:pPr>
        <w:pStyle w:val="Defstart"/>
      </w:pPr>
      <w:r>
        <w:tab/>
      </w:r>
      <w:r>
        <w:rPr>
          <w:rStyle w:val="CharDefText"/>
        </w:rPr>
        <w:t>permit</w:t>
      </w:r>
      <w:r>
        <w:t xml:space="preserve"> means a permit issued under section 40E;</w:t>
      </w:r>
    </w:p>
    <w:p>
      <w:pPr>
        <w:pStyle w:val="Defstart"/>
      </w:pPr>
      <w:r>
        <w:lastRenderedPageBreak/>
        <w:tab/>
      </w:r>
      <w:r>
        <w:rPr>
          <w:rStyle w:val="CharDefText"/>
        </w:rPr>
        <w:t>permit land</w:t>
      </w:r>
      <w:r>
        <w:t xml:space="preserve"> means land that is the subject of both the permit and the exploration licence concerned.</w:t>
      </w:r>
    </w:p>
    <w:p>
      <w:pPr>
        <w:pStyle w:val="Subsection"/>
      </w:pPr>
      <w:r>
        <w:tab/>
        <w:t>(2)</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pPr>
      <w:r>
        <w:tab/>
        <w:t>(3)</w:t>
      </w:r>
      <w:r>
        <w:tab/>
        <w:t>Nothing in subsection (2)(b) prevents the bringing of an action in tort if the thing was done —</w:t>
      </w:r>
    </w:p>
    <w:p>
      <w:pPr>
        <w:pStyle w:val="Indenta"/>
      </w:pPr>
      <w:r>
        <w:tab/>
        <w:t>(a)</w:t>
      </w:r>
      <w:r>
        <w:tab/>
        <w:t>with the deliberate intent of causing injury, loss or damage to the holder of the permit; or</w:t>
      </w:r>
    </w:p>
    <w:p>
      <w:pPr>
        <w:pStyle w:val="Indenta"/>
      </w:pPr>
      <w:r>
        <w:tab/>
        <w:t>(b)</w:t>
      </w:r>
      <w:r>
        <w:tab/>
        <w:t>with reckless disregard for the presence of the holder of the permit on the permit land.</w:t>
      </w:r>
    </w:p>
    <w:p>
      <w:pPr>
        <w:pStyle w:val="Subsection"/>
      </w:pPr>
      <w:r>
        <w:tab/>
        <w:t>(4)</w:t>
      </w:r>
      <w:r>
        <w:tab/>
        <w:t>In this section a reference to the doing of a thing includes a reference to an omission to do a thing.</w:t>
      </w:r>
    </w:p>
    <w:p>
      <w:pPr>
        <w:pStyle w:val="Footnotesection"/>
      </w:pPr>
      <w:r>
        <w:tab/>
        <w:t>[Section 40G inserted: No. 51 of 2012 s. 15.]</w:t>
      </w:r>
    </w:p>
    <w:p>
      <w:pPr>
        <w:pStyle w:val="Heading2"/>
      </w:pPr>
      <w:bookmarkStart w:id="63" w:name="_Toc202186613"/>
      <w:bookmarkStart w:id="64" w:name="_Toc202366069"/>
      <w:r>
        <w:rPr>
          <w:rStyle w:val="CharPartNo"/>
        </w:rPr>
        <w:lastRenderedPageBreak/>
        <w:t>Part IV</w:t>
      </w:r>
      <w:r>
        <w:t> — </w:t>
      </w:r>
      <w:r>
        <w:rPr>
          <w:rStyle w:val="CharPartText"/>
        </w:rPr>
        <w:t>Mining tenements</w:t>
      </w:r>
      <w:bookmarkEnd w:id="63"/>
      <w:bookmarkEnd w:id="64"/>
    </w:p>
    <w:p>
      <w:pPr>
        <w:pStyle w:val="Heading3"/>
      </w:pPr>
      <w:bookmarkStart w:id="65" w:name="_Toc202186614"/>
      <w:bookmarkStart w:id="66" w:name="_Toc202366070"/>
      <w:r>
        <w:rPr>
          <w:rStyle w:val="CharDivNo"/>
        </w:rPr>
        <w:t>Division 1</w:t>
      </w:r>
      <w:r>
        <w:rPr>
          <w:snapToGrid w:val="0"/>
        </w:rPr>
        <w:t> — </w:t>
      </w:r>
      <w:r>
        <w:rPr>
          <w:rStyle w:val="CharDivText"/>
        </w:rPr>
        <w:t>Prospecting licence</w:t>
      </w:r>
      <w:bookmarkEnd w:id="65"/>
      <w:bookmarkEnd w:id="66"/>
    </w:p>
    <w:p>
      <w:pPr>
        <w:pStyle w:val="Ednotesection"/>
      </w:pPr>
      <w:r>
        <w:t>[</w:t>
      </w:r>
      <w:r>
        <w:rPr>
          <w:b/>
        </w:rPr>
        <w:t>39A.</w:t>
      </w:r>
      <w:r>
        <w:rPr>
          <w:b/>
        </w:rPr>
        <w:tab/>
      </w:r>
      <w:r>
        <w:t>Deleted: No. 52 of 1995 s. 21.]</w:t>
      </w:r>
    </w:p>
    <w:p>
      <w:pPr>
        <w:pStyle w:val="Heading5"/>
        <w:rPr>
          <w:snapToGrid w:val="0"/>
        </w:rPr>
      </w:pPr>
      <w:bookmarkStart w:id="67" w:name="_Toc202366071"/>
      <w:r>
        <w:rPr>
          <w:rStyle w:val="CharSectno"/>
        </w:rPr>
        <w:t>40</w:t>
      </w:r>
      <w:r>
        <w:rPr>
          <w:snapToGrid w:val="0"/>
        </w:rPr>
        <w:t>.</w:t>
      </w:r>
      <w:r>
        <w:rPr>
          <w:snapToGrid w:val="0"/>
        </w:rPr>
        <w:tab/>
        <w:t>Grant of prospecting licence</w:t>
      </w:r>
      <w:bookmarkEnd w:id="67"/>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ha.</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[Section 40 amended: No. 122 of 1982 s. 8; No. 100 of 1985 s. 27; No. 58 of 1994 s. 7; No. 5 of 1997 s. 41(2).]</w:t>
      </w:r>
    </w:p>
    <w:p>
      <w:pPr>
        <w:pStyle w:val="Heading5"/>
        <w:rPr>
          <w:snapToGrid w:val="0"/>
        </w:rPr>
      </w:pPr>
      <w:bookmarkStart w:id="68" w:name="_Toc202366072"/>
      <w:r>
        <w:rPr>
          <w:rStyle w:val="CharSectno"/>
        </w:rPr>
        <w:t>41</w:t>
      </w:r>
      <w:r>
        <w:rPr>
          <w:snapToGrid w:val="0"/>
        </w:rPr>
        <w:t>.</w:t>
      </w:r>
      <w:r>
        <w:rPr>
          <w:snapToGrid w:val="0"/>
        </w:rPr>
        <w:tab/>
        <w:t>Application for prospecting licence</w:t>
      </w:r>
      <w:bookmarkEnd w:id="68"/>
    </w:p>
    <w:p>
      <w:pPr>
        <w:pStyle w:val="Subsection"/>
        <w:rPr>
          <w:snapToGrid w:val="0"/>
        </w:rPr>
      </w:pPr>
      <w:r>
        <w:rPr>
          <w:snapToGrid w:val="0"/>
        </w:rPr>
        <w:tab/>
        <w:t>(1)</w:t>
      </w:r>
      <w:r>
        <w:rPr>
          <w:snapToGrid w:val="0"/>
        </w:rPr>
        <w:tab/>
        <w:t>An application for a prospecting licence —</w:t>
      </w:r>
    </w:p>
    <w:p>
      <w:pPr>
        <w:pStyle w:val="Indenta"/>
        <w:rPr>
          <w:snapToGrid w:val="0"/>
        </w:rPr>
      </w:pPr>
      <w:r>
        <w:rPr>
          <w:snapToGrid w:val="0"/>
        </w:rPr>
        <w:tab/>
        <w:t>(a)</w:t>
      </w:r>
      <w:r>
        <w:rPr>
          <w:snapToGrid w:val="0"/>
        </w:rPr>
        <w:tab/>
        <w:t>shall be made in the prescribed form; and</w:t>
      </w:r>
    </w:p>
    <w:p>
      <w:pPr>
        <w:pStyle w:val="Indenta"/>
        <w:rPr>
          <w:snapToGrid w:val="0"/>
        </w:rPr>
      </w:pPr>
      <w:r>
        <w:rPr>
          <w:snapToGrid w:val="0"/>
        </w:rPr>
        <w:tab/>
        <w:t>(b)</w:t>
      </w:r>
      <w:r>
        <w:rPr>
          <w:snapToGrid w:val="0"/>
        </w:rPr>
        <w:tab/>
        <w:t>shall be accompanied by the amount of the prescribed rent for the first year or portion thereof as prescribed; and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 and</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shall be lodged</w:t>
      </w:r>
      <w:r>
        <w:t xml:space="preserve"> in the prescribed manner; and</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lastRenderedPageBreak/>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[Section 41 amended: No. 122 of 1982 s. 9; No. 52 of 1983 s. 3; No. 100 of 1985 s. 28; No. 37 of 1993 s. 26; No. 58 of 1994 s. 8; No. 12 of 2010 s. 16.]</w:t>
      </w:r>
    </w:p>
    <w:p>
      <w:pPr>
        <w:pStyle w:val="Heading5"/>
        <w:rPr>
          <w:snapToGrid w:val="0"/>
        </w:rPr>
      </w:pPr>
      <w:bookmarkStart w:id="69" w:name="_Toc202366073"/>
      <w:r>
        <w:rPr>
          <w:rStyle w:val="CharSectno"/>
        </w:rPr>
        <w:t>42</w:t>
      </w:r>
      <w:r>
        <w:rPr>
          <w:snapToGrid w:val="0"/>
        </w:rPr>
        <w:t>.</w:t>
      </w:r>
      <w:r>
        <w:rPr>
          <w:snapToGrid w:val="0"/>
        </w:rPr>
        <w:tab/>
        <w:t>Determination of application for prospecting licence</w:t>
      </w:r>
      <w:bookmarkEnd w:id="69"/>
    </w:p>
    <w:p>
      <w:pPr>
        <w:pStyle w:val="Subsection"/>
        <w:rPr>
          <w:snapToGrid w:val="0"/>
        </w:rPr>
      </w:pPr>
      <w:r>
        <w:rPr>
          <w:snapToGrid w:val="0"/>
        </w:rPr>
        <w:tab/>
        <w:t>(1)</w:t>
      </w:r>
      <w:r>
        <w:rPr>
          <w:snapToGrid w:val="0"/>
        </w:rPr>
        <w:tab/>
        <w:t>A person who wishes to object to the granting of an application for a prospecting licence must lodge a notice of objection.</w:t>
      </w:r>
    </w:p>
    <w:p>
      <w:pPr>
        <w:pStyle w:val="Subsection"/>
      </w:pPr>
      <w:r>
        <w:tab/>
        <w:t>(1A)</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pPr>
      <w:r>
        <w:tab/>
        <w:t>(1B)</w:t>
      </w:r>
      <w:r>
        <w:tab/>
        <w:t>A person is not entitled to lodge a notice of objection if the basis for the objection is that the prospecting licence, or activities authorised by it, would affect an offsets project.</w:t>
      </w:r>
    </w:p>
    <w:p>
      <w:pPr>
        <w:pStyle w:val="Subsection"/>
      </w:pPr>
      <w:r>
        <w:tab/>
        <w:t>(1C)</w:t>
      </w:r>
      <w:r>
        <w:tab/>
        <w:t>Subsection (1B) does not apply in respect of an offsets project, or any part of an offsets project, situated on land held in freehold.</w:t>
      </w:r>
    </w:p>
    <w:p>
      <w:pPr>
        <w:pStyle w:val="Subsection"/>
        <w:keepNext/>
        <w:rPr>
          <w:snapToGrid w:val="0"/>
        </w:rPr>
      </w:pPr>
      <w:r>
        <w:rPr>
          <w:snapToGrid w:val="0"/>
        </w:rPr>
        <w:lastRenderedPageBreak/>
        <w:tab/>
        <w:t>(2)</w:t>
      </w:r>
      <w:r>
        <w:rPr>
          <w:snapToGrid w:val="0"/>
        </w:rPr>
        <w:tab/>
        <w:t>Where no notice of objection is lodged within the prescribed time</w:t>
      </w:r>
      <w:r>
        <w:t>, or any notice of objection is withdrawn,</w:t>
      </w:r>
      <w:r>
        <w:rPr>
          <w:snapToGrid w:val="0"/>
        </w:rPr>
        <w:t xml:space="preserve"> the mining registrar may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spacing w:before="180"/>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pPr>
        <w:pStyle w:val="Footnotesection"/>
        <w:spacing w:before="100"/>
        <w:ind w:left="890" w:hanging="890"/>
      </w:pPr>
      <w:r>
        <w:tab/>
        <w:t>[Section 42 inserted: No. 58 of 1994 s. 9(1); amended: No. 39 of 2004 s. 56; No. 12 of 2010 s. 17; No. 39 of 2022 s. 6; No. 27 of 2023 s. 5.]</w:t>
      </w:r>
    </w:p>
    <w:p>
      <w:pPr>
        <w:pStyle w:val="Heading5"/>
        <w:spacing w:before="240"/>
      </w:pPr>
      <w:bookmarkStart w:id="70" w:name="_Toc202366074"/>
      <w:r>
        <w:rPr>
          <w:rStyle w:val="CharSectno"/>
        </w:rPr>
        <w:t>43</w:t>
      </w:r>
      <w:r>
        <w:t>.</w:t>
      </w:r>
      <w:r>
        <w:tab/>
        <w:t>Prospecting licence not to include land already subject of mining tenement</w:t>
      </w:r>
      <w:bookmarkEnd w:id="70"/>
    </w:p>
    <w:p>
      <w:pPr>
        <w:pStyle w:val="Subsection"/>
        <w:spacing w:before="180"/>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keepNext/>
        <w:spacing w:before="180"/>
      </w:pPr>
      <w:r>
        <w:tab/>
        <w:t>(2)</w:t>
      </w:r>
      <w:r>
        <w:tab/>
        <w:t xml:space="preserve">Subsection (1) does not apply in relation to a special prospecting licence granted under section 56A, 70 or 85B or a </w:t>
      </w:r>
      <w:r>
        <w:lastRenderedPageBreak/>
        <w:t>prospecting licence granted in respect of an application under section 56B or a reversion licence application.</w:t>
      </w:r>
    </w:p>
    <w:p>
      <w:pPr>
        <w:pStyle w:val="Footnotesection"/>
        <w:spacing w:before="100"/>
        <w:ind w:left="890" w:hanging="890"/>
      </w:pPr>
      <w:r>
        <w:tab/>
        <w:t>[Section 43 inserted: No. 15 of 2002 s. 6; amended: No. 39 of 2004 s. 4; No. 27 of 2005 s. 5.]</w:t>
      </w:r>
    </w:p>
    <w:p>
      <w:pPr>
        <w:pStyle w:val="Heading5"/>
        <w:spacing w:before="240"/>
        <w:rPr>
          <w:snapToGrid w:val="0"/>
        </w:rPr>
      </w:pPr>
      <w:bookmarkStart w:id="71" w:name="_Toc202366075"/>
      <w:r>
        <w:rPr>
          <w:rStyle w:val="CharSectno"/>
        </w:rPr>
        <w:t>44</w:t>
      </w:r>
      <w:r>
        <w:rPr>
          <w:snapToGrid w:val="0"/>
        </w:rPr>
        <w:t>.</w:t>
      </w:r>
      <w:r>
        <w:rPr>
          <w:snapToGrid w:val="0"/>
        </w:rPr>
        <w:tab/>
        <w:t>Power to grant prospecting licence over all or part of land in application</w:t>
      </w:r>
      <w:bookmarkEnd w:id="71"/>
    </w:p>
    <w:p>
      <w:pPr>
        <w:pStyle w:val="Subsection"/>
        <w:spacing w:before="180"/>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ind w:left="890" w:hanging="890"/>
      </w:pPr>
      <w:r>
        <w:tab/>
        <w:t>[Section 44 amended: No. 100 of 1985 s. 30; No. 15 of 2002 s. 7.]</w:t>
      </w:r>
    </w:p>
    <w:p>
      <w:pPr>
        <w:pStyle w:val="Heading5"/>
        <w:keepLines w:val="0"/>
        <w:spacing w:before="180"/>
        <w:rPr>
          <w:snapToGrid w:val="0"/>
        </w:rPr>
      </w:pPr>
      <w:bookmarkStart w:id="72" w:name="_Toc202366076"/>
      <w:r>
        <w:rPr>
          <w:rStyle w:val="CharSectno"/>
        </w:rPr>
        <w:t>45</w:t>
      </w:r>
      <w:r>
        <w:rPr>
          <w:snapToGrid w:val="0"/>
        </w:rPr>
        <w:t>.</w:t>
      </w:r>
      <w:r>
        <w:rPr>
          <w:snapToGrid w:val="0"/>
        </w:rPr>
        <w:tab/>
        <w:t>Term of prospecting licence</w:t>
      </w:r>
      <w:bookmarkEnd w:id="72"/>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Notwithstanding subsection (1) the Minister may, if satisfied that a prescribed ground for extension exists, extend the term of a prospecting licence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rStyle w:val="CharDefText"/>
        </w:rPr>
        <w:t>extension application</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lastRenderedPageBreak/>
        <w:tab/>
        <w:t>(1d)</w:t>
      </w:r>
      <w:r>
        <w:tab/>
        <w:t>If —</w:t>
      </w:r>
    </w:p>
    <w:p>
      <w:pPr>
        <w:pStyle w:val="Indenta"/>
      </w:pPr>
      <w:r>
        <w:tab/>
        <w:t>(a)</w:t>
      </w:r>
      <w:r>
        <w:tab/>
        <w:t>an extension application is made in respect of a prospecting licence the term of which has been extended under subsection (1a)(a); and</w:t>
      </w:r>
    </w:p>
    <w:p>
      <w:pPr>
        <w:pStyle w:val="Indenta"/>
      </w:pPr>
      <w:r>
        <w:tab/>
        <w:t>(b)</w:t>
      </w:r>
      <w:r>
        <w:tab/>
        <w:t>an application for retention status in respect of the prospecting licence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spacing w:before="120"/>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spacing w:before="120"/>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w:t>
      </w:r>
    </w:p>
    <w:p>
      <w:pPr>
        <w:pStyle w:val="Indenta"/>
        <w:spacing w:before="70"/>
        <w:rPr>
          <w:snapToGrid w:val="0"/>
        </w:rPr>
      </w:pPr>
      <w:r>
        <w:rPr>
          <w:snapToGrid w:val="0"/>
        </w:rPr>
        <w:tab/>
        <w:t>(a)</w:t>
      </w:r>
      <w:r>
        <w:rPr>
          <w:snapToGrid w:val="0"/>
        </w:rPr>
        <w:tab/>
        <w:t>by or on behalf of the person who was the holder of the prospecting licence immediately prior to the date of the surrender, forfeiture or expiry; or</w:t>
      </w:r>
    </w:p>
    <w:p>
      <w:pPr>
        <w:pStyle w:val="Indenta"/>
        <w:spacing w:before="70"/>
      </w:pPr>
      <w:r>
        <w:rPr>
          <w:snapToGrid w:val="0"/>
        </w:rPr>
        <w:tab/>
        <w:t>(b)</w:t>
      </w:r>
      <w:r>
        <w:rPr>
          <w:snapToGrid w:val="0"/>
        </w:rPr>
        <w:tab/>
        <w:t>by or on behalf of any person who had an interest in the prospecting licence immediately prior to that date</w:t>
      </w:r>
      <w:r>
        <w:t>; or</w:t>
      </w:r>
    </w:p>
    <w:p>
      <w:pPr>
        <w:pStyle w:val="Indenta"/>
        <w:spacing w:before="70"/>
      </w:pPr>
      <w:r>
        <w:tab/>
        <w:t>(c)</w:t>
      </w:r>
      <w:r>
        <w:tab/>
        <w:t>by or on behalf of 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keepNext/>
        <w:rPr>
          <w:snapToGrid w:val="0"/>
        </w:rPr>
      </w:pPr>
      <w:r>
        <w:rPr>
          <w:snapToGrid w:val="0"/>
        </w:rPr>
        <w:tab/>
        <w:t>(2a)</w:t>
      </w:r>
      <w:r>
        <w:rPr>
          <w:snapToGrid w:val="0"/>
        </w:rPr>
        <w:tab/>
        <w:t xml:space="preserve">For the purposes of subsection (2)(b) the holding of shares in a listed public company which held the prospecting licence in </w:t>
      </w:r>
      <w:r>
        <w:rPr>
          <w:snapToGrid w:val="0"/>
        </w:rPr>
        <w:lastRenderedPageBreak/>
        <w:t>question does not of itself constitute an interest in the prospecting licence.</w:t>
      </w:r>
    </w:p>
    <w:p>
      <w:pPr>
        <w:pStyle w:val="Footnotesection"/>
        <w:ind w:left="890" w:hanging="890"/>
      </w:pPr>
      <w:r>
        <w:tab/>
        <w:t>[Section 45 amended: No. 122 of 1982 s. 11; No. 100 of 1985 s. 31; No. 22 of 1990 s. 11; No. 37 of 1993 s. 5; No. 15 of 2002 s. 8; No. 39 of 2004 s. 5(1).]</w:t>
      </w:r>
    </w:p>
    <w:p>
      <w:pPr>
        <w:pStyle w:val="Heading5"/>
        <w:spacing w:before="260"/>
        <w:rPr>
          <w:snapToGrid w:val="0"/>
        </w:rPr>
      </w:pPr>
      <w:bookmarkStart w:id="73" w:name="_Toc202366077"/>
      <w:r>
        <w:rPr>
          <w:rStyle w:val="CharSectno"/>
        </w:rPr>
        <w:t>46</w:t>
      </w:r>
      <w:r>
        <w:rPr>
          <w:snapToGrid w:val="0"/>
        </w:rPr>
        <w:t>.</w:t>
      </w:r>
      <w:r>
        <w:rPr>
          <w:snapToGrid w:val="0"/>
        </w:rPr>
        <w:tab/>
        <w:t>Conditions attached to every prospecting licence</w:t>
      </w:r>
      <w:bookmarkEnd w:id="73"/>
    </w:p>
    <w:p>
      <w:pPr>
        <w:pStyle w:val="Subsection"/>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w:t>
      </w:r>
    </w:p>
    <w:p>
      <w:pPr>
        <w:pStyle w:val="Indenta"/>
        <w:spacing w:before="7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spacing w:before="120"/>
      </w:pPr>
      <w:r>
        <w:tab/>
        <w:t>(aa)</w:t>
      </w:r>
      <w:r>
        <w:tab/>
        <w:t>that no ground disturbing equipment will be used by the holder when prospecting on the land the subject of the prospecting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keepNext/>
        <w:rPr>
          <w:snapToGrid w:val="0"/>
        </w:rPr>
      </w:pPr>
      <w:r>
        <w:rPr>
          <w:snapToGrid w:val="0"/>
        </w:rPr>
        <w:lastRenderedPageBreak/>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[Section 46 amended: No. 69 of 1981 s. 16; No. 100 of 1985 s. 32; No. 57 of 1997 s. 89(1); No. 39 of 2004 s. 6(1); No. 51 of 2012 s. 16.]</w:t>
      </w:r>
    </w:p>
    <w:p>
      <w:pPr>
        <w:pStyle w:val="Heading5"/>
        <w:rPr>
          <w:snapToGrid w:val="0"/>
        </w:rPr>
      </w:pPr>
      <w:bookmarkStart w:id="74" w:name="_Toc202366078"/>
      <w:r>
        <w:rPr>
          <w:rStyle w:val="CharSectno"/>
        </w:rPr>
        <w:t>46A</w:t>
      </w:r>
      <w:r>
        <w:rPr>
          <w:snapToGrid w:val="0"/>
        </w:rPr>
        <w:t>.</w:t>
      </w:r>
      <w:r>
        <w:rPr>
          <w:snapToGrid w:val="0"/>
        </w:rPr>
        <w:tab/>
        <w:t>Conditions for prevention or reduction of injury to land</w:t>
      </w:r>
      <w:bookmarkEnd w:id="74"/>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may be imposed under this section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spacing w:before="100"/>
        <w:rPr>
          <w:snapToGrid w:val="0"/>
        </w:rPr>
      </w:pPr>
      <w:r>
        <w:rPr>
          <w:snapToGrid w:val="0"/>
        </w:rPr>
        <w:tab/>
        <w:t>(3)</w:t>
      </w:r>
      <w:r>
        <w:rPr>
          <w:snapToGrid w:val="0"/>
        </w:rPr>
        <w:tab/>
        <w:t>A condition imposed under this section may be cancelled or varied by the Minister at any time.</w:t>
      </w:r>
    </w:p>
    <w:p>
      <w:pPr>
        <w:pStyle w:val="Subsection"/>
        <w:spacing w:before="100"/>
        <w:rPr>
          <w:snapToGrid w:val="0"/>
        </w:rPr>
      </w:pPr>
      <w:r>
        <w:rPr>
          <w:snapToGrid w:val="0"/>
        </w:rPr>
        <w:tab/>
        <w:t>(4)</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keepNext/>
        <w:rPr>
          <w:snapToGrid w:val="0"/>
        </w:rPr>
      </w:pPr>
      <w:r>
        <w:rPr>
          <w:snapToGrid w:val="0"/>
        </w:rPr>
        <w:tab/>
        <w:t>(b)</w:t>
      </w:r>
      <w:r>
        <w:rPr>
          <w:snapToGrid w:val="0"/>
        </w:rPr>
        <w:tab/>
        <w:t xml:space="preserve">whether or not so endorsed, on notice of the imposition of the condition being given in writing to the holder of </w:t>
      </w:r>
      <w:r>
        <w:rPr>
          <w:snapToGrid w:val="0"/>
        </w:rPr>
        <w:lastRenderedPageBreak/>
        <w:t>the licence shall for all purposes have effect as a condition to which the licence is subject.</w:t>
      </w:r>
    </w:p>
    <w:p>
      <w:pPr>
        <w:pStyle w:val="Footnotesection"/>
        <w:spacing w:before="100"/>
        <w:ind w:left="890" w:hanging="890"/>
      </w:pPr>
      <w:r>
        <w:tab/>
        <w:t>[Section 46A inserted: No. 22 of 1990 s. 12; amended: No. 58 of 1994 s. 9(2); No. 12 of 2010 s. 5.]</w:t>
      </w:r>
    </w:p>
    <w:p>
      <w:pPr>
        <w:pStyle w:val="Heading5"/>
        <w:spacing w:before="120"/>
        <w:rPr>
          <w:snapToGrid w:val="0"/>
        </w:rPr>
      </w:pPr>
      <w:bookmarkStart w:id="75" w:name="_Toc202366079"/>
      <w:r>
        <w:rPr>
          <w:rStyle w:val="CharSectno"/>
        </w:rPr>
        <w:t>47</w:t>
      </w:r>
      <w:r>
        <w:rPr>
          <w:snapToGrid w:val="0"/>
        </w:rPr>
        <w:t>.</w:t>
      </w:r>
      <w:r>
        <w:rPr>
          <w:snapToGrid w:val="0"/>
        </w:rPr>
        <w:tab/>
        <w:t>Survey of area of prospecting licence not required in first instance</w:t>
      </w:r>
      <w:bookmarkEnd w:id="75"/>
    </w:p>
    <w:p>
      <w:pPr>
        <w:pStyle w:val="Subsection"/>
        <w:spacing w:before="100"/>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keepLines w:val="0"/>
        <w:ind w:left="890" w:hanging="890"/>
      </w:pPr>
      <w:r>
        <w:tab/>
        <w:t>[Section 47 amended: No. 100 of 1985 s. 33; No. 37 of 1993 s. 28(1); No. 39 of 2004 s. 57.]</w:t>
      </w:r>
    </w:p>
    <w:p>
      <w:pPr>
        <w:pStyle w:val="Heading5"/>
        <w:rPr>
          <w:snapToGrid w:val="0"/>
        </w:rPr>
      </w:pPr>
      <w:bookmarkStart w:id="76" w:name="_Toc202366080"/>
      <w:r>
        <w:rPr>
          <w:rStyle w:val="CharSectno"/>
        </w:rPr>
        <w:t>48</w:t>
      </w:r>
      <w:r>
        <w:rPr>
          <w:snapToGrid w:val="0"/>
        </w:rPr>
        <w:t>.</w:t>
      </w:r>
      <w:r>
        <w:rPr>
          <w:snapToGrid w:val="0"/>
        </w:rPr>
        <w:tab/>
        <w:t>Rights conferred by prospecting licence</w:t>
      </w:r>
      <w:bookmarkEnd w:id="76"/>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 xml:space="preserve">to prospect, subject to any conditions imposed under section 24, 24A or 25, for minerals, and to carry on such operations and carry out such works as are necessary for that purpose on such land including digging pits, </w:t>
      </w:r>
      <w:r>
        <w:rPr>
          <w:snapToGrid w:val="0"/>
        </w:rPr>
        <w:lastRenderedPageBreak/>
        <w:t>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[Section 48 amended: No. 100 of 1985 s. 34 (as amended: No. 105 of 1986 s. 4); No. 22 of 1990 s. 13; No. 5 of 1997 s. 41(2).]</w:t>
      </w:r>
    </w:p>
    <w:p>
      <w:pPr>
        <w:pStyle w:val="Heading5"/>
        <w:rPr>
          <w:snapToGrid w:val="0"/>
        </w:rPr>
      </w:pPr>
      <w:bookmarkStart w:id="77" w:name="_Toc202366081"/>
      <w:r>
        <w:rPr>
          <w:rStyle w:val="CharSectno"/>
        </w:rPr>
        <w:t>49</w:t>
      </w:r>
      <w:r>
        <w:rPr>
          <w:snapToGrid w:val="0"/>
        </w:rPr>
        <w:t>.</w:t>
      </w:r>
      <w:r>
        <w:rPr>
          <w:snapToGrid w:val="0"/>
        </w:rPr>
        <w:tab/>
        <w:t>Holder of prospecting licence to have priority for grant of mining leases or general purpose leases</w:t>
      </w:r>
      <w:bookmarkEnd w:id="77"/>
    </w:p>
    <w:p>
      <w:pPr>
        <w:pStyle w:val="Subsection"/>
        <w:rPr>
          <w:snapToGrid w:val="0"/>
        </w:rPr>
      </w:pPr>
      <w:r>
        <w:rPr>
          <w:snapToGrid w:val="0"/>
        </w:rPr>
        <w:tab/>
        <w:t>(1)</w:t>
      </w:r>
      <w:r>
        <w:rPr>
          <w:snapToGrid w:val="0"/>
        </w:rPr>
        <w:tab/>
        <w:t>The holder of a prospecting licence has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lastRenderedPageBreak/>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prospecting licence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[Section 49 inserted: No. 122 of 1982 s. 12; amended: No. 100 of 1985 s. 35; No. 21 of 1993 s. 45; No. 58 of 1994 s. 29(2); No. 52 of 1995 s. 22; No. 17 of 1999 s. 5.]</w:t>
      </w:r>
    </w:p>
    <w:p>
      <w:pPr>
        <w:pStyle w:val="Heading5"/>
        <w:rPr>
          <w:snapToGrid w:val="0"/>
        </w:rPr>
      </w:pPr>
      <w:bookmarkStart w:id="78" w:name="_Toc202366082"/>
      <w:r>
        <w:rPr>
          <w:rStyle w:val="CharSectno"/>
        </w:rPr>
        <w:t>50</w:t>
      </w:r>
      <w:r>
        <w:rPr>
          <w:snapToGrid w:val="0"/>
        </w:rPr>
        <w:t>.</w:t>
      </w:r>
      <w:r>
        <w:rPr>
          <w:snapToGrid w:val="0"/>
        </w:rPr>
        <w:tab/>
        <w:t>Compliance with expenditure conditions</w:t>
      </w:r>
      <w:bookmarkEnd w:id="78"/>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r>
        <w:tab/>
        <w:t>(2)</w:t>
      </w:r>
      <w:r>
        <w:tab/>
        <w:t>In the case of a prospecting licence that has retention status, expenditure conditions prescribed for the purposes of subsection (1) —</w:t>
      </w:r>
    </w:p>
    <w:p>
      <w:pPr>
        <w:pStyle w:val="Indenta"/>
      </w:pPr>
      <w:r>
        <w:tab/>
        <w:t>(a)</w:t>
      </w:r>
      <w:r>
        <w:tab/>
        <w:t xml:space="preserve">shall provide for a reduction calculated in the prescribed manner of the amount of expenditure required during the </w:t>
      </w:r>
      <w:r>
        <w:lastRenderedPageBreak/>
        <w:t>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No. 39 of 2004 s. 21.]</w:t>
      </w:r>
    </w:p>
    <w:p>
      <w:pPr>
        <w:pStyle w:val="Heading5"/>
        <w:rPr>
          <w:snapToGrid w:val="0"/>
        </w:rPr>
      </w:pPr>
      <w:bookmarkStart w:id="79" w:name="_Toc202366083"/>
      <w:r>
        <w:rPr>
          <w:rStyle w:val="CharSectno"/>
        </w:rPr>
        <w:t>51</w:t>
      </w:r>
      <w:r>
        <w:rPr>
          <w:snapToGrid w:val="0"/>
        </w:rPr>
        <w:t>.</w:t>
      </w:r>
      <w:r>
        <w:rPr>
          <w:snapToGrid w:val="0"/>
        </w:rPr>
        <w:tab/>
        <w:t>Reports of work and expenditure</w:t>
      </w:r>
      <w:bookmarkEnd w:id="79"/>
    </w:p>
    <w:p>
      <w:pPr>
        <w:pStyle w:val="Subsection"/>
        <w:rPr>
          <w:snapToGrid w:val="0"/>
        </w:rPr>
      </w:pPr>
      <w:r>
        <w:rPr>
          <w:snapToGrid w:val="0"/>
        </w:rPr>
        <w:tab/>
      </w:r>
      <w:r>
        <w:rPr>
          <w:snapToGrid w:val="0"/>
        </w:rPr>
        <w:tab/>
        <w:t>The holder of a prospecting licence shall, at such times and in such manner as may be prescribed, file or cause to be filed a report of all work done on, and money expended in connection with, prospecting in the area the subject of the licence, during the period to which the report relates.</w:t>
      </w:r>
    </w:p>
    <w:p>
      <w:pPr>
        <w:pStyle w:val="Footnotesection"/>
      </w:pPr>
      <w:r>
        <w:tab/>
        <w:t>[Section 51 amended: No. 58 of 1994 s. 10; No. 12 of 2010 s. 18.]</w:t>
      </w:r>
    </w:p>
    <w:p>
      <w:pPr>
        <w:pStyle w:val="Heading5"/>
      </w:pPr>
      <w:bookmarkStart w:id="80" w:name="_Toc202366084"/>
      <w:r>
        <w:rPr>
          <w:rStyle w:val="CharSectno"/>
        </w:rPr>
        <w:t>51A</w:t>
      </w:r>
      <w:r>
        <w:t>.</w:t>
      </w:r>
      <w:r>
        <w:tab/>
        <w:t>Geological samples</w:t>
      </w:r>
      <w:bookmarkEnd w:id="80"/>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No. 39 of 2004 s. 43.]</w:t>
      </w:r>
    </w:p>
    <w:p>
      <w:pPr>
        <w:pStyle w:val="Heading5"/>
        <w:keepLines w:val="0"/>
        <w:rPr>
          <w:snapToGrid w:val="0"/>
        </w:rPr>
      </w:pPr>
      <w:bookmarkStart w:id="81" w:name="_Toc202366085"/>
      <w:r>
        <w:rPr>
          <w:rStyle w:val="CharSectno"/>
        </w:rPr>
        <w:t>52</w:t>
      </w:r>
      <w:r>
        <w:rPr>
          <w:snapToGrid w:val="0"/>
        </w:rPr>
        <w:t>.</w:t>
      </w:r>
      <w:r>
        <w:rPr>
          <w:snapToGrid w:val="0"/>
        </w:rPr>
        <w:tab/>
        <w:t>Security relating to prospecting licence</w:t>
      </w:r>
      <w:bookmarkEnd w:id="81"/>
    </w:p>
    <w:p>
      <w:pPr>
        <w:pStyle w:val="Subsection"/>
        <w:rPr>
          <w:snapToGrid w:val="0"/>
        </w:rPr>
      </w:pPr>
      <w:r>
        <w:rPr>
          <w:snapToGrid w:val="0"/>
        </w:rPr>
        <w:tab/>
        <w:t>(1)</w:t>
      </w:r>
      <w:r>
        <w:rPr>
          <w:snapToGrid w:val="0"/>
        </w:rPr>
        <w:tab/>
        <w:t xml:space="preserve">The applicant for a prospecting licence shall lodge </w:t>
      </w:r>
      <w:r>
        <w:t>in the prescribed manner and</w:t>
      </w:r>
      <w:r>
        <w:rPr>
          <w:snapToGrid w:val="0"/>
        </w:rPr>
        <w:t xml:space="preserve">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 xml:space="preserve">The Minister may require the holder of a prospecting licence to </w:t>
      </w:r>
      <w:r>
        <w:t>lodge, in the prescribed manner and</w:t>
      </w:r>
      <w:r>
        <w:rPr>
          <w:snapToGrid w:val="0"/>
        </w:rPr>
        <w:t xml:space="preserve"> within such period as the Minister specifies in writing, an additional security for </w:t>
      </w:r>
      <w:r>
        <w:rPr>
          <w:snapToGrid w:val="0"/>
        </w:rPr>
        <w:lastRenderedPageBreak/>
        <w:t>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[Section 52 amended: No. 122 of 1982 s. 13; No. 100 of 1985 s. 36; No. 37 of 1993 s. 26; No. 58 of 1994 s. 11; No. 17 of 1999 s. 6(1) and (2); No. 12 of 2010 s. 19.]</w:t>
      </w:r>
    </w:p>
    <w:p>
      <w:pPr>
        <w:pStyle w:val="Heading5"/>
      </w:pPr>
      <w:bookmarkStart w:id="82" w:name="_Toc202366086"/>
      <w:r>
        <w:rPr>
          <w:rStyle w:val="CharSectno"/>
        </w:rPr>
        <w:t>53</w:t>
      </w:r>
      <w:r>
        <w:t>.</w:t>
      </w:r>
      <w:r>
        <w:tab/>
        <w:t>Application for retention status</w:t>
      </w:r>
      <w:bookmarkEnd w:id="82"/>
    </w:p>
    <w:p>
      <w:pPr>
        <w:pStyle w:val="Subsection"/>
      </w:pPr>
      <w:r>
        <w:tab/>
        <w:t>(1)</w:t>
      </w:r>
      <w:r>
        <w:tab/>
        <w:t>In this section —</w:t>
      </w:r>
    </w:p>
    <w:p>
      <w:pPr>
        <w:pStyle w:val="Defstart"/>
      </w:pPr>
      <w:r>
        <w:rPr>
          <w:b/>
        </w:rPr>
        <w:tab/>
      </w:r>
      <w:r>
        <w:rPr>
          <w:rStyle w:val="CharDefText"/>
        </w:rPr>
        <w:t>prospecting licence</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keepNext/>
      </w:pPr>
      <w:r>
        <w:lastRenderedPageBreak/>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No. 39 of 2004 s. 22.]</w:t>
      </w:r>
    </w:p>
    <w:p>
      <w:pPr>
        <w:pStyle w:val="Heading5"/>
      </w:pPr>
      <w:bookmarkStart w:id="83" w:name="_Toc202366087"/>
      <w:r>
        <w:rPr>
          <w:rStyle w:val="CharSectno"/>
        </w:rPr>
        <w:t>54</w:t>
      </w:r>
      <w:r>
        <w:t>.</w:t>
      </w:r>
      <w:r>
        <w:tab/>
        <w:t>Approval of retention status</w:t>
      </w:r>
      <w:bookmarkEnd w:id="83"/>
    </w:p>
    <w:p>
      <w:pPr>
        <w:pStyle w:val="Subsection"/>
      </w:pPr>
      <w:r>
        <w:tab/>
        <w:t>(1)</w:t>
      </w:r>
      <w:r>
        <w:tab/>
        <w:t>The Minister may approve retention status for the whole or any part of the land the subject of a prospecting licence if satisfied that —</w:t>
      </w:r>
    </w:p>
    <w:p>
      <w:pPr>
        <w:pStyle w:val="Indenta"/>
      </w:pPr>
      <w:r>
        <w:tab/>
        <w:t>(a)</w:t>
      </w:r>
      <w:r>
        <w:tab/>
        <w:t>there is an identified mineral resource located in, on or under that land; and</w:t>
      </w:r>
    </w:p>
    <w:p>
      <w:pPr>
        <w:pStyle w:val="Indenta"/>
        <w:keepNext/>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shall be an area that, in the opinion of the Minister, is sufficient to include —</w:t>
      </w:r>
    </w:p>
    <w:p>
      <w:pPr>
        <w:pStyle w:val="Indenta"/>
      </w:pPr>
      <w:r>
        <w:tab/>
        <w:t>(a)</w:t>
      </w:r>
      <w:r>
        <w:tab/>
        <w:t>the land in, on or under which the identified mineral resource is located; and</w:t>
      </w:r>
    </w:p>
    <w:p>
      <w:pPr>
        <w:pStyle w:val="Indenta"/>
      </w:pPr>
      <w:r>
        <w:lastRenderedPageBreak/>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keepNext/>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No. 39 of 2004 s. 22.]</w:t>
      </w:r>
    </w:p>
    <w:p>
      <w:pPr>
        <w:pStyle w:val="Heading5"/>
        <w:spacing w:before="180"/>
      </w:pPr>
      <w:bookmarkStart w:id="84" w:name="_Toc202366088"/>
      <w:r>
        <w:rPr>
          <w:rStyle w:val="CharSectno"/>
        </w:rPr>
        <w:t>55</w:t>
      </w:r>
      <w:r>
        <w:t>.</w:t>
      </w:r>
      <w:r>
        <w:tab/>
        <w:t>Consultation with other Ministers</w:t>
      </w:r>
      <w:bookmarkEnd w:id="84"/>
    </w:p>
    <w:p>
      <w:pPr>
        <w:pStyle w:val="Subsection"/>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keepNext/>
      </w:pPr>
      <w:r>
        <w:tab/>
        <w:t>(4)</w:t>
      </w:r>
      <w:r>
        <w:tab/>
        <w:t xml:space="preserve">Before approving retention status under section 54 for land of the class referred to in section 25(1)(d), the Minister shall </w:t>
      </w:r>
      <w:r>
        <w:lastRenderedPageBreak/>
        <w:t>consult and obtain the recommendations of the other Minister referred to in section 25(3B).</w:t>
      </w:r>
    </w:p>
    <w:p>
      <w:pPr>
        <w:pStyle w:val="Footnotesection"/>
      </w:pPr>
      <w:r>
        <w:tab/>
        <w:t>[Section 55 inserted: No. 39 of 2004 s. 22; amended: No. 19 of 2010 s. 51.]</w:t>
      </w:r>
    </w:p>
    <w:p>
      <w:pPr>
        <w:pStyle w:val="Heading5"/>
      </w:pPr>
      <w:bookmarkStart w:id="85" w:name="_Toc202366089"/>
      <w:r>
        <w:rPr>
          <w:rStyle w:val="CharSectno"/>
        </w:rPr>
        <w:t>55A</w:t>
      </w:r>
      <w:r>
        <w:t>.</w:t>
      </w:r>
      <w:r>
        <w:tab/>
        <w:t>Programme of work</w:t>
      </w:r>
      <w:bookmarkEnd w:id="85"/>
    </w:p>
    <w:p>
      <w:pPr>
        <w:pStyle w:val="Subsection"/>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A condition imposed under subsection (1)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keepNext/>
        <w:keepLines/>
        <w:spacing w:before="140"/>
      </w:pPr>
      <w:r>
        <w:tab/>
        <w:t>(5)</w:t>
      </w:r>
      <w:r>
        <w:tab/>
        <w:t>In subsection (1) —</w:t>
      </w:r>
    </w:p>
    <w:p>
      <w:pPr>
        <w:pStyle w:val="Defstart"/>
        <w:keepNext/>
        <w:keepLines/>
      </w:pPr>
      <w:r>
        <w:rPr>
          <w:b/>
        </w:rPr>
        <w:tab/>
      </w:r>
      <w:r>
        <w:rPr>
          <w:rStyle w:val="CharDefText"/>
        </w:rPr>
        <w:t>specified</w:t>
      </w:r>
      <w:r>
        <w:t xml:space="preserve"> means specified in writing by the Minister.</w:t>
      </w:r>
    </w:p>
    <w:p>
      <w:pPr>
        <w:pStyle w:val="Footnotesection"/>
        <w:keepLines w:val="0"/>
        <w:ind w:left="890" w:hanging="890"/>
      </w:pPr>
      <w:r>
        <w:tab/>
        <w:t>[Section 55A inserted: No. 39 of 2004 s. 22.]</w:t>
      </w:r>
    </w:p>
    <w:p>
      <w:pPr>
        <w:pStyle w:val="Heading5"/>
      </w:pPr>
      <w:bookmarkStart w:id="86" w:name="_Toc202366090"/>
      <w:r>
        <w:rPr>
          <w:rStyle w:val="CharSectno"/>
        </w:rPr>
        <w:lastRenderedPageBreak/>
        <w:t>55B</w:t>
      </w:r>
      <w:r>
        <w:t>.</w:t>
      </w:r>
      <w:r>
        <w:tab/>
        <w:t>Holder of prospecting licence with retention status may be required to apply for mining lease</w:t>
      </w:r>
      <w:bookmarkEnd w:id="86"/>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Where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No. 39 of 2004 s. 22.]</w:t>
      </w:r>
    </w:p>
    <w:p>
      <w:pPr>
        <w:pStyle w:val="Heading5"/>
        <w:rPr>
          <w:snapToGrid w:val="0"/>
        </w:rPr>
      </w:pPr>
      <w:bookmarkStart w:id="87" w:name="_Toc202366091"/>
      <w:r>
        <w:rPr>
          <w:rStyle w:val="CharSectno"/>
        </w:rPr>
        <w:t>56</w:t>
      </w:r>
      <w:r>
        <w:rPr>
          <w:snapToGrid w:val="0"/>
        </w:rPr>
        <w:t>.</w:t>
      </w:r>
      <w:r>
        <w:rPr>
          <w:snapToGrid w:val="0"/>
        </w:rPr>
        <w:tab/>
        <w:t>Appeal against refusal to grant prospecting licence</w:t>
      </w:r>
      <w:bookmarkEnd w:id="87"/>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keepNext/>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spacing w:before="80"/>
        <w:ind w:left="890" w:hanging="890"/>
      </w:pPr>
      <w:r>
        <w:tab/>
        <w:t>[Section 56 inserted: No. 122 of 1982 s. 15; amended: No. 21 of 1993 s. 45; No. 58 of 1994 s. 9(3) and (4); No. 52 of 1995 s. 23.]</w:t>
      </w:r>
    </w:p>
    <w:p>
      <w:pPr>
        <w:pStyle w:val="Heading5"/>
        <w:rPr>
          <w:snapToGrid w:val="0"/>
        </w:rPr>
      </w:pPr>
      <w:bookmarkStart w:id="88" w:name="_Toc202366092"/>
      <w:r>
        <w:rPr>
          <w:rStyle w:val="CharSectno"/>
        </w:rPr>
        <w:lastRenderedPageBreak/>
        <w:t>56A</w:t>
      </w:r>
      <w:r>
        <w:rPr>
          <w:snapToGrid w:val="0"/>
        </w:rPr>
        <w:t>.</w:t>
      </w:r>
      <w:r>
        <w:rPr>
          <w:snapToGrid w:val="0"/>
        </w:rPr>
        <w:tab/>
        <w:t>Special prospecting licences</w:t>
      </w:r>
      <w:bookmarkEnd w:id="88"/>
    </w:p>
    <w:p>
      <w:pPr>
        <w:pStyle w:val="Subsection"/>
        <w:spacing w:before="120"/>
        <w:rPr>
          <w:snapToGrid w:val="0"/>
        </w:rPr>
      </w:pPr>
      <w:r>
        <w:rPr>
          <w:snapToGrid w:val="0"/>
        </w:rPr>
        <w:tab/>
        <w:t>(1)</w:t>
      </w:r>
      <w:r>
        <w:rPr>
          <w:snapToGrid w:val="0"/>
        </w:rPr>
        <w:tab/>
        <w:t>Where any land is the subject of a prospecting licence (in this section called</w:t>
      </w:r>
      <w:r>
        <w:t xml:space="preserve"> the </w:t>
      </w:r>
      <w:r>
        <w:rPr>
          <w:rStyle w:val="CharDefText"/>
        </w:rPr>
        <w:t>primary tenement</w:t>
      </w:r>
      <w:r>
        <w:rPr>
          <w:snapToGrid w:val="0"/>
        </w:rPr>
        <w:t>) then, notwithstanding section 117, a person may at any time after the expiry of 12 months from —</w:t>
      </w:r>
    </w:p>
    <w:p>
      <w:pPr>
        <w:pStyle w:val="Indenta"/>
        <w:spacing w:before="60"/>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spacing w:before="60"/>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spacing w:before="120"/>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spacing w:before="120"/>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spacing w:before="120"/>
        <w:rPr>
          <w:snapToGrid w:val="0"/>
        </w:rPr>
      </w:pPr>
      <w:r>
        <w:rPr>
          <w:snapToGrid w:val="0"/>
        </w:rPr>
        <w:tab/>
        <w:t>(1a)</w:t>
      </w:r>
      <w:r>
        <w:rPr>
          <w:snapToGrid w:val="0"/>
        </w:rPr>
        <w:tab/>
        <w:t>A special prospecting licence may only be applied for by, granted to or held by a natural person.</w:t>
      </w:r>
    </w:p>
    <w:p>
      <w:pPr>
        <w:pStyle w:val="Subsection"/>
        <w:spacing w:before="120"/>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 xml:space="preserve">If, after being served with notice of an application for a special prospecting licence, the holder of the primary tenement does not lodge an objection against that application, the mining registrar </w:t>
      </w:r>
      <w:r>
        <w:rPr>
          <w:snapToGrid w:val="0"/>
        </w:rPr>
        <w:lastRenderedPageBreak/>
        <w:t>may, subject to this Act, grant that application as provided in subsection (6).</w:t>
      </w:r>
    </w:p>
    <w:p>
      <w:pPr>
        <w:pStyle w:val="Subsection"/>
      </w:pPr>
      <w:r>
        <w:tab/>
        <w:t>(4)</w:t>
      </w:r>
      <w:r>
        <w:tab/>
        <w:t xml:space="preserve">If the holder of the primary tenement lodges a notice of objection to an application for a special prospecting licence — </w:t>
      </w:r>
    </w:p>
    <w:p>
      <w:pPr>
        <w:pStyle w:val="Indenta"/>
      </w:pPr>
      <w:r>
        <w:tab/>
        <w:t>(a)</w:t>
      </w:r>
      <w:r>
        <w:tab/>
        <w:t xml:space="preserve">the notice of objection must be — </w:t>
      </w:r>
    </w:p>
    <w:p>
      <w:pPr>
        <w:pStyle w:val="Indenti"/>
      </w:pPr>
      <w:r>
        <w:tab/>
        <w:t>(i)</w:t>
      </w:r>
      <w:r>
        <w:tab/>
        <w:t>lodged within the prescribed time and in the prescribed manner; and</w:t>
      </w:r>
    </w:p>
    <w:p>
      <w:pPr>
        <w:pStyle w:val="Indenti"/>
      </w:pPr>
      <w:r>
        <w:tab/>
        <w:t>(ii)</w:t>
      </w:r>
      <w:r>
        <w:tab/>
        <w:t>accompanied by the prescribed fee;</w:t>
      </w:r>
    </w:p>
    <w:p>
      <w:pPr>
        <w:pStyle w:val="Indenta"/>
      </w:pPr>
      <w:r>
        <w:tab/>
      </w:r>
      <w:r>
        <w:tab/>
        <w:t>and</w:t>
      </w:r>
    </w:p>
    <w:p>
      <w:pPr>
        <w:pStyle w:val="Indenta"/>
      </w:pPr>
      <w:r>
        <w:tab/>
        <w:t>(b)</w:t>
      </w:r>
      <w:r>
        <w:tab/>
        <w:t>the warden must obtain a report from the Director, Geological Survey in respect of the prospecting carried on by the holder of the primary tenement on the land to which the application relates.</w:t>
      </w:r>
    </w:p>
    <w:p>
      <w:pPr>
        <w:pStyle w:val="Subsection"/>
        <w:keepNext/>
        <w:rPr>
          <w:snapToGrid w:val="0"/>
        </w:rPr>
      </w:pPr>
      <w:r>
        <w:rPr>
          <w:snapToGrid w:val="0"/>
        </w:rPr>
        <w:tab/>
        <w:t>(4a)</w:t>
      </w:r>
      <w:r>
        <w:rPr>
          <w:snapToGrid w:val="0"/>
        </w:rPr>
        <w:tab/>
        <w:t xml:space="preserve">A report prepared by the Director, Geological Survey for the purposes of </w:t>
      </w:r>
      <w:r>
        <w:t>subsection (4)(b)</w:t>
      </w:r>
      <w:r>
        <w:rPr>
          <w:snapToGrid w:val="0"/>
        </w:rPr>
        <w:t xml:space="preserve"> is to be based solely on information contained in reports filed by or on behalf of the holder of the primary tenement under section 51 or 115A.</w:t>
      </w:r>
    </w:p>
    <w:p>
      <w:pPr>
        <w:pStyle w:val="Subsection"/>
        <w:keepNext/>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w:t>
      </w:r>
    </w:p>
    <w:p>
      <w:pPr>
        <w:pStyle w:val="Indenta"/>
        <w:spacing w:before="60"/>
        <w:rPr>
          <w:snapToGrid w:val="0"/>
        </w:rPr>
      </w:pPr>
      <w:r>
        <w:rPr>
          <w:snapToGrid w:val="0"/>
        </w:rPr>
        <w:tab/>
        <w:t>(a)</w:t>
      </w:r>
      <w:r>
        <w:rPr>
          <w:snapToGrid w:val="0"/>
        </w:rPr>
        <w:tab/>
        <w:t>refuse that application; or</w:t>
      </w:r>
    </w:p>
    <w:p>
      <w:pPr>
        <w:pStyle w:val="Indenta"/>
        <w:spacing w:before="60"/>
        <w:rPr>
          <w:snapToGrid w:val="0"/>
        </w:rPr>
      </w:pPr>
      <w:r>
        <w:rPr>
          <w:snapToGrid w:val="0"/>
        </w:rPr>
        <w:tab/>
        <w:t>(b)</w:t>
      </w:r>
      <w:r>
        <w:rPr>
          <w:snapToGrid w:val="0"/>
        </w:rPr>
        <w:tab/>
        <w:t>subject to this Act, grant that application as provided in subsection (6),</w:t>
      </w:r>
    </w:p>
    <w:p>
      <w:pPr>
        <w:pStyle w:val="Subsection"/>
        <w:widowControl w:val="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pPr>
      <w:r>
        <w:lastRenderedPageBreak/>
        <w:tab/>
        <w:t>(5a)</w:t>
      </w:r>
      <w:r>
        <w:tab/>
        <w:t>If at the time when an applicant for a special prospecting licence marked out the land to which his application relates —</w:t>
      </w:r>
    </w:p>
    <w:p>
      <w:pPr>
        <w:pStyle w:val="Indenta"/>
        <w:spacing w:before="60"/>
        <w:rPr>
          <w:snapToGrid w:val="0"/>
        </w:rPr>
      </w:pPr>
      <w:r>
        <w:rPr>
          <w:snapToGrid w:val="0"/>
        </w:rPr>
        <w:tab/>
        <w:t>(a)</w:t>
      </w:r>
      <w:r>
        <w:rPr>
          <w:snapToGrid w:val="0"/>
        </w:rPr>
        <w:tab/>
        <w:t>a special prospecting licence was in force in respect of land the subject of the primary tenement; or</w:t>
      </w:r>
    </w:p>
    <w:p>
      <w:pPr>
        <w:pStyle w:val="Indenta"/>
        <w:spacing w:before="60"/>
        <w:rPr>
          <w:snapToGrid w:val="0"/>
        </w:rPr>
      </w:pPr>
      <w:r>
        <w:rPr>
          <w:snapToGrid w:val="0"/>
        </w:rPr>
        <w:tab/>
        <w:t>(b)</w:t>
      </w:r>
      <w:r>
        <w:rPr>
          <w:snapToGrid w:val="0"/>
        </w:rPr>
        <w:tab/>
        <w:t>another application for a special prospecting licence in respect of land the subject of the primary tenement had been made, but had not been determined, under this section,</w:t>
      </w:r>
    </w:p>
    <w:p>
      <w:pPr>
        <w:pStyle w:val="Subsection"/>
      </w:pPr>
      <w:r>
        <w:tab/>
      </w:r>
      <w:r>
        <w:tab/>
        <w:t>the applicant shall, within the prescribed period and in the prescribed manner, lodge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thereof to prospect only for gold; and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keepNext/>
        <w:rPr>
          <w:snapToGrid w:val="0"/>
        </w:rPr>
      </w:pPr>
      <w:r>
        <w:rPr>
          <w:snapToGrid w:val="0"/>
        </w:rPr>
        <w:lastRenderedPageBreak/>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0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spacing w:before="100"/>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 xml:space="preserve">is capable of being created, affected or dealt with, whether directly or indirectly, except with the prior written consent of </w:t>
      </w:r>
      <w:r>
        <w:rPr>
          <w:snapToGrid w:val="0"/>
        </w:rPr>
        <w:lastRenderedPageBreak/>
        <w:t>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keepNext/>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 xml:space="preserve">does not authorise the lessee thereof, his agents or employees to excavate, extract or remove a total amount </w:t>
      </w:r>
      <w:r>
        <w:rPr>
          <w:snapToGrid w:val="0"/>
        </w:rPr>
        <w:lastRenderedPageBreak/>
        <w:t>of earth, soil, rock, stone, fluid or mineral bearing substances in excess of 750 t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keepNext/>
        <w:spacing w:before="200"/>
        <w:rPr>
          <w:snapToGrid w:val="0"/>
        </w:rPr>
      </w:pPr>
      <w:r>
        <w:rPr>
          <w:snapToGrid w:val="0"/>
        </w:rPr>
        <w:lastRenderedPageBreak/>
        <w:tab/>
        <w:t>(12)</w:t>
      </w:r>
      <w:r>
        <w:rPr>
          <w:snapToGrid w:val="0"/>
        </w:rPr>
        <w:tab/>
      </w:r>
      <w:r>
        <w:t>Subsections (9a) and (10) do</w:t>
      </w:r>
      <w:r>
        <w:rPr>
          <w:snapToGrid w:val="0"/>
        </w:rPr>
        <w:t xml:space="preserve"> not apply if —</w:t>
      </w:r>
    </w:p>
    <w:p>
      <w:pPr>
        <w:pStyle w:val="Indenta"/>
        <w:spacing w:before="100"/>
        <w:rPr>
          <w:snapToGrid w:val="0"/>
        </w:rPr>
      </w:pPr>
      <w:r>
        <w:rPr>
          <w:snapToGrid w:val="0"/>
        </w:rPr>
        <w:tab/>
        <w:t>(a)</w:t>
      </w:r>
      <w:r>
        <w:rPr>
          <w:snapToGrid w:val="0"/>
        </w:rPr>
        <w:tab/>
        <w:t>the primary tenement is amalgamated with an exploration licence under section 67A(1); or</w:t>
      </w:r>
    </w:p>
    <w:p>
      <w:pPr>
        <w:pStyle w:val="Indenta"/>
        <w:spacing w:before="100"/>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spacing w:before="100"/>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spacing w:before="100"/>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spacing w:before="140"/>
        <w:ind w:left="890" w:hanging="890"/>
      </w:pPr>
      <w:r>
        <w:tab/>
        <w:t>[Section 56A inserted: No. 122 of 1982 s. 16; amended: No. 100 of 1985 s. 37; No. 22 of 1990 s. 14; No. 21 of 1993 s. 45; No. 37 of 1993 s. 6, 10(2) and 27; No. 58 of 1994 s. 12; No. 52 of 1995 s. 24; No. 54 of 1996 s. 7 and 23; No. 10 of 2001 s. 131; No. 15 of 2002 s. 9; No. 39 of 2004 s. 8; No. 27 of 2005 s. 6; No. 12 of 2010 s. 20; No. 51 of 2012 s. 17; No. 39 of 2022 s. 7.]</w:t>
      </w:r>
    </w:p>
    <w:p>
      <w:pPr>
        <w:pStyle w:val="Heading5"/>
        <w:keepLines w:val="0"/>
      </w:pPr>
      <w:bookmarkStart w:id="89" w:name="_Toc202366093"/>
      <w:r>
        <w:rPr>
          <w:rStyle w:val="CharSectno"/>
        </w:rPr>
        <w:lastRenderedPageBreak/>
        <w:t>56B</w:t>
      </w:r>
      <w:r>
        <w:t>.</w:t>
      </w:r>
      <w:r>
        <w:tab/>
        <w:t>Certain licence holders to have right to apply for further prospecting licence</w:t>
      </w:r>
      <w:bookmarkEnd w:id="89"/>
    </w:p>
    <w:p>
      <w:pPr>
        <w:pStyle w:val="Subsection"/>
        <w:keepNext/>
      </w:pPr>
      <w:r>
        <w:tab/>
        <w:t>(1)</w:t>
      </w:r>
      <w:r>
        <w:tab/>
        <w:t xml:space="preserve">In this section — </w:t>
      </w:r>
    </w:p>
    <w:p>
      <w:pPr>
        <w:pStyle w:val="Defstart"/>
      </w:pPr>
      <w:r>
        <w:tab/>
      </w:r>
      <w:r>
        <w:rPr>
          <w:rStyle w:val="CharDefText"/>
        </w:rPr>
        <w:t>relevant licence</w:t>
      </w:r>
      <w:r>
        <w:t xml:space="preserve"> means a prospecting licence applied for before 10 February 2006.</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keepLines/>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No. 39 of 2004 s. 7; amended: No. 51 of 2012 s. 18.]</w:t>
      </w:r>
    </w:p>
    <w:p>
      <w:pPr>
        <w:pStyle w:val="Heading3"/>
      </w:pPr>
      <w:bookmarkStart w:id="90" w:name="_Toc202186638"/>
      <w:bookmarkStart w:id="91" w:name="_Toc202366094"/>
      <w:r>
        <w:rPr>
          <w:rStyle w:val="CharDivNo"/>
        </w:rPr>
        <w:t>Division 2</w:t>
      </w:r>
      <w:r>
        <w:rPr>
          <w:snapToGrid w:val="0"/>
        </w:rPr>
        <w:t> — </w:t>
      </w:r>
      <w:r>
        <w:rPr>
          <w:rStyle w:val="CharDivText"/>
        </w:rPr>
        <w:t>Exploration licence</w:t>
      </w:r>
      <w:bookmarkEnd w:id="90"/>
      <w:bookmarkEnd w:id="91"/>
    </w:p>
    <w:p>
      <w:pPr>
        <w:pStyle w:val="Ednotesection"/>
        <w:ind w:left="890" w:hanging="890"/>
      </w:pPr>
      <w:r>
        <w:t>[</w:t>
      </w:r>
      <w:r>
        <w:rPr>
          <w:b/>
        </w:rPr>
        <w:t>56AA.</w:t>
      </w:r>
      <w:r>
        <w:tab/>
        <w:t>Deleted: No. 52 of 1995 s. 25.]</w:t>
      </w:r>
    </w:p>
    <w:p>
      <w:pPr>
        <w:pStyle w:val="Heading5"/>
        <w:keepNext w:val="0"/>
        <w:keepLines w:val="0"/>
        <w:rPr>
          <w:snapToGrid w:val="0"/>
        </w:rPr>
      </w:pPr>
      <w:bookmarkStart w:id="92" w:name="_Toc202366095"/>
      <w:r>
        <w:rPr>
          <w:rStyle w:val="CharSectno"/>
        </w:rPr>
        <w:t>56C</w:t>
      </w:r>
      <w:r>
        <w:rPr>
          <w:snapToGrid w:val="0"/>
        </w:rPr>
        <w:t>.</w:t>
      </w:r>
      <w:r>
        <w:rPr>
          <w:snapToGrid w:val="0"/>
        </w:rPr>
        <w:tab/>
        <w:t>Graticular sections</w:t>
      </w:r>
      <w:bookmarkEnd w:id="92"/>
    </w:p>
    <w:p>
      <w:pPr>
        <w:pStyle w:val="Subsection"/>
        <w:spacing w:before="120"/>
        <w:rPr>
          <w:snapToGrid w:val="0"/>
        </w:rPr>
      </w:pPr>
      <w:r>
        <w:rPr>
          <w:snapToGrid w:val="0"/>
        </w:rPr>
        <w:tab/>
        <w:t>(1)</w:t>
      </w:r>
      <w:r>
        <w:rPr>
          <w:snapToGrid w:val="0"/>
        </w:rPr>
        <w:tab/>
        <w:t>For the purposes of this Division, the surface of the Earth shall be deemed to be divided —</w:t>
      </w:r>
    </w:p>
    <w:p>
      <w:pPr>
        <w:pStyle w:val="Indenta"/>
        <w:rPr>
          <w:snapToGrid w:val="0"/>
        </w:rPr>
      </w:pPr>
      <w:r>
        <w:rPr>
          <w:snapToGrid w:val="0"/>
        </w:rPr>
        <w:tab/>
        <w:t>(a)</w:t>
      </w:r>
      <w:r>
        <w:rPr>
          <w:snapToGrid w:val="0"/>
        </w:rPr>
        <w:tab/>
        <w:t>by the meridian of Greenwich and by meridians that are at a distance from that meridian of 1, or a multiple of 1, minute of longitude; and</w:t>
      </w:r>
    </w:p>
    <w:p>
      <w:pPr>
        <w:pStyle w:val="Indenta"/>
        <w:keepNext/>
        <w:rPr>
          <w:snapToGrid w:val="0"/>
        </w:rPr>
      </w:pPr>
      <w:r>
        <w:rPr>
          <w:snapToGrid w:val="0"/>
        </w:rPr>
        <w:lastRenderedPageBreak/>
        <w:tab/>
        <w:t>(b)</w:t>
      </w:r>
      <w:r>
        <w:rPr>
          <w:snapToGrid w:val="0"/>
        </w:rPr>
        <w:tab/>
        <w:t>by the equator and by parallels of latitude that are at a distance from the equator of 1, or a multiple of 1, minute of latitude,</w:t>
      </w:r>
    </w:p>
    <w:p>
      <w:pPr>
        <w:pStyle w:val="Subsection"/>
        <w:keepNext/>
        <w:rPr>
          <w:snapToGrid w:val="0"/>
        </w:rPr>
      </w:pPr>
      <w:r>
        <w:rPr>
          <w:snapToGrid w:val="0"/>
        </w:rPr>
        <w:tab/>
      </w:r>
      <w:r>
        <w:rPr>
          <w:snapToGrid w:val="0"/>
        </w:rPr>
        <w:tab/>
        <w:t xml:space="preserve">into sections (in this Division called </w:t>
      </w:r>
      <w:r>
        <w:rPr>
          <w:rStyle w:val="CharDefText"/>
        </w:rPr>
        <w:t>graticular sections</w:t>
      </w:r>
      <w:r>
        <w:rPr>
          <w:snapToGrid w:val="0"/>
        </w:rPr>
        <w:t>), each of which is bounded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spacing w:before="120"/>
        <w:rPr>
          <w:snapToGrid w:val="0"/>
        </w:rPr>
      </w:pPr>
      <w:r>
        <w:rPr>
          <w:snapToGrid w:val="0"/>
        </w:rPr>
        <w:tab/>
        <w:t>(2)</w:t>
      </w:r>
      <w:r>
        <w:rPr>
          <w:snapToGrid w:val="0"/>
        </w:rPr>
        <w:tab/>
        <w:t>For the purposes of this Division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keepNext/>
        <w:spacing w:before="120"/>
        <w:rPr>
          <w:snapToGrid w:val="0"/>
        </w:rPr>
      </w:pPr>
      <w:r>
        <w:rPr>
          <w:snapToGrid w:val="0"/>
        </w:rPr>
        <w:tab/>
        <w:t>(3)</w:t>
      </w:r>
      <w:r>
        <w:rPr>
          <w:snapToGrid w:val="0"/>
        </w:rPr>
        <w:tab/>
        <w:t>In this Division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Subsection"/>
      </w:pPr>
      <w:r>
        <w:tab/>
        <w:t>(4A)</w:t>
      </w:r>
      <w:r>
        <w:tab/>
        <w:t>Without limiting section 9B(1A), a datum must be prescribed by the regulations for the purposes of the determination of the position on the surface of the Earth of a graticular section or a block.</w:t>
      </w:r>
    </w:p>
    <w:p>
      <w:pPr>
        <w:pStyle w:val="Subsection"/>
      </w:pPr>
      <w:r>
        <w:tab/>
        <w:t>(4B)</w:t>
      </w:r>
      <w:r>
        <w:tab/>
        <w:t xml:space="preserve">Despite subsection (1), the meridians of longitude defining the eastern and western boundaries of a graticular section, and the parallels of latitude defining the northern and southern </w:t>
      </w:r>
      <w:r>
        <w:lastRenderedPageBreak/>
        <w:t>boundaries of a graticular section, are taken to be at a distance from each other that is other than 1 minute if required as a result of the prescription of a datum under subsection (4A).</w:t>
      </w:r>
    </w:p>
    <w:p>
      <w:pPr>
        <w:pStyle w:val="Subsection"/>
        <w:spacing w:before="120"/>
      </w:pPr>
      <w:r>
        <w:tab/>
        <w:t>(5)</w:t>
      </w:r>
      <w:r>
        <w:tab/>
        <w:t>In subsection (2) — </w:t>
      </w:r>
    </w:p>
    <w:p>
      <w:pPr>
        <w:pStyle w:val="Defstart"/>
      </w:pPr>
      <w:r>
        <w:tab/>
      </w:r>
      <w:r>
        <w:rPr>
          <w:rStyle w:val="CharDefText"/>
        </w:rPr>
        <w:t>State</w:t>
      </w:r>
      <w:r>
        <w:t xml:space="preserve"> includes any area that comes within paragraph (b) of the definition of </w:t>
      </w:r>
      <w:r>
        <w:rPr>
          <w:b/>
          <w:i/>
        </w:rPr>
        <w:t>land</w:t>
      </w:r>
      <w:r>
        <w:t xml:space="preserve"> in section 8(1).</w:t>
      </w:r>
    </w:p>
    <w:p>
      <w:pPr>
        <w:pStyle w:val="Footnotesection"/>
        <w:ind w:left="890" w:hanging="890"/>
      </w:pPr>
      <w:r>
        <w:tab/>
        <w:t>[Section 56C inserted: No. 22 of 1990 s. 15; amended: No. 12 of 2003 s. 9; No. 39 of 2022 s. 8.]</w:t>
      </w:r>
    </w:p>
    <w:p>
      <w:pPr>
        <w:pStyle w:val="Heading5"/>
        <w:keepLines w:val="0"/>
        <w:rPr>
          <w:snapToGrid w:val="0"/>
        </w:rPr>
      </w:pPr>
      <w:bookmarkStart w:id="93" w:name="_Toc202366096"/>
      <w:r>
        <w:rPr>
          <w:rStyle w:val="CharSectno"/>
        </w:rPr>
        <w:t>57</w:t>
      </w:r>
      <w:r>
        <w:rPr>
          <w:snapToGrid w:val="0"/>
        </w:rPr>
        <w:t>.</w:t>
      </w:r>
      <w:r>
        <w:rPr>
          <w:snapToGrid w:val="0"/>
        </w:rPr>
        <w:tab/>
        <w:t>Grant of exploration licence</w:t>
      </w:r>
      <w:bookmarkEnd w:id="93"/>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spacing w:before="120"/>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w:t>
      </w:r>
    </w:p>
    <w:p>
      <w:pPr>
        <w:pStyle w:val="Indenta"/>
        <w:rPr>
          <w:snapToGrid w:val="0"/>
        </w:rPr>
      </w:pPr>
      <w:r>
        <w:rPr>
          <w:snapToGrid w:val="0"/>
        </w:rPr>
        <w:tab/>
        <w:t>(a)</w:t>
      </w:r>
      <w:r>
        <w:rPr>
          <w:snapToGrid w:val="0"/>
        </w:rPr>
        <w:tab/>
        <w:t>an application is made for an exploration licence in respect of 3 or more blocks; and</w:t>
      </w:r>
    </w:p>
    <w:p>
      <w:pPr>
        <w:pStyle w:val="Indenta"/>
        <w:rPr>
          <w:snapToGrid w:val="0"/>
        </w:rPr>
      </w:pPr>
      <w:r>
        <w:rPr>
          <w:snapToGrid w:val="0"/>
        </w:rPr>
        <w:lastRenderedPageBreak/>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spacing w:before="100"/>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spacing w:before="100"/>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spacing w:before="100"/>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spacing w:before="100"/>
      </w:pPr>
      <w:r>
        <w:tab/>
        <w:t>(2ea)</w:t>
      </w:r>
      <w:r>
        <w:tab/>
      </w:r>
      <w:r>
        <w:rPr>
          <w:snapToGrid w:val="0"/>
          <w:color w:val="000000"/>
        </w:rPr>
        <w:t xml:space="preserve">Where the application for the exploration licence is a reversion licence application, the reference in subsection (2e) to a current mining </w:t>
      </w:r>
      <w:r>
        <w:rPr>
          <w:snapToGrid w:val="0"/>
        </w:rPr>
        <w:t>tenement</w:t>
      </w:r>
      <w:r>
        <w:rPr>
          <w:snapToGrid w:val="0"/>
          <w:color w:val="000000"/>
        </w:rPr>
        <w:t xml:space="preserve"> does not include a continuing licence as defined in section 120AA(1).</w:t>
      </w:r>
    </w:p>
    <w:p>
      <w:pPr>
        <w:pStyle w:val="Subsection"/>
        <w:keepNext/>
        <w:spacing w:before="100"/>
        <w:rPr>
          <w:snapToGrid w:val="0"/>
        </w:rPr>
      </w:pPr>
      <w:r>
        <w:rPr>
          <w:snapToGrid w:val="0"/>
        </w:rPr>
        <w:lastRenderedPageBreak/>
        <w:tab/>
        <w:t>(2f)</w:t>
      </w:r>
      <w:r>
        <w:rPr>
          <w:snapToGrid w:val="0"/>
        </w:rPr>
        <w:tab/>
        <w:t>Where the land in respect of which an exploration licence is granted comprises or includes part of a block —</w:t>
      </w:r>
    </w:p>
    <w:p>
      <w:pPr>
        <w:pStyle w:val="Indenta"/>
        <w:rPr>
          <w:snapToGrid w:val="0"/>
        </w:rPr>
      </w:pPr>
      <w:r>
        <w:rPr>
          <w:snapToGrid w:val="0"/>
        </w:rPr>
        <w:tab/>
        <w:t>(a)</w:t>
      </w:r>
      <w:r>
        <w:rPr>
          <w:snapToGrid w:val="0"/>
        </w:rPr>
        <w:tab/>
        <w:t>the licence is deemed to be granted in respect of that block for the purposes of subsections (2), (2a) and (2b); and</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spacing w:before="100"/>
        <w:rPr>
          <w:snapToGrid w:val="0"/>
        </w:rPr>
      </w:pPr>
      <w:r>
        <w:rPr>
          <w:snapToGrid w:val="0"/>
        </w:rPr>
        <w:tab/>
        <w:t>(2g)</w:t>
      </w:r>
      <w:r>
        <w:rPr>
          <w:snapToGrid w:val="0"/>
        </w:rPr>
        <w:tab/>
        <w:t>A person may be granted more than one exploration licence.</w:t>
      </w:r>
    </w:p>
    <w:p>
      <w:pPr>
        <w:pStyle w:val="Subsection"/>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[Section 57 amended: No. 69 of 1981 s. 17; No. 122 of 1982 s. 17; No. 100 of 1985 s. 38; No. 22 of 1990 s. 16; No. 37 of 1993 s. 7; No. 58 of 1994 s. 13 and 15(2) and (3); No. 15 of 2002 s. 10; No. 39 of 2004 s. 12; No. 27 of 2005 s. 7.]</w:t>
      </w:r>
    </w:p>
    <w:p>
      <w:pPr>
        <w:pStyle w:val="Heading5"/>
      </w:pPr>
      <w:bookmarkStart w:id="94" w:name="_Toc202366097"/>
      <w:r>
        <w:rPr>
          <w:rStyle w:val="CharSectno"/>
        </w:rPr>
        <w:lastRenderedPageBreak/>
        <w:t>57A</w:t>
      </w:r>
      <w:r>
        <w:t>.</w:t>
      </w:r>
      <w:r>
        <w:tab/>
        <w:t>Designation of areas for purposes of s. 57(2aa)</w:t>
      </w:r>
      <w:bookmarkEnd w:id="94"/>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If —</w:t>
      </w:r>
    </w:p>
    <w:p>
      <w:pPr>
        <w:pStyle w:val="Indenta"/>
      </w:pPr>
      <w:r>
        <w:tab/>
        <w:t>(a)</w:t>
      </w:r>
      <w:r>
        <w:tab/>
        <w:t xml:space="preserve">an application for an exploration licence is made in respect of an area of land that is in an area of the State designated under subsection (1) (a </w:t>
      </w:r>
      <w:r>
        <w:rPr>
          <w:rStyle w:val="CharDefText"/>
        </w:rPr>
        <w:t>designated area</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No. 39 of 2004 s. 13.]</w:t>
      </w:r>
    </w:p>
    <w:p>
      <w:pPr>
        <w:pStyle w:val="Heading5"/>
        <w:rPr>
          <w:snapToGrid w:val="0"/>
        </w:rPr>
      </w:pPr>
      <w:bookmarkStart w:id="95" w:name="_Toc202366098"/>
      <w:r>
        <w:rPr>
          <w:rStyle w:val="CharSectno"/>
        </w:rPr>
        <w:t>58</w:t>
      </w:r>
      <w:r>
        <w:rPr>
          <w:snapToGrid w:val="0"/>
        </w:rPr>
        <w:t>.</w:t>
      </w:r>
      <w:r>
        <w:rPr>
          <w:snapToGrid w:val="0"/>
        </w:rPr>
        <w:tab/>
        <w:t>Application for exploration licence</w:t>
      </w:r>
      <w:bookmarkEnd w:id="95"/>
    </w:p>
    <w:p>
      <w:pPr>
        <w:pStyle w:val="Subsection"/>
        <w:rPr>
          <w:snapToGrid w:val="0"/>
        </w:rPr>
      </w:pPr>
      <w:r>
        <w:rPr>
          <w:snapToGrid w:val="0"/>
        </w:rPr>
        <w:tab/>
        <w:t>(1)</w:t>
      </w:r>
      <w:r>
        <w:rPr>
          <w:snapToGrid w:val="0"/>
        </w:rPr>
        <w:tab/>
        <w:t>An application for an exploration licence —</w:t>
      </w:r>
    </w:p>
    <w:p>
      <w:pPr>
        <w:pStyle w:val="Indenta"/>
        <w:rPr>
          <w:snapToGrid w:val="0"/>
        </w:rPr>
      </w:pPr>
      <w:r>
        <w:rPr>
          <w:snapToGrid w:val="0"/>
        </w:rPr>
        <w:tab/>
        <w:t>(a)</w:t>
      </w:r>
      <w:r>
        <w:rPr>
          <w:snapToGrid w:val="0"/>
        </w:rPr>
        <w:tab/>
        <w:t>shall be in the prescribed form; and</w:t>
      </w:r>
    </w:p>
    <w:p>
      <w:pPr>
        <w:pStyle w:val="Indenta"/>
        <w:keepNext/>
        <w:keepLines/>
        <w:rPr>
          <w:snapToGrid w:val="0"/>
        </w:rPr>
      </w:pPr>
      <w:r>
        <w:rPr>
          <w:snapToGrid w:val="0"/>
        </w:rPr>
        <w:tab/>
        <w:t>(b)</w:t>
      </w:r>
      <w:r>
        <w:rPr>
          <w:snapToGrid w:val="0"/>
        </w:rPr>
        <w:tab/>
        <w:t>shall be accompanied by a statement specifying —</w:t>
      </w:r>
    </w:p>
    <w:p>
      <w:pPr>
        <w:pStyle w:val="Indenti"/>
        <w:rPr>
          <w:snapToGrid w:val="0"/>
        </w:rPr>
      </w:pPr>
      <w:r>
        <w:rPr>
          <w:snapToGrid w:val="0"/>
        </w:rPr>
        <w:tab/>
        <w:t>(i)</w:t>
      </w:r>
      <w:r>
        <w:rPr>
          <w:snapToGrid w:val="0"/>
        </w:rPr>
        <w:tab/>
        <w:t>the proposed method of exploration of the area in respect of which the licence is sought; and</w:t>
      </w:r>
    </w:p>
    <w:p>
      <w:pPr>
        <w:pStyle w:val="Indenti"/>
        <w:rPr>
          <w:snapToGrid w:val="0"/>
        </w:rPr>
      </w:pPr>
      <w:r>
        <w:rPr>
          <w:snapToGrid w:val="0"/>
        </w:rPr>
        <w:lastRenderedPageBreak/>
        <w:tab/>
        <w:t>(ii)</w:t>
      </w:r>
      <w:r>
        <w:rPr>
          <w:snapToGrid w:val="0"/>
        </w:rPr>
        <w:tab/>
        <w:t>the details of the programme of work proposed to be carried out in such area; and</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(d)</w:t>
      </w:r>
      <w:r>
        <w:rPr>
          <w:snapToGrid w:val="0"/>
        </w:rPr>
        <w:tab/>
        <w:t>shall be lodged</w:t>
      </w:r>
      <w:r>
        <w:t xml:space="preserve"> in the prescribed manner; and</w:t>
      </w:r>
    </w:p>
    <w:p>
      <w:pPr>
        <w:pStyle w:val="Indenta"/>
        <w:rPr>
          <w:snapToGrid w:val="0"/>
        </w:rPr>
      </w:pPr>
      <w:r>
        <w:rPr>
          <w:snapToGrid w:val="0"/>
        </w:rPr>
        <w:tab/>
        <w:t>(e)</w:t>
      </w:r>
      <w:r>
        <w:rPr>
          <w:snapToGrid w:val="0"/>
        </w:rPr>
        <w:tab/>
        <w:t>shall be accompanied by the prescribed application fee.</w:t>
      </w:r>
    </w:p>
    <w:p>
      <w:pPr>
        <w:pStyle w:val="Subsection"/>
        <w:spacing w:before="100"/>
      </w:pPr>
      <w:r>
        <w:tab/>
        <w:t>(1aa)</w:t>
      </w:r>
      <w:r>
        <w:tab/>
        <w:t xml:space="preserve">The </w:t>
      </w:r>
      <w:r>
        <w:rPr>
          <w:snapToGrid w:val="0"/>
        </w:rPr>
        <w:t>statement</w:t>
      </w:r>
      <w:r>
        <w:t xml:space="preserve"> under subsection (1)(b) does not have to specify the financial resources available to the applicant if —</w:t>
      </w:r>
    </w:p>
    <w:p>
      <w:pPr>
        <w:pStyle w:val="Indenta"/>
      </w:pPr>
      <w:r>
        <w:tab/>
        <w:t>(a)</w:t>
      </w:r>
      <w:r>
        <w:tab/>
        <w:t>the applicant is a natural person; and</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Ednotesubsection"/>
      </w:pPr>
      <w:r>
        <w:tab/>
        <w:t>[(1a)</w:t>
      </w:r>
      <w:r>
        <w:tab/>
        <w:t>deleted]</w:t>
      </w:r>
    </w:p>
    <w:p>
      <w:pPr>
        <w:pStyle w:val="Subsection"/>
        <w:spacing w:before="120"/>
        <w:rPr>
          <w:snapToGrid w:val="0"/>
        </w:rPr>
      </w:pPr>
      <w:r>
        <w:rPr>
          <w:snapToGrid w:val="0"/>
        </w:rPr>
        <w:tab/>
        <w:t>(2)</w:t>
      </w:r>
      <w:r>
        <w:rPr>
          <w:snapToGrid w:val="0"/>
        </w:rPr>
        <w:tab/>
        <w:t>An application referred to in subsection (1) must identify the block or blocks applied for by number in accordance with section 56C(4).</w:t>
      </w:r>
    </w:p>
    <w:p>
      <w:pPr>
        <w:pStyle w:val="Subsection"/>
        <w:spacing w:before="120"/>
        <w:rPr>
          <w:snapToGrid w:val="0"/>
        </w:rPr>
      </w:pPr>
      <w:r>
        <w:rPr>
          <w:snapToGrid w:val="0"/>
        </w:rPr>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pPr>
        <w:pStyle w:val="Subsection"/>
        <w:keepNext/>
        <w:spacing w:before="120"/>
      </w:pPr>
      <w:r>
        <w:lastRenderedPageBreak/>
        <w:tab/>
        <w:t>(2b)</w:t>
      </w:r>
      <w:r>
        <w:tab/>
        <w:t>A survey required under subsection (2a)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Subsection"/>
        <w:spacing w:before="120"/>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keepLines w:val="0"/>
        <w:spacing w:before="80"/>
        <w:ind w:left="890" w:hanging="890"/>
      </w:pPr>
      <w:r>
        <w:tab/>
        <w:t>[Section 58 amended: No. 100 of 1985 s. 39; No. 22 of 1990 s. 17; No. 37 of 1993 s. 26 and 28(1); No. 58 of 1994 s. 14; No. 15 of 2002 s. 11; No. 39 of 2004 s. 58; No. 12 of 2010 s. 21.]</w:t>
      </w:r>
    </w:p>
    <w:p>
      <w:pPr>
        <w:pStyle w:val="Heading5"/>
        <w:keepLines w:val="0"/>
        <w:rPr>
          <w:snapToGrid w:val="0"/>
        </w:rPr>
      </w:pPr>
      <w:bookmarkStart w:id="96" w:name="_Toc202366099"/>
      <w:r>
        <w:rPr>
          <w:rStyle w:val="CharSectno"/>
        </w:rPr>
        <w:t>59</w:t>
      </w:r>
      <w:r>
        <w:rPr>
          <w:snapToGrid w:val="0"/>
        </w:rPr>
        <w:t>.</w:t>
      </w:r>
      <w:r>
        <w:rPr>
          <w:snapToGrid w:val="0"/>
        </w:rPr>
        <w:tab/>
        <w:t>Determination of application for exploration licence</w:t>
      </w:r>
      <w:bookmarkEnd w:id="96"/>
    </w:p>
    <w:p>
      <w:pPr>
        <w:pStyle w:val="Subsection"/>
        <w:spacing w:before="100"/>
        <w:rPr>
          <w:snapToGrid w:val="0"/>
        </w:rPr>
      </w:pPr>
      <w:r>
        <w:rPr>
          <w:snapToGrid w:val="0"/>
        </w:rPr>
        <w:tab/>
        <w:t>(1)</w:t>
      </w:r>
      <w:r>
        <w:rPr>
          <w:snapToGrid w:val="0"/>
        </w:rPr>
        <w:tab/>
        <w:t>A person who wishes to object to the granting of an application for an exploration licence must lodge a notice of objection.</w:t>
      </w:r>
    </w:p>
    <w:p>
      <w:pPr>
        <w:pStyle w:val="Subsection"/>
        <w:keepNext/>
      </w:pPr>
      <w:r>
        <w:tab/>
        <w:t>(1A)</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pPr>
      <w:r>
        <w:tab/>
        <w:t>(1B)</w:t>
      </w:r>
      <w:r>
        <w:tab/>
        <w:t>A person is not entitled to lodge a notice of objection if the basis for the objection is that the exploration licence, or activities authorised by it, would affect an offsets project.</w:t>
      </w:r>
    </w:p>
    <w:p>
      <w:pPr>
        <w:pStyle w:val="Subsection"/>
      </w:pPr>
      <w:r>
        <w:lastRenderedPageBreak/>
        <w:tab/>
        <w:t>(1C)</w:t>
      </w:r>
      <w:r>
        <w:tab/>
        <w:t>Subsection (1B) does not apply in respect of an offsets project, or any part of an offsets project, situated on land held in freehold.</w:t>
      </w:r>
    </w:p>
    <w:p>
      <w:pPr>
        <w:pStyle w:val="Subsection"/>
        <w:spacing w:before="100"/>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pPr>
        <w:pStyle w:val="Subsection"/>
        <w:spacing w:before="100"/>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keepNext/>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00"/>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pPr>
        <w:pStyle w:val="Subsection"/>
        <w:spacing w:before="100"/>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spacing w:before="60"/>
        <w:rPr>
          <w:snapToGrid w:val="0"/>
        </w:rPr>
      </w:pPr>
      <w:r>
        <w:rPr>
          <w:snapToGrid w:val="0"/>
        </w:rPr>
        <w:lastRenderedPageBreak/>
        <w:tab/>
        <w:t>(c)</w:t>
      </w:r>
      <w:r>
        <w:rPr>
          <w:snapToGrid w:val="0"/>
        </w:rPr>
        <w:tab/>
        <w:t>a report which recommends the grant or refusal of the exploration licence and sets out the reasons for that recommendation.</w:t>
      </w:r>
    </w:p>
    <w:p>
      <w:pPr>
        <w:pStyle w:val="Subsection"/>
        <w:spacing w:before="100"/>
        <w:rPr>
          <w:snapToGrid w:val="0"/>
        </w:rPr>
      </w:pPr>
      <w:r>
        <w:rPr>
          <w:snapToGrid w:val="0"/>
        </w:rPr>
        <w:tab/>
        <w:t>(6)</w:t>
      </w:r>
      <w:r>
        <w:rPr>
          <w:snapToGrid w:val="0"/>
        </w:rPr>
        <w:tab/>
        <w:t>On receipt of a report under subsection (2) or (5), the Minister may grant or refuse the exploration licence as the Minister thinks fit, and irrespective of whether —</w:t>
      </w:r>
    </w:p>
    <w:p>
      <w:pPr>
        <w:pStyle w:val="Indenta"/>
        <w:rPr>
          <w:snapToGrid w:val="0"/>
        </w:rPr>
      </w:pPr>
      <w:r>
        <w:rPr>
          <w:snapToGrid w:val="0"/>
        </w:rPr>
        <w:tab/>
        <w:t>(a)</w:t>
      </w:r>
      <w:r>
        <w:rPr>
          <w:snapToGrid w:val="0"/>
        </w:rPr>
        <w:tab/>
        <w:t>the report recommends the grant or refusal of the exploration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Footnotesection"/>
        <w:ind w:left="890" w:hanging="890"/>
      </w:pPr>
      <w:r>
        <w:tab/>
        <w:t>[Section 59 inserted: No. 58 of 1994 s. 15(1); amended: No. 39 of 2004 s. 59; No. 12 of 2010 s. 22; No. 39 of 2022 s. 9; No. 27 of 2023 s. 6.]</w:t>
      </w:r>
    </w:p>
    <w:p>
      <w:pPr>
        <w:pStyle w:val="Heading5"/>
        <w:rPr>
          <w:snapToGrid w:val="0"/>
        </w:rPr>
      </w:pPr>
      <w:bookmarkStart w:id="97" w:name="_Toc202366100"/>
      <w:r>
        <w:rPr>
          <w:rStyle w:val="CharSectno"/>
        </w:rPr>
        <w:t>60</w:t>
      </w:r>
      <w:r>
        <w:rPr>
          <w:snapToGrid w:val="0"/>
        </w:rPr>
        <w:t>.</w:t>
      </w:r>
      <w:r>
        <w:rPr>
          <w:snapToGrid w:val="0"/>
        </w:rPr>
        <w:tab/>
        <w:t>Security relating to exploration licence</w:t>
      </w:r>
      <w:bookmarkEnd w:id="97"/>
    </w:p>
    <w:p>
      <w:pPr>
        <w:pStyle w:val="Subsection"/>
        <w:spacing w:before="100"/>
        <w:rPr>
          <w:snapToGrid w:val="0"/>
        </w:rPr>
      </w:pPr>
      <w:r>
        <w:rPr>
          <w:snapToGrid w:val="0"/>
        </w:rPr>
        <w:tab/>
        <w:t>(1)</w:t>
      </w:r>
      <w:r>
        <w:rPr>
          <w:snapToGrid w:val="0"/>
        </w:rPr>
        <w:tab/>
        <w:t xml:space="preserve">The applicant for an exploration licence shall </w:t>
      </w:r>
      <w:r>
        <w:t>lodge, in the prescribed manner and</w:t>
      </w:r>
      <w:r>
        <w:rPr>
          <w:snapToGrid w:val="0"/>
        </w:rPr>
        <w:t xml:space="preserve"> within the prescribed period, a security for compliance with the conditions to which the exploration licence, if granted, will from time to time be subject and with the provisions of this Part and the regulations.</w:t>
      </w:r>
    </w:p>
    <w:p>
      <w:pPr>
        <w:pStyle w:val="Subsection"/>
        <w:spacing w:before="100"/>
        <w:rPr>
          <w:snapToGrid w:val="0"/>
        </w:rPr>
      </w:pPr>
      <w:r>
        <w:rPr>
          <w:snapToGrid w:val="0"/>
        </w:rPr>
        <w:tab/>
        <w:t>(1a)</w:t>
      </w:r>
      <w:r>
        <w:rPr>
          <w:snapToGrid w:val="0"/>
        </w:rPr>
        <w:tab/>
        <w:t xml:space="preserve">The Minister may require the holder of an exploration licence to </w:t>
      </w:r>
      <w:r>
        <w:t xml:space="preserve">lodge, in the prescribed </w:t>
      </w:r>
      <w:r>
        <w:rPr>
          <w:snapToGrid w:val="0"/>
        </w:rPr>
        <w:t>manner</w:t>
      </w:r>
      <w:r>
        <w:t xml:space="preserve"> and</w:t>
      </w:r>
      <w:r>
        <w:rPr>
          <w:snapToGrid w:val="0"/>
        </w:rPr>
        <w:t xml:space="preserve"> within such period as the Minister specifies in writing, an additional security for compliance with conditions imposed in relation to the licence under section 63AA.</w:t>
      </w:r>
    </w:p>
    <w:p>
      <w:pPr>
        <w:pStyle w:val="Subsection"/>
        <w:spacing w:before="100"/>
        <w:rPr>
          <w:snapToGrid w:val="0"/>
        </w:rPr>
      </w:pPr>
      <w:r>
        <w:rPr>
          <w:snapToGrid w:val="0"/>
        </w:rPr>
        <w:tab/>
        <w:t>(2)</w:t>
      </w:r>
      <w:r>
        <w:rPr>
          <w:snapToGrid w:val="0"/>
        </w:rPr>
        <w:tab/>
        <w:t>A security referred to in subsection (1) or (1a) shall be in accordance with and subject to the provisions of section 126.</w:t>
      </w:r>
    </w:p>
    <w:p>
      <w:pPr>
        <w:pStyle w:val="Subsection"/>
        <w:spacing w:before="100"/>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keepNext/>
        <w:spacing w:before="100"/>
        <w:rPr>
          <w:snapToGrid w:val="0"/>
        </w:rPr>
      </w:pPr>
      <w:r>
        <w:rPr>
          <w:snapToGrid w:val="0"/>
        </w:rPr>
        <w:lastRenderedPageBreak/>
        <w:tab/>
        <w:t>(4)</w:t>
      </w:r>
      <w:r>
        <w:rPr>
          <w:snapToGrid w:val="0"/>
        </w:rPr>
        <w:tab/>
        <w:t>Notwithstanding section 154(1), an applicant for an exploration licence who fails to comply with subsection (1) does not commit an offence against this Act.</w:t>
      </w:r>
    </w:p>
    <w:p>
      <w:pPr>
        <w:pStyle w:val="Footnotesection"/>
        <w:ind w:left="890" w:hanging="890"/>
      </w:pPr>
      <w:r>
        <w:tab/>
        <w:t>[Section 60 amended: No. 100 of 1985 s. 41; No. 37 of 1993 s. 26; No. 58 of 1994 s. 16; No. 17 of 1999 s. 7(1) and (2); No. 12 of 2010 s. 23.]</w:t>
      </w:r>
    </w:p>
    <w:p>
      <w:pPr>
        <w:pStyle w:val="Heading5"/>
        <w:rPr>
          <w:snapToGrid w:val="0"/>
        </w:rPr>
      </w:pPr>
      <w:bookmarkStart w:id="98" w:name="_Toc202366101"/>
      <w:r>
        <w:rPr>
          <w:rStyle w:val="CharSectno"/>
        </w:rPr>
        <w:t>61</w:t>
      </w:r>
      <w:r>
        <w:rPr>
          <w:snapToGrid w:val="0"/>
        </w:rPr>
        <w:t>.</w:t>
      </w:r>
      <w:r>
        <w:rPr>
          <w:snapToGrid w:val="0"/>
        </w:rPr>
        <w:tab/>
        <w:t>Term of exploration licence</w:t>
      </w:r>
      <w:bookmarkEnd w:id="98"/>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 xml:space="preserve">An application for the </w:t>
      </w:r>
      <w:r>
        <w:rPr>
          <w:snapToGrid w:val="0"/>
        </w:rPr>
        <w:t>extension</w:t>
      </w:r>
      <w:r>
        <w:t xml:space="preserve"> of the term of an exploration licence </w:t>
      </w:r>
      <w:r>
        <w:rPr>
          <w:snapToGrid w:val="0"/>
        </w:rPr>
        <w:t>under</w:t>
      </w:r>
      <w:r>
        <w:t xml:space="preserve"> subsection (2) shall be made within the prescribed time and in the prescribed manner.</w:t>
      </w:r>
    </w:p>
    <w:p>
      <w:pPr>
        <w:pStyle w:val="Subsection"/>
      </w:pPr>
      <w:r>
        <w:tab/>
        <w:t>(3a)</w:t>
      </w:r>
      <w:r>
        <w:tab/>
        <w:t xml:space="preserve">If an application for the </w:t>
      </w:r>
      <w:r>
        <w:rPr>
          <w:snapToGrid w:val="0"/>
        </w:rPr>
        <w:t>extension</w:t>
      </w:r>
      <w:r>
        <w:t xml:space="preserve"> of the term of an exploration licence is made under this section and the term of the licence would </w:t>
      </w:r>
      <w:r>
        <w:rPr>
          <w:snapToGrid w:val="0"/>
        </w:rPr>
        <w:t>but</w:t>
      </w:r>
      <w:r>
        <w:t xml:space="preserve"> for this subsection expire, the licence shall continue in force in respect of the land the subject of the application until the application is determined.</w:t>
      </w:r>
    </w:p>
    <w:p>
      <w:pPr>
        <w:pStyle w:val="Subsection"/>
        <w:keepNext/>
        <w:rPr>
          <w:snapToGrid w:val="0"/>
        </w:rPr>
      </w:pPr>
      <w:r>
        <w:rPr>
          <w:snapToGrid w:val="0"/>
        </w:rPr>
        <w:tab/>
        <w:t>(4)</w:t>
      </w:r>
      <w:r>
        <w:rPr>
          <w:snapToGrid w:val="0"/>
        </w:rPr>
        <w:tab/>
        <w:t xml:space="preserve">If the holder of an exploration licence transfers the licence after making an application for the extension of the term of the licence under subsection (2), the application continues in the </w:t>
      </w:r>
      <w:r>
        <w:rPr>
          <w:snapToGrid w:val="0"/>
        </w:rPr>
        <w:lastRenderedPageBreak/>
        <w:t>name of the transferee of the licence as if the transferee had made it.</w:t>
      </w:r>
    </w:p>
    <w:p>
      <w:pPr>
        <w:pStyle w:val="Footnotesection"/>
        <w:ind w:left="890" w:hanging="890"/>
      </w:pPr>
      <w:r>
        <w:tab/>
        <w:t>[Section 61 amended: No. 122 of 1982 s. 18; No. 12 of 1987 s. 4; No. 37 of 1993 s. 26; No. 58 of 1994 s. 17; No. 17 of 1999 s. 8; No. 39 of 2004 s. 14.]</w:t>
      </w:r>
    </w:p>
    <w:p>
      <w:pPr>
        <w:pStyle w:val="Heading5"/>
        <w:keepNext w:val="0"/>
        <w:keepLines w:val="0"/>
        <w:rPr>
          <w:snapToGrid w:val="0"/>
        </w:rPr>
      </w:pPr>
      <w:bookmarkStart w:id="99" w:name="_Toc202366102"/>
      <w:r>
        <w:rPr>
          <w:rStyle w:val="CharSectno"/>
        </w:rPr>
        <w:t>62</w:t>
      </w:r>
      <w:r>
        <w:rPr>
          <w:snapToGrid w:val="0"/>
        </w:rPr>
        <w:t>.</w:t>
      </w:r>
      <w:r>
        <w:rPr>
          <w:snapToGrid w:val="0"/>
        </w:rPr>
        <w:tab/>
        <w:t>Expenditure conditions</w:t>
      </w:r>
      <w:bookmarkEnd w:id="99"/>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r>
        <w:tab/>
        <w:t>(2)</w:t>
      </w:r>
      <w:r>
        <w:tab/>
        <w:t>In the case of an exploration licence that has retention status, expenditure conditions prescribed for the purposes of subsection (1)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No. 39 of 2004 s. 23.]</w:t>
      </w:r>
    </w:p>
    <w:p>
      <w:pPr>
        <w:pStyle w:val="Heading5"/>
        <w:rPr>
          <w:snapToGrid w:val="0"/>
        </w:rPr>
      </w:pPr>
      <w:bookmarkStart w:id="100" w:name="_Toc202366103"/>
      <w:r>
        <w:rPr>
          <w:rStyle w:val="CharSectno"/>
        </w:rPr>
        <w:t>63</w:t>
      </w:r>
      <w:r>
        <w:rPr>
          <w:snapToGrid w:val="0"/>
        </w:rPr>
        <w:t>.</w:t>
      </w:r>
      <w:r>
        <w:rPr>
          <w:snapToGrid w:val="0"/>
        </w:rPr>
        <w:tab/>
        <w:t>Condition attached to exploration licence</w:t>
      </w:r>
      <w:bookmarkEnd w:id="100"/>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 and</w:t>
      </w:r>
    </w:p>
    <w:p>
      <w:pPr>
        <w:pStyle w:val="Indenta"/>
        <w:keepNext/>
      </w:pPr>
      <w:r>
        <w:lastRenderedPageBreak/>
        <w:tab/>
        <w:t>(aa)</w:t>
      </w:r>
      <w:r>
        <w:tab/>
        <w:t>will not use ground disturbing equipment when exploring for minerals on the land the subject of the exploration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[Section 63 amended: No. 69 of 1981 s. 18; No. 100 of 1985 s. 42; No. 39 of 2004 s. 15(1); No. 51 of 2012 s. 19.]</w:t>
      </w:r>
    </w:p>
    <w:p>
      <w:pPr>
        <w:pStyle w:val="Heading5"/>
        <w:rPr>
          <w:snapToGrid w:val="0"/>
        </w:rPr>
      </w:pPr>
      <w:bookmarkStart w:id="101" w:name="_Toc202366104"/>
      <w:r>
        <w:rPr>
          <w:rStyle w:val="CharSectno"/>
        </w:rPr>
        <w:t>63AA</w:t>
      </w:r>
      <w:r>
        <w:rPr>
          <w:snapToGrid w:val="0"/>
        </w:rPr>
        <w:t>.</w:t>
      </w:r>
      <w:r>
        <w:rPr>
          <w:snapToGrid w:val="0"/>
        </w:rPr>
        <w:tab/>
        <w:t>Conditions for prevention or reduction of injury to land</w:t>
      </w:r>
      <w:bookmarkEnd w:id="101"/>
    </w:p>
    <w:p>
      <w:pPr>
        <w:pStyle w:val="Subsection"/>
        <w:rPr>
          <w:snapToGrid w:val="0"/>
        </w:rPr>
      </w:pPr>
      <w:r>
        <w:rPr>
          <w:snapToGrid w:val="0"/>
        </w:rPr>
        <w:tab/>
        <w:t>(1)</w:t>
      </w:r>
      <w:r>
        <w:rPr>
          <w:snapToGrid w:val="0"/>
        </w:rPr>
        <w:tab/>
        <w:t xml:space="preserve">On the granting of an exploration licence, or at any subsequent time, the Minister may impose on the holder of the licence reasonable conditions for the purpose of preventing or reducing, or making good, injury to the land in respect of which the licence is sought or was granted, or injury to anything on or </w:t>
      </w:r>
      <w:r>
        <w:rPr>
          <w:snapToGrid w:val="0"/>
        </w:rPr>
        <w:lastRenderedPageBreak/>
        <w:t>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keepNext/>
        <w:rPr>
          <w:snapToGrid w:val="0"/>
        </w:rPr>
      </w:pPr>
      <w:r>
        <w:rPr>
          <w:snapToGrid w:val="0"/>
        </w:rPr>
        <w:tab/>
        <w:t>(3)</w:t>
      </w:r>
      <w:r>
        <w:rPr>
          <w:snapToGrid w:val="0"/>
        </w:rPr>
        <w:tab/>
        <w:t>A condition imposed in relation to a licence under this section —</w:t>
      </w:r>
    </w:p>
    <w:p>
      <w:pPr>
        <w:pStyle w:val="Indenta"/>
        <w:spacing w:before="14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spacing w:before="140"/>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63AA inserted: No. 22 of 1990 s. 18; amended: No. 12 of 2010 s. 6.]</w:t>
      </w:r>
    </w:p>
    <w:p>
      <w:pPr>
        <w:pStyle w:val="Heading5"/>
        <w:rPr>
          <w:snapToGrid w:val="0"/>
        </w:rPr>
      </w:pPr>
      <w:bookmarkStart w:id="102" w:name="_Toc202366105"/>
      <w:r>
        <w:rPr>
          <w:rStyle w:val="CharSectno"/>
        </w:rPr>
        <w:t>63A</w:t>
      </w:r>
      <w:r>
        <w:rPr>
          <w:snapToGrid w:val="0"/>
        </w:rPr>
        <w:t>.</w:t>
      </w:r>
      <w:r>
        <w:rPr>
          <w:snapToGrid w:val="0"/>
        </w:rPr>
        <w:tab/>
        <w:t>When exploration licence liable to forfeiture</w:t>
      </w:r>
      <w:bookmarkEnd w:id="102"/>
    </w:p>
    <w:p>
      <w:pPr>
        <w:pStyle w:val="Subsection"/>
        <w:spacing w:before="200"/>
        <w:rPr>
          <w:snapToGrid w:val="0"/>
        </w:rPr>
      </w:pPr>
      <w:r>
        <w:rPr>
          <w:snapToGrid w:val="0"/>
        </w:rPr>
        <w:tab/>
      </w:r>
      <w:r>
        <w:rPr>
          <w:snapToGrid w:val="0"/>
        </w:rPr>
        <w:tab/>
        <w:t>An exploration licence is liable to forfeiture if —</w:t>
      </w:r>
    </w:p>
    <w:p>
      <w:pPr>
        <w:pStyle w:val="Indenta"/>
        <w:spacing w:before="140"/>
        <w:rPr>
          <w:snapToGrid w:val="0"/>
        </w:rPr>
      </w:pPr>
      <w:r>
        <w:rPr>
          <w:snapToGrid w:val="0"/>
        </w:rPr>
        <w:tab/>
        <w:t>(a)</w:t>
      </w:r>
      <w:r>
        <w:rPr>
          <w:snapToGrid w:val="0"/>
        </w:rPr>
        <w:tab/>
        <w:t>the prescribed rent or royalty in respect thereof is not paid in accordance with this Act; or</w:t>
      </w:r>
    </w:p>
    <w:p>
      <w:pPr>
        <w:pStyle w:val="Indenta"/>
        <w:spacing w:before="140"/>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 or</w:t>
      </w:r>
    </w:p>
    <w:p>
      <w:pPr>
        <w:pStyle w:val="Indenta"/>
        <w:spacing w:before="140"/>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 or</w:t>
      </w:r>
    </w:p>
    <w:p>
      <w:pPr>
        <w:pStyle w:val="Indenta"/>
        <w:spacing w:before="140"/>
      </w:pPr>
      <w:r>
        <w:tab/>
        <w:t>(baa)</w:t>
      </w:r>
      <w:r>
        <w:tab/>
        <w:t xml:space="preserve">any </w:t>
      </w:r>
      <w:r>
        <w:rPr>
          <w:snapToGrid w:val="0"/>
        </w:rPr>
        <w:t>request</w:t>
      </w:r>
      <w:r>
        <w:t xml:space="preserve"> under section 68(1) or (2) in relation to the exploration licence is not complied with; or</w:t>
      </w:r>
    </w:p>
    <w:p>
      <w:pPr>
        <w:pStyle w:val="Indenta"/>
        <w:spacing w:before="140"/>
        <w:rPr>
          <w:snapToGrid w:val="0"/>
        </w:rPr>
      </w:pPr>
      <w:r>
        <w:rPr>
          <w:snapToGrid w:val="0"/>
        </w:rPr>
        <w:lastRenderedPageBreak/>
        <w:tab/>
        <w:t>(ba)</w:t>
      </w:r>
      <w:r>
        <w:rPr>
          <w:snapToGrid w:val="0"/>
        </w:rPr>
        <w:tab/>
        <w:t>a report required under section 68(3) or 115A in relation to the land the subject of the exploration licence is not filed in accordance with this Act; or</w:t>
      </w:r>
    </w:p>
    <w:p>
      <w:pPr>
        <w:pStyle w:val="Indenta"/>
        <w:keepNext/>
        <w:spacing w:before="140"/>
        <w:rPr>
          <w:snapToGrid w:val="0"/>
        </w:rPr>
      </w:pPr>
      <w:r>
        <w:rPr>
          <w:snapToGrid w:val="0"/>
        </w:rPr>
        <w:tab/>
        <w:t>(c)</w:t>
      </w:r>
      <w:r>
        <w:rPr>
          <w:snapToGrid w:val="0"/>
        </w:rPr>
        <w:tab/>
        <w:t>the holder of the exploration licence is convicted of an offence against this Act.</w:t>
      </w:r>
    </w:p>
    <w:p>
      <w:pPr>
        <w:pStyle w:val="Footnotesection"/>
        <w:spacing w:before="160"/>
        <w:ind w:left="890" w:hanging="890"/>
      </w:pPr>
      <w:r>
        <w:tab/>
        <w:t>[Section 63A inserted: No. 69 of 1981 s. 19; amended: No. 100 of 1985 s. 43; No. 58 of 1994 s. 18; No. 17 of 1999 s. 7(3); No. 39 of 2004 s. 89; No. 27 of 2005 s. 8.]</w:t>
      </w:r>
    </w:p>
    <w:p>
      <w:pPr>
        <w:pStyle w:val="Heading5"/>
        <w:spacing w:before="280"/>
        <w:rPr>
          <w:snapToGrid w:val="0"/>
        </w:rPr>
      </w:pPr>
      <w:bookmarkStart w:id="103" w:name="_Toc202366106"/>
      <w:r>
        <w:rPr>
          <w:rStyle w:val="CharSectno"/>
        </w:rPr>
        <w:t>64</w:t>
      </w:r>
      <w:r>
        <w:rPr>
          <w:snapToGrid w:val="0"/>
        </w:rPr>
        <w:t>.</w:t>
      </w:r>
      <w:r>
        <w:rPr>
          <w:snapToGrid w:val="0"/>
        </w:rPr>
        <w:tab/>
        <w:t>Consent to dealing in exploration licence</w:t>
      </w:r>
      <w:bookmarkEnd w:id="103"/>
    </w:p>
    <w:p>
      <w:pPr>
        <w:pStyle w:val="Subsection"/>
        <w:spacing w:before="24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w:t>
      </w:r>
    </w:p>
    <w:p>
      <w:pPr>
        <w:pStyle w:val="Indenta"/>
        <w:spacing w:before="160"/>
        <w:rPr>
          <w:snapToGrid w:val="0"/>
        </w:rPr>
      </w:pPr>
      <w:r>
        <w:rPr>
          <w:snapToGrid w:val="0"/>
        </w:rPr>
        <w:tab/>
        <w:t>(a)</w:t>
      </w:r>
      <w:r>
        <w:rPr>
          <w:snapToGrid w:val="0"/>
        </w:rPr>
        <w:tab/>
        <w:t>the dealing or other transaction in or affecting the interest arises in the due administration of the estate or affairs of a holder —</w:t>
      </w:r>
    </w:p>
    <w:p>
      <w:pPr>
        <w:pStyle w:val="Indenti"/>
        <w:spacing w:before="120"/>
        <w:rPr>
          <w:snapToGrid w:val="0"/>
        </w:rPr>
      </w:pPr>
      <w:r>
        <w:rPr>
          <w:snapToGrid w:val="0"/>
        </w:rPr>
        <w:tab/>
        <w:t>(i)</w:t>
      </w:r>
      <w:r>
        <w:rPr>
          <w:snapToGrid w:val="0"/>
        </w:rPr>
        <w:tab/>
        <w:t>who is dead; or</w:t>
      </w:r>
    </w:p>
    <w:p>
      <w:pPr>
        <w:pStyle w:val="Indenti"/>
        <w:spacing w:before="120"/>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 or</w:t>
      </w:r>
    </w:p>
    <w:p>
      <w:pPr>
        <w:pStyle w:val="Indenti"/>
        <w:spacing w:before="120"/>
        <w:rPr>
          <w:snapToGrid w:val="0"/>
        </w:rPr>
      </w:pPr>
      <w:r>
        <w:rPr>
          <w:snapToGrid w:val="0"/>
        </w:rPr>
        <w:tab/>
        <w:t>(iii)</w:t>
      </w:r>
      <w:r>
        <w:rPr>
          <w:snapToGrid w:val="0"/>
        </w:rPr>
        <w:tab/>
        <w:t>who is otherwise incapacitated at law; or</w:t>
      </w:r>
    </w:p>
    <w:p>
      <w:pPr>
        <w:pStyle w:val="Indenti"/>
        <w:spacing w:before="120"/>
        <w:rPr>
          <w:snapToGrid w:val="0"/>
        </w:rPr>
      </w:pPr>
      <w:r>
        <w:rPr>
          <w:snapToGrid w:val="0"/>
        </w:rPr>
        <w:tab/>
        <w:t>(iv)</w:t>
      </w:r>
      <w:r>
        <w:rPr>
          <w:snapToGrid w:val="0"/>
        </w:rPr>
        <w:tab/>
        <w:t>which is in the course of being wound up (not being a voluntary winding up);</w:t>
      </w:r>
    </w:p>
    <w:p>
      <w:pPr>
        <w:pStyle w:val="Indenta"/>
        <w:spacing w:before="120"/>
        <w:rPr>
          <w:snapToGrid w:val="0"/>
        </w:rPr>
      </w:pPr>
      <w:r>
        <w:rPr>
          <w:snapToGrid w:val="0"/>
        </w:rPr>
        <w:tab/>
      </w:r>
      <w:r>
        <w:rPr>
          <w:snapToGrid w:val="0"/>
        </w:rPr>
        <w:tab/>
        <w:t>or</w:t>
      </w:r>
    </w:p>
    <w:p>
      <w:pPr>
        <w:pStyle w:val="Indenta"/>
        <w:spacing w:before="160"/>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keepNext/>
        <w:spacing w:before="260"/>
        <w:rPr>
          <w:snapToGrid w:val="0"/>
        </w:rPr>
      </w:pPr>
      <w:r>
        <w:rPr>
          <w:snapToGrid w:val="0"/>
        </w:rPr>
        <w:lastRenderedPageBreak/>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keepLines w:val="0"/>
        <w:spacing w:before="100"/>
        <w:ind w:left="890" w:hanging="890"/>
      </w:pPr>
      <w:r>
        <w:tab/>
        <w:t>[Section 64 inserted: No. 100 of 1985 s. 44; amended: No. 37 of 1993 s. 27; No. 54 of 1996 s. 8; No. 10 of 2001 s. 132.]</w:t>
      </w:r>
    </w:p>
    <w:p>
      <w:pPr>
        <w:pStyle w:val="Heading5"/>
        <w:rPr>
          <w:snapToGrid w:val="0"/>
        </w:rPr>
      </w:pPr>
      <w:bookmarkStart w:id="104" w:name="_Toc202366107"/>
      <w:r>
        <w:rPr>
          <w:rStyle w:val="CharSectno"/>
        </w:rPr>
        <w:t>65</w:t>
      </w:r>
      <w:r>
        <w:rPr>
          <w:snapToGrid w:val="0"/>
        </w:rPr>
        <w:t>.</w:t>
      </w:r>
      <w:r>
        <w:rPr>
          <w:snapToGrid w:val="0"/>
        </w:rPr>
        <w:tab/>
        <w:t>Surrender of certain areas subject to exploration licence</w:t>
      </w:r>
      <w:bookmarkEnd w:id="104"/>
    </w:p>
    <w:p>
      <w:pPr>
        <w:pStyle w:val="Subsection"/>
        <w:keepNext/>
        <w:spacing w:before="200"/>
      </w:pPr>
      <w:r>
        <w:tab/>
        <w:t>(1)</w:t>
      </w:r>
      <w:r>
        <w:tab/>
        <w:t>In this section —</w:t>
      </w:r>
    </w:p>
    <w:p>
      <w:pPr>
        <w:pStyle w:val="Defstart"/>
      </w:pPr>
      <w:r>
        <w:tab/>
      </w:r>
      <w:r>
        <w:rPr>
          <w:rStyle w:val="CharDefText"/>
        </w:rPr>
        <w:t>end day</w:t>
      </w:r>
      <w:r>
        <w:t xml:space="preserve">, in relation to an exploration licence, means — </w:t>
      </w:r>
    </w:p>
    <w:p>
      <w:pPr>
        <w:pStyle w:val="Indenta"/>
        <w:spacing w:before="120"/>
      </w:pPr>
      <w:r>
        <w:tab/>
        <w:t>(a)</w:t>
      </w:r>
      <w:r>
        <w:tab/>
        <w:t xml:space="preserve">the day (the </w:t>
      </w:r>
      <w:r>
        <w:rPr>
          <w:b/>
          <w:i/>
        </w:rPr>
        <w:t>anniversary day</w:t>
      </w:r>
      <w:r>
        <w:t>) that is 6 years after the day on which the licence was granted; or</w:t>
      </w:r>
    </w:p>
    <w:p>
      <w:pPr>
        <w:pStyle w:val="Indenta"/>
        <w:spacing w:before="120"/>
      </w:pPr>
      <w:r>
        <w:tab/>
        <w:t>(b)</w:t>
      </w:r>
      <w:r>
        <w:tab/>
        <w:t>if, on the anniversary day, an application for retention status under section 69A in respect of the whole or part of the land the subject of the licence has been made but not determined, the day on which that application is determined;</w:t>
      </w:r>
    </w:p>
    <w:p>
      <w:pPr>
        <w:pStyle w:val="Defstart"/>
      </w:pPr>
      <w:r>
        <w:rPr>
          <w:b/>
        </w:rPr>
        <w:tab/>
      </w:r>
      <w:r>
        <w:rPr>
          <w:rStyle w:val="CharDefText"/>
        </w:rPr>
        <w:t>surrender day</w:t>
      </w:r>
      <w:r>
        <w:t>, in relation to a surrender, means —</w:t>
      </w:r>
    </w:p>
    <w:p>
      <w:pPr>
        <w:pStyle w:val="Indenta"/>
        <w:spacing w:before="120"/>
      </w:pPr>
      <w:r>
        <w:tab/>
        <w:t>(a)</w:t>
      </w:r>
      <w:r>
        <w:tab/>
        <w:t>if the surrender is lodged under subsection (3), the end day; or</w:t>
      </w:r>
    </w:p>
    <w:p>
      <w:pPr>
        <w:pStyle w:val="Ednotedefpara"/>
      </w:pPr>
      <w:r>
        <w:tab/>
        <w:t>[(b)</w:t>
      </w:r>
      <w:r>
        <w:tab/>
        <w:t>deleted]</w:t>
      </w:r>
    </w:p>
    <w:p>
      <w:pPr>
        <w:pStyle w:val="Indenta"/>
        <w:spacing w:before="120"/>
      </w:pPr>
      <w:r>
        <w:tab/>
        <w:t>(c)</w:t>
      </w:r>
      <w:r>
        <w:tab/>
        <w:t>if the surrender is lodged in compliance with a requirement under subsection (4), the day on which the surrender is registered.</w:t>
      </w:r>
    </w:p>
    <w:p>
      <w:pPr>
        <w:pStyle w:val="Subsection"/>
        <w:keepNext/>
        <w:spacing w:before="200"/>
      </w:pPr>
      <w:r>
        <w:tab/>
        <w:t>(2)</w:t>
      </w:r>
      <w:r>
        <w:tab/>
        <w:t>This section applies in relation to an exploration licence if —</w:t>
      </w:r>
    </w:p>
    <w:p>
      <w:pPr>
        <w:pStyle w:val="Indenta"/>
        <w:spacing w:before="120"/>
      </w:pPr>
      <w:r>
        <w:tab/>
        <w:t>(a)</w:t>
      </w:r>
      <w:r>
        <w:tab/>
        <w:t>the term of the licence has been extended under section 61; or</w:t>
      </w:r>
    </w:p>
    <w:p>
      <w:pPr>
        <w:pStyle w:val="Indenta"/>
        <w:spacing w:before="120"/>
      </w:pPr>
      <w:r>
        <w:tab/>
        <w:t>(b)</w:t>
      </w:r>
      <w:r>
        <w:tab/>
        <w:t>an application under section 61 for the extension of the term of the licence has been made but has not been determined.</w:t>
      </w:r>
    </w:p>
    <w:p>
      <w:pPr>
        <w:pStyle w:val="Subsection"/>
        <w:keepNext/>
        <w:spacing w:before="120"/>
      </w:pPr>
      <w:r>
        <w:lastRenderedPageBreak/>
        <w:tab/>
        <w:t>(3)</w:t>
      </w:r>
      <w:r>
        <w:tab/>
        <w:t>On or before the end day the holder of an exploration licence granted in respect of more than 10 blocks must lodge a surrender for registration in respect of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pPr>
      <w:r>
        <w:tab/>
        <w:t>(3A)</w:t>
      </w:r>
      <w:r>
        <w:tab/>
        <w:t>Subsection (3) does not apply to the holder of an exploration licence for which retention status has been approved under section 69B(1).</w:t>
      </w:r>
    </w:p>
    <w:p>
      <w:pPr>
        <w:pStyle w:val="Subsection"/>
      </w:pPr>
      <w:r>
        <w:tab/>
        <w:t>(4)</w:t>
      </w:r>
      <w:r>
        <w:tab/>
        <w:t>If the holder of an exploration licence fails to lodge a surrender in accordance with subsection (3), the Minister must,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pPr>
      <w:r>
        <w:tab/>
        <w:t>(4b)</w:t>
      </w:r>
      <w:r>
        <w:tab/>
        <w:t>The blocks that remain subject to an exploration licence after a surrender under this section are to form not more than 6 discrete areas each consisting of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keepNext/>
      </w:pPr>
      <w:r>
        <w:tab/>
        <w:t>(4c)</w:t>
      </w:r>
      <w:r>
        <w:tab/>
        <w:t>If, before the surrender day, the holder of an exploration licence —</w:t>
      </w:r>
    </w:p>
    <w:p>
      <w:pPr>
        <w:pStyle w:val="Indenta"/>
      </w:pPr>
      <w:r>
        <w:tab/>
        <w:t>(a)</w:t>
      </w:r>
      <w:r>
        <w:tab/>
        <w:t xml:space="preserve">is granted a mining lease or general purpose lease in respect of a part of the land the subject of the exploration licence (the </w:t>
      </w:r>
      <w:r>
        <w:rPr>
          <w:rStyle w:val="CharDefText"/>
        </w:rPr>
        <w:t>granted land</w:t>
      </w:r>
      <w:r>
        <w:t>); or</w:t>
      </w:r>
    </w:p>
    <w:p>
      <w:pPr>
        <w:pStyle w:val="Indenta"/>
        <w:keepNext/>
      </w:pPr>
      <w:r>
        <w:tab/>
        <w:t>(b)</w:t>
      </w:r>
      <w:r>
        <w:tab/>
        <w:t xml:space="preserve">surrenders a part of the land the subject of the exploration licence (the </w:t>
      </w:r>
      <w:r>
        <w:rPr>
          <w:rStyle w:val="CharDefText"/>
        </w:rPr>
        <w:t>surrendered land</w:t>
      </w:r>
      <w:r>
        <w:t>),</w:t>
      </w:r>
    </w:p>
    <w:p>
      <w:pPr>
        <w:pStyle w:val="Subsection"/>
      </w:pPr>
      <w:r>
        <w:tab/>
      </w:r>
      <w:r>
        <w:tab/>
        <w:t xml:space="preserve">then, in calculating the area of land that is required to be surrendered under this section, the area of granted land or </w:t>
      </w:r>
      <w:r>
        <w:lastRenderedPageBreak/>
        <w:t>surrendered land shall be taken into account as though it were an area of land surrendered in satisfaction of that requirement.</w:t>
      </w:r>
    </w:p>
    <w:p>
      <w:pPr>
        <w:pStyle w:val="Subsection"/>
        <w:rPr>
          <w:snapToGrid w:val="0"/>
        </w:rPr>
      </w:pPr>
      <w:r>
        <w:rPr>
          <w:snapToGrid w:val="0"/>
        </w:rPr>
        <w:tab/>
        <w:t>(5)</w:t>
      </w:r>
      <w:r>
        <w:rPr>
          <w:snapToGrid w:val="0"/>
        </w:rPr>
        <w:tab/>
        <w:t>A surrender under this section shall be endorsed on the public plans of the Department —</w:t>
      </w:r>
    </w:p>
    <w:p>
      <w:pPr>
        <w:pStyle w:val="Indenta"/>
        <w:rPr>
          <w:snapToGrid w:val="0"/>
        </w:rPr>
      </w:pPr>
      <w:r>
        <w:rPr>
          <w:snapToGrid w:val="0"/>
        </w:rPr>
        <w:tab/>
        <w:t>(a)</w:t>
      </w:r>
      <w:r>
        <w:rPr>
          <w:snapToGrid w:val="0"/>
        </w:rPr>
        <w:tab/>
        <w:t>at the office of the Department at Perth;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keepNext/>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[Section 65 amended: No. 69 of 1981 s. 20; No. 100 of 1985 s. 45; No. 12 of 1987 s. 5; No. 22 of 1990 s. 19; No. 57 of 1997 s. 89(2); No. 15 of 2002 s. 12; No. 39 of 2004 s. 16; No. 27 of 2005 s. 9; No. 51 of 2012 s. 20.]</w:t>
      </w:r>
    </w:p>
    <w:p>
      <w:pPr>
        <w:pStyle w:val="Heading5"/>
        <w:rPr>
          <w:snapToGrid w:val="0"/>
        </w:rPr>
      </w:pPr>
      <w:bookmarkStart w:id="105" w:name="_Toc202366108"/>
      <w:r>
        <w:rPr>
          <w:rStyle w:val="CharSectno"/>
        </w:rPr>
        <w:t>66</w:t>
      </w:r>
      <w:r>
        <w:rPr>
          <w:snapToGrid w:val="0"/>
        </w:rPr>
        <w:t>.</w:t>
      </w:r>
      <w:r>
        <w:rPr>
          <w:snapToGrid w:val="0"/>
        </w:rPr>
        <w:tab/>
        <w:t>Rights conferred by exploration licence</w:t>
      </w:r>
      <w:bookmarkEnd w:id="105"/>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 xml:space="preserve">to explore, subject to any conditions imposed under section 24, 24A or 25, for minerals, and to carry on such operations and carry out such works as are necessary for that purpose on such land including digging pits, </w:t>
      </w:r>
      <w:r>
        <w:rPr>
          <w:snapToGrid w:val="0"/>
        </w:rPr>
        <w:lastRenderedPageBreak/>
        <w:t>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[Section 66 amended: No. 100 of 1985 s. 46; No. 22 of 1990 s. 20; No. 5 of 1997 s. 41(2).]</w:t>
      </w:r>
    </w:p>
    <w:p>
      <w:pPr>
        <w:pStyle w:val="Heading5"/>
        <w:rPr>
          <w:snapToGrid w:val="0"/>
        </w:rPr>
      </w:pPr>
      <w:bookmarkStart w:id="106" w:name="_Toc202366109"/>
      <w:r>
        <w:rPr>
          <w:rStyle w:val="CharSectno"/>
        </w:rPr>
        <w:t>67</w:t>
      </w:r>
      <w:r>
        <w:rPr>
          <w:snapToGrid w:val="0"/>
        </w:rPr>
        <w:t>.</w:t>
      </w:r>
      <w:r>
        <w:rPr>
          <w:snapToGrid w:val="0"/>
        </w:rPr>
        <w:tab/>
        <w:t>Holder of exploration licence to have priority for grant of mining leases or general purpose leases</w:t>
      </w:r>
      <w:bookmarkEnd w:id="106"/>
    </w:p>
    <w:p>
      <w:pPr>
        <w:pStyle w:val="Subsection"/>
        <w:rPr>
          <w:snapToGrid w:val="0"/>
        </w:rPr>
      </w:pPr>
      <w:r>
        <w:rPr>
          <w:snapToGrid w:val="0"/>
        </w:rPr>
        <w:tab/>
        <w:t>(1)</w:t>
      </w:r>
      <w:r>
        <w:rPr>
          <w:snapToGrid w:val="0"/>
        </w:rPr>
        <w:tab/>
        <w:t>The holder of an exploration licence has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lastRenderedPageBreak/>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an exploration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67 inserted: No. 122 of 1982 s. 19; amended: No. 100 of 1985 s. 47; No. 105 of 1986 s. 10; No. 21 of 1993 s. 45; No. 58 of 1994 s. 29(2); No. 52 of 1995 s. 26; No. 17 of 1999 s. 9.]</w:t>
      </w:r>
    </w:p>
    <w:p>
      <w:pPr>
        <w:pStyle w:val="Heading5"/>
        <w:spacing w:before="180"/>
        <w:rPr>
          <w:snapToGrid w:val="0"/>
        </w:rPr>
      </w:pPr>
      <w:bookmarkStart w:id="107" w:name="_Toc202366110"/>
      <w:r>
        <w:rPr>
          <w:rStyle w:val="CharSectno"/>
        </w:rPr>
        <w:t>67A</w:t>
      </w:r>
      <w:r>
        <w:rPr>
          <w:snapToGrid w:val="0"/>
        </w:rPr>
        <w:t>.</w:t>
      </w:r>
      <w:r>
        <w:rPr>
          <w:snapToGrid w:val="0"/>
        </w:rPr>
        <w:tab/>
        <w:t>Holder of exploration licence may apply to amalgamate secondary tenement</w:t>
      </w:r>
      <w:bookmarkEnd w:id="107"/>
    </w:p>
    <w:p>
      <w:pPr>
        <w:pStyle w:val="Subsection"/>
        <w:spacing w:before="120"/>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spacing w:before="120"/>
        <w:rPr>
          <w:snapToGrid w:val="0"/>
        </w:rPr>
      </w:pPr>
      <w:r>
        <w:rPr>
          <w:snapToGrid w:val="0"/>
        </w:rPr>
        <w:tab/>
        <w:t>(2)</w:t>
      </w:r>
      <w:r>
        <w:rPr>
          <w:snapToGrid w:val="0"/>
        </w:rPr>
        <w:tab/>
        <w:t xml:space="preserve">The holder of an exploration licence or an agent of the holder may, without marking out the land, apply in writing to the </w:t>
      </w:r>
      <w:r>
        <w:rPr>
          <w:snapToGrid w:val="0"/>
        </w:rPr>
        <w:lastRenderedPageBreak/>
        <w:t xml:space="preserve">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spacing w:before="120"/>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spacing w:before="120"/>
        <w:rPr>
          <w:snapToGrid w:val="0"/>
        </w:rPr>
      </w:pPr>
      <w:r>
        <w:rPr>
          <w:snapToGrid w:val="0"/>
        </w:rPr>
        <w:tab/>
        <w:t>(4)</w:t>
      </w:r>
      <w:r>
        <w:rPr>
          <w:snapToGrid w:val="0"/>
        </w:rPr>
        <w:tab/>
        <w:t>On receiving an application under subsection (1), (2) or (3), the Minister may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keepNext/>
      </w:pPr>
      <w:r>
        <w:lastRenderedPageBreak/>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in the prescribed manner.</w:t>
      </w:r>
    </w:p>
    <w:p>
      <w:pPr>
        <w:pStyle w:val="Subsection"/>
        <w:keepNext/>
        <w:rPr>
          <w:snapToGrid w:val="0"/>
        </w:rPr>
      </w:pPr>
      <w:r>
        <w:rPr>
          <w:snapToGrid w:val="0"/>
        </w:rPr>
        <w:tab/>
        <w:t>(7)</w:t>
      </w:r>
      <w:r>
        <w:rPr>
          <w:snapToGrid w:val="0"/>
        </w:rPr>
        <w:tab/>
        <w:t>In this section —</w:t>
      </w:r>
    </w:p>
    <w:p>
      <w:pPr>
        <w:pStyle w:val="Defstart"/>
        <w:keepNext/>
      </w:pPr>
      <w:r>
        <w:rPr>
          <w:b/>
        </w:rPr>
        <w:tab/>
      </w:r>
      <w:r>
        <w:rPr>
          <w:rStyle w:val="CharDefText"/>
        </w:rPr>
        <w:t>secondary tenement</w:t>
      </w:r>
      <w:r>
        <w:t>, in relation to an exploration licence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spacing w:before="60"/>
      </w:pPr>
      <w:r>
        <w:tab/>
        <w:t>(b)</w:t>
      </w:r>
      <w:r>
        <w:tab/>
        <w:t xml:space="preserve">where the exploration licence was granted in respect of an application made on or after the commencement of section 16 of the </w:t>
      </w:r>
      <w:r>
        <w:rPr>
          <w:i/>
        </w:rPr>
        <w:t>Mining Amendment Act 1990</w:t>
      </w:r>
      <w:r>
        <w:t>, includes any part of a mining tenement (other than a retention licence) situated within the boundaries (whether or not any of those boundaries are common boundaries) of the land the subject of the exploration licence.</w:t>
      </w:r>
    </w:p>
    <w:p>
      <w:pPr>
        <w:pStyle w:val="Subsection"/>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spacing w:before="100"/>
        <w:ind w:left="890" w:hanging="890"/>
      </w:pPr>
      <w:r>
        <w:tab/>
        <w:t>[Section 67A inserted: No. 37 of 1993 s. 8; amended: No. 58 of 1994 s. 19; No. 15 of 2002 s. 13; No. 39 of 2004 s. 60; No. 12 of 2010 s. 24.]</w:t>
      </w:r>
    </w:p>
    <w:p>
      <w:pPr>
        <w:pStyle w:val="Heading5"/>
        <w:rPr>
          <w:snapToGrid w:val="0"/>
        </w:rPr>
      </w:pPr>
      <w:bookmarkStart w:id="108" w:name="_Toc202366111"/>
      <w:r>
        <w:rPr>
          <w:rStyle w:val="CharSectno"/>
        </w:rPr>
        <w:lastRenderedPageBreak/>
        <w:t>68</w:t>
      </w:r>
      <w:r>
        <w:rPr>
          <w:snapToGrid w:val="0"/>
        </w:rPr>
        <w:t>.</w:t>
      </w:r>
      <w:r>
        <w:rPr>
          <w:snapToGrid w:val="0"/>
        </w:rPr>
        <w:tab/>
        <w:t>Holder of exploration licence to keep geological records</w:t>
      </w:r>
      <w:bookmarkEnd w:id="108"/>
    </w:p>
    <w:p>
      <w:pPr>
        <w:pStyle w:val="Subsection"/>
        <w:keepNext/>
        <w:keepLines/>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rPr>
          <w:snapToGrid w:val="0"/>
        </w:rPr>
      </w:pPr>
      <w:r>
        <w:rPr>
          <w:snapToGrid w:val="0"/>
        </w:rPr>
        <w:tab/>
        <w:t>(3)</w:t>
      </w:r>
      <w:r>
        <w:rPr>
          <w:snapToGrid w:val="0"/>
        </w:rPr>
        <w:tab/>
        <w:t>The holder of an exploration licence shall at such times and in such manner as may be prescribed, file or cause to be filed a report of all work done on, and money expended in connection with, exploration in the area the subject of the licence during the period to which the report relates.</w:t>
      </w:r>
    </w:p>
    <w:p>
      <w:pPr>
        <w:pStyle w:val="Subsection"/>
      </w:pPr>
      <w:r>
        <w:tab/>
        <w:t>(4)</w:t>
      </w:r>
      <w:r>
        <w:tab/>
        <w:t>Notwithstanding section 154(1), a holder of an exploration licence who fails to comply with subsection (1), (2) or (3) does not commit an offence against this Act.</w:t>
      </w:r>
    </w:p>
    <w:p>
      <w:pPr>
        <w:pStyle w:val="Footnotesection"/>
        <w:ind w:left="890" w:hanging="890"/>
      </w:pPr>
      <w:r>
        <w:tab/>
        <w:t>[Section 68 amended: No. 58 of 1994 s. 20; No. 39 of 2004 s. 17; No. 12 of 2010 s. 25.]</w:t>
      </w:r>
    </w:p>
    <w:p>
      <w:pPr>
        <w:pStyle w:val="Heading5"/>
        <w:keepLines w:val="0"/>
        <w:rPr>
          <w:snapToGrid w:val="0"/>
        </w:rPr>
      </w:pPr>
      <w:bookmarkStart w:id="109" w:name="_Toc202366112"/>
      <w:r>
        <w:rPr>
          <w:rStyle w:val="CharSectno"/>
        </w:rPr>
        <w:t>69</w:t>
      </w:r>
      <w:r>
        <w:rPr>
          <w:snapToGrid w:val="0"/>
        </w:rPr>
        <w:t>.</w:t>
      </w:r>
      <w:r>
        <w:rPr>
          <w:snapToGrid w:val="0"/>
        </w:rPr>
        <w:tab/>
        <w:t>Land the subject of exploration licence not to be again marked out for a certain period</w:t>
      </w:r>
      <w:bookmarkEnd w:id="109"/>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 or</w:t>
      </w:r>
    </w:p>
    <w:p>
      <w:pPr>
        <w:pStyle w:val="Indenta"/>
      </w:pPr>
      <w:r>
        <w:lastRenderedPageBreak/>
        <w:tab/>
        <w:t>(b)</w:t>
      </w:r>
      <w:r>
        <w:tab/>
        <w:t>by or on behalf of any person who had an interest in the exploration licence immediately prior to that date; or</w:t>
      </w:r>
    </w:p>
    <w:p>
      <w:pPr>
        <w:pStyle w:val="Indenta"/>
        <w:keepNext/>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keepNext/>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[Section 69 amended: No. 100 of 1985 s. 48; No. 22 of 1990 s. 21; No. 15 of 2002 s. 14; No. 39 of 2004 s. 18.]</w:t>
      </w:r>
    </w:p>
    <w:p>
      <w:pPr>
        <w:pStyle w:val="Heading5"/>
      </w:pPr>
      <w:bookmarkStart w:id="110" w:name="_Toc202366113"/>
      <w:r>
        <w:rPr>
          <w:rStyle w:val="CharSectno"/>
        </w:rPr>
        <w:t>69A</w:t>
      </w:r>
      <w:r>
        <w:t>.</w:t>
      </w:r>
      <w:r>
        <w:tab/>
        <w:t>Application for retention status</w:t>
      </w:r>
      <w:bookmarkEnd w:id="110"/>
    </w:p>
    <w:p>
      <w:pPr>
        <w:pStyle w:val="Subsection"/>
        <w:keepNext/>
        <w:keepLines/>
      </w:pPr>
      <w:r>
        <w:tab/>
        <w:t>(1)</w:t>
      </w:r>
      <w:r>
        <w:tab/>
        <w:t>In this section —</w:t>
      </w:r>
    </w:p>
    <w:p>
      <w:pPr>
        <w:pStyle w:val="Defstart"/>
      </w:pPr>
      <w:r>
        <w:rPr>
          <w:b/>
        </w:rPr>
        <w:tab/>
      </w:r>
      <w:r>
        <w:rPr>
          <w:rStyle w:val="CharDefText"/>
        </w:rPr>
        <w:t>exploration licence</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keepNext/>
      </w:pPr>
      <w:r>
        <w:tab/>
        <w:t>(5)</w:t>
      </w:r>
      <w:r>
        <w:tab/>
        <w:t xml:space="preserve">If the holder of an exploration licence transfers the licence after making an application under subsection (2) in respect of the </w:t>
      </w:r>
      <w:r>
        <w:lastRenderedPageBreak/>
        <w:t>licence, the application continues in the name of the transferee of the licence as if the transferee had made it.</w:t>
      </w:r>
    </w:p>
    <w:p>
      <w:pPr>
        <w:pStyle w:val="Footnotesection"/>
      </w:pPr>
      <w:r>
        <w:tab/>
        <w:t>[Section 69A inserted: No. 39 of 2004 s. 24.]</w:t>
      </w:r>
    </w:p>
    <w:p>
      <w:pPr>
        <w:pStyle w:val="Heading5"/>
      </w:pPr>
      <w:bookmarkStart w:id="111" w:name="_Toc202366114"/>
      <w:r>
        <w:rPr>
          <w:rStyle w:val="CharSectno"/>
        </w:rPr>
        <w:t>69B</w:t>
      </w:r>
      <w:r>
        <w:t>.</w:t>
      </w:r>
      <w:r>
        <w:tab/>
        <w:t>Approval of retention status</w:t>
      </w:r>
      <w:bookmarkEnd w:id="111"/>
    </w:p>
    <w:p>
      <w:pPr>
        <w:pStyle w:val="Subsection"/>
      </w:pPr>
      <w:r>
        <w:tab/>
        <w:t>(1)</w:t>
      </w:r>
      <w:r>
        <w:tab/>
        <w:t>The Minister may approve retention status for the whole or any part of the land the subject of an exploration licence if satisfied that —</w:t>
      </w:r>
    </w:p>
    <w:p>
      <w:pPr>
        <w:pStyle w:val="Indenta"/>
      </w:pPr>
      <w:r>
        <w:tab/>
        <w:t>(a)</w:t>
      </w:r>
      <w:r>
        <w:tab/>
        <w:t>there is an identified mineral resource located in, on or under that land; and</w:t>
      </w:r>
    </w:p>
    <w:p>
      <w:pPr>
        <w:pStyle w:val="Indenta"/>
        <w:keepNext/>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keepNext/>
      </w:pPr>
      <w:r>
        <w:tab/>
        <w:t>(4)</w:t>
      </w:r>
      <w:r>
        <w:tab/>
        <w:t>The area of land to which an approval applies —</w:t>
      </w:r>
    </w:p>
    <w:p>
      <w:pPr>
        <w:pStyle w:val="Indenta"/>
        <w:keepNext/>
      </w:pPr>
      <w:r>
        <w:tab/>
        <w:t>(a)</w:t>
      </w:r>
      <w:r>
        <w:tab/>
        <w:t>shall be a block or blocks; and</w:t>
      </w:r>
    </w:p>
    <w:p>
      <w:pPr>
        <w:pStyle w:val="Indenta"/>
      </w:pPr>
      <w:r>
        <w:tab/>
        <w:t>(b)</w:t>
      </w:r>
      <w:r>
        <w:tab/>
        <w:t>shall be an area that, in the opinion of the Minister, is sufficient to include —</w:t>
      </w:r>
    </w:p>
    <w:p>
      <w:pPr>
        <w:pStyle w:val="Indenti"/>
      </w:pPr>
      <w:r>
        <w:tab/>
        <w:t>(i)</w:t>
      </w:r>
      <w:r>
        <w:tab/>
        <w:t>the land in, on or under which the identified mineral resource is located; and</w:t>
      </w:r>
    </w:p>
    <w:p>
      <w:pPr>
        <w:pStyle w:val="Indenti"/>
      </w:pPr>
      <w:r>
        <w:lastRenderedPageBreak/>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No. 39 of 2004 s. 24.]</w:t>
      </w:r>
    </w:p>
    <w:p>
      <w:pPr>
        <w:pStyle w:val="Heading5"/>
        <w:spacing w:before="180"/>
      </w:pPr>
      <w:bookmarkStart w:id="112" w:name="_Toc202366115"/>
      <w:r>
        <w:rPr>
          <w:rStyle w:val="CharSectno"/>
        </w:rPr>
        <w:t>69C</w:t>
      </w:r>
      <w:r>
        <w:t>.</w:t>
      </w:r>
      <w:r>
        <w:tab/>
        <w:t>Consultation with other Ministers</w:t>
      </w:r>
      <w:bookmarkEnd w:id="112"/>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No. 39 of 2004 s. 24; amended: No. 19 of 2010 s. 51.]</w:t>
      </w:r>
    </w:p>
    <w:p>
      <w:pPr>
        <w:pStyle w:val="Heading5"/>
      </w:pPr>
      <w:bookmarkStart w:id="113" w:name="_Toc202366116"/>
      <w:r>
        <w:rPr>
          <w:rStyle w:val="CharSectno"/>
        </w:rPr>
        <w:lastRenderedPageBreak/>
        <w:t>69D</w:t>
      </w:r>
      <w:r>
        <w:t>.</w:t>
      </w:r>
      <w:r>
        <w:tab/>
        <w:t>Programme of work</w:t>
      </w:r>
      <w:bookmarkEnd w:id="113"/>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keepNext/>
      </w:pPr>
      <w:r>
        <w:tab/>
        <w:t>(4)</w:t>
      </w:r>
      <w:r>
        <w:tab/>
        <w:t>A condition imposed under subsection (1)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ind w:left="890" w:hanging="890"/>
      </w:pPr>
      <w:r>
        <w:tab/>
        <w:t>[Section 69D inserted: No. 39 of 2004 s. 24.]</w:t>
      </w:r>
    </w:p>
    <w:p>
      <w:pPr>
        <w:pStyle w:val="Heading5"/>
      </w:pPr>
      <w:bookmarkStart w:id="114" w:name="_Toc202366117"/>
      <w:r>
        <w:rPr>
          <w:rStyle w:val="CharSectno"/>
        </w:rPr>
        <w:t>69E</w:t>
      </w:r>
      <w:r>
        <w:t>.</w:t>
      </w:r>
      <w:r>
        <w:tab/>
        <w:t>Holder of exploration licence with retention status may be required to apply for mining lease</w:t>
      </w:r>
      <w:bookmarkEnd w:id="114"/>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keepNext/>
        <w:spacing w:before="200"/>
      </w:pPr>
      <w:r>
        <w:lastRenderedPageBreak/>
        <w:tab/>
        <w:t>(2)</w:t>
      </w:r>
      <w:r>
        <w:tab/>
        <w:t>Where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No. 39 of 2004 s. 24.]</w:t>
      </w:r>
    </w:p>
    <w:p>
      <w:pPr>
        <w:pStyle w:val="Heading5"/>
        <w:spacing w:before="260"/>
        <w:rPr>
          <w:snapToGrid w:val="0"/>
        </w:rPr>
      </w:pPr>
      <w:bookmarkStart w:id="115" w:name="_Toc202366118"/>
      <w:r>
        <w:rPr>
          <w:rStyle w:val="CharSectno"/>
        </w:rPr>
        <w:t>70</w:t>
      </w:r>
      <w:r>
        <w:rPr>
          <w:snapToGrid w:val="0"/>
        </w:rPr>
        <w:t>.</w:t>
      </w:r>
      <w:r>
        <w:rPr>
          <w:snapToGrid w:val="0"/>
        </w:rPr>
        <w:tab/>
        <w:t xml:space="preserve">Special prospecting licence on an </w:t>
      </w:r>
      <w:r>
        <w:t>exploration licence</w:t>
      </w:r>
      <w:bookmarkEnd w:id="115"/>
    </w:p>
    <w:p>
      <w:pPr>
        <w:pStyle w:val="Subsection"/>
        <w:rPr>
          <w:snapToGrid w:val="0"/>
        </w:rPr>
      </w:pPr>
      <w:r>
        <w:rPr>
          <w:snapToGrid w:val="0"/>
        </w:rPr>
        <w:tab/>
        <w:t>(1)</w:t>
      </w:r>
      <w:r>
        <w:rPr>
          <w:snapToGrid w:val="0"/>
        </w:rPr>
        <w:tab/>
        <w:t xml:space="preserve">Where any land is the subject of an exploration licence (in this section called </w:t>
      </w:r>
      <w:r>
        <w:t xml:space="preserve">the </w:t>
      </w:r>
      <w:r>
        <w:rPr>
          <w:rStyle w:val="CharDefText"/>
        </w:rPr>
        <w:t>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Lines/>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keepLines/>
      </w:pPr>
      <w:r>
        <w:lastRenderedPageBreak/>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pPr>
      <w:r>
        <w:tab/>
        <w:t>(4)</w:t>
      </w:r>
      <w:r>
        <w:tab/>
        <w:t xml:space="preserve">If the holder of the primary tenement lodges a notice of objection against the application for the special prospecting licence — </w:t>
      </w:r>
    </w:p>
    <w:p>
      <w:pPr>
        <w:pStyle w:val="Indenta"/>
      </w:pPr>
      <w:r>
        <w:tab/>
        <w:t>(a)</w:t>
      </w:r>
      <w:r>
        <w:tab/>
        <w:t xml:space="preserve">the notice of objection must be — </w:t>
      </w:r>
    </w:p>
    <w:p>
      <w:pPr>
        <w:pStyle w:val="Indenti"/>
      </w:pPr>
      <w:r>
        <w:tab/>
        <w:t>(i)</w:t>
      </w:r>
      <w:r>
        <w:tab/>
        <w:t>lodged within the prescribed time and in the prescribed manner; and</w:t>
      </w:r>
    </w:p>
    <w:p>
      <w:pPr>
        <w:pStyle w:val="Indenti"/>
      </w:pPr>
      <w:r>
        <w:tab/>
        <w:t>(ii)</w:t>
      </w:r>
      <w:r>
        <w:tab/>
        <w:t>accompanied by the prescribed fee;</w:t>
      </w:r>
    </w:p>
    <w:p>
      <w:pPr>
        <w:pStyle w:val="Indenta"/>
      </w:pPr>
      <w:r>
        <w:tab/>
      </w:r>
      <w:r>
        <w:tab/>
        <w:t>and</w:t>
      </w:r>
    </w:p>
    <w:p>
      <w:pPr>
        <w:pStyle w:val="Indenta"/>
      </w:pPr>
      <w:r>
        <w:tab/>
        <w:t>(b)</w:t>
      </w:r>
      <w:r>
        <w:tab/>
        <w:t>the warden must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 xml:space="preserve">A report prepared by the Director, Geological Survey for the purposes of </w:t>
      </w:r>
      <w:r>
        <w:t>subsection (4)(b)</w:t>
      </w:r>
      <w:r>
        <w:rPr>
          <w:snapToGrid w:val="0"/>
        </w:rPr>
        <w:t xml:space="preserve"> is to be based solely on </w:t>
      </w:r>
      <w:r>
        <w:rPr>
          <w:snapToGrid w:val="0"/>
        </w:rPr>
        <w:lastRenderedPageBreak/>
        <w:t>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ha of the primary tenement, the applicant shall, within the prescribed period and in the prescribed manner, lodge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to prospect only for gold; and</w:t>
      </w:r>
    </w:p>
    <w:p>
      <w:pPr>
        <w:pStyle w:val="Indenta"/>
        <w:rPr>
          <w:snapToGrid w:val="0"/>
        </w:rPr>
      </w:pPr>
      <w:r>
        <w:rPr>
          <w:snapToGrid w:val="0"/>
        </w:rPr>
        <w:lastRenderedPageBreak/>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8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lastRenderedPageBreak/>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ha of the primary tenement.</w:t>
      </w:r>
    </w:p>
    <w:p>
      <w:pPr>
        <w:pStyle w:val="Subsection"/>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 or such greater depth as the Minister approves with the prior written consent of the holder of the primary </w:t>
      </w:r>
      <w:r>
        <w:rPr>
          <w:snapToGrid w:val="0"/>
        </w:rPr>
        <w:lastRenderedPageBreak/>
        <w:t>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pPr>
      <w:r>
        <w:tab/>
        <w:t>(8aa)</w:t>
      </w:r>
      <w:r>
        <w:tab/>
      </w:r>
      <w:r>
        <w:rPr>
          <w:snapToGrid w:val="0"/>
        </w:rPr>
        <w:t>Sections</w:t>
      </w:r>
      <w:r>
        <w:t>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lastRenderedPageBreak/>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ind w:left="890" w:hanging="890"/>
      </w:pPr>
      <w:r>
        <w:tab/>
        <w:t>[Section 70 amended: No. 100 of 1985 s. 49; No. 22 of 1990 s. 22; No. 21 of 1993 s. 45; No. 37 of 1993 s. 9, 10(2) and 27; No. 73 of 1994 s. 4; No. 58 of 1994 s. 21; No. 52 of 1995 s. 27; No. 54 of 1996 s. 10 and 23; No. 10 of 2001 s. 133; No. 15 of 2002 s. 15; No. 39 of 2004 s. 9; No. 27 of 2005 s. 10; No. 12 of 2010 s. 26; No. 51 of 2012 s. 21; No. 39 of 2022 s. 10.]</w:t>
      </w:r>
    </w:p>
    <w:p>
      <w:pPr>
        <w:pStyle w:val="Heading3"/>
        <w:keepLines/>
      </w:pPr>
      <w:bookmarkStart w:id="116" w:name="_Toc202186663"/>
      <w:bookmarkStart w:id="117" w:name="_Toc202366119"/>
      <w:r>
        <w:rPr>
          <w:rStyle w:val="CharDivNo"/>
        </w:rPr>
        <w:lastRenderedPageBreak/>
        <w:t>Division 2A</w:t>
      </w:r>
      <w:r>
        <w:rPr>
          <w:snapToGrid w:val="0"/>
        </w:rPr>
        <w:t> — </w:t>
      </w:r>
      <w:r>
        <w:rPr>
          <w:rStyle w:val="CharDivText"/>
        </w:rPr>
        <w:t>Retention licence</w:t>
      </w:r>
      <w:bookmarkEnd w:id="116"/>
      <w:bookmarkEnd w:id="117"/>
    </w:p>
    <w:p>
      <w:pPr>
        <w:pStyle w:val="Footnoteheading"/>
        <w:keepNext/>
        <w:keepLines/>
        <w:rPr>
          <w:snapToGrid w:val="0"/>
        </w:rPr>
      </w:pPr>
      <w:r>
        <w:rPr>
          <w:snapToGrid w:val="0"/>
        </w:rPr>
        <w:tab/>
        <w:t>[Heading inserted: No. 37 of 1993 s. 10(1).]</w:t>
      </w:r>
    </w:p>
    <w:p>
      <w:pPr>
        <w:pStyle w:val="Heading5"/>
        <w:spacing w:before="180"/>
      </w:pPr>
      <w:bookmarkStart w:id="118" w:name="_Toc202366120"/>
      <w:r>
        <w:rPr>
          <w:rStyle w:val="CharSectno"/>
        </w:rPr>
        <w:t>70A</w:t>
      </w:r>
      <w:r>
        <w:t>.</w:t>
      </w:r>
      <w:r>
        <w:tab/>
        <w:t>Term used: primary tenement</w:t>
      </w:r>
      <w:bookmarkEnd w:id="118"/>
    </w:p>
    <w:p>
      <w:pPr>
        <w:pStyle w:val="Subsection"/>
        <w:spacing w:before="120"/>
      </w:pPr>
      <w:r>
        <w:tab/>
      </w:r>
      <w:r>
        <w:tab/>
        <w:t>In this Division —</w:t>
      </w:r>
    </w:p>
    <w:p>
      <w:pPr>
        <w:pStyle w:val="Defstart"/>
      </w:pPr>
      <w:r>
        <w:rPr>
          <w:b/>
        </w:rPr>
        <w:tab/>
      </w:r>
      <w:r>
        <w:rPr>
          <w:rStyle w:val="CharDefText"/>
        </w:rPr>
        <w:t>primary tenement</w:t>
      </w:r>
      <w:r>
        <w:t xml:space="preserve"> means —</w:t>
      </w:r>
    </w:p>
    <w:p>
      <w:pPr>
        <w:pStyle w:val="Defpara"/>
      </w:pPr>
      <w:r>
        <w:tab/>
        <w:t>(a)</w:t>
      </w:r>
      <w:r>
        <w:tab/>
        <w:t>a prospecting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(b)</w:t>
      </w:r>
      <w:r>
        <w:tab/>
        <w:t>an exploration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No. 39 of 2004 s. 25.]</w:t>
      </w:r>
    </w:p>
    <w:p>
      <w:pPr>
        <w:pStyle w:val="Heading5"/>
        <w:spacing w:before="180"/>
        <w:rPr>
          <w:snapToGrid w:val="0"/>
        </w:rPr>
      </w:pPr>
      <w:bookmarkStart w:id="119" w:name="_Toc202366121"/>
      <w:r>
        <w:rPr>
          <w:rStyle w:val="CharSectno"/>
        </w:rPr>
        <w:t>70B</w:t>
      </w:r>
      <w:r>
        <w:rPr>
          <w:snapToGrid w:val="0"/>
        </w:rPr>
        <w:t>.</w:t>
      </w:r>
      <w:r>
        <w:rPr>
          <w:snapToGrid w:val="0"/>
        </w:rPr>
        <w:tab/>
        <w:t>Grant of retention licence</w:t>
      </w:r>
      <w:bookmarkEnd w:id="119"/>
    </w:p>
    <w:p>
      <w:pPr>
        <w:pStyle w:val="Subsection"/>
        <w:spacing w:before="120"/>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spacing w:before="120"/>
        <w:rPr>
          <w:snapToGrid w:val="0"/>
        </w:rPr>
      </w:pPr>
      <w:r>
        <w:rPr>
          <w:snapToGrid w:val="0"/>
        </w:rPr>
        <w:lastRenderedPageBreak/>
        <w:tab/>
        <w:t>(2)</w:t>
      </w:r>
      <w:r>
        <w:rPr>
          <w:snapToGrid w:val="0"/>
        </w:rPr>
        <w:tab/>
        <w:t>The holder of a primary tenement may be granted more than one retention licence.</w:t>
      </w:r>
    </w:p>
    <w:p>
      <w:pPr>
        <w:pStyle w:val="Subsection"/>
        <w:keepNext/>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keepNext/>
        <w:rPr>
          <w:snapToGrid w:val="0"/>
        </w:rPr>
      </w:pPr>
      <w:r>
        <w:rPr>
          <w:snapToGrid w:val="0"/>
        </w:rPr>
        <w:tab/>
        <w:t>(4)</w:t>
      </w:r>
      <w:r>
        <w:rPr>
          <w:snapToGrid w:val="0"/>
        </w:rPr>
        <w:tab/>
        <w:t>The land in respect of which a retention licence is granted —</w:t>
      </w:r>
    </w:p>
    <w:p>
      <w:pPr>
        <w:pStyle w:val="Indenta"/>
        <w:keepNext/>
        <w:rPr>
          <w:snapToGrid w:val="0"/>
        </w:rPr>
      </w:pPr>
      <w:r>
        <w:rPr>
          <w:snapToGrid w:val="0"/>
        </w:rPr>
        <w:tab/>
        <w:t>(a)</w:t>
      </w:r>
      <w:r>
        <w:rPr>
          <w:snapToGrid w:val="0"/>
        </w:rPr>
        <w:tab/>
        <w:t>shall be of an area that, in the opinion of the Minister, is sufficient to include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[Section 70B inserted: No. 37 of 1993 s. 10(1); amended: No. 58 of 1994 s. 24(2).]</w:t>
      </w:r>
    </w:p>
    <w:p>
      <w:pPr>
        <w:pStyle w:val="Heading5"/>
        <w:keepNext w:val="0"/>
        <w:keepLines w:val="0"/>
        <w:rPr>
          <w:snapToGrid w:val="0"/>
        </w:rPr>
      </w:pPr>
      <w:bookmarkStart w:id="120" w:name="_Toc202366122"/>
      <w:r>
        <w:rPr>
          <w:rStyle w:val="CharSectno"/>
        </w:rPr>
        <w:t>70C</w:t>
      </w:r>
      <w:r>
        <w:rPr>
          <w:snapToGrid w:val="0"/>
        </w:rPr>
        <w:t>.</w:t>
      </w:r>
      <w:r>
        <w:rPr>
          <w:snapToGrid w:val="0"/>
        </w:rPr>
        <w:tab/>
        <w:t>Application for retention licence</w:t>
      </w:r>
      <w:bookmarkEnd w:id="120"/>
    </w:p>
    <w:p>
      <w:pPr>
        <w:pStyle w:val="Subsection"/>
        <w:rPr>
          <w:snapToGrid w:val="0"/>
        </w:rPr>
      </w:pPr>
      <w:r>
        <w:rPr>
          <w:snapToGrid w:val="0"/>
        </w:rPr>
        <w:tab/>
        <w:t>(1)</w:t>
      </w:r>
      <w:r>
        <w:rPr>
          <w:snapToGrid w:val="0"/>
        </w:rPr>
        <w:tab/>
        <w:t>An application for a retention licence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rPr>
          <w:snapToGrid w:val="0"/>
        </w:rPr>
      </w:pPr>
      <w:r>
        <w:rPr>
          <w:snapToGrid w:val="0"/>
        </w:rPr>
        <w:tab/>
        <w:t>(d)</w:t>
      </w:r>
      <w:r>
        <w:rPr>
          <w:snapToGrid w:val="0"/>
        </w:rPr>
        <w:tab/>
        <w:t>shall be lodged</w:t>
      </w:r>
      <w:r>
        <w:t xml:space="preserve"> in the prescribed manner; and</w:t>
      </w:r>
    </w:p>
    <w:p>
      <w:pPr>
        <w:pStyle w:val="Indenta"/>
        <w:keepNext/>
        <w:rPr>
          <w:snapToGrid w:val="0"/>
        </w:rPr>
      </w:pPr>
      <w:r>
        <w:rPr>
          <w:snapToGrid w:val="0"/>
        </w:rPr>
        <w:lastRenderedPageBreak/>
        <w:tab/>
        <w:t>(e)</w:t>
      </w:r>
      <w:r>
        <w:rPr>
          <w:snapToGrid w:val="0"/>
        </w:rPr>
        <w:tab/>
        <w:t>shall be accompanied by a statement specifying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w:t>
      </w:r>
      <w:r>
        <w:t xml:space="preserve"> work.</w:t>
      </w:r>
      <w:r>
        <w:rPr>
          <w:snapToGrid w:val="0"/>
        </w:rPr>
        <w:tab/>
      </w:r>
    </w:p>
    <w:p>
      <w:pPr>
        <w:pStyle w:val="Subsection"/>
      </w:pPr>
      <w:r>
        <w:tab/>
        <w:t>(2A)</w:t>
      </w:r>
      <w:r>
        <w:tab/>
        <w:t>An applicant is to lodge within the prescribed time and in the prescribed manner a statutory declaration made by the applicant to the effect that —</w:t>
      </w:r>
    </w:p>
    <w:p>
      <w:pPr>
        <w:pStyle w:val="Indenta"/>
      </w:pPr>
      <w:r>
        <w:tab/>
        <w:t>(a)</w:t>
      </w:r>
      <w:r>
        <w:tab/>
        <w:t>there is an identified mineral resource in the area in respect of which the licence is sought; and</w:t>
      </w:r>
    </w:p>
    <w:p>
      <w:pPr>
        <w:pStyle w:val="Indenta"/>
      </w:pPr>
      <w:r>
        <w:tab/>
        <w:t>(b)</w:t>
      </w:r>
      <w:r>
        <w:tab/>
        <w:t>mining of that identified mineral resource is for the time being impracticable for one or more of the reasons referred to in subsection (2) (that reason or those reasons being set out in the statutory declaration).</w:t>
      </w:r>
    </w:p>
    <w:p>
      <w:pPr>
        <w:pStyle w:val="Subsection"/>
        <w:rPr>
          <w:snapToGrid w:val="0"/>
        </w:rPr>
      </w:pPr>
      <w:r>
        <w:rPr>
          <w:snapToGrid w:val="0"/>
        </w:rPr>
        <w:tab/>
        <w:t>(2)</w:t>
      </w:r>
      <w:r>
        <w:rPr>
          <w:snapToGrid w:val="0"/>
        </w:rPr>
        <w:tab/>
        <w:t>For the purposes of subsection (</w:t>
      </w:r>
      <w:r>
        <w:t>2A)(b)</w:t>
      </w:r>
      <w:r>
        <w:rPr>
          <w:snapToGrid w:val="0"/>
        </w:rPr>
        <w:t xml:space="preserve"> mining of an identified mineral resource may be impracticable because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 or</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120"/>
        <w:rPr>
          <w:snapToGrid w:val="0"/>
        </w:rPr>
      </w:pPr>
      <w:r>
        <w:rPr>
          <w:snapToGrid w:val="0"/>
        </w:rPr>
        <w:tab/>
        <w:t>(3)</w:t>
      </w:r>
      <w:r>
        <w:rPr>
          <w:snapToGrid w:val="0"/>
        </w:rPr>
        <w:tab/>
        <w:t xml:space="preserve">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w:t>
      </w:r>
      <w:r>
        <w:rPr>
          <w:snapToGrid w:val="0"/>
        </w:rPr>
        <w:lastRenderedPageBreak/>
        <w:t>the applicant may have carried out on the land the subject of the application.</w:t>
      </w:r>
    </w:p>
    <w:p>
      <w:pPr>
        <w:pStyle w:val="Subsection"/>
        <w:keepLines/>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spacing w:before="120"/>
        <w:rPr>
          <w:snapToGrid w:val="0"/>
        </w:rPr>
      </w:pPr>
      <w:r>
        <w:rPr>
          <w:snapToGrid w:val="0"/>
        </w:rPr>
        <w:tab/>
        <w:t>(7)</w:t>
      </w:r>
      <w:r>
        <w:rPr>
          <w:snapToGrid w:val="0"/>
        </w:rPr>
        <w:tab/>
        <w:t>If, after an application is made under subsection (1) in respect of land the subject of a primary tenement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spacing w:before="120"/>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keepNext/>
        <w:spacing w:before="120"/>
        <w:rPr>
          <w:snapToGrid w:val="0"/>
        </w:rPr>
      </w:pPr>
      <w:r>
        <w:rPr>
          <w:snapToGrid w:val="0"/>
        </w:rPr>
        <w:tab/>
        <w:t>(8)</w:t>
      </w:r>
      <w:r>
        <w:rPr>
          <w:snapToGrid w:val="0"/>
        </w:rPr>
        <w:tab/>
        <w:t xml:space="preserve">For the purposes of subsection (7), where there are 2 or more transferees of the primary tenement, each of the transferees is to be regarded as an applicant for an interest in the relevant </w:t>
      </w:r>
      <w:r>
        <w:rPr>
          <w:snapToGrid w:val="0"/>
        </w:rPr>
        <w:lastRenderedPageBreak/>
        <w:t>retention licence that corresponds to the interest held by that transferee in the primary tenement.</w:t>
      </w:r>
    </w:p>
    <w:p>
      <w:pPr>
        <w:pStyle w:val="Footnotesection"/>
        <w:keepLines w:val="0"/>
        <w:spacing w:before="80"/>
        <w:ind w:left="890" w:hanging="890"/>
      </w:pPr>
      <w:r>
        <w:tab/>
        <w:t>[Section 70C inserted: No. 37 of 1993 s. 10(1); amended: No. 58 of 1994 s. 23; No. 17 of 1999 s. 10; No. 12 of 2010 s. 27.]</w:t>
      </w:r>
    </w:p>
    <w:p>
      <w:pPr>
        <w:pStyle w:val="Heading5"/>
        <w:rPr>
          <w:snapToGrid w:val="0"/>
        </w:rPr>
      </w:pPr>
      <w:bookmarkStart w:id="121" w:name="_Toc202366123"/>
      <w:r>
        <w:rPr>
          <w:rStyle w:val="CharSectno"/>
        </w:rPr>
        <w:t>70D</w:t>
      </w:r>
      <w:r>
        <w:rPr>
          <w:snapToGrid w:val="0"/>
        </w:rPr>
        <w:t>.</w:t>
      </w:r>
      <w:r>
        <w:rPr>
          <w:snapToGrid w:val="0"/>
        </w:rPr>
        <w:tab/>
        <w:t>Determination of application for retention licence</w:t>
      </w:r>
      <w:bookmarkEnd w:id="121"/>
    </w:p>
    <w:p>
      <w:pPr>
        <w:pStyle w:val="Subsection"/>
        <w:rPr>
          <w:snapToGrid w:val="0"/>
        </w:rPr>
      </w:pPr>
      <w:r>
        <w:rPr>
          <w:snapToGrid w:val="0"/>
        </w:rPr>
        <w:tab/>
        <w:t>(1)</w:t>
      </w:r>
      <w:r>
        <w:rPr>
          <w:snapToGrid w:val="0"/>
        </w:rPr>
        <w:tab/>
        <w:t>A person who wishes to object to the granting of an application for a retention licence must lodge a notice of objection.</w:t>
      </w:r>
    </w:p>
    <w:p>
      <w:pPr>
        <w:pStyle w:val="Subsection"/>
      </w:pPr>
      <w:r>
        <w:tab/>
        <w:t>(1A)</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pPr>
      <w:r>
        <w:tab/>
        <w:t>(1B)</w:t>
      </w:r>
      <w:r>
        <w:tab/>
        <w:t>A person is not entitled to lodge a notice of objection if the basis for the objection is that the retention licence, or activities authorised by it, would affect an offsets project.</w:t>
      </w:r>
    </w:p>
    <w:p>
      <w:pPr>
        <w:pStyle w:val="Subsection"/>
      </w:pPr>
      <w:r>
        <w:tab/>
        <w:t>(1C)</w:t>
      </w:r>
      <w:r>
        <w:tab/>
        <w:t>Subsection (1B) does not apply in respect of an offsets project, or any part of an offsets project, situated on land held in freehold.</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keepNext/>
        <w:rPr>
          <w:snapToGrid w:val="0"/>
        </w:rPr>
      </w:pPr>
      <w:r>
        <w:rPr>
          <w:snapToGrid w:val="0"/>
        </w:rPr>
        <w:lastRenderedPageBreak/>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keepLines/>
        <w:spacing w:before="80"/>
        <w:rPr>
          <w:snapToGrid w:val="0"/>
        </w:rPr>
      </w:pPr>
      <w:r>
        <w:rPr>
          <w:snapToGrid w:val="0"/>
        </w:rPr>
        <w:tab/>
      </w:r>
      <w:r>
        <w:rPr>
          <w:snapToGrid w:val="0"/>
        </w:rPr>
        <w:tab/>
      </w:r>
      <w:r>
        <w:t xml:space="preserve">and the notice of objection is not withdrawn, </w:t>
      </w:r>
      <w:r>
        <w:rPr>
          <w:snapToGrid w:val="0"/>
        </w:rPr>
        <w:t>the warden shall hear the application for the retention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lastRenderedPageBreak/>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keepLines/>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tab/>
        <w:t>[Section 70D inserted: No. 58 of 1994 s. 24(1); amended: No. 39 of 2004 s. 61; No. 12 of 2010 s. 28; No. 39 of 2022 s. 11; No. 27 of 2023 s. 7.]</w:t>
      </w:r>
    </w:p>
    <w:p>
      <w:pPr>
        <w:pStyle w:val="Heading5"/>
        <w:rPr>
          <w:snapToGrid w:val="0"/>
        </w:rPr>
      </w:pPr>
      <w:bookmarkStart w:id="122" w:name="_Toc202366124"/>
      <w:r>
        <w:rPr>
          <w:rStyle w:val="CharSectno"/>
        </w:rPr>
        <w:t>70E</w:t>
      </w:r>
      <w:r>
        <w:rPr>
          <w:snapToGrid w:val="0"/>
        </w:rPr>
        <w:t>.</w:t>
      </w:r>
      <w:r>
        <w:rPr>
          <w:snapToGrid w:val="0"/>
        </w:rPr>
        <w:tab/>
        <w:t>Term of retention licence and renewal</w:t>
      </w:r>
      <w:bookmarkEnd w:id="122"/>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[Section 70E inserted: No. 37 of 1993 s. 10(1); amended: No. 17 of 1999 s. 11.]</w:t>
      </w:r>
    </w:p>
    <w:p>
      <w:pPr>
        <w:pStyle w:val="Heading5"/>
      </w:pPr>
      <w:bookmarkStart w:id="123" w:name="_Toc202366125"/>
      <w:r>
        <w:rPr>
          <w:rStyle w:val="CharSectno"/>
        </w:rPr>
        <w:lastRenderedPageBreak/>
        <w:t>70F</w:t>
      </w:r>
      <w:r>
        <w:t>.</w:t>
      </w:r>
      <w:r>
        <w:tab/>
        <w:t>Security relating to retention licence</w:t>
      </w:r>
      <w:bookmarkEnd w:id="123"/>
    </w:p>
    <w:p>
      <w:pPr>
        <w:pStyle w:val="Subsection"/>
        <w:keepNext/>
      </w:pPr>
      <w:r>
        <w:tab/>
        <w:t>(1)</w:t>
      </w:r>
      <w:r>
        <w:tab/>
        <w:t>The applicant for a retention licence shall lodge, in the prescribed manner and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The Minister may require the holder of a retention licence to lodge, in the prescribed manner and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No. 39 of 2004 s. 36(1); amended: No. 12 of 2010 s. 29.]</w:t>
      </w:r>
    </w:p>
    <w:p>
      <w:pPr>
        <w:pStyle w:val="Heading5"/>
        <w:rPr>
          <w:snapToGrid w:val="0"/>
        </w:rPr>
      </w:pPr>
      <w:bookmarkStart w:id="124" w:name="_Toc202366126"/>
      <w:r>
        <w:rPr>
          <w:rStyle w:val="CharSectno"/>
        </w:rPr>
        <w:t>70G</w:t>
      </w:r>
      <w:r>
        <w:rPr>
          <w:snapToGrid w:val="0"/>
        </w:rPr>
        <w:t>.</w:t>
      </w:r>
      <w:r>
        <w:rPr>
          <w:snapToGrid w:val="0"/>
        </w:rPr>
        <w:tab/>
        <w:t>Survey of area of retention licence not required in first instance</w:t>
      </w:r>
      <w:bookmarkEnd w:id="124"/>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pPr>
        <w:pStyle w:val="Subsection"/>
      </w:pPr>
      <w:r>
        <w:lastRenderedPageBreak/>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ind w:left="890" w:hanging="890"/>
      </w:pPr>
      <w:r>
        <w:tab/>
        <w:t>[Section 70G inserted: No. 37 of 1993 s. 10(1); amended: No. 39 of 2004 s. 62.]</w:t>
      </w:r>
    </w:p>
    <w:p>
      <w:pPr>
        <w:pStyle w:val="Heading5"/>
        <w:rPr>
          <w:snapToGrid w:val="0"/>
        </w:rPr>
      </w:pPr>
      <w:bookmarkStart w:id="125" w:name="_Toc202366127"/>
      <w:r>
        <w:rPr>
          <w:rStyle w:val="CharSectno"/>
        </w:rPr>
        <w:t>70H</w:t>
      </w:r>
      <w:r>
        <w:rPr>
          <w:snapToGrid w:val="0"/>
        </w:rPr>
        <w:t>.</w:t>
      </w:r>
      <w:r>
        <w:rPr>
          <w:snapToGrid w:val="0"/>
        </w:rPr>
        <w:tab/>
        <w:t>Conditions attached to retention licence</w:t>
      </w:r>
      <w:bookmarkEnd w:id="125"/>
    </w:p>
    <w:p>
      <w:pPr>
        <w:pStyle w:val="Subsection"/>
        <w:keepNext/>
        <w:rPr>
          <w:snapToGrid w:val="0"/>
        </w:rPr>
      </w:pPr>
      <w:r>
        <w:rPr>
          <w:snapToGrid w:val="0"/>
        </w:rPr>
        <w:tab/>
        <w:t>(1)</w:t>
      </w:r>
      <w:r>
        <w:rPr>
          <w:snapToGrid w:val="0"/>
        </w:rPr>
        <w:tab/>
        <w:t>Every retention licence shall be deemed to be granted subject to the conditions that the holder of the licence shall —</w:t>
      </w:r>
    </w:p>
    <w:p>
      <w:pPr>
        <w:pStyle w:val="Indenta"/>
      </w:pPr>
      <w:r>
        <w:tab/>
        <w:t>(aa)</w:t>
      </w:r>
      <w:r>
        <w:tab/>
        <w:t>not use ground disturbing equipment when exploring for minerals on the land the subject of the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w:t>
      </w:r>
    </w:p>
    <w:p>
      <w:pPr>
        <w:pStyle w:val="Indenti"/>
        <w:rPr>
          <w:snapToGrid w:val="0"/>
        </w:rPr>
      </w:pPr>
      <w:r>
        <w:rPr>
          <w:snapToGrid w:val="0"/>
        </w:rPr>
        <w:tab/>
        <w:t>(i)</w:t>
      </w:r>
      <w:r>
        <w:rPr>
          <w:snapToGrid w:val="0"/>
        </w:rPr>
        <w:tab/>
        <w:t>made while exploring for minerals; and</w:t>
      </w:r>
    </w:p>
    <w:p>
      <w:pPr>
        <w:pStyle w:val="Indenti"/>
        <w:keepNext/>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Ednotepara"/>
        <w:spacing w:before="80"/>
        <w:ind w:left="1610" w:hanging="1610"/>
        <w:rPr>
          <w:snapToGrid w:val="0"/>
        </w:rPr>
      </w:pPr>
      <w:r>
        <w:rPr>
          <w:snapToGrid w:val="0"/>
        </w:rPr>
        <w:lastRenderedPageBreak/>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 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 and</w:t>
      </w:r>
    </w:p>
    <w:p>
      <w:pPr>
        <w:pStyle w:val="Indenta"/>
        <w:rPr>
          <w:snapToGrid w:val="0"/>
        </w:rPr>
      </w:pPr>
      <w:r>
        <w:rPr>
          <w:snapToGrid w:val="0"/>
        </w:rPr>
        <w:tab/>
        <w:t>(f)</w:t>
      </w:r>
      <w:r>
        <w:rPr>
          <w:snapToGrid w:val="0"/>
        </w:rPr>
        <w:tab/>
      </w:r>
      <w:r>
        <w:t xml:space="preserve">lodge, in the prescribed manner, </w:t>
      </w:r>
      <w:r>
        <w:rPr>
          <w:snapToGrid w:val="0"/>
        </w:rPr>
        <w:t>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expenditure conditions referred to in subsection (1)(d).</w:t>
      </w:r>
    </w:p>
    <w:p>
      <w:pPr>
        <w:pStyle w:val="Footnotesection"/>
        <w:ind w:left="890" w:hanging="890"/>
      </w:pPr>
      <w:r>
        <w:tab/>
        <w:t>[Section 70H inserted: No. 37 of 1993 s. 10(1); amended: No. 54 of 1996 s. 11; No. 17 of 1999 s. 12(2) and (3); No. 39 of 2004 s. 44 and 90(1); No. 12 of 2010 s. 30; No. 51 of 2012 s. 22.]</w:t>
      </w:r>
    </w:p>
    <w:p>
      <w:pPr>
        <w:pStyle w:val="Heading5"/>
        <w:rPr>
          <w:snapToGrid w:val="0"/>
        </w:rPr>
      </w:pPr>
      <w:bookmarkStart w:id="126" w:name="_Toc202366128"/>
      <w:r>
        <w:rPr>
          <w:rStyle w:val="CharSectno"/>
        </w:rPr>
        <w:t>70I</w:t>
      </w:r>
      <w:r>
        <w:rPr>
          <w:snapToGrid w:val="0"/>
        </w:rPr>
        <w:t>.</w:t>
      </w:r>
      <w:r>
        <w:rPr>
          <w:snapToGrid w:val="0"/>
        </w:rPr>
        <w:tab/>
        <w:t>Conditions for prevention or reduction of injury to land</w:t>
      </w:r>
      <w:bookmarkEnd w:id="126"/>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keepNext/>
        <w:rPr>
          <w:snapToGrid w:val="0"/>
        </w:rPr>
      </w:pPr>
      <w:r>
        <w:rPr>
          <w:snapToGrid w:val="0"/>
        </w:rPr>
        <w:lastRenderedPageBreak/>
        <w:tab/>
        <w:t>(3)</w:t>
      </w:r>
      <w:r>
        <w:rPr>
          <w:snapToGrid w:val="0"/>
        </w:rPr>
        <w:tab/>
        <w:t>A condition imposed under this section —</w:t>
      </w:r>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tab/>
        <w:t>[Section 70I inserted: No. 37 of 1993 s. 10(1); amended: No. 12 of 2010 s. 7.]</w:t>
      </w:r>
    </w:p>
    <w:p>
      <w:pPr>
        <w:pStyle w:val="Heading5"/>
        <w:rPr>
          <w:snapToGrid w:val="0"/>
        </w:rPr>
      </w:pPr>
      <w:bookmarkStart w:id="127" w:name="_Toc202366129"/>
      <w:r>
        <w:rPr>
          <w:rStyle w:val="CharSectno"/>
        </w:rPr>
        <w:t>70IA</w:t>
      </w:r>
      <w:r>
        <w:rPr>
          <w:snapToGrid w:val="0"/>
        </w:rPr>
        <w:t>.</w:t>
      </w:r>
      <w:r>
        <w:rPr>
          <w:snapToGrid w:val="0"/>
        </w:rPr>
        <w:tab/>
        <w:t>Programme of work</w:t>
      </w:r>
      <w:bookmarkEnd w:id="127"/>
    </w:p>
    <w:p>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keepNext/>
        <w:rPr>
          <w:snapToGrid w:val="0"/>
        </w:rPr>
      </w:pPr>
      <w:r>
        <w:rPr>
          <w:snapToGrid w:val="0"/>
        </w:rPr>
        <w:tab/>
        <w:t>(4)</w:t>
      </w:r>
      <w:r>
        <w:rPr>
          <w:snapToGrid w:val="0"/>
        </w:rPr>
        <w:tab/>
        <w:t>In subsection (1) —</w:t>
      </w:r>
    </w:p>
    <w:p>
      <w:pPr>
        <w:pStyle w:val="Defstart"/>
      </w:pPr>
      <w:r>
        <w:tab/>
      </w:r>
      <w:r>
        <w:rPr>
          <w:rStyle w:val="CharDefText"/>
        </w:rPr>
        <w:t>specified</w:t>
      </w:r>
      <w:r>
        <w:t xml:space="preserve"> means specified in writing by the Minister.</w:t>
      </w:r>
    </w:p>
    <w:p>
      <w:pPr>
        <w:pStyle w:val="Footnotesection"/>
        <w:ind w:left="890" w:hanging="890"/>
      </w:pPr>
      <w:r>
        <w:tab/>
        <w:t>[Section 70IA inserted: No. 17 of 1999 s. 12(1).]</w:t>
      </w:r>
    </w:p>
    <w:p>
      <w:pPr>
        <w:pStyle w:val="Heading5"/>
        <w:rPr>
          <w:snapToGrid w:val="0"/>
        </w:rPr>
      </w:pPr>
      <w:bookmarkStart w:id="128" w:name="_Toc202366130"/>
      <w:r>
        <w:rPr>
          <w:rStyle w:val="CharSectno"/>
        </w:rPr>
        <w:lastRenderedPageBreak/>
        <w:t>70J</w:t>
      </w:r>
      <w:r>
        <w:rPr>
          <w:snapToGrid w:val="0"/>
        </w:rPr>
        <w:t>.</w:t>
      </w:r>
      <w:r>
        <w:rPr>
          <w:snapToGrid w:val="0"/>
        </w:rPr>
        <w:tab/>
        <w:t>Rights conferred by retention licence</w:t>
      </w:r>
      <w:bookmarkEnd w:id="128"/>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keepNext/>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xml:space="preserve">,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w:t>
      </w:r>
      <w:r>
        <w:rPr>
          <w:snapToGrid w:val="0"/>
        </w:rPr>
        <w:lastRenderedPageBreak/>
        <w:t>domestic purposes and for any purpose in connection with exploring for minerals on the land.</w:t>
      </w:r>
    </w:p>
    <w:p>
      <w:pPr>
        <w:pStyle w:val="Footnotesection"/>
        <w:ind w:left="890" w:hanging="890"/>
      </w:pPr>
      <w:r>
        <w:tab/>
        <w:t>[Section 70J inserted: No. 37 of 1993 s. 10(1); amended: No. 5 of 1997 s. 41(2).]</w:t>
      </w:r>
    </w:p>
    <w:p>
      <w:pPr>
        <w:pStyle w:val="Heading5"/>
        <w:spacing w:before="260"/>
        <w:rPr>
          <w:snapToGrid w:val="0"/>
        </w:rPr>
      </w:pPr>
      <w:bookmarkStart w:id="129" w:name="_Toc202366131"/>
      <w:r>
        <w:rPr>
          <w:rStyle w:val="CharSectno"/>
        </w:rPr>
        <w:t>70K</w:t>
      </w:r>
      <w:r>
        <w:rPr>
          <w:snapToGrid w:val="0"/>
        </w:rPr>
        <w:t>.</w:t>
      </w:r>
      <w:r>
        <w:rPr>
          <w:snapToGrid w:val="0"/>
        </w:rPr>
        <w:tab/>
        <w:t>When retention licence liable to forfeiture</w:t>
      </w:r>
      <w:bookmarkEnd w:id="129"/>
    </w:p>
    <w:p>
      <w:pPr>
        <w:pStyle w:val="Subsection"/>
        <w:spacing w:before="200"/>
        <w:rPr>
          <w:snapToGrid w:val="0"/>
        </w:rPr>
      </w:pPr>
      <w:r>
        <w:rPr>
          <w:snapToGrid w:val="0"/>
        </w:rPr>
        <w:tab/>
      </w:r>
      <w:r>
        <w:rPr>
          <w:snapToGrid w:val="0"/>
        </w:rPr>
        <w:tab/>
        <w:t>A retention licence is liable to forfeiture if —</w:t>
      </w:r>
    </w:p>
    <w:p>
      <w:pPr>
        <w:pStyle w:val="Indenta"/>
        <w:rPr>
          <w:snapToGrid w:val="0"/>
        </w:rPr>
      </w:pPr>
      <w:r>
        <w:rPr>
          <w:snapToGrid w:val="0"/>
        </w:rPr>
        <w:tab/>
        <w:t>(a)</w:t>
      </w:r>
      <w:r>
        <w:rPr>
          <w:snapToGrid w:val="0"/>
        </w:rPr>
        <w:tab/>
        <w:t>the prescribed rent or royalty in respect of the licence is not paid in accordance with this Act; or</w:t>
      </w:r>
    </w:p>
    <w:p>
      <w:pPr>
        <w:pStyle w:val="Indenta"/>
        <w:keepNext/>
        <w:rPr>
          <w:snapToGrid w:val="0"/>
        </w:rPr>
      </w:pPr>
      <w:r>
        <w:rPr>
          <w:snapToGrid w:val="0"/>
        </w:rPr>
        <w:tab/>
        <w:t>(b)</w:t>
      </w:r>
      <w:r>
        <w:rPr>
          <w:snapToGrid w:val="0"/>
        </w:rPr>
        <w:tab/>
        <w:t>the terms and conditions of the licence, including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 or</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 or</w:t>
      </w:r>
    </w:p>
    <w:p>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 or</w:t>
      </w:r>
    </w:p>
    <w:p>
      <w:pPr>
        <w:pStyle w:val="Indenta"/>
        <w:rPr>
          <w:snapToGrid w:val="0"/>
        </w:rPr>
      </w:pPr>
      <w:r>
        <w:rPr>
          <w:snapToGrid w:val="0"/>
        </w:rPr>
        <w:tab/>
        <w:t>(c)</w:t>
      </w:r>
      <w:r>
        <w:rPr>
          <w:snapToGrid w:val="0"/>
        </w:rPr>
        <w:tab/>
        <w:t>the holder of the licence is convicted of an offence against this Act; or</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[Section 70K inserted: No. 37 of 1993 s. 10(1); amended: No. 58 of 1994 s. 26; No. 17 of 1999 s. 12(4); No. 39 of 2004 s. 37 and 97(2).]</w:t>
      </w:r>
    </w:p>
    <w:p>
      <w:pPr>
        <w:pStyle w:val="Heading5"/>
        <w:keepNext w:val="0"/>
        <w:spacing w:before="260"/>
        <w:rPr>
          <w:snapToGrid w:val="0"/>
        </w:rPr>
      </w:pPr>
      <w:bookmarkStart w:id="130" w:name="_Toc202366132"/>
      <w:r>
        <w:rPr>
          <w:rStyle w:val="CharSectno"/>
        </w:rPr>
        <w:lastRenderedPageBreak/>
        <w:t>70L</w:t>
      </w:r>
      <w:r>
        <w:rPr>
          <w:snapToGrid w:val="0"/>
        </w:rPr>
        <w:t>.</w:t>
      </w:r>
      <w:r>
        <w:rPr>
          <w:snapToGrid w:val="0"/>
        </w:rPr>
        <w:tab/>
        <w:t>Holder of retention licence to have priority for grant of mining lease or general purpose lease</w:t>
      </w:r>
      <w:bookmarkEnd w:id="130"/>
    </w:p>
    <w:p>
      <w:pPr>
        <w:pStyle w:val="Subsection"/>
        <w:spacing w:before="120"/>
        <w:rPr>
          <w:snapToGrid w:val="0"/>
        </w:rPr>
      </w:pPr>
      <w:r>
        <w:rPr>
          <w:snapToGrid w:val="0"/>
        </w:rPr>
        <w:tab/>
        <w:t>(1)</w:t>
      </w:r>
      <w:r>
        <w:rPr>
          <w:snapToGrid w:val="0"/>
        </w:rPr>
        <w:tab/>
        <w:t>The holder of a retention licence has —</w:t>
      </w:r>
    </w:p>
    <w:p>
      <w:pPr>
        <w:pStyle w:val="Indenta"/>
        <w:rPr>
          <w:snapToGrid w:val="0"/>
        </w:rPr>
      </w:pPr>
      <w:r>
        <w:rPr>
          <w:snapToGrid w:val="0"/>
        </w:rPr>
        <w:tab/>
        <w:t>(a)</w:t>
      </w:r>
      <w:r>
        <w:rPr>
          <w:snapToGrid w:val="0"/>
        </w:rPr>
        <w:tab/>
        <w:t>subject to this Act and to any conditions to which the retention licence is subject; and</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spacing w:before="120"/>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spacing w:before="120"/>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keepNext/>
        <w:spacing w:before="120"/>
        <w:rPr>
          <w:snapToGrid w:val="0"/>
        </w:rPr>
      </w:pPr>
      <w:r>
        <w:rPr>
          <w:snapToGrid w:val="0"/>
        </w:rPr>
        <w:tab/>
        <w:t>(3)</w:t>
      </w:r>
      <w:r>
        <w:rPr>
          <w:snapToGrid w:val="0"/>
        </w:rPr>
        <w:tab/>
        <w:t>If, after an application is made under subsection (1) in respect of land the subject of a retention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spacing w:before="120"/>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keepNext/>
        <w:spacing w:before="120"/>
        <w:rPr>
          <w:snapToGrid w:val="0"/>
        </w:rPr>
      </w:pPr>
      <w:r>
        <w:rPr>
          <w:snapToGrid w:val="0"/>
        </w:rPr>
        <w:tab/>
        <w:t>(4)</w:t>
      </w:r>
      <w:r>
        <w:rPr>
          <w:snapToGrid w:val="0"/>
        </w:rPr>
        <w:tab/>
        <w:t xml:space="preserve">For the purposes of subsection (3), where there are 2 or more transferees of the retention licence, each of the transferees is to be regarded as an applicant for an interest in the relevant mining </w:t>
      </w:r>
      <w:r>
        <w:rPr>
          <w:snapToGrid w:val="0"/>
        </w:rPr>
        <w:lastRenderedPageBreak/>
        <w:t>lease or general purpose lease that corresponds to the interest held by that transferee in the licence.</w:t>
      </w:r>
    </w:p>
    <w:p>
      <w:pPr>
        <w:pStyle w:val="Footnotesection"/>
        <w:spacing w:before="80"/>
        <w:ind w:left="890" w:hanging="890"/>
      </w:pPr>
      <w:r>
        <w:tab/>
        <w:t>[Section 70L inserted: No. 37 of 1993 s. 10(1); amended: No. 58 of 1994 s. 29(3); No. 17 of 1999 s. 12(5) and 13.]</w:t>
      </w:r>
    </w:p>
    <w:p>
      <w:pPr>
        <w:pStyle w:val="Heading5"/>
        <w:rPr>
          <w:snapToGrid w:val="0"/>
        </w:rPr>
      </w:pPr>
      <w:bookmarkStart w:id="131" w:name="_Toc202366133"/>
      <w:r>
        <w:rPr>
          <w:rStyle w:val="CharSectno"/>
        </w:rPr>
        <w:t>70M</w:t>
      </w:r>
      <w:r>
        <w:rPr>
          <w:snapToGrid w:val="0"/>
        </w:rPr>
        <w:t>.</w:t>
      </w:r>
      <w:r>
        <w:rPr>
          <w:snapToGrid w:val="0"/>
        </w:rPr>
        <w:tab/>
        <w:t>Holder of retention licence to show cause why mining lease should not be applied for</w:t>
      </w:r>
      <w:bookmarkEnd w:id="131"/>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[Section 70M inserted: No. 37 of 1993 s. 10(1).]</w:t>
      </w:r>
    </w:p>
    <w:p>
      <w:pPr>
        <w:pStyle w:val="Heading5"/>
        <w:rPr>
          <w:snapToGrid w:val="0"/>
        </w:rPr>
      </w:pPr>
      <w:bookmarkStart w:id="132" w:name="_Toc202366134"/>
      <w:r>
        <w:rPr>
          <w:rStyle w:val="CharSectno"/>
        </w:rPr>
        <w:t>70N</w:t>
      </w:r>
      <w:r>
        <w:rPr>
          <w:snapToGrid w:val="0"/>
        </w:rPr>
        <w:t>.</w:t>
      </w:r>
      <w:r>
        <w:rPr>
          <w:snapToGrid w:val="0"/>
        </w:rPr>
        <w:tab/>
        <w:t>Land subject of retention licence not to be again marked out for certain period</w:t>
      </w:r>
      <w:bookmarkEnd w:id="132"/>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lastRenderedPageBreak/>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[Section 70N inserted: No. 37 of 1993 s. 10(1).]</w:t>
      </w:r>
    </w:p>
    <w:p>
      <w:pPr>
        <w:pStyle w:val="Heading3"/>
      </w:pPr>
      <w:bookmarkStart w:id="133" w:name="_Toc202186679"/>
      <w:bookmarkStart w:id="134" w:name="_Toc202366135"/>
      <w:r>
        <w:rPr>
          <w:rStyle w:val="CharDivNo"/>
        </w:rPr>
        <w:t>Division 3</w:t>
      </w:r>
      <w:r>
        <w:rPr>
          <w:snapToGrid w:val="0"/>
        </w:rPr>
        <w:t> — </w:t>
      </w:r>
      <w:r>
        <w:rPr>
          <w:rStyle w:val="CharDivText"/>
        </w:rPr>
        <w:t>Mining lease</w:t>
      </w:r>
      <w:bookmarkEnd w:id="133"/>
      <w:bookmarkEnd w:id="134"/>
    </w:p>
    <w:p>
      <w:pPr>
        <w:pStyle w:val="Heading5"/>
      </w:pPr>
      <w:bookmarkStart w:id="135" w:name="_Toc202366136"/>
      <w:r>
        <w:rPr>
          <w:rStyle w:val="CharSectno"/>
        </w:rPr>
        <w:t>70O</w:t>
      </w:r>
      <w:r>
        <w:t>.</w:t>
      </w:r>
      <w:r>
        <w:tab/>
        <w:t>Terms used</w:t>
      </w:r>
      <w:bookmarkEnd w:id="135"/>
    </w:p>
    <w:p>
      <w:pPr>
        <w:pStyle w:val="Subsection"/>
      </w:pPr>
      <w:r>
        <w:tab/>
        <w:t>(1)</w:t>
      </w:r>
      <w:r>
        <w:tab/>
        <w:t>In this Division —</w:t>
      </w:r>
    </w:p>
    <w:p>
      <w:pPr>
        <w:pStyle w:val="Defstart"/>
      </w:pPr>
      <w:r>
        <w:rPr>
          <w:b/>
        </w:rPr>
        <w:tab/>
      </w:r>
      <w:r>
        <w:rPr>
          <w:rStyle w:val="CharDefText"/>
        </w:rPr>
        <w:t>guidelines</w:t>
      </w:r>
      <w:r>
        <w:t xml:space="preserve"> means guidelines approved by the Director General of Mines for the purposes of this Division;</w:t>
      </w:r>
    </w:p>
    <w:p>
      <w:pPr>
        <w:pStyle w:val="Defstart"/>
        <w:keepNext/>
      </w:pPr>
      <w:r>
        <w:tab/>
      </w:r>
      <w:r>
        <w:rPr>
          <w:rStyle w:val="CharDefText"/>
        </w:rPr>
        <w:t>mine closure plan</w:t>
      </w:r>
      <w:r>
        <w:t xml:space="preserve"> means a document that — </w:t>
      </w:r>
    </w:p>
    <w:p>
      <w:pPr>
        <w:pStyle w:val="Defpara"/>
        <w:keepNext/>
      </w:pPr>
      <w:r>
        <w:tab/>
        <w:t>(a)</w:t>
      </w:r>
      <w:r>
        <w:tab/>
        <w:t>is in the form required by the guidelines; and</w:t>
      </w:r>
    </w:p>
    <w:p>
      <w:pPr>
        <w:pStyle w:val="Defpara"/>
      </w:pPr>
      <w:r>
        <w:tab/>
        <w:t>(b)</w:t>
      </w:r>
      <w:r>
        <w:tab/>
        <w:t>contains information of the kind required by the guidelines about the decommissioning of each proposed mine, and the rehabilitation of the land, in respect of which a mining lease is sought or granted, as the case requires;</w:t>
      </w:r>
    </w:p>
    <w:p>
      <w:pPr>
        <w:pStyle w:val="Defstart"/>
        <w:keepNext/>
      </w:pPr>
      <w:r>
        <w:rPr>
          <w:b/>
        </w:rPr>
        <w:tab/>
      </w:r>
      <w:r>
        <w:rPr>
          <w:rStyle w:val="CharDefText"/>
        </w:rPr>
        <w:t>mining proposal</w:t>
      </w:r>
      <w:r>
        <w:t xml:space="preserve"> means a document that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 and</w:t>
      </w:r>
    </w:p>
    <w:p>
      <w:pPr>
        <w:pStyle w:val="Defpara"/>
      </w:pPr>
      <w:r>
        <w:tab/>
        <w:t>(c)</w:t>
      </w:r>
      <w:r>
        <w:tab/>
        <w:t>contains a mine closure plan;</w:t>
      </w:r>
    </w:p>
    <w:p>
      <w:pPr>
        <w:pStyle w:val="Defstart"/>
        <w:keepNext/>
      </w:pPr>
      <w:r>
        <w:lastRenderedPageBreak/>
        <w:tab/>
      </w:r>
      <w:r>
        <w:rPr>
          <w:rStyle w:val="CharDefText"/>
        </w:rPr>
        <w:t>relevant mining proposal</w:t>
      </w:r>
      <w:r>
        <w:t xml:space="preserve">, in relation to a mining lease, means —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Defstart"/>
      </w:pPr>
      <w:r>
        <w:rPr>
          <w:b/>
        </w:rPr>
        <w:tab/>
      </w:r>
      <w:r>
        <w:rPr>
          <w:rStyle w:val="CharDefText"/>
        </w:rPr>
        <w:t>significant mineralisation</w:t>
      </w:r>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 70O inserted: No. 39 of 2004 s. 27; amended: No. 12 of 2010 s. 8.]</w:t>
      </w:r>
    </w:p>
    <w:p>
      <w:pPr>
        <w:pStyle w:val="Heading5"/>
      </w:pPr>
      <w:bookmarkStart w:id="136" w:name="_Toc202366137"/>
      <w:r>
        <w:rPr>
          <w:rStyle w:val="CharSectno"/>
        </w:rPr>
        <w:t>70P</w:t>
      </w:r>
      <w:r>
        <w:t>.</w:t>
      </w:r>
      <w:r>
        <w:tab/>
        <w:t>Guidelines to be publicly available</w:t>
      </w:r>
      <w:bookmarkEnd w:id="136"/>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No. 39 of 2004 s. 27.]</w:t>
      </w:r>
    </w:p>
    <w:p>
      <w:pPr>
        <w:pStyle w:val="Heading5"/>
        <w:rPr>
          <w:snapToGrid w:val="0"/>
        </w:rPr>
      </w:pPr>
      <w:bookmarkStart w:id="137" w:name="_Toc202366138"/>
      <w:r>
        <w:rPr>
          <w:rStyle w:val="CharSectno"/>
        </w:rPr>
        <w:t>71</w:t>
      </w:r>
      <w:r>
        <w:rPr>
          <w:snapToGrid w:val="0"/>
        </w:rPr>
        <w:t>.</w:t>
      </w:r>
      <w:r>
        <w:rPr>
          <w:snapToGrid w:val="0"/>
        </w:rPr>
        <w:tab/>
        <w:t>Grant of mining lease</w:t>
      </w:r>
      <w:bookmarkEnd w:id="137"/>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[Section 71 amended: No. 122 of 1982 s. 20; No. 58 of 1994 s. 29(4).]</w:t>
      </w:r>
    </w:p>
    <w:p>
      <w:pPr>
        <w:pStyle w:val="Heading5"/>
        <w:rPr>
          <w:snapToGrid w:val="0"/>
        </w:rPr>
      </w:pPr>
      <w:bookmarkStart w:id="138" w:name="_Toc202366139"/>
      <w:r>
        <w:rPr>
          <w:rStyle w:val="CharSectno"/>
        </w:rPr>
        <w:lastRenderedPageBreak/>
        <w:t>72</w:t>
      </w:r>
      <w:r>
        <w:rPr>
          <w:snapToGrid w:val="0"/>
        </w:rPr>
        <w:t>.</w:t>
      </w:r>
      <w:r>
        <w:rPr>
          <w:snapToGrid w:val="0"/>
        </w:rPr>
        <w:tab/>
        <w:t>Person may be granted more than one mining lease</w:t>
      </w:r>
      <w:bookmarkEnd w:id="138"/>
    </w:p>
    <w:p>
      <w:pPr>
        <w:pStyle w:val="Subsection"/>
        <w:rPr>
          <w:snapToGrid w:val="0"/>
        </w:rPr>
      </w:pPr>
      <w:r>
        <w:rPr>
          <w:snapToGrid w:val="0"/>
        </w:rPr>
        <w:tab/>
      </w:r>
      <w:r>
        <w:rPr>
          <w:snapToGrid w:val="0"/>
        </w:rPr>
        <w:tab/>
        <w:t>Any person may be granted more than one mining lease.</w:t>
      </w:r>
    </w:p>
    <w:p>
      <w:pPr>
        <w:pStyle w:val="Heading5"/>
      </w:pPr>
      <w:bookmarkStart w:id="139" w:name="_Toc202366140"/>
      <w:r>
        <w:rPr>
          <w:rStyle w:val="CharSectno"/>
        </w:rPr>
        <w:t>73</w:t>
      </w:r>
      <w:r>
        <w:t>.</w:t>
      </w:r>
      <w:r>
        <w:tab/>
        <w:t>Area of mining lease may be less than area sought</w:t>
      </w:r>
      <w:bookmarkEnd w:id="139"/>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No. 39 of 2004 s. 28.]</w:t>
      </w:r>
    </w:p>
    <w:p>
      <w:pPr>
        <w:pStyle w:val="Heading5"/>
        <w:spacing w:before="180"/>
        <w:rPr>
          <w:snapToGrid w:val="0"/>
        </w:rPr>
      </w:pPr>
      <w:bookmarkStart w:id="140" w:name="_Toc202366141"/>
      <w:r>
        <w:rPr>
          <w:rStyle w:val="CharSectno"/>
        </w:rPr>
        <w:t>74</w:t>
      </w:r>
      <w:r>
        <w:rPr>
          <w:snapToGrid w:val="0"/>
        </w:rPr>
        <w:t>.</w:t>
      </w:r>
      <w:r>
        <w:rPr>
          <w:snapToGrid w:val="0"/>
        </w:rPr>
        <w:tab/>
        <w:t>Application for mining lease</w:t>
      </w:r>
      <w:bookmarkEnd w:id="140"/>
    </w:p>
    <w:p>
      <w:pPr>
        <w:pStyle w:val="Subsection"/>
        <w:rPr>
          <w:snapToGrid w:val="0"/>
        </w:rPr>
      </w:pPr>
      <w:r>
        <w:rPr>
          <w:snapToGrid w:val="0"/>
        </w:rPr>
        <w:tab/>
        <w:t>(1)</w:t>
      </w:r>
      <w:r>
        <w:rPr>
          <w:snapToGrid w:val="0"/>
        </w:rPr>
        <w:tab/>
        <w:t>An application for a mining lease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pPr>
      <w:r>
        <w:tab/>
        <w:t>(ca)</w:t>
      </w:r>
      <w:r>
        <w:tab/>
        <w:t>shall be accompanied by —</w:t>
      </w:r>
    </w:p>
    <w:p>
      <w:pPr>
        <w:pStyle w:val="Indenti"/>
      </w:pPr>
      <w:r>
        <w:tab/>
        <w:t>(i)</w:t>
      </w:r>
      <w:r>
        <w:tab/>
        <w:t>a mining proposal; or</w:t>
      </w:r>
    </w:p>
    <w:p>
      <w:pPr>
        <w:pStyle w:val="Indenti"/>
      </w:pPr>
      <w:r>
        <w:tab/>
        <w:t>(ii)</w:t>
      </w:r>
      <w:r>
        <w:tab/>
        <w:t>a statement in accordance with subsection (1a) and a mineralisation report prepared by a qualified person; or</w:t>
      </w:r>
    </w:p>
    <w:p>
      <w:pPr>
        <w:pStyle w:val="Indenti"/>
      </w:pPr>
      <w:r>
        <w:tab/>
        <w:t>(iii)</w:t>
      </w:r>
      <w:r>
        <w:tab/>
        <w:t>a statement in accordance with subsection (1a) and a resource report;</w:t>
      </w:r>
    </w:p>
    <w:p>
      <w:pPr>
        <w:pStyle w:val="Indenta"/>
        <w:spacing w:before="60"/>
      </w:pPr>
      <w:r>
        <w:tab/>
      </w:r>
      <w:r>
        <w:tab/>
        <w:t>and</w:t>
      </w:r>
    </w:p>
    <w:p>
      <w:pPr>
        <w:pStyle w:val="Indenta"/>
        <w:rPr>
          <w:snapToGrid w:val="0"/>
        </w:rPr>
      </w:pPr>
      <w:r>
        <w:rPr>
          <w:snapToGrid w:val="0"/>
        </w:rPr>
        <w:tab/>
        <w:t>(d)</w:t>
      </w:r>
      <w:r>
        <w:rPr>
          <w:snapToGrid w:val="0"/>
        </w:rPr>
        <w:tab/>
        <w:t>shall be lodged</w:t>
      </w:r>
      <w:r>
        <w:t xml:space="preserve"> in the prescribed manner.</w:t>
      </w:r>
    </w:p>
    <w:p>
      <w:pPr>
        <w:pStyle w:val="Subsection"/>
      </w:pPr>
      <w:r>
        <w:lastRenderedPageBreak/>
        <w:tab/>
        <w:t>(1AA)</w:t>
      </w:r>
      <w:r>
        <w:tab/>
        <w:t>Instead of accompanying an application for a mining lease under subsection (1)(ca), a mining proposal may be lodged within the prescribed time and in the prescribed manner and, if so lodged, is to be treated for the purposes of this Division as a mining proposal that accompanied the application for the mining lease under section 74(1)(ca).</w:t>
      </w:r>
    </w:p>
    <w:p>
      <w:pPr>
        <w:pStyle w:val="Subsection"/>
      </w:pPr>
      <w:r>
        <w:tab/>
        <w:t>(1a)</w:t>
      </w:r>
      <w:r>
        <w:tab/>
        <w:t>The statement referred to in subsection (1)(ca)(ii) and (iii) shall set out information about the mining operations that are likely to be carried out in, on or under the land to which the application relates including information as to —</w:t>
      </w:r>
    </w:p>
    <w:p>
      <w:pPr>
        <w:pStyle w:val="Indenta"/>
      </w:pPr>
      <w:r>
        <w:tab/>
        <w:t>(a)</w:t>
      </w:r>
      <w:r>
        <w:tab/>
        <w:t>when mining is likely to commence; and</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keepLines/>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keepNext/>
      </w:pPr>
      <w:r>
        <w:lastRenderedPageBreak/>
        <w:tab/>
        <w:t>(5)</w:t>
      </w:r>
      <w:r>
        <w:tab/>
        <w:t xml:space="preserve">The </w:t>
      </w:r>
      <w:r>
        <w:rPr>
          <w:snapToGrid w:val="0"/>
        </w:rPr>
        <w:t>Director</w:t>
      </w:r>
      <w:r>
        <w:t xml:space="preserve"> General of Mines shall ensure that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keepNext/>
      </w:pPr>
      <w:r>
        <w:tab/>
        <w:t>(7)</w:t>
      </w:r>
      <w:r>
        <w:tab/>
        <w:t>In this se</w:t>
      </w:r>
      <w:r>
        <w:rPr>
          <w:snapToGrid w:val="0"/>
        </w:rPr>
        <w:t>c</w:t>
      </w:r>
      <w:r>
        <w:t>tion —</w:t>
      </w:r>
    </w:p>
    <w:p>
      <w:pPr>
        <w:pStyle w:val="Defstart"/>
      </w:pPr>
      <w:r>
        <w:tab/>
      </w:r>
      <w:r>
        <w:rPr>
          <w:rStyle w:val="CharDefText"/>
        </w:rPr>
        <w:t>JORC Code</w:t>
      </w:r>
      <w:r>
        <w:t xml:space="preserve"> means the </w:t>
      </w:r>
      <w:r>
        <w:rPr>
          <w:i/>
        </w:rPr>
        <w:t>Australasian Code for Reporting of Exploration Results, Mineral Resources and Ore Reserves</w:t>
      </w:r>
      <w:r>
        <w:t xml:space="preserve"> prepared by the Joint Ore Reserves Committee of the Australasian Institute of Mining and Metallurgy, the Australian Institute of Geoscientists and the Minerals Council of Australia as in force from time to time;</w:t>
      </w:r>
    </w:p>
    <w:p>
      <w:pPr>
        <w:pStyle w:val="Defstart"/>
      </w:pPr>
      <w:r>
        <w:rPr>
          <w:b/>
        </w:rPr>
        <w:tab/>
      </w:r>
      <w:r>
        <w:rPr>
          <w:rStyle w:val="CharDefText"/>
        </w:rPr>
        <w:t>likely</w:t>
      </w:r>
      <w:r>
        <w:t xml:space="preserve"> means reasonably likely having regard to the information available to the applicant when the application is made;</w:t>
      </w:r>
    </w:p>
    <w:p>
      <w:pPr>
        <w:pStyle w:val="Defstart"/>
      </w:pPr>
      <w:r>
        <w:rPr>
          <w:b/>
        </w:rPr>
        <w:tab/>
      </w:r>
      <w:r>
        <w:rPr>
          <w:rStyle w:val="CharDefText"/>
        </w:rPr>
        <w:t>mineralisation report</w:t>
      </w:r>
      <w:r>
        <w:t xml:space="preserve"> means a report that sets out details of exploration results in respect of a deposit of minerals located in, on or under the land to which the application relates, including details of —</w:t>
      </w:r>
    </w:p>
    <w:p>
      <w:pPr>
        <w:pStyle w:val="Defpara"/>
      </w:pPr>
      <w:r>
        <w:tab/>
        <w:t>(a)</w:t>
      </w:r>
      <w:r>
        <w:tab/>
        <w:t>the type of minerals located in, on or under that land; 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keepNext/>
      </w:pPr>
      <w:r>
        <w:rPr>
          <w:b/>
        </w:rPr>
        <w:lastRenderedPageBreak/>
        <w:tab/>
      </w:r>
      <w:r>
        <w:rPr>
          <w:rStyle w:val="CharDefText"/>
        </w:rPr>
        <w:t>qualified person</w:t>
      </w:r>
      <w:r>
        <w:t xml:space="preserve"> means a person who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Defstart"/>
      </w:pPr>
      <w:r>
        <w:tab/>
      </w:r>
      <w:r>
        <w:rPr>
          <w:rStyle w:val="CharDefText"/>
        </w:rPr>
        <w:t>resource report</w:t>
      </w:r>
      <w:r>
        <w:t xml:space="preserve"> means a report — </w:t>
      </w:r>
    </w:p>
    <w:p>
      <w:pPr>
        <w:pStyle w:val="Defpara"/>
      </w:pPr>
      <w:r>
        <w:tab/>
        <w:t>(a)</w:t>
      </w:r>
      <w:r>
        <w:tab/>
        <w:t>that sets out details of the mineral resources located in, on or under the land to which the application relates; and</w:t>
      </w:r>
    </w:p>
    <w:p>
      <w:pPr>
        <w:pStyle w:val="Defpara"/>
      </w:pPr>
      <w:r>
        <w:tab/>
        <w:t>(b)</w:t>
      </w:r>
      <w:r>
        <w:tab/>
        <w:t>that complies with the JORC Code; and</w:t>
      </w:r>
    </w:p>
    <w:p>
      <w:pPr>
        <w:pStyle w:val="Defpara"/>
      </w:pPr>
      <w:r>
        <w:tab/>
        <w:t>(c)</w:t>
      </w:r>
      <w:r>
        <w:tab/>
        <w:t>that has been made to the Australian Securities Exchange Limited.</w:t>
      </w:r>
    </w:p>
    <w:p>
      <w:pPr>
        <w:pStyle w:val="Footnotesection"/>
        <w:ind w:left="890" w:hanging="890"/>
      </w:pPr>
      <w:r>
        <w:tab/>
        <w:t>[Section 74 amended: No. 100 of 1985 s. 50; No. 37 of 1993 s. 26 and 28(1); No. 58 of 1994 s. 28; No. 39 of 2004 s. 29; No. 12 of 2010 s. 31; No. 51 of 2012 s. 23.]</w:t>
      </w:r>
    </w:p>
    <w:p>
      <w:pPr>
        <w:pStyle w:val="Heading5"/>
      </w:pPr>
      <w:bookmarkStart w:id="141" w:name="_Toc202366142"/>
      <w:r>
        <w:rPr>
          <w:rStyle w:val="CharSectno"/>
        </w:rPr>
        <w:t>74A</w:t>
      </w:r>
      <w:r>
        <w:t>.</w:t>
      </w:r>
      <w:r>
        <w:tab/>
        <w:t>Report on significant mineralisation required for certain applications</w:t>
      </w:r>
      <w:bookmarkEnd w:id="141"/>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pPr>
      <w:r>
        <w:tab/>
        <w:t>(2)</w:t>
      </w:r>
      <w:r>
        <w:tab/>
        <w:t>For the purposes of preparing the report, the Director, Geological Survey may request the applicant to provide further information in relation to matters dealt with in the mineralisation report.</w:t>
      </w:r>
    </w:p>
    <w:p>
      <w:pPr>
        <w:pStyle w:val="Subsection"/>
      </w:pPr>
      <w:r>
        <w:tab/>
        <w:t>(3)</w:t>
      </w:r>
      <w:r>
        <w:tab/>
        <w:t>The report shall be based solely on information contained in the mineralisation report and any further information provided by the applicant in response to a request under subsection (2).</w:t>
      </w:r>
    </w:p>
    <w:p>
      <w:pPr>
        <w:pStyle w:val="Subsection"/>
      </w:pPr>
      <w:r>
        <w:tab/>
        <w:t>(4)</w:t>
      </w:r>
      <w:r>
        <w:tab/>
        <w:t>The Director, Geological Survey shall give a copy of the report to the mining registrar and the warden.</w:t>
      </w:r>
    </w:p>
    <w:p>
      <w:pPr>
        <w:pStyle w:val="Subsection"/>
      </w:pPr>
      <w:r>
        <w:tab/>
        <w:t>(5)</w:t>
      </w:r>
      <w:r>
        <w:tab/>
        <w:t>The Director General of Mines shall ensure that the report is made available for public inspection at reasonable times.</w:t>
      </w:r>
    </w:p>
    <w:p>
      <w:pPr>
        <w:pStyle w:val="Subsection"/>
        <w:keepNext/>
      </w:pPr>
      <w:r>
        <w:lastRenderedPageBreak/>
        <w:tab/>
        <w:t>(6)</w:t>
      </w:r>
      <w:r>
        <w:tab/>
        <w:t>The regulations may require a person to pay a fee specified in the regulations —</w:t>
      </w:r>
    </w:p>
    <w:p>
      <w:pPr>
        <w:pStyle w:val="Indenta"/>
      </w:pPr>
      <w:r>
        <w:tab/>
        <w:t>(a)</w:t>
      </w:r>
      <w:r>
        <w:tab/>
        <w:t>for inspecting the report; or</w:t>
      </w:r>
    </w:p>
    <w:p>
      <w:pPr>
        <w:pStyle w:val="Indenta"/>
      </w:pPr>
      <w:r>
        <w:tab/>
        <w:t>(b)</w:t>
      </w:r>
      <w:r>
        <w:tab/>
        <w:t>for obtaining a copy of the report or any part of it.</w:t>
      </w:r>
    </w:p>
    <w:p>
      <w:pPr>
        <w:pStyle w:val="Subsection"/>
      </w:pPr>
      <w:r>
        <w:tab/>
        <w:t>(7)</w:t>
      </w:r>
      <w:r>
        <w:tab/>
        <w:t>In this section —</w:t>
      </w:r>
    </w:p>
    <w:p>
      <w:pPr>
        <w:pStyle w:val="Defstart"/>
      </w:pPr>
      <w:r>
        <w:rPr>
          <w:b/>
        </w:rPr>
        <w:tab/>
      </w:r>
      <w:r>
        <w:rPr>
          <w:rStyle w:val="CharDefText"/>
        </w:rPr>
        <w:t>mineralisation report</w:t>
      </w:r>
      <w:r>
        <w:t xml:space="preserve"> means the mineralisation report that accompanied the application.</w:t>
      </w:r>
    </w:p>
    <w:p>
      <w:pPr>
        <w:pStyle w:val="Footnotesection"/>
        <w:ind w:left="890" w:hanging="890"/>
      </w:pPr>
      <w:r>
        <w:tab/>
        <w:t>[Section 74A inserted: No. 39 of 2004 s. 30.]</w:t>
      </w:r>
    </w:p>
    <w:p>
      <w:pPr>
        <w:pStyle w:val="Heading5"/>
        <w:rPr>
          <w:snapToGrid w:val="0"/>
        </w:rPr>
      </w:pPr>
      <w:bookmarkStart w:id="142" w:name="_Toc202366143"/>
      <w:r>
        <w:rPr>
          <w:rStyle w:val="CharSectno"/>
        </w:rPr>
        <w:t>75</w:t>
      </w:r>
      <w:r>
        <w:rPr>
          <w:snapToGrid w:val="0"/>
        </w:rPr>
        <w:t>.</w:t>
      </w:r>
      <w:r>
        <w:rPr>
          <w:snapToGrid w:val="0"/>
        </w:rPr>
        <w:tab/>
        <w:t>Determination of application for mining lease</w:t>
      </w:r>
      <w:bookmarkEnd w:id="142"/>
    </w:p>
    <w:p>
      <w:pPr>
        <w:pStyle w:val="Subsection"/>
        <w:spacing w:before="120"/>
        <w:rPr>
          <w:snapToGrid w:val="0"/>
        </w:rPr>
      </w:pPr>
      <w:r>
        <w:rPr>
          <w:snapToGrid w:val="0"/>
        </w:rPr>
        <w:tab/>
        <w:t>(1)</w:t>
      </w:r>
      <w:r>
        <w:rPr>
          <w:snapToGrid w:val="0"/>
        </w:rPr>
        <w:tab/>
        <w:t>A person who wishes to object to the granting of an application for a mining lease must lodge a notice of objection.</w:t>
      </w:r>
    </w:p>
    <w:p>
      <w:pPr>
        <w:pStyle w:val="Subsection"/>
      </w:pPr>
      <w:r>
        <w:tab/>
        <w:t>(1AA)</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pPr>
      <w:r>
        <w:tab/>
        <w:t>(1A)</w:t>
      </w:r>
      <w:r>
        <w:tab/>
        <w:t xml:space="preserve">A person is not entitled to lodge a notice of objection if the basis for the objection is that — </w:t>
      </w:r>
    </w:p>
    <w:p>
      <w:pPr>
        <w:pStyle w:val="Indenta"/>
      </w:pPr>
      <w:r>
        <w:tab/>
        <w:t>(a)</w:t>
      </w:r>
      <w:r>
        <w:tab/>
        <w:t>there is no significant mineralisation in, on or under the land to which the application relates; or</w:t>
      </w:r>
    </w:p>
    <w:p>
      <w:pPr>
        <w:pStyle w:val="Indenta"/>
      </w:pPr>
      <w:r>
        <w:tab/>
        <w:t>(b)</w:t>
      </w:r>
      <w:r>
        <w:tab/>
        <w:t>the mining lease, or activities authorised by it, would affect an offsets project.</w:t>
      </w:r>
    </w:p>
    <w:p>
      <w:pPr>
        <w:pStyle w:val="Subsection"/>
      </w:pPr>
      <w:r>
        <w:tab/>
        <w:t>(1B)</w:t>
      </w:r>
      <w:r>
        <w:tab/>
        <w:t>Subsection (1A)(b) does not apply in respect of an offsets project, or any part of an offsets project, situated on land held in freehold.</w:t>
      </w:r>
    </w:p>
    <w:p>
      <w:pPr>
        <w:pStyle w:val="Subsection"/>
        <w:rPr>
          <w:snapToGrid w:val="0"/>
        </w:rPr>
      </w:pPr>
      <w:r>
        <w:rPr>
          <w:snapToGrid w:val="0"/>
        </w:rPr>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pPr>
        <w:pStyle w:val="Subsection"/>
      </w:pPr>
      <w:r>
        <w:lastRenderedPageBreak/>
        <w:tab/>
        <w:t>(2a)</w:t>
      </w:r>
      <w:r>
        <w:tab/>
        <w:t>If the application for the mining lease is accompanied by the documentation referred to in section 74(1)(ca)(ii), the mining registrar shall not forward a report under subsection (2) unless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rPr>
          <w:snapToGrid w:val="0"/>
        </w:rPr>
      </w:pPr>
      <w:r>
        <w:rPr>
          <w:snapToGrid w:val="0"/>
        </w:rPr>
        <w:tab/>
        <w:t>(4)</w:t>
      </w:r>
      <w:r>
        <w:rPr>
          <w:snapToGrid w:val="0"/>
        </w:rPr>
        <w:tab/>
        <w:t>Subject to subsection (</w:t>
      </w:r>
      <w:r>
        <w:t>4a), if</w:t>
      </w:r>
      <w:r>
        <w:rPr>
          <w:snapToGrid w:val="0"/>
        </w:rPr>
        <w:t xml:space="preserv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20"/>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pPr>
        <w:pStyle w:val="Subsection"/>
        <w:keepNext/>
      </w:pPr>
      <w:r>
        <w:tab/>
        <w:t>(4a)</w:t>
      </w:r>
      <w:r>
        <w:tab/>
        <w:t xml:space="preserve">If the application for the mining lease is accompanied by the </w:t>
      </w:r>
      <w:r>
        <w:rPr>
          <w:snapToGrid w:val="0"/>
        </w:rPr>
        <w:t>documentation</w:t>
      </w:r>
      <w:r>
        <w:t xml:space="preserve"> referred to in section 74(1)(ca)(ii), the warden shall not hear the application unless —</w:t>
      </w:r>
    </w:p>
    <w:p>
      <w:pPr>
        <w:pStyle w:val="Indenta"/>
      </w:pPr>
      <w:r>
        <w:tab/>
        <w:t>(a)</w:t>
      </w:r>
      <w:r>
        <w:tab/>
        <w:t>the warden has received a copy of the section 74A report in relation to the application; and</w:t>
      </w:r>
    </w:p>
    <w:p>
      <w:pPr>
        <w:pStyle w:val="Indenta"/>
      </w:pPr>
      <w:r>
        <w:lastRenderedPageBreak/>
        <w:tab/>
        <w:t>(b)</w:t>
      </w:r>
      <w:r>
        <w:tab/>
        <w:t>the section 74A report states that there is significant mineralisation in, on or under the land to which the application relates.</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In the case of an application for a mining lease made by the holder of —</w:t>
      </w:r>
    </w:p>
    <w:p>
      <w:pPr>
        <w:pStyle w:val="Indenta"/>
        <w:rPr>
          <w:snapToGrid w:val="0"/>
        </w:rPr>
      </w:pPr>
      <w:r>
        <w:rPr>
          <w:snapToGrid w:val="0"/>
        </w:rPr>
        <w:tab/>
        <w:t>(a)</w:t>
      </w:r>
      <w:r>
        <w:rPr>
          <w:snapToGrid w:val="0"/>
        </w:rPr>
        <w:tab/>
        <w:t>a prospecting licence under section 49; or</w:t>
      </w:r>
    </w:p>
    <w:p>
      <w:pPr>
        <w:pStyle w:val="Indenta"/>
        <w:rPr>
          <w:snapToGrid w:val="0"/>
        </w:rPr>
      </w:pPr>
      <w:r>
        <w:rPr>
          <w:snapToGrid w:val="0"/>
        </w:rPr>
        <w:tab/>
        <w:t>(b)</w:t>
      </w:r>
      <w:r>
        <w:rPr>
          <w:snapToGrid w:val="0"/>
        </w:rPr>
        <w:tab/>
        <w:t>an exploration licence under section 67; or</w:t>
      </w:r>
    </w:p>
    <w:p>
      <w:pPr>
        <w:pStyle w:val="Indenta"/>
        <w:keepNext/>
        <w:rPr>
          <w:snapToGrid w:val="0"/>
        </w:rPr>
      </w:pPr>
      <w:r>
        <w:rPr>
          <w:snapToGrid w:val="0"/>
        </w:rPr>
        <w:tab/>
        <w:t>(c)</w:t>
      </w:r>
      <w:r>
        <w:rPr>
          <w:snapToGrid w:val="0"/>
        </w:rPr>
        <w:tab/>
        <w:t>a retention licence under section 70L,</w:t>
      </w:r>
    </w:p>
    <w:p>
      <w:pPr>
        <w:pStyle w:val="Subsection"/>
        <w:keepNext/>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lastRenderedPageBreak/>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In this section —</w:t>
      </w:r>
    </w:p>
    <w:p>
      <w:pPr>
        <w:pStyle w:val="Defstart"/>
      </w:pPr>
      <w:r>
        <w:rPr>
          <w:b/>
        </w:rPr>
        <w:tab/>
      </w:r>
      <w:r>
        <w:rPr>
          <w:rStyle w:val="CharDefText"/>
        </w:rPr>
        <w:t>section 74A report</w:t>
      </w:r>
      <w:r>
        <w:t xml:space="preserve"> means the report given to the Minister under section 74A.</w:t>
      </w:r>
    </w:p>
    <w:p>
      <w:pPr>
        <w:pStyle w:val="Footnotesection"/>
        <w:ind w:left="890" w:hanging="890"/>
      </w:pPr>
      <w:r>
        <w:tab/>
        <w:t>[Section 75 inserted: No. 58 of 1994 s. 29(1); amended: No. 52 of 1995 s. 29; No. 5 of 1997 s. 41(2); No. 39 of 2004 s. 31 and 63; No. 12 of 2010 s. 32; No. 39 of 2022 s. 12; No. 27 of 2023 s. 8.]</w:t>
      </w:r>
    </w:p>
    <w:p>
      <w:pPr>
        <w:pStyle w:val="Heading5"/>
        <w:rPr>
          <w:snapToGrid w:val="0"/>
        </w:rPr>
      </w:pPr>
      <w:bookmarkStart w:id="143" w:name="_Toc202366144"/>
      <w:r>
        <w:rPr>
          <w:rStyle w:val="CharSectno"/>
        </w:rPr>
        <w:t>76</w:t>
      </w:r>
      <w:r>
        <w:rPr>
          <w:snapToGrid w:val="0"/>
        </w:rPr>
        <w:t>.</w:t>
      </w:r>
      <w:r>
        <w:rPr>
          <w:snapToGrid w:val="0"/>
        </w:rPr>
        <w:tab/>
        <w:t>Priorities as to mining tenements</w:t>
      </w:r>
      <w:bookmarkEnd w:id="143"/>
    </w:p>
    <w:p>
      <w:pPr>
        <w:pStyle w:val="Subsection"/>
        <w:keepNext/>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[Section 76 amended: No. 100 of 1985 s. 52; No. 22 of 1990 s. 23; No. 37 of 1993 s. 12(2).]</w:t>
      </w:r>
    </w:p>
    <w:p>
      <w:pPr>
        <w:pStyle w:val="Ednotesection"/>
        <w:ind w:left="890" w:hanging="890"/>
      </w:pPr>
      <w:r>
        <w:t>[</w:t>
      </w:r>
      <w:r>
        <w:rPr>
          <w:b/>
        </w:rPr>
        <w:t>77.</w:t>
      </w:r>
      <w:r>
        <w:tab/>
        <w:t>Deleted: No. 122 of 1982 s. 22.]</w:t>
      </w:r>
    </w:p>
    <w:p>
      <w:pPr>
        <w:pStyle w:val="Heading5"/>
        <w:rPr>
          <w:snapToGrid w:val="0"/>
        </w:rPr>
      </w:pPr>
      <w:bookmarkStart w:id="144" w:name="_Toc202366145"/>
      <w:r>
        <w:rPr>
          <w:rStyle w:val="CharSectno"/>
        </w:rPr>
        <w:lastRenderedPageBreak/>
        <w:t>78</w:t>
      </w:r>
      <w:r>
        <w:rPr>
          <w:snapToGrid w:val="0"/>
        </w:rPr>
        <w:t>.</w:t>
      </w:r>
      <w:r>
        <w:rPr>
          <w:snapToGrid w:val="0"/>
        </w:rPr>
        <w:tab/>
        <w:t>Term of leases, options and renewals</w:t>
      </w:r>
      <w:bookmarkEnd w:id="144"/>
    </w:p>
    <w:p>
      <w:pPr>
        <w:pStyle w:val="Subsection"/>
        <w:rPr>
          <w:snapToGrid w:val="0"/>
        </w:rPr>
      </w:pPr>
      <w:r>
        <w:rPr>
          <w:snapToGrid w:val="0"/>
        </w:rPr>
        <w:tab/>
        <w:t>(1)</w:t>
      </w:r>
      <w:r>
        <w:rPr>
          <w:snapToGrid w:val="0"/>
        </w:rPr>
        <w:tab/>
        <w:t>Subject to this Act, a mining lease shall remain in force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mining lease transfers the lease; or</w:t>
      </w:r>
    </w:p>
    <w:p>
      <w:pPr>
        <w:pStyle w:val="Indenta"/>
        <w:keepNext/>
        <w:rPr>
          <w:snapToGrid w:val="0"/>
        </w:rPr>
      </w:pPr>
      <w:r>
        <w:rPr>
          <w:snapToGrid w:val="0"/>
        </w:rPr>
        <w:tab/>
        <w:t>(b)</w:t>
      </w:r>
      <w:r>
        <w:rPr>
          <w:snapToGrid w:val="0"/>
        </w:rPr>
        <w:tab/>
        <w:t>where there are 2 or more holders of the mining lease, a holder transfers the holder’s interest in the lease,</w:t>
      </w:r>
    </w:p>
    <w:p>
      <w:pPr>
        <w:pStyle w:val="Subsection"/>
        <w:keepNext/>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78 inserted: No. 100 of 1985 s. 53; amended: No. 1 of 1986 s. 5; No. 57 of 1997 s. 89(3); No. 17 of 1999 s. 14.]</w:t>
      </w:r>
    </w:p>
    <w:p>
      <w:pPr>
        <w:pStyle w:val="Heading5"/>
        <w:keepLines w:val="0"/>
        <w:spacing w:before="180"/>
        <w:rPr>
          <w:snapToGrid w:val="0"/>
        </w:rPr>
      </w:pPr>
      <w:bookmarkStart w:id="145" w:name="_Toc202366146"/>
      <w:r>
        <w:rPr>
          <w:rStyle w:val="CharSectno"/>
        </w:rPr>
        <w:t>79</w:t>
      </w:r>
      <w:r>
        <w:rPr>
          <w:snapToGrid w:val="0"/>
        </w:rPr>
        <w:t>.</w:t>
      </w:r>
      <w:r>
        <w:rPr>
          <w:snapToGrid w:val="0"/>
        </w:rPr>
        <w:tab/>
        <w:t>Approval of application</w:t>
      </w:r>
      <w:bookmarkEnd w:id="145"/>
    </w:p>
    <w:p>
      <w:pPr>
        <w:pStyle w:val="Subsection"/>
        <w:spacing w:before="120"/>
        <w:rPr>
          <w:snapToGrid w:val="0"/>
        </w:rPr>
      </w:pPr>
      <w:r>
        <w:rPr>
          <w:snapToGrid w:val="0"/>
        </w:rPr>
        <w:tab/>
        <w:t>(1)</w:t>
      </w:r>
      <w:r>
        <w:rPr>
          <w:snapToGrid w:val="0"/>
        </w:rPr>
        <w:tab/>
        <w:t xml:space="preserve">Where a person has applied for a mining lease and has been notified in writing by or on behalf of the Minister that the Minister has granted the mining lease to which the application </w:t>
      </w:r>
      <w:r>
        <w:rPr>
          <w:snapToGrid w:val="0"/>
        </w:rPr>
        <w:lastRenderedPageBreak/>
        <w:t>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146" w:name="_Toc202366147"/>
      <w:r>
        <w:rPr>
          <w:rStyle w:val="CharSectno"/>
        </w:rPr>
        <w:t>80</w:t>
      </w:r>
      <w:r>
        <w:rPr>
          <w:snapToGrid w:val="0"/>
        </w:rPr>
        <w:t>.</w:t>
      </w:r>
      <w:r>
        <w:rPr>
          <w:snapToGrid w:val="0"/>
        </w:rPr>
        <w:tab/>
        <w:t>Surveys of mining leases</w:t>
      </w:r>
      <w:bookmarkEnd w:id="146"/>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deleted]</w:t>
      </w:r>
    </w:p>
    <w:p>
      <w:pPr>
        <w:pStyle w:val="Footnotesection"/>
        <w:ind w:left="890" w:hanging="890"/>
      </w:pPr>
      <w:r>
        <w:tab/>
        <w:t>[Section 80 inserted: No. 100 of 1985 s. 54; amended: No. 37 of 1993 s. 28(1).]</w:t>
      </w:r>
    </w:p>
    <w:p>
      <w:pPr>
        <w:pStyle w:val="Ednotesection"/>
        <w:ind w:left="890" w:hanging="890"/>
      </w:pPr>
      <w:r>
        <w:t>[</w:t>
      </w:r>
      <w:r>
        <w:rPr>
          <w:b/>
        </w:rPr>
        <w:t>81.</w:t>
      </w:r>
      <w:r>
        <w:tab/>
        <w:t>Deleted: No. 100 of 1985 s. 55.]</w:t>
      </w:r>
    </w:p>
    <w:p>
      <w:pPr>
        <w:pStyle w:val="Heading5"/>
        <w:rPr>
          <w:snapToGrid w:val="0"/>
        </w:rPr>
      </w:pPr>
      <w:bookmarkStart w:id="147" w:name="_Toc202366148"/>
      <w:r>
        <w:rPr>
          <w:rStyle w:val="CharSectno"/>
        </w:rPr>
        <w:t>82</w:t>
      </w:r>
      <w:r>
        <w:rPr>
          <w:snapToGrid w:val="0"/>
        </w:rPr>
        <w:t>.</w:t>
      </w:r>
      <w:r>
        <w:rPr>
          <w:snapToGrid w:val="0"/>
        </w:rPr>
        <w:tab/>
        <w:t>Covenants and conditions of lease</w:t>
      </w:r>
      <w:bookmarkEnd w:id="147"/>
    </w:p>
    <w:p>
      <w:pPr>
        <w:pStyle w:val="Subsection"/>
        <w:keepNext/>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lastRenderedPageBreak/>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not use ground disturbing equipment when mining on such land unless —</w:t>
      </w:r>
    </w:p>
    <w:p>
      <w:pPr>
        <w:pStyle w:val="Indenti"/>
      </w:pPr>
      <w:r>
        <w:tab/>
        <w:t>(i)</w:t>
      </w:r>
      <w:r>
        <w:tab/>
        <w:t>the lessee has lodged in the prescribed manner a programme of work in respect of that use and has paid the prescribed assessment fee in respect of the programme and the programme has been 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r>
      <w:r>
        <w:t xml:space="preserve">lodge, in the prescribed manner, </w:t>
      </w:r>
      <w:r>
        <w:rPr>
          <w:snapToGrid w:val="0"/>
        </w:rPr>
        <w:t>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pPr>
      <w:r>
        <w:tab/>
        <w:t>(ga)</w:t>
      </w:r>
      <w:r>
        <w:tab/>
        <w:t xml:space="preserve">in accordance with section 84AA — </w:t>
      </w:r>
    </w:p>
    <w:p>
      <w:pPr>
        <w:pStyle w:val="Indenti"/>
      </w:pPr>
      <w:r>
        <w:tab/>
        <w:t>(i)</w:t>
      </w:r>
      <w:r>
        <w:tab/>
        <w:t>review the mine closure plan contained in a relevant mining proposal; and</w:t>
      </w:r>
    </w:p>
    <w:p>
      <w:pPr>
        <w:pStyle w:val="Indenti"/>
      </w:pPr>
      <w:r>
        <w:tab/>
        <w:t>(ii)</w:t>
      </w:r>
      <w:r>
        <w:tab/>
        <w:t>obtain the written approval for the reviewed mine closure plan from a prescribed official;</w:t>
      </w:r>
    </w:p>
    <w:p>
      <w:pPr>
        <w:pStyle w:val="Indenta"/>
        <w:rPr>
          <w:snapToGrid w:val="0"/>
        </w:rPr>
      </w:pPr>
      <w:r>
        <w:rPr>
          <w:snapToGrid w:val="0"/>
        </w:rPr>
        <w:tab/>
        <w:t>(g)</w:t>
      </w:r>
      <w:r>
        <w:rPr>
          <w:snapToGrid w:val="0"/>
        </w:rPr>
        <w:tab/>
        <w:t xml:space="preserve">be liable to have the lease forfeited if he is in breach of any of the covenants or conditions of the lease, if he fails to comply with any requirement under </w:t>
      </w:r>
      <w:r>
        <w:rPr>
          <w:snapToGrid w:val="0"/>
        </w:rPr>
        <w:lastRenderedPageBreak/>
        <w:t>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Ednotesubsection"/>
      </w:pPr>
      <w:r>
        <w:tab/>
        <w:t>[(1a)</w:t>
      </w:r>
      <w:r>
        <w:tab/>
        <w:t>deleted]</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keepNext/>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[Section 82 amended: No. 100 of 1985 s. 56; No. 22 of 1990 s. 38; No. 37 of 1993 s. 28(1); No. 58 of 1994 s. 30; No. 54 of 1996 s. 12; No. 17 of 1999 s. 15(2); No. 15 of 2002 s. 28; No. 39 of 2004 s. 32(1), (2), 38, 45 and 97(3); No. 12 of 2010 s. 9 and 33; No. 51 of 2012 s. 24.]</w:t>
      </w:r>
    </w:p>
    <w:p>
      <w:pPr>
        <w:pStyle w:val="Heading5"/>
      </w:pPr>
      <w:bookmarkStart w:id="148" w:name="_Toc202366149"/>
      <w:r>
        <w:rPr>
          <w:rStyle w:val="CharSectno"/>
        </w:rPr>
        <w:lastRenderedPageBreak/>
        <w:t>82A</w:t>
      </w:r>
      <w:r>
        <w:t>.</w:t>
      </w:r>
      <w:r>
        <w:tab/>
        <w:t>Condition to be included in certain mining leases</w:t>
      </w:r>
      <w:bookmarkEnd w:id="148"/>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Every mining lease to which this section applies shall be deemed to be granted subject to a condition requiring the lessee, before the lessee carries out mining operations of a prescribed kind on any part of the land the subject of the mining lease —</w:t>
      </w:r>
    </w:p>
    <w:p>
      <w:pPr>
        <w:pStyle w:val="Indenta"/>
      </w:pPr>
      <w:r>
        <w:tab/>
        <w:t>(a)</w:t>
      </w:r>
      <w:r>
        <w:tab/>
        <w:t>to lodge in the prescribed manner a mining proposal in respect of those operations; and</w:t>
      </w:r>
    </w:p>
    <w:p>
      <w:pPr>
        <w:pStyle w:val="Indenta"/>
      </w:pPr>
      <w:r>
        <w:tab/>
        <w:t>(ba)</w:t>
      </w:r>
      <w:r>
        <w:tab/>
        <w:t>to pay the prescribed assessment fee in respect of the mining proposal; and</w:t>
      </w:r>
    </w:p>
    <w:p>
      <w:pPr>
        <w:pStyle w:val="Indenta"/>
      </w:pPr>
      <w:r>
        <w:tab/>
        <w:t>(b)</w:t>
      </w:r>
      <w:r>
        <w:tab/>
        <w:t>to obtain written approval for the mining proposal from a prescribed official.</w:t>
      </w:r>
    </w:p>
    <w:p>
      <w:pPr>
        <w:pStyle w:val="Footnotesection"/>
        <w:ind w:left="890" w:hanging="890"/>
      </w:pPr>
      <w:r>
        <w:tab/>
        <w:t>[Section 82A inserted: No. 39 of 2004 s. 33; amended: No. 51 of 2012 s. 25.]</w:t>
      </w:r>
    </w:p>
    <w:p>
      <w:pPr>
        <w:pStyle w:val="Heading5"/>
        <w:rPr>
          <w:snapToGrid w:val="0"/>
        </w:rPr>
      </w:pPr>
      <w:bookmarkStart w:id="149" w:name="_Toc202366150"/>
      <w:r>
        <w:rPr>
          <w:rStyle w:val="CharSectno"/>
        </w:rPr>
        <w:t>83</w:t>
      </w:r>
      <w:r>
        <w:rPr>
          <w:snapToGrid w:val="0"/>
        </w:rPr>
        <w:t>.</w:t>
      </w:r>
      <w:r>
        <w:rPr>
          <w:snapToGrid w:val="0"/>
        </w:rPr>
        <w:tab/>
        <w:t>Issue of mining leases</w:t>
      </w:r>
      <w:bookmarkEnd w:id="149"/>
    </w:p>
    <w:p>
      <w:pPr>
        <w:pStyle w:val="Subsection"/>
        <w:rPr>
          <w:snapToGrid w:val="0"/>
        </w:rPr>
      </w:pPr>
      <w:r>
        <w:rPr>
          <w:snapToGrid w:val="0"/>
        </w:rPr>
        <w:tab/>
        <w:t>(1)</w:t>
      </w:r>
      <w:r>
        <w:rPr>
          <w:snapToGrid w:val="0"/>
        </w:rPr>
        <w:tab/>
        <w:t>Every mining lease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keepNext/>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w:t>
      </w:r>
    </w:p>
    <w:p>
      <w:pPr>
        <w:pStyle w:val="Indenti"/>
        <w:rPr>
          <w:snapToGrid w:val="0"/>
        </w:rPr>
      </w:pPr>
      <w:r>
        <w:rPr>
          <w:snapToGrid w:val="0"/>
        </w:rPr>
        <w:lastRenderedPageBreak/>
        <w:tab/>
        <w:t>(i)</w:t>
      </w:r>
      <w:r>
        <w:rPr>
          <w:snapToGrid w:val="0"/>
        </w:rPr>
        <w:tab/>
        <w:t>endorsed with the word “duplicate” on its front page; and</w:t>
      </w:r>
    </w:p>
    <w:p>
      <w:pPr>
        <w:pStyle w:val="Indenti"/>
        <w:keepNext/>
        <w:rPr>
          <w:snapToGrid w:val="0"/>
        </w:rPr>
      </w:pPr>
      <w:r>
        <w:rPr>
          <w:snapToGrid w:val="0"/>
        </w:rPr>
        <w:tab/>
        <w:t>(ii)</w:t>
      </w:r>
      <w:r>
        <w:rPr>
          <w:snapToGrid w:val="0"/>
        </w:rPr>
        <w:tab/>
        <w:t>issued to the lessee on payment of the prescribed fee.</w:t>
      </w:r>
    </w:p>
    <w:p>
      <w:pPr>
        <w:pStyle w:val="Footnotesection"/>
        <w:ind w:left="890" w:hanging="890"/>
      </w:pPr>
      <w:r>
        <w:tab/>
        <w:t>[Section 83 amended: No. 37 of 1993 s. 11.]</w:t>
      </w:r>
    </w:p>
    <w:p>
      <w:pPr>
        <w:pStyle w:val="Heading5"/>
      </w:pPr>
      <w:bookmarkStart w:id="150" w:name="_Toc202366151"/>
      <w:r>
        <w:rPr>
          <w:rStyle w:val="CharSectno"/>
        </w:rPr>
        <w:t>84AA</w:t>
      </w:r>
      <w:r>
        <w:t>.</w:t>
      </w:r>
      <w:r>
        <w:tab/>
        <w:t>Review of mine closure plans</w:t>
      </w:r>
      <w:bookmarkEnd w:id="150"/>
    </w:p>
    <w:p>
      <w:pPr>
        <w:pStyle w:val="Subsection"/>
      </w:pPr>
      <w:r>
        <w:tab/>
        <w:t>(1)</w:t>
      </w:r>
      <w:r>
        <w:tab/>
        <w:t xml:space="preserve">The lessee of a mining lease must ensure that the mine closure plan contained in a relevant mining proposal is reviewed — </w:t>
      </w:r>
    </w:p>
    <w:p>
      <w:pPr>
        <w:pStyle w:val="Defpara"/>
      </w:pPr>
      <w:r>
        <w:tab/>
        <w:t>(a)</w:t>
      </w:r>
      <w:r>
        <w:tab/>
        <w:t>in the case of a mining proposal that accompanied the application for the mining lease under section 74(1)(ca), no later than 3 years after the lease is granted; or</w:t>
      </w:r>
    </w:p>
    <w:p>
      <w:pPr>
        <w:pStyle w:val="Defpara"/>
      </w:pPr>
      <w:r>
        <w:tab/>
        <w:t>(b)</w:t>
      </w:r>
      <w:r>
        <w:tab/>
        <w:t>in the case of a mining proposal for which there is approval as described in section 82A(2)(b), no later than 3 years after the approval; or</w:t>
      </w:r>
    </w:p>
    <w:p>
      <w:pPr>
        <w:pStyle w:val="Indenta"/>
      </w:pPr>
      <w:r>
        <w:tab/>
        <w:t>(c)</w:t>
      </w:r>
      <w:r>
        <w:tab/>
        <w:t>no later than such other time as is approved in writing by a prescribed official.</w:t>
      </w:r>
    </w:p>
    <w:p>
      <w:pPr>
        <w:pStyle w:val="Subsection"/>
      </w:pPr>
      <w:r>
        <w:tab/>
        <w:t>(2)</w:t>
      </w:r>
      <w:r>
        <w:tab/>
        <w:t xml:space="preserve">The lessee of a mining lease must ensure that a mine closure plan is reviewed no later than — </w:t>
      </w:r>
    </w:p>
    <w:p>
      <w:pPr>
        <w:pStyle w:val="Indenta"/>
      </w:pPr>
      <w:r>
        <w:tab/>
        <w:t>(a)</w:t>
      </w:r>
      <w:r>
        <w:tab/>
        <w:t xml:space="preserve">3 years after its most recent review; or </w:t>
      </w:r>
    </w:p>
    <w:p>
      <w:pPr>
        <w:pStyle w:val="Indenta"/>
      </w:pPr>
      <w:r>
        <w:tab/>
        <w:t>(b)</w:t>
      </w:r>
      <w:r>
        <w:tab/>
        <w:t>such other time as is approved in writing by a prescribed official.</w:t>
      </w:r>
    </w:p>
    <w:p>
      <w:pPr>
        <w:pStyle w:val="Subsection"/>
        <w:keepNext/>
      </w:pPr>
      <w:r>
        <w:tab/>
        <w:t>(3)</w:t>
      </w:r>
      <w:r>
        <w:tab/>
        <w:t>The lessee of a mining lease must ensure that a reviewed mine closure plan is lodged, for the approval of a prescribed official, in the prescribed manner and within the prescribed time.</w:t>
      </w:r>
    </w:p>
    <w:p>
      <w:pPr>
        <w:pStyle w:val="Footnotesection"/>
      </w:pPr>
      <w:r>
        <w:tab/>
        <w:t>[Section 84AA inserted: No. 12 of 2010 s. 10.]</w:t>
      </w:r>
    </w:p>
    <w:p>
      <w:pPr>
        <w:pStyle w:val="Heading5"/>
        <w:rPr>
          <w:snapToGrid w:val="0"/>
        </w:rPr>
      </w:pPr>
      <w:bookmarkStart w:id="151" w:name="_Toc202366152"/>
      <w:r>
        <w:rPr>
          <w:rStyle w:val="CharSectno"/>
        </w:rPr>
        <w:t>84</w:t>
      </w:r>
      <w:r>
        <w:rPr>
          <w:snapToGrid w:val="0"/>
        </w:rPr>
        <w:t>.</w:t>
      </w:r>
      <w:r>
        <w:rPr>
          <w:snapToGrid w:val="0"/>
        </w:rPr>
        <w:tab/>
        <w:t>Conditions for prevention or reduction of injury to land</w:t>
      </w:r>
      <w:bookmarkEnd w:id="151"/>
    </w:p>
    <w:p>
      <w:pPr>
        <w:pStyle w:val="Subsection"/>
        <w:rPr>
          <w:snapToGrid w:val="0"/>
        </w:rPr>
      </w:pPr>
      <w:r>
        <w:rPr>
          <w:snapToGrid w:val="0"/>
        </w:rPr>
        <w:tab/>
        <w:t>(1)</w:t>
      </w:r>
      <w:r>
        <w:rPr>
          <w:snapToGrid w:val="0"/>
        </w:rPr>
        <w:tab/>
        <w:t xml:space="preserve">On the granting of a mining lease, or at any subsequent time, the Minister may impose on the lessee reasonable conditions for the purpose of preventing or reducing, or making good, injury to the land in respect of which the lease is sought or was granted, or </w:t>
      </w:r>
      <w:r>
        <w:rPr>
          <w:snapToGrid w:val="0"/>
        </w:rPr>
        <w:lastRenderedPageBreak/>
        <w:t>injury to anything on or below the natural surface of that land or consequential damage to any other land.</w:t>
      </w:r>
    </w:p>
    <w:p>
      <w:pPr>
        <w:pStyle w:val="Subsection"/>
        <w:spacing w:before="200"/>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 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keepNext/>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[Section 84 amended: No. 100 of 1985 s. 57; No. 12 of 2010 s. 11.]</w:t>
      </w:r>
    </w:p>
    <w:p>
      <w:pPr>
        <w:pStyle w:val="Heading5"/>
        <w:spacing w:before="260"/>
      </w:pPr>
      <w:bookmarkStart w:id="152" w:name="_Toc202366153"/>
      <w:r>
        <w:rPr>
          <w:rStyle w:val="CharSectno"/>
        </w:rPr>
        <w:t>84A</w:t>
      </w:r>
      <w:r>
        <w:t>.</w:t>
      </w:r>
      <w:r>
        <w:tab/>
        <w:t>Security relating to mining lease</w:t>
      </w:r>
      <w:bookmarkEnd w:id="152"/>
    </w:p>
    <w:p>
      <w:pPr>
        <w:pStyle w:val="Subsection"/>
        <w:spacing w:before="200"/>
      </w:pPr>
      <w:r>
        <w:tab/>
        <w:t>(1)</w:t>
      </w:r>
      <w:r>
        <w:tab/>
        <w:t>The applicant for a mining lease shall lodge, in the prescribed manner and within the prescribed period, a security for compliance with —</w:t>
      </w:r>
    </w:p>
    <w:p>
      <w:pPr>
        <w:pStyle w:val="Indenta"/>
      </w:pPr>
      <w:r>
        <w:lastRenderedPageBreak/>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 in the prescribed manner and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keepNext/>
      </w:pPr>
      <w:r>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No. 39 of 2004 s. 39(1); amended: No. 12 of 2010 s. 34.]</w:t>
      </w:r>
    </w:p>
    <w:p>
      <w:pPr>
        <w:pStyle w:val="Heading5"/>
        <w:rPr>
          <w:snapToGrid w:val="0"/>
        </w:rPr>
      </w:pPr>
      <w:bookmarkStart w:id="153" w:name="_Toc202366154"/>
      <w:r>
        <w:rPr>
          <w:rStyle w:val="CharSectno"/>
        </w:rPr>
        <w:t>85</w:t>
      </w:r>
      <w:r>
        <w:rPr>
          <w:snapToGrid w:val="0"/>
        </w:rPr>
        <w:t>.</w:t>
      </w:r>
      <w:r>
        <w:rPr>
          <w:snapToGrid w:val="0"/>
        </w:rPr>
        <w:tab/>
        <w:t>Rights of holder of mining lease</w:t>
      </w:r>
      <w:bookmarkEnd w:id="153"/>
    </w:p>
    <w:p>
      <w:pPr>
        <w:pStyle w:val="Subsection"/>
        <w:keepNext/>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w:t>
      </w:r>
    </w:p>
    <w:p>
      <w:pPr>
        <w:pStyle w:val="Indenta"/>
        <w:rPr>
          <w:snapToGrid w:val="0"/>
        </w:rPr>
      </w:pPr>
      <w:r>
        <w:rPr>
          <w:snapToGrid w:val="0"/>
        </w:rPr>
        <w:tab/>
        <w:t>(a)</w:t>
      </w:r>
      <w:r>
        <w:rPr>
          <w:snapToGrid w:val="0"/>
        </w:rPr>
        <w:tab/>
        <w:t>work and mine the land in respect of which the lease was granted for any minerals; and</w:t>
      </w:r>
    </w:p>
    <w:p>
      <w:pPr>
        <w:pStyle w:val="Indenta"/>
        <w:rPr>
          <w:snapToGrid w:val="0"/>
        </w:rPr>
      </w:pPr>
      <w:r>
        <w:rPr>
          <w:snapToGrid w:val="0"/>
        </w:rPr>
        <w:tab/>
        <w:t>(b)</w:t>
      </w:r>
      <w:r>
        <w:rPr>
          <w:snapToGrid w:val="0"/>
        </w:rPr>
        <w:tab/>
        <w:t>take and remove from the land any minerals and dispose of them; and</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xml:space="preserve">, or any Act amending or replacing the relevant provisions of that Act, water from any natural spring, lake, pool or stream situate in or flowing through such land or from any excavation previously made and used for mining purposes, and subject to that </w:t>
      </w:r>
      <w:r>
        <w:rPr>
          <w:snapToGrid w:val="0"/>
        </w:rPr>
        <w:lastRenderedPageBreak/>
        <w:t>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keepNext/>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[Section 85 amended: No. 100 of 1985 s. 58; No. 39 of 2004 s. 34.]</w:t>
      </w:r>
    </w:p>
    <w:p>
      <w:pPr>
        <w:pStyle w:val="Heading5"/>
        <w:rPr>
          <w:snapToGrid w:val="0"/>
        </w:rPr>
      </w:pPr>
      <w:bookmarkStart w:id="154" w:name="_Toc202366155"/>
      <w:r>
        <w:rPr>
          <w:rStyle w:val="CharSectno"/>
        </w:rPr>
        <w:t>85A</w:t>
      </w:r>
      <w:r>
        <w:rPr>
          <w:snapToGrid w:val="0"/>
        </w:rPr>
        <w:t>.</w:t>
      </w:r>
      <w:r>
        <w:rPr>
          <w:snapToGrid w:val="0"/>
        </w:rPr>
        <w:tab/>
        <w:t>Land the subject of mining lease not to be again marked out for a certain period</w:t>
      </w:r>
      <w:bookmarkEnd w:id="154"/>
    </w:p>
    <w:p>
      <w:pPr>
        <w:pStyle w:val="Subsection"/>
        <w:keepNext/>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mining lease immediately prior to the date of the surrender, forfeiture or expiry; or</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lastRenderedPageBreak/>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[Section 85A inserted: No. 37 of 1993 s. 12(1); amended: No. 15 of 2002 s. 16.]</w:t>
      </w:r>
    </w:p>
    <w:p>
      <w:pPr>
        <w:pStyle w:val="Heading5"/>
        <w:keepNext w:val="0"/>
        <w:keepLines w:val="0"/>
        <w:rPr>
          <w:snapToGrid w:val="0"/>
        </w:rPr>
      </w:pPr>
      <w:bookmarkStart w:id="155" w:name="_Toc202366156"/>
      <w:r>
        <w:rPr>
          <w:rStyle w:val="CharSectno"/>
        </w:rPr>
        <w:t>85B</w:t>
      </w:r>
      <w:r>
        <w:rPr>
          <w:snapToGrid w:val="0"/>
        </w:rPr>
        <w:t>.</w:t>
      </w:r>
      <w:r>
        <w:rPr>
          <w:snapToGrid w:val="0"/>
        </w:rPr>
        <w:tab/>
        <w:t>Special prospecting licence on a mining lease</w:t>
      </w:r>
      <w:bookmarkEnd w:id="155"/>
    </w:p>
    <w:p>
      <w:pPr>
        <w:pStyle w:val="Subsection"/>
        <w:rPr>
          <w:snapToGrid w:val="0"/>
        </w:rPr>
      </w:pPr>
      <w:r>
        <w:rPr>
          <w:snapToGrid w:val="0"/>
        </w:rPr>
        <w:tab/>
        <w:t>(1)</w:t>
      </w:r>
      <w:r>
        <w:rPr>
          <w:snapToGrid w:val="0"/>
        </w:rPr>
        <w:tab/>
        <w:t>Where any land is the subject of a mining lease (in this section called</w:t>
      </w:r>
      <w:r>
        <w:t xml:space="preserve"> the </w:t>
      </w:r>
      <w:r>
        <w:rPr>
          <w:rStyle w:val="CharDefText"/>
        </w:rPr>
        <w:t>primary tenement</w:t>
      </w:r>
      <w:r>
        <w:rPr>
          <w:snapToGrid w:val="0"/>
        </w:rPr>
        <w:t xml:space="preserve">) then, notwithstanding section 117, a person may at any time 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authorises the holder of the special prospecting licence to prospect only for gold; and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lastRenderedPageBreak/>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 xml:space="preserve">ceases (and the land in respect of which it was granted reverts to the holder of the primary tenement as an integral part of the mining tenement held by that person) </w:t>
      </w:r>
      <w:r>
        <w:rPr>
          <w:snapToGrid w:val="0"/>
        </w:rPr>
        <w:lastRenderedPageBreak/>
        <w:t>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keepNext/>
        <w:rPr>
          <w:snapToGrid w:val="0"/>
        </w:rPr>
      </w:pPr>
      <w:r>
        <w:rPr>
          <w:snapToGrid w:val="0"/>
        </w:rPr>
        <w:lastRenderedPageBreak/>
        <w:tab/>
        <w:t>(8)</w:t>
      </w:r>
      <w:r>
        <w:rPr>
          <w:snapToGrid w:val="0"/>
        </w:rPr>
        <w:tab/>
        <w:t>A mining lease granted pursuant to subsection (7)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keepNext/>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spacing w:before="100"/>
        <w:rPr>
          <w:snapToGrid w:val="0"/>
        </w:rPr>
      </w:pPr>
      <w:r>
        <w:rPr>
          <w:snapToGrid w:val="0"/>
        </w:rPr>
        <w:tab/>
      </w:r>
      <w:r>
        <w:rPr>
          <w:snapToGrid w:val="0"/>
        </w:rPr>
        <w:tab/>
        <w:t>granted under this section.</w:t>
      </w:r>
    </w:p>
    <w:p>
      <w:pPr>
        <w:pStyle w:val="Subsection"/>
        <w:spacing w:before="100"/>
      </w:pPr>
      <w:r>
        <w:tab/>
        <w:t>(9a)</w:t>
      </w:r>
      <w:r>
        <w:tab/>
        <w:t xml:space="preserve">Where, before the determination of an application for a special </w:t>
      </w:r>
      <w:r>
        <w:rPr>
          <w:snapToGrid w:val="0"/>
        </w:rPr>
        <w:t>prospecting</w:t>
      </w:r>
      <w:r>
        <w:t xml:space="preserve">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spacing w:before="100"/>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spacing w:before="100"/>
        <w:rPr>
          <w:snapToGrid w:val="0"/>
        </w:rPr>
      </w:pPr>
      <w:r>
        <w:rPr>
          <w:snapToGrid w:val="0"/>
        </w:rPr>
        <w:lastRenderedPageBreak/>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[Section 85B inserted: No. 37 of 1993 s. 12(1); amended: No. 58 of 1994 s. 31; No. 54 of 1996 s. 13 and 23; No. 10 of 2001 s. 134; No. 15 of 2002 s. 17; No. 39 of 2004 s. 10.]</w:t>
      </w:r>
    </w:p>
    <w:p>
      <w:pPr>
        <w:pStyle w:val="Heading3"/>
        <w:keepLines/>
      </w:pPr>
      <w:bookmarkStart w:id="156" w:name="_Toc202186701"/>
      <w:bookmarkStart w:id="157" w:name="_Toc202366157"/>
      <w:r>
        <w:rPr>
          <w:rStyle w:val="CharDivNo"/>
        </w:rPr>
        <w:t>Division 4</w:t>
      </w:r>
      <w:r>
        <w:rPr>
          <w:snapToGrid w:val="0"/>
        </w:rPr>
        <w:t> — </w:t>
      </w:r>
      <w:r>
        <w:rPr>
          <w:rStyle w:val="CharDivText"/>
        </w:rPr>
        <w:t>General purpose lease</w:t>
      </w:r>
      <w:bookmarkEnd w:id="156"/>
      <w:bookmarkEnd w:id="157"/>
    </w:p>
    <w:p>
      <w:pPr>
        <w:pStyle w:val="Ednotesection"/>
        <w:keepNext/>
        <w:keepLines/>
      </w:pPr>
      <w:r>
        <w:t>[</w:t>
      </w:r>
      <w:r>
        <w:rPr>
          <w:b/>
        </w:rPr>
        <w:t>85C.</w:t>
      </w:r>
      <w:r>
        <w:tab/>
        <w:t>Deleted: No. 52 of 1995 s. 30.]</w:t>
      </w:r>
    </w:p>
    <w:p>
      <w:pPr>
        <w:pStyle w:val="Heading5"/>
        <w:rPr>
          <w:snapToGrid w:val="0"/>
        </w:rPr>
      </w:pPr>
      <w:bookmarkStart w:id="158" w:name="_Toc202366158"/>
      <w:r>
        <w:rPr>
          <w:rStyle w:val="CharSectno"/>
        </w:rPr>
        <w:t>86</w:t>
      </w:r>
      <w:r>
        <w:rPr>
          <w:snapToGrid w:val="0"/>
        </w:rPr>
        <w:t>.</w:t>
      </w:r>
      <w:r>
        <w:rPr>
          <w:snapToGrid w:val="0"/>
        </w:rPr>
        <w:tab/>
        <w:t>Grant of general purpose lease</w:t>
      </w:r>
      <w:bookmarkEnd w:id="158"/>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tabs>
          <w:tab w:val="left" w:pos="3363"/>
        </w:tabs>
        <w:rPr>
          <w:snapToGrid w:val="0"/>
        </w:rPr>
      </w:pPr>
      <w:r>
        <w:rPr>
          <w:snapToGrid w:val="0"/>
        </w:rPr>
        <w:tab/>
        <w:t>(3)</w:t>
      </w:r>
      <w:r>
        <w:rPr>
          <w:snapToGrid w:val="0"/>
        </w:rPr>
        <w:tab/>
        <w:t xml:space="preserve">The area of land in respect of which any one general purpose lease may be granted shall not exceed 10 ha, unless the Minister is satisfied that a larger area of land is required for the purposes of the lease, and shall be limited to such depth below the natural </w:t>
      </w:r>
      <w:r>
        <w:rPr>
          <w:snapToGrid w:val="0"/>
        </w:rPr>
        <w:lastRenderedPageBreak/>
        <w:t>surface of the land as may be specified in the lease or, where no depth is so specified, to 15 m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ha shall be accompanied by a statement specifying the reasons why such an area of land is required for the purposes of the lease.</w:t>
      </w:r>
    </w:p>
    <w:p>
      <w:pPr>
        <w:pStyle w:val="Footnotesection"/>
        <w:ind w:left="890" w:hanging="890"/>
      </w:pPr>
      <w:r>
        <w:tab/>
        <w:t>[Section 86 amended: No. 100 of 1985 s. 59; No. 58 of 1994 s. 32; No. 17 of 1999 s. 16.]</w:t>
      </w:r>
    </w:p>
    <w:p>
      <w:pPr>
        <w:pStyle w:val="Heading5"/>
        <w:rPr>
          <w:snapToGrid w:val="0"/>
        </w:rPr>
      </w:pPr>
      <w:bookmarkStart w:id="159" w:name="_Toc202366159"/>
      <w:r>
        <w:rPr>
          <w:rStyle w:val="CharSectno"/>
        </w:rPr>
        <w:t>87</w:t>
      </w:r>
      <w:r>
        <w:rPr>
          <w:snapToGrid w:val="0"/>
        </w:rPr>
        <w:t>.</w:t>
      </w:r>
      <w:r>
        <w:rPr>
          <w:snapToGrid w:val="0"/>
        </w:rPr>
        <w:tab/>
        <w:t>Purposes for which general purpose lease may be granted</w:t>
      </w:r>
      <w:bookmarkEnd w:id="159"/>
    </w:p>
    <w:p>
      <w:pPr>
        <w:pStyle w:val="Subsection"/>
        <w:keepNext/>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[Section 87 amended: No. 100 of 1985 s. 60.]</w:t>
      </w:r>
    </w:p>
    <w:p>
      <w:pPr>
        <w:pStyle w:val="Heading5"/>
        <w:rPr>
          <w:snapToGrid w:val="0"/>
        </w:rPr>
      </w:pPr>
      <w:bookmarkStart w:id="160" w:name="_Toc202366160"/>
      <w:r>
        <w:rPr>
          <w:rStyle w:val="CharSectno"/>
        </w:rPr>
        <w:lastRenderedPageBreak/>
        <w:t>88</w:t>
      </w:r>
      <w:r>
        <w:rPr>
          <w:snapToGrid w:val="0"/>
        </w:rPr>
        <w:t>.</w:t>
      </w:r>
      <w:r>
        <w:rPr>
          <w:snapToGrid w:val="0"/>
        </w:rPr>
        <w:tab/>
        <w:t>Term of general purpose lease</w:t>
      </w:r>
      <w:bookmarkEnd w:id="160"/>
    </w:p>
    <w:p>
      <w:pPr>
        <w:pStyle w:val="Subsection"/>
        <w:rPr>
          <w:snapToGrid w:val="0"/>
        </w:rPr>
      </w:pPr>
      <w:r>
        <w:rPr>
          <w:snapToGrid w:val="0"/>
        </w:rPr>
        <w:tab/>
        <w:t>(1)</w:t>
      </w:r>
      <w:r>
        <w:rPr>
          <w:snapToGrid w:val="0"/>
        </w:rPr>
        <w:tab/>
        <w:t>Subject to this Act, a general purpose lease remains in force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for a period of 21 years or until it is sooner surrendered or forfeited.</w:t>
      </w:r>
    </w:p>
    <w:p>
      <w:pPr>
        <w:pStyle w:val="Subsection"/>
        <w:keepNext/>
        <w:spacing w:before="120"/>
        <w:rPr>
          <w:snapToGrid w:val="0"/>
        </w:rPr>
      </w:pPr>
      <w:r>
        <w:rPr>
          <w:snapToGrid w:val="0"/>
        </w:rPr>
        <w:tab/>
        <w:t>(2)</w:t>
      </w:r>
      <w:r>
        <w:rPr>
          <w:snapToGrid w:val="0"/>
        </w:rPr>
        <w:tab/>
        <w:t>Notwithstanding subsection (1), on receipt of an application made in the prescribed manner during the final year of the term of the lease, the Minister —</w:t>
      </w:r>
    </w:p>
    <w:p>
      <w:pPr>
        <w:pStyle w:val="Indenta"/>
        <w:keepNext/>
        <w:rPr>
          <w:snapToGrid w:val="0"/>
        </w:rPr>
      </w:pPr>
      <w:r>
        <w:rPr>
          <w:snapToGrid w:val="0"/>
        </w:rPr>
        <w:tab/>
        <w:t>(a)</w:t>
      </w:r>
      <w:r>
        <w:rPr>
          <w:snapToGrid w:val="0"/>
        </w:rPr>
        <w:tab/>
        <w:t>shall renew the term of the lease as to the whole of the land the subject of the lease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lease renewed under paragraph (a), renew or further renew the term of the lease as to the whole or any part of the land the subject of the lease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spacing w:before="120"/>
        <w:rPr>
          <w:snapToGrid w:val="0"/>
        </w:rPr>
      </w:pPr>
      <w:r>
        <w:rPr>
          <w:snapToGrid w:val="0"/>
        </w:rPr>
        <w:lastRenderedPageBreak/>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spacing w:before="120"/>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spacing w:before="80"/>
        <w:ind w:left="890" w:hanging="890"/>
      </w:pPr>
      <w:r>
        <w:tab/>
        <w:t>[Section 88 inserted: No. 100 of 1985 s. 61; amended: No. 105 of 1986 s. 11; No. 12 of 1987 s. 6; No. 17 of 1999 s. 17.]</w:t>
      </w:r>
    </w:p>
    <w:p>
      <w:pPr>
        <w:pStyle w:val="Heading5"/>
        <w:rPr>
          <w:snapToGrid w:val="0"/>
        </w:rPr>
      </w:pPr>
      <w:bookmarkStart w:id="161" w:name="_Toc202366161"/>
      <w:r>
        <w:rPr>
          <w:rStyle w:val="CharSectno"/>
        </w:rPr>
        <w:t>89</w:t>
      </w:r>
      <w:r>
        <w:rPr>
          <w:snapToGrid w:val="0"/>
        </w:rPr>
        <w:t>.</w:t>
      </w:r>
      <w:r>
        <w:rPr>
          <w:snapToGrid w:val="0"/>
        </w:rPr>
        <w:tab/>
        <w:t>Form of general purpose lease</w:t>
      </w:r>
      <w:bookmarkEnd w:id="161"/>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[Section 89 amended: No. 100 of 1985 s. 62.]</w:t>
      </w:r>
    </w:p>
    <w:p>
      <w:pPr>
        <w:pStyle w:val="Heading5"/>
      </w:pPr>
      <w:bookmarkStart w:id="162" w:name="_Toc202366162"/>
      <w:r>
        <w:rPr>
          <w:rStyle w:val="CharSectno"/>
        </w:rPr>
        <w:t>90</w:t>
      </w:r>
      <w:r>
        <w:t>.</w:t>
      </w:r>
      <w:r>
        <w:tab/>
        <w:t>Application of certain provisions to general purpose leases</w:t>
      </w:r>
      <w:bookmarkEnd w:id="162"/>
    </w:p>
    <w:p>
      <w:pPr>
        <w:pStyle w:val="Subsection"/>
      </w:pPr>
      <w:r>
        <w:tab/>
        <w:t>(1)</w:t>
      </w:r>
      <w:r>
        <w:tab/>
        <w:t>Section 6(1a), (1c) and (1d) apply, with such modifications as the circumstances require, to and in relation to a general purpose lease as if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lastRenderedPageBreak/>
        <w:tab/>
        <w:t>(2)</w:t>
      </w:r>
      <w:r>
        <w:tab/>
        <w:t>Section 74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Section 75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keepNext/>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No. 39 of 2004 s. 91.]</w:t>
      </w:r>
    </w:p>
    <w:p>
      <w:pPr>
        <w:pStyle w:val="Heading3"/>
      </w:pPr>
      <w:bookmarkStart w:id="163" w:name="_Toc202186707"/>
      <w:bookmarkStart w:id="164" w:name="_Toc202366163"/>
      <w:r>
        <w:rPr>
          <w:rStyle w:val="CharDivNo"/>
        </w:rPr>
        <w:t>Division 5</w:t>
      </w:r>
      <w:r>
        <w:rPr>
          <w:snapToGrid w:val="0"/>
        </w:rPr>
        <w:t> — </w:t>
      </w:r>
      <w:r>
        <w:rPr>
          <w:rStyle w:val="CharDivText"/>
        </w:rPr>
        <w:t>Miscellaneous licences</w:t>
      </w:r>
      <w:bookmarkEnd w:id="163"/>
      <w:bookmarkEnd w:id="164"/>
    </w:p>
    <w:p>
      <w:pPr>
        <w:pStyle w:val="Ednotesection"/>
        <w:ind w:left="890" w:hanging="890"/>
      </w:pPr>
      <w:r>
        <w:t>[</w:t>
      </w:r>
      <w:r>
        <w:rPr>
          <w:b/>
        </w:rPr>
        <w:t>90A.</w:t>
      </w:r>
      <w:r>
        <w:rPr>
          <w:b/>
        </w:rPr>
        <w:tab/>
      </w:r>
      <w:r>
        <w:t>Deleted: No. 52 of 1995 s. 31.]</w:t>
      </w:r>
    </w:p>
    <w:p>
      <w:pPr>
        <w:pStyle w:val="Heading5"/>
        <w:keepLines w:val="0"/>
        <w:rPr>
          <w:snapToGrid w:val="0"/>
        </w:rPr>
      </w:pPr>
      <w:bookmarkStart w:id="165" w:name="_Toc202366164"/>
      <w:r>
        <w:rPr>
          <w:rStyle w:val="CharSectno"/>
        </w:rPr>
        <w:t>91</w:t>
      </w:r>
      <w:r>
        <w:rPr>
          <w:snapToGrid w:val="0"/>
        </w:rPr>
        <w:t>.</w:t>
      </w:r>
      <w:r>
        <w:rPr>
          <w:snapToGrid w:val="0"/>
        </w:rPr>
        <w:tab/>
        <w:t>Grant of miscellaneous licence</w:t>
      </w:r>
      <w:bookmarkEnd w:id="165"/>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xml:space="preserve">, or any Act amending or replacing the relevant provisions of that Act, the mining registrar or the warden, in accordance with section 42 (as read with section 92), may, on the application of any person, grant in respect of any land a licence, to be known </w:t>
      </w:r>
      <w:r>
        <w:rPr>
          <w:snapToGrid w:val="0"/>
        </w:rPr>
        <w:lastRenderedPageBreak/>
        <w:t>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w:t>
      </w:r>
    </w:p>
    <w:p>
      <w:pPr>
        <w:pStyle w:val="Indenta"/>
        <w:rPr>
          <w:snapToGrid w:val="0"/>
        </w:rPr>
      </w:pPr>
      <w:r>
        <w:rPr>
          <w:snapToGrid w:val="0"/>
        </w:rPr>
        <w:tab/>
        <w:t>(a)</w:t>
      </w:r>
      <w:r>
        <w:rPr>
          <w:snapToGrid w:val="0"/>
        </w:rPr>
        <w:tab/>
        <w:t>be in the prescribed form; and</w:t>
      </w:r>
    </w:p>
    <w:p>
      <w:pPr>
        <w:pStyle w:val="Indenta"/>
        <w:keepNext/>
        <w:rPr>
          <w:snapToGrid w:val="0"/>
        </w:rPr>
      </w:pPr>
      <w:r>
        <w:rPr>
          <w:snapToGrid w:val="0"/>
        </w:rPr>
        <w:tab/>
        <w:t>(b)</w:t>
      </w:r>
      <w:r>
        <w:rPr>
          <w:snapToGrid w:val="0"/>
        </w:rPr>
        <w:tab/>
        <w:t>authorise the holder to do such matters and things as are specified in the licence.</w:t>
      </w:r>
    </w:p>
    <w:p>
      <w:pPr>
        <w:pStyle w:val="Ednotesubsection"/>
      </w:pPr>
      <w:r>
        <w:tab/>
        <w:t>[(4), (5)</w:t>
      </w:r>
      <w:r>
        <w:tab/>
        <w:t>deleted]</w:t>
      </w:r>
    </w:p>
    <w:p>
      <w:pPr>
        <w:pStyle w:val="Subsection"/>
        <w:rPr>
          <w:snapToGrid w:val="0"/>
        </w:rPr>
      </w:pPr>
      <w:r>
        <w:rPr>
          <w:snapToGrid w:val="0"/>
        </w:rPr>
        <w:tab/>
        <w:t>(6)</w:t>
      </w:r>
      <w:r>
        <w:rPr>
          <w:snapToGrid w:val="0"/>
        </w:rPr>
        <w:tab/>
        <w:t>A miscellaneous licence shall not be granted unless the purpose for which it is granted is directly connected with</w:t>
      </w:r>
      <w:r>
        <w:t xml:space="preserve"> mining.</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[Section 91 inserted: No. 58 of 1994 s. 33; amended: No. 14 of 1996 s. 4; No. 35 of 1998 s. 4(1) and (2); No. 15 of 2002 s. 18; No. 51 of 2012 s. 26.]</w:t>
      </w:r>
    </w:p>
    <w:p>
      <w:pPr>
        <w:pStyle w:val="Heading5"/>
        <w:rPr>
          <w:snapToGrid w:val="0"/>
        </w:rPr>
      </w:pPr>
      <w:bookmarkStart w:id="166" w:name="_Toc202366165"/>
      <w:r>
        <w:rPr>
          <w:rStyle w:val="CharSectno"/>
        </w:rPr>
        <w:lastRenderedPageBreak/>
        <w:t>91A</w:t>
      </w:r>
      <w:r>
        <w:rPr>
          <w:snapToGrid w:val="0"/>
        </w:rPr>
        <w:t>.</w:t>
      </w:r>
      <w:r>
        <w:rPr>
          <w:snapToGrid w:val="0"/>
        </w:rPr>
        <w:tab/>
        <w:t>Term and renewal of existing licence or licence granted in respect of existing application</w:t>
      </w:r>
      <w:bookmarkEnd w:id="166"/>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tab/>
        <w:t>(2)</w:t>
      </w:r>
      <w:r>
        <w:rPr>
          <w:snapToGrid w:val="0"/>
        </w:rPr>
        <w:tab/>
        <w:t>Subject to this Act, a licence to which this section applies remains in force for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keepNext/>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w:t>
      </w:r>
    </w:p>
    <w:p>
      <w:pPr>
        <w:pStyle w:val="Indenta"/>
        <w:keepNext/>
        <w:rPr>
          <w:snapToGrid w:val="0"/>
        </w:rPr>
      </w:pPr>
      <w:r>
        <w:rPr>
          <w:snapToGrid w:val="0"/>
        </w:rPr>
        <w:tab/>
        <w:t>(a)</w:t>
      </w:r>
      <w:r>
        <w:rPr>
          <w:snapToGrid w:val="0"/>
        </w:rPr>
        <w:tab/>
        <w:t>may renew the term of the licence as to the whole or any part of the land the subject of the licence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on such terms and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in the case of a licence renewed under paragraph (a), renew or further renew the term of the licence as to the whole of the land the subject of the licence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lastRenderedPageBreak/>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tab/>
        <w:t>(6)</w:t>
      </w:r>
      <w:r>
        <w:rPr>
          <w:snapToGrid w:val="0"/>
        </w:rPr>
        <w:tab/>
        <w:t>In this section and section 91B —</w:t>
      </w:r>
    </w:p>
    <w:p>
      <w:pPr>
        <w:pStyle w:val="Defstart"/>
      </w:pPr>
      <w:r>
        <w:tab/>
      </w:r>
      <w:r>
        <w:rPr>
          <w:rStyle w:val="CharDefText"/>
        </w:rPr>
        <w:t>commencement</w:t>
      </w:r>
      <w:r>
        <w:t xml:space="preserve"> means the commencement of the </w:t>
      </w:r>
      <w:r>
        <w:rPr>
          <w:i/>
        </w:rPr>
        <w:t>Mining Amendment Act 1998</w:t>
      </w:r>
      <w:r>
        <w:t>.</w:t>
      </w:r>
    </w:p>
    <w:p>
      <w:pPr>
        <w:pStyle w:val="Footnotesection"/>
        <w:keepLines w:val="0"/>
        <w:ind w:left="890" w:hanging="890"/>
      </w:pPr>
      <w:r>
        <w:tab/>
        <w:t>[Section 91A inserted: No. 35 of 1998 s. 5.]</w:t>
      </w:r>
    </w:p>
    <w:p>
      <w:pPr>
        <w:pStyle w:val="Heading5"/>
        <w:rPr>
          <w:snapToGrid w:val="0"/>
        </w:rPr>
      </w:pPr>
      <w:bookmarkStart w:id="167" w:name="_Toc202366166"/>
      <w:r>
        <w:rPr>
          <w:rStyle w:val="CharSectno"/>
        </w:rPr>
        <w:t>91B</w:t>
      </w:r>
      <w:r>
        <w:rPr>
          <w:snapToGrid w:val="0"/>
        </w:rPr>
        <w:t>.</w:t>
      </w:r>
      <w:r>
        <w:rPr>
          <w:snapToGrid w:val="0"/>
        </w:rPr>
        <w:tab/>
        <w:t>Term and renewal of licence granted in respect of new application</w:t>
      </w:r>
      <w:bookmarkEnd w:id="167"/>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Notwithstanding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shall renew the term of the licence as to the whole of the land the subject of the licence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keepLines/>
        <w:rPr>
          <w:snapToGrid w:val="0"/>
        </w:rPr>
      </w:pPr>
      <w:r>
        <w:rPr>
          <w:snapToGrid w:val="0"/>
        </w:rPr>
        <w:lastRenderedPageBreak/>
        <w:tab/>
        <w:t>(b)</w:t>
      </w:r>
      <w:r>
        <w:rPr>
          <w:snapToGrid w:val="0"/>
        </w:rPr>
        <w:tab/>
        <w:t>may, in the case of a licence renewed under paragraph (a), renew or further renew the term of the licence as to the whole or any part of the land the subject of the licence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keepNext/>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No. 35 of 1998 s. 5.]</w:t>
      </w:r>
    </w:p>
    <w:p>
      <w:pPr>
        <w:pStyle w:val="Heading5"/>
        <w:ind w:left="0" w:firstLine="0"/>
        <w:rPr>
          <w:snapToGrid w:val="0"/>
        </w:rPr>
      </w:pPr>
      <w:bookmarkStart w:id="168" w:name="_Toc202366167"/>
      <w:r>
        <w:rPr>
          <w:rStyle w:val="CharSectno"/>
        </w:rPr>
        <w:t>92</w:t>
      </w:r>
      <w:r>
        <w:rPr>
          <w:snapToGrid w:val="0"/>
        </w:rPr>
        <w:t>.</w:t>
      </w:r>
      <w:r>
        <w:rPr>
          <w:snapToGrid w:val="0"/>
        </w:rPr>
        <w:tab/>
        <w:t>Provisions applying to all miscellaneous licences</w:t>
      </w:r>
      <w:bookmarkEnd w:id="168"/>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[Section 92 inserted: No. 100 of 1985 s. 64; amended: No. 22 of 1990 s. 25; No. 58 of 1994 s. 34; No. 17 of 1999 s. 6(3); No. 39 of 2004 s. 40.]</w:t>
      </w:r>
    </w:p>
    <w:p>
      <w:pPr>
        <w:pStyle w:val="Heading5"/>
        <w:rPr>
          <w:snapToGrid w:val="0"/>
        </w:rPr>
      </w:pPr>
      <w:bookmarkStart w:id="169" w:name="_Toc202366168"/>
      <w:r>
        <w:rPr>
          <w:rStyle w:val="CharSectno"/>
        </w:rPr>
        <w:t>93</w:t>
      </w:r>
      <w:r>
        <w:rPr>
          <w:snapToGrid w:val="0"/>
        </w:rPr>
        <w:t>.</w:t>
      </w:r>
      <w:r>
        <w:rPr>
          <w:snapToGrid w:val="0"/>
        </w:rPr>
        <w:tab/>
        <w:t>Map to accompany application</w:t>
      </w:r>
      <w:bookmarkEnd w:id="169"/>
    </w:p>
    <w:p>
      <w:pPr>
        <w:pStyle w:val="Ednotesubsection"/>
      </w:pPr>
      <w:r>
        <w:tab/>
        <w:t>[(1)</w:t>
      </w:r>
      <w:r>
        <w:tab/>
        <w:t>deleted]</w:t>
      </w:r>
    </w:p>
    <w:p>
      <w:pPr>
        <w:pStyle w:val="Subsection"/>
        <w:rPr>
          <w:snapToGrid w:val="0"/>
        </w:rPr>
      </w:pPr>
      <w:r>
        <w:rPr>
          <w:snapToGrid w:val="0"/>
        </w:rPr>
        <w:tab/>
        <w:t>(2)</w:t>
      </w:r>
      <w:r>
        <w:rPr>
          <w:snapToGrid w:val="0"/>
        </w:rPr>
        <w:tab/>
      </w:r>
      <w:r>
        <w:t>An</w:t>
      </w:r>
      <w:r>
        <w:rPr>
          <w:snapToGrid w:val="0"/>
        </w:rPr>
        <w:t xml:space="preserve"> application for </w:t>
      </w:r>
      <w:r>
        <w:t>the</w:t>
      </w:r>
      <w:r>
        <w:rPr>
          <w:snapToGrid w:val="0"/>
        </w:rPr>
        <w:t xml:space="preserve"> grant of the miscellaneous licence shall be made by reference to a written description of the area of land in respect of which the miscellaneous licence is sought, and be </w:t>
      </w:r>
      <w:r>
        <w:rPr>
          <w:snapToGrid w:val="0"/>
        </w:rPr>
        <w:lastRenderedPageBreak/>
        <w:t>accompanied by a map on which are clearly delineated the boundaries of that area.</w:t>
      </w:r>
    </w:p>
    <w:p>
      <w:pPr>
        <w:pStyle w:val="Footnotesection"/>
      </w:pPr>
      <w:r>
        <w:tab/>
        <w:t>[Section 93 amended: No. 100 of 1985 s. 65; No. 58 of 1994 s. 35; No. 51 of 2012 s. 27.]</w:t>
      </w:r>
    </w:p>
    <w:p>
      <w:pPr>
        <w:pStyle w:val="Heading5"/>
        <w:spacing w:before="180"/>
        <w:rPr>
          <w:snapToGrid w:val="0"/>
        </w:rPr>
      </w:pPr>
      <w:bookmarkStart w:id="170" w:name="_Toc202366169"/>
      <w:r>
        <w:rPr>
          <w:rStyle w:val="CharSectno"/>
        </w:rPr>
        <w:t>94</w:t>
      </w:r>
      <w:r>
        <w:rPr>
          <w:snapToGrid w:val="0"/>
        </w:rPr>
        <w:t>.</w:t>
      </w:r>
      <w:r>
        <w:rPr>
          <w:snapToGrid w:val="0"/>
        </w:rPr>
        <w:tab/>
        <w:t>Terms and conditions</w:t>
      </w:r>
      <w:bookmarkEnd w:id="170"/>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keepNext/>
        <w:spacing w:before="12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ind w:left="890" w:hanging="890"/>
      </w:pPr>
      <w:r>
        <w:tab/>
        <w:t>[Section 94 amended: No. 100 of 1985 s. 66; No. 21 of 1993 s. 45; No. 58 of 1994 s. 36; No. 52 of 1995 s. 32.]</w:t>
      </w:r>
    </w:p>
    <w:p>
      <w:pPr>
        <w:pStyle w:val="Heading5"/>
        <w:spacing w:before="180"/>
        <w:rPr>
          <w:snapToGrid w:val="0"/>
        </w:rPr>
      </w:pPr>
      <w:bookmarkStart w:id="171" w:name="_Toc202366170"/>
      <w:r>
        <w:rPr>
          <w:rStyle w:val="CharSectno"/>
        </w:rPr>
        <w:t>94A</w:t>
      </w:r>
      <w:r>
        <w:rPr>
          <w:snapToGrid w:val="0"/>
        </w:rPr>
        <w:t>.</w:t>
      </w:r>
      <w:r>
        <w:rPr>
          <w:snapToGrid w:val="0"/>
        </w:rPr>
        <w:tab/>
        <w:t>Grant of mining tenement on land in a miscellaneous licence</w:t>
      </w:r>
      <w:bookmarkEnd w:id="171"/>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keepNext/>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w:t>
      </w:r>
      <w:r>
        <w:rPr>
          <w:snapToGrid w:val="0"/>
        </w:rPr>
        <w:lastRenderedPageBreak/>
        <w:t>licence the other mining tenement and the miscellaneous licence apply concurrently with respect to that land.</w:t>
      </w:r>
    </w:p>
    <w:p>
      <w:pPr>
        <w:pStyle w:val="Footnotesection"/>
        <w:keepNext/>
        <w:spacing w:before="100"/>
        <w:ind w:left="890" w:hanging="890"/>
      </w:pPr>
      <w:r>
        <w:tab/>
        <w:t>[Section 94A inserted: No. 22 of 1990 s. 26; amended: No. 15 of 2002 s. 19.]</w:t>
      </w:r>
    </w:p>
    <w:p>
      <w:pPr>
        <w:pStyle w:val="Heading5"/>
        <w:rPr>
          <w:snapToGrid w:val="0"/>
        </w:rPr>
      </w:pPr>
      <w:bookmarkStart w:id="172" w:name="_Toc202366171"/>
      <w:r>
        <w:rPr>
          <w:rStyle w:val="CharSectno"/>
        </w:rPr>
        <w:t>94B</w:t>
      </w:r>
      <w:r>
        <w:rPr>
          <w:snapToGrid w:val="0"/>
        </w:rPr>
        <w:t>.</w:t>
      </w:r>
      <w:r>
        <w:rPr>
          <w:snapToGrid w:val="0"/>
        </w:rPr>
        <w:tab/>
        <w:t>Surrender, forfeiture or expiry of concurrent tenement</w:t>
      </w:r>
      <w:bookmarkEnd w:id="172"/>
    </w:p>
    <w:p>
      <w:pPr>
        <w:pStyle w:val="Subsection"/>
        <w:rPr>
          <w:snapToGrid w:val="0"/>
        </w:rPr>
      </w:pPr>
      <w:r>
        <w:rPr>
          <w:snapToGrid w:val="0"/>
        </w:rPr>
        <w:tab/>
      </w:r>
      <w:r>
        <w:rPr>
          <w:snapToGrid w:val="0"/>
        </w:rPr>
        <w:tab/>
        <w:t xml:space="preserve">Subject to </w:t>
      </w:r>
      <w:r>
        <w:t>this</w:t>
      </w:r>
      <w:r>
        <w:rPr>
          <w:snapToGrid w:val="0"/>
        </w:rPr>
        <w:t xml:space="preserve"> Act, if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[Section 94B inserted: No. 22 of 1990 s. 26; amended: No. 58 of 1994 s. 37.]</w:t>
      </w:r>
    </w:p>
    <w:p>
      <w:pPr>
        <w:pStyle w:val="Ednotedivision"/>
      </w:pPr>
      <w:r>
        <w:t>[Division 5A (s. 94C</w:t>
      </w:r>
      <w:r>
        <w:noBreakHyphen/>
        <w:t>94P) deleted: No. 52 of 1995 s. 33.]</w:t>
      </w:r>
    </w:p>
    <w:p>
      <w:pPr>
        <w:pStyle w:val="Heading3"/>
        <w:spacing w:before="260"/>
      </w:pPr>
      <w:bookmarkStart w:id="173" w:name="_Toc202186716"/>
      <w:bookmarkStart w:id="174" w:name="_Toc202366172"/>
      <w:r>
        <w:rPr>
          <w:rStyle w:val="CharDivNo"/>
        </w:rPr>
        <w:t>Division 6</w:t>
      </w:r>
      <w:r>
        <w:rPr>
          <w:snapToGrid w:val="0"/>
        </w:rPr>
        <w:t> — </w:t>
      </w:r>
      <w:r>
        <w:rPr>
          <w:rStyle w:val="CharDivText"/>
        </w:rPr>
        <w:t>Surrender and forfeiture of mining tenements</w:t>
      </w:r>
      <w:bookmarkEnd w:id="173"/>
      <w:bookmarkEnd w:id="174"/>
    </w:p>
    <w:p>
      <w:pPr>
        <w:pStyle w:val="Heading5"/>
        <w:rPr>
          <w:snapToGrid w:val="0"/>
        </w:rPr>
      </w:pPr>
      <w:bookmarkStart w:id="175" w:name="_Toc202366173"/>
      <w:r>
        <w:rPr>
          <w:rStyle w:val="CharSectno"/>
        </w:rPr>
        <w:t>95</w:t>
      </w:r>
      <w:r>
        <w:rPr>
          <w:snapToGrid w:val="0"/>
        </w:rPr>
        <w:t>.</w:t>
      </w:r>
      <w:r>
        <w:rPr>
          <w:snapToGrid w:val="0"/>
        </w:rPr>
        <w:tab/>
        <w:t>Surrender of mining tenement</w:t>
      </w:r>
      <w:bookmarkEnd w:id="175"/>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deleted]</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lastRenderedPageBreak/>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keepNext/>
        <w:rPr>
          <w:snapToGrid w:val="0"/>
        </w:rPr>
      </w:pPr>
      <w:r>
        <w:rPr>
          <w:snapToGrid w:val="0"/>
        </w:rPr>
        <w:tab/>
        <w:t>(f)</w:t>
      </w:r>
      <w:r>
        <w:rPr>
          <w:snapToGrid w:val="0"/>
        </w:rPr>
        <w:tab/>
        <w:t>a surrender under section 65, on the date on which the surrender becomes effective under that section.</w:t>
      </w:r>
    </w:p>
    <w:p>
      <w:pPr>
        <w:pStyle w:val="Footnotesection"/>
      </w:pPr>
      <w:r>
        <w:tab/>
        <w:t>[Section 95 amended: No. 52 of 1983 s. 5; No. 100 of 1985 s. 67; No. 105 of 1986 s. 12; No. 22 of 1990 s. 27; No. 54 of 1996 s. 14; No. 39 of 2004 s. 92.]</w:t>
      </w:r>
    </w:p>
    <w:p>
      <w:pPr>
        <w:pStyle w:val="Heading5"/>
        <w:spacing w:before="260"/>
      </w:pPr>
      <w:bookmarkStart w:id="176" w:name="_Toc202366174"/>
      <w:r>
        <w:rPr>
          <w:rStyle w:val="CharSectno"/>
        </w:rPr>
        <w:t>95A</w:t>
      </w:r>
      <w:r>
        <w:t>.</w:t>
      </w:r>
      <w:r>
        <w:tab/>
        <w:t>Exploration licence — surrender of part of block</w:t>
      </w:r>
      <w:bookmarkEnd w:id="176"/>
    </w:p>
    <w:p>
      <w:pPr>
        <w:pStyle w:val="Subsection"/>
        <w:spacing w:before="200"/>
      </w:pPr>
      <w:r>
        <w:tab/>
        <w:t>(1)</w:t>
      </w:r>
      <w:r>
        <w:tab/>
        <w:t>In this section —</w:t>
      </w:r>
    </w:p>
    <w:p>
      <w:pPr>
        <w:pStyle w:val="Defstart"/>
      </w:pPr>
      <w:r>
        <w:tab/>
      </w:r>
      <w:r>
        <w:rPr>
          <w:rStyle w:val="CharDefText"/>
        </w:rPr>
        <w:t>block</w:t>
      </w:r>
      <w:r>
        <w:t xml:space="preserve"> has the same meaning as it has in Part IV Division 2.</w:t>
      </w:r>
    </w:p>
    <w:p>
      <w:pPr>
        <w:pStyle w:val="Subsection"/>
        <w:spacing w:before="200"/>
      </w:pPr>
      <w:r>
        <w:lastRenderedPageBreak/>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No. 15 of 2002 s. 20.]</w:t>
      </w:r>
    </w:p>
    <w:p>
      <w:pPr>
        <w:pStyle w:val="Heading5"/>
        <w:rPr>
          <w:snapToGrid w:val="0"/>
        </w:rPr>
      </w:pPr>
      <w:bookmarkStart w:id="177" w:name="_Toc202366175"/>
      <w:r>
        <w:rPr>
          <w:rStyle w:val="CharSectno"/>
        </w:rPr>
        <w:t>96</w:t>
      </w:r>
      <w:r>
        <w:rPr>
          <w:snapToGrid w:val="0"/>
        </w:rPr>
        <w:t>.</w:t>
      </w:r>
      <w:r>
        <w:rPr>
          <w:snapToGrid w:val="0"/>
        </w:rPr>
        <w:tab/>
        <w:t>Forfeiture of certain mining tenements</w:t>
      </w:r>
      <w:bookmarkEnd w:id="177"/>
    </w:p>
    <w:p>
      <w:pPr>
        <w:pStyle w:val="Subsection"/>
        <w:rPr>
          <w:snapToGrid w:val="0"/>
        </w:rPr>
      </w:pPr>
      <w:r>
        <w:rPr>
          <w:snapToGrid w:val="0"/>
        </w:rPr>
        <w:tab/>
        <w:t>(1)</w:t>
      </w:r>
      <w:r>
        <w:rPr>
          <w:snapToGrid w:val="0"/>
        </w:rPr>
        <w:tab/>
        <w:t>The warden may upon the application of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keepNext/>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spacing w:before="180"/>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spacing w:before="180"/>
        <w:rPr>
          <w:snapToGrid w:val="0"/>
        </w:rPr>
      </w:pPr>
      <w:r>
        <w:rPr>
          <w:snapToGrid w:val="0"/>
        </w:rPr>
        <w:tab/>
        <w:t>(2)</w:t>
      </w:r>
      <w:r>
        <w:rPr>
          <w:snapToGrid w:val="0"/>
        </w:rPr>
        <w:tab/>
        <w:t>An order for forfeiture may be made in relation to a mining tenement to which subsection (1) applies if —</w:t>
      </w:r>
    </w:p>
    <w:p>
      <w:pPr>
        <w:pStyle w:val="Indenta"/>
        <w:rPr>
          <w:snapToGrid w:val="0"/>
        </w:rPr>
      </w:pPr>
      <w:r>
        <w:rPr>
          <w:snapToGrid w:val="0"/>
        </w:rPr>
        <w:tab/>
        <w:t>(a)</w:t>
      </w:r>
      <w:r>
        <w:rPr>
          <w:snapToGrid w:val="0"/>
        </w:rPr>
        <w:tab/>
        <w:t>the prescribed rent or royalty in respect thereof is not paid in accordance with this Act; or</w:t>
      </w:r>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 or</w:t>
      </w:r>
    </w:p>
    <w:p>
      <w:pPr>
        <w:pStyle w:val="Indenta"/>
        <w:rPr>
          <w:snapToGrid w:val="0"/>
        </w:rPr>
      </w:pPr>
      <w:r>
        <w:rPr>
          <w:snapToGrid w:val="0"/>
        </w:rPr>
        <w:lastRenderedPageBreak/>
        <w:tab/>
        <w:t>(ba)</w:t>
      </w:r>
      <w:r>
        <w:rPr>
          <w:snapToGrid w:val="0"/>
        </w:rPr>
        <w:tab/>
        <w:t>a report required under section 51 or 115A in relation to the mining tenement is not filed in accordance with this Act; or</w:t>
      </w:r>
    </w:p>
    <w:p>
      <w:pPr>
        <w:pStyle w:val="Indenta"/>
      </w:pPr>
      <w:r>
        <w:tab/>
        <w:t>(baa)</w:t>
      </w:r>
      <w:r>
        <w:tab/>
        <w:t>any request under section 51A is not complied with; or</w:t>
      </w:r>
    </w:p>
    <w:p>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spacing w:before="180"/>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spacing w:before="180"/>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keepNext/>
        <w:spacing w:before="180"/>
        <w:rPr>
          <w:snapToGrid w:val="0"/>
        </w:rPr>
      </w:pPr>
      <w:r>
        <w:rPr>
          <w:snapToGrid w:val="0"/>
        </w:rPr>
        <w:tab/>
        <w:t>(3)</w:t>
      </w:r>
      <w:r>
        <w:rPr>
          <w:snapToGrid w:val="0"/>
        </w:rPr>
        <w:tab/>
        <w:t>A warden, as he thinks fit in the circumstances of the case, as an alternative to making an order under this section for forfeiture of such mining tenement may —</w:t>
      </w:r>
    </w:p>
    <w:p>
      <w:pPr>
        <w:pStyle w:val="Indenta"/>
        <w:keepNext/>
      </w:pPr>
      <w:r>
        <w:tab/>
        <w:t>(a)</w:t>
      </w:r>
      <w:r>
        <w:tab/>
        <w:t>impose on the holder of the mining tenement —</w:t>
      </w:r>
    </w:p>
    <w:p>
      <w:pPr>
        <w:pStyle w:val="Indenti"/>
      </w:pPr>
      <w:r>
        <w:tab/>
        <w:t>(i)</w:t>
      </w:r>
      <w:r>
        <w:tab/>
        <w:t>in a case where expenditure conditions have not been complied with, a penalty not exceeding $10 000;</w:t>
      </w:r>
    </w:p>
    <w:p>
      <w:pPr>
        <w:pStyle w:val="Indenti"/>
      </w:pPr>
      <w:r>
        <w:tab/>
        <w:t>(ii)</w:t>
      </w:r>
      <w:r>
        <w:tab/>
        <w:t>in any other case, a penalty not exceeding $75 000 if the holder is an individual or $150 000 if the holder is a body corporate;</w:t>
      </w:r>
    </w:p>
    <w:p>
      <w:pPr>
        <w:pStyle w:val="Indenta"/>
      </w:pPr>
      <w:r>
        <w:tab/>
      </w:r>
      <w:r>
        <w:tab/>
        <w:t>or</w:t>
      </w:r>
    </w:p>
    <w:p>
      <w:pPr>
        <w:pStyle w:val="Indenta"/>
        <w:rPr>
          <w:snapToGrid w:val="0"/>
        </w:rPr>
      </w:pPr>
      <w:r>
        <w:rPr>
          <w:snapToGrid w:val="0"/>
        </w:rPr>
        <w:tab/>
        <w:t>(b)</w:t>
      </w:r>
      <w:r>
        <w:rPr>
          <w:snapToGrid w:val="0"/>
        </w:rPr>
        <w:tab/>
        <w:t xml:space="preserve">award the whole or any part of the amount of any such penalty to the applicant if the applicant is not the </w:t>
      </w:r>
      <w:r>
        <w:rPr>
          <w:snapToGrid w:val="0"/>
        </w:rPr>
        <w:lastRenderedPageBreak/>
        <w:t>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keepNext/>
      </w:pPr>
      <w:r>
        <w:tab/>
        <w:t>(3b)</w:t>
      </w:r>
      <w:r>
        <w:tab/>
        <w:t>Where —</w:t>
      </w:r>
    </w:p>
    <w:p>
      <w:pPr>
        <w:pStyle w:val="Indenta"/>
        <w:spacing w:before="60"/>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rStyle w:val="CharDefText"/>
        </w:rPr>
        <w:t>tenement application</w:t>
      </w:r>
      <w:r>
        <w:t>); and</w:t>
      </w:r>
    </w:p>
    <w:p>
      <w:pPr>
        <w:pStyle w:val="Indenta"/>
        <w:spacing w:before="60"/>
      </w:pPr>
      <w:r>
        <w:tab/>
        <w:t>(b)</w:t>
      </w:r>
      <w:r>
        <w:tab/>
        <w:t>the applicant for forfeiture is not the Minister, a mining registrar or an officer of the Department authorised in writing by the Minister; and</w:t>
      </w:r>
    </w:p>
    <w:p>
      <w:pPr>
        <w:pStyle w:val="Indenta"/>
        <w:spacing w:before="60"/>
      </w:pPr>
      <w:r>
        <w:tab/>
        <w:t>(c)</w:t>
      </w:r>
      <w:r>
        <w:tab/>
        <w:t>the tenement application is withdrawn in accordance with the regulations before the application for forfeiture is dealt with by the warden,</w:t>
      </w:r>
    </w:p>
    <w:p>
      <w:pPr>
        <w:pStyle w:val="Subsection"/>
      </w:pPr>
      <w:r>
        <w:tab/>
      </w:r>
      <w:r>
        <w:tab/>
        <w:t xml:space="preserve">the applicant for forfeiture has, from the date on which the tenement application is withdrawn until the expiry of a period of </w:t>
      </w:r>
      <w:r>
        <w:lastRenderedPageBreak/>
        <w:t>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rPr>
          <w:snapToGrid w:val="0"/>
        </w:rPr>
      </w:pPr>
      <w:r>
        <w:rPr>
          <w:snapToGrid w:val="0"/>
        </w:rPr>
        <w:tab/>
        <w:t>(8)</w:t>
      </w:r>
      <w:r>
        <w:rPr>
          <w:snapToGrid w:val="0"/>
        </w:rPr>
        <w:tab/>
        <w:t>Subject to section 97A, the warden may, for any cause that he deems sufficient and subject to subsection (9), cancel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lastRenderedPageBreak/>
        <w:tab/>
        <w:t>(b)</w:t>
      </w:r>
      <w:r>
        <w:rPr>
          <w:snapToGrid w:val="0"/>
        </w:rPr>
        <w:tab/>
        <w:t>the forfeiture arising under subsection (6) of any mining tenement referred to in subsection (1),</w:t>
      </w:r>
    </w:p>
    <w:p>
      <w:pPr>
        <w:pStyle w:val="Subsection"/>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[Section 96 amended: No. 69 of 1981 s. 21; No. 100 of 1985 s. 68; No. 105 of 1986 s. 13; No. 22 of 1990 s. 28 and 38; No. 37 of 1993 s. 13; No. 58 of 1994 s. 41; No. 54 of 1996 s. 23; No. 17 of 1999 s. 6(4); No. 15 of 2002 s. 21 and 28; No. 39 of 2004 s. 46 and 93; No. 51 of 2012 s. 28.]</w:t>
      </w:r>
    </w:p>
    <w:p>
      <w:pPr>
        <w:pStyle w:val="Heading5"/>
        <w:rPr>
          <w:snapToGrid w:val="0"/>
        </w:rPr>
      </w:pPr>
      <w:bookmarkStart w:id="178" w:name="_Toc202366176"/>
      <w:r>
        <w:rPr>
          <w:rStyle w:val="CharSectno"/>
        </w:rPr>
        <w:t>96A</w:t>
      </w:r>
      <w:r>
        <w:rPr>
          <w:snapToGrid w:val="0"/>
        </w:rPr>
        <w:t>.</w:t>
      </w:r>
      <w:r>
        <w:rPr>
          <w:snapToGrid w:val="0"/>
        </w:rPr>
        <w:tab/>
        <w:t>Forfeiture of exploration licence or retention licence</w:t>
      </w:r>
      <w:bookmarkEnd w:id="178"/>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an exploration licence is liable to forfeiture by virtue of section 63A; or</w:t>
      </w:r>
    </w:p>
    <w:p>
      <w:pPr>
        <w:pStyle w:val="Indenta"/>
        <w:keepNext/>
        <w:rPr>
          <w:snapToGrid w:val="0"/>
        </w:rPr>
      </w:pPr>
      <w:r>
        <w:rPr>
          <w:snapToGrid w:val="0"/>
        </w:rPr>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keepNext/>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lastRenderedPageBreak/>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w:t>
      </w:r>
    </w:p>
    <w:p>
      <w:pPr>
        <w:pStyle w:val="Indenta"/>
      </w:pPr>
      <w:r>
        <w:tab/>
        <w:t>(a)</w:t>
      </w:r>
      <w:r>
        <w:tab/>
        <w:t>impose on the holder of the licence a penalty not exceeding $75 000 if the holder is an individual or $150 000 if the holder is a body corporate;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keepNext/>
        <w:rPr>
          <w:snapToGrid w:val="0"/>
        </w:rPr>
      </w:pPr>
      <w:r>
        <w:rPr>
          <w:snapToGrid w:val="0"/>
        </w:rPr>
        <w:tab/>
        <w:t>(7)</w:t>
      </w:r>
      <w:r>
        <w:rPr>
          <w:snapToGrid w:val="0"/>
        </w:rPr>
        <w:tab/>
        <w:t>In this section </w:t>
      </w:r>
      <w:r>
        <w:rPr>
          <w:rStyle w:val="CharDefText"/>
        </w:rPr>
        <w:t>licence</w:t>
      </w:r>
      <w:r>
        <w:rPr>
          <w:snapToGrid w:val="0"/>
        </w:rPr>
        <w:t xml:space="preserve"> means the exploration licence or the retention licence, as the case requires.</w:t>
      </w:r>
    </w:p>
    <w:p>
      <w:pPr>
        <w:pStyle w:val="Footnotesection"/>
        <w:ind w:left="890" w:hanging="890"/>
      </w:pPr>
      <w:r>
        <w:tab/>
        <w:t>[Section 96A inserted: No. 69 of 1981 s. 22; amended: No. 100 of 1985 s. 69; No. 22 of 1990 s. 38; No. 37 of 1993 s. 10(2); No. 15 of 2002 s. 28; No. 51 of 2012 s. 29.]</w:t>
      </w:r>
    </w:p>
    <w:p>
      <w:pPr>
        <w:pStyle w:val="Heading5"/>
        <w:rPr>
          <w:snapToGrid w:val="0"/>
        </w:rPr>
      </w:pPr>
      <w:bookmarkStart w:id="179" w:name="_Toc202366177"/>
      <w:r>
        <w:rPr>
          <w:rStyle w:val="CharSectno"/>
        </w:rPr>
        <w:t>97</w:t>
      </w:r>
      <w:r>
        <w:rPr>
          <w:snapToGrid w:val="0"/>
        </w:rPr>
        <w:t>.</w:t>
      </w:r>
      <w:r>
        <w:rPr>
          <w:snapToGrid w:val="0"/>
        </w:rPr>
        <w:tab/>
        <w:t>Forfeiture of mining lease or general purpose lease</w:t>
      </w:r>
      <w:bookmarkEnd w:id="179"/>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lastRenderedPageBreak/>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w:t>
      </w:r>
    </w:p>
    <w:p>
      <w:pPr>
        <w:pStyle w:val="Indenta"/>
      </w:pPr>
      <w:r>
        <w:tab/>
        <w:t>(a)</w:t>
      </w:r>
      <w:r>
        <w:tab/>
        <w:t>impose on the lessee a penalty not exceeding $75 000 if the lessee is an individual or $150 000 if the lessee is a body corporate;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keepNext/>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[Section 97 amended: No. 100 of 1985 s. 70; No. 22 of 1990 s. 29 and 38; No. 15 of 2002 s. 28; No. 51 of 2012 s. 30.]</w:t>
      </w:r>
    </w:p>
    <w:p>
      <w:pPr>
        <w:pStyle w:val="Heading5"/>
        <w:spacing w:before="260"/>
        <w:rPr>
          <w:snapToGrid w:val="0"/>
        </w:rPr>
      </w:pPr>
      <w:bookmarkStart w:id="180" w:name="_Toc202366178"/>
      <w:r>
        <w:rPr>
          <w:rStyle w:val="CharSectno"/>
        </w:rPr>
        <w:lastRenderedPageBreak/>
        <w:t>97A</w:t>
      </w:r>
      <w:r>
        <w:rPr>
          <w:snapToGrid w:val="0"/>
        </w:rPr>
        <w:t>.</w:t>
      </w:r>
      <w:r>
        <w:rPr>
          <w:snapToGrid w:val="0"/>
        </w:rPr>
        <w:tab/>
        <w:t>Application for restoration of mining tenement after forfeiture</w:t>
      </w:r>
      <w:bookmarkEnd w:id="180"/>
    </w:p>
    <w:p>
      <w:pPr>
        <w:pStyle w:val="Subsection"/>
        <w:rPr>
          <w:snapToGrid w:val="0"/>
        </w:rPr>
      </w:pPr>
      <w:r>
        <w:rPr>
          <w:snapToGrid w:val="0"/>
        </w:rPr>
        <w:tab/>
        <w:t>(1)</w:t>
      </w:r>
      <w:r>
        <w:rPr>
          <w:snapToGrid w:val="0"/>
        </w:rPr>
        <w:tab/>
        <w:t xml:space="preserve">Subject to subsection (2), where a mining tenement is forfeited under or by virtue of section 96, 96A or 97 a person who was, immediately prior to the forfeiture, the holder of the tenement concerned may apply for the mining tenement to be restored to </w:t>
      </w:r>
      <w:r>
        <w:t>the person</w:t>
      </w:r>
      <w:r>
        <w:rPr>
          <w:snapToGrid w:val="0"/>
        </w:rPr>
        <w:t xml:space="preserve">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w:t>
      </w:r>
    </w:p>
    <w:p>
      <w:pPr>
        <w:pStyle w:val="Indenta"/>
        <w:rPr>
          <w:snapToGrid w:val="0"/>
        </w:rPr>
      </w:pPr>
      <w:r>
        <w:rPr>
          <w:snapToGrid w:val="0"/>
        </w:rPr>
        <w:tab/>
        <w:t>(a)</w:t>
      </w:r>
      <w:r>
        <w:rPr>
          <w:snapToGrid w:val="0"/>
        </w:rPr>
        <w:tab/>
        <w:t>shall be in the prescribed form and made within the prescribed time; and</w:t>
      </w:r>
    </w:p>
    <w:p>
      <w:pPr>
        <w:pStyle w:val="Indenta"/>
        <w:rPr>
          <w:snapToGrid w:val="0"/>
        </w:rPr>
      </w:pPr>
      <w:r>
        <w:rPr>
          <w:snapToGrid w:val="0"/>
        </w:rPr>
        <w:tab/>
        <w:t>(b)</w:t>
      </w:r>
      <w:r>
        <w:rPr>
          <w:snapToGrid w:val="0"/>
        </w:rPr>
        <w:tab/>
        <w:t xml:space="preserve">shall be lodged </w:t>
      </w:r>
      <w:r>
        <w:t>in the prescribed manner;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 xml:space="preserve">An application under subsection (1) shall be heard by the warden on a day appointed by </w:t>
      </w:r>
      <w:r>
        <w:t>the warden.</w:t>
      </w:r>
    </w:p>
    <w:p>
      <w:pPr>
        <w:pStyle w:val="Subsection"/>
      </w:pPr>
      <w:r>
        <w:lastRenderedPageBreak/>
        <w:tab/>
        <w:t>(6)</w:t>
      </w:r>
      <w:r>
        <w:tab/>
        <w:t>A person who wishes to object to the granting of an application made under subsection (1) must lodge a notice of objection.</w:t>
      </w:r>
    </w:p>
    <w:p>
      <w:pPr>
        <w:pStyle w:val="Subsection"/>
        <w:keepNext/>
      </w:pPr>
      <w:r>
        <w:tab/>
        <w:t>(6A)</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pPr>
      <w:r>
        <w:tab/>
        <w:t>(6B)</w:t>
      </w:r>
      <w:r>
        <w:tab/>
        <w:t>A person is not entitled to lodge a notice of objection if the basis for the objection is that the mining tenement, or activities authorised by it, would affect an offsets project.</w:t>
      </w:r>
    </w:p>
    <w:p>
      <w:pPr>
        <w:pStyle w:val="Subsection"/>
      </w:pPr>
      <w:r>
        <w:tab/>
        <w:t>(6C)</w:t>
      </w:r>
      <w:r>
        <w:tab/>
        <w:t>Subsection (6B) does not apply in respect of an offsets project, or any part of an offsets project, situated on land held in freehold.</w:t>
      </w:r>
    </w:p>
    <w:p>
      <w:pPr>
        <w:pStyle w:val="Subsection"/>
        <w:keepNext/>
        <w:rPr>
          <w:snapToGrid w:val="0"/>
        </w:rPr>
      </w:pPr>
      <w:r>
        <w:rPr>
          <w:snapToGrid w:val="0"/>
        </w:rPr>
        <w:tab/>
        <w:t>(7)</w:t>
      </w:r>
      <w:r>
        <w:rPr>
          <w:snapToGrid w:val="0"/>
        </w:rPr>
        <w:tab/>
        <w:t>On the hearing of an application made under subsection (1) the warden —</w:t>
      </w:r>
    </w:p>
    <w:p>
      <w:pPr>
        <w:pStyle w:val="Indenta"/>
        <w:keepNext/>
        <w:rPr>
          <w:snapToGrid w:val="0"/>
        </w:rPr>
      </w:pPr>
      <w:r>
        <w:rPr>
          <w:snapToGrid w:val="0"/>
        </w:rPr>
        <w:tab/>
        <w:t>(a)</w:t>
      </w:r>
      <w:r>
        <w:rPr>
          <w:snapToGrid w:val="0"/>
        </w:rPr>
        <w:tab/>
        <w:t xml:space="preserve">in a case to which section 96 applies, shall determine the application and make such order as </w:t>
      </w:r>
      <w:r>
        <w:t>the warden</w:t>
      </w:r>
      <w:r>
        <w:rPr>
          <w:snapToGrid w:val="0"/>
        </w:rPr>
        <w:t xml:space="preserve"> thinks fit and may —</w:t>
      </w:r>
    </w:p>
    <w:p>
      <w:pPr>
        <w:pStyle w:val="Indenti"/>
        <w:rPr>
          <w:snapToGrid w:val="0"/>
        </w:rPr>
      </w:pPr>
      <w:r>
        <w:rPr>
          <w:snapToGrid w:val="0"/>
        </w:rPr>
        <w:tab/>
        <w:t>(i)</w:t>
      </w:r>
      <w:r>
        <w:rPr>
          <w:snapToGrid w:val="0"/>
        </w:rPr>
        <w:tab/>
        <w:t>grant the application and restore the mining tenement to the former holder; or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keepNext/>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in any other case, shall as soon as practicable thereafter transmit to the Minister for </w:t>
      </w:r>
      <w:r>
        <w:t>the Minister’s</w:t>
      </w:r>
      <w:r>
        <w:rPr>
          <w:snapToGrid w:val="0"/>
        </w:rPr>
        <w:t xml:space="preserve"> consideration the notes of evidence and any maps or other documents referred to therein, and </w:t>
      </w:r>
      <w:r>
        <w:t>the warden’s</w:t>
      </w:r>
      <w:r>
        <w:rPr>
          <w:snapToGrid w:val="0"/>
        </w:rPr>
        <w:t xml:space="preserve"> report recommending the granting or refusal of the application </w:t>
      </w:r>
      <w:r>
        <w:t>and setting out the</w:t>
      </w:r>
      <w:r>
        <w:rPr>
          <w:snapToGrid w:val="0"/>
        </w:rPr>
        <w:t xml:space="preserve"> reasons for the recommendation.</w:t>
      </w:r>
    </w:p>
    <w:p>
      <w:pPr>
        <w:pStyle w:val="Subsection"/>
        <w:keepNext/>
        <w:rPr>
          <w:snapToGrid w:val="0"/>
        </w:rPr>
      </w:pPr>
      <w:r>
        <w:rPr>
          <w:snapToGrid w:val="0"/>
        </w:rPr>
        <w:lastRenderedPageBreak/>
        <w:tab/>
        <w:t>(8)</w:t>
      </w:r>
      <w:r>
        <w:rPr>
          <w:snapToGrid w:val="0"/>
        </w:rPr>
        <w:tab/>
        <w:t xml:space="preserve">On receipt of notes of evidence and any maps or documents transmitted to </w:t>
      </w:r>
      <w:r>
        <w:t xml:space="preserve">the Minister </w:t>
      </w:r>
      <w:r>
        <w:rPr>
          <w:snapToGrid w:val="0"/>
        </w:rPr>
        <w:t xml:space="preserve">pursuant to subsection (7), the Minister may grant or refuse the application for restoration of the mining tenement, as </w:t>
      </w:r>
      <w:r>
        <w:t>the Minister</w:t>
      </w:r>
      <w:r>
        <w:rPr>
          <w:snapToGrid w:val="0"/>
        </w:rPr>
        <w:t xml:space="preserv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[Section 97A inserted: No. 100 of 1985 s. 71; amended: No. 37 of 1993 s. 26; No. 39 of 2004 s. 64; No. 12 of 2010 s. 35; No. 39 of 2022 s. 13; No. 27 of 2023 s. 9.]</w:t>
      </w:r>
    </w:p>
    <w:p>
      <w:pPr>
        <w:pStyle w:val="Heading5"/>
        <w:rPr>
          <w:snapToGrid w:val="0"/>
        </w:rPr>
      </w:pPr>
      <w:bookmarkStart w:id="181" w:name="_Toc202366179"/>
      <w:r>
        <w:rPr>
          <w:rStyle w:val="CharSectno"/>
        </w:rPr>
        <w:t>98</w:t>
      </w:r>
      <w:r>
        <w:rPr>
          <w:snapToGrid w:val="0"/>
        </w:rPr>
        <w:t>.</w:t>
      </w:r>
      <w:r>
        <w:rPr>
          <w:snapToGrid w:val="0"/>
        </w:rPr>
        <w:tab/>
        <w:t>Application for forfeiture on other grounds</w:t>
      </w:r>
      <w:bookmarkEnd w:id="181"/>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by the warden</w:t>
      </w:r>
      <w:r>
        <w:t>.</w:t>
      </w:r>
    </w:p>
    <w:p>
      <w:pPr>
        <w:pStyle w:val="Subsection"/>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Subsection"/>
        <w:rPr>
          <w:snapToGrid w:val="0"/>
        </w:rPr>
      </w:pPr>
      <w:r>
        <w:tab/>
        <w:t>(4B)</w:t>
      </w:r>
      <w:r>
        <w:tab/>
      </w:r>
      <w:r>
        <w:rPr>
          <w:snapToGrid w:val="0"/>
        </w:rPr>
        <w:t>Where a penalty is imposed under this section the warden may award the whole amount of the penalty or any part thereof to the applicant.</w:t>
      </w:r>
    </w:p>
    <w:p>
      <w:pPr>
        <w:pStyle w:val="Subsection"/>
        <w:rPr>
          <w:snapToGrid w:val="0"/>
        </w:rPr>
      </w:pPr>
      <w:r>
        <w:rPr>
          <w:snapToGrid w:val="0"/>
        </w:rPr>
        <w:lastRenderedPageBreak/>
        <w:tab/>
        <w:t>(5)</w:t>
      </w:r>
      <w:r>
        <w:rPr>
          <w:snapToGrid w:val="0"/>
        </w:rPr>
        <w:tab/>
        <w:t>A recommendation shall not be made under subsection (4A) unless the warden is satisfied that the non</w:t>
      </w:r>
      <w:r>
        <w:rPr>
          <w:snapToGrid w:val="0"/>
        </w:rPr>
        <w:noBreakHyphen/>
        <w:t>compliance with such requirements is, in the circumstances of the case, of sufficient gravity to justify the forfeiture.</w:t>
      </w:r>
    </w:p>
    <w:p>
      <w:pPr>
        <w:pStyle w:val="Subsection"/>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keepNext/>
        <w:rPr>
          <w:snapToGrid w:val="0"/>
        </w:rPr>
      </w:pPr>
      <w:r>
        <w:rPr>
          <w:snapToGrid w:val="0"/>
        </w:rPr>
        <w:tab/>
        <w:t>(9)</w:t>
      </w:r>
      <w:r>
        <w:rPr>
          <w:snapToGrid w:val="0"/>
        </w:rPr>
        <w:tab/>
        <w:t xml:space="preserve">Where any penalty imposed by a warden as an alternative to forfeiture under subsection (4A)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pPr>
        <w:pStyle w:val="Footnotesection"/>
        <w:ind w:left="890" w:hanging="890"/>
      </w:pPr>
      <w:r>
        <w:tab/>
        <w:t>[Section 98 amended: No. 100 of 1985 s. 72; No. 22 of 1990 s. 30 and 38; No. 15 of 2002 s. 28; No. 39 of 2004 s. 65; No. 19 of 2010 s. 51.]</w:t>
      </w:r>
    </w:p>
    <w:p>
      <w:pPr>
        <w:pStyle w:val="Heading5"/>
        <w:rPr>
          <w:snapToGrid w:val="0"/>
        </w:rPr>
      </w:pPr>
      <w:bookmarkStart w:id="182" w:name="_Toc202366180"/>
      <w:r>
        <w:rPr>
          <w:rStyle w:val="CharSectno"/>
        </w:rPr>
        <w:t>99</w:t>
      </w:r>
      <w:r>
        <w:rPr>
          <w:snapToGrid w:val="0"/>
        </w:rPr>
        <w:t>.</w:t>
      </w:r>
      <w:r>
        <w:rPr>
          <w:snapToGrid w:val="0"/>
        </w:rPr>
        <w:tab/>
        <w:t>Proceedings by Minister on recommendation</w:t>
      </w:r>
      <w:bookmarkEnd w:id="182"/>
    </w:p>
    <w:p>
      <w:pPr>
        <w:pStyle w:val="Subsection"/>
        <w:keepNext/>
        <w:keepLines/>
        <w:rPr>
          <w:snapToGrid w:val="0"/>
        </w:rPr>
      </w:pPr>
      <w:r>
        <w:rPr>
          <w:snapToGrid w:val="0"/>
        </w:rPr>
        <w:tab/>
        <w:t>(1)</w:t>
      </w:r>
      <w:r>
        <w:rPr>
          <w:snapToGrid w:val="0"/>
        </w:rPr>
        <w:tab/>
        <w:t>The Minister, after receiving the recommendation of the warden as provided in section 98, may, as the Minister thinks fit —</w:t>
      </w:r>
    </w:p>
    <w:p>
      <w:pPr>
        <w:pStyle w:val="Indenta"/>
        <w:rPr>
          <w:snapToGrid w:val="0"/>
        </w:rPr>
      </w:pPr>
      <w:r>
        <w:rPr>
          <w:snapToGrid w:val="0"/>
        </w:rPr>
        <w:tab/>
        <w:t>(a)</w:t>
      </w:r>
      <w:r>
        <w:rPr>
          <w:snapToGrid w:val="0"/>
        </w:rPr>
        <w:tab/>
        <w:t>declare the exploration licence or the lease to which the recommendation relates, forfeited; or</w:t>
      </w:r>
    </w:p>
    <w:p>
      <w:pPr>
        <w:pStyle w:val="Indenta"/>
        <w:rPr>
          <w:snapToGrid w:val="0"/>
        </w:rPr>
      </w:pPr>
      <w:r>
        <w:rPr>
          <w:snapToGrid w:val="0"/>
        </w:rPr>
        <w:lastRenderedPageBreak/>
        <w:tab/>
        <w:t>(b)</w:t>
      </w:r>
      <w:r>
        <w:rPr>
          <w:snapToGrid w:val="0"/>
        </w:rPr>
        <w:tab/>
        <w:t xml:space="preserve">impose a penalty not exceeding </w:t>
      </w:r>
      <w:r>
        <w:t>$10 000</w:t>
      </w:r>
      <w:r>
        <w:rPr>
          <w:snapToGrid w:val="0"/>
        </w:rPr>
        <w:t xml:space="preserve"> as an alternative to forfeiture; or</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keepNext/>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[Section 99 amended: No. 100 of 1985 s. 73; No. 22 of 1990 s. 38; No. 37 of 1993 s. 14(2); No. 15 of 2002 s. 28.]</w:t>
      </w:r>
    </w:p>
    <w:p>
      <w:pPr>
        <w:pStyle w:val="Heading5"/>
        <w:rPr>
          <w:snapToGrid w:val="0"/>
        </w:rPr>
      </w:pPr>
      <w:bookmarkStart w:id="183" w:name="_Toc202366181"/>
      <w:r>
        <w:rPr>
          <w:rStyle w:val="CharSectno"/>
        </w:rPr>
        <w:t>100</w:t>
      </w:r>
      <w:r>
        <w:rPr>
          <w:snapToGrid w:val="0"/>
        </w:rPr>
        <w:t>.</w:t>
      </w:r>
      <w:r>
        <w:rPr>
          <w:snapToGrid w:val="0"/>
        </w:rPr>
        <w:tab/>
        <w:t>Applicant to have priority for marking out and applying for surrendered or forfeited licence or lease</w:t>
      </w:r>
      <w:bookmarkEnd w:id="183"/>
    </w:p>
    <w:p>
      <w:pPr>
        <w:pStyle w:val="Subsection"/>
        <w:rPr>
          <w:snapToGrid w:val="0"/>
        </w:rPr>
      </w:pPr>
      <w:r>
        <w:rPr>
          <w:snapToGrid w:val="0"/>
        </w:rPr>
        <w:tab/>
        <w:t>(1)</w:t>
      </w:r>
      <w:r>
        <w:rPr>
          <w:snapToGrid w:val="0"/>
        </w:rPr>
        <w:tab/>
        <w:t xml:space="preserve">Where an exploration licence or a mining lease that is the subject of an application for forfeiture under section 98 is surrendered (other than by way of a conditional surrender or a surrender under section 26A or 65) before the application is finally dealt with under section 98(4A) or 99(1), the applicant for forfeiture has, from the date on which the surrender is registered until the expiry of a period of 14 days after the date of being served with written notice of the surrender by an officer of the Department, a right in priority to any other person to </w:t>
      </w:r>
      <w:r>
        <w:rPr>
          <w:snapToGrid w:val="0"/>
        </w:rPr>
        <w:lastRenderedPageBreak/>
        <w:t>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rStyle w:val="CharDefText"/>
        </w:rPr>
        <w:t>tenement application</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keepNext/>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[Section 100 inserted: No. 37 of 1993 s. 14(1); amended: No. 15 of 2002 s. 22; No. 19 of 2010 s. 51.]</w:t>
      </w:r>
    </w:p>
    <w:p>
      <w:pPr>
        <w:pStyle w:val="Heading5"/>
        <w:rPr>
          <w:snapToGrid w:val="0"/>
        </w:rPr>
      </w:pPr>
      <w:bookmarkStart w:id="184" w:name="_Toc202366182"/>
      <w:r>
        <w:rPr>
          <w:rStyle w:val="CharSectno"/>
        </w:rPr>
        <w:t>101</w:t>
      </w:r>
      <w:r>
        <w:rPr>
          <w:snapToGrid w:val="0"/>
        </w:rPr>
        <w:t>.</w:t>
      </w:r>
      <w:r>
        <w:rPr>
          <w:snapToGrid w:val="0"/>
        </w:rPr>
        <w:tab/>
        <w:t>Application for forfeiture of mining tenement while holder is a company in process of winding up</w:t>
      </w:r>
      <w:bookmarkEnd w:id="184"/>
    </w:p>
    <w:p>
      <w:pPr>
        <w:pStyle w:val="Subsection"/>
        <w:rPr>
          <w:snapToGrid w:val="0"/>
        </w:rPr>
      </w:pPr>
      <w:r>
        <w:rPr>
          <w:snapToGrid w:val="0"/>
        </w:rPr>
        <w:tab/>
        <w:t>(1)</w:t>
      </w:r>
      <w:r>
        <w:rPr>
          <w:snapToGrid w:val="0"/>
        </w:rPr>
        <w:tab/>
        <w:t xml:space="preserve">An application under section 96 or 98 for the forfeiture of a mining tenement for breach of the prescribed expenditure </w:t>
      </w:r>
      <w:r>
        <w:rPr>
          <w:snapToGrid w:val="0"/>
        </w:rPr>
        <w:lastRenderedPageBreak/>
        <w:t>conditions applicable thereto while the holder thereof is a company in respect of which a winding up order has been made or a provisional liquidator has been appointed under the Corporations Law shall not be an action or proceeding for the purposes of subsection (2) of section 471 of that Law (or any provision of that Law which replaces or is substituted for that subsection), and notwithstanding anything therein contained to the contrary, the application may be commenced and proceeded with without the leave of the Supreme Court, and the mining tenement is liable to forfeiture accordingly.</w:t>
      </w:r>
    </w:p>
    <w:p>
      <w:pPr>
        <w:pStyle w:val="Subsection"/>
        <w:keepNext/>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[Section 101 amended: No. 10 of 1982 s. 28; No. 100 of 1985 s. 75; No. 37 of 1993 s. 27; No. 10 of 2001 s. 135; No. 15 of 2002 s. 23; No. 8 of 2009 s. 8.]</w:t>
      </w:r>
    </w:p>
    <w:p>
      <w:pPr>
        <w:pStyle w:val="Heading3"/>
      </w:pPr>
      <w:bookmarkStart w:id="185" w:name="_Toc202186727"/>
      <w:bookmarkStart w:id="186" w:name="_Toc202366183"/>
      <w:r>
        <w:rPr>
          <w:rStyle w:val="CharDivNo"/>
        </w:rPr>
        <w:t>Division 7</w:t>
      </w:r>
      <w:r>
        <w:rPr>
          <w:snapToGrid w:val="0"/>
        </w:rPr>
        <w:t> — </w:t>
      </w:r>
      <w:r>
        <w:rPr>
          <w:rStyle w:val="CharDivText"/>
        </w:rPr>
        <w:t>Exemption from expenditure conditions</w:t>
      </w:r>
      <w:bookmarkEnd w:id="185"/>
      <w:bookmarkEnd w:id="186"/>
    </w:p>
    <w:p>
      <w:pPr>
        <w:pStyle w:val="Heading5"/>
        <w:rPr>
          <w:snapToGrid w:val="0"/>
        </w:rPr>
      </w:pPr>
      <w:bookmarkStart w:id="187" w:name="_Toc202366184"/>
      <w:r>
        <w:rPr>
          <w:rStyle w:val="CharSectno"/>
        </w:rPr>
        <w:t>102</w:t>
      </w:r>
      <w:r>
        <w:rPr>
          <w:snapToGrid w:val="0"/>
        </w:rPr>
        <w:t>.</w:t>
      </w:r>
      <w:r>
        <w:rPr>
          <w:snapToGrid w:val="0"/>
        </w:rPr>
        <w:tab/>
        <w:t>Exemption from expenditure conditions</w:t>
      </w:r>
      <w:bookmarkEnd w:id="187"/>
    </w:p>
    <w:p>
      <w:pPr>
        <w:pStyle w:val="Subsection"/>
        <w:rPr>
          <w:snapToGrid w:val="0"/>
        </w:rPr>
      </w:pPr>
      <w:r>
        <w:rPr>
          <w:snapToGrid w:val="0"/>
        </w:rPr>
        <w:tab/>
        <w:t>(1)</w:t>
      </w:r>
      <w:r>
        <w:rPr>
          <w:snapToGrid w:val="0"/>
        </w:rPr>
        <w:tab/>
        <w:t xml:space="preserve">Subject to this Act, on an application </w:t>
      </w:r>
      <w:r>
        <w:t xml:space="preserve">(an </w:t>
      </w:r>
      <w:r>
        <w:rPr>
          <w:rStyle w:val="CharDefText"/>
        </w:rPr>
        <w:t>application for exemption</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lastRenderedPageBreak/>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w:t>
      </w:r>
    </w:p>
    <w:p>
      <w:pPr>
        <w:pStyle w:val="Indenta"/>
        <w:rPr>
          <w:snapToGrid w:val="0"/>
        </w:rPr>
      </w:pPr>
      <w:r>
        <w:rPr>
          <w:snapToGrid w:val="0"/>
        </w:rPr>
        <w:tab/>
        <w:t>(a)</w:t>
      </w:r>
      <w:r>
        <w:rPr>
          <w:snapToGrid w:val="0"/>
        </w:rPr>
        <w:tab/>
        <w:t>that the title to the mining tenement is in dispute; or</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 or</w:t>
      </w:r>
    </w:p>
    <w:p>
      <w:pPr>
        <w:pStyle w:val="Indenta"/>
        <w:rPr>
          <w:snapToGrid w:val="0"/>
        </w:rPr>
      </w:pPr>
      <w:r>
        <w:rPr>
          <w:snapToGrid w:val="0"/>
        </w:rPr>
        <w:tab/>
        <w:t>(c)</w:t>
      </w:r>
      <w:r>
        <w:rPr>
          <w:snapToGrid w:val="0"/>
        </w:rPr>
        <w:tab/>
        <w:t>that time is required to purchase and erect plant and machinery; or</w:t>
      </w:r>
    </w:p>
    <w:p>
      <w:pPr>
        <w:pStyle w:val="Indenta"/>
        <w:rPr>
          <w:snapToGrid w:val="0"/>
        </w:rPr>
      </w:pPr>
      <w:r>
        <w:rPr>
          <w:snapToGrid w:val="0"/>
        </w:rPr>
        <w:tab/>
        <w:t>(d)</w:t>
      </w:r>
      <w:r>
        <w:rPr>
          <w:snapToGrid w:val="0"/>
        </w:rPr>
        <w:tab/>
        <w:t>that the ground the subject of the mining tenement is for any sufficient reason unworkable; or</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 or</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 or</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that —</w:t>
      </w:r>
    </w:p>
    <w:p>
      <w:pPr>
        <w:pStyle w:val="Indenti"/>
      </w:pPr>
      <w:r>
        <w:tab/>
        <w:t>(i)</w:t>
      </w:r>
      <w:r>
        <w:tab/>
        <w:t>the mining tenement is one of 2 or more mining tenements (</w:t>
      </w:r>
      <w:r>
        <w:rPr>
          <w:rStyle w:val="CharDefText"/>
        </w:rPr>
        <w:t>combined reporting tenements</w:t>
      </w:r>
      <w:r>
        <w:t xml:space="preserve">) the </w:t>
      </w:r>
      <w:r>
        <w:lastRenderedPageBreak/>
        <w:t>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keepNext/>
        <w:spacing w:before="200"/>
      </w:pPr>
      <w:r>
        <w:tab/>
        <w:t>(2a)</w:t>
      </w:r>
      <w:r>
        <w:tab/>
        <w:t>In subsection (2)(h) —</w:t>
      </w:r>
    </w:p>
    <w:p>
      <w:pPr>
        <w:pStyle w:val="Defstart"/>
        <w:keepNext/>
      </w:pPr>
      <w:r>
        <w:tab/>
      </w:r>
      <w:r>
        <w:rPr>
          <w:rStyle w:val="CharDefText"/>
        </w:rPr>
        <w:t>aggregate exploration expenditure</w:t>
      </w:r>
      <w:r>
        <w:t xml:space="preserve"> means expenditure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pPr>
      <w:r>
        <w:tab/>
        <w:t>(4A)</w:t>
      </w:r>
      <w:r>
        <w:tab/>
        <w:t>A person who wishes to object to the granting of an application for exemption must lodge a notice of objection.</w:t>
      </w:r>
    </w:p>
    <w:p>
      <w:pPr>
        <w:pStyle w:val="Subsection"/>
        <w:keepNext/>
      </w:pPr>
      <w:r>
        <w:tab/>
        <w:t>(4B)</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keepNext/>
        <w:rPr>
          <w:snapToGrid w:val="0"/>
        </w:rPr>
      </w:pPr>
      <w:r>
        <w:rPr>
          <w:snapToGrid w:val="0"/>
        </w:rPr>
        <w:lastRenderedPageBreak/>
        <w:tab/>
        <w:t>(5)</w:t>
      </w:r>
      <w:r>
        <w:rPr>
          <w:snapToGrid w:val="0"/>
        </w:rPr>
        <w:tab/>
        <w:t>An application for exemption —</w:t>
      </w:r>
    </w:p>
    <w:p>
      <w:pPr>
        <w:pStyle w:val="Indenta"/>
        <w:rPr>
          <w:snapToGrid w:val="0"/>
        </w:rPr>
      </w:pPr>
      <w:r>
        <w:rPr>
          <w:snapToGrid w:val="0"/>
        </w:rPr>
        <w:tab/>
        <w:t>(a)</w:t>
      </w:r>
      <w:r>
        <w:rPr>
          <w:snapToGrid w:val="0"/>
        </w:rPr>
        <w:tab/>
        <w:t>where an objection to the application is lodged, shall be heard by the warden;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keepNext/>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[Section 102 amended: No. 69 of 1981 s. 23; No. 100 of 1985 s. 76; No. 105 of 1986 s. 14; No. 22 of 1990 s. 32; No. 37 of 1993 s. 10(2); No. 15 of 2002 s. 24; No. 39 of 2004 s. 66 and 94; No. 39 of 2022 s. 14.]</w:t>
      </w:r>
    </w:p>
    <w:p>
      <w:pPr>
        <w:pStyle w:val="Heading5"/>
        <w:rPr>
          <w:snapToGrid w:val="0"/>
        </w:rPr>
      </w:pPr>
      <w:bookmarkStart w:id="188" w:name="_Toc202366185"/>
      <w:r>
        <w:rPr>
          <w:rStyle w:val="CharSectno"/>
        </w:rPr>
        <w:t>102A</w:t>
      </w:r>
      <w:r>
        <w:rPr>
          <w:snapToGrid w:val="0"/>
        </w:rPr>
        <w:t>.</w:t>
      </w:r>
      <w:r>
        <w:rPr>
          <w:snapToGrid w:val="0"/>
        </w:rPr>
        <w:tab/>
        <w:t>Exemption from expenditure conditions in respect of certain holders of exploration licences</w:t>
      </w:r>
      <w:bookmarkEnd w:id="188"/>
    </w:p>
    <w:p>
      <w:pPr>
        <w:pStyle w:val="Subsection"/>
        <w:rPr>
          <w:snapToGrid w:val="0"/>
        </w:rPr>
      </w:pPr>
      <w:r>
        <w:rPr>
          <w:snapToGrid w:val="0"/>
        </w:rPr>
        <w:tab/>
        <w:t>(1)</w:t>
      </w:r>
      <w:r>
        <w:rPr>
          <w:snapToGrid w:val="0"/>
        </w:rPr>
        <w:tab/>
        <w:t xml:space="preserve">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w:t>
      </w:r>
      <w:r>
        <w:rPr>
          <w:snapToGrid w:val="0"/>
        </w:rPr>
        <w:lastRenderedPageBreak/>
        <w:t>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[Section 102A inserted: No. 122 of 1982 s. 25; amended: No. 100 of 1985 s. 77; No. 15 of 2002 s. 25.]</w:t>
      </w:r>
    </w:p>
    <w:p>
      <w:pPr>
        <w:pStyle w:val="Heading5"/>
        <w:rPr>
          <w:snapToGrid w:val="0"/>
        </w:rPr>
      </w:pPr>
      <w:bookmarkStart w:id="189" w:name="_Toc202366186"/>
      <w:r>
        <w:rPr>
          <w:rStyle w:val="CharSectno"/>
        </w:rPr>
        <w:t>103</w:t>
      </w:r>
      <w:r>
        <w:rPr>
          <w:snapToGrid w:val="0"/>
        </w:rPr>
        <w:t>.</w:t>
      </w:r>
      <w:r>
        <w:rPr>
          <w:snapToGrid w:val="0"/>
        </w:rPr>
        <w:tab/>
        <w:t>Effect of exemption</w:t>
      </w:r>
      <w:bookmarkEnd w:id="189"/>
    </w:p>
    <w:p>
      <w:pPr>
        <w:pStyle w:val="Subsection"/>
        <w:keepNext/>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[Section 103 amended: No. 100 of 1985 s. 78.]</w:t>
      </w:r>
    </w:p>
    <w:p>
      <w:pPr>
        <w:pStyle w:val="Ednotedivision"/>
      </w:pPr>
      <w:r>
        <w:t>[Division 8 deleted: No. 54 of 1996 s. 15.]</w:t>
      </w:r>
    </w:p>
    <w:p>
      <w:pPr>
        <w:pStyle w:val="Heading2"/>
      </w:pPr>
      <w:bookmarkStart w:id="190" w:name="_Toc202186731"/>
      <w:bookmarkStart w:id="191" w:name="_Toc202366187"/>
      <w:r>
        <w:rPr>
          <w:rStyle w:val="CharPartNo"/>
        </w:rPr>
        <w:lastRenderedPageBreak/>
        <w:t>Part IVA</w:t>
      </w:r>
      <w:r>
        <w:rPr>
          <w:rStyle w:val="CharDivNo"/>
        </w:rPr>
        <w:t> </w:t>
      </w:r>
      <w:r>
        <w:t>—</w:t>
      </w:r>
      <w:r>
        <w:rPr>
          <w:rStyle w:val="CharDivText"/>
        </w:rPr>
        <w:t> </w:t>
      </w:r>
      <w:r>
        <w:rPr>
          <w:rStyle w:val="CharPartText"/>
        </w:rPr>
        <w:t>Registration of instruments and register</w:t>
      </w:r>
      <w:bookmarkEnd w:id="190"/>
      <w:bookmarkEnd w:id="191"/>
    </w:p>
    <w:p>
      <w:pPr>
        <w:pStyle w:val="Footnoteheading"/>
        <w:rPr>
          <w:snapToGrid w:val="0"/>
        </w:rPr>
      </w:pPr>
      <w:r>
        <w:rPr>
          <w:snapToGrid w:val="0"/>
        </w:rPr>
        <w:tab/>
        <w:t>[Heading inserted: No. 54 of 1996 s. 15.]</w:t>
      </w:r>
    </w:p>
    <w:p>
      <w:pPr>
        <w:pStyle w:val="Heading5"/>
        <w:rPr>
          <w:snapToGrid w:val="0"/>
        </w:rPr>
      </w:pPr>
      <w:bookmarkStart w:id="192" w:name="_Toc202366188"/>
      <w:r>
        <w:rPr>
          <w:rStyle w:val="CharSectno"/>
        </w:rPr>
        <w:t>103A</w:t>
      </w:r>
      <w:r>
        <w:rPr>
          <w:snapToGrid w:val="0"/>
        </w:rPr>
        <w:t>.</w:t>
      </w:r>
      <w:r>
        <w:rPr>
          <w:snapToGrid w:val="0"/>
        </w:rPr>
        <w:tab/>
        <w:t>Terms used</w:t>
      </w:r>
      <w:bookmarkEnd w:id="192"/>
    </w:p>
    <w:p>
      <w:pPr>
        <w:pStyle w:val="Subsection"/>
        <w:rPr>
          <w:snapToGrid w:val="0"/>
        </w:rPr>
      </w:pPr>
      <w:r>
        <w:rPr>
          <w:snapToGrid w:val="0"/>
        </w:rPr>
        <w:tab/>
      </w:r>
      <w:r>
        <w:rPr>
          <w:snapToGrid w:val="0"/>
        </w:rPr>
        <w:tab/>
        <w:t>In this Part —</w:t>
      </w:r>
    </w:p>
    <w:p>
      <w:pPr>
        <w:pStyle w:val="Defstart"/>
      </w:pPr>
      <w:r>
        <w:tab/>
      </w:r>
      <w:r>
        <w:rPr>
          <w:rStyle w:val="CharDefText"/>
        </w:rPr>
        <w:t>authorised officer</w:t>
      </w:r>
      <w:r>
        <w:t xml:space="preserve"> means an officer of the Department authorised under section 103B;</w:t>
      </w:r>
    </w:p>
    <w:p>
      <w:pPr>
        <w:pStyle w:val="Defstart"/>
      </w:pPr>
      <w:r>
        <w:rPr>
          <w:b/>
        </w:rPr>
        <w:tab/>
      </w:r>
      <w:r>
        <w:rPr>
          <w:rStyle w:val="CharDefText"/>
        </w:rPr>
        <w:t>tax memorial</w:t>
      </w:r>
      <w:r>
        <w:t xml:space="preserve"> means a memorial affecting a mining tenement lodged under the </w:t>
      </w:r>
      <w:r>
        <w:rPr>
          <w:i/>
        </w:rPr>
        <w:t>Taxation Administration Act 2003</w:t>
      </w:r>
      <w:r>
        <w:t xml:space="preserve"> Part 6 Division 2 for registration under this Act;</w:t>
      </w:r>
    </w:p>
    <w:p>
      <w:pPr>
        <w:pStyle w:val="Defstart"/>
      </w:pPr>
      <w:r>
        <w:rPr>
          <w:b/>
        </w:rPr>
        <w:tab/>
      </w:r>
      <w:r>
        <w:rPr>
          <w:rStyle w:val="CharDefText"/>
        </w:rPr>
        <w:t>withdrawal of memorial</w:t>
      </w:r>
      <w:r>
        <w:t xml:space="preserve"> means a withdrawal of a tax memorial lodged under the </w:t>
      </w:r>
      <w:r>
        <w:rPr>
          <w:i/>
        </w:rPr>
        <w:t>Taxation Administration Act 2003</w:t>
      </w:r>
      <w:r>
        <w:t xml:space="preserve"> section 81 for registration under this Act.</w:t>
      </w:r>
    </w:p>
    <w:p>
      <w:pPr>
        <w:pStyle w:val="Footnotesection"/>
      </w:pPr>
      <w:r>
        <w:tab/>
        <w:t>[Section 103A inserted: No. 54 of 1996 s. 15; amended: No. 31 of 2008 s. 14.]</w:t>
      </w:r>
    </w:p>
    <w:p>
      <w:pPr>
        <w:pStyle w:val="Heading5"/>
        <w:rPr>
          <w:snapToGrid w:val="0"/>
        </w:rPr>
      </w:pPr>
      <w:bookmarkStart w:id="193" w:name="_Toc202366189"/>
      <w:r>
        <w:rPr>
          <w:rStyle w:val="CharSectno"/>
        </w:rPr>
        <w:t>103B</w:t>
      </w:r>
      <w:r>
        <w:rPr>
          <w:snapToGrid w:val="0"/>
        </w:rPr>
        <w:t>.</w:t>
      </w:r>
      <w:r>
        <w:rPr>
          <w:snapToGrid w:val="0"/>
        </w:rPr>
        <w:tab/>
        <w:t>Authorised officers</w:t>
      </w:r>
      <w:bookmarkEnd w:id="193"/>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No. 54 of 1996 s. 15.]</w:t>
      </w:r>
    </w:p>
    <w:p>
      <w:pPr>
        <w:pStyle w:val="Heading5"/>
        <w:rPr>
          <w:snapToGrid w:val="0"/>
        </w:rPr>
      </w:pPr>
      <w:bookmarkStart w:id="194" w:name="_Toc202366190"/>
      <w:r>
        <w:rPr>
          <w:rStyle w:val="CharSectno"/>
        </w:rPr>
        <w:t>103C</w:t>
      </w:r>
      <w:r>
        <w:rPr>
          <w:snapToGrid w:val="0"/>
        </w:rPr>
        <w:t>.</w:t>
      </w:r>
      <w:r>
        <w:rPr>
          <w:snapToGrid w:val="0"/>
        </w:rPr>
        <w:tab/>
        <w:t>Registration</w:t>
      </w:r>
      <w:bookmarkEnd w:id="194"/>
    </w:p>
    <w:p>
      <w:pPr>
        <w:pStyle w:val="Subsection"/>
        <w:rPr>
          <w:snapToGrid w:val="0"/>
        </w:rPr>
      </w:pPr>
      <w:r>
        <w:rPr>
          <w:snapToGrid w:val="0"/>
        </w:rPr>
        <w:tab/>
        <w:t>(1)</w:t>
      </w:r>
      <w:r>
        <w:rPr>
          <w:snapToGrid w:val="0"/>
        </w:rPr>
        <w:tab/>
        <w:t>This section applies to the following instruments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w:t>
      </w:r>
    </w:p>
    <w:p>
      <w:pPr>
        <w:pStyle w:val="Indenta"/>
        <w:rPr>
          <w:snapToGrid w:val="0"/>
        </w:rPr>
      </w:pPr>
      <w:r>
        <w:rPr>
          <w:snapToGrid w:val="0"/>
        </w:rPr>
        <w:lastRenderedPageBreak/>
        <w:tab/>
        <w:t>(d)</w:t>
      </w:r>
      <w:r>
        <w:rPr>
          <w:snapToGrid w:val="0"/>
        </w:rPr>
        <w:tab/>
        <w:t>a surrender under section 26A, 65 or 95;</w:t>
      </w:r>
    </w:p>
    <w:p>
      <w:pPr>
        <w:pStyle w:val="Indenta"/>
      </w:pPr>
      <w:r>
        <w:tab/>
        <w:t>(e)</w:t>
      </w:r>
      <w:r>
        <w:tab/>
        <w:t>a tax memorial;</w:t>
      </w:r>
    </w:p>
    <w:p>
      <w:pPr>
        <w:pStyle w:val="Indenta"/>
      </w:pPr>
      <w:r>
        <w:tab/>
        <w:t>(f)</w:t>
      </w:r>
      <w:r>
        <w:tab/>
        <w:t>a withdrawal of memorial.</w:t>
      </w:r>
    </w:p>
    <w:p>
      <w:pPr>
        <w:pStyle w:val="Subsection"/>
        <w:rPr>
          <w:snapToGrid w:val="0"/>
        </w:rPr>
      </w:pPr>
      <w:r>
        <w:rPr>
          <w:snapToGrid w:val="0"/>
        </w:rPr>
        <w:tab/>
        <w:t>(2)</w:t>
      </w:r>
      <w:r>
        <w:rPr>
          <w:snapToGrid w:val="0"/>
        </w:rPr>
        <w:tab/>
        <w:t>An instrument to which this section applies is to be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pPr>
      <w:r>
        <w:tab/>
        <w:t>(6A)</w:t>
      </w:r>
      <w:r>
        <w:tab/>
        <w:t>If a tax memorial is registered a notice stating that the memorial has been registered is to be sent by certified mail to the holder of the mining tenement against which the memorial is registered.</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lastRenderedPageBreak/>
        <w:tab/>
        <w:t>[Section 103C inserted: No. 54 of 1996 s. 15 (as amended: No. 39 of 2004 s. 103(a)); amended: No. 31 of 2008 s. 15.]</w:t>
      </w:r>
    </w:p>
    <w:p>
      <w:pPr>
        <w:pStyle w:val="Heading5"/>
        <w:rPr>
          <w:snapToGrid w:val="0"/>
        </w:rPr>
      </w:pPr>
      <w:bookmarkStart w:id="195" w:name="_Toc202366191"/>
      <w:r>
        <w:rPr>
          <w:rStyle w:val="CharSectno"/>
        </w:rPr>
        <w:t>103D</w:t>
      </w:r>
      <w:r>
        <w:rPr>
          <w:snapToGrid w:val="0"/>
        </w:rPr>
        <w:t>.</w:t>
      </w:r>
      <w:r>
        <w:rPr>
          <w:snapToGrid w:val="0"/>
        </w:rPr>
        <w:tab/>
        <w:t>Provisional lodgment</w:t>
      </w:r>
      <w:bookmarkEnd w:id="195"/>
    </w:p>
    <w:p>
      <w:pPr>
        <w:pStyle w:val="Subsection"/>
        <w:rPr>
          <w:snapToGrid w:val="0"/>
        </w:rPr>
      </w:pPr>
      <w:r>
        <w:rPr>
          <w:snapToGrid w:val="0"/>
        </w:rPr>
        <w:tab/>
        <w:t>(1)</w:t>
      </w:r>
      <w:r>
        <w:rPr>
          <w:snapToGrid w:val="0"/>
        </w:rPr>
        <w:tab/>
        <w:t>If an authorised officer is of the opinion that an instrument lodged for registration contains an error or defect, the authorised officer is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 No. 54 of 1996 s. 15.]</w:t>
      </w:r>
    </w:p>
    <w:p>
      <w:pPr>
        <w:pStyle w:val="Heading5"/>
      </w:pPr>
      <w:bookmarkStart w:id="196" w:name="_Toc202366192"/>
      <w:r>
        <w:rPr>
          <w:rStyle w:val="CharSectno"/>
        </w:rPr>
        <w:t>103EA</w:t>
      </w:r>
      <w:r>
        <w:t>.</w:t>
      </w:r>
      <w:r>
        <w:tab/>
        <w:t>Memorial for unpaid tax</w:t>
      </w:r>
      <w:bookmarkEnd w:id="196"/>
    </w:p>
    <w:p>
      <w:pPr>
        <w:pStyle w:val="Subsection"/>
      </w:pPr>
      <w:r>
        <w:tab/>
        <w:t>(1)</w:t>
      </w:r>
      <w:r>
        <w:tab/>
        <w:t>A tax memorial takes effect when it is registered and ceases to have effect when a withdrawal of the memorial is registered.</w:t>
      </w:r>
    </w:p>
    <w:p>
      <w:pPr>
        <w:pStyle w:val="Subsection"/>
      </w:pPr>
      <w:r>
        <w:tab/>
        <w:t>(2)</w:t>
      </w:r>
      <w:r>
        <w:tab/>
        <w:t>While a tax memorial registered against a mining tenement is in effect no dealing affecting the mining tenement is to be lodged or registered without the consent of the Commissioner of State Revenue.</w:t>
      </w:r>
    </w:p>
    <w:p>
      <w:pPr>
        <w:pStyle w:val="Subsection"/>
      </w:pPr>
      <w:r>
        <w:tab/>
        <w:t>(3)</w:t>
      </w:r>
      <w:r>
        <w:tab/>
        <w:t>If a tax memorial is registered and in effect against —</w:t>
      </w:r>
    </w:p>
    <w:p>
      <w:pPr>
        <w:pStyle w:val="Indenta"/>
      </w:pPr>
      <w:r>
        <w:tab/>
        <w:t>(a)</w:t>
      </w:r>
      <w:r>
        <w:tab/>
        <w:t xml:space="preserve">a mining tenement and the holder of that tenement is granted a mining lease or general purpose lease (the </w:t>
      </w:r>
      <w:r>
        <w:rPr>
          <w:rStyle w:val="CharDefText"/>
        </w:rPr>
        <w:t>later tenement</w:t>
      </w:r>
      <w:r>
        <w:t>) under section 49, 67 or 70L in respect of the land or a part of the land the subject of the tenement; or</w:t>
      </w:r>
    </w:p>
    <w:p>
      <w:pPr>
        <w:pStyle w:val="Indenta"/>
      </w:pPr>
      <w:r>
        <w:tab/>
        <w:t>(b)</w:t>
      </w:r>
      <w:r>
        <w:tab/>
        <w:t xml:space="preserve">a mining tenement and the holder of that tenement is granted a retention licence (the </w:t>
      </w:r>
      <w:r>
        <w:rPr>
          <w:rStyle w:val="CharDefText"/>
        </w:rPr>
        <w:t>later tenement</w:t>
      </w:r>
      <w:r>
        <w:t>) under section 70B in respect of the land or a part of the land the subject of the tenement; or</w:t>
      </w:r>
    </w:p>
    <w:p>
      <w:pPr>
        <w:pStyle w:val="Indenta"/>
      </w:pPr>
      <w:r>
        <w:lastRenderedPageBreak/>
        <w:tab/>
        <w:t>(c)</w:t>
      </w:r>
      <w:r>
        <w:tab/>
        <w:t xml:space="preserve">a special prospecting licence granted under section 56A, 70 or 85B and the holder of that licence is granted a mining lease for gold (the </w:t>
      </w:r>
      <w:r>
        <w:rPr>
          <w:rStyle w:val="CharDefText"/>
        </w:rPr>
        <w:t>later tenement</w:t>
      </w:r>
      <w:r>
        <w:t>) under section 56A(8), 70(8) or 85B(7) in respect of the land or a part of the land the subject of the licence,</w:t>
      </w:r>
    </w:p>
    <w:p>
      <w:pPr>
        <w:pStyle w:val="Subsection"/>
      </w:pPr>
      <w:r>
        <w:tab/>
      </w:r>
      <w:r>
        <w:tab/>
        <w:t>the tax memorial is to be taken to have been also lodged against the later tenement and is to be registered accordingly.</w:t>
      </w:r>
    </w:p>
    <w:p>
      <w:pPr>
        <w:pStyle w:val="Subsection"/>
      </w:pPr>
      <w:r>
        <w:tab/>
        <w:t>(4)</w:t>
      </w:r>
      <w:r>
        <w:tab/>
        <w:t>A tax memorial registered in accordance with subsection (3) is taken to have been registered immediately after the later tenement was granted.</w:t>
      </w:r>
    </w:p>
    <w:p>
      <w:pPr>
        <w:pStyle w:val="Footnotesection"/>
      </w:pPr>
      <w:r>
        <w:tab/>
        <w:t>[Section 103EA inserted: No. 31 of 2008 s. 16.]</w:t>
      </w:r>
    </w:p>
    <w:p>
      <w:pPr>
        <w:pStyle w:val="Heading5"/>
        <w:rPr>
          <w:snapToGrid w:val="0"/>
        </w:rPr>
      </w:pPr>
      <w:bookmarkStart w:id="197" w:name="_Toc202366193"/>
      <w:r>
        <w:rPr>
          <w:rStyle w:val="CharSectno"/>
        </w:rPr>
        <w:t>103E</w:t>
      </w:r>
      <w:r>
        <w:rPr>
          <w:snapToGrid w:val="0"/>
        </w:rPr>
        <w:t>.</w:t>
      </w:r>
      <w:r>
        <w:rPr>
          <w:snapToGrid w:val="0"/>
        </w:rPr>
        <w:tab/>
        <w:t>Priority of dealings</w:t>
      </w:r>
      <w:bookmarkEnd w:id="197"/>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No. 54 of 1996 s. 15 (as amended: No. 39 of 2004 s. 103(b)).]</w:t>
      </w:r>
    </w:p>
    <w:p>
      <w:pPr>
        <w:pStyle w:val="Heading5"/>
        <w:rPr>
          <w:snapToGrid w:val="0"/>
        </w:rPr>
      </w:pPr>
      <w:bookmarkStart w:id="198" w:name="_Toc202366194"/>
      <w:r>
        <w:rPr>
          <w:rStyle w:val="CharSectno"/>
        </w:rPr>
        <w:t>103F</w:t>
      </w:r>
      <w:r>
        <w:rPr>
          <w:snapToGrid w:val="0"/>
        </w:rPr>
        <w:t>.</w:t>
      </w:r>
      <w:r>
        <w:rPr>
          <w:snapToGrid w:val="0"/>
        </w:rPr>
        <w:tab/>
        <w:t>Register</w:t>
      </w:r>
      <w:bookmarkEnd w:id="198"/>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A person may, on payment of the prescribed fee, obtain at the Department at Perth or at the office of the mining registrar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lastRenderedPageBreak/>
        <w:tab/>
        <w:t>(b)</w:t>
      </w:r>
      <w:r>
        <w:rPr>
          <w:snapToGrid w:val="0"/>
        </w:rPr>
        <w:tab/>
        <w:t>subject to such requirements, if any, as are prescribed, a copy of a dealing or other instrument recorded in the register.</w:t>
      </w:r>
    </w:p>
    <w:p>
      <w:pPr>
        <w:pStyle w:val="Footnotesection"/>
      </w:pPr>
      <w:r>
        <w:tab/>
        <w:t>[Section 103F inserted: No. 54 of 1996 s. 15.]</w:t>
      </w:r>
    </w:p>
    <w:p>
      <w:pPr>
        <w:pStyle w:val="Heading5"/>
        <w:rPr>
          <w:snapToGrid w:val="0"/>
        </w:rPr>
      </w:pPr>
      <w:bookmarkStart w:id="199" w:name="_Toc202366195"/>
      <w:r>
        <w:rPr>
          <w:rStyle w:val="CharSectno"/>
        </w:rPr>
        <w:t>103G</w:t>
      </w:r>
      <w:r>
        <w:rPr>
          <w:snapToGrid w:val="0"/>
        </w:rPr>
        <w:t>.</w:t>
      </w:r>
      <w:r>
        <w:rPr>
          <w:snapToGrid w:val="0"/>
        </w:rPr>
        <w:tab/>
        <w:t>Amendment of register</w:t>
      </w:r>
      <w:bookmarkEnd w:id="199"/>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No. 54 of 1996 s. 15.]</w:t>
      </w:r>
    </w:p>
    <w:p>
      <w:pPr>
        <w:pStyle w:val="Heading5"/>
        <w:rPr>
          <w:snapToGrid w:val="0"/>
        </w:rPr>
      </w:pPr>
      <w:bookmarkStart w:id="200" w:name="_Toc202366196"/>
      <w:r>
        <w:rPr>
          <w:rStyle w:val="CharSectno"/>
        </w:rPr>
        <w:t>103H</w:t>
      </w:r>
      <w:r>
        <w:rPr>
          <w:snapToGrid w:val="0"/>
        </w:rPr>
        <w:t>.</w:t>
      </w:r>
      <w:r>
        <w:rPr>
          <w:snapToGrid w:val="0"/>
        </w:rPr>
        <w:tab/>
        <w:t>Regulations relating to register</w:t>
      </w:r>
      <w:bookmarkEnd w:id="200"/>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No. 54 of 1996 s. 15.]</w:t>
      </w:r>
    </w:p>
    <w:p>
      <w:pPr>
        <w:pStyle w:val="Heading2"/>
      </w:pPr>
      <w:bookmarkStart w:id="201" w:name="_Toc202186741"/>
      <w:bookmarkStart w:id="202" w:name="_Toc202366197"/>
      <w:r>
        <w:rPr>
          <w:rStyle w:val="CharPartNo"/>
        </w:rPr>
        <w:lastRenderedPageBreak/>
        <w:t>Part V</w:t>
      </w:r>
      <w:r>
        <w:rPr>
          <w:rStyle w:val="CharDivNo"/>
        </w:rPr>
        <w:t> </w:t>
      </w:r>
      <w:r>
        <w:t>—</w:t>
      </w:r>
      <w:r>
        <w:rPr>
          <w:rStyle w:val="CharDivText"/>
        </w:rPr>
        <w:t> </w:t>
      </w:r>
      <w:r>
        <w:rPr>
          <w:rStyle w:val="CharPartText"/>
        </w:rPr>
        <w:t>General provisions relating to mining and mining tenements</w:t>
      </w:r>
      <w:bookmarkEnd w:id="201"/>
      <w:bookmarkEnd w:id="202"/>
    </w:p>
    <w:p>
      <w:pPr>
        <w:pStyle w:val="Heading5"/>
        <w:rPr>
          <w:snapToGrid w:val="0"/>
        </w:rPr>
      </w:pPr>
      <w:bookmarkStart w:id="203" w:name="_Toc202366198"/>
      <w:r>
        <w:rPr>
          <w:rStyle w:val="CharSectno"/>
        </w:rPr>
        <w:t>104</w:t>
      </w:r>
      <w:r>
        <w:rPr>
          <w:snapToGrid w:val="0"/>
        </w:rPr>
        <w:t>.</w:t>
      </w:r>
      <w:r>
        <w:rPr>
          <w:snapToGrid w:val="0"/>
        </w:rPr>
        <w:tab/>
        <w:t>Entry on land for purpose of marking out, surveying etc.</w:t>
      </w:r>
      <w:bookmarkEnd w:id="203"/>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 xml:space="preserve">A person shall not, for the purposes specified in subsection (1) or (2), enter on any </w:t>
      </w:r>
      <w:r>
        <w:t xml:space="preserve">Commonwealth land or </w:t>
      </w:r>
      <w:r>
        <w:rPr>
          <w:snapToGrid w:val="0"/>
        </w:rPr>
        <w:t>land referred to in section 24 or 25 or a marine nature reserve or marine park except as provided in section 26.</w:t>
      </w:r>
    </w:p>
    <w:p>
      <w:pPr>
        <w:pStyle w:val="Subsection"/>
        <w:rPr>
          <w:snapToGrid w:val="0"/>
        </w:rPr>
      </w:pPr>
      <w:r>
        <w:rPr>
          <w:snapToGrid w:val="0"/>
        </w:rPr>
        <w:lastRenderedPageBreak/>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[Section 104 amended: No. 5 of 1997 s. 41(2); No. 51 of 2012 s. 31.]</w:t>
      </w:r>
    </w:p>
    <w:p>
      <w:pPr>
        <w:pStyle w:val="Heading5"/>
        <w:rPr>
          <w:snapToGrid w:val="0"/>
        </w:rPr>
      </w:pPr>
      <w:bookmarkStart w:id="204" w:name="_Toc202366199"/>
      <w:r>
        <w:rPr>
          <w:rStyle w:val="CharSectno"/>
        </w:rPr>
        <w:t>105</w:t>
      </w:r>
      <w:r>
        <w:rPr>
          <w:snapToGrid w:val="0"/>
        </w:rPr>
        <w:t>.</w:t>
      </w:r>
      <w:r>
        <w:rPr>
          <w:snapToGrid w:val="0"/>
        </w:rPr>
        <w:tab/>
        <w:t>Marking out of mining tenement</w:t>
      </w:r>
      <w:bookmarkEnd w:id="204"/>
    </w:p>
    <w:p>
      <w:pPr>
        <w:pStyle w:val="Subsection"/>
        <w:rPr>
          <w:snapToGrid w:val="0"/>
        </w:rPr>
      </w:pPr>
      <w:r>
        <w:rPr>
          <w:snapToGrid w:val="0"/>
        </w:rPr>
        <w:tab/>
        <w:t>(1)</w:t>
      </w:r>
      <w:r>
        <w:rPr>
          <w:snapToGrid w:val="0"/>
        </w:rPr>
        <w:tab/>
      </w:r>
      <w:r>
        <w:t>Except as provided in subsection (2), before</w:t>
      </w:r>
      <w:r>
        <w:rPr>
          <w:snapToGrid w:val="0"/>
        </w:rPr>
        <w:t xml:space="preserve"> an application for a mining tenement other than an exploration </w:t>
      </w:r>
      <w:r>
        <w:t>licence, a retention licence or a miscellaneous</w:t>
      </w:r>
      <w:r>
        <w:rPr>
          <w:snapToGrid w:val="0"/>
        </w:rPr>
        <w:t xml:space="preserve">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Subsection"/>
      </w:pPr>
      <w:r>
        <w:tab/>
        <w:t>(2)</w:t>
      </w:r>
      <w:r>
        <w:tab/>
        <w:t xml:space="preserve">The holder of a prospecting licence, exploration licence or retention licence may make an application for the grant of a mining lease or general purpose lease in respect of any part of the land the subject of the licence without first marking out the land in relation to which the lease is sought if the holder includes with the application — </w:t>
      </w:r>
    </w:p>
    <w:p>
      <w:pPr>
        <w:pStyle w:val="Indenta"/>
      </w:pPr>
      <w:r>
        <w:tab/>
        <w:t>(a)</w:t>
      </w:r>
      <w:r>
        <w:tab/>
        <w:t>a statement of the grounds of the application; and</w:t>
      </w:r>
    </w:p>
    <w:p>
      <w:pPr>
        <w:pStyle w:val="Indenta"/>
      </w:pPr>
      <w:r>
        <w:tab/>
        <w:t>(b)</w:t>
      </w:r>
      <w:r>
        <w:tab/>
        <w:t>evidence supporting the statement.</w:t>
      </w:r>
    </w:p>
    <w:p>
      <w:pPr>
        <w:pStyle w:val="Subsection"/>
      </w:pPr>
      <w:r>
        <w:tab/>
        <w:t>(3)</w:t>
      </w:r>
      <w:r>
        <w:tab/>
        <w:t xml:space="preserve">The statement must specify that, in the opinion of the holder of the licence, it is not possible for the land in relation to which the lease is sought to be accessed by or on behalf of the holder for the purpose of marking out as a result of 1 or more of the following — </w:t>
      </w:r>
    </w:p>
    <w:p>
      <w:pPr>
        <w:pStyle w:val="Indenta"/>
      </w:pPr>
      <w:r>
        <w:tab/>
        <w:t>(a)</w:t>
      </w:r>
      <w:r>
        <w:tab/>
        <w:t>any law;</w:t>
      </w:r>
    </w:p>
    <w:p>
      <w:pPr>
        <w:pStyle w:val="Indenta"/>
      </w:pPr>
      <w:r>
        <w:lastRenderedPageBreak/>
        <w:tab/>
        <w:t>(b)</w:t>
      </w:r>
      <w:r>
        <w:tab/>
        <w:t>any order of a court, tribunal or person acting judicially;</w:t>
      </w:r>
    </w:p>
    <w:p>
      <w:pPr>
        <w:pStyle w:val="Indenta"/>
      </w:pPr>
      <w:r>
        <w:tab/>
        <w:t>(c)</w:t>
      </w:r>
      <w:r>
        <w:tab/>
        <w:t xml:space="preserve">an act or omission of — </w:t>
      </w:r>
    </w:p>
    <w:p>
      <w:pPr>
        <w:pStyle w:val="Indenti"/>
      </w:pPr>
      <w:r>
        <w:tab/>
        <w:t>(i)</w:t>
      </w:r>
      <w:r>
        <w:tab/>
        <w:t>a department of the Public Service; or</w:t>
      </w:r>
    </w:p>
    <w:p>
      <w:pPr>
        <w:pStyle w:val="Indenti"/>
      </w:pPr>
      <w:r>
        <w:tab/>
        <w:t>(ii)</w:t>
      </w:r>
      <w:r>
        <w:tab/>
        <w:t>a State agency or instrumentality; or</w:t>
      </w:r>
    </w:p>
    <w:p>
      <w:pPr>
        <w:pStyle w:val="Indenti"/>
      </w:pPr>
      <w:r>
        <w:tab/>
        <w:t>(iii)</w:t>
      </w:r>
      <w:r>
        <w:tab/>
        <w:t>a local government, regional local government or regional subsidiary; or</w:t>
      </w:r>
    </w:p>
    <w:p>
      <w:pPr>
        <w:pStyle w:val="Indenti"/>
      </w:pPr>
      <w:r>
        <w:tab/>
        <w:t>(iv)</w:t>
      </w:r>
      <w:r>
        <w:tab/>
        <w:t>a body, whether incorporated or not, or the holder of an office, post or position, that is established or continued for a public purpose under a written law; or</w:t>
      </w:r>
    </w:p>
    <w:p>
      <w:pPr>
        <w:pStyle w:val="Indenti"/>
      </w:pPr>
      <w:r>
        <w:tab/>
        <w:t>(v)</w:t>
      </w:r>
      <w:r>
        <w:tab/>
        <w:t xml:space="preserve">a brigade as defined in the </w:t>
      </w:r>
      <w:r>
        <w:rPr>
          <w:i/>
        </w:rPr>
        <w:t>Fire Brigades Act 1942</w:t>
      </w:r>
      <w:r>
        <w:t xml:space="preserve"> section 4(1);</w:t>
      </w:r>
    </w:p>
    <w:p>
      <w:pPr>
        <w:pStyle w:val="Indenta"/>
      </w:pPr>
      <w:r>
        <w:tab/>
        <w:t>(d)</w:t>
      </w:r>
      <w:r>
        <w:tab/>
        <w:t xml:space="preserve">any disaster or emergency, including a disaster or emergency caused by — </w:t>
      </w:r>
    </w:p>
    <w:p>
      <w:pPr>
        <w:pStyle w:val="Indenti"/>
      </w:pPr>
      <w:r>
        <w:tab/>
        <w:t>(i)</w:t>
      </w:r>
      <w:r>
        <w:tab/>
        <w:t>fire, storm, flood, lightning, landslide or earthquake; or</w:t>
      </w:r>
    </w:p>
    <w:p>
      <w:pPr>
        <w:pStyle w:val="Indenti"/>
      </w:pPr>
      <w:r>
        <w:tab/>
        <w:t>(ii)</w:t>
      </w:r>
      <w:r>
        <w:tab/>
        <w:t>the holder or any other person;</w:t>
      </w:r>
    </w:p>
    <w:p>
      <w:pPr>
        <w:pStyle w:val="Indenta"/>
      </w:pPr>
      <w:r>
        <w:tab/>
        <w:t>(e)</w:t>
      </w:r>
      <w:r>
        <w:tab/>
        <w:t xml:space="preserve">any revolution, insurrection, riot or other civil disturbance; </w:t>
      </w:r>
    </w:p>
    <w:p>
      <w:pPr>
        <w:pStyle w:val="Indenta"/>
      </w:pPr>
      <w:r>
        <w:tab/>
        <w:t>(f)</w:t>
      </w:r>
      <w:r>
        <w:tab/>
        <w:t xml:space="preserve">any vandalism, sabotage or other form of malicious damage of property; </w:t>
      </w:r>
    </w:p>
    <w:p>
      <w:pPr>
        <w:pStyle w:val="Indenta"/>
      </w:pPr>
      <w:r>
        <w:tab/>
        <w:t>(g)</w:t>
      </w:r>
      <w:r>
        <w:tab/>
        <w:t xml:space="preserve">any war (whether declared or undeclared) or military operation; </w:t>
      </w:r>
    </w:p>
    <w:p>
      <w:pPr>
        <w:pStyle w:val="Indenta"/>
      </w:pPr>
      <w:r>
        <w:tab/>
        <w:t>(h)</w:t>
      </w:r>
      <w:r>
        <w:tab/>
        <w:t>any strike, lock</w:t>
      </w:r>
      <w:r>
        <w:noBreakHyphen/>
        <w:t>out or other industrial dispute;</w:t>
      </w:r>
    </w:p>
    <w:p>
      <w:pPr>
        <w:pStyle w:val="Indenta"/>
      </w:pPr>
      <w:r>
        <w:tab/>
        <w:t>(i)</w:t>
      </w:r>
      <w:r>
        <w:tab/>
        <w:t>any other circumstance beyond the control of the holder of the licence.</w:t>
      </w:r>
    </w:p>
    <w:p>
      <w:pPr>
        <w:pStyle w:val="Subsection"/>
      </w:pPr>
      <w:r>
        <w:tab/>
        <w:t>(4)</w:t>
      </w:r>
      <w:r>
        <w:tab/>
        <w:t xml:space="preserve">If the holder of the licence makes an application in reliance on subsection (2), the holder must — </w:t>
      </w:r>
    </w:p>
    <w:p>
      <w:pPr>
        <w:pStyle w:val="Indenta"/>
      </w:pPr>
      <w:r>
        <w:tab/>
        <w:t>(a)</w:t>
      </w:r>
      <w:r>
        <w:tab/>
        <w:t xml:space="preserve">mark out the land in relation to which the lease is sought in the prescribed manner and in the prescribed shape — </w:t>
      </w:r>
    </w:p>
    <w:p>
      <w:pPr>
        <w:pStyle w:val="Indenti"/>
      </w:pPr>
      <w:r>
        <w:lastRenderedPageBreak/>
        <w:tab/>
        <w:t>(i)</w:t>
      </w:r>
      <w:r>
        <w:tab/>
        <w:t>as soon as practicable after it becomes possible for the land to be accessed; or</w:t>
      </w:r>
    </w:p>
    <w:p>
      <w:pPr>
        <w:pStyle w:val="Indenti"/>
      </w:pPr>
      <w:r>
        <w:tab/>
        <w:t>(ii)</w:t>
      </w:r>
      <w:r>
        <w:tab/>
        <w:t>if the mining registrar is not satisfied that the evidence provided under subsection (2)(b) demonstrates that it is not possible for the land to be accessed and specifies, in writing, a day by which the land must be marked out — by the end of the specified day; or</w:t>
      </w:r>
    </w:p>
    <w:p>
      <w:pPr>
        <w:pStyle w:val="Indenti"/>
      </w:pPr>
      <w:r>
        <w:tab/>
        <w:t>(iii)</w:t>
      </w:r>
      <w:r>
        <w:tab/>
        <w:t>if the mining registrar is satisfied that it has become possible for the land to be accessed and specifies, in writing, a day by which the land must be marked out — by the end of the specified day;</w:t>
      </w:r>
    </w:p>
    <w:p>
      <w:pPr>
        <w:pStyle w:val="Indenta"/>
      </w:pPr>
      <w:r>
        <w:tab/>
      </w:r>
      <w:r>
        <w:tab/>
        <w:t>and</w:t>
      </w:r>
    </w:p>
    <w:p>
      <w:pPr>
        <w:pStyle w:val="Indenta"/>
      </w:pPr>
      <w:r>
        <w:tab/>
        <w:t>(b)</w:t>
      </w:r>
      <w:r>
        <w:tab/>
        <w:t>as soon as practicable after the land is marked out, provide the mining registrar with evidence that the land has been marked out.</w:t>
      </w:r>
    </w:p>
    <w:p>
      <w:pPr>
        <w:pStyle w:val="Subsection"/>
      </w:pPr>
      <w:r>
        <w:tab/>
        <w:t>(5)</w:t>
      </w:r>
      <w:r>
        <w:tab/>
        <w:t xml:space="preserve">The activities involved in marking out under subsection (4)(a) are taken to be activities relating to prospecting and to constitute mining for the purpose of any claim under section 123 for compensation for loss or damage suffered, or likely to be suffered, resulting or arising from marking out — </w:t>
      </w:r>
    </w:p>
    <w:p>
      <w:pPr>
        <w:pStyle w:val="Indenta"/>
      </w:pPr>
      <w:r>
        <w:tab/>
        <w:t>(a)</w:t>
      </w:r>
      <w:r>
        <w:tab/>
        <w:t xml:space="preserve">under subsection (4)(a); or </w:t>
      </w:r>
    </w:p>
    <w:p>
      <w:pPr>
        <w:pStyle w:val="Indenta"/>
      </w:pPr>
      <w:r>
        <w:tab/>
        <w:t>(b)</w:t>
      </w:r>
      <w:r>
        <w:tab/>
        <w:t>for the purposes of an order under section 124(2).</w:t>
      </w:r>
    </w:p>
    <w:p>
      <w:pPr>
        <w:pStyle w:val="Footnotesection"/>
      </w:pPr>
      <w:r>
        <w:tab/>
        <w:t>[Section 105 amended: No. 100 of 1985 s. 79; No. 105 of 1986 s. 16; No. 22 of 1990 s. 33; No. 37 of 1993 s. 10(2) and 16; No. 51 of 2012 s. 32; No. 39 of 2022 s. 15.]</w:t>
      </w:r>
    </w:p>
    <w:p>
      <w:pPr>
        <w:pStyle w:val="Heading5"/>
        <w:rPr>
          <w:snapToGrid w:val="0"/>
        </w:rPr>
      </w:pPr>
      <w:bookmarkStart w:id="205" w:name="_Toc202366200"/>
      <w:r>
        <w:rPr>
          <w:rStyle w:val="CharSectno"/>
        </w:rPr>
        <w:t>105A</w:t>
      </w:r>
      <w:r>
        <w:rPr>
          <w:snapToGrid w:val="0"/>
        </w:rPr>
        <w:t>.</w:t>
      </w:r>
      <w:r>
        <w:rPr>
          <w:snapToGrid w:val="0"/>
        </w:rPr>
        <w:tab/>
        <w:t>Priorities between applicants for certain tenements</w:t>
      </w:r>
      <w:bookmarkEnd w:id="205"/>
    </w:p>
    <w:p>
      <w:pPr>
        <w:pStyle w:val="Subsection"/>
        <w:rPr>
          <w:snapToGrid w:val="0"/>
        </w:rPr>
      </w:pPr>
      <w:r>
        <w:rPr>
          <w:snapToGrid w:val="0"/>
        </w:rPr>
        <w:tab/>
        <w:t>(1)</w:t>
      </w:r>
      <w:r>
        <w:rPr>
          <w:snapToGrid w:val="0"/>
        </w:rPr>
        <w:tab/>
        <w:t xml:space="preserve">Subject to section 111A, where more than one application is received for a mining tenement (other than a miscellaneous licence) in respect of the same land or any part thereof, the applicant who first complies with the initial requirement in </w:t>
      </w:r>
      <w:r>
        <w:rPr>
          <w:snapToGrid w:val="0"/>
        </w:rPr>
        <w:lastRenderedPageBreak/>
        <w:t>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rStyle w:val="CharDefText"/>
        </w:rPr>
        <w:t>applicant</w:t>
      </w:r>
      <w:r>
        <w:rPr>
          <w:snapToGrid w:val="0"/>
        </w:rPr>
        <w:t xml:space="preserve"> means an applicant for a prospecting licence, exploration licence, mining lease or general purpose lease.</w:t>
      </w:r>
    </w:p>
    <w:p>
      <w:pPr>
        <w:pStyle w:val="Subsection"/>
        <w:rPr>
          <w:snapToGrid w:val="0"/>
        </w:rPr>
      </w:pPr>
      <w:r>
        <w:rPr>
          <w:snapToGrid w:val="0"/>
          <w:spacing w:val="-4"/>
        </w:rPr>
        <w:tab/>
        <w:t>(3)</w:t>
      </w:r>
      <w:r>
        <w:rPr>
          <w:snapToGrid w:val="0"/>
          <w:spacing w:val="-4"/>
        </w:rPr>
        <w:tab/>
      </w:r>
      <w:r>
        <w:rPr>
          <w:snapToGrid w:val="0"/>
        </w:rPr>
        <w:t xml:space="preserve">Where in respect of any land the warden is satisfied that 2 or more applicants complied with the initial requirement in relation to their applications at the </w:t>
      </w:r>
      <w:r>
        <w:t xml:space="preserve">same time or within a prescribed period, </w:t>
      </w:r>
      <w:r>
        <w:rPr>
          <w:snapToGrid w:val="0"/>
        </w:rPr>
        <w:t xml:space="preserve">priority shall, unless written agreement is concluded by the applicants and lodged </w:t>
      </w:r>
      <w:r>
        <w:t>in the prescribed manner and</w:t>
      </w:r>
      <w:r>
        <w:rPr>
          <w:snapToGrid w:val="0"/>
        </w:rPr>
        <w:t xml:space="preserve"> within the prescribed time, be determined by ballot conducted by the warden on a date to be determined by the warden and notified to the applicants.</w:t>
      </w:r>
    </w:p>
    <w:p>
      <w:pPr>
        <w:pStyle w:val="Subsection"/>
      </w:pPr>
      <w:r>
        <w:tab/>
        <w:t>(3a)</w:t>
      </w:r>
      <w:r>
        <w:tab/>
        <w:t>Each ballot under subsection (3) is to be conducted in public.</w:t>
      </w:r>
    </w:p>
    <w:p>
      <w:pPr>
        <w:pStyle w:val="Subsection"/>
        <w:rPr>
          <w:snapToGrid w:val="0"/>
        </w:rPr>
      </w:pPr>
      <w:r>
        <w:rPr>
          <w:snapToGrid w:val="0"/>
        </w:rPr>
        <w:tab/>
        <w:t>(4)</w:t>
      </w:r>
      <w:r>
        <w:rPr>
          <w:snapToGrid w:val="0"/>
        </w:rPr>
        <w:tab/>
        <w:t>In this section a reference to compliance with the initial requirement in relation to an application is a reference —</w:t>
      </w:r>
    </w:p>
    <w:p>
      <w:pPr>
        <w:pStyle w:val="Indenta"/>
        <w:rPr>
          <w:snapToGrid w:val="0"/>
        </w:rPr>
      </w:pPr>
      <w:r>
        <w:rPr>
          <w:snapToGrid w:val="0"/>
        </w:rPr>
        <w:tab/>
        <w:t>(a)</w:t>
      </w:r>
      <w:r>
        <w:rPr>
          <w:snapToGrid w:val="0"/>
        </w:rPr>
        <w:tab/>
        <w:t>in the case of an application for an exploration licence, to lodging that application</w:t>
      </w:r>
      <w:r>
        <w:t xml:space="preserve"> in the prescribed manner;</w:t>
      </w:r>
    </w:p>
    <w:p>
      <w:pPr>
        <w:pStyle w:val="Indenta"/>
        <w:rPr>
          <w:snapToGrid w:val="0"/>
        </w:rPr>
      </w:pPr>
      <w:r>
        <w:rPr>
          <w:snapToGrid w:val="0"/>
        </w:rPr>
        <w:tab/>
        <w:t>(b)</w:t>
      </w:r>
      <w:r>
        <w:rPr>
          <w:snapToGrid w:val="0"/>
        </w:rPr>
        <w:tab/>
        <w:t>in the case of an application for a prospecting licence, mining lease or general purpose lease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in the prescribed manner;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w:t>
      </w:r>
      <w:r>
        <w:t xml:space="preserve"> in the prescribed manner;</w:t>
      </w:r>
    </w:p>
    <w:p>
      <w:pPr>
        <w:pStyle w:val="Indenti"/>
        <w:rPr>
          <w:snapToGrid w:val="0"/>
        </w:rPr>
      </w:pPr>
      <w:r>
        <w:rPr>
          <w:snapToGrid w:val="0"/>
        </w:rPr>
        <w:lastRenderedPageBreak/>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[Section 105A inserted: No. 69 of 1981 s. 24; amended: No. 100 of 1985 s. 80; No. 1 of 1986 s. 6; No. 22 of 1990 s. 34; No. 37 of 1993 s. 17 and 26; No. 58 of 1994 s. 42; No. 15 of 2002 s. 26; No. 39 of 2004 s. 67 and 95; No. 12 of 2010 s. 36.]</w:t>
      </w:r>
    </w:p>
    <w:p>
      <w:pPr>
        <w:pStyle w:val="Heading5"/>
        <w:rPr>
          <w:snapToGrid w:val="0"/>
        </w:rPr>
      </w:pPr>
      <w:bookmarkStart w:id="206" w:name="_Toc202366201"/>
      <w:r>
        <w:rPr>
          <w:rStyle w:val="CharSectno"/>
        </w:rPr>
        <w:t>105B</w:t>
      </w:r>
      <w:r>
        <w:rPr>
          <w:snapToGrid w:val="0"/>
        </w:rPr>
        <w:t>.</w:t>
      </w:r>
      <w:r>
        <w:rPr>
          <w:snapToGrid w:val="0"/>
        </w:rPr>
        <w:tab/>
        <w:t>Grant of tenement subject to survey</w:t>
      </w:r>
      <w:bookmarkEnd w:id="206"/>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[Section 105B inserted: No. 100 of 1985 s. 81.]</w:t>
      </w:r>
    </w:p>
    <w:p>
      <w:pPr>
        <w:pStyle w:val="Heading5"/>
        <w:rPr>
          <w:snapToGrid w:val="0"/>
        </w:rPr>
      </w:pPr>
      <w:bookmarkStart w:id="207" w:name="_Toc202366202"/>
      <w:r>
        <w:rPr>
          <w:rStyle w:val="CharSectno"/>
        </w:rPr>
        <w:t>106</w:t>
      </w:r>
      <w:r>
        <w:rPr>
          <w:snapToGrid w:val="0"/>
        </w:rPr>
        <w:t>.</w:t>
      </w:r>
      <w:r>
        <w:rPr>
          <w:snapToGrid w:val="0"/>
        </w:rPr>
        <w:tab/>
        <w:t>Offence of destroying marks or obstructing surveyor etc.</w:t>
      </w:r>
      <w:bookmarkEnd w:id="207"/>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 or</w:t>
      </w:r>
    </w:p>
    <w:p>
      <w:pPr>
        <w:pStyle w:val="Indenta"/>
        <w:rPr>
          <w:snapToGrid w:val="0"/>
        </w:rPr>
      </w:pPr>
      <w:r>
        <w:rPr>
          <w:snapToGrid w:val="0"/>
        </w:rPr>
        <w:lastRenderedPageBreak/>
        <w:tab/>
        <w:t>(b)</w:t>
      </w:r>
      <w:r>
        <w:rPr>
          <w:snapToGrid w:val="0"/>
        </w:rPr>
        <w:tab/>
        <w:t>wilfully damages, destroys or otherwise interferes with any peg, survey peg, mark, post, cairn of stones, pole erected or notice posted for the purposes of this Act; or</w:t>
      </w:r>
    </w:p>
    <w:p>
      <w:pPr>
        <w:pStyle w:val="Indenta"/>
        <w:keepNext/>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[Section 106 amended: No. 122 of 1982 s. 26; No. 100 of 1985 s. 82.]</w:t>
      </w:r>
    </w:p>
    <w:p>
      <w:pPr>
        <w:pStyle w:val="Heading5"/>
        <w:rPr>
          <w:snapToGrid w:val="0"/>
        </w:rPr>
      </w:pPr>
      <w:bookmarkStart w:id="208" w:name="_Toc202366203"/>
      <w:r>
        <w:rPr>
          <w:rStyle w:val="CharSectno"/>
        </w:rPr>
        <w:t>107</w:t>
      </w:r>
      <w:r>
        <w:rPr>
          <w:snapToGrid w:val="0"/>
        </w:rPr>
        <w:t>.</w:t>
      </w:r>
      <w:r>
        <w:rPr>
          <w:snapToGrid w:val="0"/>
        </w:rPr>
        <w:tab/>
        <w:t>Areas covered by water not required to be marked out</w:t>
      </w:r>
      <w:bookmarkEnd w:id="208"/>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209" w:name="_Toc202366204"/>
      <w:r>
        <w:rPr>
          <w:rStyle w:val="CharSectno"/>
        </w:rPr>
        <w:t>108</w:t>
      </w:r>
      <w:r>
        <w:rPr>
          <w:snapToGrid w:val="0"/>
        </w:rPr>
        <w:t>.</w:t>
      </w:r>
      <w:r>
        <w:rPr>
          <w:snapToGrid w:val="0"/>
        </w:rPr>
        <w:tab/>
        <w:t>Rent payable for mining tenement</w:t>
      </w:r>
      <w:bookmarkEnd w:id="209"/>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210" w:name="_Toc202366205"/>
      <w:r>
        <w:rPr>
          <w:rStyle w:val="CharSectno"/>
        </w:rPr>
        <w:t>109</w:t>
      </w:r>
      <w:r>
        <w:rPr>
          <w:snapToGrid w:val="0"/>
        </w:rPr>
        <w:t>.</w:t>
      </w:r>
      <w:r>
        <w:rPr>
          <w:snapToGrid w:val="0"/>
        </w:rPr>
        <w:tab/>
        <w:t>Royalties</w:t>
      </w:r>
      <w:bookmarkEnd w:id="210"/>
    </w:p>
    <w:p>
      <w:pPr>
        <w:pStyle w:val="Subsection"/>
        <w:rPr>
          <w:snapToGrid w:val="0"/>
        </w:rPr>
      </w:pPr>
      <w:r>
        <w:rPr>
          <w:snapToGrid w:val="0"/>
        </w:rPr>
        <w:tab/>
        <w:t>(1)</w:t>
      </w:r>
      <w:r>
        <w:rPr>
          <w:snapToGrid w:val="0"/>
        </w:rPr>
        <w:tab/>
        <w:t>In the exercise of the power to make regulations under section 162, the Governor may by regulation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 and</w:t>
      </w:r>
    </w:p>
    <w:p>
      <w:pPr>
        <w:pStyle w:val="Indenta"/>
        <w:rPr>
          <w:snapToGrid w:val="0"/>
        </w:rPr>
      </w:pPr>
      <w:r>
        <w:rPr>
          <w:snapToGrid w:val="0"/>
        </w:rPr>
        <w:tab/>
        <w:t>(b)</w:t>
      </w:r>
      <w:r>
        <w:rPr>
          <w:snapToGrid w:val="0"/>
        </w:rPr>
        <w:tab/>
        <w:t xml:space="preserve">exempt, subject to conditions or unconditionally, any person or class of persons from payment either </w:t>
      </w:r>
      <w:r>
        <w:rPr>
          <w:snapToGrid w:val="0"/>
        </w:rPr>
        <w:lastRenderedPageBreak/>
        <w:t>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rPr>
          <w:snapToGrid w:val="0"/>
        </w:rPr>
      </w:pPr>
      <w:r>
        <w:rPr>
          <w:snapToGrid w:val="0"/>
        </w:rPr>
        <w:tab/>
        <w:t>(2)</w:t>
      </w:r>
      <w:r>
        <w:rPr>
          <w:snapToGrid w:val="0"/>
        </w:rPr>
        <w:tab/>
        <w:t>Regulations made under section 162 may empower the Minister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spacing w:before="180"/>
        <w:rPr>
          <w:snapToGrid w:val="0"/>
        </w:rPr>
      </w:pPr>
      <w:r>
        <w:rPr>
          <w:snapToGrid w:val="0"/>
        </w:rPr>
        <w:tab/>
        <w:t>(3)</w:t>
      </w:r>
      <w:r>
        <w:rPr>
          <w:snapToGrid w:val="0"/>
        </w:rPr>
        <w:tab/>
        <w:t>For the purposes of this section, a reference to a mineral includes a reference to a material containing that mineral.</w:t>
      </w:r>
    </w:p>
    <w:p>
      <w:pPr>
        <w:pStyle w:val="Subsection"/>
        <w:spacing w:before="180"/>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[Section 109 amended: No. 100 of 1985 s. 83; No. 58 of 1994 s. 43.]</w:t>
      </w:r>
    </w:p>
    <w:p>
      <w:pPr>
        <w:pStyle w:val="Heading5"/>
        <w:rPr>
          <w:snapToGrid w:val="0"/>
        </w:rPr>
      </w:pPr>
      <w:bookmarkStart w:id="211" w:name="_Toc202366206"/>
      <w:r>
        <w:rPr>
          <w:rStyle w:val="CharSectno"/>
        </w:rPr>
        <w:t>109A</w:t>
      </w:r>
      <w:r>
        <w:rPr>
          <w:snapToGrid w:val="0"/>
        </w:rPr>
        <w:t>.</w:t>
      </w:r>
      <w:r>
        <w:rPr>
          <w:snapToGrid w:val="0"/>
        </w:rPr>
        <w:tab/>
        <w:t>Verification of royalties payable</w:t>
      </w:r>
      <w:bookmarkEnd w:id="211"/>
    </w:p>
    <w:p>
      <w:pPr>
        <w:pStyle w:val="Subsection"/>
        <w:spacing w:before="180"/>
        <w:rPr>
          <w:snapToGrid w:val="0"/>
        </w:rPr>
      </w:pPr>
      <w:r>
        <w:rPr>
          <w:snapToGrid w:val="0"/>
        </w:rPr>
        <w:tab/>
        <w:t>(1)</w:t>
      </w:r>
      <w:r>
        <w:rPr>
          <w:snapToGrid w:val="0"/>
        </w:rPr>
        <w:tab/>
        <w:t xml:space="preserve">Where the Minister is of the opinion that any royalty has not been paid or that, having regard to any particulars that may be furnished by a person pursuant to a requirement of this Act or regulations in respect of any mining operations, any royalty was </w:t>
      </w:r>
      <w:r>
        <w:rPr>
          <w:snapToGrid w:val="0"/>
        </w:rPr>
        <w:lastRenderedPageBreak/>
        <w:t>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spacing w:before="180"/>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spacing w:before="180"/>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w:t>
      </w:r>
    </w:p>
    <w:p>
      <w:pPr>
        <w:pStyle w:val="Indenta"/>
        <w:rPr>
          <w:snapToGrid w:val="0"/>
        </w:rPr>
      </w:pPr>
      <w:r>
        <w:rPr>
          <w:snapToGrid w:val="0"/>
        </w:rPr>
        <w:tab/>
        <w:t>(a)</w:t>
      </w:r>
      <w:r>
        <w:rPr>
          <w:snapToGrid w:val="0"/>
        </w:rPr>
        <w:tab/>
        <w:t>is prepared at the cost of the person by whom the request is made and is signed by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sets out the amount of the royalty paid or to be payable and, unless the Minister otherwise consents, sufficient </w:t>
      </w:r>
      <w:r>
        <w:rPr>
          <w:snapToGrid w:val="0"/>
        </w:rPr>
        <w:lastRenderedPageBreak/>
        <w:t>detail of the methods of assessment and calculation, and of all weights, analyses, assays and other matters relevant to the certificate to enable the amount certified to be verified.</w:t>
      </w:r>
    </w:p>
    <w:p>
      <w:pPr>
        <w:pStyle w:val="Subsection"/>
        <w:spacing w:before="180"/>
        <w:rPr>
          <w:snapToGrid w:val="0"/>
        </w:rPr>
      </w:pPr>
      <w:r>
        <w:rPr>
          <w:snapToGrid w:val="0"/>
        </w:rPr>
        <w:tab/>
        <w:t>(3)</w:t>
      </w:r>
      <w:r>
        <w:rPr>
          <w:snapToGrid w:val="0"/>
        </w:rPr>
        <w:tab/>
        <w:t>For the purpose of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w:t>
      </w:r>
    </w:p>
    <w:p>
      <w:pPr>
        <w:pStyle w:val="Indenti"/>
        <w:rPr>
          <w:snapToGrid w:val="0"/>
        </w:rPr>
      </w:pPr>
      <w:r>
        <w:rPr>
          <w:snapToGrid w:val="0"/>
        </w:rPr>
        <w:tab/>
        <w:t>(i)</w:t>
      </w:r>
      <w:r>
        <w:rPr>
          <w:snapToGrid w:val="0"/>
        </w:rPr>
        <w:tab/>
        <w:t xml:space="preserve">the officer or authorised person has reasonable cause to believe an offence against this Act or a </w:t>
      </w:r>
      <w:r>
        <w:rPr>
          <w:snapToGrid w:val="0"/>
        </w:rPr>
        <w:lastRenderedPageBreak/>
        <w:t>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w:t>
      </w:r>
    </w:p>
    <w:p>
      <w:pPr>
        <w:pStyle w:val="Indenti"/>
        <w:rPr>
          <w:snapToGrid w:val="0"/>
        </w:rPr>
      </w:pPr>
      <w:r>
        <w:rPr>
          <w:snapToGrid w:val="0"/>
        </w:rPr>
        <w:tab/>
        <w:t>(i)</w:t>
      </w:r>
      <w:r>
        <w:rPr>
          <w:snapToGrid w:val="0"/>
        </w:rPr>
        <w:tab/>
        <w:t>forthwith; or</w:t>
      </w:r>
    </w:p>
    <w:p>
      <w:pPr>
        <w:pStyle w:val="Indenti"/>
        <w:rPr>
          <w:snapToGrid w:val="0"/>
        </w:rPr>
      </w:pPr>
      <w:r>
        <w:rPr>
          <w:snapToGrid w:val="0"/>
        </w:rPr>
        <w:tab/>
        <w:t>(ii)</w:t>
      </w:r>
      <w:r>
        <w:rPr>
          <w:snapToGrid w:val="0"/>
        </w:rPr>
        <w:tab/>
        <w:t>if by notice in writing a time and place for the production is specified, at the time and place specified,</w:t>
      </w:r>
    </w:p>
    <w:p>
      <w:pPr>
        <w:pStyle w:val="Indenta"/>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spacing w:before="18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keepNext/>
        <w:spacing w:before="180"/>
        <w:rPr>
          <w:snapToGrid w:val="0"/>
        </w:rPr>
      </w:pPr>
      <w:r>
        <w:rPr>
          <w:snapToGrid w:val="0"/>
        </w:rPr>
        <w:lastRenderedPageBreak/>
        <w:tab/>
        <w:t>(5)</w:t>
      </w:r>
      <w:r>
        <w:rPr>
          <w:snapToGrid w:val="0"/>
        </w:rPr>
        <w:tab/>
        <w:t>A person who, without reasonable cause, refuses or fails —</w:t>
      </w:r>
    </w:p>
    <w:p>
      <w:pPr>
        <w:pStyle w:val="Indenta"/>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 or</w:t>
      </w:r>
    </w:p>
    <w:p>
      <w:pPr>
        <w:pStyle w:val="Indenta"/>
        <w:rPr>
          <w:snapToGrid w:val="0"/>
        </w:rPr>
      </w:pPr>
      <w:r>
        <w:rPr>
          <w:snapToGrid w:val="0"/>
        </w:rPr>
        <w:tab/>
        <w:t>(b)</w:t>
      </w:r>
      <w:r>
        <w:rPr>
          <w:snapToGrid w:val="0"/>
        </w:rPr>
        <w:tab/>
        <w:t>to permit inspection or examination, or the taking of copies or extracts of records or other sources of information, for the purposes of this section; or</w:t>
      </w:r>
    </w:p>
    <w:p>
      <w:pPr>
        <w:pStyle w:val="Indenta"/>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 or</w:t>
      </w:r>
    </w:p>
    <w:p>
      <w:pPr>
        <w:pStyle w:val="Indenta"/>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spacing w:before="180"/>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rPr>
          <w:snapToGrid w:val="0"/>
        </w:rPr>
      </w:pPr>
      <w:r>
        <w:rPr>
          <w:snapToGrid w:val="0"/>
        </w:rPr>
        <w:tab/>
        <w:t>(6)</w:t>
      </w:r>
      <w:r>
        <w:rPr>
          <w:snapToGrid w:val="0"/>
        </w:rPr>
        <w:tab/>
        <w:t>Where a person who is the holder of, or an applicant for, a mining tenement is convicted in respect of that tenement of an offence contravening subsection (5) —</w:t>
      </w:r>
    </w:p>
    <w:p>
      <w:pPr>
        <w:pStyle w:val="Indenta"/>
        <w:rPr>
          <w:snapToGrid w:val="0"/>
        </w:rPr>
      </w:pPr>
      <w:r>
        <w:rPr>
          <w:snapToGrid w:val="0"/>
        </w:rPr>
        <w:tab/>
        <w:t>(a)</w:t>
      </w:r>
      <w:r>
        <w:rPr>
          <w:snapToGrid w:val="0"/>
        </w:rPr>
        <w:tab/>
        <w:t xml:space="preserve">an estimate of the royalty that, taking into account the relevant regulations and such information as has been furnished or is otherwise available to the Minister, might but for the contravention have been assessed in respect of minerals obtained from the land to which the </w:t>
      </w:r>
      <w:r>
        <w:rPr>
          <w:snapToGrid w:val="0"/>
        </w:rPr>
        <w:lastRenderedPageBreak/>
        <w:t>tenement or application relates may be made by or on behalf of the Minister; and</w:t>
      </w:r>
    </w:p>
    <w:p>
      <w:pPr>
        <w:pStyle w:val="Indenta"/>
        <w:rPr>
          <w:snapToGrid w:val="0"/>
        </w:rPr>
      </w:pPr>
      <w:r>
        <w:rPr>
          <w:snapToGrid w:val="0"/>
        </w:rPr>
        <w:tab/>
        <w:t>(b)</w:t>
      </w:r>
      <w:r>
        <w:rPr>
          <w:snapToGrid w:val="0"/>
        </w:rPr>
        <w:tab/>
        <w:t>that person may by notice in writing be required to pay to the Minister —</w:t>
      </w:r>
    </w:p>
    <w:p>
      <w:pPr>
        <w:pStyle w:val="Indenti"/>
        <w:rPr>
          <w:snapToGrid w:val="0"/>
        </w:rPr>
      </w:pPr>
      <w:r>
        <w:rPr>
          <w:snapToGrid w:val="0"/>
        </w:rPr>
        <w:tab/>
        <w:t>(i)</w:t>
      </w:r>
      <w:r>
        <w:rPr>
          <w:snapToGrid w:val="0"/>
        </w:rPr>
        <w:tab/>
        <w:t>that estimated royalty; and</w:t>
      </w:r>
    </w:p>
    <w:p>
      <w:pPr>
        <w:pStyle w:val="Indenti"/>
        <w:rPr>
          <w:snapToGrid w:val="0"/>
        </w:rPr>
      </w:pPr>
      <w:r>
        <w:rPr>
          <w:snapToGrid w:val="0"/>
        </w:rPr>
        <w:tab/>
        <w:t>(ii)</w:t>
      </w:r>
      <w:r>
        <w:rPr>
          <w:snapToGrid w:val="0"/>
        </w:rPr>
        <w:tab/>
        <w:t>an amount by way of penalty determined by the Minister, being an amount not greater than 50% of that estimated royalty,</w:t>
      </w:r>
    </w:p>
    <w:p>
      <w:pPr>
        <w:pStyle w:val="Indenta"/>
        <w:rPr>
          <w:snapToGrid w:val="0"/>
        </w:rPr>
      </w:pPr>
      <w:r>
        <w:rPr>
          <w:snapToGrid w:val="0"/>
        </w:rPr>
        <w:tab/>
      </w:r>
      <w:r>
        <w:rPr>
          <w:snapToGrid w:val="0"/>
        </w:rPr>
        <w:tab/>
        <w:t>within a time specified by the Minister; and</w:t>
      </w:r>
    </w:p>
    <w:p>
      <w:pPr>
        <w:pStyle w:val="Indenta"/>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w:t>
      </w:r>
    </w:p>
    <w:p>
      <w:pPr>
        <w:pStyle w:val="Indenti"/>
        <w:spacing w:before="60"/>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spacing w:before="60"/>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spacing w:before="100"/>
        <w:ind w:left="890" w:hanging="890"/>
      </w:pPr>
      <w:r>
        <w:tab/>
        <w:t>[Section 109A inserted: No. 22 of 1990 s. 35; amended: No. 37 of 1993 s. 27; No. 10 of 2001 s. 136.]</w:t>
      </w:r>
    </w:p>
    <w:p>
      <w:pPr>
        <w:pStyle w:val="Heading5"/>
        <w:spacing w:before="180"/>
        <w:rPr>
          <w:snapToGrid w:val="0"/>
        </w:rPr>
      </w:pPr>
      <w:bookmarkStart w:id="212" w:name="_Toc202366207"/>
      <w:r>
        <w:rPr>
          <w:rStyle w:val="CharSectno"/>
        </w:rPr>
        <w:t>110</w:t>
      </w:r>
      <w:r>
        <w:rPr>
          <w:snapToGrid w:val="0"/>
        </w:rPr>
        <w:t>.</w:t>
      </w:r>
      <w:r>
        <w:rPr>
          <w:snapToGrid w:val="0"/>
        </w:rPr>
        <w:tab/>
        <w:t>Mining lease restricted to certain minerals</w:t>
      </w:r>
      <w:bookmarkEnd w:id="212"/>
    </w:p>
    <w:p>
      <w:pPr>
        <w:pStyle w:val="Subsection"/>
        <w:spacing w:before="120"/>
        <w:rPr>
          <w:snapToGrid w:val="0"/>
        </w:rPr>
      </w:pPr>
      <w:r>
        <w:rPr>
          <w:snapToGrid w:val="0"/>
        </w:rPr>
        <w:tab/>
      </w:r>
      <w:r>
        <w:rPr>
          <w:snapToGrid w:val="0"/>
        </w:rPr>
        <w:tab/>
        <w:t xml:space="preserve">Notwithstanding anything to the contrary in this Act, the Minister may, having regard to the locality wherein the land the subject of an application for a mining lease is, and if the Minister considers it is in the public interest to do so, grant the </w:t>
      </w:r>
      <w:r>
        <w:rPr>
          <w:snapToGrid w:val="0"/>
        </w:rPr>
        <w:lastRenderedPageBreak/>
        <w:t>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No. 57 of 1997 s. 89(4).]</w:t>
      </w:r>
    </w:p>
    <w:p>
      <w:pPr>
        <w:pStyle w:val="Heading5"/>
        <w:keepLines w:val="0"/>
        <w:spacing w:before="180"/>
        <w:rPr>
          <w:snapToGrid w:val="0"/>
        </w:rPr>
      </w:pPr>
      <w:bookmarkStart w:id="213" w:name="_Toc202366208"/>
      <w:r>
        <w:rPr>
          <w:rStyle w:val="CharSectno"/>
        </w:rPr>
        <w:t>111</w:t>
      </w:r>
      <w:r>
        <w:rPr>
          <w:snapToGrid w:val="0"/>
        </w:rPr>
        <w:t>.</w:t>
      </w:r>
      <w:r>
        <w:rPr>
          <w:snapToGrid w:val="0"/>
        </w:rPr>
        <w:tab/>
        <w:t>Iron authorisations</w:t>
      </w:r>
      <w:bookmarkEnd w:id="213"/>
    </w:p>
    <w:p>
      <w:pPr>
        <w:pStyle w:val="Subsection"/>
        <w:spacing w:before="120"/>
        <w:rPr>
          <w:snapToGrid w:val="0"/>
        </w:rPr>
      </w:pPr>
      <w:r>
        <w:tab/>
        <w:t>(1)</w:t>
      </w:r>
      <w:r>
        <w:tab/>
        <w:t>Notwithstanding</w:t>
      </w:r>
      <w:r>
        <w:rPr>
          <w:snapToGrid w:val="0"/>
        </w:rPr>
        <w:t xml:space="preserve"> the provisions of sections 48, 66, 70J and 85 —</w:t>
      </w:r>
    </w:p>
    <w:p>
      <w:pPr>
        <w:pStyle w:val="Indenta"/>
        <w:spacing w:before="6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Subsection"/>
      </w:pPr>
      <w:r>
        <w:tab/>
        <w:t>(2)</w:t>
      </w:r>
      <w:r>
        <w:tab/>
        <w:t xml:space="preserve">A reference to a licence or lease in subsection (1) does not include a reference to a licence or lease granted on an application made on or after the commencement of the </w:t>
      </w:r>
      <w:r>
        <w:rPr>
          <w:i/>
        </w:rPr>
        <w:t>Licensing Provisions Amendment Act 2016</w:t>
      </w:r>
      <w:r>
        <w:t xml:space="preserve"> section 23.</w:t>
      </w:r>
    </w:p>
    <w:p>
      <w:pPr>
        <w:pStyle w:val="Footnotesection"/>
      </w:pPr>
      <w:r>
        <w:tab/>
        <w:t>[Section 111 amended: No. 37 of 1993 s. 10(2); No. 54 of 1996 s. 23; No. 44 of 2016 s. 23.]</w:t>
      </w:r>
    </w:p>
    <w:p>
      <w:pPr>
        <w:pStyle w:val="Heading5"/>
        <w:rPr>
          <w:snapToGrid w:val="0"/>
        </w:rPr>
      </w:pPr>
      <w:bookmarkStart w:id="214" w:name="_Toc202366209"/>
      <w:r>
        <w:rPr>
          <w:rStyle w:val="CharSectno"/>
        </w:rPr>
        <w:lastRenderedPageBreak/>
        <w:t>111A</w:t>
      </w:r>
      <w:r>
        <w:rPr>
          <w:snapToGrid w:val="0"/>
        </w:rPr>
        <w:t>.</w:t>
      </w:r>
      <w:r>
        <w:rPr>
          <w:snapToGrid w:val="0"/>
        </w:rPr>
        <w:tab/>
        <w:t>Minister may terminate or summarily refuse certain applications</w:t>
      </w:r>
      <w:bookmarkEnd w:id="214"/>
    </w:p>
    <w:p>
      <w:pPr>
        <w:pStyle w:val="Subsection"/>
        <w:rPr>
          <w:snapToGrid w:val="0"/>
        </w:rPr>
      </w:pPr>
      <w:r>
        <w:rPr>
          <w:snapToGrid w:val="0"/>
        </w:rPr>
        <w:tab/>
        <w:t>(1)</w:t>
      </w:r>
      <w:r>
        <w:rPr>
          <w:snapToGrid w:val="0"/>
        </w:rPr>
        <w:tab/>
        <w:t>The Minister may —</w:t>
      </w:r>
    </w:p>
    <w:p>
      <w:pPr>
        <w:pStyle w:val="Indenta"/>
        <w:spacing w:before="120"/>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w:t>
      </w:r>
    </w:p>
    <w:p>
      <w:pPr>
        <w:pStyle w:val="Indenta"/>
        <w:rPr>
          <w:snapToGrid w:val="0"/>
        </w:rPr>
      </w:pPr>
      <w:r>
        <w:rPr>
          <w:snapToGrid w:val="0"/>
        </w:rPr>
        <w:tab/>
        <w:t>(c)</w:t>
      </w:r>
      <w:r>
        <w:rPr>
          <w:snapToGrid w:val="0"/>
        </w:rPr>
        <w:tab/>
        <w:t>the Minister is satisfied on reasonable grounds in the public interest that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rStyle w:val="CharDefText"/>
        </w:rPr>
        <w:t>late renewal application</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lastRenderedPageBreak/>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[Section 111A inserted: No. 58 of 1994 s. 44.]</w:t>
      </w:r>
    </w:p>
    <w:p>
      <w:pPr>
        <w:pStyle w:val="Heading5"/>
        <w:rPr>
          <w:snapToGrid w:val="0"/>
        </w:rPr>
      </w:pPr>
      <w:bookmarkStart w:id="215" w:name="_Toc202366210"/>
      <w:r>
        <w:rPr>
          <w:rStyle w:val="CharSectno"/>
        </w:rPr>
        <w:t>112</w:t>
      </w:r>
      <w:r>
        <w:rPr>
          <w:snapToGrid w:val="0"/>
        </w:rPr>
        <w:t>.</w:t>
      </w:r>
      <w:r>
        <w:rPr>
          <w:snapToGrid w:val="0"/>
        </w:rPr>
        <w:tab/>
        <w:t>Reservation in favour of Crown on prospecting licence or exploration licence to take rock etc.</w:t>
      </w:r>
      <w:bookmarkEnd w:id="215"/>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keepLines/>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w:t>
      </w:r>
      <w:r>
        <w:t xml:space="preserve"> land; or</w:t>
      </w:r>
    </w:p>
    <w:p>
      <w:pPr>
        <w:pStyle w:val="Indenta"/>
      </w:pPr>
      <w:r>
        <w:tab/>
        <w:t>(c)</w:t>
      </w:r>
      <w:r>
        <w:tab/>
        <w:t>wholly in respect of Commonwealth land is not subject to the reservation referred to in subsection (1); or</w:t>
      </w:r>
    </w:p>
    <w:p>
      <w:pPr>
        <w:pStyle w:val="Indenta"/>
      </w:pPr>
      <w:r>
        <w:tab/>
        <w:t>(d)</w:t>
      </w:r>
      <w:r>
        <w:tab/>
        <w:t>partly in respect of any Commonwealth land and partly in respect of land other than Commonwealth land is not subject to the reservation referred to in subsection (1) in relation to that Commonwealth land.</w:t>
      </w:r>
    </w:p>
    <w:p>
      <w:pPr>
        <w:pStyle w:val="Footnotesection"/>
        <w:ind w:left="890" w:hanging="890"/>
      </w:pPr>
      <w:r>
        <w:tab/>
        <w:t>[Section 112 amended: No. 69 of 1981 s. 26; No. 51 of 2012 s. 33.]</w:t>
      </w:r>
    </w:p>
    <w:p>
      <w:pPr>
        <w:pStyle w:val="Heading5"/>
        <w:spacing w:before="180"/>
        <w:rPr>
          <w:snapToGrid w:val="0"/>
        </w:rPr>
      </w:pPr>
      <w:bookmarkStart w:id="216" w:name="_Toc202366211"/>
      <w:r>
        <w:rPr>
          <w:rStyle w:val="CharSectno"/>
        </w:rPr>
        <w:lastRenderedPageBreak/>
        <w:t>113</w:t>
      </w:r>
      <w:r>
        <w:rPr>
          <w:snapToGrid w:val="0"/>
        </w:rPr>
        <w:t>.</w:t>
      </w:r>
      <w:r>
        <w:rPr>
          <w:snapToGrid w:val="0"/>
        </w:rPr>
        <w:tab/>
        <w:t>Repossession of land on expiry, surrender or forfeiture of mining tenement</w:t>
      </w:r>
      <w:bookmarkEnd w:id="216"/>
    </w:p>
    <w:p>
      <w:pPr>
        <w:pStyle w:val="Subsection"/>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180"/>
        <w:rPr>
          <w:snapToGrid w:val="0"/>
        </w:rPr>
      </w:pPr>
      <w:bookmarkStart w:id="217" w:name="_Toc202366212"/>
      <w:r>
        <w:rPr>
          <w:rStyle w:val="CharSectno"/>
        </w:rPr>
        <w:t>114</w:t>
      </w:r>
      <w:r>
        <w:rPr>
          <w:snapToGrid w:val="0"/>
        </w:rPr>
        <w:t>.</w:t>
      </w:r>
      <w:r>
        <w:rPr>
          <w:snapToGrid w:val="0"/>
        </w:rPr>
        <w:tab/>
        <w:t>Removal of mining plant on expiry, surrender or forfeiture of mining tenement</w:t>
      </w:r>
      <w:bookmarkEnd w:id="217"/>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mining plant</w:t>
      </w:r>
      <w:r>
        <w:t xml:space="preserve"> means any building, plant, machinery, equipment, tools or any other property of any kind whether affixed to land or not so affixed;</w:t>
      </w:r>
    </w:p>
    <w:p>
      <w:pPr>
        <w:pStyle w:val="Defstart"/>
      </w:pPr>
      <w:r>
        <w:rPr>
          <w:b/>
        </w:rPr>
        <w:tab/>
      </w:r>
      <w:r>
        <w:rPr>
          <w:rStyle w:val="CharDefText"/>
        </w:rPr>
        <w:t>prescribed period</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120"/>
        <w:rPr>
          <w:snapToGrid w:val="0"/>
        </w:rPr>
      </w:pPr>
      <w:r>
        <w:rPr>
          <w:snapToGrid w:val="0"/>
        </w:rPr>
        <w:tab/>
        <w:t>(2)</w:t>
      </w:r>
      <w:r>
        <w:rPr>
          <w:snapToGrid w:val="0"/>
        </w:rPr>
        <w:tab/>
        <w:t>When a mining tenement expires or is surrendered in whole or in part or forfeited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rPr>
          <w:snapToGrid w:val="0"/>
        </w:rPr>
      </w:pPr>
      <w:r>
        <w:rPr>
          <w:snapToGrid w:val="0"/>
        </w:rPr>
        <w:tab/>
        <w:t>(b)</w:t>
      </w:r>
      <w:r>
        <w:rPr>
          <w:snapToGrid w:val="0"/>
        </w:rPr>
        <w:tab/>
        <w:t>any other person,</w:t>
      </w:r>
    </w:p>
    <w:p>
      <w:pPr>
        <w:pStyle w:val="Subsection"/>
        <w:spacing w:before="120"/>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 xml:space="preserve">Where any such mining plant is not so removed within the prescribed period, the Minister may, at any time thereafter, call upon such holder or other person as is referred to in </w:t>
      </w:r>
      <w:r>
        <w:rPr>
          <w:snapToGrid w:val="0"/>
        </w:rPr>
        <w:lastRenderedPageBreak/>
        <w:t>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t xml:space="preserve">the </w:t>
      </w:r>
      <w:r>
        <w:rPr>
          <w:rStyle w:val="CharDefText"/>
        </w:rPr>
        <w:t>former holder</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w:t>
      </w:r>
    </w:p>
    <w:p>
      <w:pPr>
        <w:pStyle w:val="Indenta"/>
        <w:rPr>
          <w:snapToGrid w:val="0"/>
        </w:rPr>
      </w:pPr>
      <w:r>
        <w:rPr>
          <w:snapToGrid w:val="0"/>
        </w:rPr>
        <w:tab/>
        <w:t>(c)</w:t>
      </w:r>
      <w:r>
        <w:rPr>
          <w:snapToGrid w:val="0"/>
        </w:rPr>
        <w:tab/>
        <w:t>at the expiration of the prescribed period, if the former holder does not —</w:t>
      </w:r>
    </w:p>
    <w:p>
      <w:pPr>
        <w:pStyle w:val="Indenti"/>
        <w:rPr>
          <w:snapToGrid w:val="0"/>
        </w:rPr>
      </w:pPr>
      <w:r>
        <w:rPr>
          <w:snapToGrid w:val="0"/>
        </w:rPr>
        <w:lastRenderedPageBreak/>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spacing w:before="140"/>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spacing w:before="80"/>
        <w:ind w:left="890" w:hanging="890"/>
      </w:pPr>
      <w:r>
        <w:tab/>
        <w:t>[Section 114 amended: No. 37 of 1993 s. 18.]</w:t>
      </w:r>
    </w:p>
    <w:p>
      <w:pPr>
        <w:pStyle w:val="Heading5"/>
        <w:rPr>
          <w:snapToGrid w:val="0"/>
        </w:rPr>
      </w:pPr>
      <w:bookmarkStart w:id="218" w:name="_Toc202366213"/>
      <w:r>
        <w:rPr>
          <w:rStyle w:val="CharSectno"/>
        </w:rPr>
        <w:t>114A</w:t>
      </w:r>
      <w:r>
        <w:rPr>
          <w:snapToGrid w:val="0"/>
        </w:rPr>
        <w:t>.</w:t>
      </w:r>
      <w:r>
        <w:rPr>
          <w:snapToGrid w:val="0"/>
        </w:rPr>
        <w:tab/>
        <w:t>Rights conferred under mining tenement exercisable in respect of mining product belonging to Crown</w:t>
      </w:r>
      <w:bookmarkEnd w:id="218"/>
    </w:p>
    <w:p>
      <w:pPr>
        <w:pStyle w:val="Subsection"/>
        <w:rPr>
          <w:snapToGrid w:val="0"/>
        </w:rPr>
      </w:pPr>
      <w:r>
        <w:rPr>
          <w:snapToGrid w:val="0"/>
        </w:rPr>
        <w:tab/>
      </w:r>
      <w:r>
        <w:rPr>
          <w:snapToGrid w:val="0"/>
        </w:rPr>
        <w:tab/>
        <w:t xml:space="preserve">Where a provision of this Act confers on the holder of a mining tenement (other than a miscellaneous licence) rights in respect of land that is the subject of that mining tenement, the holder of </w:t>
      </w:r>
      <w:r>
        <w:rPr>
          <w:snapToGrid w:val="0"/>
        </w:rPr>
        <w:lastRenderedPageBreak/>
        <w:t>the mining tenement may exercise those rights in respect of any tailings or other mining product left upon that land or any part of that land if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keepNext/>
        <w:rPr>
          <w:snapToGrid w:val="0"/>
        </w:rPr>
      </w:pPr>
      <w:r>
        <w:rPr>
          <w:snapToGrid w:val="0"/>
        </w:rPr>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[Section 114A inserted: No. 37 of 1993 s. 19(1).]</w:t>
      </w:r>
    </w:p>
    <w:p>
      <w:pPr>
        <w:pStyle w:val="Heading5"/>
      </w:pPr>
      <w:bookmarkStart w:id="219" w:name="_Toc202366214"/>
      <w:r>
        <w:rPr>
          <w:rStyle w:val="CharSectno"/>
        </w:rPr>
        <w:t>114B</w:t>
      </w:r>
      <w:r>
        <w:t>.</w:t>
      </w:r>
      <w:r>
        <w:tab/>
        <w:t>Continuation of liability after expiry, surrender or forfeiture of mining tenement</w:t>
      </w:r>
      <w:bookmarkEnd w:id="219"/>
    </w:p>
    <w:p>
      <w:pPr>
        <w:pStyle w:val="Subsection"/>
      </w:pPr>
      <w:r>
        <w:tab/>
      </w:r>
      <w:r>
        <w:tab/>
        <w:t>The expiry, surrender or forfeiture of a mining tenement does not affect the liability of the person who was the holder of the mining tenement immediately before its expiry, surrender or forfeiture —</w:t>
      </w:r>
    </w:p>
    <w:p>
      <w:pPr>
        <w:pStyle w:val="Indenta"/>
      </w:pPr>
      <w:r>
        <w:tab/>
        <w:t>(a)</w:t>
      </w:r>
      <w:r>
        <w:tab/>
        <w:t>to pay any rent, fee, royalty, penalty, or other money on any other account, payable on or before the date of expiry, surrender or forfeiture under or in relation to the mining tenement; or</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No. 39 of 2004 s. 96.]</w:t>
      </w:r>
    </w:p>
    <w:p>
      <w:pPr>
        <w:pStyle w:val="Heading5"/>
      </w:pPr>
      <w:bookmarkStart w:id="220" w:name="_Toc202366215"/>
      <w:r>
        <w:rPr>
          <w:rStyle w:val="CharSectno"/>
        </w:rPr>
        <w:lastRenderedPageBreak/>
        <w:t>114C</w:t>
      </w:r>
      <w:r>
        <w:t>.</w:t>
      </w:r>
      <w:r>
        <w:tab/>
        <w:t>Right to enter land to carry out remedial work after expiry, surrender or forfeiture of mining tenement</w:t>
      </w:r>
      <w:bookmarkEnd w:id="220"/>
    </w:p>
    <w:p>
      <w:pPr>
        <w:pStyle w:val="Subsection"/>
        <w:keepNext/>
      </w:pPr>
      <w:r>
        <w:tab/>
        <w:t>(1)</w:t>
      </w:r>
      <w:r>
        <w:tab/>
        <w:t>In this section —</w:t>
      </w:r>
    </w:p>
    <w:p>
      <w:pPr>
        <w:pStyle w:val="Defstart"/>
      </w:pPr>
      <w:r>
        <w:tab/>
      </w:r>
      <w:r>
        <w:rPr>
          <w:rStyle w:val="CharDefText"/>
        </w:rPr>
        <w:t>former holder</w:t>
      </w:r>
      <w:r>
        <w:t>, in relation to a mining tenement, means the person who was the holder of the mining tenement immediately before its expiry, surrender or forfeiture;</w:t>
      </w:r>
    </w:p>
    <w:p>
      <w:pPr>
        <w:pStyle w:val="Defstart"/>
      </w:pPr>
      <w:r>
        <w:tab/>
      </w:r>
      <w:r>
        <w:rPr>
          <w:rStyle w:val="CharDefText"/>
        </w:rPr>
        <w:t>remedial work</w:t>
      </w:r>
      <w:r>
        <w:t xml:space="preserve"> means work necessary for compliance by the former holder of a mining tenement with an obligation referred to in section 114B(b).</w:t>
      </w:r>
    </w:p>
    <w:p>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No. 39 of 2004 s. 96.]</w:t>
      </w:r>
    </w:p>
    <w:p>
      <w:pPr>
        <w:pStyle w:val="Heading5"/>
        <w:rPr>
          <w:snapToGrid w:val="0"/>
        </w:rPr>
      </w:pPr>
      <w:bookmarkStart w:id="221" w:name="_Toc202366216"/>
      <w:r>
        <w:rPr>
          <w:rStyle w:val="CharSectno"/>
        </w:rPr>
        <w:t>115</w:t>
      </w:r>
      <w:r>
        <w:rPr>
          <w:snapToGrid w:val="0"/>
        </w:rPr>
        <w:t>.</w:t>
      </w:r>
      <w:r>
        <w:rPr>
          <w:snapToGrid w:val="0"/>
        </w:rPr>
        <w:tab/>
        <w:t>Power to enter on land for surveys</w:t>
      </w:r>
      <w:bookmarkEnd w:id="221"/>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 and</w:t>
      </w:r>
    </w:p>
    <w:p>
      <w:pPr>
        <w:pStyle w:val="Indenta"/>
        <w:rPr>
          <w:snapToGrid w:val="0"/>
        </w:rPr>
      </w:pPr>
      <w:r>
        <w:rPr>
          <w:snapToGrid w:val="0"/>
        </w:rPr>
        <w:tab/>
        <w:t>(b)</w:t>
      </w:r>
      <w:r>
        <w:rPr>
          <w:snapToGrid w:val="0"/>
        </w:rPr>
        <w:tab/>
        <w:t>extract and remove from the land any geological specimens or samples that in his opinion are necessary to the survey; and</w:t>
      </w:r>
    </w:p>
    <w:p>
      <w:pPr>
        <w:pStyle w:val="Indenta"/>
        <w:rPr>
          <w:snapToGrid w:val="0"/>
        </w:rPr>
      </w:pPr>
      <w:r>
        <w:rPr>
          <w:snapToGrid w:val="0"/>
        </w:rPr>
        <w:lastRenderedPageBreak/>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 or</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[Section 115 amended: No. 100 of 1985 s. 84; No. 39 of 2004 s. 85.]</w:t>
      </w:r>
    </w:p>
    <w:p>
      <w:pPr>
        <w:pStyle w:val="Heading5"/>
        <w:rPr>
          <w:snapToGrid w:val="0"/>
        </w:rPr>
      </w:pPr>
      <w:bookmarkStart w:id="222" w:name="_Toc202366217"/>
      <w:r>
        <w:rPr>
          <w:rStyle w:val="CharSectno"/>
        </w:rPr>
        <w:lastRenderedPageBreak/>
        <w:t>115A</w:t>
      </w:r>
      <w:r>
        <w:rPr>
          <w:snapToGrid w:val="0"/>
        </w:rPr>
        <w:t>.</w:t>
      </w:r>
      <w:r>
        <w:rPr>
          <w:snapToGrid w:val="0"/>
        </w:rPr>
        <w:tab/>
        <w:t>Mineral exploration reports</w:t>
      </w:r>
      <w:bookmarkEnd w:id="222"/>
    </w:p>
    <w:p>
      <w:pPr>
        <w:pStyle w:val="Subsection"/>
        <w:rPr>
          <w:snapToGrid w:val="0"/>
        </w:rPr>
      </w:pPr>
      <w:r>
        <w:rPr>
          <w:snapToGrid w:val="0"/>
        </w:rPr>
        <w:tab/>
        <w:t>(1)</w:t>
      </w:r>
      <w:r>
        <w:rPr>
          <w:snapToGrid w:val="0"/>
        </w:rPr>
        <w:tab/>
        <w:t>In this section —</w:t>
      </w:r>
    </w:p>
    <w:p>
      <w:pPr>
        <w:pStyle w:val="Defstart"/>
      </w:pPr>
      <w:r>
        <w:rPr>
          <w:b/>
        </w:rPr>
        <w:tab/>
      </w:r>
      <w:r>
        <w:rPr>
          <w:rStyle w:val="CharDefText"/>
        </w:rPr>
        <w:t>guidelines</w:t>
      </w:r>
      <w:r>
        <w:t xml:space="preserve"> means guidelines published under the regulations;</w:t>
      </w:r>
    </w:p>
    <w:p>
      <w:pPr>
        <w:pStyle w:val="Defstart"/>
      </w:pPr>
      <w:r>
        <w:rPr>
          <w:b/>
        </w:rPr>
        <w:tab/>
      </w:r>
      <w:r>
        <w:rPr>
          <w:rStyle w:val="CharDefText"/>
        </w:rPr>
        <w:t>mineral exploration report</w:t>
      </w:r>
      <w:r>
        <w:t xml:space="preserve"> means a report containing records of the progress and results of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t>that have been carried out in search for minerals;</w:t>
      </w:r>
    </w:p>
    <w:p>
      <w:pPr>
        <w:pStyle w:val="Defstart"/>
      </w:pPr>
      <w:r>
        <w:rPr>
          <w:b/>
        </w:rPr>
        <w:tab/>
      </w:r>
      <w:r>
        <w:rPr>
          <w:rStyle w:val="CharDefText"/>
        </w:rPr>
        <w:t>operations report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 xml:space="preserve">A mineral exploration report is to be filed </w:t>
      </w:r>
      <w:r>
        <w:t>in the prescribed manner</w:t>
      </w:r>
      <w:r>
        <w:rPr>
          <w:snapToGrid w:val="0"/>
        </w:rPr>
        <w:t xml:space="preserve">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keepNext/>
        <w:rPr>
          <w:snapToGrid w:val="0"/>
        </w:rPr>
      </w:pPr>
      <w:r>
        <w:rPr>
          <w:snapToGrid w:val="0"/>
        </w:rPr>
        <w:lastRenderedPageBreak/>
        <w:tab/>
        <w:t>(5)</w:t>
      </w:r>
      <w:r>
        <w:rPr>
          <w:snapToGrid w:val="0"/>
        </w:rPr>
        <w:tab/>
        <w:t>The Minister may, under the guidelines, cancel arrangements referred to in subsection (4).</w:t>
      </w:r>
    </w:p>
    <w:p>
      <w:pPr>
        <w:pStyle w:val="Footnotesection"/>
      </w:pPr>
      <w:r>
        <w:tab/>
        <w:t>[Section 115A inserted: No. 58 of 1994 s. 45; amended: No. 12 of 2010 s. 37.]</w:t>
      </w:r>
    </w:p>
    <w:p>
      <w:pPr>
        <w:pStyle w:val="Heading5"/>
      </w:pPr>
      <w:bookmarkStart w:id="223" w:name="_Toc202366218"/>
      <w:r>
        <w:rPr>
          <w:rStyle w:val="CharSectno"/>
        </w:rPr>
        <w:t>115B</w:t>
      </w:r>
      <w:r>
        <w:t>.</w:t>
      </w:r>
      <w:r>
        <w:tab/>
        <w:t>Verification of expenditure amounts in operations reports</w:t>
      </w:r>
      <w:bookmarkEnd w:id="223"/>
    </w:p>
    <w:p>
      <w:pPr>
        <w:pStyle w:val="Subsection"/>
        <w:keepNext/>
      </w:pPr>
      <w:r>
        <w:tab/>
        <w:t>(1)</w:t>
      </w:r>
      <w:r>
        <w:tab/>
        <w:t>In this section —</w:t>
      </w:r>
    </w:p>
    <w:p>
      <w:pPr>
        <w:pStyle w:val="Defstart"/>
      </w:pPr>
      <w:r>
        <w:rPr>
          <w:b/>
        </w:rPr>
        <w:tab/>
      </w:r>
      <w:r>
        <w:rPr>
          <w:rStyle w:val="CharDefText"/>
        </w:rPr>
        <w:t>audit amount</w:t>
      </w:r>
      <w:r>
        <w:t xml:space="preserve"> means the amount of expenditure shown in an audit statement;</w:t>
      </w:r>
    </w:p>
    <w:p>
      <w:pPr>
        <w:pStyle w:val="Defstart"/>
      </w:pPr>
      <w:r>
        <w:rPr>
          <w:b/>
        </w:rPr>
        <w:tab/>
      </w:r>
      <w:r>
        <w:rPr>
          <w:rStyle w:val="CharDefText"/>
        </w:rPr>
        <w:t>audit statement</w:t>
      </w:r>
      <w:r>
        <w:t xml:space="preserve"> means a statement containing details of expenditure during the period to which an operations report relates;</w:t>
      </w:r>
    </w:p>
    <w:p>
      <w:pPr>
        <w:pStyle w:val="Defstart"/>
      </w:pPr>
      <w:r>
        <w:rPr>
          <w:b/>
        </w:rPr>
        <w:tab/>
      </w:r>
      <w:r>
        <w:rPr>
          <w:rStyle w:val="CharDefText"/>
        </w:rPr>
        <w:t>expenditure</w:t>
      </w:r>
      <w:r>
        <w:t xml:space="preserve"> means expenditure on or in connection with mining on a mining tenement;</w:t>
      </w:r>
    </w:p>
    <w:p>
      <w:pPr>
        <w:pStyle w:val="Defstart"/>
      </w:pPr>
      <w:r>
        <w:rPr>
          <w:b/>
        </w:rPr>
        <w:tab/>
      </w:r>
      <w:r>
        <w:rPr>
          <w:rStyle w:val="CharDefText"/>
        </w:rPr>
        <w:t>expenditure amount</w:t>
      </w:r>
      <w:r>
        <w:t xml:space="preserve"> means the amount of expenditure during the period to which an operations report relates;</w:t>
      </w:r>
    </w:p>
    <w:p>
      <w:pPr>
        <w:pStyle w:val="Defstart"/>
      </w:pPr>
      <w:r>
        <w:rPr>
          <w:b/>
        </w:rPr>
        <w:tab/>
      </w:r>
      <w:r>
        <w:rPr>
          <w:rStyle w:val="CharDefText"/>
        </w:rPr>
        <w:t>operations report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in the prescribed manner and within a period specified in the notice.</w:t>
      </w:r>
    </w:p>
    <w:p>
      <w:pPr>
        <w:pStyle w:val="Subsection"/>
      </w:pPr>
      <w:r>
        <w:tab/>
        <w:t>(3)</w:t>
      </w:r>
      <w:r>
        <w:tab/>
        <w:t>An audit statement is to be prepared and signed by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 xml:space="preserve">If the audit amount differs from the expenditure amount shown in the operations report, the Minister may determine in writing </w:t>
      </w:r>
      <w:r>
        <w:lastRenderedPageBreak/>
        <w:t>that the audit amount is to be regarded as the expenditure amount for the purposes of this Act.</w:t>
      </w:r>
    </w:p>
    <w:p>
      <w:pPr>
        <w:pStyle w:val="Footnotesection"/>
      </w:pPr>
      <w:r>
        <w:tab/>
        <w:t>[Section 115B inserted: No. 39 of 2004 s. 97(1); amended: No. 12 of 2010 s. 38.]</w:t>
      </w:r>
    </w:p>
    <w:p>
      <w:pPr>
        <w:pStyle w:val="Heading5"/>
        <w:rPr>
          <w:snapToGrid w:val="0"/>
        </w:rPr>
      </w:pPr>
      <w:bookmarkStart w:id="224" w:name="_Toc202366219"/>
      <w:r>
        <w:rPr>
          <w:rStyle w:val="CharSectno"/>
        </w:rPr>
        <w:t>116</w:t>
      </w:r>
      <w:r>
        <w:rPr>
          <w:snapToGrid w:val="0"/>
        </w:rPr>
        <w:t>.</w:t>
      </w:r>
      <w:r>
        <w:rPr>
          <w:snapToGrid w:val="0"/>
        </w:rPr>
        <w:tab/>
        <w:t>Instrument of licence or lease</w:t>
      </w:r>
      <w:bookmarkEnd w:id="224"/>
    </w:p>
    <w:p>
      <w:pPr>
        <w:pStyle w:val="Subsection"/>
        <w:rPr>
          <w:snapToGrid w:val="0"/>
        </w:rPr>
      </w:pPr>
      <w:r>
        <w:rPr>
          <w:snapToGrid w:val="0"/>
        </w:rPr>
        <w:tab/>
        <w:t>(1)</w:t>
      </w:r>
      <w:r>
        <w:rPr>
          <w:snapToGrid w:val="0"/>
        </w:rPr>
        <w:tab/>
        <w:t xml:space="preserve">The holder of a mining tenement granted pursuant to this Act </w:t>
      </w:r>
      <w:r>
        <w:t xml:space="preserve">is entitled, on payment of the prescribed fee, </w:t>
      </w:r>
      <w:r>
        <w:rPr>
          <w:snapToGrid w:val="0"/>
        </w:rPr>
        <w:t>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In subsection (2) —</w:t>
      </w:r>
    </w:p>
    <w:p>
      <w:pPr>
        <w:pStyle w:val="Defstart"/>
      </w:pPr>
      <w:r>
        <w:tab/>
      </w:r>
      <w:r>
        <w:rPr>
          <w:rStyle w:val="CharDefText"/>
        </w:rPr>
        <w:t>registered</w:t>
      </w:r>
      <w:r>
        <w:t>, in relation to a holder or previous holder of a mining tenement, means that the name of the holder or previous holder is or was entered in the register as the holder of the mining tenement.</w:t>
      </w:r>
    </w:p>
    <w:p>
      <w:pPr>
        <w:pStyle w:val="Footnotesection"/>
      </w:pPr>
      <w:r>
        <w:tab/>
        <w:t>[Section 116 amended: No. 100 of 1985 s. 85; No. 54 of 1996 s. 16; No. 51 of 2012 s. 34.]</w:t>
      </w:r>
    </w:p>
    <w:p>
      <w:pPr>
        <w:pStyle w:val="Heading5"/>
        <w:rPr>
          <w:snapToGrid w:val="0"/>
        </w:rPr>
      </w:pPr>
      <w:bookmarkStart w:id="225" w:name="_Toc202366220"/>
      <w:r>
        <w:rPr>
          <w:rStyle w:val="CharSectno"/>
        </w:rPr>
        <w:lastRenderedPageBreak/>
        <w:t>117</w:t>
      </w:r>
      <w:r>
        <w:rPr>
          <w:snapToGrid w:val="0"/>
        </w:rPr>
        <w:t>.</w:t>
      </w:r>
      <w:r>
        <w:rPr>
          <w:snapToGrid w:val="0"/>
        </w:rPr>
        <w:tab/>
        <w:t>Mining tenements protected</w:t>
      </w:r>
      <w:bookmarkEnd w:id="225"/>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keepNext/>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[Section 117 amended: No. 100 of 1985 s. 86; No. 37 of 1993 s. 12(2); No. 31 of 1997 s. 71(17) and (18).]</w:t>
      </w:r>
    </w:p>
    <w:p>
      <w:pPr>
        <w:pStyle w:val="Heading5"/>
        <w:rPr>
          <w:snapToGrid w:val="0"/>
        </w:rPr>
      </w:pPr>
      <w:bookmarkStart w:id="226" w:name="_Toc202366221"/>
      <w:r>
        <w:rPr>
          <w:rStyle w:val="CharSectno"/>
        </w:rPr>
        <w:t>118</w:t>
      </w:r>
      <w:r>
        <w:rPr>
          <w:snapToGrid w:val="0"/>
        </w:rPr>
        <w:t>.</w:t>
      </w:r>
      <w:r>
        <w:rPr>
          <w:snapToGrid w:val="0"/>
        </w:rPr>
        <w:tab/>
      </w:r>
      <w:r>
        <w:t>Notice of application to be given to lessee of pastoral lease or diversification lease</w:t>
      </w:r>
      <w:bookmarkEnd w:id="226"/>
    </w:p>
    <w:p>
      <w:pPr>
        <w:pStyle w:val="Subsection"/>
        <w:rPr>
          <w:snapToGrid w:val="0"/>
        </w:rPr>
      </w:pPr>
      <w:r>
        <w:rPr>
          <w:snapToGrid w:val="0"/>
        </w:rPr>
        <w:tab/>
      </w:r>
      <w:r>
        <w:rPr>
          <w:snapToGrid w:val="0"/>
        </w:rPr>
        <w:tab/>
        <w:t xml:space="preserve">Where any land comprised in an application for a mining tenement is held subject to a pastoral lease or a lease otherwise granted by or on behalf of the Crown for grazing purposes only </w:t>
      </w:r>
      <w:r>
        <w:t>or a diversification lease,</w:t>
      </w:r>
      <w:r>
        <w:rPr>
          <w:snapToGrid w:val="0"/>
        </w:rPr>
        <w:t xml:space="preserve">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[Section 118 amended: No. 122 of 1982 s. 27; No 100 of 1985 s. 87; No. 22 of 1990 s. 36; No. 37 of 1993 s. 20; No. 31 of 1997 s. 141; No. 4 of 2023 s. 134.]</w:t>
      </w:r>
    </w:p>
    <w:p>
      <w:pPr>
        <w:pStyle w:val="Heading5"/>
      </w:pPr>
      <w:bookmarkStart w:id="227" w:name="_Toc202366222"/>
      <w:r>
        <w:rPr>
          <w:rStyle w:val="CharSectno"/>
        </w:rPr>
        <w:lastRenderedPageBreak/>
        <w:t>118A</w:t>
      </w:r>
      <w:r>
        <w:t>.</w:t>
      </w:r>
      <w:r>
        <w:tab/>
        <w:t>Tenement holder may authorise mining by third party</w:t>
      </w:r>
      <w:bookmarkEnd w:id="227"/>
    </w:p>
    <w:p>
      <w:pPr>
        <w:pStyle w:val="Subsection"/>
      </w:pPr>
      <w:r>
        <w:tab/>
        <w:t>(1)</w:t>
      </w:r>
      <w:r>
        <w:tab/>
        <w:t>In this section —</w:t>
      </w:r>
    </w:p>
    <w:p>
      <w:pPr>
        <w:pStyle w:val="Defstart"/>
      </w:pPr>
      <w:r>
        <w:rPr>
          <w:b/>
        </w:rPr>
        <w:tab/>
      </w:r>
      <w:r>
        <w:rPr>
          <w:rStyle w:val="CharDefText"/>
        </w:rPr>
        <w:t>authorisation</w:t>
      </w:r>
      <w:r>
        <w:t xml:space="preserve"> means an authorisation under subsection (2).</w:t>
      </w:r>
    </w:p>
    <w:p>
      <w:pPr>
        <w:pStyle w:val="Subsection"/>
      </w:pPr>
      <w:r>
        <w:tab/>
        <w:t>(2)</w:t>
      </w:r>
      <w:r>
        <w:tab/>
        <w:t xml:space="preserve">The holder of a prospecting licence, exploration licence or mining lease (the </w:t>
      </w:r>
      <w:r>
        <w:rPr>
          <w:rStyle w:val="CharDefText"/>
        </w:rPr>
        <w:t>relevant tenement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tab/>
        <w:t>(6)</w:t>
      </w:r>
      <w:r>
        <w:tab/>
        <w:t>The giving of an authorisation does not affect the duties or obligations of the holder of the relevant tenement under this Act.</w:t>
      </w:r>
    </w:p>
    <w:p>
      <w:pPr>
        <w:pStyle w:val="Footnotesection"/>
      </w:pPr>
      <w:r>
        <w:tab/>
        <w:t>[Section 118A inserted: No. 39 of 2004 s. 98(1).]</w:t>
      </w:r>
    </w:p>
    <w:p>
      <w:pPr>
        <w:pStyle w:val="Heading5"/>
        <w:rPr>
          <w:snapToGrid w:val="0"/>
        </w:rPr>
      </w:pPr>
      <w:bookmarkStart w:id="228" w:name="_Toc202366223"/>
      <w:r>
        <w:rPr>
          <w:rStyle w:val="CharSectno"/>
        </w:rPr>
        <w:t>119</w:t>
      </w:r>
      <w:r>
        <w:rPr>
          <w:snapToGrid w:val="0"/>
        </w:rPr>
        <w:t>.</w:t>
      </w:r>
      <w:r>
        <w:rPr>
          <w:snapToGrid w:val="0"/>
        </w:rPr>
        <w:tab/>
        <w:t>Mining tenement may be sold, encumbered etc.</w:t>
      </w:r>
      <w:bookmarkEnd w:id="228"/>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 xml:space="preserve">A legal or equitable interest in or affecting a mining tenement is not capable of being created, assigned, affected or dealt with, whether directly or indirectly, except by an instrument in </w:t>
      </w:r>
      <w:r>
        <w:rPr>
          <w:snapToGrid w:val="0"/>
        </w:rPr>
        <w:lastRenderedPageBreak/>
        <w:t>writing signed by the person creating, assigning or otherwise dealing with the interest.</w:t>
      </w:r>
    </w:p>
    <w:p>
      <w:pPr>
        <w:pStyle w:val="Footnotesection"/>
      </w:pPr>
      <w:r>
        <w:tab/>
        <w:t>[Section 119 amended: No. 10 of 1982 s. 28; No. 37 of 1993 s. 27; No. 58 of 1994 s. 46; No. 59 of 2004 s. 116.]</w:t>
      </w:r>
    </w:p>
    <w:p>
      <w:pPr>
        <w:pStyle w:val="Heading5"/>
        <w:rPr>
          <w:snapToGrid w:val="0"/>
        </w:rPr>
      </w:pPr>
      <w:bookmarkStart w:id="229" w:name="_Toc202366224"/>
      <w:r>
        <w:rPr>
          <w:rStyle w:val="CharSectno"/>
        </w:rPr>
        <w:t>119A</w:t>
      </w:r>
      <w:r>
        <w:rPr>
          <w:snapToGrid w:val="0"/>
        </w:rPr>
        <w:t>.</w:t>
      </w:r>
      <w:r>
        <w:rPr>
          <w:snapToGrid w:val="0"/>
        </w:rPr>
        <w:tab/>
        <w:t>Mining tenement may be mortgaged</w:t>
      </w:r>
      <w:bookmarkEnd w:id="229"/>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A mortgage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 No. 54 of 1996 s. 17.]</w:t>
      </w:r>
    </w:p>
    <w:p>
      <w:pPr>
        <w:pStyle w:val="Heading5"/>
        <w:rPr>
          <w:snapToGrid w:val="0"/>
        </w:rPr>
      </w:pPr>
      <w:bookmarkStart w:id="230" w:name="_Toc202366225"/>
      <w:r>
        <w:rPr>
          <w:rStyle w:val="CharSectno"/>
        </w:rPr>
        <w:t>120</w:t>
      </w:r>
      <w:r>
        <w:rPr>
          <w:snapToGrid w:val="0"/>
        </w:rPr>
        <w:t>.</w:t>
      </w:r>
      <w:r>
        <w:rPr>
          <w:snapToGrid w:val="0"/>
        </w:rPr>
        <w:tab/>
        <w:t>Planning schemes to be considered but not to derogate from this Act</w:t>
      </w:r>
      <w:bookmarkEnd w:id="230"/>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lastRenderedPageBreak/>
        <w:tab/>
        <w:t>(2)</w:t>
      </w:r>
      <w:r>
        <w:rPr>
          <w:snapToGrid w:val="0"/>
        </w:rPr>
        <w:tab/>
        <w:t>Without affecting subsection (1), where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[Section 120 amended: No. 58 of 1994 s. 47; No. 14 of 1996 s. 4; No. 24 of 2000 s. 26(2); No. 38 of 2005 s. 15.]</w:t>
      </w:r>
    </w:p>
    <w:p>
      <w:pPr>
        <w:pStyle w:val="Heading5"/>
      </w:pPr>
      <w:bookmarkStart w:id="231" w:name="_Toc202366226"/>
      <w:r>
        <w:rPr>
          <w:rStyle w:val="CharSectno"/>
        </w:rPr>
        <w:t>120AA</w:t>
      </w:r>
      <w:r>
        <w:t>.</w:t>
      </w:r>
      <w:r>
        <w:tab/>
        <w:t>Scheme for reversion licence applications</w:t>
      </w:r>
      <w:bookmarkEnd w:id="231"/>
    </w:p>
    <w:p>
      <w:pPr>
        <w:pStyle w:val="Subsection"/>
        <w:keepNext/>
      </w:pPr>
      <w:r>
        <w:tab/>
        <w:t>(1)</w:t>
      </w:r>
      <w:r>
        <w:tab/>
        <w:t>In this section —</w:t>
      </w:r>
    </w:p>
    <w:p>
      <w:pPr>
        <w:pStyle w:val="Defstart"/>
      </w:pPr>
      <w:r>
        <w:rPr>
          <w:b/>
        </w:rPr>
        <w:tab/>
      </w:r>
      <w:r>
        <w:rPr>
          <w:rStyle w:val="CharDefText"/>
        </w:rPr>
        <w:t>continuing licence</w:t>
      </w:r>
      <w:r>
        <w:t xml:space="preserve"> means a prospecting licence, exploration licence or retention licence that has effect in relation to land to which a reversion licence application applies;</w:t>
      </w:r>
    </w:p>
    <w:p>
      <w:pPr>
        <w:pStyle w:val="Defstart"/>
      </w:pPr>
      <w:r>
        <w:rPr>
          <w:b/>
        </w:rPr>
        <w:tab/>
      </w:r>
      <w:r>
        <w:rPr>
          <w:rStyle w:val="CharDefText"/>
        </w:rPr>
        <w:t>lease application</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lastRenderedPageBreak/>
        <w:tab/>
        <w:t>(3)</w:t>
      </w:r>
      <w:r>
        <w:tab/>
        <w:t>An order under subsection (2) may provide for and in relation to —</w:t>
      </w:r>
    </w:p>
    <w:p>
      <w:pPr>
        <w:pStyle w:val="Indenta"/>
      </w:pPr>
      <w:r>
        <w:tab/>
        <w:t>(a)</w:t>
      </w:r>
      <w:r>
        <w:tab/>
        <w:t>the making of reversion licence applications and related matters including marking out and advertising; and</w:t>
      </w:r>
    </w:p>
    <w:p>
      <w:pPr>
        <w:pStyle w:val="Indenta"/>
      </w:pPr>
      <w:r>
        <w:tab/>
        <w:t>(b)</w:t>
      </w:r>
      <w:r>
        <w:tab/>
        <w:t>the operation and effect of a reversion licence application including its effect on —</w:t>
      </w:r>
    </w:p>
    <w:p>
      <w:pPr>
        <w:pStyle w:val="Indenti"/>
      </w:pPr>
      <w:r>
        <w:tab/>
        <w:t>(i)</w:t>
      </w:r>
      <w:r>
        <w:tab/>
        <w:t>the lease application or lease applications to which it relates; and</w:t>
      </w:r>
    </w:p>
    <w:p>
      <w:pPr>
        <w:pStyle w:val="Indenti"/>
        <w:keepNext/>
        <w:keepLines/>
      </w:pPr>
      <w:r>
        <w:tab/>
        <w:t>(ii)</w:t>
      </w:r>
      <w:r>
        <w:tab/>
        <w:t>any continuing licence held by the applicant;</w:t>
      </w:r>
    </w:p>
    <w:p>
      <w:pPr>
        <w:pStyle w:val="Indenta"/>
        <w:keepNext/>
        <w:keepLines/>
      </w:pPr>
      <w:r>
        <w:tab/>
      </w:r>
      <w:r>
        <w:tab/>
        <w:t>and</w:t>
      </w:r>
    </w:p>
    <w:p>
      <w:pPr>
        <w:pStyle w:val="Indenta"/>
      </w:pPr>
      <w:r>
        <w:tab/>
        <w:t>(c)</w:t>
      </w:r>
      <w:r>
        <w:tab/>
        <w:t>priority as between reversion licence applications and other mining tenement applications; and</w:t>
      </w:r>
    </w:p>
    <w:p>
      <w:pPr>
        <w:pStyle w:val="Indenta"/>
      </w:pPr>
      <w:r>
        <w:tab/>
        <w:t>(d)</w:t>
      </w:r>
      <w:r>
        <w:tab/>
        <w:t>the circumstances in which objections may be made to reversion licence applications; and</w:t>
      </w:r>
    </w:p>
    <w:p>
      <w:pPr>
        <w:pStyle w:val="Indenta"/>
      </w:pPr>
      <w:r>
        <w:tab/>
        <w:t>(e)</w:t>
      </w:r>
      <w:r>
        <w:tab/>
        <w:t>the operation and effect of prospecting licences and exploration licences granted as a result of reversion licence applications; and</w:t>
      </w:r>
    </w:p>
    <w:p>
      <w:pPr>
        <w:pStyle w:val="Indenta"/>
      </w:pPr>
      <w:r>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lastRenderedPageBreak/>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No. 39 of 2004 s. 99; amended: No. 27 of 2005 s. 11]</w:t>
      </w:r>
    </w:p>
    <w:p>
      <w:pPr>
        <w:pStyle w:val="Heading2"/>
      </w:pPr>
      <w:bookmarkStart w:id="232" w:name="_Toc202186771"/>
      <w:bookmarkStart w:id="233" w:name="_Toc202366227"/>
      <w:r>
        <w:rPr>
          <w:rStyle w:val="CharPartNo"/>
        </w:rPr>
        <w:lastRenderedPageBreak/>
        <w:t>Part VI</w:t>
      </w:r>
      <w:r>
        <w:rPr>
          <w:rStyle w:val="CharDivNo"/>
        </w:rPr>
        <w:t> </w:t>
      </w:r>
      <w:r>
        <w:t>—</w:t>
      </w:r>
      <w:r>
        <w:rPr>
          <w:rStyle w:val="CharDivText"/>
        </w:rPr>
        <w:t> </w:t>
      </w:r>
      <w:r>
        <w:rPr>
          <w:rStyle w:val="CharPartText"/>
        </w:rPr>
        <w:t>Caveats</w:t>
      </w:r>
      <w:bookmarkEnd w:id="232"/>
      <w:bookmarkEnd w:id="233"/>
    </w:p>
    <w:p>
      <w:pPr>
        <w:pStyle w:val="Footnoteheading"/>
        <w:rPr>
          <w:snapToGrid w:val="0"/>
        </w:rPr>
      </w:pPr>
      <w:r>
        <w:rPr>
          <w:snapToGrid w:val="0"/>
        </w:rPr>
        <w:tab/>
        <w:t>[Heading inserted: No. 54 of 1996 s. 18.]</w:t>
      </w:r>
    </w:p>
    <w:p>
      <w:pPr>
        <w:pStyle w:val="Heading5"/>
        <w:spacing w:before="260"/>
        <w:rPr>
          <w:snapToGrid w:val="0"/>
        </w:rPr>
      </w:pPr>
      <w:bookmarkStart w:id="234" w:name="_Toc202366228"/>
      <w:r>
        <w:rPr>
          <w:rStyle w:val="CharSectno"/>
        </w:rPr>
        <w:t>121</w:t>
      </w:r>
      <w:r>
        <w:rPr>
          <w:snapToGrid w:val="0"/>
        </w:rPr>
        <w:t>.</w:t>
      </w:r>
      <w:r>
        <w:rPr>
          <w:snapToGrid w:val="0"/>
        </w:rPr>
        <w:tab/>
        <w:t>Terms used</w:t>
      </w:r>
      <w:bookmarkEnd w:id="234"/>
    </w:p>
    <w:p>
      <w:pPr>
        <w:pStyle w:val="Subsection"/>
      </w:pPr>
      <w:r>
        <w:tab/>
      </w:r>
      <w:r>
        <w:tab/>
        <w:t>In this Part, unless the contrary intention appears —</w:t>
      </w:r>
    </w:p>
    <w:p>
      <w:pPr>
        <w:pStyle w:val="Defstart"/>
        <w:spacing w:before="160"/>
      </w:pPr>
      <w:r>
        <w:rPr>
          <w:b/>
        </w:rPr>
        <w:tab/>
      </w:r>
      <w:r>
        <w:rPr>
          <w:rStyle w:val="CharDefText"/>
        </w:rPr>
        <w:t>absolute caveat</w:t>
      </w:r>
      <w:r>
        <w:t xml:space="preserve"> means a caveat referred to in section 122A(1)(a);</w:t>
      </w:r>
    </w:p>
    <w:p>
      <w:pPr>
        <w:pStyle w:val="Defstart"/>
        <w:spacing w:before="160"/>
      </w:pPr>
      <w:r>
        <w:rPr>
          <w:b/>
        </w:rPr>
        <w:tab/>
      </w:r>
      <w:r>
        <w:rPr>
          <w:rStyle w:val="CharDefText"/>
        </w:rPr>
        <w:t>caveat</w:t>
      </w:r>
      <w:r>
        <w:t xml:space="preserve"> means an absolute caveat, a consent caveat or a subject to claim caveat;</w:t>
      </w:r>
    </w:p>
    <w:p>
      <w:pPr>
        <w:pStyle w:val="Defstart"/>
        <w:spacing w:before="160"/>
      </w:pPr>
      <w:r>
        <w:rPr>
          <w:b/>
        </w:rPr>
        <w:tab/>
      </w:r>
      <w:r>
        <w:rPr>
          <w:rStyle w:val="CharDefText"/>
        </w:rPr>
        <w:t>consent caveat</w:t>
      </w:r>
      <w:r>
        <w:t xml:space="preserve"> means a caveat referred to in section 122A(2);</w:t>
      </w:r>
    </w:p>
    <w:p>
      <w:pPr>
        <w:pStyle w:val="Defstart"/>
        <w:spacing w:before="160"/>
      </w:pPr>
      <w:r>
        <w:rPr>
          <w:b/>
        </w:rPr>
        <w:tab/>
      </w:r>
      <w:r>
        <w:rPr>
          <w:rStyle w:val="CharDefText"/>
        </w:rPr>
        <w:t>subject to claim caveat</w:t>
      </w:r>
      <w:r>
        <w:t xml:space="preserve"> means a caveat referred to in section 122A(1)(b).</w:t>
      </w:r>
    </w:p>
    <w:p>
      <w:pPr>
        <w:pStyle w:val="Footnotesection"/>
        <w:ind w:left="890" w:hanging="890"/>
      </w:pPr>
      <w:r>
        <w:tab/>
        <w:t>[Section 121 inserted: No. 54 of 1996 s. 18.]</w:t>
      </w:r>
    </w:p>
    <w:p>
      <w:pPr>
        <w:pStyle w:val="Heading5"/>
        <w:spacing w:before="260"/>
        <w:rPr>
          <w:snapToGrid w:val="0"/>
        </w:rPr>
      </w:pPr>
      <w:bookmarkStart w:id="235" w:name="_Toc202366229"/>
      <w:r>
        <w:rPr>
          <w:snapToGrid w:val="0"/>
        </w:rPr>
        <w:t>122.</w:t>
      </w:r>
      <w:r>
        <w:rPr>
          <w:snapToGrid w:val="0"/>
        </w:rPr>
        <w:tab/>
        <w:t>Certain surrenders not affected by this Part</w:t>
      </w:r>
      <w:bookmarkEnd w:id="235"/>
    </w:p>
    <w:p>
      <w:pPr>
        <w:pStyle w:val="Subsection"/>
        <w:spacing w:before="180"/>
      </w:pPr>
      <w:r>
        <w:tab/>
        <w:t>(1)</w:t>
      </w:r>
      <w:r>
        <w:tab/>
        <w:t>A reference in this Part (other than this section) to a surrender does not include a surrender under section 26A or 65.</w:t>
      </w:r>
    </w:p>
    <w:p>
      <w:pPr>
        <w:pStyle w:val="Subsection"/>
        <w:spacing w:before="180"/>
      </w:pPr>
      <w:r>
        <w:tab/>
        <w:t>(2)</w:t>
      </w:r>
      <w:r>
        <w:tab/>
        <w:t>Where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18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No. 54 of 1996 s. 18.]</w:t>
      </w:r>
    </w:p>
    <w:p>
      <w:pPr>
        <w:pStyle w:val="Heading5"/>
        <w:spacing w:before="180"/>
        <w:rPr>
          <w:snapToGrid w:val="0"/>
        </w:rPr>
      </w:pPr>
      <w:bookmarkStart w:id="236" w:name="_Toc202366230"/>
      <w:r>
        <w:rPr>
          <w:rStyle w:val="CharSectno"/>
        </w:rPr>
        <w:lastRenderedPageBreak/>
        <w:t>122A</w:t>
      </w:r>
      <w:r>
        <w:rPr>
          <w:snapToGrid w:val="0"/>
        </w:rPr>
        <w:t>.</w:t>
      </w:r>
      <w:r>
        <w:rPr>
          <w:snapToGrid w:val="0"/>
        </w:rPr>
        <w:tab/>
        <w:t>Lodgment of caveats</w:t>
      </w:r>
      <w:bookmarkEnd w:id="236"/>
    </w:p>
    <w:p>
      <w:pPr>
        <w:pStyle w:val="Subsection"/>
        <w:keepNext/>
        <w:keepLines/>
        <w:spacing w:before="120"/>
      </w:pPr>
      <w:r>
        <w:tab/>
        <w:t>(1)</w:t>
      </w:r>
      <w:r>
        <w:tab/>
        <w:t>A person claiming an interest in a mining tenement may lodge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a caveat against the mining tenement forbidding the registration of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If —</w:t>
      </w:r>
    </w:p>
    <w:p>
      <w:pPr>
        <w:pStyle w:val="Indenta"/>
        <w:rPr>
          <w:snapToGrid w:val="0"/>
        </w:rPr>
      </w:pPr>
      <w:r>
        <w:rPr>
          <w:snapToGrid w:val="0"/>
        </w:rPr>
        <w:tab/>
        <w:t>(a)</w:t>
      </w:r>
      <w:r>
        <w:rPr>
          <w:snapToGrid w:val="0"/>
        </w:rPr>
        <w:tab/>
        <w:t>the holder of a mining tenement has entered into an agreement with another person relating to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 caveat against the mining tenement forbidding the registration of a dealing or surrender affecting the mining tenement or interest together with a copy of the agreement.</w:t>
      </w:r>
    </w:p>
    <w:p>
      <w:pPr>
        <w:pStyle w:val="Subsection"/>
      </w:pPr>
      <w:r>
        <w:tab/>
        <w:t>(3)</w:t>
      </w:r>
      <w:r>
        <w:tab/>
        <w:t>A caveat lodged under this section is to —</w:t>
      </w:r>
    </w:p>
    <w:p>
      <w:pPr>
        <w:pStyle w:val="Indenta"/>
        <w:rPr>
          <w:snapToGrid w:val="0"/>
        </w:rPr>
      </w:pPr>
      <w:r>
        <w:rPr>
          <w:snapToGrid w:val="0"/>
        </w:rPr>
        <w:tab/>
        <w:t>(a)</w:t>
      </w:r>
      <w:r>
        <w:rPr>
          <w:snapToGrid w:val="0"/>
        </w:rPr>
        <w:tab/>
        <w:t>be in the prescribed form; and</w:t>
      </w:r>
    </w:p>
    <w:p>
      <w:pPr>
        <w:pStyle w:val="Indenta"/>
      </w:pPr>
      <w:r>
        <w:tab/>
        <w:t>(ba)</w:t>
      </w:r>
      <w:r>
        <w:tab/>
        <w:t>be lodged in the prescribed manner; and</w:t>
      </w:r>
    </w:p>
    <w:p>
      <w:pPr>
        <w:pStyle w:val="Indenta"/>
        <w:rPr>
          <w:snapToGrid w:val="0"/>
        </w:rPr>
      </w:pPr>
      <w:r>
        <w:rPr>
          <w:snapToGrid w:val="0"/>
        </w:rPr>
        <w:tab/>
        <w:t>(b)</w:t>
      </w:r>
      <w:r>
        <w:rPr>
          <w:snapToGrid w:val="0"/>
        </w:rPr>
        <w:tab/>
        <w:t>be accompanied by the prescribed fee; and</w:t>
      </w:r>
    </w:p>
    <w:p>
      <w:pPr>
        <w:pStyle w:val="Indenta"/>
        <w:rPr>
          <w:snapToGrid w:val="0"/>
        </w:rPr>
      </w:pPr>
      <w:r>
        <w:rPr>
          <w:snapToGrid w:val="0"/>
        </w:rPr>
        <w:lastRenderedPageBreak/>
        <w:tab/>
        <w:t>(c)</w:t>
      </w:r>
      <w:r>
        <w:rPr>
          <w:snapToGrid w:val="0"/>
        </w:rPr>
        <w:tab/>
        <w:t>state the full name and address of the caveator; and</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If a caveat is lodged under this section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No. 54 of 1996 s. 18 (as amended: No. 39 of 2004 s. 104(a) and (b)); amended: No. 12 of 2010 s. 39.]</w:t>
      </w:r>
    </w:p>
    <w:p>
      <w:pPr>
        <w:pStyle w:val="Heading5"/>
        <w:rPr>
          <w:snapToGrid w:val="0"/>
        </w:rPr>
      </w:pPr>
      <w:bookmarkStart w:id="237" w:name="_Toc202366231"/>
      <w:r>
        <w:rPr>
          <w:rStyle w:val="CharSectno"/>
        </w:rPr>
        <w:t>122B</w:t>
      </w:r>
      <w:r>
        <w:rPr>
          <w:snapToGrid w:val="0"/>
        </w:rPr>
        <w:t>.</w:t>
      </w:r>
      <w:r>
        <w:rPr>
          <w:snapToGrid w:val="0"/>
        </w:rPr>
        <w:tab/>
        <w:t>Provisional lodgment</w:t>
      </w:r>
      <w:bookmarkEnd w:id="237"/>
    </w:p>
    <w:p>
      <w:pPr>
        <w:pStyle w:val="Subsection"/>
      </w:pPr>
      <w:r>
        <w:tab/>
        <w:t>(1)</w:t>
      </w:r>
      <w:r>
        <w:tab/>
        <w:t>If an authorised officer (as defined in section 103A) is of the opinion that a caveat lodged under section 122A contains an error or defect, the officer is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keepNext/>
      </w:pPr>
      <w:r>
        <w:lastRenderedPageBreak/>
        <w:tab/>
        <w:t>(2)</w:t>
      </w:r>
      <w:r>
        <w:tab/>
        <w:t>The regulations may provide for the effect to be given to a caveat accepted for provisional lodgment.</w:t>
      </w:r>
    </w:p>
    <w:p>
      <w:pPr>
        <w:pStyle w:val="Footnotesection"/>
        <w:ind w:left="890" w:hanging="890"/>
      </w:pPr>
      <w:r>
        <w:tab/>
        <w:t>[Section 122B inserted: No. 54 of 1996 s. 18.]</w:t>
      </w:r>
    </w:p>
    <w:p>
      <w:pPr>
        <w:pStyle w:val="Heading5"/>
        <w:rPr>
          <w:snapToGrid w:val="0"/>
        </w:rPr>
      </w:pPr>
      <w:bookmarkStart w:id="238" w:name="_Toc202366232"/>
      <w:r>
        <w:rPr>
          <w:rStyle w:val="CharSectno"/>
        </w:rPr>
        <w:t>122C</w:t>
      </w:r>
      <w:r>
        <w:rPr>
          <w:snapToGrid w:val="0"/>
        </w:rPr>
        <w:t>.</w:t>
      </w:r>
      <w:r>
        <w:rPr>
          <w:snapToGrid w:val="0"/>
        </w:rPr>
        <w:tab/>
        <w:t>Caveats deemed to be lodged against later tenements</w:t>
      </w:r>
      <w:bookmarkEnd w:id="238"/>
    </w:p>
    <w:p>
      <w:pPr>
        <w:pStyle w:val="Subsection"/>
        <w:keepNext/>
      </w:pPr>
      <w:r>
        <w:tab/>
        <w:t>(1)</w:t>
      </w:r>
      <w:r>
        <w:tab/>
        <w:t>If a caveat has been lodged against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 xml:space="preserve">(the </w:t>
      </w:r>
      <w:r>
        <w:rPr>
          <w:rStyle w:val="CharDefText"/>
        </w:rPr>
        <w:t>later tenement</w:t>
      </w:r>
      <w:r>
        <w:rPr>
          <w:snapToGrid w:val="0"/>
        </w:rPr>
        <w:t>) under section 49, 67 or 70L in respect of the land or a part of the land the subject of the tenement; or</w:t>
      </w:r>
    </w:p>
    <w:p>
      <w:pPr>
        <w:pStyle w:val="Indenta"/>
        <w:rPr>
          <w:snapToGrid w:val="0"/>
        </w:rPr>
      </w:pPr>
      <w:r>
        <w:rPr>
          <w:snapToGrid w:val="0"/>
        </w:rPr>
        <w:tab/>
        <w:t>(b)</w:t>
      </w:r>
      <w:r>
        <w:rPr>
          <w:snapToGrid w:val="0"/>
        </w:rPr>
        <w:tab/>
        <w:t xml:space="preserve">a mining tenement and the holder of that tenement is granted a retention </w:t>
      </w:r>
      <w:r>
        <w:t xml:space="preserve">licence (the </w:t>
      </w:r>
      <w:r>
        <w:rPr>
          <w:rStyle w:val="CharDefText"/>
        </w:rPr>
        <w:t>later tenement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 xml:space="preserve">a special prospecting licence granted under section 56A, 70 or 85B and the holder of that licence is granted a mining lease for gold </w:t>
      </w:r>
      <w:r>
        <w:t xml:space="preserve">(the </w:t>
      </w:r>
      <w:r>
        <w:rPr>
          <w:rStyle w:val="CharDefText"/>
        </w:rPr>
        <w:t>later tenement</w:t>
      </w:r>
      <w:r>
        <w:rPr>
          <w:snapToGrid w:val="0"/>
        </w:rPr>
        <w: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No. 54 of 1996 s. 18.]</w:t>
      </w:r>
    </w:p>
    <w:p>
      <w:pPr>
        <w:pStyle w:val="Heading5"/>
        <w:rPr>
          <w:snapToGrid w:val="0"/>
        </w:rPr>
      </w:pPr>
      <w:bookmarkStart w:id="239" w:name="_Toc202366233"/>
      <w:r>
        <w:rPr>
          <w:rStyle w:val="CharSectno"/>
        </w:rPr>
        <w:t>122D</w:t>
      </w:r>
      <w:r>
        <w:rPr>
          <w:snapToGrid w:val="0"/>
        </w:rPr>
        <w:t>.</w:t>
      </w:r>
      <w:r>
        <w:rPr>
          <w:snapToGrid w:val="0"/>
        </w:rPr>
        <w:tab/>
        <w:t>Effect of caveat</w:t>
      </w:r>
      <w:bookmarkEnd w:id="239"/>
    </w:p>
    <w:p>
      <w:pPr>
        <w:pStyle w:val="Subsection"/>
      </w:pPr>
      <w:r>
        <w:tab/>
        <w:t>(1)</w:t>
      </w:r>
      <w:r>
        <w:tab/>
        <w:t>A dealing or surrender affecting the subject matter of a caveat shall not be registered under section 103C while the caveat remains in force, except with the consent of a warden.</w:t>
      </w:r>
    </w:p>
    <w:p>
      <w:pPr>
        <w:pStyle w:val="Subsection"/>
        <w:keepNext/>
      </w:pPr>
      <w:r>
        <w:lastRenderedPageBreak/>
        <w:tab/>
        <w:t>(2)</w:t>
      </w:r>
      <w:r>
        <w:tab/>
        <w:t>Subsection (1) does not apply to a dealing if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No. 54 of 1996 s. 18 (as amended: No. 39 of 2004 s. 104(c)).]</w:t>
      </w:r>
    </w:p>
    <w:p>
      <w:pPr>
        <w:pStyle w:val="Heading5"/>
        <w:rPr>
          <w:snapToGrid w:val="0"/>
        </w:rPr>
      </w:pPr>
      <w:bookmarkStart w:id="240" w:name="_Toc202366234"/>
      <w:r>
        <w:rPr>
          <w:rStyle w:val="CharSectno"/>
        </w:rPr>
        <w:t>122E</w:t>
      </w:r>
      <w:r>
        <w:rPr>
          <w:snapToGrid w:val="0"/>
        </w:rPr>
        <w:t>.</w:t>
      </w:r>
      <w:r>
        <w:rPr>
          <w:snapToGrid w:val="0"/>
        </w:rPr>
        <w:tab/>
        <w:t>Duration of caveat</w:t>
      </w:r>
      <w:bookmarkEnd w:id="240"/>
    </w:p>
    <w:p>
      <w:pPr>
        <w:pStyle w:val="Subsection"/>
      </w:pPr>
      <w:r>
        <w:tab/>
        <w:t>(1)</w:t>
      </w:r>
      <w:r>
        <w:tab/>
        <w:t>An absolute caveat or a subject to claim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the expiry of a period of 14 days after notification that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A consent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lastRenderedPageBreak/>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In subsection (2) —</w:t>
      </w:r>
    </w:p>
    <w:p>
      <w:pPr>
        <w:pStyle w:val="Defstart"/>
      </w:pPr>
      <w:r>
        <w:rPr>
          <w:b/>
        </w:rPr>
        <w:tab/>
      </w:r>
      <w:r>
        <w:rPr>
          <w:rStyle w:val="CharDefText"/>
        </w:rPr>
        <w:t>agreement</w:t>
      </w:r>
      <w:r>
        <w:t xml:space="preserve"> means the agreement referred to in section 122A(2).</w:t>
      </w:r>
    </w:p>
    <w:p>
      <w:pPr>
        <w:pStyle w:val="Footnotesection"/>
        <w:keepLines w:val="0"/>
      </w:pPr>
      <w:r>
        <w:tab/>
        <w:t>[Section 122E inserted: No. 54 of 1996 s. 18 (as amended: No. 39 of 2004 s. 104(d)</w:t>
      </w:r>
      <w:r>
        <w:noBreakHyphen/>
        <w:t>(f)).]</w:t>
      </w:r>
    </w:p>
    <w:p>
      <w:pPr>
        <w:pStyle w:val="Heading2"/>
      </w:pPr>
      <w:bookmarkStart w:id="241" w:name="_Toc202186779"/>
      <w:bookmarkStart w:id="242" w:name="_Toc202366235"/>
      <w:r>
        <w:rPr>
          <w:rStyle w:val="CharPartNo"/>
        </w:rPr>
        <w:lastRenderedPageBreak/>
        <w:t>Part VII</w:t>
      </w:r>
      <w:r>
        <w:rPr>
          <w:rStyle w:val="CharDivNo"/>
        </w:rPr>
        <w:t> </w:t>
      </w:r>
      <w:r>
        <w:t>—</w:t>
      </w:r>
      <w:r>
        <w:rPr>
          <w:rStyle w:val="CharDivText"/>
        </w:rPr>
        <w:t> </w:t>
      </w:r>
      <w:r>
        <w:rPr>
          <w:rStyle w:val="CharPartText"/>
        </w:rPr>
        <w:t>Compensation</w:t>
      </w:r>
      <w:bookmarkEnd w:id="241"/>
      <w:bookmarkEnd w:id="242"/>
    </w:p>
    <w:p>
      <w:pPr>
        <w:pStyle w:val="Heading5"/>
        <w:rPr>
          <w:snapToGrid w:val="0"/>
        </w:rPr>
      </w:pPr>
      <w:bookmarkStart w:id="243" w:name="_Toc202366236"/>
      <w:r>
        <w:rPr>
          <w:rStyle w:val="CharSectno"/>
        </w:rPr>
        <w:t>123</w:t>
      </w:r>
      <w:r>
        <w:rPr>
          <w:snapToGrid w:val="0"/>
        </w:rPr>
        <w:t>.</w:t>
      </w:r>
      <w:r>
        <w:rPr>
          <w:snapToGrid w:val="0"/>
        </w:rPr>
        <w:tab/>
        <w:t>Compensation in respect of mining</w:t>
      </w:r>
      <w:bookmarkEnd w:id="243"/>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in so far as the mineral is by virtue of section 9 the property of the Crown or the mining is authorised under this Act no compensation shall be payable in any case, and no claim lies for compensation, whether under this Act or otherwise —</w:t>
      </w:r>
    </w:p>
    <w:p>
      <w:pPr>
        <w:pStyle w:val="Indenta"/>
        <w:rPr>
          <w:snapToGrid w:val="0"/>
        </w:rPr>
      </w:pPr>
      <w:r>
        <w:rPr>
          <w:snapToGrid w:val="0"/>
        </w:rPr>
        <w:tab/>
        <w:t>(a)</w:t>
      </w:r>
      <w:r>
        <w:rPr>
          <w:snapToGrid w:val="0"/>
        </w:rPr>
        <w:tab/>
        <w:t>in consideration of permitting entry on to any land for mining purposes; or</w:t>
      </w:r>
    </w:p>
    <w:p>
      <w:pPr>
        <w:pStyle w:val="Indenta"/>
        <w:rPr>
          <w:snapToGrid w:val="0"/>
        </w:rPr>
      </w:pPr>
      <w:r>
        <w:rPr>
          <w:snapToGrid w:val="0"/>
        </w:rPr>
        <w:tab/>
        <w:t>(b)</w:t>
      </w:r>
      <w:r>
        <w:rPr>
          <w:snapToGrid w:val="0"/>
        </w:rPr>
        <w:tab/>
        <w:t>in respect of the value of any mineral which is or may be in, on or under the surface of any land; or</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rStyle w:val="CharDefText"/>
        </w:rPr>
        <w:t>mining</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lastRenderedPageBreak/>
        <w:tab/>
        <w:t>(3)</w:t>
      </w:r>
      <w:r>
        <w:rPr>
          <w:snapToGrid w:val="0"/>
        </w:rPr>
        <w:tab/>
        <w:t>The amount of compensation payable to the owner of private land or to an occupier of Crown land or private land may be determined by agreement, but in default of agreement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w:t>
      </w:r>
    </w:p>
    <w:p>
      <w:pPr>
        <w:pStyle w:val="Indenta"/>
        <w:rPr>
          <w:snapToGrid w:val="0"/>
        </w:rPr>
      </w:pPr>
      <w:r>
        <w:rPr>
          <w:snapToGrid w:val="0"/>
        </w:rPr>
        <w:tab/>
        <w:t>(a)</w:t>
      </w:r>
      <w:r>
        <w:rPr>
          <w:snapToGrid w:val="0"/>
        </w:rPr>
        <w:tab/>
        <w:t>being deprived of the possession or use, or any particular use, of the natural surface of the land or any part of the land; and</w:t>
      </w:r>
    </w:p>
    <w:p>
      <w:pPr>
        <w:pStyle w:val="Indenta"/>
        <w:rPr>
          <w:snapToGrid w:val="0"/>
        </w:rPr>
      </w:pPr>
      <w:r>
        <w:rPr>
          <w:snapToGrid w:val="0"/>
        </w:rPr>
        <w:tab/>
        <w:t>(b)</w:t>
      </w:r>
      <w:r>
        <w:rPr>
          <w:snapToGrid w:val="0"/>
        </w:rPr>
        <w:tab/>
        <w:t>damage to the land or any part of the land; and</w:t>
      </w:r>
    </w:p>
    <w:p>
      <w:pPr>
        <w:pStyle w:val="Indenta"/>
        <w:rPr>
          <w:snapToGrid w:val="0"/>
        </w:rPr>
      </w:pPr>
      <w:r>
        <w:rPr>
          <w:snapToGrid w:val="0"/>
        </w:rPr>
        <w:tab/>
        <w:t>(c)</w:t>
      </w:r>
      <w:r>
        <w:rPr>
          <w:snapToGrid w:val="0"/>
        </w:rPr>
        <w:tab/>
        <w:t>severance of the land or any part of the land from other land of, or used by, that person; and</w:t>
      </w:r>
    </w:p>
    <w:p>
      <w:pPr>
        <w:pStyle w:val="Indenta"/>
        <w:rPr>
          <w:snapToGrid w:val="0"/>
        </w:rPr>
      </w:pPr>
      <w:r>
        <w:rPr>
          <w:snapToGrid w:val="0"/>
        </w:rPr>
        <w:tab/>
        <w:t>(d)</w:t>
      </w:r>
      <w:r>
        <w:rPr>
          <w:snapToGrid w:val="0"/>
        </w:rPr>
        <w:tab/>
        <w:t>any loss or restriction of a right of way or other easement or right; and</w:t>
      </w:r>
    </w:p>
    <w:p>
      <w:pPr>
        <w:pStyle w:val="Indenta"/>
        <w:rPr>
          <w:snapToGrid w:val="0"/>
        </w:rPr>
      </w:pPr>
      <w:r>
        <w:rPr>
          <w:snapToGrid w:val="0"/>
        </w:rPr>
        <w:tab/>
        <w:t>(e)</w:t>
      </w:r>
      <w:r>
        <w:rPr>
          <w:snapToGrid w:val="0"/>
        </w:rPr>
        <w:tab/>
        <w:t>the loss of, or damage to, improvements; and</w:t>
      </w:r>
    </w:p>
    <w:p>
      <w:pPr>
        <w:pStyle w:val="Indenta"/>
        <w:rPr>
          <w:snapToGrid w:val="0"/>
        </w:rPr>
      </w:pPr>
      <w:r>
        <w:rPr>
          <w:snapToGrid w:val="0"/>
        </w:rPr>
        <w:tab/>
        <w:t>(f)</w:t>
      </w:r>
      <w:r>
        <w:rPr>
          <w:snapToGrid w:val="0"/>
        </w:rPr>
        <w:tab/>
        <w:t>social disruption; and</w:t>
      </w:r>
    </w:p>
    <w:p>
      <w:pPr>
        <w:pStyle w:val="Indenta"/>
        <w:spacing w:before="120"/>
        <w:rPr>
          <w:snapToGrid w:val="0"/>
        </w:rPr>
      </w:pPr>
      <w:r>
        <w:rPr>
          <w:snapToGrid w:val="0"/>
        </w:rPr>
        <w:tab/>
        <w:t>(g)</w:t>
      </w:r>
      <w:r>
        <w:rPr>
          <w:snapToGrid w:val="0"/>
        </w:rPr>
        <w:tab/>
        <w:t xml:space="preserve">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w:t>
      </w:r>
      <w:r>
        <w:rPr>
          <w:snapToGrid w:val="0"/>
        </w:rPr>
        <w:lastRenderedPageBreak/>
        <w:t>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keepLines/>
        <w:spacing w:before="120"/>
        <w:rPr>
          <w:snapToGrid w:val="0"/>
        </w:rPr>
      </w:pPr>
      <w:r>
        <w:rPr>
          <w:snapToGrid w:val="0"/>
        </w:rPr>
        <w:tab/>
        <w:t>(7)</w:t>
      </w:r>
      <w:r>
        <w:rPr>
          <w:snapToGrid w:val="0"/>
        </w:rPr>
        <w:tab/>
        <w:t xml:space="preserve">Subject to </w:t>
      </w:r>
      <w:r>
        <w:t>section</w:t>
      </w:r>
      <w:r>
        <w:rPr>
          <w:snapToGrid w:val="0"/>
        </w:rPr>
        <w:t> 124, a person who holds any land —</w:t>
      </w:r>
    </w:p>
    <w:p>
      <w:pPr>
        <w:pStyle w:val="Indenta"/>
      </w:pPr>
      <w:r>
        <w:rPr>
          <w:snapToGrid w:val="0"/>
        </w:rPr>
        <w:tab/>
        <w:t>(a)</w:t>
      </w:r>
      <w:r>
        <w:rPr>
          <w:snapToGrid w:val="0"/>
        </w:rPr>
        <w:tab/>
        <w:t xml:space="preserve">which is leased to </w:t>
      </w:r>
      <w:r>
        <w:t xml:space="preserve">or held by that person under a pastoral lease or </w:t>
      </w:r>
      <w:r>
        <w:rPr>
          <w:snapToGrid w:val="0"/>
        </w:rPr>
        <w:t xml:space="preserve">a lease or concession otherwise granted by or on </w:t>
      </w:r>
      <w:r>
        <w:rPr>
          <w:snapToGrid w:val="0"/>
        </w:rPr>
        <w:lastRenderedPageBreak/>
        <w:t xml:space="preserve">behalf of the Crown for grazing purposes only </w:t>
      </w:r>
      <w:r>
        <w:t>or a diversification lease</w:t>
      </w:r>
      <w:r>
        <w:rPr>
          <w:snapToGrid w:val="0"/>
        </w:rPr>
        <w:t xml:space="preserve">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keepNext/>
        <w:keepLines/>
        <w:spacing w:before="120"/>
        <w:rPr>
          <w:snapToGrid w:val="0"/>
        </w:rPr>
      </w:pPr>
      <w:r>
        <w:rPr>
          <w:snapToGrid w:val="0"/>
        </w:rPr>
        <w:tab/>
      </w:r>
      <w:r>
        <w:rPr>
          <w:snapToGrid w:val="0"/>
        </w:rPr>
        <w:tab/>
        <w:t>(in this section called</w:t>
      </w:r>
      <w:r>
        <w:t xml:space="preserve"> the </w:t>
      </w:r>
      <w:r>
        <w:rPr>
          <w:rStyle w:val="CharDefText"/>
        </w:rPr>
        <w:t>lessee</w:t>
      </w:r>
      <w:r>
        <w:rPr>
          <w:snapToGrid w:val="0"/>
        </w:rPr>
        <w:t>) is entitled to be compensated by the holder of that mining tenement for —</w:t>
      </w:r>
    </w:p>
    <w:p>
      <w:pPr>
        <w:pStyle w:val="Indenta"/>
        <w:rPr>
          <w:snapToGrid w:val="0"/>
        </w:rPr>
      </w:pPr>
      <w:r>
        <w:rPr>
          <w:snapToGrid w:val="0"/>
        </w:rPr>
        <w:tab/>
        <w:t>(c)</w:t>
      </w:r>
      <w:r>
        <w:rPr>
          <w:snapToGrid w:val="0"/>
        </w:rPr>
        <w:tab/>
        <w:t>subject to section 125, any damage to improvements on that land caused by the holder and for any loss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[Section 123 amended: No. 69 of 1981 s. 27; No. 100 of 1985 s. 93; No. 105 of 1986 s. 17 and 18; No. 37 of 1993 s. 26; No. 54 of 1996 s. 23; No. 31 of 1997 s. 141; No. 39 of 2004 s. 85; No. 12 of 2010 s. 12 and 40; No. 4 of 2023 s. 135.]</w:t>
      </w:r>
    </w:p>
    <w:p>
      <w:pPr>
        <w:pStyle w:val="Heading5"/>
        <w:rPr>
          <w:snapToGrid w:val="0"/>
        </w:rPr>
      </w:pPr>
      <w:bookmarkStart w:id="244" w:name="_Toc202366237"/>
      <w:r>
        <w:rPr>
          <w:rStyle w:val="CharSectno"/>
        </w:rPr>
        <w:lastRenderedPageBreak/>
        <w:t>124</w:t>
      </w:r>
      <w:r>
        <w:rPr>
          <w:snapToGrid w:val="0"/>
        </w:rPr>
        <w:t>.</w:t>
      </w:r>
      <w:r>
        <w:rPr>
          <w:snapToGrid w:val="0"/>
        </w:rPr>
        <w:tab/>
        <w:t>Matters to be considered by warden’s court in relation to compensation</w:t>
      </w:r>
      <w:bookmarkEnd w:id="244"/>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lastRenderedPageBreak/>
        <w:tab/>
        <w:t>(d)</w:t>
      </w:r>
      <w:r>
        <w:rPr>
          <w:snapToGrid w:val="0"/>
        </w:rPr>
        <w:tab/>
        <w:t>the practicability of restoring the surface of the land after such mining operations have ceased.</w:t>
      </w:r>
    </w:p>
    <w:p>
      <w:pPr>
        <w:pStyle w:val="Footnotesection"/>
        <w:keepLines w:val="0"/>
        <w:ind w:left="890" w:hanging="890"/>
      </w:pPr>
      <w:r>
        <w:tab/>
        <w:t>[Section 124 amended: No. 69 of 1981 s. 28; No. 100 of 1985 s. 94; No. 39 of 2004 s. 85.]</w:t>
      </w:r>
    </w:p>
    <w:p>
      <w:pPr>
        <w:pStyle w:val="Heading5"/>
        <w:rPr>
          <w:snapToGrid w:val="0"/>
        </w:rPr>
      </w:pPr>
      <w:bookmarkStart w:id="245" w:name="_Toc202366238"/>
      <w:r>
        <w:rPr>
          <w:rStyle w:val="CharSectno"/>
        </w:rPr>
        <w:t>125</w:t>
      </w:r>
      <w:r>
        <w:rPr>
          <w:snapToGrid w:val="0"/>
        </w:rPr>
        <w:t>.</w:t>
      </w:r>
      <w:r>
        <w:rPr>
          <w:snapToGrid w:val="0"/>
        </w:rPr>
        <w:tab/>
        <w:t>Limitation on compensation</w:t>
      </w:r>
      <w:bookmarkEnd w:id="245"/>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t xml:space="preserve">the </w:t>
      </w:r>
      <w:r>
        <w:rPr>
          <w:rStyle w:val="CharDefText"/>
        </w:rPr>
        <w:t>lessee</w:t>
      </w:r>
      <w:r>
        <w:rPr>
          <w:snapToGrid w:val="0"/>
        </w:rPr>
        <w:t xml:space="preserve"> of any land for the purposes of section 123(7)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[Section 125 amended: No. 100 of 1985 s. 95; No. 105 of 1986 s. 19.]</w:t>
      </w:r>
    </w:p>
    <w:p>
      <w:pPr>
        <w:pStyle w:val="Heading5"/>
        <w:rPr>
          <w:snapToGrid w:val="0"/>
        </w:rPr>
      </w:pPr>
      <w:bookmarkStart w:id="246" w:name="_Toc202366239"/>
      <w:r>
        <w:rPr>
          <w:rStyle w:val="CharSectno"/>
        </w:rPr>
        <w:t>125A</w:t>
      </w:r>
      <w:r>
        <w:rPr>
          <w:snapToGrid w:val="0"/>
        </w:rPr>
        <w:t>.</w:t>
      </w:r>
      <w:r>
        <w:rPr>
          <w:snapToGrid w:val="0"/>
        </w:rPr>
        <w:tab/>
        <w:t>Liability for payment of compensation to native title holders</w:t>
      </w:r>
      <w:bookmarkEnd w:id="246"/>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 xml:space="preserve">If, at the relevant time, there is no holder of the mining tenement because the mining tenement has been surrendered or forfeited or has expired, a reference in subsection (1) to the </w:t>
      </w:r>
      <w:r>
        <w:lastRenderedPageBreak/>
        <w:t>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rStyle w:val="CharDefText"/>
        </w:rPr>
        <w:t>grant</w:t>
      </w:r>
      <w:r>
        <w:t xml:space="preserve"> includes extension or renewal;</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125A inserted: No. 61 of 1998 s. 16.]</w:t>
      </w:r>
    </w:p>
    <w:p>
      <w:pPr>
        <w:pStyle w:val="Heading5"/>
        <w:rPr>
          <w:snapToGrid w:val="0"/>
        </w:rPr>
      </w:pPr>
      <w:bookmarkStart w:id="247" w:name="_Toc202366240"/>
      <w:r>
        <w:rPr>
          <w:rStyle w:val="CharSectno"/>
        </w:rPr>
        <w:t>126</w:t>
      </w:r>
      <w:r>
        <w:rPr>
          <w:snapToGrid w:val="0"/>
        </w:rPr>
        <w:t>.</w:t>
      </w:r>
      <w:r>
        <w:rPr>
          <w:snapToGrid w:val="0"/>
        </w:rPr>
        <w:tab/>
        <w:t>Securities</w:t>
      </w:r>
      <w:bookmarkEnd w:id="247"/>
    </w:p>
    <w:p>
      <w:pPr>
        <w:pStyle w:val="Subsection"/>
        <w:rPr>
          <w:snapToGrid w:val="0"/>
        </w:rPr>
      </w:pPr>
      <w:r>
        <w:rPr>
          <w:snapToGrid w:val="0"/>
        </w:rPr>
        <w:tab/>
        <w:t>(1)</w:t>
      </w:r>
      <w:r>
        <w:rPr>
          <w:snapToGrid w:val="0"/>
        </w:rPr>
        <w:tab/>
        <w:t>A security referred to in section 26, 52, 60, 70F or 84A —</w:t>
      </w:r>
    </w:p>
    <w:p>
      <w:pPr>
        <w:pStyle w:val="Indenta"/>
        <w:rPr>
          <w:snapToGrid w:val="0"/>
        </w:rPr>
      </w:pPr>
      <w:r>
        <w:rPr>
          <w:snapToGrid w:val="0"/>
        </w:rPr>
        <w:tab/>
        <w:t>(a)</w:t>
      </w:r>
      <w:r>
        <w:rPr>
          <w:snapToGrid w:val="0"/>
        </w:rPr>
        <w:tab/>
        <w:t>shall be for such amount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lastRenderedPageBreak/>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w:t>
      </w:r>
    </w:p>
    <w:p>
      <w:pPr>
        <w:pStyle w:val="Indenta"/>
        <w:rPr>
          <w:snapToGrid w:val="0"/>
        </w:rPr>
      </w:pPr>
      <w:r>
        <w:rPr>
          <w:snapToGrid w:val="0"/>
        </w:rPr>
        <w:tab/>
        <w:t>(a)</w:t>
      </w:r>
      <w:r>
        <w:rPr>
          <w:snapToGrid w:val="0"/>
        </w:rPr>
        <w:tab/>
        <w:t>any extension of time or other concession; or</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The Minister may discharge, in whole or in part, a security given under this section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lastRenderedPageBreak/>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[Section 126 amended: No. 100 of 1985 s. 96; No. 37 of 1993 s. 10(2); No. 17 of 1999 s. 19; No. 39 of 2004 s. 41.]</w:t>
      </w:r>
    </w:p>
    <w:p>
      <w:pPr>
        <w:pStyle w:val="Heading2"/>
      </w:pPr>
      <w:bookmarkStart w:id="248" w:name="_Toc202186785"/>
      <w:bookmarkStart w:id="249" w:name="_Toc202366241"/>
      <w:r>
        <w:rPr>
          <w:rStyle w:val="CharPartNo"/>
        </w:rPr>
        <w:lastRenderedPageBreak/>
        <w:t>Part VIII</w:t>
      </w:r>
      <w:r>
        <w:rPr>
          <w:rStyle w:val="CharDivNo"/>
        </w:rPr>
        <w:t> </w:t>
      </w:r>
      <w:r>
        <w:t>—</w:t>
      </w:r>
      <w:r>
        <w:rPr>
          <w:rStyle w:val="CharDivText"/>
        </w:rPr>
        <w:t> </w:t>
      </w:r>
      <w:r>
        <w:rPr>
          <w:rStyle w:val="CharPartText"/>
        </w:rPr>
        <w:t>Administration of justice</w:t>
      </w:r>
      <w:bookmarkEnd w:id="248"/>
      <w:bookmarkEnd w:id="249"/>
    </w:p>
    <w:p>
      <w:pPr>
        <w:pStyle w:val="Heading5"/>
        <w:rPr>
          <w:snapToGrid w:val="0"/>
        </w:rPr>
      </w:pPr>
      <w:bookmarkStart w:id="250" w:name="_Toc202366242"/>
      <w:r>
        <w:rPr>
          <w:rStyle w:val="CharSectno"/>
        </w:rPr>
        <w:t>127</w:t>
      </w:r>
      <w:r>
        <w:rPr>
          <w:snapToGrid w:val="0"/>
        </w:rPr>
        <w:t>.</w:t>
      </w:r>
      <w:r>
        <w:rPr>
          <w:snapToGrid w:val="0"/>
        </w:rPr>
        <w:tab/>
        <w:t>Establishment of wardens’ courts</w:t>
      </w:r>
      <w:bookmarkEnd w:id="250"/>
    </w:p>
    <w:p>
      <w:pPr>
        <w:pStyle w:val="Subsection"/>
        <w:rPr>
          <w:snapToGrid w:val="0"/>
        </w:rPr>
      </w:pPr>
      <w:r>
        <w:rPr>
          <w:snapToGrid w:val="0"/>
        </w:rPr>
        <w:tab/>
        <w:t>(1)</w:t>
      </w:r>
      <w:r>
        <w:rPr>
          <w:snapToGrid w:val="0"/>
        </w:rPr>
        <w:tab/>
        <w:t>The Governor may, by Order in Council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[Section 127 amended: No. 100 of 1985 s. 97; No. 59 of 2004 s. 116.]</w:t>
      </w:r>
    </w:p>
    <w:p>
      <w:pPr>
        <w:pStyle w:val="Heading5"/>
        <w:rPr>
          <w:snapToGrid w:val="0"/>
        </w:rPr>
      </w:pPr>
      <w:bookmarkStart w:id="251" w:name="_Toc202366243"/>
      <w:r>
        <w:rPr>
          <w:rStyle w:val="CharSectno"/>
        </w:rPr>
        <w:t>128</w:t>
      </w:r>
      <w:r>
        <w:rPr>
          <w:snapToGrid w:val="0"/>
        </w:rPr>
        <w:t>.</w:t>
      </w:r>
      <w:r>
        <w:rPr>
          <w:snapToGrid w:val="0"/>
        </w:rPr>
        <w:tab/>
        <w:t>Warden’s court to be court of record</w:t>
      </w:r>
      <w:bookmarkEnd w:id="251"/>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252" w:name="_Toc202366244"/>
      <w:r>
        <w:rPr>
          <w:rStyle w:val="CharSectno"/>
        </w:rPr>
        <w:t>129</w:t>
      </w:r>
      <w:r>
        <w:rPr>
          <w:snapToGrid w:val="0"/>
        </w:rPr>
        <w:t>.</w:t>
      </w:r>
      <w:r>
        <w:rPr>
          <w:snapToGrid w:val="0"/>
        </w:rPr>
        <w:tab/>
        <w:t>Signing of process</w:t>
      </w:r>
      <w:bookmarkEnd w:id="252"/>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253" w:name="_Toc202366245"/>
      <w:r>
        <w:rPr>
          <w:rStyle w:val="CharSectno"/>
        </w:rPr>
        <w:lastRenderedPageBreak/>
        <w:t>130</w:t>
      </w:r>
      <w:r>
        <w:rPr>
          <w:snapToGrid w:val="0"/>
        </w:rPr>
        <w:t>.</w:t>
      </w:r>
      <w:r>
        <w:rPr>
          <w:snapToGrid w:val="0"/>
        </w:rPr>
        <w:tab/>
        <w:t>Times for holding warden’s court</w:t>
      </w:r>
      <w:bookmarkEnd w:id="253"/>
    </w:p>
    <w:p>
      <w:pPr>
        <w:pStyle w:val="Subsection"/>
        <w:rPr>
          <w:snapToGrid w:val="0"/>
        </w:rPr>
      </w:pPr>
      <w:r>
        <w:rPr>
          <w:snapToGrid w:val="0"/>
        </w:rPr>
        <w:tab/>
      </w:r>
      <w:r>
        <w:rPr>
          <w:snapToGrid w:val="0"/>
        </w:rPr>
        <w:tab/>
        <w:t>A warden’s court may be held at such times as the warden, from time to time, appoints.</w:t>
      </w:r>
    </w:p>
    <w:p>
      <w:pPr>
        <w:pStyle w:val="Footnotesection"/>
      </w:pPr>
      <w:r>
        <w:tab/>
        <w:t>[Section 130 amended: No. 39 of 2004 s. 68.]</w:t>
      </w:r>
    </w:p>
    <w:p>
      <w:pPr>
        <w:pStyle w:val="Heading5"/>
        <w:rPr>
          <w:snapToGrid w:val="0"/>
        </w:rPr>
      </w:pPr>
      <w:bookmarkStart w:id="254" w:name="_Toc202366246"/>
      <w:r>
        <w:rPr>
          <w:rStyle w:val="CharSectno"/>
        </w:rPr>
        <w:t>131</w:t>
      </w:r>
      <w:r>
        <w:rPr>
          <w:snapToGrid w:val="0"/>
        </w:rPr>
        <w:t>.</w:t>
      </w:r>
      <w:r>
        <w:rPr>
          <w:snapToGrid w:val="0"/>
        </w:rPr>
        <w:tab/>
        <w:t>Power of warden to act in absence of warden usually presiding</w:t>
      </w:r>
      <w:bookmarkEnd w:id="254"/>
    </w:p>
    <w:p>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pPr>
        <w:pStyle w:val="Footnotesection"/>
      </w:pPr>
      <w:r>
        <w:tab/>
        <w:t>[Section 131 amended: No. 100 of 1985 s. 98; No. 39 of 2004 s. 69.]</w:t>
      </w:r>
    </w:p>
    <w:p>
      <w:pPr>
        <w:pStyle w:val="Heading5"/>
        <w:rPr>
          <w:snapToGrid w:val="0"/>
        </w:rPr>
      </w:pPr>
      <w:bookmarkStart w:id="255" w:name="_Toc202366247"/>
      <w:r>
        <w:rPr>
          <w:rStyle w:val="CharSectno"/>
        </w:rPr>
        <w:t>132</w:t>
      </w:r>
      <w:r>
        <w:rPr>
          <w:snapToGrid w:val="0"/>
        </w:rPr>
        <w:t>.</w:t>
      </w:r>
      <w:r>
        <w:rPr>
          <w:snapToGrid w:val="0"/>
        </w:rPr>
        <w:tab/>
        <w:t>Jurisdiction of warden’s court</w:t>
      </w:r>
      <w:bookmarkEnd w:id="255"/>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lastRenderedPageBreak/>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pPr>
        <w:pStyle w:val="Subsection"/>
        <w:rPr>
          <w:snapToGrid w:val="0"/>
        </w:rPr>
      </w:pPr>
      <w:r>
        <w:rPr>
          <w:snapToGrid w:val="0"/>
        </w:rPr>
        <w:tab/>
        <w:t>(2)</w:t>
      </w:r>
      <w:r>
        <w:rPr>
          <w:snapToGrid w:val="0"/>
        </w:rPr>
        <w:tab/>
        <w:t>Every warden’s court has jurisdiction throughout the State</w:t>
      </w:r>
      <w:r>
        <w:t xml:space="preserve">, including any area that comes within paragraph (b) of the definition of </w:t>
      </w:r>
      <w:r>
        <w:rPr>
          <w:b/>
          <w:i/>
        </w:rPr>
        <w:t>land</w:t>
      </w:r>
      <w:r>
        <w:t xml:space="preserve"> in section 8(1),</w:t>
      </w:r>
      <w:r>
        <w:rPr>
          <w:snapToGrid w:val="0"/>
        </w:rPr>
        <w:t xml:space="preserv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w:t>
      </w:r>
    </w:p>
    <w:p>
      <w:pPr>
        <w:pStyle w:val="Indenta"/>
        <w:rPr>
          <w:snapToGrid w:val="0"/>
        </w:rPr>
      </w:pPr>
      <w:r>
        <w:rPr>
          <w:snapToGrid w:val="0"/>
        </w:rPr>
        <w:lastRenderedPageBreak/>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Footnotesection"/>
      </w:pPr>
      <w:r>
        <w:tab/>
        <w:t>[Section 132 amended: No. 39 of 2004 s. 70 and 85; No. 12 of 2003 s. 10.]</w:t>
      </w:r>
    </w:p>
    <w:p>
      <w:pPr>
        <w:pStyle w:val="Heading5"/>
      </w:pPr>
      <w:bookmarkStart w:id="256" w:name="_Toc202366248"/>
      <w:r>
        <w:rPr>
          <w:rStyle w:val="CharSectno"/>
        </w:rPr>
        <w:t>133</w:t>
      </w:r>
      <w:r>
        <w:t>.</w:t>
      </w:r>
      <w:r>
        <w:tab/>
        <w:t>Offences to be dealt with by magistrate</w:t>
      </w:r>
      <w:bookmarkEnd w:id="256"/>
    </w:p>
    <w:p>
      <w:pPr>
        <w:pStyle w:val="Subsection"/>
      </w:pPr>
      <w:r>
        <w:tab/>
      </w:r>
      <w:r>
        <w:tab/>
        <w:t>A court of summary jurisdiction dealing with an offence under this Act is to be constituted by a magistrate.</w:t>
      </w:r>
    </w:p>
    <w:p>
      <w:pPr>
        <w:pStyle w:val="Footnotesection"/>
      </w:pPr>
      <w:r>
        <w:tab/>
        <w:t>[Section 133 inserted: No. 59 of 2004 s. 114.]</w:t>
      </w:r>
    </w:p>
    <w:p>
      <w:pPr>
        <w:pStyle w:val="Heading5"/>
        <w:rPr>
          <w:snapToGrid w:val="0"/>
        </w:rPr>
      </w:pPr>
      <w:bookmarkStart w:id="257" w:name="_Toc202366249"/>
      <w:r>
        <w:rPr>
          <w:rStyle w:val="CharSectno"/>
        </w:rPr>
        <w:t>134</w:t>
      </w:r>
      <w:r>
        <w:rPr>
          <w:snapToGrid w:val="0"/>
        </w:rPr>
        <w:t>.</w:t>
      </w:r>
      <w:r>
        <w:rPr>
          <w:snapToGrid w:val="0"/>
        </w:rPr>
        <w:tab/>
        <w:t>Powers of warden’s court</w:t>
      </w:r>
      <w:bookmarkEnd w:id="257"/>
    </w:p>
    <w:p>
      <w:pPr>
        <w:pStyle w:val="Subsection"/>
        <w:rPr>
          <w:snapToGrid w:val="0"/>
        </w:rPr>
      </w:pPr>
      <w:r>
        <w:rPr>
          <w:snapToGrid w:val="0"/>
        </w:rPr>
        <w:tab/>
        <w:t>(1)</w:t>
      </w:r>
      <w:r>
        <w:rPr>
          <w:snapToGrid w:val="0"/>
        </w:rPr>
        <w:tab/>
        <w:t>A warden’s court has power to make orders on all matters within its jurisdiction, for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 xml:space="preserve">the determination of the area, extent, dimensions or boundaries of any mining tenement or as to the respective rights of the owner of the primary tenement and the special prospecting licence or mining lease for </w:t>
      </w:r>
      <w:r>
        <w:rPr>
          <w:snapToGrid w:val="0"/>
        </w:rPr>
        <w:lastRenderedPageBreak/>
        <w:t>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w:t>
      </w:r>
    </w:p>
    <w:p>
      <w:pPr>
        <w:pStyle w:val="Indenta"/>
        <w:rPr>
          <w:snapToGrid w:val="0"/>
        </w:rPr>
      </w:pPr>
      <w:r>
        <w:rPr>
          <w:snapToGrid w:val="0"/>
        </w:rPr>
        <w:lastRenderedPageBreak/>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 xml:space="preserve">the inspection of any land, mine or works by any specified person, and the taking of samples of any </w:t>
      </w:r>
      <w:r>
        <w:rPr>
          <w:snapToGrid w:val="0"/>
        </w:rPr>
        <w:lastRenderedPageBreak/>
        <w:t xml:space="preserve">mineral or that a report thereon be made to the </w:t>
      </w:r>
      <w:r>
        <w:t>warden’s court</w:t>
      </w:r>
      <w:r>
        <w:rPr>
          <w:snapToGrid w:val="0"/>
        </w:rPr>
        <w:t xml:space="preserve">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the Magistrates Court</w:t>
      </w:r>
      <w:r>
        <w:rPr>
          <w:snapToGrid w:val="0"/>
        </w:rPr>
        <w:t xml:space="preserve"> in like matters.</w:t>
      </w:r>
    </w:p>
    <w:p>
      <w:pPr>
        <w:pStyle w:val="Footnotesection"/>
      </w:pPr>
      <w:r>
        <w:tab/>
        <w:t>[Section 134 amended: No. 100 of 1985 s. 99; No. 37 of 1993 s. 12(2); No. 39 of 2004 s. 71 and 85; No. 59 of 2004 s. 116.]</w:t>
      </w:r>
    </w:p>
    <w:p>
      <w:pPr>
        <w:pStyle w:val="Heading5"/>
        <w:rPr>
          <w:snapToGrid w:val="0"/>
        </w:rPr>
      </w:pPr>
      <w:bookmarkStart w:id="258" w:name="_Toc202366250"/>
      <w:r>
        <w:rPr>
          <w:rStyle w:val="CharSectno"/>
        </w:rPr>
        <w:lastRenderedPageBreak/>
        <w:t>135</w:t>
      </w:r>
      <w:r>
        <w:rPr>
          <w:snapToGrid w:val="0"/>
        </w:rPr>
        <w:t>.</w:t>
      </w:r>
      <w:r>
        <w:rPr>
          <w:snapToGrid w:val="0"/>
        </w:rPr>
        <w:tab/>
        <w:t>Summary determination by warden by consent</w:t>
      </w:r>
      <w:bookmarkEnd w:id="258"/>
    </w:p>
    <w:p>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pPr>
        <w:pStyle w:val="Subsection"/>
        <w:rPr>
          <w:snapToGrid w:val="0"/>
        </w:rPr>
      </w:pPr>
      <w:r>
        <w:rPr>
          <w:snapToGrid w:val="0"/>
        </w:rPr>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pPr>
        <w:pStyle w:val="Footnotesection"/>
        <w:ind w:left="890" w:hanging="890"/>
      </w:pPr>
      <w:r>
        <w:tab/>
        <w:t>[Section 135 amended: No. 100 of 1985 s. 100; No. 39 of 2004 s. 72.]</w:t>
      </w:r>
    </w:p>
    <w:p>
      <w:pPr>
        <w:pStyle w:val="Heading5"/>
        <w:rPr>
          <w:snapToGrid w:val="0"/>
        </w:rPr>
      </w:pPr>
      <w:bookmarkStart w:id="259" w:name="_Toc202366251"/>
      <w:r>
        <w:rPr>
          <w:rStyle w:val="CharSectno"/>
        </w:rPr>
        <w:t>136</w:t>
      </w:r>
      <w:r>
        <w:rPr>
          <w:snapToGrid w:val="0"/>
        </w:rPr>
        <w:t>.</w:t>
      </w:r>
      <w:r>
        <w:rPr>
          <w:snapToGrid w:val="0"/>
        </w:rPr>
        <w:tab/>
        <w:t>Practice and procedure in warden’s court</w:t>
      </w:r>
      <w:bookmarkEnd w:id="259"/>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r>
        <w:rPr>
          <w:i/>
        </w:rPr>
        <w:t>Magistrates Court (Civil Proceedings) Act 2004</w:t>
      </w:r>
      <w:r>
        <w:rPr>
          <w:snapToGrid w:val="0"/>
        </w:rPr>
        <w:t>, with such modifications as may be necessary or desirable and specified in the rules of court, apply in respect of judgments and orders of the warden’s court.</w:t>
      </w:r>
    </w:p>
    <w:p>
      <w:pPr>
        <w:pStyle w:val="Subsection"/>
      </w:pPr>
      <w:r>
        <w:tab/>
        <w:t>(3)</w:t>
      </w:r>
      <w:r>
        <w:tab/>
        <w:t>The rules of court may provide for documents to be lodged with or issued by a warden’s court, or served, in an electronic form.</w:t>
      </w:r>
    </w:p>
    <w:p>
      <w:pPr>
        <w:pStyle w:val="Footnotesection"/>
        <w:spacing w:before="100"/>
        <w:ind w:left="890" w:hanging="890"/>
      </w:pPr>
      <w:r>
        <w:lastRenderedPageBreak/>
        <w:tab/>
        <w:t>[Section 136 amended: No. 105 of 1986 s. 21; No. 59 of 2004 s. 116; No. 12 of 2010 s. 41.]</w:t>
      </w:r>
    </w:p>
    <w:p>
      <w:pPr>
        <w:pStyle w:val="Heading5"/>
        <w:spacing w:before="160"/>
        <w:rPr>
          <w:snapToGrid w:val="0"/>
        </w:rPr>
      </w:pPr>
      <w:bookmarkStart w:id="260" w:name="_Toc202366252"/>
      <w:r>
        <w:rPr>
          <w:rStyle w:val="CharSectno"/>
        </w:rPr>
        <w:t>137</w:t>
      </w:r>
      <w:r>
        <w:rPr>
          <w:snapToGrid w:val="0"/>
        </w:rPr>
        <w:t>.</w:t>
      </w:r>
      <w:r>
        <w:rPr>
          <w:snapToGrid w:val="0"/>
        </w:rPr>
        <w:tab/>
        <w:t>Records of evidence</w:t>
      </w:r>
      <w:bookmarkEnd w:id="260"/>
    </w:p>
    <w:p>
      <w:pPr>
        <w:pStyle w:val="Subsection"/>
      </w:pPr>
      <w:r>
        <w:tab/>
        <w:t>(1)</w:t>
      </w:r>
      <w:r>
        <w:tab/>
        <w:t>A warden’s court must ensure that evidence given in proceedings before it is recorded in the manner prescribed in the rules of court or the regulations.</w:t>
      </w:r>
    </w:p>
    <w:p>
      <w:pPr>
        <w:pStyle w:val="Ednotesubsection"/>
      </w:pPr>
      <w:r>
        <w:tab/>
        <w:t>[(2), (3)</w:t>
      </w:r>
      <w:r>
        <w:tab/>
        <w:t>deleted]</w:t>
      </w:r>
    </w:p>
    <w:p>
      <w:pPr>
        <w:pStyle w:val="Subsection"/>
        <w:rPr>
          <w:snapToGrid w:val="0"/>
        </w:rPr>
      </w:pPr>
      <w:r>
        <w:rPr>
          <w:snapToGrid w:val="0"/>
        </w:rPr>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[Section 137 amended: No. 100 of 1985 s. 101; No. 39 of 2004 s. 73.]</w:t>
      </w:r>
    </w:p>
    <w:p>
      <w:pPr>
        <w:pStyle w:val="Heading5"/>
        <w:rPr>
          <w:snapToGrid w:val="0"/>
        </w:rPr>
      </w:pPr>
      <w:bookmarkStart w:id="261" w:name="_Toc202366253"/>
      <w:r>
        <w:rPr>
          <w:rStyle w:val="CharSectno"/>
        </w:rPr>
        <w:t>138</w:t>
      </w:r>
      <w:r>
        <w:rPr>
          <w:snapToGrid w:val="0"/>
        </w:rPr>
        <w:t>.</w:t>
      </w:r>
      <w:r>
        <w:rPr>
          <w:snapToGrid w:val="0"/>
        </w:rPr>
        <w:tab/>
        <w:t>Mode of trial</w:t>
      </w:r>
      <w:bookmarkEnd w:id="261"/>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lastRenderedPageBreak/>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pPr>
        <w:pStyle w:val="Footnotesection"/>
      </w:pPr>
      <w:r>
        <w:tab/>
        <w:t>[Section 138 amended: No. 39 of 2004 s. 74.]</w:t>
      </w:r>
    </w:p>
    <w:p>
      <w:pPr>
        <w:pStyle w:val="Heading5"/>
        <w:rPr>
          <w:snapToGrid w:val="0"/>
        </w:rPr>
      </w:pPr>
      <w:bookmarkStart w:id="262" w:name="_Toc202366254"/>
      <w:r>
        <w:rPr>
          <w:rStyle w:val="CharSectno"/>
        </w:rPr>
        <w:t>139</w:t>
      </w:r>
      <w:r>
        <w:rPr>
          <w:snapToGrid w:val="0"/>
        </w:rPr>
        <w:t>.</w:t>
      </w:r>
      <w:r>
        <w:rPr>
          <w:snapToGrid w:val="0"/>
        </w:rPr>
        <w:tab/>
        <w:t>Contempt of court</w:t>
      </w:r>
      <w:bookmarkEnd w:id="262"/>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[Section 139 amended: No. 22 of 1990 s. 38.]</w:t>
      </w:r>
    </w:p>
    <w:p>
      <w:pPr>
        <w:pStyle w:val="Heading5"/>
      </w:pPr>
      <w:bookmarkStart w:id="263" w:name="_Toc202366255"/>
      <w:r>
        <w:rPr>
          <w:rStyle w:val="CharSectno"/>
        </w:rPr>
        <w:lastRenderedPageBreak/>
        <w:t>140</w:t>
      </w:r>
      <w:r>
        <w:t>.</w:t>
      </w:r>
      <w:r>
        <w:tab/>
        <w:t>Judgments, enforcement of</w:t>
      </w:r>
      <w:bookmarkEnd w:id="263"/>
    </w:p>
    <w:p>
      <w:pPr>
        <w:pStyle w:val="Subsection"/>
      </w:pPr>
      <w:r>
        <w:tab/>
        <w:t>(1)</w:t>
      </w:r>
      <w:r>
        <w:tab/>
        <w:t>In this section —</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[Section 140 inserted: No. 59 of 2004 s. 115.]</w:t>
      </w:r>
    </w:p>
    <w:p>
      <w:pPr>
        <w:pStyle w:val="Ednotesection"/>
      </w:pPr>
      <w:r>
        <w:t>[</w:t>
      </w:r>
      <w:r>
        <w:rPr>
          <w:b/>
        </w:rPr>
        <w:t>141.</w:t>
      </w:r>
      <w:r>
        <w:tab/>
        <w:t>Deleted: No. 59 of 2004 s. 115.]</w:t>
      </w:r>
    </w:p>
    <w:p>
      <w:pPr>
        <w:pStyle w:val="Heading5"/>
        <w:rPr>
          <w:snapToGrid w:val="0"/>
        </w:rPr>
      </w:pPr>
      <w:bookmarkStart w:id="264" w:name="_Toc202366256"/>
      <w:r>
        <w:rPr>
          <w:rStyle w:val="CharSectno"/>
        </w:rPr>
        <w:t>142</w:t>
      </w:r>
      <w:r>
        <w:rPr>
          <w:snapToGrid w:val="0"/>
        </w:rPr>
        <w:t>.</w:t>
      </w:r>
      <w:r>
        <w:rPr>
          <w:snapToGrid w:val="0"/>
        </w:rPr>
        <w:tab/>
        <w:t>Informality and amendment</w:t>
      </w:r>
      <w:bookmarkEnd w:id="264"/>
    </w:p>
    <w:p>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proceedings if the person or place is named or described therein so as to be commonly known.</w:t>
      </w:r>
    </w:p>
    <w:p>
      <w:pPr>
        <w:pStyle w:val="Subsection"/>
        <w:rPr>
          <w:snapToGrid w:val="0"/>
        </w:rPr>
      </w:pPr>
      <w:r>
        <w:rPr>
          <w:snapToGrid w:val="0"/>
        </w:rPr>
        <w:lastRenderedPageBreak/>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keepNext/>
        <w:keepLines/>
        <w:rPr>
          <w:snapToGrid w:val="0"/>
        </w:rPr>
      </w:pPr>
      <w:r>
        <w:rPr>
          <w:snapToGrid w:val="0"/>
        </w:rPr>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pPr>
        <w:pStyle w:val="Footnotesection"/>
      </w:pPr>
      <w:r>
        <w:tab/>
        <w:t>[Section 142 amended: No. 100 of 1985 s. 102; No. 39 of 2004 s. 75.]</w:t>
      </w:r>
    </w:p>
    <w:p>
      <w:pPr>
        <w:pStyle w:val="Heading5"/>
        <w:rPr>
          <w:snapToGrid w:val="0"/>
        </w:rPr>
      </w:pPr>
      <w:bookmarkStart w:id="265" w:name="_Toc202366257"/>
      <w:r>
        <w:rPr>
          <w:rStyle w:val="CharSectno"/>
        </w:rPr>
        <w:t>143</w:t>
      </w:r>
      <w:r>
        <w:rPr>
          <w:snapToGrid w:val="0"/>
        </w:rPr>
        <w:t>.</w:t>
      </w:r>
      <w:r>
        <w:rPr>
          <w:snapToGrid w:val="0"/>
        </w:rPr>
        <w:tab/>
        <w:t>Grant of injunction affecting mining tenement to be notified</w:t>
      </w:r>
      <w:bookmarkEnd w:id="265"/>
    </w:p>
    <w:p>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[Section 143 amended: No. 100 of 1985 s. 103; No. 105 of 1986 s. 22; No. 54 of 1996 s. 19; No. 39 of 2004 s. 85.]</w:t>
      </w:r>
    </w:p>
    <w:p>
      <w:pPr>
        <w:pStyle w:val="Ednotesection"/>
        <w:rPr>
          <w:rStyle w:val="CharSectno"/>
        </w:rPr>
      </w:pPr>
      <w:r>
        <w:rPr>
          <w:rStyle w:val="CharSectno"/>
        </w:rPr>
        <w:t>[</w:t>
      </w:r>
      <w:r>
        <w:rPr>
          <w:rStyle w:val="CharSectno"/>
          <w:b/>
          <w:bCs/>
        </w:rPr>
        <w:t>144, 145.</w:t>
      </w:r>
      <w:r>
        <w:rPr>
          <w:rStyle w:val="CharSectno"/>
        </w:rPr>
        <w:tab/>
        <w:t>Deleted: No. 39 of 2004 s. 76.]</w:t>
      </w:r>
    </w:p>
    <w:p>
      <w:pPr>
        <w:pStyle w:val="Heading5"/>
        <w:rPr>
          <w:snapToGrid w:val="0"/>
        </w:rPr>
      </w:pPr>
      <w:bookmarkStart w:id="266" w:name="_Toc202366258"/>
      <w:r>
        <w:rPr>
          <w:rStyle w:val="CharSectno"/>
        </w:rPr>
        <w:lastRenderedPageBreak/>
        <w:t>146</w:t>
      </w:r>
      <w:r>
        <w:rPr>
          <w:snapToGrid w:val="0"/>
        </w:rPr>
        <w:t>.</w:t>
      </w:r>
      <w:r>
        <w:rPr>
          <w:snapToGrid w:val="0"/>
        </w:rPr>
        <w:tab/>
        <w:t>Reservation of questions of law: hearing and determination</w:t>
      </w:r>
      <w:bookmarkEnd w:id="266"/>
    </w:p>
    <w:p>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w:t>
      </w:r>
    </w:p>
    <w:p>
      <w:pPr>
        <w:pStyle w:val="Indenta"/>
        <w:rPr>
          <w:snapToGrid w:val="0"/>
        </w:rPr>
      </w:pPr>
      <w:r>
        <w:rPr>
          <w:snapToGrid w:val="0"/>
        </w:rPr>
        <w:tab/>
        <w:t>(a)</w:t>
      </w:r>
      <w:r>
        <w:rPr>
          <w:snapToGrid w:val="0"/>
        </w:rPr>
        <w:tab/>
        <w:t xml:space="preserve">remit the case to the </w:t>
      </w:r>
      <w:r>
        <w:t>warden’s court</w:t>
      </w:r>
      <w:r>
        <w:rPr>
          <w:snapToGrid w:val="0"/>
        </w:rPr>
        <w:t xml:space="preserve"> for amendment; or</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xml:space="preserve">, on the application of any party to </w:t>
      </w:r>
      <w:r>
        <w:rPr>
          <w:snapToGrid w:val="0"/>
        </w:rPr>
        <w:lastRenderedPageBreak/>
        <w:t>the proceedings in relation to which the question of law is to be or was so submitted, may make such order for —</w:t>
      </w:r>
    </w:p>
    <w:p>
      <w:pPr>
        <w:pStyle w:val="Indenta"/>
        <w:rPr>
          <w:snapToGrid w:val="0"/>
        </w:rPr>
      </w:pPr>
      <w:r>
        <w:rPr>
          <w:snapToGrid w:val="0"/>
        </w:rPr>
        <w:tab/>
        <w:t>(a)</w:t>
      </w:r>
      <w:r>
        <w:rPr>
          <w:snapToGrid w:val="0"/>
        </w:rPr>
        <w:tab/>
        <w:t>an injunction; or</w:t>
      </w:r>
    </w:p>
    <w:p>
      <w:pPr>
        <w:pStyle w:val="Indenta"/>
        <w:rPr>
          <w:snapToGrid w:val="0"/>
        </w:rPr>
      </w:pPr>
      <w:r>
        <w:rPr>
          <w:snapToGrid w:val="0"/>
        </w:rPr>
        <w:tab/>
        <w:t>(b)</w:t>
      </w:r>
      <w:r>
        <w:rPr>
          <w:snapToGrid w:val="0"/>
        </w:rPr>
        <w:tab/>
        <w:t>the appointment of a receiver; or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it thinks fit and on such terms or conditions as it thinks fit.</w:t>
      </w:r>
    </w:p>
    <w:p>
      <w:pPr>
        <w:pStyle w:val="Footnotesection"/>
      </w:pPr>
      <w:r>
        <w:tab/>
        <w:t>[Section 146 amended: No. 100 of 1985 s. 104; No. 39 of 2004 s. 77 and 85; No. 45 of 2004 s. 37.]</w:t>
      </w:r>
    </w:p>
    <w:p>
      <w:pPr>
        <w:pStyle w:val="Heading5"/>
        <w:rPr>
          <w:snapToGrid w:val="0"/>
        </w:rPr>
      </w:pPr>
      <w:bookmarkStart w:id="267" w:name="_Toc202366259"/>
      <w:r>
        <w:rPr>
          <w:rStyle w:val="CharSectno"/>
        </w:rPr>
        <w:t>147</w:t>
      </w:r>
      <w:r>
        <w:rPr>
          <w:snapToGrid w:val="0"/>
        </w:rPr>
        <w:t>.</w:t>
      </w:r>
      <w:r>
        <w:rPr>
          <w:snapToGrid w:val="0"/>
        </w:rPr>
        <w:tab/>
        <w:t>Appeal to Supreme Court</w:t>
      </w:r>
      <w:bookmarkEnd w:id="267"/>
    </w:p>
    <w:p>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pPr>
        <w:pStyle w:val="Ednotesubsection"/>
      </w:pPr>
      <w:r>
        <w:tab/>
        <w:t>[(4), (5)</w:t>
      </w:r>
      <w:r>
        <w:tab/>
        <w:t>deleted]</w:t>
      </w:r>
    </w:p>
    <w:p>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Footnotesection"/>
      </w:pPr>
      <w:r>
        <w:tab/>
        <w:t>[Section 147 amended: No. 39 of 2004 s. 78 and 85.]</w:t>
      </w:r>
    </w:p>
    <w:p>
      <w:pPr>
        <w:pStyle w:val="Heading5"/>
        <w:rPr>
          <w:snapToGrid w:val="0"/>
        </w:rPr>
      </w:pPr>
      <w:bookmarkStart w:id="268" w:name="_Toc202366260"/>
      <w:r>
        <w:rPr>
          <w:rStyle w:val="CharSectno"/>
        </w:rPr>
        <w:lastRenderedPageBreak/>
        <w:t>148</w:t>
      </w:r>
      <w:r>
        <w:rPr>
          <w:snapToGrid w:val="0"/>
        </w:rPr>
        <w:t>.</w:t>
      </w:r>
      <w:r>
        <w:rPr>
          <w:snapToGrid w:val="0"/>
        </w:rPr>
        <w:tab/>
        <w:t>Procedure on appeal</w:t>
      </w:r>
      <w:bookmarkEnd w:id="268"/>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The appellant shall, within 21 days after filing notice of appeal, apply to set down the appeal for hearing by filing in the Central Office of the Supreme Court at Perth —</w:t>
      </w:r>
    </w:p>
    <w:p>
      <w:pPr>
        <w:pStyle w:val="Indenta"/>
        <w:rPr>
          <w:snapToGrid w:val="0"/>
        </w:rPr>
      </w:pPr>
      <w:r>
        <w:rPr>
          <w:snapToGrid w:val="0"/>
        </w:rPr>
        <w:lastRenderedPageBreak/>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[Section 148 amended: No. 100 of 1985 s. 105; No. 39 of 2004 s. 79 and 85.]</w:t>
      </w:r>
    </w:p>
    <w:p>
      <w:pPr>
        <w:pStyle w:val="Heading5"/>
        <w:spacing w:before="260"/>
        <w:rPr>
          <w:snapToGrid w:val="0"/>
        </w:rPr>
      </w:pPr>
      <w:bookmarkStart w:id="269" w:name="_Toc202366261"/>
      <w:r>
        <w:rPr>
          <w:rStyle w:val="CharSectno"/>
        </w:rPr>
        <w:t>149</w:t>
      </w:r>
      <w:r>
        <w:rPr>
          <w:snapToGrid w:val="0"/>
        </w:rPr>
        <w:t>.</w:t>
      </w:r>
      <w:r>
        <w:rPr>
          <w:snapToGrid w:val="0"/>
        </w:rPr>
        <w:tab/>
        <w:t>Power of Supreme Court on appeal</w:t>
      </w:r>
      <w:bookmarkEnd w:id="269"/>
    </w:p>
    <w:p>
      <w:pPr>
        <w:pStyle w:val="Subsection"/>
        <w:spacing w:before="200"/>
        <w:rPr>
          <w:snapToGrid w:val="0"/>
        </w:rPr>
      </w:pPr>
      <w:r>
        <w:rPr>
          <w:snapToGrid w:val="0"/>
        </w:rPr>
        <w:tab/>
      </w:r>
      <w:r>
        <w:rPr>
          <w:snapToGrid w:val="0"/>
        </w:rPr>
        <w:tab/>
        <w:t>Upon the hearing of any appeal under this Act the Supreme Court —</w:t>
      </w:r>
    </w:p>
    <w:p>
      <w:pPr>
        <w:pStyle w:val="Indenta"/>
        <w:spacing w:before="120"/>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 and</w:t>
      </w:r>
    </w:p>
    <w:p>
      <w:pPr>
        <w:pStyle w:val="Indenta"/>
        <w:spacing w:before="120"/>
        <w:rPr>
          <w:snapToGrid w:val="0"/>
        </w:rPr>
      </w:pPr>
      <w:r>
        <w:rPr>
          <w:snapToGrid w:val="0"/>
        </w:rPr>
        <w:tab/>
        <w:t>(b)</w:t>
      </w:r>
      <w:r>
        <w:rPr>
          <w:snapToGrid w:val="0"/>
        </w:rPr>
        <w:tab/>
        <w:t>may confirm the order, determination or decision in respect of which the appeal is made and may dismiss the appeal; and</w:t>
      </w:r>
    </w:p>
    <w:p>
      <w:pPr>
        <w:pStyle w:val="Indenta"/>
        <w:spacing w:before="120"/>
        <w:rPr>
          <w:snapToGrid w:val="0"/>
        </w:rPr>
      </w:pPr>
      <w:r>
        <w:rPr>
          <w:snapToGrid w:val="0"/>
        </w:rPr>
        <w:tab/>
        <w:t>(c)</w:t>
      </w:r>
      <w:r>
        <w:rPr>
          <w:snapToGrid w:val="0"/>
        </w:rPr>
        <w:tab/>
        <w:t>may reverse, modify or vary such order, determination, or decision and may make such order in lieu thereof as it may think just; and</w:t>
      </w:r>
    </w:p>
    <w:p>
      <w:pPr>
        <w:pStyle w:val="Indenta"/>
        <w:spacing w:before="120"/>
        <w:rPr>
          <w:snapToGrid w:val="0"/>
        </w:rPr>
      </w:pPr>
      <w:r>
        <w:rPr>
          <w:snapToGrid w:val="0"/>
        </w:rPr>
        <w:lastRenderedPageBreak/>
        <w:tab/>
        <w:t>(d)</w:t>
      </w:r>
      <w:r>
        <w:rPr>
          <w:snapToGrid w:val="0"/>
        </w:rPr>
        <w:tab/>
        <w:t>may direct any issue to be tried in such manner, and at such time and place as it may think fit; and</w:t>
      </w:r>
    </w:p>
    <w:p>
      <w:pPr>
        <w:pStyle w:val="Indenta"/>
        <w:spacing w:before="120"/>
        <w:rPr>
          <w:snapToGrid w:val="0"/>
        </w:rPr>
      </w:pPr>
      <w:r>
        <w:rPr>
          <w:snapToGrid w:val="0"/>
        </w:rPr>
        <w:tab/>
        <w:t>(e)</w:t>
      </w:r>
      <w:r>
        <w:rPr>
          <w:snapToGrid w:val="0"/>
        </w:rPr>
        <w:tab/>
        <w:t>may remit any case to the warden’s court to be reheard; and</w:t>
      </w:r>
    </w:p>
    <w:p>
      <w:pPr>
        <w:pStyle w:val="Indenta"/>
        <w:spacing w:before="120"/>
        <w:rPr>
          <w:snapToGrid w:val="0"/>
        </w:rPr>
      </w:pPr>
      <w:r>
        <w:rPr>
          <w:snapToGrid w:val="0"/>
        </w:rPr>
        <w:tab/>
        <w:t>(f)</w:t>
      </w:r>
      <w:r>
        <w:rPr>
          <w:snapToGrid w:val="0"/>
        </w:rPr>
        <w:tab/>
        <w:t>may make any order or give any direction consequential upon or necessitated by the order that it may think necessary; and</w:t>
      </w:r>
    </w:p>
    <w:p>
      <w:pPr>
        <w:pStyle w:val="Indenta"/>
        <w:spacing w:before="120"/>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spacing w:before="200"/>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270" w:name="_Toc202366262"/>
      <w:r>
        <w:rPr>
          <w:rStyle w:val="CharSectno"/>
        </w:rPr>
        <w:t>150</w:t>
      </w:r>
      <w:r>
        <w:rPr>
          <w:snapToGrid w:val="0"/>
        </w:rPr>
        <w:t>.</w:t>
      </w:r>
      <w:r>
        <w:rPr>
          <w:snapToGrid w:val="0"/>
        </w:rPr>
        <w:tab/>
        <w:t>Withdrawal or failure to prosecute appeal</w:t>
      </w:r>
      <w:bookmarkEnd w:id="270"/>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271" w:name="_Toc202366263"/>
      <w:r>
        <w:rPr>
          <w:rStyle w:val="CharSectno"/>
        </w:rPr>
        <w:t>151</w:t>
      </w:r>
      <w:r>
        <w:rPr>
          <w:snapToGrid w:val="0"/>
        </w:rPr>
        <w:t>.</w:t>
      </w:r>
      <w:r>
        <w:rPr>
          <w:snapToGrid w:val="0"/>
        </w:rPr>
        <w:tab/>
        <w:t>Limitation of right of appeal</w:t>
      </w:r>
      <w:bookmarkEnd w:id="271"/>
    </w:p>
    <w:p>
      <w:pPr>
        <w:pStyle w:val="Subsection"/>
        <w:rPr>
          <w:snapToGrid w:val="0"/>
        </w:rPr>
      </w:pPr>
      <w:r>
        <w:rPr>
          <w:snapToGrid w:val="0"/>
        </w:rPr>
        <w:tab/>
      </w:r>
      <w:r>
        <w:rPr>
          <w:snapToGrid w:val="0"/>
        </w:rPr>
        <w:tab/>
        <w:t>There shall be no right of appeal under this Part where at or before the hearing of any proceedings in the warden’s court the parties thereto have agreed by a memorandum in writing lodged in the warden’s office, that the decision of the warden’s court therein shall be final.</w:t>
      </w:r>
    </w:p>
    <w:p>
      <w:pPr>
        <w:pStyle w:val="Footnotesection"/>
      </w:pPr>
      <w:r>
        <w:tab/>
        <w:t>[Section 151 amended: No. 58 of 1994 s. 49; No. 39 of 2004 s. 80.]</w:t>
      </w:r>
    </w:p>
    <w:p>
      <w:pPr>
        <w:pStyle w:val="Heading2"/>
      </w:pPr>
      <w:bookmarkStart w:id="272" w:name="_Toc202186808"/>
      <w:bookmarkStart w:id="273" w:name="_Toc202366264"/>
      <w:r>
        <w:rPr>
          <w:rStyle w:val="CharPartNo"/>
        </w:rPr>
        <w:lastRenderedPageBreak/>
        <w:t>Part IX</w:t>
      </w:r>
      <w:r>
        <w:rPr>
          <w:rStyle w:val="CharDivNo"/>
        </w:rPr>
        <w:t> </w:t>
      </w:r>
      <w:r>
        <w:t>—</w:t>
      </w:r>
      <w:r>
        <w:rPr>
          <w:rStyle w:val="CharDivText"/>
        </w:rPr>
        <w:t> </w:t>
      </w:r>
      <w:r>
        <w:rPr>
          <w:rStyle w:val="CharPartText"/>
        </w:rPr>
        <w:t>Miscellaneous and regulations</w:t>
      </w:r>
      <w:bookmarkEnd w:id="272"/>
      <w:bookmarkEnd w:id="273"/>
    </w:p>
    <w:p>
      <w:pPr>
        <w:pStyle w:val="Heading5"/>
        <w:rPr>
          <w:snapToGrid w:val="0"/>
        </w:rPr>
      </w:pPr>
      <w:bookmarkStart w:id="274" w:name="_Toc202366265"/>
      <w:r>
        <w:rPr>
          <w:rStyle w:val="CharSectno"/>
        </w:rPr>
        <w:t>152</w:t>
      </w:r>
      <w:r>
        <w:rPr>
          <w:snapToGrid w:val="0"/>
        </w:rPr>
        <w:t>.</w:t>
      </w:r>
      <w:r>
        <w:rPr>
          <w:snapToGrid w:val="0"/>
        </w:rPr>
        <w:tab/>
        <w:t>Police to assist warden</w:t>
      </w:r>
      <w:bookmarkEnd w:id="274"/>
    </w:p>
    <w:p>
      <w:pPr>
        <w:pStyle w:val="Subsection"/>
        <w:rPr>
          <w:snapToGrid w:val="0"/>
        </w:rPr>
      </w:pPr>
      <w:r>
        <w:rPr>
          <w:snapToGrid w:val="0"/>
        </w:rPr>
        <w:tab/>
      </w:r>
      <w:r>
        <w:rPr>
          <w:snapToGrid w:val="0"/>
        </w:rPr>
        <w:tab/>
        <w:t>All members of the Police Force of the State shall, when required by the warden so to do, act in aid of the warden in the exercise and discharge by him of his powers, functions and duties under this Act.</w:t>
      </w:r>
    </w:p>
    <w:p>
      <w:pPr>
        <w:pStyle w:val="Heading5"/>
        <w:rPr>
          <w:snapToGrid w:val="0"/>
        </w:rPr>
      </w:pPr>
      <w:bookmarkStart w:id="275" w:name="_Toc202366266"/>
      <w:r>
        <w:rPr>
          <w:rStyle w:val="CharSectno"/>
        </w:rPr>
        <w:t>153</w:t>
      </w:r>
      <w:r>
        <w:rPr>
          <w:snapToGrid w:val="0"/>
        </w:rPr>
        <w:t>.</w:t>
      </w:r>
      <w:r>
        <w:rPr>
          <w:snapToGrid w:val="0"/>
        </w:rPr>
        <w:tab/>
        <w:t>Minor capable of being sued and of suing</w:t>
      </w:r>
      <w:bookmarkEnd w:id="275"/>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276" w:name="_Toc202366267"/>
      <w:r>
        <w:rPr>
          <w:rStyle w:val="CharSectno"/>
        </w:rPr>
        <w:t>154</w:t>
      </w:r>
      <w:r>
        <w:rPr>
          <w:snapToGrid w:val="0"/>
        </w:rPr>
        <w:t>.</w:t>
      </w:r>
      <w:r>
        <w:rPr>
          <w:snapToGrid w:val="0"/>
        </w:rPr>
        <w:tab/>
        <w:t>General penalty</w:t>
      </w:r>
      <w:bookmarkEnd w:id="276"/>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 xml:space="preserve">$20 000 </w:t>
      </w:r>
      <w:r>
        <w:rPr>
          <w:snapToGrid w:val="0"/>
        </w:rPr>
        <w:t xml:space="preserve">and if the offence is a continuing one, to a fine not exceeding </w:t>
      </w:r>
      <w:r>
        <w:t xml:space="preserve">$2 000 </w:t>
      </w:r>
      <w:r>
        <w:rPr>
          <w:snapToGrid w:val="0"/>
        </w:rPr>
        <w:t>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[Section 154 amended: No. 100 of 1985 s. 106; No. 22 of 1990 s. 38; No. 78 of 1995 s. 147; No. 15 of 2002 s. 28; No. 51 of 2012 s. 35.]</w:t>
      </w:r>
    </w:p>
    <w:p>
      <w:pPr>
        <w:pStyle w:val="Heading5"/>
      </w:pPr>
      <w:bookmarkStart w:id="277" w:name="_Toc202366268"/>
      <w:r>
        <w:rPr>
          <w:rStyle w:val="CharSectno"/>
        </w:rPr>
        <w:lastRenderedPageBreak/>
        <w:t>154A</w:t>
      </w:r>
      <w:r>
        <w:t>.</w:t>
      </w:r>
      <w:r>
        <w:tab/>
        <w:t>Liability of officers for offence by body corporate</w:t>
      </w:r>
      <w:bookmarkEnd w:id="277"/>
    </w:p>
    <w:p>
      <w:pPr>
        <w:pStyle w:val="Subsection"/>
      </w:pPr>
      <w:r>
        <w:tab/>
      </w:r>
      <w:r>
        <w:tab/>
      </w:r>
      <w:r>
        <w:rPr>
          <w:i/>
        </w:rPr>
        <w:t>The Criminal Code</w:t>
      </w:r>
      <w:r>
        <w:t xml:space="preserve"> section 39 (which provides for the criminal liability of officers of a body corporate) applies to an offence under section 155(1) of this Act.</w:t>
      </w:r>
    </w:p>
    <w:p>
      <w:pPr>
        <w:pStyle w:val="Footnotesection"/>
      </w:pPr>
      <w:r>
        <w:tab/>
        <w:t>[Section 154A inserted: No. 9 of 2023 s. 106.]</w:t>
      </w:r>
    </w:p>
    <w:p>
      <w:pPr>
        <w:pStyle w:val="Heading5"/>
        <w:rPr>
          <w:snapToGrid w:val="0"/>
        </w:rPr>
      </w:pPr>
      <w:bookmarkStart w:id="278" w:name="_Toc202366269"/>
      <w:r>
        <w:rPr>
          <w:rStyle w:val="CharSectno"/>
        </w:rPr>
        <w:t>155</w:t>
      </w:r>
      <w:r>
        <w:rPr>
          <w:snapToGrid w:val="0"/>
        </w:rPr>
        <w:t>.</w:t>
      </w:r>
      <w:r>
        <w:rPr>
          <w:snapToGrid w:val="0"/>
        </w:rPr>
        <w:tab/>
        <w:t>Offence of mining without authority</w:t>
      </w:r>
      <w:bookmarkEnd w:id="278"/>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pPr>
      <w:r>
        <w:tab/>
        <w:t>Penalty:</w:t>
      </w:r>
    </w:p>
    <w:p>
      <w:pPr>
        <w:pStyle w:val="Penpara"/>
      </w:pPr>
      <w:r>
        <w:tab/>
        <w:t>(a)</w:t>
      </w:r>
      <w:r>
        <w:tab/>
        <w:t>for an individual — a fine of $150 000 and, if the offence is a continuing one, a further fine of $15 000 for each day or part of a day during which the offence has continued;</w:t>
      </w:r>
    </w:p>
    <w:p>
      <w:pPr>
        <w:pStyle w:val="Penpara"/>
      </w:pPr>
      <w:r>
        <w:tab/>
        <w:t>(b)</w:t>
      </w:r>
      <w:r>
        <w:tab/>
        <w:t>for a body corporate — a fine of $300 000 and, if the offence is a continuing one, a further fine of $30 000 for each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rPr>
          <w:snapToGrid w:val="0"/>
        </w:rPr>
      </w:pPr>
      <w:r>
        <w:rPr>
          <w:snapToGrid w:val="0"/>
        </w:rPr>
        <w:lastRenderedPageBreak/>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keepNext/>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[Section 155 amended: No. 100 of 1985 s. 107; No. 105 of 1986 s. 23; No. 22 of 1990 s. 38; No. 78 of 1995 s. 147; No. 15 of 2002 s. 28; No. 51 of 2012 s. 36.]</w:t>
      </w:r>
    </w:p>
    <w:p>
      <w:pPr>
        <w:pStyle w:val="Heading5"/>
        <w:spacing w:before="200"/>
        <w:rPr>
          <w:snapToGrid w:val="0"/>
        </w:rPr>
      </w:pPr>
      <w:bookmarkStart w:id="279" w:name="_Toc202366270"/>
      <w:r>
        <w:rPr>
          <w:rStyle w:val="CharSectno"/>
        </w:rPr>
        <w:t>155A</w:t>
      </w:r>
      <w:r>
        <w:rPr>
          <w:snapToGrid w:val="0"/>
        </w:rPr>
        <w:t>.</w:t>
      </w:r>
      <w:r>
        <w:rPr>
          <w:snapToGrid w:val="0"/>
        </w:rPr>
        <w:tab/>
        <w:t>Aerial survey work</w:t>
      </w:r>
      <w:bookmarkEnd w:id="279"/>
    </w:p>
    <w:p>
      <w:pPr>
        <w:pStyle w:val="Subsection"/>
        <w:keepNext/>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[Section 155A inserted: No. 58 of 1994 s. 50.]</w:t>
      </w:r>
    </w:p>
    <w:p>
      <w:pPr>
        <w:pStyle w:val="Heading5"/>
        <w:rPr>
          <w:snapToGrid w:val="0"/>
        </w:rPr>
      </w:pPr>
      <w:bookmarkStart w:id="280" w:name="_Toc202366271"/>
      <w:r>
        <w:rPr>
          <w:rStyle w:val="CharSectno"/>
        </w:rPr>
        <w:t>156</w:t>
      </w:r>
      <w:r>
        <w:rPr>
          <w:snapToGrid w:val="0"/>
        </w:rPr>
        <w:t>.</w:t>
      </w:r>
      <w:r>
        <w:rPr>
          <w:snapToGrid w:val="0"/>
        </w:rPr>
        <w:tab/>
        <w:t>Offences</w:t>
      </w:r>
      <w:bookmarkEnd w:id="280"/>
    </w:p>
    <w:p>
      <w:pPr>
        <w:pStyle w:val="Subsection"/>
        <w:keepNext/>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takes or removes from the mining tenement of any other person any mineral or other mining product without the authority of that other person; or</w:t>
      </w:r>
    </w:p>
    <w:p>
      <w:pPr>
        <w:pStyle w:val="Indenta"/>
        <w:rPr>
          <w:snapToGrid w:val="0"/>
        </w:rPr>
      </w:pPr>
      <w:r>
        <w:rPr>
          <w:snapToGrid w:val="0"/>
        </w:rPr>
        <w:tab/>
        <w:t>(b)</w:t>
      </w:r>
      <w:r>
        <w:rPr>
          <w:snapToGrid w:val="0"/>
        </w:rPr>
        <w:tab/>
        <w:t>assaults, obstructs, resists or insults —</w:t>
      </w:r>
    </w:p>
    <w:p>
      <w:pPr>
        <w:pStyle w:val="Indenti"/>
        <w:rPr>
          <w:snapToGrid w:val="0"/>
        </w:rPr>
      </w:pPr>
      <w:r>
        <w:rPr>
          <w:snapToGrid w:val="0"/>
        </w:rPr>
        <w:tab/>
        <w:t>(i)</w:t>
      </w:r>
      <w:r>
        <w:rPr>
          <w:snapToGrid w:val="0"/>
        </w:rPr>
        <w:tab/>
        <w:t>any warden or any officer of the Department; or</w:t>
      </w:r>
    </w:p>
    <w:p>
      <w:pPr>
        <w:pStyle w:val="Indenti"/>
        <w:rPr>
          <w:snapToGrid w:val="0"/>
        </w:rPr>
      </w:pPr>
      <w:r>
        <w:rPr>
          <w:snapToGrid w:val="0"/>
        </w:rPr>
        <w:tab/>
        <w:t>(ii)</w:t>
      </w:r>
      <w:r>
        <w:rPr>
          <w:snapToGrid w:val="0"/>
        </w:rPr>
        <w:tab/>
        <w:t>any other person duly authorised under this Act to perform any act or duty, in the course of performance of that act or duty,</w:t>
      </w:r>
    </w:p>
    <w:p>
      <w:pPr>
        <w:pStyle w:val="Indenta"/>
        <w:rPr>
          <w:snapToGrid w:val="0"/>
        </w:rPr>
      </w:pPr>
      <w:r>
        <w:rPr>
          <w:snapToGrid w:val="0"/>
        </w:rPr>
        <w:lastRenderedPageBreak/>
        <w:tab/>
      </w:r>
      <w:r>
        <w:rPr>
          <w:snapToGrid w:val="0"/>
        </w:rPr>
        <w:tab/>
        <w:t>or who when required to do so by him fails to give to any such warden, officer or person information as to his name, address, or authorisation for being on any land or who gives false or misleading information; or</w:t>
      </w:r>
    </w:p>
    <w:p>
      <w:pPr>
        <w:pStyle w:val="Indenta"/>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keepNext/>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rPr>
          <w:snapToGrid w:val="0"/>
        </w:rPr>
      </w:pPr>
      <w:r>
        <w:rPr>
          <w:snapToGrid w:val="0"/>
        </w:rPr>
        <w:tab/>
      </w:r>
      <w:r>
        <w:rPr>
          <w:snapToGrid w:val="0"/>
        </w:rPr>
        <w:tab/>
        <w:t>commits an offence against this Act.</w:t>
      </w:r>
    </w:p>
    <w:p>
      <w:pPr>
        <w:pStyle w:val="Subsection"/>
      </w:pPr>
      <w:r>
        <w:tab/>
        <w:t>(2)</w:t>
      </w:r>
      <w:r>
        <w:tab/>
        <w:t xml:space="preserve">Subsection (1)(a) does not apply to a person who removes a mineral in </w:t>
      </w:r>
      <w:r>
        <w:rPr>
          <w:snapToGrid w:val="0"/>
        </w:rPr>
        <w:t>the</w:t>
      </w:r>
      <w:r>
        <w:t xml:space="preserve"> exercise of the authorisation conferred by section 40D(1)(c).</w:t>
      </w:r>
    </w:p>
    <w:p>
      <w:pPr>
        <w:pStyle w:val="Footnotesection"/>
        <w:ind w:left="890" w:hanging="890"/>
      </w:pPr>
      <w:r>
        <w:tab/>
        <w:t>[Section 156 amended: No. 122 of 1982 s. 28; No. 100 of 1985 s. 108; No. 63 of 2000 s. 6; No. 39 of 2004 s. 81; No. 51 of 2012 s. 37.]</w:t>
      </w:r>
    </w:p>
    <w:p>
      <w:pPr>
        <w:pStyle w:val="Heading5"/>
        <w:rPr>
          <w:snapToGrid w:val="0"/>
        </w:rPr>
      </w:pPr>
      <w:bookmarkStart w:id="281" w:name="_Toc202366272"/>
      <w:r>
        <w:rPr>
          <w:rStyle w:val="CharSectno"/>
        </w:rPr>
        <w:t>157</w:t>
      </w:r>
      <w:r>
        <w:rPr>
          <w:snapToGrid w:val="0"/>
        </w:rPr>
        <w:t>.</w:t>
      </w:r>
      <w:r>
        <w:rPr>
          <w:snapToGrid w:val="0"/>
        </w:rPr>
        <w:tab/>
        <w:t>Obstruction of persons authorised to mine under this Act</w:t>
      </w:r>
      <w:bookmarkEnd w:id="281"/>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[Section 157 amended: No. 22 of 1990 s. 38; No. 15 of 2002 s. 28.]</w:t>
      </w:r>
    </w:p>
    <w:p>
      <w:pPr>
        <w:pStyle w:val="Heading5"/>
        <w:rPr>
          <w:snapToGrid w:val="0"/>
        </w:rPr>
      </w:pPr>
      <w:bookmarkStart w:id="282" w:name="_Toc202366273"/>
      <w:r>
        <w:rPr>
          <w:rStyle w:val="CharSectno"/>
        </w:rPr>
        <w:t>158</w:t>
      </w:r>
      <w:r>
        <w:rPr>
          <w:snapToGrid w:val="0"/>
        </w:rPr>
        <w:t>.</w:t>
      </w:r>
      <w:r>
        <w:rPr>
          <w:snapToGrid w:val="0"/>
        </w:rPr>
        <w:tab/>
        <w:t>Power to require information as to right to mine</w:t>
      </w:r>
      <w:bookmarkEnd w:id="282"/>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w:t>
      </w:r>
    </w:p>
    <w:p>
      <w:pPr>
        <w:pStyle w:val="Indenta"/>
        <w:rPr>
          <w:snapToGrid w:val="0"/>
        </w:rPr>
      </w:pPr>
      <w:r>
        <w:rPr>
          <w:snapToGrid w:val="0"/>
        </w:rPr>
        <w:lastRenderedPageBreak/>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upon request made under subsection (1) refuses or fails to comply with the request; or</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lastRenderedPageBreak/>
        <w:tab/>
        <w:t>[Section 158 inserted: No. 105 of 1986 s. 24; amended: No. 22 of 1990 s. 38.]</w:t>
      </w:r>
    </w:p>
    <w:p>
      <w:pPr>
        <w:pStyle w:val="Heading5"/>
        <w:rPr>
          <w:snapToGrid w:val="0"/>
        </w:rPr>
      </w:pPr>
      <w:bookmarkStart w:id="283" w:name="_Toc202366274"/>
      <w:r>
        <w:rPr>
          <w:rStyle w:val="CharSectno"/>
        </w:rPr>
        <w:t>159</w:t>
      </w:r>
      <w:r>
        <w:rPr>
          <w:snapToGrid w:val="0"/>
        </w:rPr>
        <w:t>.</w:t>
      </w:r>
      <w:r>
        <w:rPr>
          <w:snapToGrid w:val="0"/>
        </w:rPr>
        <w:tab/>
        <w:t>Disputes between licensees and other persons</w:t>
      </w:r>
      <w:bookmarkEnd w:id="283"/>
    </w:p>
    <w:p>
      <w:pPr>
        <w:pStyle w:val="Subsection"/>
        <w:rPr>
          <w:snapToGrid w:val="0"/>
        </w:rPr>
      </w:pPr>
      <w:r>
        <w:rPr>
          <w:snapToGrid w:val="0"/>
        </w:rPr>
        <w:tab/>
        <w:t>(1)</w:t>
      </w:r>
      <w:r>
        <w:rPr>
          <w:snapToGrid w:val="0"/>
        </w:rPr>
        <w:tab/>
        <w:t xml:space="preserve">Where a dispute arises between a licensee or permittee under the </w:t>
      </w:r>
      <w:r>
        <w:rPr>
          <w:i/>
          <w:iCs/>
        </w:rPr>
        <w:t>Petroleum and Geothermal Energy Resources Act 1967</w:t>
      </w:r>
      <w:r>
        <w:t xml:space="preserve"> </w:t>
      </w:r>
      <w:r>
        <w:rPr>
          <w:snapToGrid w:val="0"/>
        </w:rPr>
        <w:t>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Subsection"/>
      </w:pPr>
      <w:r>
        <w:tab/>
        <w:t>(4)</w:t>
      </w:r>
      <w:r>
        <w:tab/>
        <w:t>In this section —</w:t>
      </w:r>
    </w:p>
    <w:p>
      <w:pPr>
        <w:pStyle w:val="Indenta"/>
      </w:pPr>
      <w:r>
        <w:tab/>
        <w:t>(a)</w:t>
      </w:r>
      <w:r>
        <w:tab/>
        <w:t>a reference to a licence or permit includes a reference to a drilling reservation or lease; and</w:t>
      </w:r>
    </w:p>
    <w:p>
      <w:pPr>
        <w:pStyle w:val="Indenta"/>
      </w:pPr>
      <w:r>
        <w:tab/>
        <w:t>(b)</w:t>
      </w:r>
      <w:r>
        <w:tab/>
        <w:t>a reference to a licensee or permittee includes a reference to the registered holder of a drilling reservation or lease.</w:t>
      </w:r>
    </w:p>
    <w:p>
      <w:pPr>
        <w:pStyle w:val="Footnotesection"/>
      </w:pPr>
      <w:r>
        <w:lastRenderedPageBreak/>
        <w:tab/>
        <w:t>[Section 159 amended: No. 35 of 2007 s. 100(5) and (6).]</w:t>
      </w:r>
    </w:p>
    <w:p>
      <w:pPr>
        <w:pStyle w:val="Heading5"/>
        <w:rPr>
          <w:snapToGrid w:val="0"/>
        </w:rPr>
      </w:pPr>
      <w:bookmarkStart w:id="284" w:name="_Toc202366275"/>
      <w:r>
        <w:rPr>
          <w:rStyle w:val="CharSectno"/>
        </w:rPr>
        <w:t>160</w:t>
      </w:r>
      <w:r>
        <w:rPr>
          <w:snapToGrid w:val="0"/>
        </w:rPr>
        <w:t>.</w:t>
      </w:r>
      <w:r>
        <w:rPr>
          <w:snapToGrid w:val="0"/>
        </w:rPr>
        <w:tab/>
        <w:t>Saving of civil remedies</w:t>
      </w:r>
      <w:bookmarkEnd w:id="284"/>
    </w:p>
    <w:p>
      <w:pPr>
        <w:pStyle w:val="Subsection"/>
        <w:rPr>
          <w:snapToGrid w:val="0"/>
        </w:rPr>
      </w:pPr>
      <w:r>
        <w:rPr>
          <w:snapToGrid w:val="0"/>
        </w:rPr>
        <w:tab/>
        <w:t>(1)</w:t>
      </w:r>
      <w:r>
        <w:rPr>
          <w:snapToGrid w:val="0"/>
        </w:rPr>
        <w:tab/>
      </w:r>
      <w:r>
        <w:t>Subject to section 40G,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keepNext/>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No. 63 of 2000 s. 7; No. 51 of 2012 s. 38.]</w:t>
      </w:r>
    </w:p>
    <w:p>
      <w:pPr>
        <w:pStyle w:val="Heading5"/>
        <w:spacing w:before="120"/>
      </w:pPr>
      <w:bookmarkStart w:id="285" w:name="_Toc202366276"/>
      <w:r>
        <w:rPr>
          <w:rStyle w:val="CharSectno"/>
        </w:rPr>
        <w:t>160AA</w:t>
      </w:r>
      <w:r>
        <w:t>.</w:t>
      </w:r>
      <w:r>
        <w:tab/>
        <w:t>Authority to perform certain functions of LAA Minister under this Act</w:t>
      </w:r>
      <w:bookmarkEnd w:id="285"/>
    </w:p>
    <w:p>
      <w:pPr>
        <w:pStyle w:val="Subsection"/>
        <w:spacing w:before="100"/>
      </w:pPr>
      <w:r>
        <w:tab/>
        <w:t>(1)</w:t>
      </w:r>
      <w:r>
        <w:tab/>
        <w:t xml:space="preserve">A function that the LAA </w:t>
      </w:r>
      <w:r>
        <w:rPr>
          <w:snapToGrid w:val="0"/>
        </w:rPr>
        <w:t>Minister</w:t>
      </w:r>
      <w:r>
        <w:t xml:space="preserve"> has under a provision of this Act listed in the Table may be performed by a public service officer of the Department, as defined in the </w:t>
      </w:r>
      <w:r>
        <w:rPr>
          <w:i/>
          <w:iCs/>
        </w:rPr>
        <w:t>Land Administration Act 1997</w:t>
      </w:r>
      <w:r>
        <w:t xml:space="preserve"> section 3(1), who is authorised in writing by the LAA Minister to do so.</w:t>
      </w:r>
    </w:p>
    <w:p>
      <w:pPr>
        <w:pStyle w:val="Subsection"/>
        <w:spacing w:before="100"/>
      </w:pPr>
      <w:r>
        <w:tab/>
        <w:t>(2)</w:t>
      </w:r>
      <w:r>
        <w:tab/>
        <w:t>Nothing in this section limits the ability of the LAA Minister to otherwise perform a function through an officer or agent.</w:t>
      </w:r>
    </w:p>
    <w:p>
      <w:pPr>
        <w:pStyle w:val="zTHeadingNAm"/>
        <w:spacing w:before="100"/>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cantSplit/>
        </w:trPr>
        <w:tc>
          <w:tcPr>
            <w:tcW w:w="2764" w:type="dxa"/>
          </w:tcPr>
          <w:p>
            <w:pPr>
              <w:pStyle w:val="zTableNAm"/>
            </w:pPr>
            <w:r>
              <w:t xml:space="preserve">s. 24(3)(b), (5)(b), as the </w:t>
            </w:r>
            <w:r>
              <w:rPr>
                <w:b/>
                <w:bCs/>
                <w:i/>
                <w:iCs/>
              </w:rPr>
              <w:t>responsible Minister</w:t>
            </w:r>
            <w:r>
              <w:t xml:space="preserve"> under s. 24(8)</w:t>
            </w:r>
          </w:p>
        </w:tc>
        <w:tc>
          <w:tcPr>
            <w:tcW w:w="2764" w:type="dxa"/>
          </w:tcPr>
          <w:p>
            <w:pPr>
              <w:pStyle w:val="zTableNAm"/>
            </w:pPr>
            <w:r>
              <w:t>s. 25(2)(b), (3)(b)</w:t>
            </w:r>
          </w:p>
        </w:tc>
      </w:tr>
      <w:tr>
        <w:tc>
          <w:tcPr>
            <w:tcW w:w="2764" w:type="dxa"/>
          </w:tcPr>
          <w:p>
            <w:pPr>
              <w:pStyle w:val="zTableNAm"/>
            </w:pPr>
            <w:r>
              <w:t>s. 26(2)(a)</w:t>
            </w:r>
          </w:p>
        </w:tc>
        <w:tc>
          <w:tcPr>
            <w:tcW w:w="2764" w:type="dxa"/>
          </w:tcPr>
          <w:p>
            <w:pPr>
              <w:pStyle w:val="zTableNAm"/>
            </w:pPr>
            <w:r>
              <w:t>s. 55(1), (3), (4)</w:t>
            </w:r>
          </w:p>
        </w:tc>
      </w:tr>
      <w:tr>
        <w:tc>
          <w:tcPr>
            <w:tcW w:w="2764" w:type="dxa"/>
          </w:tcPr>
          <w:p>
            <w:pPr>
              <w:pStyle w:val="zTableNAm"/>
            </w:pPr>
            <w:r>
              <w:t>s. 69C(1), (3), (4)</w:t>
            </w:r>
          </w:p>
        </w:tc>
        <w:tc>
          <w:tcPr>
            <w:tcW w:w="2764" w:type="dxa"/>
          </w:tcPr>
          <w:p>
            <w:pPr>
              <w:pStyle w:val="zTableNAm"/>
            </w:pPr>
          </w:p>
        </w:tc>
      </w:tr>
    </w:tbl>
    <w:p>
      <w:pPr>
        <w:pStyle w:val="Footnotesection"/>
      </w:pPr>
      <w:r>
        <w:tab/>
        <w:t>[Section 160AA inserted: No. 8 of 2010 s. 19; amended: No. 17 of 2014 s. 29.]</w:t>
      </w:r>
    </w:p>
    <w:p>
      <w:pPr>
        <w:pStyle w:val="Heading5"/>
        <w:spacing w:before="120"/>
        <w:rPr>
          <w:snapToGrid w:val="0"/>
        </w:rPr>
      </w:pPr>
      <w:bookmarkStart w:id="286" w:name="_Toc202366277"/>
      <w:r>
        <w:rPr>
          <w:rStyle w:val="CharSectno"/>
        </w:rPr>
        <w:lastRenderedPageBreak/>
        <w:t>160A</w:t>
      </w:r>
      <w:r>
        <w:rPr>
          <w:snapToGrid w:val="0"/>
        </w:rPr>
        <w:t>.</w:t>
      </w:r>
      <w:r>
        <w:rPr>
          <w:snapToGrid w:val="0"/>
        </w:rPr>
        <w:tab/>
        <w:t xml:space="preserve">Immunity of Minister, </w:t>
      </w:r>
      <w:r>
        <w:t>wardens</w:t>
      </w:r>
      <w:r>
        <w:rPr>
          <w:snapToGrid w:val="0"/>
        </w:rPr>
        <w:t xml:space="preserve"> and officials</w:t>
      </w:r>
      <w:bookmarkEnd w:id="286"/>
    </w:p>
    <w:p>
      <w:pPr>
        <w:pStyle w:val="Subsection"/>
        <w:spacing w:before="100"/>
        <w:rPr>
          <w:snapToGrid w:val="0"/>
        </w:rPr>
      </w:pPr>
      <w:r>
        <w:rPr>
          <w:snapToGrid w:val="0"/>
        </w:rPr>
        <w:tab/>
      </w:r>
      <w:r>
        <w:rPr>
          <w:snapToGrid w:val="0"/>
        </w:rPr>
        <w:tab/>
        <w:t xml:space="preserve">No liability shall attach to the Minister, a warden or any official of the Department, any authorised person under this Act or any person acting with the authority or on the direction of the Minister, a warden or the Director General of </w:t>
      </w:r>
      <w:r>
        <w:t>Mines, or the LAA Minister</w:t>
      </w:r>
      <w:r>
        <w:rPr>
          <w:snapToGrid w:val="0"/>
        </w:rPr>
        <w:t xml:space="preserve"> in good faith and in the exercise or purported exercise of a power or in the discharge or purported discharge of a duty under this Act.</w:t>
      </w:r>
    </w:p>
    <w:p>
      <w:pPr>
        <w:pStyle w:val="Footnotesection"/>
      </w:pPr>
      <w:r>
        <w:tab/>
        <w:t>[Section 160A inserted: No. 105 of 1986 s. 25; amended: No. 42 of 1999 s. 8; No. 8 of 2010 s. 20.]</w:t>
      </w:r>
    </w:p>
    <w:p>
      <w:pPr>
        <w:pStyle w:val="Heading5"/>
      </w:pPr>
      <w:bookmarkStart w:id="287" w:name="_Toc202366278"/>
      <w:r>
        <w:rPr>
          <w:rStyle w:val="CharSectno"/>
        </w:rPr>
        <w:t>160B</w:t>
      </w:r>
      <w:r>
        <w:t>.</w:t>
      </w:r>
      <w:r>
        <w:tab/>
        <w:t>Time limit for prosecution action</w:t>
      </w:r>
      <w:bookmarkEnd w:id="287"/>
    </w:p>
    <w:p>
      <w:pPr>
        <w:pStyle w:val="Subsection"/>
      </w:pPr>
      <w:r>
        <w:tab/>
      </w:r>
      <w:r>
        <w:tab/>
        <w:t>A prosecution for an offence against this Act must be commenced within 3 years after the day on which the offence is alleged to have been committed.</w:t>
      </w:r>
    </w:p>
    <w:p>
      <w:pPr>
        <w:pStyle w:val="Footnotesection"/>
      </w:pPr>
      <w:r>
        <w:tab/>
        <w:t>[Section 160B inserted: No. 51 of 2012 s. 39.]</w:t>
      </w:r>
    </w:p>
    <w:p>
      <w:pPr>
        <w:pStyle w:val="Heading5"/>
      </w:pPr>
      <w:bookmarkStart w:id="288" w:name="_Toc202366279"/>
      <w:r>
        <w:rPr>
          <w:rStyle w:val="CharSectno"/>
        </w:rPr>
        <w:t>160C</w:t>
      </w:r>
      <w:r>
        <w:t>.</w:t>
      </w:r>
      <w:r>
        <w:tab/>
        <w:t>No right of appeal from certain decisions of warden, mining registrar or Minister</w:t>
      </w:r>
      <w:bookmarkEnd w:id="288"/>
    </w:p>
    <w:p>
      <w:pPr>
        <w:pStyle w:val="Subsection"/>
      </w:pPr>
      <w:r>
        <w:tab/>
      </w:r>
      <w:r>
        <w:tab/>
        <w:t>No appeal lies under this Act —</w:t>
      </w:r>
    </w:p>
    <w:p>
      <w:pPr>
        <w:pStyle w:val="Indenta"/>
      </w:pPr>
      <w:r>
        <w:tab/>
        <w:t>(a)</w:t>
      </w:r>
      <w:r>
        <w:tab/>
        <w:t>except as provided in Part IV, in respect of a decision, order or recommendation of a warden or mining registrar on —</w:t>
      </w:r>
    </w:p>
    <w:p>
      <w:pPr>
        <w:pStyle w:val="Indenti"/>
      </w:pPr>
      <w:r>
        <w:tab/>
        <w:t>(i)</w:t>
      </w:r>
      <w:r>
        <w:tab/>
        <w:t>an application for a mining tenement; or</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r>
      <w:r>
        <w:tab/>
        <w:t>or</w:t>
      </w:r>
    </w:p>
    <w:p>
      <w:pPr>
        <w:pStyle w:val="Indenta"/>
      </w:pPr>
      <w:r>
        <w:tab/>
        <w:t>(b)</w:t>
      </w:r>
      <w:r>
        <w:tab/>
        <w:t>in respect of a decision or order of the Minister on —</w:t>
      </w:r>
    </w:p>
    <w:p>
      <w:pPr>
        <w:pStyle w:val="Indenti"/>
      </w:pPr>
      <w:r>
        <w:tab/>
        <w:t>(i)</w:t>
      </w:r>
      <w:r>
        <w:tab/>
        <w:t>an application for a mining tenement; or</w:t>
      </w:r>
    </w:p>
    <w:p>
      <w:pPr>
        <w:pStyle w:val="Indenti"/>
      </w:pPr>
      <w:r>
        <w:lastRenderedPageBreak/>
        <w:tab/>
        <w:t>(ii)</w:t>
      </w:r>
      <w:r>
        <w:tab/>
        <w:t>an application for forfeiture of a mining tenement; or</w:t>
      </w:r>
    </w:p>
    <w:p>
      <w:pPr>
        <w:pStyle w:val="Indenti"/>
        <w:keepNext/>
        <w:keepLines/>
      </w:pPr>
      <w:r>
        <w:tab/>
        <w:t>(iii)</w:t>
      </w:r>
      <w:r>
        <w:tab/>
        <w:t>an application for exemption from expenditure or other conditions;</w:t>
      </w:r>
    </w:p>
    <w:p>
      <w:pPr>
        <w:pStyle w:val="Indenta"/>
      </w:pPr>
      <w:r>
        <w:tab/>
      </w:r>
      <w:r>
        <w:tab/>
        <w:t>or</w:t>
      </w:r>
    </w:p>
    <w:p>
      <w:pPr>
        <w:pStyle w:val="Indenta"/>
      </w:pPr>
      <w:r>
        <w:tab/>
        <w:t>(c)</w:t>
      </w:r>
      <w:r>
        <w:tab/>
        <w:t>in respect of a determination of a warden or mining registrar if a provision of this Act provides that the determination is final and conclusive and not subject to appeal.</w:t>
      </w:r>
    </w:p>
    <w:p>
      <w:pPr>
        <w:pStyle w:val="Footnotesection"/>
      </w:pPr>
      <w:r>
        <w:tab/>
        <w:t>[Section 160C inserted: No. 39 of 2004 s. 82.]</w:t>
      </w:r>
    </w:p>
    <w:p>
      <w:pPr>
        <w:pStyle w:val="Heading5"/>
      </w:pPr>
      <w:bookmarkStart w:id="289" w:name="_Toc202366280"/>
      <w:r>
        <w:rPr>
          <w:rStyle w:val="CharSectno"/>
        </w:rPr>
        <w:t>160D</w:t>
      </w:r>
      <w:r>
        <w:t>.</w:t>
      </w:r>
      <w:r>
        <w:tab/>
        <w:t>Persons before whom affidavit may be sworn</w:t>
      </w:r>
      <w:bookmarkEnd w:id="289"/>
    </w:p>
    <w:p>
      <w:pPr>
        <w:pStyle w:val="Subsection"/>
      </w:pPr>
      <w:r>
        <w:tab/>
      </w:r>
      <w:r>
        <w:tab/>
        <w:t>An affidavit to be used in a warden’s court or before a warden or a mining registrar may be sworn before —</w:t>
      </w:r>
    </w:p>
    <w:p>
      <w:pPr>
        <w:pStyle w:val="Indenta"/>
      </w:pPr>
      <w:r>
        <w:tab/>
        <w:t>(a)</w:t>
      </w:r>
      <w:r>
        <w:tab/>
        <w:t xml:space="preserve">any person who, under the </w:t>
      </w:r>
      <w:r>
        <w:rPr>
          <w:i/>
          <w:iCs/>
        </w:rPr>
        <w:t>Oaths, Affidavits and Statutory Declarations Act 2005</w:t>
      </w:r>
      <w:r>
        <w:t>, is an authorised witness for an affidavit; or</w:t>
      </w:r>
    </w:p>
    <w:p>
      <w:pPr>
        <w:pStyle w:val="Indenta"/>
      </w:pPr>
      <w:r>
        <w:tab/>
        <w:t>(b)</w:t>
      </w:r>
      <w:r>
        <w:tab/>
        <w:t>a warden; or</w:t>
      </w:r>
    </w:p>
    <w:p>
      <w:pPr>
        <w:pStyle w:val="Ednotepara"/>
      </w:pPr>
      <w:r>
        <w:tab/>
        <w:t>[(c)</w:t>
      </w:r>
      <w:r>
        <w:noBreakHyphen/>
        <w:t>(e)</w:t>
      </w:r>
      <w:r>
        <w:tab/>
        <w:t>deleted]</w:t>
      </w:r>
    </w:p>
    <w:p>
      <w:pPr>
        <w:pStyle w:val="Indenta"/>
      </w:pPr>
      <w:r>
        <w:tab/>
        <w:t>(f)</w:t>
      </w:r>
      <w:r>
        <w:tab/>
        <w:t>a prescribed official.</w:t>
      </w:r>
    </w:p>
    <w:p>
      <w:pPr>
        <w:pStyle w:val="Footnotesection"/>
      </w:pPr>
      <w:r>
        <w:tab/>
        <w:t>[Section 160D inserted: No. 39 of 2004 s. 82; amended: No. 24 of 2005 s. 62.]</w:t>
      </w:r>
    </w:p>
    <w:p>
      <w:pPr>
        <w:pStyle w:val="Heading5"/>
        <w:rPr>
          <w:snapToGrid w:val="0"/>
        </w:rPr>
      </w:pPr>
      <w:bookmarkStart w:id="290" w:name="_Toc202366281"/>
      <w:r>
        <w:rPr>
          <w:rStyle w:val="CharSectno"/>
        </w:rPr>
        <w:t>161</w:t>
      </w:r>
      <w:r>
        <w:rPr>
          <w:snapToGrid w:val="0"/>
        </w:rPr>
        <w:t>.</w:t>
      </w:r>
      <w:r>
        <w:rPr>
          <w:snapToGrid w:val="0"/>
        </w:rPr>
        <w:tab/>
        <w:t>Evidentiary provisions</w:t>
      </w:r>
      <w:bookmarkEnd w:id="290"/>
    </w:p>
    <w:p>
      <w:pPr>
        <w:pStyle w:val="Subsection"/>
        <w:rPr>
          <w:snapToGrid w:val="0"/>
        </w:rPr>
      </w:pPr>
      <w:r>
        <w:rPr>
          <w:snapToGrid w:val="0"/>
        </w:rPr>
        <w:tab/>
        <w:t>(1)</w:t>
      </w:r>
      <w:r>
        <w:rPr>
          <w:snapToGrid w:val="0"/>
        </w:rPr>
        <w:tab/>
        <w:t>In any proceedings for an offence against this Act, an averment in the charge that any land referred to therein is land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lastRenderedPageBreak/>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Subsection"/>
      </w:pPr>
      <w:r>
        <w:tab/>
        <w:t>(4)</w:t>
      </w:r>
      <w:r>
        <w:tab/>
        <w:t>In any proceedings —</w:t>
      </w:r>
    </w:p>
    <w:p>
      <w:pPr>
        <w:pStyle w:val="Indenta"/>
      </w:pPr>
      <w:r>
        <w:tab/>
        <w:t>(a)</w:t>
      </w:r>
      <w:r>
        <w:tab/>
        <w:t>a document purporting to be a copy of a judgment, order or decision of a warden or a warden’s court, or of a document filed or lodged in proceedings under this Act, and purporting to be certified by —</w:t>
      </w:r>
    </w:p>
    <w:p>
      <w:pPr>
        <w:pStyle w:val="Indenti"/>
      </w:pPr>
      <w:r>
        <w:tab/>
        <w:t>(i)</w:t>
      </w:r>
      <w:r>
        <w:tab/>
        <w:t>a warden; or</w:t>
      </w:r>
    </w:p>
    <w:p>
      <w:pPr>
        <w:pStyle w:val="Indenti"/>
      </w:pPr>
      <w:r>
        <w:tab/>
        <w:t>(ii)</w:t>
      </w:r>
      <w:r>
        <w:tab/>
        <w:t>a mining registrar; or</w:t>
      </w:r>
    </w:p>
    <w:p>
      <w:pPr>
        <w:pStyle w:val="Indenti"/>
      </w:pPr>
      <w:r>
        <w:tab/>
        <w:t>(iii)</w:t>
      </w:r>
      <w:r>
        <w:tab/>
        <w:t>a prescribed official,</w:t>
      </w:r>
    </w:p>
    <w:p>
      <w:pPr>
        <w:pStyle w:val="Indenta"/>
      </w:pPr>
      <w:r>
        <w:tab/>
      </w:r>
      <w:r>
        <w:tab/>
        <w:t>to be such a copy, is admissible as a true copy of the judgment, order, decision or document; and</w:t>
      </w:r>
    </w:p>
    <w:p>
      <w:pPr>
        <w:pStyle w:val="Indenta"/>
      </w:pPr>
      <w:r>
        <w:tab/>
        <w:t>(b)</w:t>
      </w:r>
      <w:r>
        <w:tab/>
        <w:t>judicial notice is to be taken of the signature of a person referred to in paragraph (a)(i), (ii) or (iii) on a certificate under that paragraph.</w:t>
      </w:r>
    </w:p>
    <w:p>
      <w:pPr>
        <w:pStyle w:val="Footnotesection"/>
      </w:pPr>
      <w:r>
        <w:tab/>
        <w:t>[Section 161 amended: No. 122 of 1982 s. 29; No. 37 of 1993 s. 23; No. 54 of 1996 s. 21; No. 5 of 1997 s. 41(2); No. 39 of 2004 s. 83; No. 84 of 2004 s. 80.]</w:t>
      </w:r>
    </w:p>
    <w:p>
      <w:pPr>
        <w:pStyle w:val="Heading5"/>
      </w:pPr>
      <w:bookmarkStart w:id="291" w:name="_Toc202366282"/>
      <w:r>
        <w:rPr>
          <w:rStyle w:val="CharSectno"/>
        </w:rPr>
        <w:t>162A</w:t>
      </w:r>
      <w:r>
        <w:t>.</w:t>
      </w:r>
      <w:r>
        <w:tab/>
        <w:t xml:space="preserve">Certain things are not personal property for purposes of </w:t>
      </w:r>
      <w:r>
        <w:rPr>
          <w:i/>
          <w:iCs/>
        </w:rPr>
        <w:t>Personal Property Securities Act 2009</w:t>
      </w:r>
      <w:r>
        <w:t xml:space="preserve"> (Cwlth)</w:t>
      </w:r>
      <w:bookmarkEnd w:id="291"/>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lastRenderedPageBreak/>
        <w:tab/>
        <w:t>(a)</w:t>
      </w:r>
      <w:r>
        <w:tab/>
        <w:t>a prospecting licence granted under section 40(1), 56A(6) or 70(6);</w:t>
      </w:r>
    </w:p>
    <w:p>
      <w:pPr>
        <w:pStyle w:val="Indenta"/>
      </w:pPr>
      <w:r>
        <w:tab/>
        <w:t>(b)</w:t>
      </w:r>
      <w:r>
        <w:tab/>
        <w:t>an exploration licence granted under section 57(1);</w:t>
      </w:r>
    </w:p>
    <w:p>
      <w:pPr>
        <w:pStyle w:val="Indenta"/>
      </w:pPr>
      <w:r>
        <w:tab/>
        <w:t>(c)</w:t>
      </w:r>
      <w:r>
        <w:tab/>
        <w:t>a retention licence granted under section 70B(1);</w:t>
      </w:r>
    </w:p>
    <w:p>
      <w:pPr>
        <w:pStyle w:val="Indenta"/>
      </w:pPr>
      <w:r>
        <w:tab/>
        <w:t>(d)</w:t>
      </w:r>
      <w:r>
        <w:tab/>
        <w:t>a mining lease granted under section 71;</w:t>
      </w:r>
    </w:p>
    <w:p>
      <w:pPr>
        <w:pStyle w:val="Indenta"/>
      </w:pPr>
      <w:r>
        <w:tab/>
        <w:t>(e)</w:t>
      </w:r>
      <w:r>
        <w:tab/>
        <w:t>a general purpose lease granted under section 86(1);</w:t>
      </w:r>
    </w:p>
    <w:p>
      <w:pPr>
        <w:pStyle w:val="Indenta"/>
      </w:pPr>
      <w:r>
        <w:tab/>
        <w:t>(f)</w:t>
      </w:r>
      <w:r>
        <w:tab/>
        <w:t>a miscellaneous licence granted under section 91(1).</w:t>
      </w:r>
    </w:p>
    <w:p>
      <w:pPr>
        <w:pStyle w:val="Footnotesection"/>
      </w:pPr>
      <w:r>
        <w:tab/>
        <w:t>[Section 162A inserted: No. 42 of 2011 s. 83.]</w:t>
      </w:r>
    </w:p>
    <w:p>
      <w:pPr>
        <w:pStyle w:val="Heading5"/>
      </w:pPr>
      <w:bookmarkStart w:id="292" w:name="_Toc202366283"/>
      <w:r>
        <w:rPr>
          <w:rStyle w:val="CharSectno"/>
        </w:rPr>
        <w:t>162B</w:t>
      </w:r>
      <w:r>
        <w:t>.</w:t>
      </w:r>
      <w:r>
        <w:tab/>
        <w:t>Extension of prescribed period or time</w:t>
      </w:r>
      <w:bookmarkEnd w:id="292"/>
    </w:p>
    <w:p>
      <w:pPr>
        <w:pStyle w:val="Subsection"/>
      </w:pPr>
      <w:r>
        <w:tab/>
        <w:t>(1)</w:t>
      </w:r>
      <w:r>
        <w:tab/>
        <w:t>If this Act provides for something to be done within a prescribed period or a prescribed time, the Minister or a warden may, in a particular case, extend the period or the time for doing the thing.</w:t>
      </w:r>
    </w:p>
    <w:p>
      <w:pPr>
        <w:pStyle w:val="Subsection"/>
      </w:pPr>
      <w:r>
        <w:tab/>
        <w:t>(2)</w:t>
      </w:r>
      <w:r>
        <w:tab/>
        <w:t>The power in subsection (1) may be exercised whether or not the prescribed period has ended or the prescribed time has passed.</w:t>
      </w:r>
    </w:p>
    <w:p>
      <w:pPr>
        <w:pStyle w:val="Footnotesection"/>
      </w:pPr>
      <w:r>
        <w:tab/>
        <w:t>[Section 162B inserted: No. 51 of 2012 s. 40.]</w:t>
      </w:r>
    </w:p>
    <w:p>
      <w:pPr>
        <w:pStyle w:val="Heading5"/>
        <w:rPr>
          <w:snapToGrid w:val="0"/>
        </w:rPr>
      </w:pPr>
      <w:bookmarkStart w:id="293" w:name="_Toc202366284"/>
      <w:r>
        <w:rPr>
          <w:rStyle w:val="CharSectno"/>
        </w:rPr>
        <w:t>162</w:t>
      </w:r>
      <w:r>
        <w:rPr>
          <w:snapToGrid w:val="0"/>
        </w:rPr>
        <w:t>.</w:t>
      </w:r>
      <w:r>
        <w:rPr>
          <w:snapToGrid w:val="0"/>
        </w:rPr>
        <w:tab/>
        <w:t>Regulations</w:t>
      </w:r>
      <w:bookmarkEnd w:id="293"/>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lastRenderedPageBreak/>
        <w:tab/>
        <w:t>(aa)</w:t>
      </w:r>
      <w:r>
        <w:rPr>
          <w:snapToGrid w:val="0"/>
        </w:rPr>
        <w:tab/>
        <w:t>authorise an inspector appointed under section 11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40E, including without limitation —</w:t>
      </w:r>
    </w:p>
    <w:p>
      <w:pPr>
        <w:pStyle w:val="Indenti"/>
      </w:pPr>
      <w:r>
        <w:tab/>
        <w:t>(i)</w:t>
      </w:r>
      <w:r>
        <w:tab/>
        <w:t>the persons or class of persons to whom notice of the issue of permits is to be given; and</w:t>
      </w:r>
    </w:p>
    <w:p>
      <w:pPr>
        <w:pStyle w:val="Indenti"/>
      </w:pPr>
      <w:r>
        <w:tab/>
        <w:t>(ii)</w:t>
      </w:r>
      <w:r>
        <w:tab/>
        <w:t>the operation, duration and surrender of permits; and</w:t>
      </w:r>
    </w:p>
    <w:p>
      <w:pPr>
        <w:pStyle w:val="Indenti"/>
      </w:pPr>
      <w:r>
        <w:tab/>
        <w:t>(iii)</w:t>
      </w:r>
      <w:r>
        <w:tab/>
        <w:t>the maximum number of permits that may be in force at any time in respect of an exploration licence; and</w:t>
      </w:r>
    </w:p>
    <w:p>
      <w:pPr>
        <w:pStyle w:val="Indenti"/>
      </w:pPr>
      <w:r>
        <w:lastRenderedPageBreak/>
        <w:tab/>
        <w:t>(iv)</w:t>
      </w:r>
      <w:r>
        <w:tab/>
        <w:t>the conditions that may be imposed on permits and the variation or cancellation of such conditions; and</w:t>
      </w:r>
    </w:p>
    <w:p>
      <w:pPr>
        <w:pStyle w:val="Indenti"/>
        <w:keepNext/>
        <w:keepLines/>
      </w:pPr>
      <w:r>
        <w:tab/>
        <w:t>(v)</w:t>
      </w:r>
      <w:r>
        <w:tab/>
        <w:t>the powers of the Minister, in cases of breach of conditions referred to in section 40E(5) or (6) or in other prescribed circumstances —</w:t>
      </w:r>
    </w:p>
    <w:p>
      <w:pPr>
        <w:pStyle w:val="IndentI0"/>
      </w:pPr>
      <w:r>
        <w:tab/>
        <w:t>(I)</w:t>
      </w:r>
      <w:r>
        <w:tab/>
        <w:t>to impose on holders of permits monetary penalties not exceeding the prescribed amount; or</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r>
      <w:r>
        <w:tab/>
        <w:t>and</w:t>
      </w:r>
    </w:p>
    <w:p>
      <w:pPr>
        <w:pStyle w:val="Indenti"/>
      </w:pPr>
      <w:r>
        <w:tab/>
        <w:t>(vi)</w:t>
      </w:r>
      <w:r>
        <w:tab/>
        <w:t>the procedure to be followed before the exercise of a power referred to in subparagraph (v); and</w:t>
      </w:r>
    </w:p>
    <w:p>
      <w:pPr>
        <w:pStyle w:val="Indenti"/>
      </w:pPr>
      <w:r>
        <w:tab/>
        <w:t>(vii)</w:t>
      </w:r>
      <w:r>
        <w:tab/>
        <w:t>the recovery of penalties referred to in subparagraph (v)(I); and</w:t>
      </w:r>
    </w:p>
    <w:p>
      <w:pPr>
        <w:pStyle w:val="Indenti"/>
      </w:pPr>
      <w:r>
        <w:tab/>
        <w:t>(viii)</w:t>
      </w:r>
      <w:r>
        <w:tab/>
        <w:t>the prohibition of the use of hand tools of a prescribed kind; and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pPr>
      <w:r>
        <w:tab/>
        <w:t>(ea)</w:t>
      </w:r>
      <w:r>
        <w:tab/>
        <w:t>provide for matters relating to the lodgment, in electronic form, of mining tenement documents;</w:t>
      </w:r>
    </w:p>
    <w:p>
      <w:pPr>
        <w:pStyle w:val="Indenta"/>
      </w:pPr>
      <w:r>
        <w:tab/>
        <w:t>(eb)</w:t>
      </w:r>
      <w:r>
        <w:tab/>
        <w:t>provide for the time at which a mining tenement document is to be taken to have been lodged;</w:t>
      </w:r>
    </w:p>
    <w:p>
      <w:pPr>
        <w:pStyle w:val="Indenta"/>
        <w:keepNext/>
      </w:pPr>
      <w:r>
        <w:lastRenderedPageBreak/>
        <w:tab/>
        <w:t>(ec)</w:t>
      </w:r>
      <w:r>
        <w:tab/>
        <w:t xml:space="preserve">regulate matters in connection with designated tenement contacts for mining tenements and applications for mining tenements, including without limitation — </w:t>
      </w:r>
    </w:p>
    <w:p>
      <w:pPr>
        <w:pStyle w:val="Indenti"/>
      </w:pPr>
      <w:r>
        <w:tab/>
        <w:t>(i)</w:t>
      </w:r>
      <w:r>
        <w:tab/>
        <w:t>to require a person who holds, or has applied for, a mining tenement to have a designated tenement contact for the mining tenement or application;</w:t>
      </w:r>
    </w:p>
    <w:p>
      <w:pPr>
        <w:pStyle w:val="Indenti"/>
      </w:pPr>
      <w:r>
        <w:tab/>
        <w:t>(ii)</w:t>
      </w:r>
      <w:r>
        <w:tab/>
        <w:t>to provide the manner in which designated tenement contacts are to be nominated for mining tenements, or applications for mining tenements, by persons who hold, or have applied for, mining tenements;</w:t>
      </w:r>
    </w:p>
    <w:p>
      <w:pPr>
        <w:pStyle w:val="Indenti"/>
      </w:pPr>
      <w:r>
        <w:tab/>
        <w:t>(iii)</w:t>
      </w:r>
      <w:r>
        <w:tab/>
        <w:t>to provide for matters relating to the provision, updating and accurate recording of particulars relating to designated tenement contacts;</w:t>
      </w:r>
    </w:p>
    <w:p>
      <w:pPr>
        <w:pStyle w:val="Indenta"/>
      </w:pPr>
      <w:r>
        <w:tab/>
        <w:t>(ed)</w:t>
      </w:r>
      <w:r>
        <w:tab/>
        <w:t>provide for matters relating to the giving of information, a document, a notice or a notification required or permitted to be given under this Act (including the giving of the information or the document, notice or notification in electronic form);</w:t>
      </w:r>
    </w:p>
    <w:p>
      <w:pPr>
        <w:pStyle w:val="Indenta"/>
      </w:pPr>
      <w:r>
        <w:tab/>
        <w:t>(ef)</w:t>
      </w:r>
      <w:r>
        <w:tab/>
        <w:t>provide for the time at which information, a document, a notice or a notification is taken to have been given;</w:t>
      </w:r>
    </w:p>
    <w:p>
      <w:pPr>
        <w:pStyle w:val="Indenta"/>
      </w:pPr>
      <w:r>
        <w:tab/>
        <w:t>(eg)</w:t>
      </w:r>
      <w:r>
        <w:tab/>
        <w:t>prescribe the means of satisfying a requirement under this Act in relation to information, a document, a notice or a notification in writing if the information, document, notice or notification is given in electronic form;</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lastRenderedPageBreak/>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Ednotepara"/>
      </w:pPr>
      <w:r>
        <w:tab/>
        <w:t>[(gb)</w:t>
      </w:r>
      <w:r>
        <w:tab/>
        <w:t>deleted]</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w:t>
      </w:r>
    </w:p>
    <w:p>
      <w:pPr>
        <w:pStyle w:val="Indenti"/>
        <w:rPr>
          <w:snapToGrid w:val="0"/>
        </w:rPr>
      </w:pPr>
      <w:r>
        <w:rPr>
          <w:snapToGrid w:val="0"/>
        </w:rPr>
        <w:tab/>
        <w:t>(i)</w:t>
      </w:r>
      <w:r>
        <w:rPr>
          <w:snapToGrid w:val="0"/>
        </w:rPr>
        <w:tab/>
        <w:t xml:space="preserve">requiring that surveying to be carried out by a surveyor (in this paragraph referred to as </w:t>
      </w:r>
      <w:r>
        <w:t xml:space="preserve">the </w:t>
      </w:r>
      <w:r>
        <w:rPr>
          <w:rStyle w:val="CharDefText"/>
        </w:rPr>
        <w:t>approved surveyor</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lastRenderedPageBreak/>
        <w:tab/>
        <w:t>(iii)</w:t>
      </w:r>
      <w:r>
        <w:rPr>
          <w:snapToGrid w:val="0"/>
        </w:rPr>
        <w:tab/>
        <w:t xml:space="preserve">the hearing by the warden of disputes arising during the course of that surveying concerning the positions of pegs or otherwise, or of objections to the survey of a mining tenement or of land the subject of an application for a mining </w:t>
      </w:r>
      <w:r>
        <w:t>tenement, prescribing fees for the lodgment of notices relating to those disputes or objections,</w:t>
      </w:r>
      <w:r>
        <w:rPr>
          <w:snapToGrid w:val="0"/>
        </w:rPr>
        <w:t xml:space="preserve">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w:t>
      </w:r>
      <w:r>
        <w:t xml:space="preserve"> surveys;</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 xml:space="preserve">letting, encumbrancing or otherwise dealing with </w:t>
      </w:r>
      <w:r>
        <w:rPr>
          <w:snapToGrid w:val="0"/>
        </w:rPr>
        <w:lastRenderedPageBreak/>
        <w:t>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w:t>
      </w:r>
      <w:r>
        <w:t xml:space="preserve">by a legal costs determination made under the </w:t>
      </w:r>
      <w:r>
        <w:rPr>
          <w:i/>
        </w:rPr>
        <w:t>Legal Profession Uniform Law Application Act 2022</w:t>
      </w:r>
      <w:r>
        <w:t xml:space="preserve"> section 133 </w:t>
      </w:r>
      <w:r>
        <w:rPr>
          <w:snapToGrid w:val="0"/>
        </w:rPr>
        <w:t>and of appeals therefrom and the allowances to witnesses in those courts;</w:t>
      </w:r>
    </w:p>
    <w:p>
      <w:pPr>
        <w:pStyle w:val="Indenta"/>
      </w:pPr>
      <w:r>
        <w:tab/>
        <w:t>(ra)</w:t>
      </w:r>
      <w:r>
        <w:tab/>
        <w:t>without limiting paragraph (a), prescribe and regulate the powers, functions and duties of the warden in proceedings in respect of an application or objection under Part IV (</w:t>
      </w:r>
      <w:r>
        <w:rPr>
          <w:rStyle w:val="CharDefText"/>
        </w:rPr>
        <w:t>Part IV proceedings</w:t>
      </w:r>
      <w:r>
        <w:t>), including powers to order costs and require security for costs;</w:t>
      </w:r>
    </w:p>
    <w:p>
      <w:pPr>
        <w:pStyle w:val="Indenta"/>
      </w:pPr>
      <w:r>
        <w:tab/>
        <w:t>(rb)</w:t>
      </w:r>
      <w:r>
        <w:tab/>
        <w:t>prescribe and regulate the practice and procedure to be followed in Part IV proceedings;</w:t>
      </w:r>
    </w:p>
    <w:p>
      <w:pPr>
        <w:pStyle w:val="Indenta"/>
      </w:pPr>
      <w:r>
        <w:tab/>
        <w:t>(rca)</w:t>
      </w:r>
      <w:r>
        <w:tab/>
        <w:t>provide for documents for use in Part IV proceedings to be lodged with or issued by the warden, or served, in electronic form;</w:t>
      </w:r>
    </w:p>
    <w:p>
      <w:pPr>
        <w:pStyle w:val="Indenta"/>
      </w:pPr>
      <w:r>
        <w:tab/>
        <w:t>(rc)</w:t>
      </w:r>
      <w:r>
        <w:tab/>
        <w:t>prescribe a scale of costs for Part IV proceedings and provide for the taxation and recovery of costs in those proceedings;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 xml:space="preserve">regulate the way in which drill cores obtained from mining tenements are to be stored and dealt with and </w:t>
      </w:r>
      <w:r>
        <w:rPr>
          <w:snapToGrid w:val="0"/>
        </w:rPr>
        <w:lastRenderedPageBreak/>
        <w:t>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spacing w:before="200"/>
      </w:pPr>
      <w:r>
        <w:tab/>
        <w:t>(2a)</w:t>
      </w:r>
      <w:r>
        <w:tab/>
        <w:t>Subsection (2)(x) applies to information irrespective of when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keepNext/>
      </w:pPr>
      <w:r>
        <w:tab/>
        <w:t>(3A)</w:t>
      </w:r>
      <w:r>
        <w:tab/>
        <w:t xml:space="preserve">In subsection (2) — </w:t>
      </w:r>
    </w:p>
    <w:p>
      <w:pPr>
        <w:pStyle w:val="Defstart"/>
        <w:keepNext/>
      </w:pPr>
      <w:r>
        <w:tab/>
      </w:r>
      <w:r>
        <w:rPr>
          <w:rStyle w:val="CharDefText"/>
        </w:rPr>
        <w:t>mining tenement document</w:t>
      </w:r>
      <w:r>
        <w:t xml:space="preserve"> means — </w:t>
      </w:r>
    </w:p>
    <w:p>
      <w:pPr>
        <w:pStyle w:val="Defpara"/>
      </w:pPr>
      <w:r>
        <w:tab/>
        <w:t>(a)</w:t>
      </w:r>
      <w:r>
        <w:tab/>
        <w:t>an application for a mining tenement; or</w:t>
      </w:r>
    </w:p>
    <w:p>
      <w:pPr>
        <w:pStyle w:val="Defpara"/>
      </w:pPr>
      <w:r>
        <w:tab/>
        <w:t>(b)</w:t>
      </w:r>
      <w:r>
        <w:tab/>
        <w:t>an agreement, claim, notice of objection, security, or any other document, in respect of a mining tenement.</w:t>
      </w:r>
    </w:p>
    <w:p>
      <w:pPr>
        <w:pStyle w:val="Subsection"/>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Subsection"/>
      </w:pPr>
      <w:r>
        <w:lastRenderedPageBreak/>
        <w:tab/>
        <w:t>(4)</w:t>
      </w:r>
      <w:r>
        <w:tab/>
        <w:t>Regulations made under subsection (2)(ra) may apply the provisions of sections 142 and 146 with such modifications as are prescribed.</w:t>
      </w:r>
    </w:p>
    <w:p>
      <w:pPr>
        <w:pStyle w:val="Subsection"/>
        <w:keepNext/>
        <w:keepLines/>
        <w:rPr>
          <w:snapToGrid w:val="0"/>
        </w:rPr>
      </w:pPr>
      <w:r>
        <w:rPr>
          <w:snapToGrid w:val="0"/>
        </w:rPr>
        <w:tab/>
        <w:t>(5)</w:t>
      </w:r>
      <w:r>
        <w:rPr>
          <w:snapToGrid w:val="0"/>
        </w:rPr>
        <w:tab/>
        <w:t>A regulation may require any matter or thing to be verified by statutory declaration.</w:t>
      </w:r>
    </w:p>
    <w:p>
      <w:pPr>
        <w:pStyle w:val="Footnotesection"/>
        <w:keepLines w:val="0"/>
      </w:pPr>
      <w:r>
        <w:tab/>
        <w:t>[Section 162 amended: No. 52 of 1983 s. 6; No. 100 of 1985 s. 109; No. 105 of 1986 s. 26; No. 65 of 1987 s. 40; No. 22 of 1990 s. 38; No. 37 of 1993 s. 24 and 28(1); No. 58 of 1994 s. 51; No. 54 of 1996 s. 22; No. 49 of 2000 s. 86; No. 63 of 2000 s. 8; No. 15 of 2002 s. 28; No. 65 of 2003 s. 52; No. 39 of 2004 s. 84 and 100; No. 21 of 2008 s. 681; No. 12 of 2010 s. 42; No. 51 of 2012 s. 41; No. 44 of 2016 s. 24; No. 9 of 2022 s. 424; No. 39 of 2022 s. 16.]</w:t>
      </w:r>
    </w:p>
    <w:p>
      <w:pPr>
        <w:pStyle w:val="Heading5"/>
      </w:pPr>
      <w:bookmarkStart w:id="294" w:name="_Toc202366285"/>
      <w:r>
        <w:rPr>
          <w:rStyle w:val="CharSectno"/>
        </w:rPr>
        <w:t>163</w:t>
      </w:r>
      <w:r>
        <w:t>.</w:t>
      </w:r>
      <w:r>
        <w:tab/>
        <w:t>Review of Act</w:t>
      </w:r>
      <w:bookmarkEnd w:id="294"/>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No. 39 of 2004 s. 101.]</w:t>
      </w:r>
    </w:p>
    <w:p>
      <w:pPr>
        <w:pStyle w:val="yEdnoteschedule"/>
      </w:pPr>
      <w:r>
        <w:t>[First Schedule omitted under the Reprints Act 1984 s. 7(4)(e).]</w:t>
      </w:r>
    </w:p>
    <w:p>
      <w:pPr>
        <w:rPr>
          <w:rStyle w:val="CharDivText"/>
        </w:rPr>
        <w:sectPr>
          <w:headerReference w:type="even" r:id="rId20"/>
          <w:headerReference w:type="default" r:id="rId21"/>
          <w:headerReference w:type="first" r:id="rId22"/>
          <w:pgSz w:w="11907" w:h="16840" w:code="9"/>
          <w:pgMar w:top="2381" w:right="2409" w:bottom="3543" w:left="2409" w:header="720" w:footer="3544" w:gutter="0"/>
          <w:pgNumType w:start="1"/>
          <w:cols w:space="720"/>
          <w:noEndnote/>
          <w:titlePg/>
          <w:docGrid w:linePitch="326"/>
        </w:sectPr>
      </w:pPr>
    </w:p>
    <w:p>
      <w:pPr>
        <w:pStyle w:val="yScheduleHeading"/>
        <w:outlineLvl w:val="0"/>
      </w:pPr>
      <w:bookmarkStart w:id="295" w:name="_Toc202186830"/>
      <w:bookmarkStart w:id="296" w:name="_Toc202366286"/>
      <w:r>
        <w:rPr>
          <w:rStyle w:val="CharSchNo"/>
        </w:rPr>
        <w:lastRenderedPageBreak/>
        <w:t>Second Schedule</w:t>
      </w:r>
      <w:r>
        <w:t> — </w:t>
      </w:r>
      <w:r>
        <w:rPr>
          <w:rStyle w:val="CharSchText"/>
        </w:rPr>
        <w:t>Transitional provisions</w:t>
      </w:r>
      <w:bookmarkEnd w:id="295"/>
      <w:bookmarkEnd w:id="296"/>
    </w:p>
    <w:p>
      <w:pPr>
        <w:pStyle w:val="yShoulderClause"/>
        <w:rPr>
          <w:snapToGrid w:val="0"/>
        </w:rPr>
      </w:pPr>
      <w:r>
        <w:rPr>
          <w:snapToGrid w:val="0"/>
        </w:rPr>
        <w:t>[s. 4]</w:t>
      </w:r>
    </w:p>
    <w:p>
      <w:pPr>
        <w:pStyle w:val="yFootnoteheading"/>
        <w:rPr>
          <w:snapToGrid w:val="0"/>
        </w:rPr>
      </w:pPr>
      <w:r>
        <w:rPr>
          <w:snapToGrid w:val="0"/>
        </w:rPr>
        <w:tab/>
        <w:t>[Heading inserted: No. 69 of 1981 s. 29; amended: No. 19 of 2010 s. 4.]</w:t>
      </w:r>
    </w:p>
    <w:p>
      <w:pPr>
        <w:pStyle w:val="yHeading3"/>
      </w:pPr>
      <w:bookmarkStart w:id="297" w:name="_Toc202186831"/>
      <w:bookmarkStart w:id="298" w:name="_Toc202366287"/>
      <w:r>
        <w:rPr>
          <w:rStyle w:val="CharSDivNo"/>
        </w:rPr>
        <w:t>Division 1</w:t>
      </w:r>
      <w:r>
        <w:rPr>
          <w:b w:val="0"/>
        </w:rPr>
        <w:t> — </w:t>
      </w:r>
      <w:r>
        <w:rPr>
          <w:rStyle w:val="CharSDivText"/>
        </w:rPr>
        <w:t>Provisions relating to transition from repealed Act</w:t>
      </w:r>
      <w:bookmarkEnd w:id="297"/>
      <w:bookmarkEnd w:id="298"/>
    </w:p>
    <w:p>
      <w:pPr>
        <w:pStyle w:val="yFootnoteheading"/>
        <w:rPr>
          <w:snapToGrid w:val="0"/>
        </w:rPr>
      </w:pPr>
      <w:r>
        <w:rPr>
          <w:snapToGrid w:val="0"/>
        </w:rPr>
        <w:tab/>
        <w:t>[Heading inserted: No. 51 of 2012 s. 42.]</w:t>
      </w:r>
    </w:p>
    <w:p>
      <w:pPr>
        <w:pStyle w:val="yHeading5"/>
      </w:pPr>
      <w:bookmarkStart w:id="299" w:name="_Toc202366288"/>
      <w:r>
        <w:rPr>
          <w:rStyle w:val="CharSClsNo"/>
        </w:rPr>
        <w:t>1</w:t>
      </w:r>
      <w:r>
        <w:t>.</w:t>
      </w:r>
      <w:r>
        <w:tab/>
        <w:t>Continuation of certain temporary reserves and rights of occupancy</w:t>
      </w:r>
      <w:bookmarkEnd w:id="299"/>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 xml:space="preserve">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w:t>
      </w:r>
      <w:r>
        <w:rPr>
          <w:rFonts w:ascii="Times" w:hAnsi="Times"/>
          <w:snapToGrid w:val="0"/>
        </w:rPr>
        <w:lastRenderedPageBreak/>
        <w:t>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 No. 69 of 1981 s. 29; amended: No. 122 of 1982 s. 30(a).]</w:t>
      </w:r>
    </w:p>
    <w:p>
      <w:pPr>
        <w:pStyle w:val="yHeading5"/>
      </w:pPr>
      <w:bookmarkStart w:id="300" w:name="_Toc202366289"/>
      <w:r>
        <w:rPr>
          <w:rStyle w:val="CharSClsNo"/>
        </w:rPr>
        <w:t>2</w:t>
      </w:r>
      <w:r>
        <w:t>.</w:t>
      </w:r>
      <w:r>
        <w:tab/>
        <w:t>Certain gold mining leases, coal mining leases and mineral leases to become mining leases</w:t>
      </w:r>
      <w:bookmarkEnd w:id="300"/>
    </w:p>
    <w:p>
      <w:pPr>
        <w:pStyle w:val="ySubsection"/>
        <w:spacing w:before="200"/>
        <w:rPr>
          <w:snapToGrid w:val="0"/>
        </w:rPr>
      </w:pPr>
      <w:r>
        <w:rPr>
          <w:snapToGrid w:val="0"/>
        </w:rPr>
        <w:tab/>
        <w:t>(1)</w:t>
      </w:r>
      <w:r>
        <w:rPr>
          <w:snapToGrid w:val="0"/>
        </w:rPr>
        <w:tab/>
        <w:t xml:space="preserve">Every gold mining lease, coal mining lease, or mineral lease granted under section 42, 48 or 61 or pursuant to section 153 of the repealed </w:t>
      </w:r>
      <w:r>
        <w:rPr>
          <w:snapToGrid w:val="0"/>
        </w:rPr>
        <w:lastRenderedPageBreak/>
        <w:t>Act and in force immediately before the commencing date,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lastRenderedPageBreak/>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r>
        <w:tab/>
        <w:t>[Clause 2 inserted: No. 69 of 1981 s. 29; amended: No. 100 of 1985 s. 110(a); amended: Gazette 18 Dec 1981 p. 5274; 16 Jul 1982 p. 2829.]</w:t>
      </w:r>
    </w:p>
    <w:p>
      <w:pPr>
        <w:pStyle w:val="yEdnotesection"/>
        <w:spacing w:before="200"/>
      </w:pPr>
      <w:r>
        <w:t>[</w:t>
      </w:r>
      <w:r>
        <w:rPr>
          <w:b/>
        </w:rPr>
        <w:t>2A.</w:t>
      </w:r>
      <w:r>
        <w:tab/>
        <w:t>Deleted: Gazette 15 May 1987 p. 2161.]</w:t>
      </w:r>
    </w:p>
    <w:p>
      <w:pPr>
        <w:pStyle w:val="yHeading5"/>
      </w:pPr>
      <w:bookmarkStart w:id="301" w:name="_Toc202366290"/>
      <w:r>
        <w:rPr>
          <w:rStyle w:val="CharSClsNo"/>
        </w:rPr>
        <w:t>3</w:t>
      </w:r>
      <w:r>
        <w:t>.</w:t>
      </w:r>
      <w:r>
        <w:tab/>
        <w:t>Rights conferred on holders of certain mineral claims and dredging claims</w:t>
      </w:r>
      <w:bookmarkEnd w:id="301"/>
    </w:p>
    <w:p>
      <w:pPr>
        <w:pStyle w:val="ySubsection"/>
        <w:spacing w:before="120"/>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spacing w:before="120"/>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spacing w:before="120"/>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lastRenderedPageBreak/>
        <w:tab/>
        <w:t>[Clause 3 inserted: No. 69 of 1981 s. 29; amended: No. 122 of 1982 s. 30(b).]</w:t>
      </w:r>
    </w:p>
    <w:p>
      <w:pPr>
        <w:pStyle w:val="yHeading5"/>
      </w:pPr>
      <w:bookmarkStart w:id="302" w:name="_Toc202366291"/>
      <w:r>
        <w:rPr>
          <w:rStyle w:val="CharSClsNo"/>
        </w:rPr>
        <w:t>4</w:t>
      </w:r>
      <w:r>
        <w:t>.</w:t>
      </w:r>
      <w:r>
        <w:tab/>
        <w:t>Rights conferred on holders of certain miners’ homestead leases, residential leases, residence areas, business areas and garden areas</w:t>
      </w:r>
      <w:bookmarkEnd w:id="302"/>
    </w:p>
    <w:p>
      <w:pPr>
        <w:pStyle w:val="ySubsection"/>
        <w:rPr>
          <w:snapToGrid w:val="0"/>
        </w:rPr>
      </w:pPr>
      <w:r>
        <w:rPr>
          <w:snapToGrid w:val="0"/>
        </w:rPr>
        <w:tab/>
      </w:r>
      <w:r>
        <w:rPr>
          <w:snapToGrid w:val="0"/>
        </w:rPr>
        <w:tab/>
        <w:t xml:space="preserve">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 and on the Minister for Mines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 issuing a certificate to that effect to the Minister for Lands, the Minister for Lands may grant under the </w:t>
      </w:r>
      <w:r>
        <w:rPr>
          <w:i/>
          <w:snapToGrid w:val="0"/>
        </w:rPr>
        <w:t>Land Act 1933</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rPr>
        <w:t xml:space="preserve"> shall be read and construed with such modifications as are necessary and, without limiting the generality thereof, shall be read and construed with the following particular modifications —</w:t>
      </w:r>
    </w:p>
    <w:p>
      <w:pPr>
        <w:pStyle w:val="yIndenta"/>
        <w:rPr>
          <w:snapToGrid w:val="0"/>
        </w:rPr>
      </w:pPr>
      <w:r>
        <w:rPr>
          <w:snapToGrid w:val="0"/>
        </w:rPr>
        <w:tab/>
        <w:t>(a)</w:t>
      </w:r>
      <w:r>
        <w:rPr>
          <w:snapToGrid w:val="0"/>
        </w:rPr>
        <w:tab/>
        <w:t>the substitution for subsection (2) of section 45A of the following subsection —</w:t>
      </w:r>
    </w:p>
    <w:p>
      <w:pPr>
        <w:pStyle w:val="MiscOpen"/>
        <w:tabs>
          <w:tab w:val="clear" w:pos="893"/>
          <w:tab w:val="left" w:pos="2268"/>
        </w:tabs>
        <w:ind w:left="1701"/>
        <w:rPr>
          <w:snapToGrid w:val="0"/>
        </w:rPr>
      </w:pPr>
      <w:r>
        <w:rPr>
          <w:snapToGrid w:val="0"/>
        </w:rPr>
        <w:t>“</w:t>
      </w:r>
    </w:p>
    <w:p>
      <w:pPr>
        <w:pStyle w:val="z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lastRenderedPageBreak/>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rPr>
        <w:t xml:space="preserve"> notwithstanding the land has not been declared open for selection under that Part.</w:t>
      </w:r>
    </w:p>
    <w:p>
      <w:pPr>
        <w:pStyle w:val="yFootnotesection"/>
      </w:pPr>
      <w:r>
        <w:tab/>
        <w:t>[Clause 4 inserted: No. 69 of 1981 s. 29; amended: No. 126 of 1987 s. 124.]</w:t>
      </w:r>
    </w:p>
    <w:p>
      <w:pPr>
        <w:pStyle w:val="yHeading5"/>
      </w:pPr>
      <w:bookmarkStart w:id="303" w:name="_Toc202366292"/>
      <w:r>
        <w:rPr>
          <w:rStyle w:val="CharSClsNo"/>
        </w:rPr>
        <w:t>5</w:t>
      </w:r>
      <w:r>
        <w:t>.</w:t>
      </w:r>
      <w:r>
        <w:tab/>
        <w:t>Continuation of mining tenements held by virtue of miners’ rights</w:t>
      </w:r>
      <w:bookmarkEnd w:id="303"/>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No. 69 of 1981 s. 29.]</w:t>
      </w:r>
    </w:p>
    <w:p>
      <w:pPr>
        <w:pStyle w:val="yHeading5"/>
      </w:pPr>
      <w:bookmarkStart w:id="304" w:name="_Toc202366293"/>
      <w:r>
        <w:rPr>
          <w:rStyle w:val="CharSClsNo"/>
        </w:rPr>
        <w:t>6</w:t>
      </w:r>
      <w:r>
        <w:t>.</w:t>
      </w:r>
      <w:r>
        <w:tab/>
        <w:t>Temporary continuation of certain machinery areas, tailings areas, quarrying areas and water rights</w:t>
      </w:r>
      <w:bookmarkEnd w:id="304"/>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 or</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 xml:space="preserve">a water right in force by virtue of subclause (1) may, while the water right is so in force, apply to the Minister for a </w:t>
      </w:r>
      <w:r>
        <w:rPr>
          <w:snapToGrid w:val="0"/>
        </w:rPr>
        <w:lastRenderedPageBreak/>
        <w:t>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 No. 69 of 1981 s. 29; amended: No. 122 of 1982 s. 30(c); No. 100 of 1985 s. 110(c).]</w:t>
      </w:r>
    </w:p>
    <w:p>
      <w:pPr>
        <w:pStyle w:val="yHeading5"/>
      </w:pPr>
      <w:bookmarkStart w:id="305" w:name="_Toc202366294"/>
      <w:r>
        <w:rPr>
          <w:rStyle w:val="CharSClsNo"/>
        </w:rPr>
        <w:t>7</w:t>
      </w:r>
      <w:r>
        <w:t>.</w:t>
      </w:r>
      <w:r>
        <w:tab/>
        <w:t>Continuation of certain licences</w:t>
      </w:r>
      <w:bookmarkEnd w:id="305"/>
    </w:p>
    <w:p>
      <w:pPr>
        <w:pStyle w:val="ySubsection"/>
        <w:keepNext/>
        <w:rPr>
          <w:snapToGrid w:val="0"/>
        </w:rPr>
      </w:pPr>
      <w:r>
        <w:rPr>
          <w:snapToGrid w:val="0"/>
        </w:rPr>
        <w:tab/>
        <w:t>(1)</w:t>
      </w:r>
      <w:r>
        <w:rPr>
          <w:snapToGrid w:val="0"/>
        </w:rPr>
        <w:tab/>
        <w:t>A licence which was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keepNext/>
        <w:rPr>
          <w:snapToGrid w:val="0"/>
        </w:rPr>
      </w:pPr>
      <w:r>
        <w:rPr>
          <w:snapToGrid w:val="0"/>
        </w:rPr>
        <w:lastRenderedPageBreak/>
        <w:tab/>
        <w:t>(b)</w:t>
      </w:r>
      <w:r>
        <w:rPr>
          <w:snapToGrid w:val="0"/>
        </w:rPr>
        <w:tab/>
        <w:t>in the case of such an application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w:t>
      </w:r>
    </w:p>
    <w:p>
      <w:pPr>
        <w:pStyle w:val="yIndenta"/>
        <w:rPr>
          <w:snapToGrid w:val="0"/>
        </w:rPr>
      </w:pPr>
      <w:r>
        <w:rPr>
          <w:snapToGrid w:val="0"/>
        </w:rPr>
        <w:tab/>
        <w:t>(a)</w:t>
      </w:r>
      <w:r>
        <w:rPr>
          <w:snapToGrid w:val="0"/>
        </w:rPr>
        <w:tab/>
        <w:t>to treat tailings upon the land; or</w:t>
      </w:r>
    </w:p>
    <w:p>
      <w:pPr>
        <w:pStyle w:val="yIndenta"/>
        <w:rPr>
          <w:snapToGrid w:val="0"/>
        </w:rPr>
      </w:pPr>
      <w:r>
        <w:rPr>
          <w:snapToGrid w:val="0"/>
        </w:rPr>
        <w:tab/>
        <w:t>(b)</w:t>
      </w:r>
      <w:r>
        <w:rPr>
          <w:snapToGrid w:val="0"/>
        </w:rPr>
        <w:tab/>
        <w:t>to remove, and treat, tailings from the land; or</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lastRenderedPageBreak/>
        <w:tab/>
        <w:t>[Clause 7 inserted: No. 69 of 1981 s. 29; amended: No. 122 of 1982 s. 30(d); No. 37 of 1993 s. 25; amended: Gazette 20 Nov 1987 p. 4239.]</w:t>
      </w:r>
    </w:p>
    <w:p>
      <w:pPr>
        <w:pStyle w:val="yHeading5"/>
      </w:pPr>
      <w:bookmarkStart w:id="306" w:name="_Toc202366295"/>
      <w:r>
        <w:rPr>
          <w:rStyle w:val="CharSClsNo"/>
        </w:rPr>
        <w:t>8</w:t>
      </w:r>
      <w:r>
        <w:t>.</w:t>
      </w:r>
      <w:r>
        <w:tab/>
        <w:t>Disposal of pending applications for mining tenements</w:t>
      </w:r>
      <w:bookmarkEnd w:id="306"/>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w:t>
      </w:r>
    </w:p>
    <w:p>
      <w:pPr>
        <w:pStyle w:val="yIndenta"/>
        <w:rPr>
          <w:snapToGrid w:val="0"/>
        </w:rPr>
      </w:pPr>
      <w:r>
        <w:rPr>
          <w:snapToGrid w:val="0"/>
        </w:rPr>
        <w:tab/>
        <w:t>(a)</w:t>
      </w:r>
      <w:r>
        <w:rPr>
          <w:snapToGrid w:val="0"/>
        </w:rPr>
        <w:tab/>
        <w:t>a miner’s homestead lease; or</w:t>
      </w:r>
    </w:p>
    <w:p>
      <w:pPr>
        <w:pStyle w:val="yIndenta"/>
        <w:rPr>
          <w:snapToGrid w:val="0"/>
        </w:rPr>
      </w:pPr>
      <w:r>
        <w:rPr>
          <w:snapToGrid w:val="0"/>
        </w:rPr>
        <w:tab/>
        <w:t>(b)</w:t>
      </w:r>
      <w:r>
        <w:rPr>
          <w:snapToGrid w:val="0"/>
        </w:rPr>
        <w:tab/>
        <w:t>a residential lease; or</w:t>
      </w:r>
    </w:p>
    <w:p>
      <w:pPr>
        <w:pStyle w:val="yIndenta"/>
        <w:rPr>
          <w:snapToGrid w:val="0"/>
        </w:rPr>
      </w:pPr>
      <w:r>
        <w:rPr>
          <w:snapToGrid w:val="0"/>
        </w:rPr>
        <w:tab/>
        <w:t>(c)</w:t>
      </w:r>
      <w:r>
        <w:rPr>
          <w:snapToGrid w:val="0"/>
        </w:rPr>
        <w:tab/>
        <w:t>a residence area; or</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w:t>
      </w:r>
    </w:p>
    <w:p>
      <w:pPr>
        <w:pStyle w:val="yIndenta"/>
        <w:rPr>
          <w:snapToGrid w:val="0"/>
        </w:rPr>
      </w:pPr>
      <w:r>
        <w:rPr>
          <w:snapToGrid w:val="0"/>
        </w:rPr>
        <w:tab/>
        <w:t>(a)</w:t>
      </w:r>
      <w:r>
        <w:rPr>
          <w:snapToGrid w:val="0"/>
        </w:rPr>
        <w:tab/>
        <w:t xml:space="preserve">the mining tenement is, subject to paragraph (b), deemed for the purposes of this Schedule to have been granted under the repealed Act; </w:t>
      </w:r>
    </w:p>
    <w:p>
      <w:pPr>
        <w:pStyle w:val="yIndenta"/>
        <w:rPr>
          <w:snapToGrid w:val="0"/>
        </w:rPr>
      </w:pPr>
      <w:r>
        <w:rPr>
          <w:snapToGrid w:val="0"/>
        </w:rPr>
        <w:tab/>
        <w:t>(b)</w:t>
      </w:r>
      <w:r>
        <w:rPr>
          <w:snapToGrid w:val="0"/>
        </w:rPr>
        <w:tab/>
        <w:t xml:space="preserve">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w:t>
      </w:r>
      <w:r>
        <w:rPr>
          <w:snapToGrid w:val="0"/>
        </w:rPr>
        <w:lastRenderedPageBreak/>
        <w:t>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 xml:space="preserve">An application for a miner’s homestead lease, a residential lease, a residence area, a business area or a garden area, which application was pending immediately before the commencing date, lapses on the </w:t>
      </w:r>
      <w:r>
        <w:rPr>
          <w:snapToGrid w:val="0"/>
        </w:rPr>
        <w:lastRenderedPageBreak/>
        <w:t>commencing date and any fees paid in respect of that application shall be refunded to the applicant.</w:t>
      </w:r>
    </w:p>
    <w:p>
      <w:pPr>
        <w:pStyle w:val="yFootnotesection"/>
        <w:keepLines w:val="0"/>
      </w:pPr>
      <w:r>
        <w:tab/>
        <w:t>[Clause 8 inserted: No. 69 of 1981 s. 29; amended: No. 122 of 1982 s. 30(e); No. 100 of 1985 s. 110(d); No. 105 of 1986 s. 27; amended: Gazette 18 Dec 1981 p. 5274.]</w:t>
      </w:r>
    </w:p>
    <w:p>
      <w:pPr>
        <w:pStyle w:val="yHeading5"/>
      </w:pPr>
      <w:bookmarkStart w:id="307" w:name="_Toc202366296"/>
      <w:r>
        <w:rPr>
          <w:rStyle w:val="CharSClsNo"/>
        </w:rPr>
        <w:t>9</w:t>
      </w:r>
      <w:r>
        <w:t>.</w:t>
      </w:r>
      <w:r>
        <w:tab/>
        <w:t>Rights of holders of certain prospecting areas</w:t>
      </w:r>
      <w:bookmarkEnd w:id="307"/>
    </w:p>
    <w:p>
      <w:pPr>
        <w:pStyle w:val="ySubsection"/>
        <w:spacing w:before="180"/>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spacing w:before="180"/>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spacing w:before="180"/>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 No. 69 of 1981 s. 29; amended: No. 105 of 1986 s. 28.]</w:t>
      </w:r>
    </w:p>
    <w:p>
      <w:pPr>
        <w:pStyle w:val="yHeading5"/>
      </w:pPr>
      <w:bookmarkStart w:id="308" w:name="_Toc202366297"/>
      <w:r>
        <w:rPr>
          <w:rStyle w:val="CharSClsNo"/>
        </w:rPr>
        <w:t>10</w:t>
      </w:r>
      <w:r>
        <w:t>.</w:t>
      </w:r>
      <w:r>
        <w:tab/>
        <w:t>Transitional provisions relating to mortgages</w:t>
      </w:r>
      <w:bookmarkEnd w:id="308"/>
    </w:p>
    <w:p>
      <w:pPr>
        <w:pStyle w:val="ySubsection"/>
        <w:rPr>
          <w:snapToGrid w:val="0"/>
        </w:rPr>
      </w:pPr>
      <w:r>
        <w:rPr>
          <w:snapToGrid w:val="0"/>
        </w:rPr>
        <w:tab/>
        <w:t>(1)</w:t>
      </w:r>
      <w:r>
        <w:rPr>
          <w:snapToGrid w:val="0"/>
        </w:rPr>
        <w:tab/>
        <w:t>Subject to subclause (2), if —</w:t>
      </w:r>
    </w:p>
    <w:p>
      <w:pPr>
        <w:pStyle w:val="yIndenta"/>
        <w:rPr>
          <w:snapToGrid w:val="0"/>
        </w:rPr>
      </w:pPr>
      <w:r>
        <w:rPr>
          <w:snapToGrid w:val="0"/>
        </w:rPr>
        <w:tab/>
        <w:t>(a)</w:t>
      </w:r>
      <w:r>
        <w:rPr>
          <w:snapToGrid w:val="0"/>
        </w:rPr>
        <w:tab/>
        <w:t xml:space="preserve">a mining tenement (in this subclause and in subclause (2) referred to as the </w:t>
      </w:r>
      <w:r>
        <w:rPr>
          <w:rStyle w:val="CharDefText"/>
        </w:rPr>
        <w:t>new mining tenement</w:t>
      </w:r>
      <w:r>
        <w:rPr>
          <w:snapToGrid w:val="0"/>
        </w:rPr>
        <w:t xml:space="preserve">) is granted under this Schedule or section 5(3) in place of one or more mining tenements (in this subclause and in subclause (2) referred to as the </w:t>
      </w:r>
      <w:r>
        <w:rPr>
          <w:rStyle w:val="CharDefText"/>
        </w:rPr>
        <w:t>old mining tenement</w:t>
      </w:r>
      <w:r>
        <w:rPr>
          <w:snapToGrid w:val="0"/>
        </w:rPr>
        <w:t xml:space="preserve"> or the </w:t>
      </w:r>
      <w:r>
        <w:rPr>
          <w:rStyle w:val="CharDefText"/>
        </w:rPr>
        <w:t>old mining tenements</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80"/>
        <w:rPr>
          <w:snapToGrid w:val="0"/>
        </w:rPr>
      </w:pPr>
      <w:r>
        <w:rPr>
          <w:snapToGrid w:val="0"/>
        </w:rPr>
        <w:lastRenderedPageBreak/>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w:t>
      </w:r>
      <w:r>
        <w:rPr>
          <w:snapToGrid w:val="0"/>
          <w:vertAlign w:val="superscript"/>
        </w:rPr>
        <w:t> 4</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spacing w:before="18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4</w:t>
      </w:r>
      <w:r>
        <w:rPr>
          <w:snapToGrid w:val="0"/>
        </w:rPr>
        <w:t>, in the order in which they appeared so registered immediately before their expiry and they shall have priority accordingly.</w:t>
      </w:r>
    </w:p>
    <w:p>
      <w:pPr>
        <w:pStyle w:val="ySubsection"/>
        <w:spacing w:before="180"/>
        <w:rPr>
          <w:snapToGrid w:val="0"/>
        </w:rPr>
      </w:pPr>
      <w:r>
        <w:rPr>
          <w:snapToGrid w:val="0"/>
        </w:rPr>
        <w:tab/>
        <w:t>(3)</w:t>
      </w:r>
      <w:r>
        <w:rPr>
          <w:snapToGrid w:val="0"/>
        </w:rPr>
        <w:tab/>
        <w:t>The holder of a mining tenement under the repealed Act (in this subclause called</w:t>
      </w:r>
      <w:r>
        <w:t xml:space="preserve"> the </w:t>
      </w:r>
      <w:r>
        <w:rPr>
          <w:rStyle w:val="CharDefText"/>
        </w:rPr>
        <w:t>old mining tenement</w:t>
      </w:r>
      <w:r>
        <w:rPr>
          <w:snapToGrid w:val="0"/>
        </w:rPr>
        <w:t>) who is empowered by this Schedule or by section 5(3) to apply for a mining tenement under this Act (in this subclause called</w:t>
      </w:r>
      <w:r>
        <w:t xml:space="preserve"> the </w:t>
      </w:r>
      <w:r>
        <w:rPr>
          <w:rStyle w:val="CharDefText"/>
        </w:rPr>
        <w:t>new mining tenement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8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80"/>
        <w:rPr>
          <w:snapToGrid w:val="0"/>
        </w:rPr>
      </w:pPr>
      <w:r>
        <w:rPr>
          <w:snapToGrid w:val="0"/>
        </w:rPr>
        <w:tab/>
        <w:t>(5)</w:t>
      </w:r>
      <w:r>
        <w:rPr>
          <w:snapToGrid w:val="0"/>
        </w:rPr>
        <w:tab/>
        <w:t>An encumbrance, not being a mortgage, on a mineral claim or dredging claim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80"/>
        <w:rPr>
          <w:snapToGrid w:val="0"/>
        </w:rPr>
      </w:pPr>
      <w:r>
        <w:rPr>
          <w:snapToGrid w:val="0"/>
        </w:rPr>
        <w:lastRenderedPageBreak/>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 No. 69 of 1981 s. 29.]</w:t>
      </w:r>
    </w:p>
    <w:p>
      <w:pPr>
        <w:pStyle w:val="yHeading5"/>
      </w:pPr>
      <w:bookmarkStart w:id="309" w:name="_Toc202366298"/>
      <w:r>
        <w:rPr>
          <w:rStyle w:val="CharSClsNo"/>
        </w:rPr>
        <w:t>11</w:t>
      </w:r>
      <w:r>
        <w:t>.</w:t>
      </w:r>
      <w:r>
        <w:tab/>
        <w:t>Officers</w:t>
      </w:r>
      <w:bookmarkEnd w:id="309"/>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 No. 69 of 1981 s. 29.]</w:t>
      </w:r>
    </w:p>
    <w:p>
      <w:pPr>
        <w:pStyle w:val="yHeading5"/>
      </w:pPr>
      <w:bookmarkStart w:id="310" w:name="_Toc202366299"/>
      <w:r>
        <w:t>12.</w:t>
      </w:r>
      <w:r>
        <w:tab/>
        <w:t>Warden’s courts and warden’s offices</w:t>
      </w:r>
      <w:bookmarkEnd w:id="310"/>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 No. 69 of 1981 s. 29.]</w:t>
      </w:r>
    </w:p>
    <w:p>
      <w:pPr>
        <w:pStyle w:val="yHeading5"/>
      </w:pPr>
      <w:bookmarkStart w:id="311" w:name="_Toc202366300"/>
      <w:r>
        <w:t>13.</w:t>
      </w:r>
      <w:r>
        <w:tab/>
        <w:t>Lodging of certain applications</w:t>
      </w:r>
      <w:bookmarkEnd w:id="311"/>
    </w:p>
    <w:p>
      <w:pPr>
        <w:pStyle w:val="ySubsection"/>
        <w:keepNext/>
        <w:rPr>
          <w:snapToGrid w:val="0"/>
        </w:rPr>
      </w:pPr>
      <w:r>
        <w:rPr>
          <w:snapToGrid w:val="0"/>
        </w:rPr>
        <w:tab/>
      </w:r>
      <w:r>
        <w:rPr>
          <w:snapToGrid w:val="0"/>
        </w:rPr>
        <w:tab/>
        <w:t xml:space="preserve">A person making an application for a mining tenement to the Minister under this Schedule or section 5(3) shall lodge that application </w:t>
      </w:r>
      <w:r>
        <w:rPr>
          <w:sz w:val="23"/>
          <w:szCs w:val="23"/>
        </w:rPr>
        <w:t xml:space="preserve">in the </w:t>
      </w:r>
      <w:r>
        <w:rPr>
          <w:sz w:val="23"/>
          <w:szCs w:val="23"/>
        </w:rPr>
        <w:lastRenderedPageBreak/>
        <w:t>manner provided under and in accordance with this Act in respect of an application for a mining tenement of that kind.</w:t>
      </w:r>
    </w:p>
    <w:p>
      <w:pPr>
        <w:pStyle w:val="yFootnotesection"/>
        <w:keepLines w:val="0"/>
      </w:pPr>
      <w:r>
        <w:tab/>
        <w:t>[Clause 13 inserted: No. 69 of 1981 s. 29; amended: No. 37 of 1993 s. 26; No. 12 of 2010 s. 43; amended: Gazette 22 Jul 2016 p. 3134.]</w:t>
      </w:r>
    </w:p>
    <w:p>
      <w:pPr>
        <w:pStyle w:val="yHeading5"/>
      </w:pPr>
      <w:bookmarkStart w:id="312" w:name="_Toc202366301"/>
      <w:r>
        <w:rPr>
          <w:rStyle w:val="CharSClsNo"/>
        </w:rPr>
        <w:t>13A</w:t>
      </w:r>
      <w:r>
        <w:t>.</w:t>
      </w:r>
      <w:r>
        <w:tab/>
        <w:t>Consents to follow land</w:t>
      </w:r>
      <w:bookmarkEnd w:id="312"/>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 Gazette 15 May 1987 p. 2161</w:t>
      </w:r>
      <w:r>
        <w:noBreakHyphen/>
        <w:t>2.]</w:t>
      </w:r>
    </w:p>
    <w:p>
      <w:pPr>
        <w:pStyle w:val="yHeading5"/>
      </w:pPr>
      <w:bookmarkStart w:id="313" w:name="_Toc202366302"/>
      <w:r>
        <w:rPr>
          <w:rStyle w:val="CharSClsNo"/>
        </w:rPr>
        <w:t>14</w:t>
      </w:r>
      <w:r>
        <w:t>.</w:t>
      </w:r>
      <w:r>
        <w:tab/>
        <w:t>References to repealed Act</w:t>
      </w:r>
      <w:bookmarkEnd w:id="313"/>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 No. 69 of 1981 s. 29.]</w:t>
      </w:r>
    </w:p>
    <w:p>
      <w:pPr>
        <w:pStyle w:val="yHeading5"/>
      </w:pPr>
      <w:bookmarkStart w:id="314" w:name="_Toc202366303"/>
      <w:r>
        <w:rPr>
          <w:rStyle w:val="CharSClsNo"/>
        </w:rPr>
        <w:lastRenderedPageBreak/>
        <w:t>15</w:t>
      </w:r>
      <w:r>
        <w:t>.</w:t>
      </w:r>
      <w:r>
        <w:tab/>
        <w:t>Prevention of anomalies during transitional period</w:t>
      </w:r>
      <w:bookmarkEnd w:id="314"/>
    </w:p>
    <w:p>
      <w:pPr>
        <w:pStyle w:val="ySubsection"/>
        <w:rPr>
          <w:snapToGrid w:val="0"/>
        </w:rPr>
      </w:pPr>
      <w:r>
        <w:rPr>
          <w:snapToGrid w:val="0"/>
        </w:rPr>
        <w:tab/>
      </w:r>
      <w:r>
        <w:rPr>
          <w:snapToGrid w:val="0"/>
        </w:rPr>
        <w:tab/>
        <w:t>If any difficulty arises with respect to the foregoing transitional provisions in this Schedule the Governor may by Order in Council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[Clause 15 inserted: No. 69 of 1981 s. 29; amended: No. 100 of 1985 s. 110(e).]</w:t>
      </w:r>
    </w:p>
    <w:p>
      <w:pPr>
        <w:pStyle w:val="yHeading3"/>
        <w:rPr>
          <w:snapToGrid w:val="0"/>
        </w:rPr>
      </w:pPr>
      <w:bookmarkStart w:id="315" w:name="_Toc202186848"/>
      <w:bookmarkStart w:id="316" w:name="_Toc202366304"/>
      <w:r>
        <w:rPr>
          <w:rStyle w:val="CharSDivNo"/>
        </w:rPr>
        <w:t>Division 2</w:t>
      </w:r>
      <w:r>
        <w:rPr>
          <w:b w:val="0"/>
        </w:rPr>
        <w:t> — </w:t>
      </w:r>
      <w:r>
        <w:rPr>
          <w:rStyle w:val="CharSDivText"/>
        </w:rPr>
        <w:t xml:space="preserve">Provisions relating to </w:t>
      </w:r>
      <w:r>
        <w:rPr>
          <w:rStyle w:val="CharSDivText"/>
          <w:i/>
        </w:rPr>
        <w:t>Mining Amendment Act 2012</w:t>
      </w:r>
      <w:bookmarkEnd w:id="315"/>
      <w:bookmarkEnd w:id="316"/>
    </w:p>
    <w:p>
      <w:pPr>
        <w:pStyle w:val="yFootnoteheading"/>
        <w:rPr>
          <w:snapToGrid w:val="0"/>
        </w:rPr>
      </w:pPr>
      <w:r>
        <w:rPr>
          <w:snapToGrid w:val="0"/>
        </w:rPr>
        <w:tab/>
        <w:t>[Heading inserted: No. 51 of 2012 s. 43.]</w:t>
      </w:r>
    </w:p>
    <w:p>
      <w:pPr>
        <w:pStyle w:val="yHeading5"/>
      </w:pPr>
      <w:bookmarkStart w:id="317" w:name="_Toc202366305"/>
      <w:r>
        <w:rPr>
          <w:rStyle w:val="CharSClsNo"/>
        </w:rPr>
        <w:t>16</w:t>
      </w:r>
      <w:r>
        <w:t>.</w:t>
      </w:r>
      <w:r>
        <w:tab/>
        <w:t>Miner’s rights</w:t>
      </w:r>
      <w:bookmarkEnd w:id="317"/>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15 comes into operation.</w:t>
      </w:r>
    </w:p>
    <w:p>
      <w:pPr>
        <w:pStyle w:val="ySubsection"/>
      </w:pPr>
      <w:r>
        <w:tab/>
        <w:t>(2)</w:t>
      </w:r>
      <w:r>
        <w:tab/>
        <w:t>A miner’s right in force under this Act immediately before commencement day is taken to be a miner’s right issued under section 40C.</w:t>
      </w:r>
    </w:p>
    <w:p>
      <w:pPr>
        <w:pStyle w:val="yFootnotesection"/>
      </w:pPr>
      <w:r>
        <w:tab/>
        <w:t>[Clause 16 inserted: No. 51 of 2012 s. 43.]</w:t>
      </w:r>
    </w:p>
    <w:p>
      <w:pPr>
        <w:pStyle w:val="yHeading5"/>
      </w:pPr>
      <w:bookmarkStart w:id="318" w:name="_Toc202366306"/>
      <w:r>
        <w:rPr>
          <w:rStyle w:val="CharSClsNo"/>
        </w:rPr>
        <w:t>17</w:t>
      </w:r>
      <w:r>
        <w:t>.</w:t>
      </w:r>
      <w:r>
        <w:tab/>
        <w:t>Surrender requirements</w:t>
      </w:r>
      <w:bookmarkEnd w:id="318"/>
      <w:r>
        <w:t xml:space="preserve"> </w:t>
      </w:r>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Mining Amendment Act 2012</w:t>
      </w:r>
      <w:r>
        <w:t xml:space="preserve"> section 20 comes into operation.</w:t>
      </w:r>
    </w:p>
    <w:p>
      <w:pPr>
        <w:pStyle w:val="ySubsection"/>
      </w:pPr>
      <w:r>
        <w:lastRenderedPageBreak/>
        <w:tab/>
        <w:t>(2)</w:t>
      </w:r>
      <w:r>
        <w:tab/>
        <w:t xml:space="preserve">Section 65, as in force immediately before commencement day, applies in relation to an exploration licence if — </w:t>
      </w:r>
    </w:p>
    <w:p>
      <w:pPr>
        <w:pStyle w:val="yIndenta"/>
      </w:pPr>
      <w:r>
        <w:tab/>
        <w:t>(a)</w:t>
      </w:r>
      <w:r>
        <w:tab/>
        <w:t>the licence was granted on an application made after 10 February 2006; and</w:t>
      </w:r>
    </w:p>
    <w:p>
      <w:pPr>
        <w:pStyle w:val="yIndenta"/>
        <w:keepNext/>
      </w:pPr>
      <w:r>
        <w:tab/>
        <w:t>(b)</w:t>
      </w:r>
      <w:r>
        <w:tab/>
        <w:t>an application for deferral under subsection (3b) of that section was made in relation to the licence before commencement day but not determined before that day.</w:t>
      </w:r>
    </w:p>
    <w:p>
      <w:pPr>
        <w:pStyle w:val="yFootnotesection"/>
        <w:keepNext/>
      </w:pPr>
      <w:r>
        <w:tab/>
        <w:t>[Clause 17 inserted: No. 51 of 2012 s. 43.]</w:t>
      </w:r>
    </w:p>
    <w:p>
      <w:pPr>
        <w:pStyle w:val="yHeading5"/>
      </w:pPr>
      <w:bookmarkStart w:id="319" w:name="_Toc202366307"/>
      <w:r>
        <w:rPr>
          <w:rStyle w:val="CharSClsNo"/>
        </w:rPr>
        <w:t>18</w:t>
      </w:r>
      <w:r>
        <w:t>.</w:t>
      </w:r>
      <w:r>
        <w:tab/>
        <w:t>Commonwealth land</w:t>
      </w:r>
      <w:bookmarkEnd w:id="319"/>
    </w:p>
    <w:p>
      <w:pPr>
        <w:pStyle w:val="ySubsection"/>
      </w:pPr>
      <w:r>
        <w:tab/>
        <w:t>(1)</w:t>
      </w:r>
      <w:r>
        <w:tab/>
        <w:t xml:space="preserve">In this clause — </w:t>
      </w:r>
    </w:p>
    <w:p>
      <w:pPr>
        <w:pStyle w:val="yDefstart"/>
      </w:pPr>
      <w:r>
        <w:tab/>
      </w:r>
      <w:r>
        <w:rPr>
          <w:rStyle w:val="CharDefText"/>
        </w:rPr>
        <w:t>commencement day</w:t>
      </w:r>
      <w:r>
        <w:t xml:space="preserve"> means the day the </w:t>
      </w:r>
      <w:r>
        <w:rPr>
          <w:i/>
        </w:rPr>
        <w:t>Mining Amendment Act 2012</w:t>
      </w:r>
      <w:r>
        <w:t xml:space="preserve"> section 13 comes into operation;</w:t>
      </w:r>
    </w:p>
    <w:p>
      <w:pPr>
        <w:pStyle w:val="yDefstart"/>
      </w:pPr>
      <w:r>
        <w:tab/>
      </w:r>
      <w:r>
        <w:rPr>
          <w:rStyle w:val="CharDefText"/>
        </w:rPr>
        <w:t>existing application</w:t>
      </w:r>
      <w:r>
        <w:t xml:space="preserve"> means an application for an exploration licence made but not determined before commencement day;</w:t>
      </w:r>
    </w:p>
    <w:p>
      <w:pPr>
        <w:pStyle w:val="yDefstart"/>
      </w:pPr>
      <w:r>
        <w:tab/>
      </w:r>
      <w:r>
        <w:rPr>
          <w:rStyle w:val="CharDefText"/>
        </w:rPr>
        <w:t>transition period</w:t>
      </w:r>
      <w:r>
        <w:t xml:space="preserve"> means the period beginning on commencement day and ending 3 months after that day.</w:t>
      </w:r>
    </w:p>
    <w:p>
      <w:pPr>
        <w:pStyle w:val="ySubsection"/>
      </w:pPr>
      <w:r>
        <w:tab/>
        <w:t>(2)</w:t>
      </w:r>
      <w:r>
        <w:tab/>
        <w:t xml:space="preserve">During the transition period — </w:t>
      </w:r>
    </w:p>
    <w:p>
      <w:pPr>
        <w:pStyle w:val="yIndenta"/>
      </w:pPr>
      <w:r>
        <w:tab/>
        <w:t>(a)</w:t>
      </w:r>
      <w:r>
        <w:tab/>
        <w:t>a person who has made an existing application in respect of Commonwealth land has a right in priority to a person who has not made such an application to mark out or apply for a mining tenement in respect of the land the subject of the existing application; and</w:t>
      </w:r>
    </w:p>
    <w:p>
      <w:pPr>
        <w:pStyle w:val="yIndenta"/>
      </w:pPr>
      <w:r>
        <w:tab/>
        <w:t>(b)</w:t>
      </w:r>
      <w:r>
        <w:tab/>
        <w:t>if more than one person has made an existing application in respect of the same Commonwealth land, priority is to be determined according to the date and time of the making of the existing applications.</w:t>
      </w:r>
    </w:p>
    <w:p>
      <w:pPr>
        <w:pStyle w:val="yFootnotesection"/>
      </w:pPr>
      <w:r>
        <w:tab/>
        <w:t>[Clause 18 inserted: No. 51 of 2012 s. 43.]</w:t>
      </w:r>
    </w:p>
    <w:p>
      <w:pPr>
        <w:pStyle w:val="yHeading5"/>
      </w:pPr>
      <w:bookmarkStart w:id="320" w:name="_Toc202366308"/>
      <w:r>
        <w:rPr>
          <w:rStyle w:val="CharSClsNo"/>
        </w:rPr>
        <w:t>19</w:t>
      </w:r>
      <w:r>
        <w:t>.</w:t>
      </w:r>
      <w:r>
        <w:tab/>
        <w:t>Time limit for prosecution action</w:t>
      </w:r>
      <w:bookmarkEnd w:id="320"/>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39 comes into operation.</w:t>
      </w:r>
    </w:p>
    <w:p>
      <w:pPr>
        <w:pStyle w:val="ySubsection"/>
      </w:pPr>
      <w:r>
        <w:lastRenderedPageBreak/>
        <w:tab/>
        <w:t>(2)</w:t>
      </w:r>
      <w:r>
        <w:tab/>
        <w:t>Despite section 160B, a prosecution for an offence that is alleged to have been committed before commencement day must be commenced within one year after the day on which the offence is alleged to have been committed.</w:t>
      </w:r>
    </w:p>
    <w:p>
      <w:pPr>
        <w:pStyle w:val="yFootnotesection"/>
      </w:pPr>
      <w:r>
        <w:tab/>
        <w:t>[Clause 19 inserted: No. 51 of 2012 s. 43.]</w:t>
      </w:r>
    </w:p>
    <w:p>
      <w:pPr>
        <w:sectPr>
          <w:headerReference w:type="even" r:id="rId23"/>
          <w:headerReference w:type="default" r:id="rId24"/>
          <w:headerReference w:type="first" r:id="rId25"/>
          <w:pgSz w:w="11907" w:h="16840" w:code="9"/>
          <w:pgMar w:top="2381" w:right="2409" w:bottom="3543" w:left="2409" w:header="720" w:footer="3544" w:gutter="0"/>
          <w:cols w:space="720"/>
          <w:noEndnote/>
          <w:docGrid w:linePitch="326"/>
        </w:sectPr>
      </w:pPr>
    </w:p>
    <w:p>
      <w:pPr>
        <w:pStyle w:val="yScheduleHeading"/>
        <w:outlineLvl w:val="0"/>
      </w:pPr>
      <w:bookmarkStart w:id="322" w:name="_Toc202186853"/>
      <w:bookmarkStart w:id="323" w:name="_Toc202366309"/>
      <w:r>
        <w:rPr>
          <w:rStyle w:val="CharSchNo"/>
        </w:rPr>
        <w:lastRenderedPageBreak/>
        <w:t>Third Schedule</w:t>
      </w:r>
      <w:r>
        <w:rPr>
          <w:rStyle w:val="CharSDivNo"/>
        </w:rPr>
        <w:t> </w:t>
      </w:r>
      <w:r>
        <w:t>—</w:t>
      </w:r>
      <w:r>
        <w:rPr>
          <w:rStyle w:val="CharSDivText"/>
        </w:rPr>
        <w:t> </w:t>
      </w:r>
      <w:r>
        <w:rPr>
          <w:rStyle w:val="CharSchText"/>
        </w:rPr>
        <w:t>Private land not open for mining</w:t>
      </w:r>
      <w:bookmarkEnd w:id="322"/>
      <w:bookmarkEnd w:id="323"/>
    </w:p>
    <w:p>
      <w:pPr>
        <w:pStyle w:val="yShoulderClause"/>
        <w:rPr>
          <w:snapToGrid w:val="0"/>
        </w:rPr>
      </w:pPr>
      <w:r>
        <w:rPr>
          <w:snapToGrid w:val="0"/>
        </w:rPr>
        <w:t>[s.</w:t>
      </w:r>
      <w:r>
        <w:rPr>
          <w:rStyle w:val="CharSchText"/>
        </w:rPr>
        <w:t> </w:t>
      </w:r>
      <w:r>
        <w:rPr>
          <w:snapToGrid w:val="0"/>
        </w:rPr>
        <w:t>27]</w:t>
      </w:r>
    </w:p>
    <w:p>
      <w:pPr>
        <w:pStyle w:val="yFootnoteheading"/>
      </w:pPr>
      <w:r>
        <w:tab/>
        <w:t>[Heading amended: No. 19 of 2010 s. 4.]</w:t>
      </w:r>
    </w:p>
    <w:p>
      <w:pPr>
        <w:pStyle w:val="zyMiscellaneousBody"/>
        <w:rPr>
          <w:snapToGrid w:val="0"/>
        </w:rPr>
      </w:pPr>
      <w:r>
        <w:rPr>
          <w:snapToGrid w:val="0"/>
        </w:rPr>
        <w:t>East Locations 36, 41, 48, 51, 53, 55, 57, 59, 32, 35, 39, 40, 42, 44, 45, 50, 37, 61, 62.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81" w:right="2409" w:bottom="3543" w:left="2409" w:header="720" w:footer="3544" w:gutter="0"/>
          <w:cols w:space="720"/>
          <w:noEndnote/>
          <w:docGrid w:linePitch="326"/>
        </w:sectPr>
      </w:pPr>
    </w:p>
    <w:p>
      <w:pPr>
        <w:pStyle w:val="nHeading2"/>
      </w:pPr>
      <w:bookmarkStart w:id="324" w:name="_Toc202186854"/>
      <w:bookmarkStart w:id="325" w:name="_Toc202366310"/>
      <w:r>
        <w:lastRenderedPageBreak/>
        <w:t>Notes</w:t>
      </w:r>
      <w:bookmarkEnd w:id="324"/>
      <w:bookmarkEnd w:id="325"/>
    </w:p>
    <w:p>
      <w:pPr>
        <w:pStyle w:val="nStatement"/>
      </w:pPr>
      <w:r>
        <w:t xml:space="preserve">This is a compilation of the </w:t>
      </w:r>
      <w:r>
        <w:rPr>
          <w:i/>
          <w:noProof/>
        </w:rPr>
        <w:t>Mining Act 1978</w:t>
      </w:r>
      <w:r>
        <w:t xml:space="preserve"> and includes amendments made by other written laws </w:t>
      </w:r>
      <w:r>
        <w:rPr>
          <w:vertAlign w:val="superscript"/>
        </w:rPr>
        <w:t>5</w:t>
      </w:r>
      <w:r>
        <w:t>. For provisions that have come into operation, and for information about any reprints, see the compilation table. For provisions that have not yet come into operation see the uncommenced provisions table.</w:t>
      </w:r>
    </w:p>
    <w:p>
      <w:pPr>
        <w:pStyle w:val="nHeading3"/>
      </w:pPr>
      <w:bookmarkStart w:id="326" w:name="_Toc202366311"/>
      <w:r>
        <w:t>Compilation table</w:t>
      </w:r>
      <w:bookmarkEnd w:id="326"/>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Mining Act 1978</w:t>
            </w:r>
          </w:p>
        </w:tc>
        <w:tc>
          <w:tcPr>
            <w:tcW w:w="1134" w:type="dxa"/>
            <w:tcBorders>
              <w:top w:val="single" w:sz="8" w:space="0" w:color="auto"/>
            </w:tcBorders>
          </w:tcPr>
          <w:p>
            <w:pPr>
              <w:pStyle w:val="nTable"/>
              <w:spacing w:after="40"/>
            </w:pPr>
            <w:r>
              <w:t>107 of 1978</w:t>
            </w:r>
          </w:p>
        </w:tc>
        <w:tc>
          <w:tcPr>
            <w:tcW w:w="1134" w:type="dxa"/>
            <w:tcBorders>
              <w:top w:val="single" w:sz="8" w:space="0" w:color="auto"/>
            </w:tcBorders>
          </w:tcPr>
          <w:p>
            <w:pPr>
              <w:pStyle w:val="nTable"/>
              <w:spacing w:after="40"/>
            </w:pPr>
            <w:r>
              <w:t>8 Dec 1978</w:t>
            </w:r>
          </w:p>
        </w:tc>
        <w:tc>
          <w:tcPr>
            <w:tcW w:w="2552" w:type="dxa"/>
            <w:tcBorders>
              <w:top w:val="single" w:sz="8" w:space="0" w:color="auto"/>
            </w:tcBorders>
          </w:tcPr>
          <w:p>
            <w:pPr>
              <w:pStyle w:val="nTable"/>
              <w:spacing w:after="40"/>
            </w:pPr>
            <w:r>
              <w:t xml:space="preserve">Long title, heading to Pt. I, s. 1 and 2, heading to, and cl. 3 of, the Second Sch: 8 Dec 1978 (see s. 2(1)); </w:t>
            </w:r>
            <w:r>
              <w:br/>
              <w:t xml:space="preserve">Act other than long title, heading to Pt. I, s. 1 and 2, heading to, and cl. 3 of, the Second Sch.: 1 Jan 1982 (see s. 2(2) and </w:t>
            </w:r>
            <w:r>
              <w:rPr>
                <w:i/>
              </w:rPr>
              <w:t>Gazette</w:t>
            </w:r>
            <w:r>
              <w:t xml:space="preserve"> 11 Dec 1981 p. 5085)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(Mining) Act 1981 </w:t>
            </w:r>
            <w:r>
              <w:t>Pt. II</w:t>
            </w:r>
          </w:p>
        </w:tc>
        <w:tc>
          <w:tcPr>
            <w:tcW w:w="1134" w:type="dxa"/>
          </w:tcPr>
          <w:p>
            <w:pPr>
              <w:pStyle w:val="nTable"/>
              <w:spacing w:after="40"/>
            </w:pPr>
            <w:r>
              <w:t>69 of 1981</w:t>
            </w:r>
          </w:p>
        </w:tc>
        <w:tc>
          <w:tcPr>
            <w:tcW w:w="1134" w:type="dxa"/>
          </w:tcPr>
          <w:p>
            <w:pPr>
              <w:pStyle w:val="nTable"/>
              <w:spacing w:after="40"/>
            </w:pPr>
            <w:r>
              <w:t>30 Oct 1981</w:t>
            </w:r>
          </w:p>
        </w:tc>
        <w:tc>
          <w:tcPr>
            <w:tcW w:w="2552" w:type="dxa"/>
          </w:tcPr>
          <w:p>
            <w:pPr>
              <w:pStyle w:val="nTable"/>
              <w:spacing w:after="40"/>
            </w:pPr>
            <w:r>
              <w:t>30 Oct 1981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Mining Act 1978</w:t>
            </w:r>
            <w:r>
              <w:rPr>
                <w:b/>
              </w:rPr>
              <w:t xml:space="preserve"> approved 11 Dec 1981</w:t>
            </w:r>
            <w:r>
              <w:t xml:space="preserve"> (includes amendments listed above except those in the </w:t>
            </w:r>
            <w:r>
              <w:rPr>
                <w:i/>
                <w:iCs/>
              </w:rPr>
              <w:t>Mining Act 1978</w:t>
            </w:r>
            <w:r>
              <w:t xml:space="preserve"> other than the Long title, heading to Pt. I, s. 1 and 2, heading to, and cl. 3 of, the Second Sch.)</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(Anomalies Prevention) Order 1981</w:t>
            </w:r>
            <w:r>
              <w:t xml:space="preserve"> published in </w:t>
            </w:r>
            <w:r>
              <w:rPr>
                <w:i/>
              </w:rPr>
              <w:t>Gazette</w:t>
            </w:r>
            <w:r>
              <w:t xml:space="preserve"> 18 Dec 1981 p. 5274</w:t>
            </w:r>
          </w:p>
        </w:tc>
        <w:tc>
          <w:tcPr>
            <w:tcW w:w="2552" w:type="dxa"/>
          </w:tcPr>
          <w:p>
            <w:pPr>
              <w:pStyle w:val="nTable"/>
              <w:spacing w:after="40"/>
            </w:pPr>
            <w:r>
              <w:t>1 Jan 1982 (see cl. 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Companies (Consequential Amendments) Act 1982 </w:t>
            </w:r>
            <w:r>
              <w:t>s. 28</w:t>
            </w:r>
          </w:p>
        </w:tc>
        <w:tc>
          <w:tcPr>
            <w:tcW w:w="1134" w:type="dxa"/>
          </w:tcPr>
          <w:p>
            <w:pPr>
              <w:pStyle w:val="nTable"/>
              <w:spacing w:after="40"/>
            </w:pPr>
            <w:r>
              <w:t>10 of 1982</w:t>
            </w:r>
          </w:p>
        </w:tc>
        <w:tc>
          <w:tcPr>
            <w:tcW w:w="1134" w:type="dxa"/>
          </w:tcPr>
          <w:p>
            <w:pPr>
              <w:pStyle w:val="nTable"/>
              <w:spacing w:after="40"/>
            </w:pPr>
            <w:r>
              <w:t>14 May 1982</w:t>
            </w:r>
          </w:p>
        </w:tc>
        <w:tc>
          <w:tcPr>
            <w:tcW w:w="2552" w:type="dxa"/>
          </w:tcPr>
          <w:p>
            <w:pPr>
              <w:pStyle w:val="nTable"/>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(Anomalies Prevention) Order 1982</w:t>
            </w:r>
            <w:r>
              <w:t xml:space="preserve"> published in </w:t>
            </w:r>
            <w:r>
              <w:rPr>
                <w:i/>
              </w:rPr>
              <w:t>Gazette</w:t>
            </w:r>
            <w:r>
              <w:t xml:space="preserve"> 16 Jul 1982 p. 2829</w:t>
            </w:r>
          </w:p>
        </w:tc>
        <w:tc>
          <w:tcPr>
            <w:tcW w:w="2552" w:type="dxa"/>
          </w:tcPr>
          <w:p>
            <w:pPr>
              <w:pStyle w:val="nTable"/>
              <w:spacing w:after="40"/>
            </w:pPr>
            <w:r>
              <w:t>16 Jul 1982 (see cl. 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(Mining) Act 1982 </w:t>
            </w:r>
            <w:r>
              <w:t>Pt. II</w:t>
            </w:r>
          </w:p>
        </w:tc>
        <w:tc>
          <w:tcPr>
            <w:tcW w:w="1134" w:type="dxa"/>
          </w:tcPr>
          <w:p>
            <w:pPr>
              <w:pStyle w:val="nTable"/>
              <w:spacing w:after="40"/>
            </w:pPr>
            <w:r>
              <w:t>122 of 1982</w:t>
            </w:r>
          </w:p>
        </w:tc>
        <w:tc>
          <w:tcPr>
            <w:tcW w:w="1134" w:type="dxa"/>
          </w:tcPr>
          <w:p>
            <w:pPr>
              <w:pStyle w:val="nTable"/>
              <w:spacing w:after="40"/>
            </w:pPr>
            <w:r>
              <w:t>10 Dec 1982</w:t>
            </w:r>
          </w:p>
        </w:tc>
        <w:tc>
          <w:tcPr>
            <w:tcW w:w="2552" w:type="dxa"/>
          </w:tcPr>
          <w:p>
            <w:pPr>
              <w:pStyle w:val="nTable"/>
              <w:spacing w:after="40"/>
            </w:pPr>
            <w:r>
              <w:t xml:space="preserve">s. 30(d): 1 Jan 1982 (see s. 2(2)); </w:t>
            </w:r>
            <w:r>
              <w:br/>
              <w:t>Pt. II other than s. 30(d): 10 Dec 1982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1983</w:t>
            </w:r>
          </w:p>
        </w:tc>
        <w:tc>
          <w:tcPr>
            <w:tcW w:w="1134" w:type="dxa"/>
          </w:tcPr>
          <w:p>
            <w:pPr>
              <w:pStyle w:val="nTable"/>
              <w:spacing w:after="40"/>
            </w:pPr>
            <w:r>
              <w:t>52 of 1983</w:t>
            </w:r>
          </w:p>
        </w:tc>
        <w:tc>
          <w:tcPr>
            <w:tcW w:w="1134" w:type="dxa"/>
          </w:tcPr>
          <w:p>
            <w:pPr>
              <w:pStyle w:val="nTable"/>
              <w:spacing w:after="40"/>
            </w:pPr>
            <w:r>
              <w:t>13 Dec 1983</w:t>
            </w:r>
          </w:p>
        </w:tc>
        <w:tc>
          <w:tcPr>
            <w:tcW w:w="2552" w:type="dxa"/>
          </w:tcPr>
          <w:p>
            <w:pPr>
              <w:pStyle w:val="nTable"/>
              <w:spacing w:after="40"/>
            </w:pPr>
            <w:r>
              <w:t xml:space="preserve">1 Jan 1984 (see s. 2 and </w:t>
            </w:r>
            <w:r>
              <w:rPr>
                <w:i/>
                <w:iCs/>
              </w:rPr>
              <w:t>G</w:t>
            </w:r>
            <w:r>
              <w:rPr>
                <w:i/>
              </w:rPr>
              <w:t>azette</w:t>
            </w:r>
            <w:r>
              <w:t xml:space="preserve"> 23 Dec 1983 p. 4934)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lastRenderedPageBreak/>
              <w:t>Mining Amendment Act 1985</w:t>
            </w:r>
            <w:r>
              <w:rPr>
                <w:vertAlign w:val="superscript"/>
              </w:rPr>
              <w:t> 6</w:t>
            </w:r>
          </w:p>
        </w:tc>
        <w:tc>
          <w:tcPr>
            <w:tcW w:w="1134" w:type="dxa"/>
          </w:tcPr>
          <w:p>
            <w:pPr>
              <w:pStyle w:val="nTable"/>
              <w:spacing w:after="40"/>
            </w:pPr>
            <w:r>
              <w:t>100 of 1985 (as amended by No. 105 of 1986 Pt. II and No. 22 of 1990 s. 39)</w:t>
            </w:r>
          </w:p>
        </w:tc>
        <w:tc>
          <w:tcPr>
            <w:tcW w:w="1134" w:type="dxa"/>
          </w:tcPr>
          <w:p>
            <w:pPr>
              <w:pStyle w:val="nTable"/>
              <w:spacing w:after="40"/>
            </w:pPr>
            <w:r>
              <w:t>4 Dec 1985</w:t>
            </w:r>
          </w:p>
        </w:tc>
        <w:tc>
          <w:tcPr>
            <w:tcW w:w="2552" w:type="dxa"/>
          </w:tcPr>
          <w:p>
            <w:pPr>
              <w:pStyle w:val="nTable"/>
              <w:spacing w:after="40"/>
            </w:pPr>
            <w:r>
              <w:t>s. 1 and 2: 4 Dec 1985;</w:t>
            </w:r>
            <w:r>
              <w:br/>
              <w:t>Act other than s. 1, 2, 31, 34, 38, 59, 63, 68</w:t>
            </w:r>
            <w:r>
              <w:noBreakHyphen/>
              <w:t>71, 77</w:t>
            </w:r>
            <w:r>
              <w:noBreakHyphen/>
              <w:t xml:space="preserve">80, 88, 90 and 96: 31 Jan 1986 (see s. 2 and </w:t>
            </w:r>
            <w:r>
              <w:rPr>
                <w:i/>
              </w:rPr>
              <w:t>Gazette</w:t>
            </w:r>
            <w:r>
              <w:t xml:space="preserve"> 31 Jan 1986 p. 320);</w:t>
            </w:r>
            <w:r>
              <w:br/>
              <w:t>s. 31, 34, 38, 59, 63, 68</w:t>
            </w:r>
            <w:r>
              <w:noBreakHyphen/>
              <w:t>71, 77</w:t>
            </w:r>
            <w:r>
              <w:noBreakHyphen/>
              <w:t xml:space="preserve">80 and 96: 16 Oct 1987 (see s. 2 and </w:t>
            </w:r>
            <w:r>
              <w:rPr>
                <w:i/>
              </w:rPr>
              <w:t>Gazette</w:t>
            </w:r>
            <w:r>
              <w:t xml:space="preserve"> 16 Oct 1987 p. 3884)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Mining (Validation and Amendment) Act 1986 </w:t>
            </w:r>
            <w:r>
              <w:t>Pt. III</w:t>
            </w:r>
          </w:p>
        </w:tc>
        <w:tc>
          <w:tcPr>
            <w:tcW w:w="1134" w:type="dxa"/>
          </w:tcPr>
          <w:p>
            <w:pPr>
              <w:pStyle w:val="nTable"/>
              <w:spacing w:after="40"/>
            </w:pPr>
            <w:r>
              <w:t>1 of 1986</w:t>
            </w:r>
          </w:p>
        </w:tc>
        <w:tc>
          <w:tcPr>
            <w:tcW w:w="1134" w:type="dxa"/>
          </w:tcPr>
          <w:p>
            <w:pPr>
              <w:pStyle w:val="nTable"/>
              <w:spacing w:after="40"/>
            </w:pPr>
            <w:r>
              <w:t>26 Jun 1986</w:t>
            </w:r>
          </w:p>
        </w:tc>
        <w:tc>
          <w:tcPr>
            <w:tcW w:w="2552" w:type="dxa"/>
          </w:tcPr>
          <w:p>
            <w:pPr>
              <w:pStyle w:val="nTable"/>
              <w:spacing w:after="40"/>
            </w:pPr>
            <w:r>
              <w:t>26 Jun 1986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and Repeal (Environmental Protection) Act 1986 </w:t>
            </w:r>
            <w:r>
              <w:t>Pt. IV</w:t>
            </w:r>
          </w:p>
        </w:tc>
        <w:tc>
          <w:tcPr>
            <w:tcW w:w="1134" w:type="dxa"/>
          </w:tcPr>
          <w:p>
            <w:pPr>
              <w:pStyle w:val="nTable"/>
              <w:spacing w:after="40"/>
            </w:pPr>
            <w:r>
              <w:t>77 of 1986</w:t>
            </w:r>
          </w:p>
        </w:tc>
        <w:tc>
          <w:tcPr>
            <w:tcW w:w="1134" w:type="dxa"/>
          </w:tcPr>
          <w:p>
            <w:pPr>
              <w:pStyle w:val="nTable"/>
              <w:spacing w:after="40"/>
            </w:pPr>
            <w:r>
              <w:t>4 Dec 1986</w:t>
            </w:r>
          </w:p>
        </w:tc>
        <w:tc>
          <w:tcPr>
            <w:tcW w:w="2552" w:type="dxa"/>
          </w:tcPr>
          <w:p>
            <w:pPr>
              <w:pStyle w:val="nTable"/>
              <w:spacing w:after="40"/>
            </w:pPr>
            <w:r>
              <w:t xml:space="preserve">20 Feb 1987 (see s.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1986</w:t>
            </w:r>
          </w:p>
        </w:tc>
        <w:tc>
          <w:tcPr>
            <w:tcW w:w="1134" w:type="dxa"/>
          </w:tcPr>
          <w:p>
            <w:pPr>
              <w:pStyle w:val="nTable"/>
              <w:spacing w:after="40"/>
            </w:pPr>
            <w:r>
              <w:t>105 of 1986</w:t>
            </w:r>
          </w:p>
        </w:tc>
        <w:tc>
          <w:tcPr>
            <w:tcW w:w="1134" w:type="dxa"/>
          </w:tcPr>
          <w:p>
            <w:pPr>
              <w:pStyle w:val="nTable"/>
              <w:spacing w:after="40"/>
            </w:pPr>
            <w:r>
              <w:t>12 Dec 1986</w:t>
            </w:r>
          </w:p>
        </w:tc>
        <w:tc>
          <w:tcPr>
            <w:tcW w:w="2552" w:type="dxa"/>
          </w:tcPr>
          <w:p>
            <w:pPr>
              <w:pStyle w:val="nTable"/>
              <w:spacing w:after="40"/>
            </w:pPr>
            <w:r>
              <w:t>s. 1 and 2: 12 Dec 1986;</w:t>
            </w:r>
            <w:r>
              <w:br/>
              <w:t xml:space="preserve">Act other than s. 1 and 2: 9 Jan 1987 (see s. 2 and </w:t>
            </w:r>
            <w:r>
              <w:rPr>
                <w:i/>
                <w:iCs/>
              </w:rPr>
              <w:t>G</w:t>
            </w:r>
            <w:r>
              <w:rPr>
                <w:i/>
              </w:rPr>
              <w:t>azette</w:t>
            </w:r>
            <w:r>
              <w:t xml:space="preserve"> 9 Jan 1987 p. 18)</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(Transitional Provisions) (Anomalies Prevention) Order 1987</w:t>
            </w:r>
            <w:r>
              <w:t xml:space="preserve"> published in </w:t>
            </w:r>
            <w:r>
              <w:rPr>
                <w:i/>
              </w:rPr>
              <w:t>Gazette</w:t>
            </w:r>
            <w:r>
              <w:t xml:space="preserve"> 15 May 1987 p. 2161</w:t>
            </w:r>
            <w:r>
              <w:noBreakHyphen/>
              <w:t>2</w:t>
            </w:r>
          </w:p>
        </w:tc>
        <w:tc>
          <w:tcPr>
            <w:tcW w:w="2552" w:type="dxa"/>
          </w:tcPr>
          <w:p>
            <w:pPr>
              <w:pStyle w:val="nTable"/>
              <w:spacing w:after="40"/>
            </w:pPr>
            <w:r>
              <w:t>15 May 1987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1987</w:t>
            </w:r>
          </w:p>
        </w:tc>
        <w:tc>
          <w:tcPr>
            <w:tcW w:w="1134" w:type="dxa"/>
          </w:tcPr>
          <w:p>
            <w:pPr>
              <w:pStyle w:val="nTable"/>
              <w:spacing w:after="40"/>
            </w:pPr>
            <w:r>
              <w:t>12 of 1987</w:t>
            </w:r>
          </w:p>
        </w:tc>
        <w:tc>
          <w:tcPr>
            <w:tcW w:w="1134" w:type="dxa"/>
          </w:tcPr>
          <w:p>
            <w:pPr>
              <w:pStyle w:val="nTable"/>
              <w:spacing w:after="40"/>
            </w:pPr>
            <w:r>
              <w:t>16 Jun 1987</w:t>
            </w:r>
          </w:p>
        </w:tc>
        <w:tc>
          <w:tcPr>
            <w:tcW w:w="2552" w:type="dxa"/>
          </w:tcPr>
          <w:p>
            <w:pPr>
              <w:pStyle w:val="nTable"/>
              <w:spacing w:after="40"/>
            </w:pPr>
            <w:r>
              <w:t>s. 1 and 3: 16 Jun 1987;</w:t>
            </w:r>
            <w:r>
              <w:br/>
              <w:t xml:space="preserve">Act other than s. 1 and 3: 26 Jun 1987 (see s. 3 and </w:t>
            </w:r>
            <w:r>
              <w:rPr>
                <w:i/>
              </w:rPr>
              <w:t>Gazette</w:t>
            </w:r>
            <w:r>
              <w:t xml:space="preserve"> 26 Jun 1987 p. 2447)</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(Transitional Provisions) (Anomalies Prevention) (No. 2) Order 1987</w:t>
            </w:r>
            <w:r>
              <w:t xml:space="preserve"> published in </w:t>
            </w:r>
            <w:r>
              <w:rPr>
                <w:i/>
              </w:rPr>
              <w:t>Gazette</w:t>
            </w:r>
            <w:r>
              <w:t xml:space="preserve"> 20 Nov 1987 p. 4239</w:t>
            </w:r>
          </w:p>
        </w:tc>
        <w:tc>
          <w:tcPr>
            <w:tcW w:w="2552" w:type="dxa"/>
          </w:tcPr>
          <w:p>
            <w:pPr>
              <w:pStyle w:val="nTable"/>
              <w:spacing w:after="40"/>
            </w:pPr>
            <w:r>
              <w:t>20 Nov 1987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(Legal Practitioners, Costs and Taxation) Act 1987 </w:t>
            </w:r>
            <w:r>
              <w:t>Pt. XIII</w:t>
            </w:r>
          </w:p>
        </w:tc>
        <w:tc>
          <w:tcPr>
            <w:tcW w:w="1134" w:type="dxa"/>
          </w:tcPr>
          <w:p>
            <w:pPr>
              <w:pStyle w:val="nTable"/>
              <w:spacing w:after="40"/>
            </w:pPr>
            <w:r>
              <w:t>65 of 1987</w:t>
            </w:r>
          </w:p>
        </w:tc>
        <w:tc>
          <w:tcPr>
            <w:tcW w:w="1134" w:type="dxa"/>
          </w:tcPr>
          <w:p>
            <w:pPr>
              <w:pStyle w:val="nTable"/>
              <w:spacing w:after="40"/>
            </w:pPr>
            <w:r>
              <w:t>1 Dec 1987</w:t>
            </w:r>
          </w:p>
        </w:tc>
        <w:tc>
          <w:tcPr>
            <w:tcW w:w="2552" w:type="dxa"/>
          </w:tcPr>
          <w:p>
            <w:pPr>
              <w:pStyle w:val="nTable"/>
              <w:spacing w:after="40"/>
            </w:pPr>
            <w:r>
              <w:t xml:space="preserve">12 Feb 1988 (see s. 2(2) and </w:t>
            </w:r>
            <w:r>
              <w:rPr>
                <w:i/>
              </w:rPr>
              <w:t>Gazette</w:t>
            </w:r>
            <w:r>
              <w:t xml:space="preserve"> 12 Feb 1988 p. 397)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Service) Act 1987</w:t>
            </w:r>
            <w:r>
              <w:t xml:space="preserve"> s. 32</w:t>
            </w:r>
          </w:p>
        </w:tc>
        <w:tc>
          <w:tcPr>
            <w:tcW w:w="1134" w:type="dxa"/>
          </w:tcPr>
          <w:p>
            <w:pPr>
              <w:pStyle w:val="nTable"/>
              <w:keepNext/>
              <w:keepLines/>
              <w:spacing w:after="40"/>
            </w:pPr>
            <w:r>
              <w:t>113 of 1987</w:t>
            </w:r>
          </w:p>
        </w:tc>
        <w:tc>
          <w:tcPr>
            <w:tcW w:w="1134" w:type="dxa"/>
          </w:tcPr>
          <w:p>
            <w:pPr>
              <w:pStyle w:val="nTable"/>
              <w:keepNext/>
              <w:keepLines/>
              <w:spacing w:after="40"/>
            </w:pPr>
            <w:r>
              <w:t>31 Dec 1987</w:t>
            </w:r>
          </w:p>
        </w:tc>
        <w:tc>
          <w:tcPr>
            <w:tcW w:w="2552" w:type="dxa"/>
          </w:tcPr>
          <w:p>
            <w:pPr>
              <w:pStyle w:val="nTable"/>
              <w:spacing w:after="40"/>
            </w:pPr>
            <w:r>
              <w:t xml:space="preserve">16 Mar 1988 (see s. 2 and </w:t>
            </w:r>
            <w:r>
              <w:rPr>
                <w:i/>
                <w:iCs/>
              </w:rPr>
              <w:t>G</w:t>
            </w:r>
            <w:r>
              <w:rPr>
                <w:i/>
              </w:rPr>
              <w:t>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(Land Administration) Act 1987 </w:t>
            </w:r>
            <w:r>
              <w:t>Pt. XVIII</w:t>
            </w:r>
          </w:p>
        </w:tc>
        <w:tc>
          <w:tcPr>
            <w:tcW w:w="1134" w:type="dxa"/>
          </w:tcPr>
          <w:p>
            <w:pPr>
              <w:pStyle w:val="nTable"/>
              <w:spacing w:after="40"/>
            </w:pPr>
            <w:r>
              <w:t>126 of 1987</w:t>
            </w:r>
          </w:p>
        </w:tc>
        <w:tc>
          <w:tcPr>
            <w:tcW w:w="1134" w:type="dxa"/>
          </w:tcPr>
          <w:p>
            <w:pPr>
              <w:pStyle w:val="nTable"/>
              <w:spacing w:after="40"/>
            </w:pPr>
            <w:r>
              <w:t>31 Dec 1987</w:t>
            </w:r>
          </w:p>
        </w:tc>
        <w:tc>
          <w:tcPr>
            <w:tcW w:w="2552" w:type="dxa"/>
          </w:tcPr>
          <w:p>
            <w:pPr>
              <w:pStyle w:val="nTable"/>
              <w:spacing w:after="40"/>
            </w:pPr>
            <w:r>
              <w:t xml:space="preserve">16 Sep 1988 (see s. 2 and </w:t>
            </w:r>
            <w:r>
              <w:rPr>
                <w:i/>
              </w:rPr>
              <w:t>Gazette</w:t>
            </w:r>
            <w:r>
              <w:t xml:space="preserve"> 16 Sep 1988 p. 3637)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lastRenderedPageBreak/>
              <w:t xml:space="preserve">Reprint of the </w:t>
            </w:r>
            <w:r>
              <w:rPr>
                <w:b/>
                <w:i/>
              </w:rPr>
              <w:t>Mining Act 1978</w:t>
            </w:r>
            <w:r>
              <w:rPr>
                <w:b/>
              </w:rPr>
              <w:t xml:space="preserve"> as at 1 Aug 1988</w:t>
            </w:r>
            <w:r>
              <w:t xml:space="preserve"> (includes amendments listed above except those in the </w:t>
            </w:r>
            <w:r>
              <w:rPr>
                <w:i/>
              </w:rPr>
              <w:t>Acts Amendment (Land Administration) Act 1987</w:t>
            </w:r>
            <w:r>
              <w:t xml:space="preserve">) (corrigenda to reprint in </w:t>
            </w:r>
            <w:r>
              <w:rPr>
                <w:i/>
              </w:rPr>
              <w:t>Gazette</w:t>
            </w:r>
            <w:r>
              <w:t xml:space="preserve"> 23 Sep 1988 p. 3922 and </w:t>
            </w:r>
            <w:r>
              <w:rPr>
                <w:i/>
              </w:rPr>
              <w:t xml:space="preserve">Gazette </w:t>
            </w:r>
            <w:r>
              <w:t>21 Jul 1989 p. 2213)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1990</w:t>
            </w:r>
            <w:r>
              <w:rPr>
                <w:vertAlign w:val="superscript"/>
              </w:rPr>
              <w:t> 7</w:t>
            </w:r>
          </w:p>
        </w:tc>
        <w:tc>
          <w:tcPr>
            <w:tcW w:w="1134" w:type="dxa"/>
          </w:tcPr>
          <w:p>
            <w:pPr>
              <w:pStyle w:val="nTable"/>
              <w:spacing w:after="40"/>
            </w:pPr>
            <w:r>
              <w:t>22 of 1990 (as amended by No. 37 of 1993 s. 30(1) and (2) and No. 58 of 1994 s. 52)</w:t>
            </w:r>
          </w:p>
        </w:tc>
        <w:tc>
          <w:tcPr>
            <w:tcW w:w="1134" w:type="dxa"/>
          </w:tcPr>
          <w:p>
            <w:pPr>
              <w:pStyle w:val="nTable"/>
              <w:spacing w:after="40"/>
            </w:pPr>
            <w:r>
              <w:t>28 Aug 1990</w:t>
            </w:r>
          </w:p>
        </w:tc>
        <w:tc>
          <w:tcPr>
            <w:tcW w:w="2552" w:type="dxa"/>
          </w:tcPr>
          <w:p>
            <w:pPr>
              <w:pStyle w:val="nTable"/>
              <w:spacing w:after="40"/>
            </w:pPr>
            <w:r>
              <w:t>s. 1 and 2: 28 Aug 1990;</w:t>
            </w:r>
            <w:r>
              <w:br/>
              <w:t xml:space="preserve">Act other than s. 1 and 2: 28 Jun 1991 (see s. 2 and </w:t>
            </w:r>
            <w:r>
              <w:rPr>
                <w:i/>
              </w:rPr>
              <w:t>Gazette</w:t>
            </w:r>
            <w:r>
              <w:t xml:space="preserve"> 28 Jun 1991 p. 3101)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Conservation and Land Management Amendment Act 1991 </w:t>
            </w:r>
            <w:r>
              <w:t>s. 57</w:t>
            </w:r>
          </w:p>
        </w:tc>
        <w:tc>
          <w:tcPr>
            <w:tcW w:w="1134" w:type="dxa"/>
          </w:tcPr>
          <w:p>
            <w:pPr>
              <w:pStyle w:val="nTable"/>
              <w:spacing w:after="40"/>
            </w:pPr>
            <w:r>
              <w:t>20 of 1991</w:t>
            </w:r>
          </w:p>
        </w:tc>
        <w:tc>
          <w:tcPr>
            <w:tcW w:w="1134" w:type="dxa"/>
          </w:tcPr>
          <w:p>
            <w:pPr>
              <w:pStyle w:val="nTable"/>
              <w:spacing w:after="40"/>
            </w:pPr>
            <w:r>
              <w:t>25 Jun 1991</w:t>
            </w:r>
          </w:p>
        </w:tc>
        <w:tc>
          <w:tcPr>
            <w:tcW w:w="2552" w:type="dxa"/>
          </w:tcPr>
          <w:p>
            <w:pPr>
              <w:pStyle w:val="nTable"/>
              <w:spacing w:after="40"/>
            </w:pPr>
            <w:r>
              <w:t xml:space="preserve">23 Aug 1991 (see s. 2 and </w:t>
            </w:r>
            <w:r>
              <w:rPr>
                <w:i/>
              </w:rPr>
              <w:t>Gazette</w:t>
            </w:r>
            <w:r>
              <w:t xml:space="preserve"> 23 Aug 1991 p. 4353)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Western Australian Land Authority Act 1992</w:t>
            </w:r>
            <w:r>
              <w:t xml:space="preserve"> s. 49</w:t>
            </w:r>
          </w:p>
        </w:tc>
        <w:tc>
          <w:tcPr>
            <w:tcW w:w="1134" w:type="dxa"/>
          </w:tcPr>
          <w:p>
            <w:pPr>
              <w:pStyle w:val="nTable"/>
              <w:spacing w:after="40"/>
            </w:pPr>
            <w:r>
              <w:t>35 of 1992</w:t>
            </w:r>
          </w:p>
        </w:tc>
        <w:tc>
          <w:tcPr>
            <w:tcW w:w="1134" w:type="dxa"/>
          </w:tcPr>
          <w:p>
            <w:pPr>
              <w:pStyle w:val="nTable"/>
              <w:spacing w:after="40"/>
            </w:pPr>
            <w:r>
              <w:t>23 Jun 1992</w:t>
            </w:r>
          </w:p>
        </w:tc>
        <w:tc>
          <w:tcPr>
            <w:tcW w:w="2552" w:type="dxa"/>
          </w:tcPr>
          <w:p>
            <w:pPr>
              <w:pStyle w:val="nTable"/>
              <w:spacing w:after="40"/>
            </w:pPr>
            <w:r>
              <w:t xml:space="preserve">1 Jul 1992 (see s. 2(2) and </w:t>
            </w:r>
            <w:r>
              <w:rPr>
                <w:i/>
              </w:rPr>
              <w:t>Gazette</w:t>
            </w:r>
            <w:r>
              <w:t xml:space="preserve"> 30 Jun 1992 p. 2869)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Land (Titles and Traditional Usage) Act 1993</w:t>
            </w:r>
            <w:r>
              <w:t xml:space="preserve"> s. 45</w:t>
            </w:r>
          </w:p>
        </w:tc>
        <w:tc>
          <w:tcPr>
            <w:tcW w:w="1134" w:type="dxa"/>
          </w:tcPr>
          <w:p>
            <w:pPr>
              <w:pStyle w:val="nTable"/>
              <w:spacing w:after="40"/>
            </w:pPr>
            <w:r>
              <w:t>21 of 1993</w:t>
            </w:r>
          </w:p>
        </w:tc>
        <w:tc>
          <w:tcPr>
            <w:tcW w:w="1134" w:type="dxa"/>
          </w:tcPr>
          <w:p>
            <w:pPr>
              <w:pStyle w:val="nTable"/>
              <w:spacing w:after="40"/>
            </w:pPr>
            <w:r>
              <w:t>2 Dec 1993</w:t>
            </w:r>
          </w:p>
        </w:tc>
        <w:tc>
          <w:tcPr>
            <w:tcW w:w="2552" w:type="dxa"/>
          </w:tcPr>
          <w:p>
            <w:pPr>
              <w:pStyle w:val="nTable"/>
              <w:spacing w:after="40"/>
            </w:pPr>
            <w:r>
              <w:t>2 Dec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1993</w:t>
            </w:r>
            <w:r>
              <w:rPr>
                <w:vertAlign w:val="superscript"/>
              </w:rPr>
              <w:t> 8</w:t>
            </w:r>
          </w:p>
        </w:tc>
        <w:tc>
          <w:tcPr>
            <w:tcW w:w="1134" w:type="dxa"/>
          </w:tcPr>
          <w:p>
            <w:pPr>
              <w:pStyle w:val="nTable"/>
              <w:keepNext/>
              <w:keepLines/>
              <w:spacing w:after="40"/>
            </w:pPr>
            <w:r>
              <w:t>37 of 1993</w:t>
            </w:r>
          </w:p>
        </w:tc>
        <w:tc>
          <w:tcPr>
            <w:tcW w:w="1134" w:type="dxa"/>
          </w:tcPr>
          <w:p>
            <w:pPr>
              <w:pStyle w:val="nTable"/>
              <w:keepNext/>
              <w:keepLines/>
              <w:spacing w:after="40"/>
            </w:pPr>
            <w:r>
              <w:t>16 Dec 1993</w:t>
            </w:r>
          </w:p>
        </w:tc>
        <w:tc>
          <w:tcPr>
            <w:tcW w:w="2552" w:type="dxa"/>
          </w:tcPr>
          <w:p>
            <w:pPr>
              <w:pStyle w:val="nTable"/>
              <w:spacing w:after="40"/>
            </w:pPr>
            <w:r>
              <w:t>Pt. 3: 28 Jun 1991 (see s. 2(2); s. 1 and 2: 16 Dec 1993;</w:t>
            </w:r>
            <w:r>
              <w:br/>
              <w:t xml:space="preserve">Act other than s. 1 and 2 and Pt. 3: 1 Jul 1994 (see s. 2(1) and </w:t>
            </w:r>
            <w:r>
              <w:rPr>
                <w:i/>
              </w:rPr>
              <w:t>Gazette</w:t>
            </w:r>
            <w:r>
              <w:t xml:space="preserve"> 24 Jun 1994 p. 2819)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Mining Amendment Act 1994</w:t>
            </w:r>
            <w:r>
              <w:rPr>
                <w:vertAlign w:val="superscript"/>
              </w:rPr>
              <w:t> 9</w:t>
            </w:r>
          </w:p>
        </w:tc>
        <w:tc>
          <w:tcPr>
            <w:tcW w:w="1134" w:type="dxa"/>
          </w:tcPr>
          <w:p>
            <w:pPr>
              <w:pStyle w:val="nTable"/>
              <w:spacing w:after="40"/>
            </w:pPr>
            <w:r>
              <w:t>58 of 1994 (as amended by No. 52 of 1995 Pt. 6 and No. 74 of 2003 s. 85)</w:t>
            </w:r>
          </w:p>
        </w:tc>
        <w:tc>
          <w:tcPr>
            <w:tcW w:w="1134" w:type="dxa"/>
          </w:tcPr>
          <w:p>
            <w:pPr>
              <w:pStyle w:val="nTable"/>
              <w:spacing w:after="40"/>
            </w:pPr>
            <w:r>
              <w:t>2 Nov 1994</w:t>
            </w:r>
          </w:p>
        </w:tc>
        <w:tc>
          <w:tcPr>
            <w:tcW w:w="2552" w:type="dxa"/>
          </w:tcPr>
          <w:p>
            <w:pPr>
              <w:pStyle w:val="nTable"/>
              <w:spacing w:after="40"/>
            </w:pPr>
            <w:r>
              <w:t>Act other than Pt. 2 and s. 52: 2 Nov 1994 (see s. 2(1));</w:t>
            </w:r>
            <w:r>
              <w:br/>
              <w:t xml:space="preserve">Pt. 2 (except s. 5) and s. 52: 14 Oct 1995 (see s. 2(2) and </w:t>
            </w:r>
            <w:r>
              <w:rPr>
                <w:i/>
              </w:rPr>
              <w:t>Gazette</w:t>
            </w:r>
            <w:r>
              <w:t xml:space="preserve"> 13 Oct 1995 p. 4797 and Printer’s correction to proclamation in </w:t>
            </w:r>
            <w:r>
              <w:rPr>
                <w:i/>
              </w:rPr>
              <w:t>Gazette</w:t>
            </w:r>
            <w:r>
              <w:t xml:space="preserve"> 24 Oct 1995 p. 4917); </w:t>
            </w:r>
            <w:r>
              <w:br/>
              <w:t>s. 5 repealed by No. 74 of 2003 s. 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keepNext/>
              <w:keepLines/>
              <w:spacing w:after="40"/>
            </w:pPr>
            <w:r>
              <w:t>73 of 1994</w:t>
            </w:r>
          </w:p>
        </w:tc>
        <w:tc>
          <w:tcPr>
            <w:tcW w:w="1134" w:type="dxa"/>
          </w:tcPr>
          <w:p>
            <w:pPr>
              <w:pStyle w:val="nTable"/>
              <w:keepNext/>
              <w:keepLines/>
              <w:spacing w:after="40"/>
            </w:pPr>
            <w:r>
              <w:t>9 Dec 1994</w:t>
            </w:r>
          </w:p>
        </w:tc>
        <w:tc>
          <w:tcPr>
            <w:tcW w:w="2552" w:type="dxa"/>
          </w:tcPr>
          <w:p>
            <w:pPr>
              <w:pStyle w:val="nTable"/>
              <w:keepNext/>
              <w:keepLines/>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Acts Amendment and Repeal (Native Title) Act 1995</w:t>
            </w:r>
            <w:r>
              <w:t xml:space="preserve"> Pt. 5</w:t>
            </w:r>
          </w:p>
        </w:tc>
        <w:tc>
          <w:tcPr>
            <w:tcW w:w="1134" w:type="dxa"/>
          </w:tcPr>
          <w:p>
            <w:pPr>
              <w:pStyle w:val="nTable"/>
              <w:spacing w:after="40"/>
            </w:pPr>
            <w:r>
              <w:t>52 of 1995</w:t>
            </w:r>
          </w:p>
        </w:tc>
        <w:tc>
          <w:tcPr>
            <w:tcW w:w="1134" w:type="dxa"/>
          </w:tcPr>
          <w:p>
            <w:pPr>
              <w:pStyle w:val="nTable"/>
              <w:spacing w:after="40"/>
            </w:pPr>
            <w:r>
              <w:t>24 Nov 1995</w:t>
            </w:r>
          </w:p>
        </w:tc>
        <w:tc>
          <w:tcPr>
            <w:tcW w:w="2552" w:type="dxa"/>
          </w:tcPr>
          <w:p>
            <w:pPr>
              <w:pStyle w:val="nTable"/>
              <w:spacing w:after="40"/>
            </w:pPr>
            <w:r>
              <w:t xml:space="preserve">9 Dec 1995 (see s. 2 and </w:t>
            </w:r>
            <w:r>
              <w:rPr>
                <w:i/>
              </w:rPr>
              <w:t>Gazette</w:t>
            </w:r>
            <w:r>
              <w:t xml:space="preserve"> 8 Dec 1995 p. 5935)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Water Agencies Restructure (Transitional and Consequential Provisions) Act 1995</w:t>
            </w:r>
            <w:r>
              <w:t xml:space="preserve"> s. 188</w:t>
            </w:r>
          </w:p>
        </w:tc>
        <w:tc>
          <w:tcPr>
            <w:tcW w:w="1134" w:type="dxa"/>
          </w:tcPr>
          <w:p>
            <w:pPr>
              <w:pStyle w:val="nTable"/>
              <w:spacing w:after="40"/>
            </w:pPr>
            <w:r>
              <w:t>73 of 1995</w:t>
            </w:r>
          </w:p>
        </w:tc>
        <w:tc>
          <w:tcPr>
            <w:tcW w:w="1134" w:type="dxa"/>
          </w:tcPr>
          <w:p>
            <w:pPr>
              <w:pStyle w:val="nTable"/>
              <w:spacing w:after="40"/>
            </w:pPr>
            <w:r>
              <w:t>27 Dec 1995</w:t>
            </w:r>
          </w:p>
        </w:tc>
        <w:tc>
          <w:tcPr>
            <w:tcW w:w="2552" w:type="dxa"/>
          </w:tcPr>
          <w:p>
            <w:pPr>
              <w:pStyle w:val="nTable"/>
              <w:spacing w:after="40"/>
            </w:pPr>
            <w:r>
              <w:t xml:space="preserve">1 Jan 1996 (see s. 2(2) and </w:t>
            </w:r>
            <w:r>
              <w:rPr>
                <w:i/>
              </w:rPr>
              <w:t>Gazette</w:t>
            </w:r>
            <w:r>
              <w:t xml:space="preserve"> 29 Dec 1995 p. 6291)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Sentencing (Consequential Provisions) Act 1995</w:t>
            </w:r>
            <w:r>
              <w:t xml:space="preserve"> Pt. 88</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Mining Act 1978</w:t>
            </w:r>
            <w:r>
              <w:rPr>
                <w:b/>
              </w:rPr>
              <w:t xml:space="preserve"> as at 27 Feb 1996</w:t>
            </w:r>
            <w:r>
              <w:t xml:space="preserve"> (includes amendments listed above except those in the </w:t>
            </w:r>
            <w:r>
              <w:rPr>
                <w:i/>
              </w:rPr>
              <w:t>Sentencing (Consequential Provisions) Act 1995</w:t>
            </w:r>
            <w:r>
              <w:t xml:space="preserve">) </w:t>
            </w:r>
            <w:r>
              <w:br/>
              <w:t xml:space="preserve">(correction to reprint in </w:t>
            </w:r>
            <w:r>
              <w:rPr>
                <w:i/>
              </w:rPr>
              <w:t>Gazette</w:t>
            </w:r>
            <w:r>
              <w:t xml:space="preserve"> 19 Apr 1996 p. 1739)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1996</w:t>
            </w:r>
            <w:r>
              <w:rPr>
                <w:i/>
                <w:vertAlign w:val="superscript"/>
              </w:rPr>
              <w:t> </w:t>
            </w:r>
            <w:r>
              <w:rPr>
                <w:vertAlign w:val="superscript"/>
              </w:rPr>
              <w:t>10</w:t>
            </w:r>
          </w:p>
        </w:tc>
        <w:tc>
          <w:tcPr>
            <w:tcW w:w="1134" w:type="dxa"/>
          </w:tcPr>
          <w:p>
            <w:pPr>
              <w:pStyle w:val="nTable"/>
              <w:spacing w:after="40"/>
            </w:pPr>
            <w:r>
              <w:t>54 of 1996 (as amended by No. 39 of 2004 Pt. 11 and No. 8 of 2009 s. 93)</w:t>
            </w:r>
          </w:p>
        </w:tc>
        <w:tc>
          <w:tcPr>
            <w:tcW w:w="1134" w:type="dxa"/>
          </w:tcPr>
          <w:p>
            <w:pPr>
              <w:pStyle w:val="nTable"/>
              <w:spacing w:after="40"/>
            </w:pPr>
            <w:r>
              <w:t>11 Nov 1996</w:t>
            </w:r>
          </w:p>
        </w:tc>
        <w:tc>
          <w:tcPr>
            <w:tcW w:w="2552" w:type="dxa"/>
          </w:tcPr>
          <w:p>
            <w:pPr>
              <w:pStyle w:val="nTable"/>
              <w:spacing w:after="40"/>
            </w:pPr>
            <w:r>
              <w:t xml:space="preserve">s. 1 and 2: 11 Nov 1996; </w:t>
            </w:r>
            <w:r>
              <w:br/>
              <w:t xml:space="preserve">s. 5, 7, 10, 13 and 23: 7 Dec 1996 (see s. 2 and </w:t>
            </w:r>
            <w:r>
              <w:rPr>
                <w:i/>
              </w:rPr>
              <w:t xml:space="preserve">Gazette </w:t>
            </w:r>
            <w:r>
              <w:t>6 Dec 1996 p. 6699);</w:t>
            </w:r>
            <w:r>
              <w:br/>
              <w:t>s. 3, 4, 6, 8, 11, 12 and 14</w:t>
            </w:r>
            <w:r>
              <w:noBreakHyphen/>
              <w:t xml:space="preserve">22: 11 Feb 2006 (see s. 2 and </w:t>
            </w:r>
            <w:r>
              <w:rPr>
                <w:i/>
              </w:rPr>
              <w:t>Gazette</w:t>
            </w:r>
            <w:r>
              <w:t xml:space="preserve"> 3 Feb 2006 p. 515)</w:t>
            </w:r>
            <w:r>
              <w:rPr>
                <w:vertAlign w:val="superscript"/>
              </w:rPr>
              <w:t> 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(Marine Reserves) Act 1997</w:t>
            </w:r>
            <w:r>
              <w:t xml:space="preserve"> Pt. 3</w:t>
            </w:r>
          </w:p>
        </w:tc>
        <w:tc>
          <w:tcPr>
            <w:tcW w:w="1134" w:type="dxa"/>
          </w:tcPr>
          <w:p>
            <w:pPr>
              <w:pStyle w:val="nTable"/>
              <w:spacing w:after="40"/>
            </w:pPr>
            <w:r>
              <w:t>5 of 1997</w:t>
            </w:r>
          </w:p>
        </w:tc>
        <w:tc>
          <w:tcPr>
            <w:tcW w:w="1134" w:type="dxa"/>
          </w:tcPr>
          <w:p>
            <w:pPr>
              <w:pStyle w:val="nTable"/>
              <w:spacing w:after="40"/>
            </w:pPr>
            <w:r>
              <w:t>10 Jun 1997</w:t>
            </w:r>
          </w:p>
        </w:tc>
        <w:tc>
          <w:tcPr>
            <w:tcW w:w="2552" w:type="dxa"/>
          </w:tcPr>
          <w:p>
            <w:pPr>
              <w:pStyle w:val="nTable"/>
              <w:spacing w:after="40"/>
            </w:pPr>
            <w:r>
              <w:t xml:space="preserve">29 Aug 1997 (see s. 2 and </w:t>
            </w:r>
            <w:r>
              <w:rPr>
                <w:i/>
              </w:rPr>
              <w:t>Gazette</w:t>
            </w:r>
            <w:r>
              <w:t xml:space="preserve"> 29 Aug 1997 p. 4867)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(Land Administration) Act 1997 </w:t>
            </w:r>
            <w:r>
              <w:t>Pt. 44 and s. 141</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89</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pPr>
            <w:r>
              <w:rPr>
                <w:i/>
              </w:rPr>
              <w:t>Statutes (Repeals and Minor Amendments) Act (No. 2) 1998</w:t>
            </w:r>
            <w:r>
              <w:t xml:space="preserve"> s. 52</w:t>
            </w:r>
          </w:p>
        </w:tc>
        <w:tc>
          <w:tcPr>
            <w:tcW w:w="1134" w:type="dxa"/>
          </w:tcPr>
          <w:p>
            <w:pPr>
              <w:pStyle w:val="nTable"/>
              <w:keepNext/>
              <w:spacing w:after="40"/>
            </w:pPr>
            <w:r>
              <w:t>10 of 1998</w:t>
            </w:r>
          </w:p>
        </w:tc>
        <w:tc>
          <w:tcPr>
            <w:tcW w:w="1134" w:type="dxa"/>
          </w:tcPr>
          <w:p>
            <w:pPr>
              <w:pStyle w:val="nTable"/>
              <w:keepNext/>
              <w:spacing w:after="40"/>
            </w:pPr>
            <w:r>
              <w:t>30 Apr 1998</w:t>
            </w:r>
          </w:p>
        </w:tc>
        <w:tc>
          <w:tcPr>
            <w:tcW w:w="2552" w:type="dxa"/>
          </w:tcPr>
          <w:p>
            <w:pPr>
              <w:pStyle w:val="nTable"/>
              <w:keepNext/>
              <w:spacing w:after="40"/>
            </w:pPr>
            <w:r>
              <w:t>30 Apr 1998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tabs>
                <w:tab w:val="left" w:pos="882"/>
              </w:tabs>
              <w:spacing w:after="40"/>
              <w:ind w:right="113"/>
            </w:pPr>
            <w:r>
              <w:rPr>
                <w:i/>
              </w:rPr>
              <w:t>Mining Amendment Act 1998</w:t>
            </w:r>
            <w:r>
              <w:rPr>
                <w:vertAlign w:val="superscript"/>
              </w:rPr>
              <w:t> 12</w:t>
            </w:r>
          </w:p>
        </w:tc>
        <w:tc>
          <w:tcPr>
            <w:tcW w:w="1134" w:type="dxa"/>
          </w:tcPr>
          <w:p>
            <w:pPr>
              <w:pStyle w:val="nTable"/>
              <w:spacing w:after="40"/>
            </w:pPr>
            <w:r>
              <w:t>35 of 1998</w:t>
            </w:r>
          </w:p>
        </w:tc>
        <w:tc>
          <w:tcPr>
            <w:tcW w:w="1134" w:type="dxa"/>
          </w:tcPr>
          <w:p>
            <w:pPr>
              <w:pStyle w:val="nTable"/>
              <w:spacing w:after="40"/>
            </w:pPr>
            <w:r>
              <w:t>6 Jul 1998</w:t>
            </w:r>
          </w:p>
        </w:tc>
        <w:tc>
          <w:tcPr>
            <w:tcW w:w="2552" w:type="dxa"/>
          </w:tcPr>
          <w:p>
            <w:pPr>
              <w:pStyle w:val="nTable"/>
              <w:spacing w:after="40"/>
            </w:pPr>
            <w:r>
              <w:t>6 Jul 1998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Acts Amendment (Land Administration, Mining and Petroleum) Act 1998</w:t>
            </w:r>
            <w:r>
              <w:br/>
              <w:t>Pt. 3</w:t>
            </w:r>
          </w:p>
        </w:tc>
        <w:tc>
          <w:tcPr>
            <w:tcW w:w="1134" w:type="dxa"/>
          </w:tcPr>
          <w:p>
            <w:pPr>
              <w:pStyle w:val="nTable"/>
              <w:spacing w:after="40"/>
            </w:pPr>
            <w:r>
              <w:t>61 of 1998</w:t>
            </w:r>
          </w:p>
        </w:tc>
        <w:tc>
          <w:tcPr>
            <w:tcW w:w="1134" w:type="dxa"/>
          </w:tcPr>
          <w:p>
            <w:pPr>
              <w:pStyle w:val="nTable"/>
              <w:spacing w:after="40"/>
            </w:pPr>
            <w:r>
              <w:t>11 Jan 1999</w:t>
            </w:r>
          </w:p>
        </w:tc>
        <w:tc>
          <w:tcPr>
            <w:tcW w:w="2552" w:type="dxa"/>
          </w:tcPr>
          <w:p>
            <w:pPr>
              <w:pStyle w:val="nTable"/>
              <w:spacing w:after="40"/>
            </w:pPr>
            <w:r>
              <w:t>11 Jan 1999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(Mining and Petroleum) Act 1999 </w:t>
            </w:r>
            <w:r>
              <w:t>Pt. 2</w:t>
            </w:r>
          </w:p>
        </w:tc>
        <w:tc>
          <w:tcPr>
            <w:tcW w:w="1134" w:type="dxa"/>
          </w:tcPr>
          <w:p>
            <w:pPr>
              <w:pStyle w:val="nTable"/>
              <w:spacing w:after="40"/>
            </w:pPr>
            <w:r>
              <w:t>17 of 1999</w:t>
            </w:r>
          </w:p>
        </w:tc>
        <w:tc>
          <w:tcPr>
            <w:tcW w:w="1134" w:type="dxa"/>
          </w:tcPr>
          <w:p>
            <w:pPr>
              <w:pStyle w:val="nTable"/>
              <w:spacing w:after="40"/>
            </w:pPr>
            <w:r>
              <w:t>15 Jun 1999</w:t>
            </w:r>
          </w:p>
        </w:tc>
        <w:tc>
          <w:tcPr>
            <w:tcW w:w="2552" w:type="dxa"/>
          </w:tcPr>
          <w:p>
            <w:pPr>
              <w:pStyle w:val="nTable"/>
              <w:spacing w:after="40"/>
            </w:pPr>
            <w:r>
              <w:t xml:space="preserve">24 Jul 1999 (see s. 2 and </w:t>
            </w:r>
            <w:r>
              <w:rPr>
                <w:i/>
              </w:rPr>
              <w:t>Gazette</w:t>
            </w:r>
            <w:r>
              <w:t xml:space="preserve"> 23 Jul 1999 p. 3385)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Mining Act 1978</w:t>
            </w:r>
            <w:r>
              <w:rPr>
                <w:b/>
              </w:rPr>
              <w:t xml:space="preserve"> as at 26 Jul 1999</w:t>
            </w:r>
            <w:r>
              <w:t xml:space="preserve"> (includes amendments listed above except those in the </w:t>
            </w:r>
            <w:r>
              <w:rPr>
                <w:i/>
              </w:rPr>
              <w:t>Mining Amendment Act 1996</w:t>
            </w:r>
            <w:r>
              <w:t xml:space="preserve"> s. 3, 4, 6, 8, 11, 12 and 14</w:t>
            </w:r>
            <w:r>
              <w:noBreakHyphen/>
              <w:t>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(Police Immunity) Act 1999</w:t>
            </w:r>
            <w:r>
              <w:t xml:space="preserve"> s. 8</w:t>
            </w:r>
          </w:p>
        </w:tc>
        <w:tc>
          <w:tcPr>
            <w:tcW w:w="1134" w:type="dxa"/>
          </w:tcPr>
          <w:p>
            <w:pPr>
              <w:pStyle w:val="nTable"/>
              <w:keepNext/>
              <w:keepLines/>
              <w:spacing w:after="40"/>
            </w:pPr>
            <w:r>
              <w:t>42 of 1999</w:t>
            </w:r>
          </w:p>
        </w:tc>
        <w:tc>
          <w:tcPr>
            <w:tcW w:w="1134" w:type="dxa"/>
          </w:tcPr>
          <w:p>
            <w:pPr>
              <w:pStyle w:val="nTable"/>
              <w:keepNext/>
              <w:keepLines/>
              <w:spacing w:after="40"/>
            </w:pPr>
            <w:r>
              <w:t>25 Nov 1999</w:t>
            </w:r>
          </w:p>
        </w:tc>
        <w:tc>
          <w:tcPr>
            <w:tcW w:w="2552" w:type="dxa"/>
          </w:tcPr>
          <w:p>
            <w:pPr>
              <w:pStyle w:val="nTable"/>
              <w:keepNext/>
              <w:keepLines/>
              <w:spacing w:after="40"/>
            </w:pPr>
            <w:r>
              <w:t>25 Nov 1999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2000</w:t>
            </w:r>
            <w:r>
              <w:t xml:space="preserve"> s. 26</w:t>
            </w:r>
          </w:p>
        </w:tc>
        <w:tc>
          <w:tcPr>
            <w:tcW w:w="1134" w:type="dxa"/>
          </w:tcPr>
          <w:p>
            <w:pPr>
              <w:pStyle w:val="nTable"/>
              <w:keepNext/>
              <w:keepLines/>
              <w:spacing w:after="40"/>
            </w:pPr>
            <w:r>
              <w:t>24 of 2000</w:t>
            </w:r>
          </w:p>
        </w:tc>
        <w:tc>
          <w:tcPr>
            <w:tcW w:w="1134" w:type="dxa"/>
          </w:tcPr>
          <w:p>
            <w:pPr>
              <w:pStyle w:val="nTable"/>
              <w:keepNext/>
              <w:keepLines/>
              <w:spacing w:after="40"/>
            </w:pPr>
            <w:r>
              <w:t>4 Jul 2000</w:t>
            </w:r>
          </w:p>
        </w:tc>
        <w:tc>
          <w:tcPr>
            <w:tcW w:w="2552" w:type="dxa"/>
          </w:tcPr>
          <w:p>
            <w:pPr>
              <w:pStyle w:val="nTable"/>
              <w:keepNext/>
              <w:keepLines/>
              <w:spacing w:after="40"/>
            </w:pPr>
            <w:r>
              <w:t>4 Jul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Rights in Water and Irrigation Amendment Act 2000 </w:t>
            </w:r>
            <w:r>
              <w:t>s. 86</w:t>
            </w:r>
          </w:p>
        </w:tc>
        <w:tc>
          <w:tcPr>
            <w:tcW w:w="1134" w:type="dxa"/>
          </w:tcPr>
          <w:p>
            <w:pPr>
              <w:pStyle w:val="nTable"/>
              <w:spacing w:after="40"/>
            </w:pPr>
            <w:r>
              <w:t>49 of 2000</w:t>
            </w:r>
          </w:p>
        </w:tc>
        <w:tc>
          <w:tcPr>
            <w:tcW w:w="1134" w:type="dxa"/>
          </w:tcPr>
          <w:p>
            <w:pPr>
              <w:pStyle w:val="nTable"/>
              <w:spacing w:after="40"/>
            </w:pPr>
            <w:r>
              <w:t>28 Nov 2000</w:t>
            </w:r>
          </w:p>
        </w:tc>
        <w:tc>
          <w:tcPr>
            <w:tcW w:w="2552" w:type="dxa"/>
          </w:tcPr>
          <w:p>
            <w:pPr>
              <w:pStyle w:val="nTable"/>
              <w:spacing w:after="40"/>
            </w:pPr>
            <w:r>
              <w:t xml:space="preserve">10 Jan 2001 (see s. 2 and </w:t>
            </w:r>
            <w:r>
              <w:rPr>
                <w:i/>
              </w:rPr>
              <w:t xml:space="preserve">Gazette </w:t>
            </w:r>
            <w:r>
              <w:t>10 Jan 2001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(Australian Datum) Act 2000 </w:t>
            </w:r>
            <w:r>
              <w:t>s. 5</w:t>
            </w:r>
          </w:p>
        </w:tc>
        <w:tc>
          <w:tcPr>
            <w:tcW w:w="1134" w:type="dxa"/>
          </w:tcPr>
          <w:p>
            <w:pPr>
              <w:pStyle w:val="nTable"/>
              <w:spacing w:after="40"/>
            </w:pPr>
            <w:r>
              <w:t>54 of 2000</w:t>
            </w:r>
          </w:p>
        </w:tc>
        <w:tc>
          <w:tcPr>
            <w:tcW w:w="1134" w:type="dxa"/>
          </w:tcPr>
          <w:p>
            <w:pPr>
              <w:pStyle w:val="nTable"/>
              <w:spacing w:after="40"/>
            </w:pPr>
            <w:r>
              <w:t>28 Nov 2000</w:t>
            </w:r>
          </w:p>
        </w:tc>
        <w:tc>
          <w:tcPr>
            <w:tcW w:w="2552" w:type="dxa"/>
          </w:tcPr>
          <w:p>
            <w:pPr>
              <w:pStyle w:val="nTable"/>
              <w:spacing w:after="40"/>
            </w:pPr>
            <w:r>
              <w:t xml:space="preserve">16 Dec 2000 (see s. 2 and </w:t>
            </w:r>
            <w:r>
              <w:rPr>
                <w:i/>
              </w:rPr>
              <w:t>Gazette</w:t>
            </w:r>
            <w:r>
              <w:t xml:space="preserve"> 15 Dec 2000 p. 7201)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Mining Amendment Act 2000</w:t>
            </w:r>
          </w:p>
        </w:tc>
        <w:tc>
          <w:tcPr>
            <w:tcW w:w="1134" w:type="dxa"/>
          </w:tcPr>
          <w:p>
            <w:pPr>
              <w:pStyle w:val="nTable"/>
              <w:spacing w:after="40"/>
            </w:pPr>
            <w:r>
              <w:t>63 of 2000</w:t>
            </w:r>
          </w:p>
        </w:tc>
        <w:tc>
          <w:tcPr>
            <w:tcW w:w="1134" w:type="dxa"/>
          </w:tcPr>
          <w:p>
            <w:pPr>
              <w:pStyle w:val="nTable"/>
              <w:spacing w:after="40"/>
            </w:pPr>
            <w:r>
              <w:t>4 Dec 2000</w:t>
            </w:r>
          </w:p>
        </w:tc>
        <w:tc>
          <w:tcPr>
            <w:tcW w:w="2552" w:type="dxa"/>
          </w:tcPr>
          <w:p>
            <w:pPr>
              <w:pStyle w:val="nTable"/>
              <w:spacing w:after="40"/>
            </w:pPr>
            <w:r>
              <w:t>s. 1 and 2: 4 Dec 2000;</w:t>
            </w:r>
            <w:r>
              <w:br/>
              <w:t xml:space="preserve">Act other than s. 1 and 2: 3 Feb 2001 (see s. 2 and </w:t>
            </w:r>
            <w:r>
              <w:rPr>
                <w:i/>
              </w:rPr>
              <w:t>Gazette</w:t>
            </w:r>
            <w:r>
              <w:t xml:space="preserve"> 2 Feb 2001 p. 697)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2001</w:t>
            </w:r>
            <w:r>
              <w:t xml:space="preserve"> Pt. 39</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ind w:right="113"/>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ind w:right="113"/>
            </w:pPr>
            <w:r>
              <w:rPr>
                <w:b/>
              </w:rPr>
              <w:t xml:space="preserve">Reprint of the </w:t>
            </w:r>
            <w:r>
              <w:rPr>
                <w:b/>
                <w:i/>
              </w:rPr>
              <w:t>Mining Act 1978</w:t>
            </w:r>
            <w:r>
              <w:rPr>
                <w:b/>
              </w:rPr>
              <w:t xml:space="preserve"> as at 7 Sep 2001 </w:t>
            </w:r>
            <w:r>
              <w:t xml:space="preserve">(includes amendments listed above except those in the </w:t>
            </w:r>
            <w:r>
              <w:rPr>
                <w:i/>
              </w:rPr>
              <w:t>Mining Amendment Act 1996</w:t>
            </w:r>
            <w:r>
              <w:t xml:space="preserve"> s. 3, 4, 6, 8, 11, 12 and 14</w:t>
            </w:r>
            <w:r>
              <w:noBreakHyphen/>
              <w:t xml:space="preserve">22)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lastRenderedPageBreak/>
              <w:t>Mining Amendment Act 2002</w:t>
            </w:r>
          </w:p>
        </w:tc>
        <w:tc>
          <w:tcPr>
            <w:tcW w:w="1134" w:type="dxa"/>
          </w:tcPr>
          <w:p>
            <w:pPr>
              <w:pStyle w:val="nTable"/>
              <w:spacing w:after="40"/>
            </w:pPr>
            <w:r>
              <w:t>15 of 2002</w:t>
            </w:r>
          </w:p>
        </w:tc>
        <w:tc>
          <w:tcPr>
            <w:tcW w:w="1134" w:type="dxa"/>
          </w:tcPr>
          <w:p>
            <w:pPr>
              <w:pStyle w:val="nTable"/>
              <w:spacing w:after="40"/>
            </w:pPr>
            <w:r>
              <w:t>8 Jul 2002</w:t>
            </w:r>
          </w:p>
        </w:tc>
        <w:tc>
          <w:tcPr>
            <w:tcW w:w="2552" w:type="dxa"/>
          </w:tcPr>
          <w:p>
            <w:pPr>
              <w:pStyle w:val="nTable"/>
              <w:spacing w:after="40"/>
              <w:ind w:right="113"/>
            </w:pPr>
            <w:r>
              <w:t>s. 1 and 2: 8 Jul 2002;</w:t>
            </w:r>
            <w:r>
              <w:br/>
              <w:t xml:space="preserve">s. 23: 15 Jul 2001 (see s. 2(3) and Cwlth. </w:t>
            </w:r>
            <w:r>
              <w:rPr>
                <w:i/>
              </w:rPr>
              <w:t xml:space="preserve">Gazette </w:t>
            </w:r>
            <w:r>
              <w:t>13 Jul 2001 No. S285);</w:t>
            </w:r>
            <w:r>
              <w:br/>
              <w:t xml:space="preserve">Act other than s. 1, 2, 12 and 23: 18 Jan 2003 (see s. 2(1) and (2) and </w:t>
            </w:r>
            <w:r>
              <w:rPr>
                <w:i/>
              </w:rPr>
              <w:t>Gazette</w:t>
            </w:r>
            <w:r>
              <w:t xml:space="preserve"> 17 Jan 2003 p. 105);</w:t>
            </w:r>
            <w:r>
              <w:br/>
              <w:t xml:space="preserve">s. 12: 10 Feb 2006 (see s. 2(2) and </w:t>
            </w:r>
            <w:r>
              <w:rPr>
                <w:i/>
              </w:rPr>
              <w:t>Gazette</w:t>
            </w:r>
            <w:r>
              <w:t xml:space="preserve"> 3 Feb 2006 p. 516)</w:t>
            </w:r>
            <w:r>
              <w:rPr>
                <w:vertAlign w:val="superscript"/>
              </w:rPr>
              <w:t> 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Offshore Minerals (Consequential Amendments) Act 2003</w:t>
            </w:r>
            <w:r>
              <w:t xml:space="preserve"> Pt. 2</w:t>
            </w:r>
          </w:p>
        </w:tc>
        <w:tc>
          <w:tcPr>
            <w:tcW w:w="1134" w:type="dxa"/>
          </w:tcPr>
          <w:p>
            <w:pPr>
              <w:pStyle w:val="nTable"/>
              <w:spacing w:after="40"/>
            </w:pPr>
            <w:r>
              <w:t>12 of 2003</w:t>
            </w:r>
          </w:p>
        </w:tc>
        <w:tc>
          <w:tcPr>
            <w:tcW w:w="1134" w:type="dxa"/>
          </w:tcPr>
          <w:p>
            <w:pPr>
              <w:pStyle w:val="nTable"/>
              <w:spacing w:after="40"/>
            </w:pPr>
            <w:r>
              <w:t>17 Apr 2003</w:t>
            </w:r>
          </w:p>
        </w:tc>
        <w:tc>
          <w:tcPr>
            <w:tcW w:w="2552" w:type="dxa"/>
          </w:tcPr>
          <w:p>
            <w:pPr>
              <w:pStyle w:val="nTable"/>
              <w:spacing w:after="40"/>
              <w:ind w:right="113"/>
            </w:pPr>
            <w:r>
              <w:t xml:space="preserve">1 Jan 2011 (see s. 2 and </w:t>
            </w:r>
            <w:r>
              <w:rPr>
                <w:i/>
                <w:iCs/>
              </w:rPr>
              <w:t xml:space="preserve">Gazette </w:t>
            </w:r>
            <w:r>
              <w:t>17 Dec 2010 p. 6350)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(Equality of Status) Act 2003</w:t>
            </w:r>
            <w:r>
              <w:t xml:space="preserve"> Pt. 46</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ind w:right="113"/>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and Repeal (Courts and Legal Practice) Act 2003</w:t>
            </w:r>
            <w:r>
              <w:t xml:space="preserve"> s. 52</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ind w:right="113"/>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2004</w:t>
            </w:r>
            <w:r>
              <w:rPr>
                <w:vertAlign w:val="superscript"/>
              </w:rPr>
              <w:t> 14</w:t>
            </w:r>
          </w:p>
        </w:tc>
        <w:tc>
          <w:tcPr>
            <w:tcW w:w="1134" w:type="dxa"/>
          </w:tcPr>
          <w:p>
            <w:pPr>
              <w:pStyle w:val="nTable"/>
              <w:spacing w:after="40"/>
            </w:pPr>
            <w:r>
              <w:t>39 of 2004 (as amended by No. 19 of 2008 Pt. 2 and No. 51 of 2012 Pt. 3)</w:t>
            </w:r>
          </w:p>
        </w:tc>
        <w:tc>
          <w:tcPr>
            <w:tcW w:w="1134" w:type="dxa"/>
          </w:tcPr>
          <w:p>
            <w:pPr>
              <w:pStyle w:val="nTable"/>
              <w:spacing w:after="40"/>
            </w:pPr>
            <w:r>
              <w:t>3 Nov 2004</w:t>
            </w:r>
          </w:p>
        </w:tc>
        <w:tc>
          <w:tcPr>
            <w:tcW w:w="2552" w:type="dxa"/>
          </w:tcPr>
          <w:p>
            <w:pPr>
              <w:pStyle w:val="nTable"/>
              <w:spacing w:after="40"/>
              <w:ind w:right="113"/>
            </w:pPr>
            <w:r>
              <w:rPr>
                <w:snapToGrid w:val="0"/>
              </w:rPr>
              <w:t>s. 1 and 2: 3 Nov 2004;</w:t>
            </w:r>
            <w:r>
              <w:rPr>
                <w:snapToGrid w:val="0"/>
              </w:rPr>
              <w:br/>
              <w:t>Act other than s. 1 and 2 and Pt. 9:</w:t>
            </w:r>
            <w:r>
              <w:t xml:space="preserve"> </w:t>
            </w:r>
            <w:r>
              <w:rPr>
                <w:snapToGrid w:val="0"/>
              </w:rPr>
              <w:t xml:space="preserve">10 Feb 2006 (see s. 2 and </w:t>
            </w:r>
            <w:r>
              <w:rPr>
                <w:i/>
                <w:snapToGrid w:val="0"/>
              </w:rPr>
              <w:t>Gazette</w:t>
            </w:r>
            <w:r>
              <w:rPr>
                <w:snapToGrid w:val="0"/>
              </w:rPr>
              <w:t xml:space="preserve"> 3 Feb 2006 p. 516);</w:t>
            </w:r>
            <w:r>
              <w:rPr>
                <w:snapToGrid w:val="0"/>
              </w:rPr>
              <w:br/>
              <w:t xml:space="preserve">Pt. 9: 31 Mar 2007 (see s. 2 and </w:t>
            </w:r>
            <w:r>
              <w:rPr>
                <w:i/>
                <w:iCs/>
                <w:snapToGrid w:val="0"/>
              </w:rPr>
              <w:t>Gazette</w:t>
            </w:r>
            <w:r>
              <w:rPr>
                <w:snapToGrid w:val="0"/>
              </w:rPr>
              <w:t xml:space="preserve"> 9 Mar 2007 p. 847)</w:t>
            </w:r>
            <w:r>
              <w:rPr>
                <w:snapToGrid w:val="0"/>
                <w:vertAlign w:val="superscript"/>
              </w:rPr>
              <w:t> 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ind w:right="113"/>
            </w:pPr>
            <w:r>
              <w:rPr>
                <w:snapToGrid w:val="0"/>
              </w:rPr>
              <w:t xml:space="preserve">1 Feb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Courts Legislation Amendment and Repeal Act 2004</w:t>
            </w:r>
            <w:r>
              <w:rPr>
                <w:snapToGrid w:val="0"/>
              </w:rPr>
              <w:t xml:space="preserve"> Pt. 15</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2" w:type="dxa"/>
          </w:tcPr>
          <w:p>
            <w:pPr>
              <w:pStyle w:val="nTable"/>
              <w:spacing w:after="40"/>
              <w:ind w:right="113"/>
              <w:rPr>
                <w:snapToGrid w:val="0"/>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tabs>
                <w:tab w:val="left" w:pos="653"/>
              </w:tabs>
              <w:spacing w:after="40"/>
            </w:pPr>
            <w:r>
              <w:rPr>
                <w:i/>
              </w:rPr>
              <w:t>State Administrative Tribunal (Conferral of Jurisdiction) Amendment and Repeal Act 2004</w:t>
            </w:r>
            <w:r>
              <w:t xml:space="preserve"> s. 570</w:t>
            </w:r>
            <w:r>
              <w:rPr>
                <w:vertAlign w:val="superscript"/>
              </w:rPr>
              <w:t> 16</w:t>
            </w:r>
          </w:p>
        </w:tc>
        <w:tc>
          <w:tcPr>
            <w:tcW w:w="1134" w:type="dxa"/>
            <w:tcBorders>
              <w:top w:val="nil"/>
              <w:bottom w:val="nil"/>
            </w:tcBorders>
          </w:tcPr>
          <w:p>
            <w:pPr>
              <w:pStyle w:val="nTable"/>
              <w:spacing w:after="40"/>
            </w:pPr>
            <w:r>
              <w:t>55 of 2004</w:t>
            </w:r>
          </w:p>
        </w:tc>
        <w:tc>
          <w:tcPr>
            <w:tcW w:w="1134" w:type="dxa"/>
            <w:tcBorders>
              <w:top w:val="nil"/>
              <w:bottom w:val="nil"/>
            </w:tcBorders>
          </w:tcPr>
          <w:p>
            <w:pPr>
              <w:pStyle w:val="nTable"/>
              <w:spacing w:after="40"/>
            </w:pPr>
            <w:r>
              <w:t>24 Nov 2004</w:t>
            </w:r>
          </w:p>
        </w:tc>
        <w:tc>
          <w:tcPr>
            <w:tcW w:w="2552" w:type="dxa"/>
            <w:tcBorders>
              <w:top w:val="nil"/>
              <w:bottom w:val="nil"/>
            </w:tcBorders>
          </w:tcPr>
          <w:p>
            <w:pPr>
              <w:pStyle w:val="nTable"/>
              <w:spacing w:after="40"/>
            </w:pPr>
            <w:r>
              <w:t xml:space="preserve">1 Jan 2005 (see s. 2 and </w:t>
            </w:r>
            <w:r>
              <w:rPr>
                <w:i/>
              </w:rPr>
              <w:t>Gazette</w:t>
            </w:r>
            <w: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rPr>
            </w:pPr>
            <w:r>
              <w:rPr>
                <w:i/>
                <w:snapToGrid w:val="0"/>
              </w:rPr>
              <w:t xml:space="preserve">Criminal Law Amendment (Simple Offences) Act 2004 </w:t>
            </w:r>
            <w:r>
              <w:rPr>
                <w:snapToGrid w:val="0"/>
              </w:rPr>
              <w:t>s. 82</w:t>
            </w:r>
          </w:p>
        </w:tc>
        <w:tc>
          <w:tcPr>
            <w:tcW w:w="1134" w:type="dxa"/>
            <w:tcBorders>
              <w:top w:val="nil"/>
              <w:bottom w:val="nil"/>
            </w:tcBorders>
          </w:tcPr>
          <w:p>
            <w:pPr>
              <w:pStyle w:val="nTable"/>
              <w:spacing w:after="40"/>
            </w:pPr>
            <w:r>
              <w:rPr>
                <w:snapToGrid w:val="0"/>
              </w:rPr>
              <w:t>70 of 2004</w:t>
            </w:r>
          </w:p>
        </w:tc>
        <w:tc>
          <w:tcPr>
            <w:tcW w:w="1134" w:type="dxa"/>
            <w:tcBorders>
              <w:top w:val="nil"/>
              <w:bottom w:val="nil"/>
            </w:tcBorders>
          </w:tcPr>
          <w:p>
            <w:pPr>
              <w:pStyle w:val="nTable"/>
              <w:spacing w:after="40"/>
            </w:pPr>
            <w:r>
              <w:rPr>
                <w:snapToGrid w:val="0"/>
              </w:rPr>
              <w:t>8 Dec 2004</w:t>
            </w:r>
          </w:p>
        </w:tc>
        <w:tc>
          <w:tcPr>
            <w:tcW w:w="2552" w:type="dxa"/>
            <w:tcBorders>
              <w:top w:val="nil"/>
              <w:bottom w:val="nil"/>
            </w:tcBorders>
          </w:tcPr>
          <w:p>
            <w:pPr>
              <w:pStyle w:val="nTable"/>
              <w:spacing w:after="40"/>
            </w:pPr>
            <w:r>
              <w:rPr>
                <w:snapToGrid w:val="0"/>
              </w:rPr>
              <w:t xml:space="preserve">31 May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vertAlign w:val="superscript"/>
              </w:rPr>
            </w:pPr>
            <w:r>
              <w:rPr>
                <w:i/>
                <w:snapToGrid w:val="0"/>
              </w:rPr>
              <w:lastRenderedPageBreak/>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rPr>
                <w:i/>
              </w:rPr>
            </w:pPr>
            <w:r>
              <w:rPr>
                <w:i/>
              </w:rPr>
              <w:t>Oaths, Affidavits and Statutory Declarations (Consequential Provisions) Act 2005</w:t>
            </w:r>
            <w:r>
              <w:t xml:space="preserve"> Pt. 15 (s. 61</w:t>
            </w:r>
            <w:r>
              <w:noBreakHyphen/>
              <w:t>62)</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s. 61: 1 Jan 2006 (see s. 2 and </w:t>
            </w:r>
            <w:r>
              <w:rPr>
                <w:i/>
              </w:rPr>
              <w:t>Gazette</w:t>
            </w:r>
            <w:r>
              <w:t xml:space="preserve"> 23 Dec 2005 p. 6244);</w:t>
            </w:r>
            <w:r>
              <w:br/>
              <w:t xml:space="preserve">s. 62: 31 Mar 2007 (see s. 2(3) and </w:t>
            </w:r>
            <w:r>
              <w:rPr>
                <w:i/>
                <w:iCs/>
              </w:rPr>
              <w:t>Gazette</w:t>
            </w:r>
            <w:r>
              <w:t xml:space="preserve"> 9 Mar 2007 p. 847)</w:t>
            </w:r>
          </w:p>
        </w:tc>
      </w:tr>
      <w:tr>
        <w:tblPrEx>
          <w:tblBorders>
            <w:top w:val="none" w:sz="0" w:space="0" w:color="auto"/>
            <w:bottom w:val="none" w:sz="0" w:space="0" w:color="auto"/>
            <w:insideH w:val="none" w:sz="0" w:space="0" w:color="auto"/>
          </w:tblBorders>
        </w:tblPrEx>
        <w:tc>
          <w:tcPr>
            <w:tcW w:w="2268" w:type="dxa"/>
          </w:tcPr>
          <w:p>
            <w:pPr>
              <w:pStyle w:val="nTable"/>
              <w:keepNext/>
              <w:spacing w:after="40"/>
              <w:ind w:right="113"/>
              <w:rPr>
                <w:i/>
              </w:rPr>
            </w:pPr>
            <w:r>
              <w:rPr>
                <w:i/>
              </w:rPr>
              <w:t>Mining Amendment Act 2005</w:t>
            </w:r>
          </w:p>
        </w:tc>
        <w:tc>
          <w:tcPr>
            <w:tcW w:w="1134" w:type="dxa"/>
          </w:tcPr>
          <w:p>
            <w:pPr>
              <w:pStyle w:val="nTable"/>
              <w:keepNext/>
              <w:spacing w:after="40"/>
            </w:pPr>
            <w:r>
              <w:t>27 of 2005</w:t>
            </w:r>
          </w:p>
        </w:tc>
        <w:tc>
          <w:tcPr>
            <w:tcW w:w="1134" w:type="dxa"/>
          </w:tcPr>
          <w:p>
            <w:pPr>
              <w:pStyle w:val="nTable"/>
              <w:keepNext/>
              <w:spacing w:after="40"/>
            </w:pPr>
            <w:r>
              <w:t>12 Dec 2005</w:t>
            </w:r>
          </w:p>
        </w:tc>
        <w:tc>
          <w:tcPr>
            <w:tcW w:w="2552" w:type="dxa"/>
          </w:tcPr>
          <w:p>
            <w:pPr>
              <w:pStyle w:val="nTable"/>
              <w:keepNext/>
              <w:spacing w:after="40"/>
            </w:pPr>
            <w:r>
              <w:t>s. 1 and 2: 12 Dec 2005;</w:t>
            </w:r>
            <w:r>
              <w:br/>
              <w:t xml:space="preserve">Act other than s. 1 and 2: 10 Feb 2006 (see s. 2 and </w:t>
            </w:r>
            <w:r>
              <w:rPr>
                <w:i/>
              </w:rPr>
              <w:t>Gazette</w:t>
            </w:r>
            <w:r>
              <w:t xml:space="preserve"> 3 Feb 2006 p. 516)</w:t>
            </w:r>
          </w:p>
        </w:tc>
      </w:tr>
      <w:tr>
        <w:tblPrEx>
          <w:tblBorders>
            <w:top w:val="none" w:sz="0" w:space="0" w:color="auto"/>
            <w:bottom w:val="none" w:sz="0" w:space="0" w:color="auto"/>
            <w:insideH w:val="none" w:sz="0" w:space="0" w:color="auto"/>
          </w:tblBorders>
        </w:tblPrEx>
        <w:tc>
          <w:tcPr>
            <w:tcW w:w="2268" w:type="dxa"/>
          </w:tcPr>
          <w:p>
            <w:pPr>
              <w:pStyle w:val="nTable"/>
              <w:keepNext/>
              <w:spacing w:after="40"/>
              <w:ind w:right="113"/>
              <w:rPr>
                <w:i/>
              </w:rPr>
            </w:pPr>
            <w:r>
              <w:rPr>
                <w:i/>
                <w:snapToGrid w:val="0"/>
              </w:rPr>
              <w:t>Planning and Development (Consequential and Transitional Provisions) Act 2005</w:t>
            </w:r>
            <w:r>
              <w:rPr>
                <w:iCs/>
              </w:rPr>
              <w:t xml:space="preserve"> s. 15</w:t>
            </w:r>
          </w:p>
        </w:tc>
        <w:tc>
          <w:tcPr>
            <w:tcW w:w="1134" w:type="dxa"/>
          </w:tcPr>
          <w:p>
            <w:pPr>
              <w:pStyle w:val="nTable"/>
              <w:keepNext/>
              <w:spacing w:after="40"/>
            </w:pPr>
            <w:r>
              <w:rPr>
                <w:snapToGrid w:val="0"/>
              </w:rPr>
              <w:t>38 of 2005</w:t>
            </w:r>
          </w:p>
        </w:tc>
        <w:tc>
          <w:tcPr>
            <w:tcW w:w="1134" w:type="dxa"/>
          </w:tcPr>
          <w:p>
            <w:pPr>
              <w:pStyle w:val="nTable"/>
              <w:keepNext/>
              <w:spacing w:after="40"/>
            </w:pPr>
            <w:r>
              <w:t>12 Dec 2005</w:t>
            </w:r>
          </w:p>
        </w:tc>
        <w:tc>
          <w:tcPr>
            <w:tcW w:w="2552" w:type="dxa"/>
          </w:tcPr>
          <w:p>
            <w:pPr>
              <w:pStyle w:val="nTable"/>
              <w:keepNext/>
              <w:spacing w:after="40"/>
            </w:pPr>
            <w:r>
              <w:t xml:space="preserve">9 Apr 2006 (see s. 2 and </w:t>
            </w:r>
            <w:r>
              <w:rPr>
                <w:i/>
                <w:iCs/>
              </w:rPr>
              <w:t>Gazette</w:t>
            </w:r>
            <w:r>
              <w:t xml:space="preserve"> 21 Mar 2006 p. 1078)</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6:  The </w:t>
            </w:r>
            <w:r>
              <w:rPr>
                <w:b/>
                <w:i/>
              </w:rPr>
              <w:t>Mining Act 1978</w:t>
            </w:r>
            <w:r>
              <w:rPr>
                <w:b/>
              </w:rPr>
              <w:t xml:space="preserve"> as at 10 Apr 2006 </w:t>
            </w:r>
            <w:r>
              <w:t xml:space="preserve">(includes amendments listed above except those in the </w:t>
            </w:r>
            <w:r>
              <w:rPr>
                <w:i/>
              </w:rPr>
              <w:t>Offshore Minerals (Consequential Amendments) Act 2003</w:t>
            </w:r>
            <w:r>
              <w:t>, the</w:t>
            </w:r>
            <w:r>
              <w:rPr>
                <w:i/>
              </w:rPr>
              <w:t xml:space="preserve"> Mining Amendment Act 2004</w:t>
            </w:r>
            <w:r>
              <w:rPr>
                <w:iCs/>
              </w:rPr>
              <w:t xml:space="preserve"> Pt. 9 and the </w:t>
            </w:r>
            <w:r>
              <w:rPr>
                <w:i/>
              </w:rPr>
              <w:t>Oaths, Affidavits and Statutory Declarations (Consequential Provisions) Act 2005</w:t>
            </w:r>
            <w:r>
              <w:rPr>
                <w:iCs/>
              </w:rPr>
              <w:t xml:space="preserve"> s. 62</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Petroleum Amendment Act 2007</w:t>
            </w:r>
            <w:r>
              <w:rPr>
                <w:iCs/>
                <w:snapToGrid w:val="0"/>
              </w:rPr>
              <w:t xml:space="preserve"> s. 100</w:t>
            </w:r>
          </w:p>
        </w:tc>
        <w:tc>
          <w:tcPr>
            <w:tcW w:w="1134" w:type="dxa"/>
          </w:tcPr>
          <w:p>
            <w:pPr>
              <w:pStyle w:val="nTable"/>
              <w:keepNext/>
              <w:spacing w:after="40"/>
              <w:rPr>
                <w:snapToGrid w:val="0"/>
              </w:rPr>
            </w:pPr>
            <w: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iCs/>
                <w:snapToGrid w:val="0"/>
              </w:rPr>
              <w:t>Legal Profession Act 2008</w:t>
            </w:r>
            <w:r>
              <w:rPr>
                <w:snapToGrid w:val="0"/>
              </w:rPr>
              <w:t xml:space="preserve"> s. 681</w:t>
            </w:r>
          </w:p>
        </w:tc>
        <w:tc>
          <w:tcPr>
            <w:tcW w:w="1134" w:type="dxa"/>
          </w:tcPr>
          <w:p>
            <w:pPr>
              <w:pStyle w:val="nTable"/>
              <w:keepNext/>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Revenue Laws Amendment Act (No. 2) 2008</w:t>
            </w:r>
            <w:r>
              <w:rPr>
                <w:iCs/>
                <w:snapToGrid w:val="0"/>
              </w:rPr>
              <w:t xml:space="preserve"> Pt. 2 Div. 2</w:t>
            </w:r>
          </w:p>
        </w:tc>
        <w:tc>
          <w:tcPr>
            <w:tcW w:w="1134" w:type="dxa"/>
          </w:tcPr>
          <w:p>
            <w:pPr>
              <w:pStyle w:val="nTable"/>
              <w:keepNext/>
              <w:spacing w:after="40"/>
            </w:pPr>
            <w:r>
              <w:t>31 of 2008</w:t>
            </w:r>
          </w:p>
        </w:tc>
        <w:tc>
          <w:tcPr>
            <w:tcW w:w="1134" w:type="dxa"/>
          </w:tcPr>
          <w:p>
            <w:pPr>
              <w:pStyle w:val="nTable"/>
              <w:spacing w:after="40"/>
            </w:pPr>
            <w:r>
              <w:t>27 Jun 2008</w:t>
            </w:r>
          </w:p>
        </w:tc>
        <w:tc>
          <w:tcPr>
            <w:tcW w:w="2552" w:type="dxa"/>
          </w:tcPr>
          <w:p>
            <w:pPr>
              <w:pStyle w:val="nTable"/>
              <w:spacing w:after="40"/>
            </w:pPr>
            <w: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rPr>
              <w:t>Statutes (Repeals and Miscellaneous Amendments) Act 2009</w:t>
            </w:r>
            <w:r>
              <w:rPr>
                <w:iCs/>
              </w:rPr>
              <w:t xml:space="preserve"> s. 8</w:t>
            </w:r>
          </w:p>
        </w:tc>
        <w:tc>
          <w:tcPr>
            <w:tcW w:w="1134" w:type="dxa"/>
          </w:tcPr>
          <w:p>
            <w:pPr>
              <w:pStyle w:val="nTable"/>
              <w:keepNext/>
              <w:spacing w:after="40"/>
            </w:pPr>
            <w:r>
              <w:t>8 of 2009</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7:  The </w:t>
            </w:r>
            <w:r>
              <w:rPr>
                <w:b/>
                <w:i/>
              </w:rPr>
              <w:t>Mining Act 1978</w:t>
            </w:r>
            <w:r>
              <w:rPr>
                <w:b/>
              </w:rPr>
              <w:t xml:space="preserve"> as at 3 Jul 2009 </w:t>
            </w:r>
            <w:r>
              <w:t xml:space="preserve">(includes amendments listed above except those in the </w:t>
            </w:r>
            <w:r>
              <w:rPr>
                <w:i/>
              </w:rPr>
              <w:t>Offshore Minerals (Consequential Amendments) Act 2003</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Approvals and Related Reforms (No. 3) (Crown Land) Act 2010</w:t>
            </w:r>
            <w:r>
              <w:rPr>
                <w:iCs/>
                <w:snapToGrid w:val="0"/>
              </w:rPr>
              <w:t xml:space="preserve"> Pt. 6</w:t>
            </w:r>
          </w:p>
        </w:tc>
        <w:tc>
          <w:tcPr>
            <w:tcW w:w="1134" w:type="dxa"/>
          </w:tcPr>
          <w:p>
            <w:pPr>
              <w:pStyle w:val="nTable"/>
              <w:spacing w:after="40"/>
              <w:rPr>
                <w:snapToGrid w:val="0"/>
              </w:rPr>
            </w:pPr>
            <w:r>
              <w:rPr>
                <w:snapToGrid w:val="0"/>
              </w:rPr>
              <w:t>8 of 2010</w:t>
            </w:r>
          </w:p>
        </w:tc>
        <w:tc>
          <w:tcPr>
            <w:tcW w:w="1134" w:type="dxa"/>
          </w:tcPr>
          <w:p>
            <w:pPr>
              <w:pStyle w:val="nTable"/>
              <w:spacing w:after="40"/>
              <w:rPr>
                <w:snapToGrid w:val="0"/>
              </w:rPr>
            </w:pPr>
            <w:r>
              <w:rPr>
                <w:snapToGrid w:val="0"/>
              </w:rPr>
              <w:t>3 Jun 2010</w:t>
            </w:r>
          </w:p>
        </w:tc>
        <w:tc>
          <w:tcPr>
            <w:tcW w:w="2552" w:type="dxa"/>
          </w:tcPr>
          <w:p>
            <w:pPr>
              <w:pStyle w:val="nTable"/>
              <w:spacing w:after="40"/>
              <w:rPr>
                <w:snapToGrid w:val="0"/>
              </w:rPr>
            </w:pPr>
            <w:r>
              <w:rPr>
                <w:snapToGrid w:val="0"/>
              </w:rPr>
              <w:t xml:space="preserve">18 Sep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lastRenderedPageBreak/>
              <w:t>Approvals and Related Reforms (No. 2) (Mining) Act 2010</w:t>
            </w:r>
            <w:r>
              <w:rPr>
                <w:iCs/>
                <w:snapToGrid w:val="0"/>
              </w:rPr>
              <w:t xml:space="preserve"> Pt. 2 and 3</w:t>
            </w:r>
          </w:p>
        </w:tc>
        <w:tc>
          <w:tcPr>
            <w:tcW w:w="1134" w:type="dxa"/>
          </w:tcPr>
          <w:p>
            <w:pPr>
              <w:pStyle w:val="nTable"/>
              <w:spacing w:after="40"/>
              <w:rPr>
                <w:snapToGrid w:val="0"/>
              </w:rPr>
            </w:pPr>
            <w:r>
              <w:t>12 of 2010</w:t>
            </w:r>
          </w:p>
        </w:tc>
        <w:tc>
          <w:tcPr>
            <w:tcW w:w="1134" w:type="dxa"/>
          </w:tcPr>
          <w:p>
            <w:pPr>
              <w:pStyle w:val="nTable"/>
              <w:spacing w:after="40"/>
              <w:rPr>
                <w:snapToGrid w:val="0"/>
              </w:rPr>
            </w:pPr>
            <w:r>
              <w:t>3 Jun 2010</w:t>
            </w:r>
          </w:p>
        </w:tc>
        <w:tc>
          <w:tcPr>
            <w:tcW w:w="2552" w:type="dxa"/>
          </w:tcPr>
          <w:p>
            <w:pPr>
              <w:pStyle w:val="nTable"/>
              <w:spacing w:after="40"/>
              <w:rPr>
                <w:snapToGrid w:val="0"/>
              </w:rPr>
            </w:pPr>
            <w:r>
              <w:rPr>
                <w:snapToGrid w:val="0"/>
              </w:rPr>
              <w:t>Pt. 3: 21 Mar 2011</w:t>
            </w:r>
            <w:r>
              <w:rPr>
                <w:snapToGrid w:val="0"/>
              </w:rPr>
              <w:br/>
              <w:t xml:space="preserve">(see s. 2(b) and </w:t>
            </w:r>
            <w:r>
              <w:rPr>
                <w:i/>
                <w:snapToGrid w:val="0"/>
              </w:rPr>
              <w:t>Gazette</w:t>
            </w:r>
            <w:r>
              <w:rPr>
                <w:snapToGrid w:val="0"/>
              </w:rPr>
              <w:t xml:space="preserve"> 18 Mar 2011 p. 909);</w:t>
            </w:r>
            <w:r>
              <w:rPr>
                <w:snapToGrid w:val="0"/>
              </w:rPr>
              <w:br/>
              <w:t>Pt. 2: 1 Jul 2011</w:t>
            </w:r>
            <w:r>
              <w:rPr>
                <w:snapToGrid w:val="0"/>
              </w:rPr>
              <w:br/>
              <w:t xml:space="preserve">(see s. 2(b) and </w:t>
            </w:r>
            <w:r>
              <w:rPr>
                <w:i/>
                <w:snapToGrid w:val="0"/>
              </w:rPr>
              <w:t xml:space="preserve">Gazette </w:t>
            </w:r>
            <w:r>
              <w:rPr>
                <w:snapToGrid w:val="0"/>
              </w:rPr>
              <w:t>18 Mar 2011 p. 909)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snapToGrid w:val="0"/>
              </w:rPr>
            </w:pPr>
            <w:r>
              <w:rPr>
                <w:i/>
                <w:snapToGrid w:val="0"/>
              </w:rPr>
              <w:t>Personal Property Securities (Consequential Repeals and Amendments) Act 2011</w:t>
            </w:r>
            <w:r>
              <w:rPr>
                <w:snapToGrid w:val="0"/>
              </w:rPr>
              <w:t xml:space="preserve"> Pt. 9 Div. 1</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2" w:type="dxa"/>
          </w:tcPr>
          <w:p>
            <w:pPr>
              <w:pStyle w:val="nTable"/>
              <w:spacing w:after="40"/>
              <w:rPr>
                <w:snapToGrid w:val="0"/>
              </w:rPr>
            </w:pPr>
            <w:r>
              <w:rPr>
                <w:snapToGrid w:val="0"/>
              </w:rPr>
              <w:t>30 Jan 2012 (see s. 2(c) and Cwlth Legislative Instrument No. F2011L02397 cl. 5 registered 21 Nov 2011)</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pPr>
            <w:r>
              <w:rPr>
                <w:b/>
              </w:rPr>
              <w:t xml:space="preserve">Reprint 8:  The </w:t>
            </w:r>
            <w:r>
              <w:rPr>
                <w:b/>
                <w:i/>
              </w:rPr>
              <w:t>Mining Act 1978</w:t>
            </w:r>
            <w:r>
              <w:rPr>
                <w:b/>
              </w:rPr>
              <w:t xml:space="preserve"> as at 7 Oct 2011 </w:t>
            </w:r>
            <w:r>
              <w:t xml:space="preserve">(includes amendments listed above except those in the </w:t>
            </w:r>
            <w:r>
              <w:rPr>
                <w:i/>
                <w:snapToGrid w:val="0"/>
              </w:rPr>
              <w:t>Personal Property Securities (Consequential Repeals and Amendments) Act 2011</w:t>
            </w:r>
            <w:r>
              <w:t xml:space="preserve">) (correction to reprint in </w:t>
            </w:r>
            <w:r>
              <w:rPr>
                <w:i/>
              </w:rPr>
              <w:t>Gazette</w:t>
            </w:r>
            <w:r>
              <w:t xml:space="preserve"> 1 Jun 2012 p. 2282)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snapToGrid w:val="0"/>
              </w:rPr>
              <w:t>Mining Amendment Act 2012</w:t>
            </w:r>
          </w:p>
        </w:tc>
        <w:tc>
          <w:tcPr>
            <w:tcW w:w="1134" w:type="dxa"/>
          </w:tcPr>
          <w:p>
            <w:pPr>
              <w:pStyle w:val="nTable"/>
              <w:spacing w:after="40"/>
              <w:rPr>
                <w:snapToGrid w:val="0"/>
              </w:rPr>
            </w:pPr>
            <w:r>
              <w:rPr>
                <w:snapToGrid w:val="0"/>
              </w:rPr>
              <w:t>51 of 2012</w:t>
            </w:r>
          </w:p>
        </w:tc>
        <w:tc>
          <w:tcPr>
            <w:tcW w:w="1134" w:type="dxa"/>
          </w:tcPr>
          <w:p>
            <w:pPr>
              <w:pStyle w:val="nTable"/>
              <w:spacing w:after="40"/>
              <w:rPr>
                <w:snapToGrid w:val="0"/>
              </w:rPr>
            </w:pPr>
            <w:r>
              <w:t>29 Nov 2012</w:t>
            </w:r>
          </w:p>
        </w:tc>
        <w:tc>
          <w:tcPr>
            <w:tcW w:w="2552" w:type="dxa"/>
          </w:tcPr>
          <w:p>
            <w:pPr>
              <w:pStyle w:val="nTable"/>
              <w:spacing w:after="40"/>
              <w:rPr>
                <w:snapToGrid w:val="0"/>
              </w:rPr>
            </w:pPr>
            <w:r>
              <w:rPr>
                <w:snapToGrid w:val="0"/>
              </w:rPr>
              <w:t xml:space="preserve">2 Feb 2013 (see s. 2(b) and </w:t>
            </w:r>
            <w:r>
              <w:rPr>
                <w:i/>
                <w:snapToGrid w:val="0"/>
              </w:rPr>
              <w:t>Gazette</w:t>
            </w:r>
            <w:r>
              <w:rPr>
                <w:snapToGrid w:val="0"/>
              </w:rPr>
              <w:t xml:space="preserve"> 1 Feb 2013 p. 447)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Statutes (Repeals and Minor Amendments) Act 2014</w:t>
            </w:r>
            <w:r>
              <w:rPr>
                <w:snapToGrid w:val="0"/>
              </w:rPr>
              <w:t xml:space="preserve"> s. 29</w:t>
            </w:r>
          </w:p>
        </w:tc>
        <w:tc>
          <w:tcPr>
            <w:tcW w:w="1134" w:type="dxa"/>
          </w:tcPr>
          <w:p>
            <w:pPr>
              <w:pStyle w:val="nTable"/>
              <w:spacing w:after="40"/>
              <w:rPr>
                <w:snapToGrid w:val="0"/>
              </w:rPr>
            </w:pPr>
            <w:r>
              <w:rPr>
                <w:snapToGrid w:val="0"/>
              </w:rPr>
              <w:t>17 of 2014</w:t>
            </w:r>
          </w:p>
        </w:tc>
        <w:tc>
          <w:tcPr>
            <w:tcW w:w="1134" w:type="dxa"/>
          </w:tcPr>
          <w:p>
            <w:pPr>
              <w:pStyle w:val="nTable"/>
              <w:spacing w:after="40"/>
            </w:pPr>
            <w:r>
              <w:t>2 Jul 2014</w:t>
            </w:r>
          </w:p>
        </w:tc>
        <w:tc>
          <w:tcPr>
            <w:tcW w:w="2552"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t>Conservation and Land Management Amendment Act 2015</w:t>
            </w:r>
            <w:r>
              <w:rPr>
                <w:snapToGrid w:val="0"/>
              </w:rPr>
              <w:t xml:space="preserve"> s. 77</w:t>
            </w:r>
          </w:p>
        </w:tc>
        <w:tc>
          <w:tcPr>
            <w:tcW w:w="1134" w:type="dxa"/>
            <w:shd w:val="clear" w:color="auto" w:fill="auto"/>
          </w:tcPr>
          <w:p>
            <w:pPr>
              <w:pStyle w:val="nTable"/>
              <w:spacing w:after="40"/>
              <w:rPr>
                <w:snapToGrid w:val="0"/>
              </w:rPr>
            </w:pPr>
            <w:r>
              <w:t>28 of 2015</w:t>
            </w:r>
          </w:p>
        </w:tc>
        <w:tc>
          <w:tcPr>
            <w:tcW w:w="1134" w:type="dxa"/>
            <w:shd w:val="clear" w:color="auto" w:fill="auto"/>
          </w:tcPr>
          <w:p>
            <w:pPr>
              <w:pStyle w:val="nTable"/>
              <w:spacing w:after="40"/>
            </w:pPr>
            <w:r>
              <w:t>19 Oct 2015</w:t>
            </w:r>
          </w:p>
        </w:tc>
        <w:tc>
          <w:tcPr>
            <w:tcW w:w="2552" w:type="dxa"/>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napToGrid w:val="0"/>
              </w:rPr>
            </w:pPr>
            <w:r>
              <w:rPr>
                <w:i/>
                <w:snapToGrid w:val="0"/>
              </w:rPr>
              <w:t>Alumina Refinery (Mitchell Plateau) Agreement (Termination) Act 2015</w:t>
            </w:r>
            <w:r>
              <w:rPr>
                <w:snapToGrid w:val="0"/>
              </w:rPr>
              <w:t xml:space="preserve"> Pt. 3</w:t>
            </w:r>
          </w:p>
        </w:tc>
        <w:tc>
          <w:tcPr>
            <w:tcW w:w="1134" w:type="dxa"/>
          </w:tcPr>
          <w:p>
            <w:pPr>
              <w:pStyle w:val="nTable"/>
              <w:spacing w:after="40"/>
              <w:rPr>
                <w:snapToGrid w:val="0"/>
              </w:rPr>
            </w:pPr>
            <w:r>
              <w:rPr>
                <w:snapToGrid w:val="0"/>
              </w:rPr>
              <w:t>31 of 2015</w:t>
            </w:r>
          </w:p>
        </w:tc>
        <w:tc>
          <w:tcPr>
            <w:tcW w:w="1134" w:type="dxa"/>
          </w:tcPr>
          <w:p>
            <w:pPr>
              <w:pStyle w:val="nTable"/>
              <w:spacing w:after="40"/>
            </w:pPr>
            <w:r>
              <w:t>2 Nov 2015</w:t>
            </w:r>
          </w:p>
        </w:tc>
        <w:tc>
          <w:tcPr>
            <w:tcW w:w="2552" w:type="dxa"/>
          </w:tcPr>
          <w:p>
            <w:pPr>
              <w:pStyle w:val="nTable"/>
              <w:spacing w:after="40"/>
              <w:rPr>
                <w:snapToGrid w:val="0"/>
              </w:rPr>
            </w:pPr>
            <w:r>
              <w:rPr>
                <w:snapToGrid w:val="0"/>
              </w:rPr>
              <w:t>3 Nov 2015 (see s. 2(b))</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(Transitional Provisions) (Anomalies Prevention) Order 2016</w:t>
            </w:r>
            <w:r>
              <w:t xml:space="preserve"> published in </w:t>
            </w:r>
            <w:r>
              <w:rPr>
                <w:i/>
              </w:rPr>
              <w:t>Gazette</w:t>
            </w:r>
            <w:r>
              <w:t xml:space="preserve"> 22 Jul 2016 p. 3134</w:t>
            </w:r>
          </w:p>
        </w:tc>
        <w:tc>
          <w:tcPr>
            <w:tcW w:w="2552" w:type="dxa"/>
          </w:tcPr>
          <w:p>
            <w:pPr>
              <w:pStyle w:val="nTable"/>
              <w:spacing w:after="40"/>
              <w:rPr>
                <w:snapToGrid w:val="0"/>
              </w:rPr>
            </w:pPr>
            <w:r>
              <w:t>22 Jul 2016 (see cl.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Licensing Provisions Amendment Act 2016</w:t>
            </w:r>
            <w:r>
              <w:rPr>
                <w:snapToGrid w:val="0"/>
              </w:rPr>
              <w:t xml:space="preserve"> Pt. 5</w:t>
            </w:r>
          </w:p>
        </w:tc>
        <w:tc>
          <w:tcPr>
            <w:tcW w:w="1134" w:type="dxa"/>
          </w:tcPr>
          <w:p>
            <w:pPr>
              <w:pStyle w:val="nTable"/>
              <w:spacing w:after="40"/>
              <w:rPr>
                <w:snapToGrid w:val="0"/>
              </w:rPr>
            </w:pPr>
            <w:r>
              <w:t>44 of 2016</w:t>
            </w:r>
          </w:p>
        </w:tc>
        <w:tc>
          <w:tcPr>
            <w:tcW w:w="1134" w:type="dxa"/>
          </w:tcPr>
          <w:p>
            <w:pPr>
              <w:pStyle w:val="nTable"/>
              <w:spacing w:after="40"/>
            </w:pPr>
            <w:r>
              <w:t>1 Dec 2016</w:t>
            </w:r>
          </w:p>
        </w:tc>
        <w:tc>
          <w:tcPr>
            <w:tcW w:w="2552" w:type="dxa"/>
          </w:tcPr>
          <w:p>
            <w:pPr>
              <w:pStyle w:val="nTable"/>
              <w:spacing w:after="40"/>
              <w:rPr>
                <w:snapToGrid w:val="0"/>
              </w:rPr>
            </w:pPr>
            <w:r>
              <w:rPr>
                <w:snapToGrid w:val="0"/>
              </w:rPr>
              <w:t xml:space="preserve">8 Feb 2017 (see s. 2(b) and </w:t>
            </w:r>
            <w:r>
              <w:rPr>
                <w:i/>
                <w:snapToGrid w:val="0"/>
              </w:rPr>
              <w:t>Gazette</w:t>
            </w:r>
            <w:r>
              <w:rPr>
                <w:snapToGrid w:val="0"/>
              </w:rPr>
              <w:t xml:space="preserve"> 7 Feb 2017 p. 1158)</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9: The </w:t>
            </w:r>
            <w:r>
              <w:rPr>
                <w:b/>
                <w:i/>
                <w:noProof/>
                <w:snapToGrid w:val="0"/>
              </w:rPr>
              <w:t>Mining Act 1978</w:t>
            </w:r>
            <w:r>
              <w:rPr>
                <w:b/>
                <w:snapToGrid w:val="0"/>
              </w:rPr>
              <w:t xml:space="preserve"> as at 10 Feb 2017</w:t>
            </w:r>
            <w:r>
              <w:rPr>
                <w:snapToGrid w:val="0"/>
              </w:rPr>
              <w:t xml:space="preserve"> (includes amendments listed above)</w:t>
            </w:r>
          </w:p>
        </w:tc>
      </w:tr>
      <w:tr>
        <w:trPr>
          <w:cantSplit/>
        </w:trPr>
        <w:tc>
          <w:tcPr>
            <w:tcW w:w="2268" w:type="dxa"/>
            <w:tcBorders>
              <w:top w:val="nil"/>
              <w:bottom w:val="nil"/>
            </w:tcBorders>
            <w:shd w:val="clear" w:color="auto" w:fill="auto"/>
          </w:tcPr>
          <w:p>
            <w:pPr>
              <w:pStyle w:val="nTable"/>
              <w:spacing w:after="40"/>
              <w:rPr>
                <w:b/>
                <w:snapToGrid w:val="0"/>
              </w:rPr>
            </w:pPr>
            <w:r>
              <w:rPr>
                <w:i/>
              </w:rPr>
              <w:t>Environmental Protection Amendment Act 2020</w:t>
            </w:r>
            <w:r>
              <w:t xml:space="preserve"> s. 116</w:t>
            </w:r>
          </w:p>
        </w:tc>
        <w:tc>
          <w:tcPr>
            <w:tcW w:w="1134" w:type="dxa"/>
            <w:tcBorders>
              <w:top w:val="nil"/>
              <w:bottom w:val="nil"/>
            </w:tcBorders>
            <w:shd w:val="clear" w:color="auto" w:fill="auto"/>
          </w:tcPr>
          <w:p>
            <w:pPr>
              <w:pStyle w:val="nTable"/>
              <w:spacing w:after="40"/>
              <w:rPr>
                <w:b/>
                <w:snapToGrid w:val="0"/>
              </w:rPr>
            </w:pPr>
            <w:r>
              <w:t>40 of 2020</w:t>
            </w:r>
          </w:p>
        </w:tc>
        <w:tc>
          <w:tcPr>
            <w:tcW w:w="1134" w:type="dxa"/>
            <w:tcBorders>
              <w:top w:val="nil"/>
              <w:bottom w:val="nil"/>
            </w:tcBorders>
            <w:shd w:val="clear" w:color="auto" w:fill="auto"/>
          </w:tcPr>
          <w:p>
            <w:pPr>
              <w:pStyle w:val="nTable"/>
              <w:spacing w:after="40"/>
              <w:rPr>
                <w:b/>
                <w:snapToGrid w:val="0"/>
              </w:rPr>
            </w:pPr>
            <w:r>
              <w:t>19 Nov 2020</w:t>
            </w:r>
          </w:p>
        </w:tc>
        <w:tc>
          <w:tcPr>
            <w:tcW w:w="2552" w:type="dxa"/>
            <w:tcBorders>
              <w:top w:val="nil"/>
              <w:bottom w:val="nil"/>
            </w:tcBorders>
            <w:shd w:val="clear" w:color="auto" w:fill="auto"/>
          </w:tcPr>
          <w:p>
            <w:pPr>
              <w:pStyle w:val="nTable"/>
              <w:spacing w:after="40"/>
              <w:rPr>
                <w:b/>
                <w:snapToGrid w:val="0"/>
              </w:rPr>
            </w:pPr>
            <w:r>
              <w:t>23 Oct 2021 (see s. 2(1)(e) and SL 2021/176 cl. 2)</w:t>
            </w:r>
          </w:p>
        </w:tc>
      </w:tr>
      <w:tr>
        <w:trPr>
          <w:cantSplit/>
        </w:trPr>
        <w:tc>
          <w:tcPr>
            <w:tcW w:w="2268" w:type="dxa"/>
            <w:tcBorders>
              <w:top w:val="nil"/>
              <w:bottom w:val="nil"/>
            </w:tcBorders>
            <w:shd w:val="clear" w:color="auto" w:fill="auto"/>
          </w:tcPr>
          <w:p>
            <w:pPr>
              <w:pStyle w:val="nTable"/>
              <w:spacing w:after="40"/>
              <w:rPr>
                <w:i/>
              </w:rPr>
            </w:pPr>
            <w:r>
              <w:rPr>
                <w:i/>
              </w:rPr>
              <w:lastRenderedPageBreak/>
              <w:t>Legal Profession Uniform Law Application Act 2022</w:t>
            </w:r>
            <w:r>
              <w:t xml:space="preserve"> s. 424</w:t>
            </w:r>
          </w:p>
        </w:tc>
        <w:tc>
          <w:tcPr>
            <w:tcW w:w="1134" w:type="dxa"/>
            <w:tcBorders>
              <w:top w:val="nil"/>
              <w:bottom w:val="nil"/>
            </w:tcBorders>
            <w:shd w:val="clear" w:color="auto" w:fill="auto"/>
          </w:tcPr>
          <w:p>
            <w:pPr>
              <w:pStyle w:val="nTable"/>
              <w:spacing w:after="40"/>
            </w:pPr>
            <w:r>
              <w:t>9 of 2022</w:t>
            </w:r>
          </w:p>
        </w:tc>
        <w:tc>
          <w:tcPr>
            <w:tcW w:w="1134" w:type="dxa"/>
            <w:tcBorders>
              <w:top w:val="nil"/>
              <w:bottom w:val="nil"/>
            </w:tcBorders>
            <w:shd w:val="clear" w:color="auto" w:fill="auto"/>
          </w:tcPr>
          <w:p>
            <w:pPr>
              <w:pStyle w:val="nTable"/>
              <w:spacing w:after="40"/>
            </w:pPr>
            <w:r>
              <w:t>14 Apr 2022</w:t>
            </w:r>
          </w:p>
        </w:tc>
        <w:tc>
          <w:tcPr>
            <w:tcW w:w="2552" w:type="dxa"/>
            <w:tcBorders>
              <w:top w:val="nil"/>
              <w:bottom w:val="nil"/>
            </w:tcBorders>
            <w:shd w:val="clear" w:color="auto" w:fill="auto"/>
          </w:tcPr>
          <w:p>
            <w:pPr>
              <w:pStyle w:val="nTable"/>
              <w:spacing w:after="40"/>
            </w:pPr>
            <w:r>
              <w:rPr>
                <w:snapToGrid w:val="0"/>
              </w:rPr>
              <w:t>1 Jul 2022 (see s. 2(c) and SL 2022/113 cl. 2)</w:t>
            </w:r>
          </w:p>
        </w:tc>
      </w:tr>
      <w:tr>
        <w:trPr>
          <w:cantSplit/>
        </w:trPr>
        <w:tc>
          <w:tcPr>
            <w:tcW w:w="2268" w:type="dxa"/>
            <w:tcBorders>
              <w:top w:val="nil"/>
              <w:bottom w:val="nil"/>
            </w:tcBorders>
            <w:shd w:val="clear" w:color="auto" w:fill="auto"/>
          </w:tcPr>
          <w:p>
            <w:pPr>
              <w:pStyle w:val="nTable"/>
              <w:spacing w:after="40"/>
              <w:rPr>
                <w:i/>
              </w:rPr>
            </w:pPr>
            <w:r>
              <w:rPr>
                <w:i/>
                <w:snapToGrid w:val="0"/>
              </w:rPr>
              <w:t>Mining Amendment Act (No. 2) 2022</w:t>
            </w:r>
          </w:p>
        </w:tc>
        <w:tc>
          <w:tcPr>
            <w:tcW w:w="1134" w:type="dxa"/>
            <w:tcBorders>
              <w:top w:val="nil"/>
              <w:bottom w:val="nil"/>
            </w:tcBorders>
            <w:shd w:val="clear" w:color="auto" w:fill="auto"/>
          </w:tcPr>
          <w:p>
            <w:pPr>
              <w:pStyle w:val="nTable"/>
              <w:spacing w:after="40"/>
            </w:pPr>
            <w:r>
              <w:t>39 of 2022</w:t>
            </w:r>
          </w:p>
        </w:tc>
        <w:tc>
          <w:tcPr>
            <w:tcW w:w="1134" w:type="dxa"/>
            <w:tcBorders>
              <w:top w:val="nil"/>
              <w:bottom w:val="nil"/>
            </w:tcBorders>
            <w:shd w:val="clear" w:color="auto" w:fill="auto"/>
          </w:tcPr>
          <w:p>
            <w:pPr>
              <w:pStyle w:val="nTable"/>
              <w:spacing w:after="40"/>
            </w:pPr>
            <w:r>
              <w:t>1 Nov 2022</w:t>
            </w:r>
          </w:p>
        </w:tc>
        <w:tc>
          <w:tcPr>
            <w:tcW w:w="2552" w:type="dxa"/>
            <w:tcBorders>
              <w:top w:val="nil"/>
              <w:bottom w:val="nil"/>
            </w:tcBorders>
            <w:shd w:val="clear" w:color="auto" w:fill="auto"/>
          </w:tcPr>
          <w:p>
            <w:pPr>
              <w:pStyle w:val="nTable"/>
              <w:spacing w:after="40"/>
              <w:rPr>
                <w:snapToGrid w:val="0"/>
              </w:rPr>
            </w:pPr>
            <w:r>
              <w:t>s. 1 and 2: 1 Nov 2022 (see s. 2(a));</w:t>
            </w:r>
            <w:r>
              <w:br/>
              <w:t>Act other than s. 1 and 2: 2 Nov 2022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Land and Public Works Legislation Amendment Act 2023</w:t>
            </w:r>
            <w:r>
              <w:rPr>
                <w:snapToGrid w:val="0"/>
              </w:rPr>
              <w:t xml:space="preserve"> Pt. 4 Div. 8</w:t>
            </w:r>
          </w:p>
        </w:tc>
        <w:tc>
          <w:tcPr>
            <w:tcW w:w="1134" w:type="dxa"/>
            <w:shd w:val="clear" w:color="auto" w:fill="auto"/>
          </w:tcPr>
          <w:p>
            <w:pPr>
              <w:pStyle w:val="nTable"/>
              <w:spacing w:after="40"/>
            </w:pPr>
            <w:r>
              <w:t>4 of 2023</w:t>
            </w:r>
          </w:p>
        </w:tc>
        <w:tc>
          <w:tcPr>
            <w:tcW w:w="1134" w:type="dxa"/>
            <w:shd w:val="clear" w:color="auto" w:fill="auto"/>
          </w:tcPr>
          <w:p>
            <w:pPr>
              <w:pStyle w:val="nTable"/>
              <w:spacing w:after="40"/>
            </w:pPr>
            <w:r>
              <w:t>24 Mar 2023</w:t>
            </w:r>
          </w:p>
        </w:tc>
        <w:tc>
          <w:tcPr>
            <w:tcW w:w="2552" w:type="dxa"/>
            <w:shd w:val="clear" w:color="auto" w:fill="auto"/>
          </w:tcPr>
          <w:p>
            <w:pPr>
              <w:pStyle w:val="nTable"/>
              <w:spacing w:after="40"/>
            </w:pPr>
            <w:r>
              <w:t>10 Aug 2023 (see s. 2(b) and SL 2023/132 cl. 2)</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Directors’ Liability Reform Act 2023</w:t>
            </w:r>
            <w:r>
              <w:rPr>
                <w:snapToGrid w:val="0"/>
              </w:rPr>
              <w:t xml:space="preserve"> Pt. 3 Div. 41</w:t>
            </w:r>
          </w:p>
        </w:tc>
        <w:tc>
          <w:tcPr>
            <w:tcW w:w="1134" w:type="dxa"/>
            <w:tcBorders>
              <w:top w:val="nil"/>
              <w:bottom w:val="nil"/>
            </w:tcBorders>
            <w:shd w:val="clear" w:color="auto" w:fill="auto"/>
          </w:tcPr>
          <w:p>
            <w:pPr>
              <w:pStyle w:val="nTable"/>
              <w:spacing w:after="40"/>
            </w:pPr>
            <w:r>
              <w:t>9 of 2023</w:t>
            </w:r>
          </w:p>
        </w:tc>
        <w:tc>
          <w:tcPr>
            <w:tcW w:w="1134" w:type="dxa"/>
            <w:tcBorders>
              <w:top w:val="nil"/>
              <w:bottom w:val="nil"/>
            </w:tcBorders>
            <w:shd w:val="clear" w:color="auto" w:fill="auto"/>
          </w:tcPr>
          <w:p>
            <w:pPr>
              <w:pStyle w:val="nTable"/>
              <w:spacing w:after="40"/>
            </w:pPr>
            <w:r>
              <w:t>4 Apr 2023</w:t>
            </w:r>
          </w:p>
        </w:tc>
        <w:tc>
          <w:tcPr>
            <w:tcW w:w="2552" w:type="dxa"/>
            <w:tcBorders>
              <w:top w:val="nil"/>
              <w:bottom w:val="nil"/>
            </w:tcBorders>
            <w:shd w:val="clear" w:color="auto" w:fill="auto"/>
          </w:tcPr>
          <w:p>
            <w:pPr>
              <w:pStyle w:val="nTable"/>
              <w:spacing w:after="40"/>
            </w:pPr>
            <w:r>
              <w:t>5 Apr 2023 (see s. 2(j))</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shd w:val="clear" w:color="auto" w:fill="auto"/>
          </w:tcPr>
          <w:p>
            <w:pPr>
              <w:pStyle w:val="nTable"/>
              <w:spacing w:after="40"/>
              <w:rPr>
                <w:i/>
                <w:snapToGrid w:val="0"/>
              </w:rPr>
            </w:pPr>
            <w:r>
              <w:rPr>
                <w:i/>
                <w:snapToGrid w:val="0"/>
              </w:rPr>
              <w:t>Mining Amendment Act 2023</w:t>
            </w:r>
          </w:p>
        </w:tc>
        <w:tc>
          <w:tcPr>
            <w:tcW w:w="1134" w:type="dxa"/>
            <w:tcBorders>
              <w:bottom w:val="single" w:sz="4" w:space="0" w:color="auto"/>
            </w:tcBorders>
            <w:shd w:val="clear" w:color="auto" w:fill="auto"/>
          </w:tcPr>
          <w:p>
            <w:pPr>
              <w:pStyle w:val="nTable"/>
              <w:spacing w:after="40"/>
            </w:pPr>
            <w:r>
              <w:t>27 of 2023</w:t>
            </w:r>
          </w:p>
        </w:tc>
        <w:tc>
          <w:tcPr>
            <w:tcW w:w="1134" w:type="dxa"/>
            <w:tcBorders>
              <w:bottom w:val="single" w:sz="4" w:space="0" w:color="auto"/>
            </w:tcBorders>
            <w:shd w:val="clear" w:color="auto" w:fill="auto"/>
          </w:tcPr>
          <w:p>
            <w:pPr>
              <w:pStyle w:val="nTable"/>
              <w:spacing w:after="40"/>
            </w:pPr>
            <w:r>
              <w:t>17 Nov 2023</w:t>
            </w:r>
          </w:p>
        </w:tc>
        <w:tc>
          <w:tcPr>
            <w:tcW w:w="2552" w:type="dxa"/>
            <w:tcBorders>
              <w:bottom w:val="single" w:sz="4" w:space="0" w:color="auto"/>
            </w:tcBorders>
            <w:shd w:val="clear" w:color="auto" w:fill="auto"/>
          </w:tcPr>
          <w:p>
            <w:pPr>
              <w:pStyle w:val="nTable"/>
              <w:spacing w:after="40"/>
            </w:pPr>
            <w:r>
              <w:t>s. 1 and 2: 17 Nov 2023 (see s. 2(a));</w:t>
            </w:r>
            <w:r>
              <w:br/>
              <w:t>Act other than s. 1 and 2: 18 Nov 2023 (see s. 2(b))</w:t>
            </w:r>
          </w:p>
        </w:tc>
      </w:tr>
    </w:tbl>
    <w:p>
      <w:pPr>
        <w:pStyle w:val="nHeading3"/>
      </w:pPr>
      <w:bookmarkStart w:id="327" w:name="_Toc202366312"/>
      <w:r>
        <w:t>Uncommenced provisions table</w:t>
      </w:r>
      <w:bookmarkEnd w:id="327"/>
    </w:p>
    <w:p>
      <w:pPr>
        <w:pStyle w:val="nStatement"/>
        <w:keepNext/>
        <w:spacing w:after="240"/>
      </w:pPr>
      <w:r>
        <w:t xml:space="preserve">To view the text of the uncommenced provisions see </w:t>
      </w:r>
      <w:r>
        <w:rPr>
          <w:i/>
        </w:rPr>
        <w:t>Acts as passed</w:t>
      </w:r>
      <w:r>
        <w:t xml:space="preserve"> on the WA Legislation website.</w:t>
      </w:r>
    </w:p>
    <w:tbl>
      <w:tblPr>
        <w:tblW w:w="7093"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2"/>
      </w:tblGrid>
      <w:tr>
        <w:trPr>
          <w:tblHeader/>
        </w:trPr>
        <w:tc>
          <w:tcPr>
            <w:tcW w:w="2273"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73" w:type="dxa"/>
            <w:tcBorders>
              <w:top w:val="single" w:sz="8" w:space="0" w:color="auto"/>
            </w:tcBorders>
            <w:shd w:val="clear" w:color="auto" w:fill="auto"/>
          </w:tcPr>
          <w:p>
            <w:pPr>
              <w:pStyle w:val="nTable"/>
              <w:spacing w:after="40"/>
              <w:ind w:right="113"/>
              <w:rPr>
                <w:snapToGrid w:val="0"/>
              </w:rPr>
            </w:pPr>
            <w:r>
              <w:rPr>
                <w:i/>
                <w:snapToGrid w:val="0"/>
              </w:rPr>
              <w:t>Native Title (State Provisions) Act 1999</w:t>
            </w:r>
            <w:r>
              <w:rPr>
                <w:snapToGrid w:val="0"/>
              </w:rPr>
              <w:t xml:space="preserve"> s. 7.3</w:t>
            </w:r>
          </w:p>
        </w:tc>
        <w:tc>
          <w:tcPr>
            <w:tcW w:w="1134" w:type="dxa"/>
            <w:tcBorders>
              <w:top w:val="single" w:sz="8" w:space="0" w:color="auto"/>
            </w:tcBorders>
            <w:shd w:val="clear" w:color="auto" w:fill="auto"/>
          </w:tcPr>
          <w:p>
            <w:pPr>
              <w:pStyle w:val="nTable"/>
              <w:keepNext/>
              <w:spacing w:after="40"/>
            </w:pPr>
            <w:r>
              <w:t>60 of 1999</w:t>
            </w:r>
          </w:p>
        </w:tc>
        <w:tc>
          <w:tcPr>
            <w:tcW w:w="1134" w:type="dxa"/>
            <w:tcBorders>
              <w:top w:val="single" w:sz="8" w:space="0" w:color="auto"/>
            </w:tcBorders>
            <w:shd w:val="clear" w:color="auto" w:fill="auto"/>
          </w:tcPr>
          <w:p>
            <w:pPr>
              <w:pStyle w:val="nTable"/>
              <w:keepNext/>
              <w:spacing w:after="40"/>
            </w:pPr>
            <w:r>
              <w:t>10 Jan 2000</w:t>
            </w:r>
          </w:p>
        </w:tc>
        <w:tc>
          <w:tcPr>
            <w:tcW w:w="2552" w:type="dxa"/>
            <w:tcBorders>
              <w:top w:val="single" w:sz="8" w:space="0" w:color="auto"/>
            </w:tcBorders>
            <w:shd w:val="clear" w:color="auto" w:fill="auto"/>
          </w:tcPr>
          <w:p>
            <w:pPr>
              <w:pStyle w:val="nTable"/>
              <w:keepNext/>
              <w:spacing w:after="40"/>
            </w:pPr>
            <w:r>
              <w:t>Operative on earliest of commencement of Pt. 2 (except s. 2.2), Pt. 3 (except s. 3.1) and Pt. 4</w:t>
            </w:r>
          </w:p>
        </w:tc>
      </w:tr>
      <w:tr>
        <w:tblPrEx>
          <w:tblBorders>
            <w:top w:val="none" w:sz="0" w:space="0" w:color="auto"/>
            <w:bottom w:val="none" w:sz="0" w:space="0" w:color="auto"/>
            <w:insideH w:val="none" w:sz="0" w:space="0" w:color="auto"/>
          </w:tblBorders>
        </w:tblPrEx>
        <w:trPr>
          <w:cantSplit/>
        </w:trPr>
        <w:tc>
          <w:tcPr>
            <w:tcW w:w="2273" w:type="dxa"/>
            <w:shd w:val="clear" w:color="auto" w:fill="auto"/>
          </w:tcPr>
          <w:p>
            <w:pPr>
              <w:pStyle w:val="nTable"/>
              <w:spacing w:after="40"/>
              <w:ind w:right="113"/>
              <w:rPr>
                <w:snapToGrid w:val="0"/>
                <w:vertAlign w:val="superscript"/>
              </w:rPr>
            </w:pPr>
            <w:r>
              <w:rPr>
                <w:i/>
                <w:snapToGrid w:val="0"/>
              </w:rPr>
              <w:t>Mining Legislation Amendment Act 2014</w:t>
            </w:r>
            <w:r>
              <w:rPr>
                <w:snapToGrid w:val="0"/>
              </w:rPr>
              <w:t xml:space="preserve"> Pt. 2</w:t>
            </w:r>
          </w:p>
        </w:tc>
        <w:tc>
          <w:tcPr>
            <w:tcW w:w="1134" w:type="dxa"/>
            <w:shd w:val="clear" w:color="auto" w:fill="auto"/>
          </w:tcPr>
          <w:p>
            <w:pPr>
              <w:pStyle w:val="nTable"/>
              <w:keepNext/>
              <w:spacing w:after="40"/>
            </w:pPr>
            <w:r>
              <w:t>4 of 2014</w:t>
            </w:r>
          </w:p>
        </w:tc>
        <w:tc>
          <w:tcPr>
            <w:tcW w:w="1134" w:type="dxa"/>
            <w:shd w:val="clear" w:color="auto" w:fill="auto"/>
          </w:tcPr>
          <w:p>
            <w:pPr>
              <w:pStyle w:val="nTable"/>
              <w:keepNext/>
              <w:spacing w:after="40"/>
            </w:pPr>
            <w:r>
              <w:t>22 Apr 2014</w:t>
            </w:r>
          </w:p>
        </w:tc>
        <w:tc>
          <w:tcPr>
            <w:tcW w:w="2552" w:type="dxa"/>
            <w:shd w:val="clear" w:color="auto" w:fill="auto"/>
          </w:tcPr>
          <w:p>
            <w:pPr>
              <w:pStyle w:val="nTable"/>
              <w:keepNext/>
              <w:spacing w:after="40"/>
            </w:pPr>
            <w:r>
              <w:t>To be proclaimed (see s. 2(b))</w:t>
            </w:r>
          </w:p>
        </w:tc>
      </w:tr>
      <w:tr>
        <w:trPr>
          <w:cantSplit/>
        </w:trPr>
        <w:tc>
          <w:tcPr>
            <w:tcW w:w="2273" w:type="dxa"/>
            <w:tcBorders>
              <w:top w:val="nil"/>
              <w:bottom w:val="nil"/>
            </w:tcBorders>
            <w:shd w:val="clear" w:color="auto" w:fill="auto"/>
          </w:tcPr>
          <w:p>
            <w:pPr>
              <w:pStyle w:val="nTable"/>
              <w:spacing w:after="40"/>
              <w:ind w:right="113"/>
              <w:rPr>
                <w:i/>
                <w:snapToGrid w:val="0"/>
              </w:rPr>
            </w:pPr>
            <w:r>
              <w:rPr>
                <w:i/>
                <w:snapToGrid w:val="0"/>
              </w:rPr>
              <w:t xml:space="preserve">Aquatic Resources Management Act 2016 </w:t>
            </w:r>
            <w:r>
              <w:rPr>
                <w:snapToGrid w:val="0"/>
              </w:rPr>
              <w:t>s. 369</w:t>
            </w:r>
          </w:p>
        </w:tc>
        <w:tc>
          <w:tcPr>
            <w:tcW w:w="1134" w:type="dxa"/>
            <w:tcBorders>
              <w:top w:val="nil"/>
              <w:bottom w:val="nil"/>
            </w:tcBorders>
            <w:shd w:val="clear" w:color="auto" w:fill="auto"/>
          </w:tcPr>
          <w:p>
            <w:pPr>
              <w:pStyle w:val="nTable"/>
              <w:keepNext/>
              <w:spacing w:after="40"/>
            </w:pPr>
            <w:r>
              <w:t>53 of 2016</w:t>
            </w:r>
          </w:p>
        </w:tc>
        <w:tc>
          <w:tcPr>
            <w:tcW w:w="1134" w:type="dxa"/>
            <w:tcBorders>
              <w:top w:val="nil"/>
              <w:bottom w:val="nil"/>
            </w:tcBorders>
            <w:shd w:val="clear" w:color="auto" w:fill="auto"/>
          </w:tcPr>
          <w:p>
            <w:pPr>
              <w:pStyle w:val="nTable"/>
              <w:keepNext/>
              <w:spacing w:after="40"/>
            </w:pPr>
            <w:r>
              <w:t>29 Nov 2016</w:t>
            </w:r>
          </w:p>
        </w:tc>
        <w:tc>
          <w:tcPr>
            <w:tcW w:w="2552" w:type="dxa"/>
            <w:tcBorders>
              <w:top w:val="nil"/>
              <w:bottom w:val="nil"/>
            </w:tcBorders>
            <w:shd w:val="clear" w:color="auto" w:fill="auto"/>
          </w:tcPr>
          <w:p>
            <w:pPr>
              <w:pStyle w:val="nTable"/>
              <w:keepNext/>
              <w:spacing w:after="40"/>
            </w:pPr>
            <w:r>
              <w:t>To be proclaimed (see s. 2(b))</w:t>
            </w:r>
          </w:p>
        </w:tc>
      </w:tr>
      <w:tr>
        <w:trPr>
          <w:cantSplit/>
        </w:trPr>
        <w:tc>
          <w:tcPr>
            <w:tcW w:w="2273" w:type="dxa"/>
            <w:tcBorders>
              <w:top w:val="nil"/>
              <w:bottom w:val="nil"/>
            </w:tcBorders>
            <w:shd w:val="clear" w:color="auto" w:fill="auto"/>
          </w:tcPr>
          <w:p>
            <w:pPr>
              <w:pStyle w:val="nTable"/>
              <w:spacing w:after="40"/>
              <w:ind w:right="113"/>
              <w:rPr>
                <w:snapToGrid w:val="0"/>
              </w:rPr>
            </w:pPr>
            <w:r>
              <w:rPr>
                <w:i/>
                <w:snapToGrid w:val="0"/>
              </w:rPr>
              <w:t xml:space="preserve">Mining Amendment Act 2022 </w:t>
            </w:r>
            <w:r>
              <w:rPr>
                <w:snapToGrid w:val="0"/>
              </w:rPr>
              <w:t>(s. 3-41)</w:t>
            </w:r>
          </w:p>
        </w:tc>
        <w:tc>
          <w:tcPr>
            <w:tcW w:w="1134" w:type="dxa"/>
            <w:tcBorders>
              <w:top w:val="nil"/>
              <w:bottom w:val="nil"/>
            </w:tcBorders>
            <w:shd w:val="clear" w:color="auto" w:fill="auto"/>
          </w:tcPr>
          <w:p>
            <w:pPr>
              <w:pStyle w:val="nTable"/>
              <w:keepNext/>
              <w:spacing w:after="40"/>
            </w:pPr>
            <w:r>
              <w:t>31 of 2022</w:t>
            </w:r>
          </w:p>
        </w:tc>
        <w:tc>
          <w:tcPr>
            <w:tcW w:w="1134" w:type="dxa"/>
            <w:tcBorders>
              <w:top w:val="nil"/>
              <w:bottom w:val="nil"/>
            </w:tcBorders>
            <w:shd w:val="clear" w:color="auto" w:fill="auto"/>
          </w:tcPr>
          <w:p>
            <w:pPr>
              <w:pStyle w:val="nTable"/>
              <w:keepNext/>
              <w:spacing w:after="40"/>
            </w:pPr>
            <w:r>
              <w:t>28 Sep 2022</w:t>
            </w:r>
          </w:p>
        </w:tc>
        <w:tc>
          <w:tcPr>
            <w:tcW w:w="2552" w:type="dxa"/>
            <w:tcBorders>
              <w:top w:val="nil"/>
              <w:bottom w:val="nil"/>
            </w:tcBorders>
            <w:shd w:val="clear" w:color="auto" w:fill="auto"/>
          </w:tcPr>
          <w:p>
            <w:pPr>
              <w:pStyle w:val="nTable"/>
              <w:keepNext/>
              <w:spacing w:after="40"/>
            </w:pPr>
            <w:r>
              <w:t>To be proclaimed (see s. 2(b))</w:t>
            </w:r>
          </w:p>
        </w:tc>
      </w:tr>
      <w:tr>
        <w:trPr>
          <w:cantSplit/>
        </w:trPr>
        <w:tc>
          <w:tcPr>
            <w:tcW w:w="2273" w:type="dxa"/>
            <w:tcBorders>
              <w:top w:val="nil"/>
              <w:bottom w:val="nil"/>
            </w:tcBorders>
            <w:shd w:val="clear" w:color="auto" w:fill="auto"/>
          </w:tcPr>
          <w:p>
            <w:pPr>
              <w:pStyle w:val="nTable"/>
              <w:spacing w:after="40"/>
              <w:ind w:right="113"/>
              <w:rPr>
                <w:iCs/>
                <w:snapToGrid w:val="0"/>
              </w:rPr>
            </w:pPr>
            <w:r>
              <w:rPr>
                <w:i/>
                <w:snapToGrid w:val="0"/>
              </w:rPr>
              <w:t xml:space="preserve">Petroleum Legislation Amendment Act 2024 </w:t>
            </w:r>
            <w:r>
              <w:rPr>
                <w:iCs/>
                <w:snapToGrid w:val="0"/>
              </w:rPr>
              <w:t>Pt. 5 Div. 8</w:t>
            </w:r>
          </w:p>
        </w:tc>
        <w:tc>
          <w:tcPr>
            <w:tcW w:w="1134" w:type="dxa"/>
            <w:tcBorders>
              <w:top w:val="nil"/>
              <w:bottom w:val="nil"/>
            </w:tcBorders>
            <w:shd w:val="clear" w:color="auto" w:fill="auto"/>
          </w:tcPr>
          <w:p>
            <w:pPr>
              <w:pStyle w:val="nTable"/>
              <w:keepNext/>
              <w:spacing w:after="40"/>
            </w:pPr>
            <w:r>
              <w:t>17 of 2024</w:t>
            </w:r>
          </w:p>
        </w:tc>
        <w:tc>
          <w:tcPr>
            <w:tcW w:w="1134" w:type="dxa"/>
            <w:tcBorders>
              <w:top w:val="nil"/>
              <w:bottom w:val="nil"/>
            </w:tcBorders>
            <w:shd w:val="clear" w:color="auto" w:fill="auto"/>
          </w:tcPr>
          <w:p>
            <w:pPr>
              <w:pStyle w:val="nTable"/>
              <w:keepNext/>
              <w:spacing w:after="40"/>
            </w:pPr>
            <w:r>
              <w:t>14 May 2024</w:t>
            </w:r>
          </w:p>
        </w:tc>
        <w:tc>
          <w:tcPr>
            <w:tcW w:w="2552" w:type="dxa"/>
            <w:tcBorders>
              <w:top w:val="nil"/>
              <w:bottom w:val="nil"/>
            </w:tcBorders>
            <w:shd w:val="clear" w:color="auto" w:fill="auto"/>
          </w:tcPr>
          <w:p>
            <w:pPr>
              <w:pStyle w:val="nTable"/>
              <w:keepNext/>
              <w:spacing w:after="40"/>
            </w:pPr>
            <w:r>
              <w:t>To be proclaimed (see s. 2(b))</w:t>
            </w:r>
          </w:p>
        </w:tc>
      </w:tr>
      <w:tr>
        <w:trPr>
          <w:cantSplit/>
        </w:trPr>
        <w:tc>
          <w:tcPr>
            <w:tcW w:w="2273" w:type="dxa"/>
            <w:tcBorders>
              <w:top w:val="nil"/>
              <w:bottom w:val="single" w:sz="4" w:space="0" w:color="auto"/>
            </w:tcBorders>
            <w:shd w:val="clear" w:color="auto" w:fill="auto"/>
          </w:tcPr>
          <w:p>
            <w:pPr>
              <w:pStyle w:val="nTable"/>
              <w:spacing w:after="40"/>
              <w:ind w:right="113"/>
              <w:rPr>
                <w:iCs/>
                <w:snapToGrid w:val="0"/>
              </w:rPr>
            </w:pPr>
            <w:r>
              <w:rPr>
                <w:i/>
                <w:snapToGrid w:val="0"/>
              </w:rPr>
              <w:lastRenderedPageBreak/>
              <w:t>Mining Amendment (Transfer of Royalty Administration) Act 2025</w:t>
            </w:r>
            <w:r>
              <w:rPr>
                <w:iCs/>
                <w:snapToGrid w:val="0"/>
              </w:rPr>
              <w:t xml:space="preserve"> Pt. 2</w:t>
            </w:r>
          </w:p>
        </w:tc>
        <w:tc>
          <w:tcPr>
            <w:tcW w:w="1134" w:type="dxa"/>
            <w:tcBorders>
              <w:top w:val="nil"/>
              <w:bottom w:val="single" w:sz="4" w:space="0" w:color="auto"/>
            </w:tcBorders>
            <w:shd w:val="clear" w:color="auto" w:fill="auto"/>
          </w:tcPr>
          <w:p>
            <w:pPr>
              <w:pStyle w:val="nTable"/>
              <w:keepNext/>
              <w:spacing w:after="40"/>
            </w:pPr>
            <w:r>
              <w:t>7 of 2025</w:t>
            </w:r>
          </w:p>
        </w:tc>
        <w:tc>
          <w:tcPr>
            <w:tcW w:w="1134" w:type="dxa"/>
            <w:tcBorders>
              <w:top w:val="nil"/>
              <w:bottom w:val="single" w:sz="4" w:space="0" w:color="auto"/>
            </w:tcBorders>
            <w:shd w:val="clear" w:color="auto" w:fill="auto"/>
          </w:tcPr>
          <w:p>
            <w:pPr>
              <w:pStyle w:val="nTable"/>
              <w:keepNext/>
              <w:spacing w:after="40"/>
            </w:pPr>
            <w:r>
              <w:t>2 Jul 2025</w:t>
            </w:r>
          </w:p>
        </w:tc>
        <w:tc>
          <w:tcPr>
            <w:tcW w:w="2552" w:type="dxa"/>
            <w:tcBorders>
              <w:top w:val="nil"/>
              <w:bottom w:val="single" w:sz="4" w:space="0" w:color="auto"/>
            </w:tcBorders>
            <w:shd w:val="clear" w:color="auto" w:fill="auto"/>
          </w:tcPr>
          <w:p>
            <w:pPr>
              <w:pStyle w:val="nTable"/>
              <w:keepNext/>
              <w:spacing w:after="40"/>
            </w:pPr>
            <w:r>
              <w:t>To be proclaimed (see s. 2(b))</w:t>
            </w:r>
          </w:p>
        </w:tc>
      </w:tr>
    </w:tbl>
    <w:p>
      <w:pPr>
        <w:pStyle w:val="nHeading3"/>
      </w:pPr>
      <w:bookmarkStart w:id="328" w:name="_Toc202366313"/>
      <w:r>
        <w:t>Other notes</w:t>
      </w:r>
      <w:bookmarkEnd w:id="328"/>
    </w:p>
    <w:p>
      <w:pPr>
        <w:pStyle w:val="nNote"/>
        <w:keepNext/>
        <w:spacing w:before="120"/>
        <w:rPr>
          <w:snapToGrid w:val="0"/>
        </w:rPr>
      </w:pPr>
      <w:r>
        <w:rPr>
          <w:snapToGrid w:val="0"/>
          <w:vertAlign w:val="superscript"/>
        </w:rPr>
        <w:t>1</w:t>
      </w:r>
      <w:r>
        <w:rPr>
          <w:snapToGrid w:val="0"/>
        </w:rPr>
        <w:tab/>
        <w:t xml:space="preserve">Repealed by the </w:t>
      </w:r>
      <w:r>
        <w:rPr>
          <w:i/>
          <w:snapToGrid w:val="0"/>
        </w:rPr>
        <w:t>Interpretation Act 1984</w:t>
      </w:r>
      <w:r>
        <w:rPr>
          <w:snapToGrid w:val="0"/>
        </w:rPr>
        <w:t xml:space="preserve"> s. 77(1).</w:t>
      </w:r>
    </w:p>
    <w:p>
      <w:pPr>
        <w:pStyle w:val="nNote"/>
        <w:keepNext/>
        <w:rPr>
          <w:snapToGrid w:val="0"/>
        </w:rPr>
      </w:pPr>
      <w:r>
        <w:rPr>
          <w:snapToGrid w:val="0"/>
          <w:vertAlign w:val="superscript"/>
        </w:rPr>
        <w:t>2</w:t>
      </w:r>
      <w:r>
        <w:rPr>
          <w:snapToGrid w:val="0"/>
        </w:rPr>
        <w:tab/>
        <w:t xml:space="preserve">Repealed by the </w:t>
      </w:r>
      <w:r>
        <w:rPr>
          <w:i/>
          <w:snapToGrid w:val="0"/>
        </w:rPr>
        <w:t>Mining Act 1978</w:t>
      </w:r>
      <w:r>
        <w:rPr>
          <w:snapToGrid w:val="0"/>
        </w:rPr>
        <w:t xml:space="preserve"> s. 3(1).</w:t>
      </w:r>
    </w:p>
    <w:p>
      <w:pPr>
        <w:pStyle w:val="nNote"/>
        <w:keepNext/>
        <w:rPr>
          <w:snapToGrid w:val="0"/>
        </w:rPr>
      </w:pPr>
      <w:r>
        <w:rPr>
          <w:snapToGrid w:val="0"/>
          <w:vertAlign w:val="superscript"/>
        </w:rPr>
        <w:t>3</w:t>
      </w:r>
      <w:r>
        <w:rPr>
          <w:snapToGrid w:val="0"/>
        </w:rPr>
        <w:tab/>
        <w:t xml:space="preserve">The </w:t>
      </w:r>
      <w:r>
        <w:rPr>
          <w:i/>
          <w:iCs/>
          <w:snapToGrid w:val="0"/>
        </w:rPr>
        <w:t>Mining Amendment Act 1981</w:t>
      </w:r>
      <w:r>
        <w:rPr>
          <w:snapToGrid w:val="0"/>
        </w:rPr>
        <w:t xml:space="preserve"> s. 3 reads as follows:</w:t>
      </w:r>
    </w:p>
    <w:p>
      <w:pPr>
        <w:pStyle w:val="BlankOpen"/>
        <w:rPr>
          <w:snapToGrid w:val="0"/>
          <w:sz w:val="20"/>
          <w:szCs w:val="20"/>
        </w:rPr>
      </w:pPr>
    </w:p>
    <w:p>
      <w:pPr>
        <w:pStyle w:val="nzHeading5"/>
        <w:spacing w:before="0"/>
        <w:rPr>
          <w:snapToGrid w:val="0"/>
        </w:rPr>
      </w:pPr>
      <w:r>
        <w:rPr>
          <w:snapToGrid w:val="0"/>
        </w:rPr>
        <w:t>3.</w:t>
      </w:r>
      <w:r>
        <w:rPr>
          <w:snapToGrid w:val="0"/>
        </w:rPr>
        <w:tab/>
        <w:t xml:space="preserve">Continuation of miners’ rights issued under </w:t>
      </w:r>
      <w:r>
        <w:rPr>
          <w:i/>
          <w:iCs/>
          <w:snapToGrid w:val="0"/>
        </w:rPr>
        <w:t>Mining Act 1904</w:t>
      </w:r>
    </w:p>
    <w:p>
      <w:pPr>
        <w:pStyle w:val="nzSubsection"/>
        <w:spacing w:before="60"/>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pPr>
        <w:pStyle w:val="nzSubsection"/>
        <w:spacing w:before="60"/>
      </w:pPr>
      <w:r>
        <w:tab/>
        <w:t>(2)</w:t>
      </w:r>
      <w:r>
        <w:tab/>
      </w:r>
      <w:r>
        <w:rPr>
          <w:snapToGrid w:val="0"/>
        </w:rPr>
        <w:t>Subsection</w:t>
      </w:r>
      <w:r>
        <w:t xml:space="preserve"> (1) of this section shall not be construed so as to derogate in any way from sections 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pPr>
        <w:pStyle w:val="nzSubsection"/>
      </w:pPr>
      <w:r>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pPr>
        <w:pStyle w:val="BlankClose"/>
        <w:rPr>
          <w:sz w:val="16"/>
          <w:szCs w:val="16"/>
        </w:rPr>
      </w:pPr>
    </w:p>
    <w:p>
      <w:pPr>
        <w:pStyle w:val="nNote"/>
        <w:spacing w:before="60"/>
        <w:rPr>
          <w:snapToGrid w:val="0"/>
        </w:rPr>
      </w:pPr>
      <w:r>
        <w:rPr>
          <w:snapToGrid w:val="0"/>
          <w:vertAlign w:val="superscript"/>
        </w:rPr>
        <w:t>4</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Note"/>
        <w:spacing w:before="40"/>
        <w:rPr>
          <w:snapToGrid w:val="0"/>
        </w:rPr>
      </w:pPr>
      <w:r>
        <w:rPr>
          <w:snapToGrid w:val="0"/>
        </w:rPr>
        <w:tab/>
        <w:t>At the time of this compilation, the department is called the Department of Mines, Industry Regulation and Safety.</w:t>
      </w:r>
    </w:p>
    <w:p>
      <w:pPr>
        <w:pStyle w:val="nNote"/>
        <w:keepNext/>
        <w:keepLines/>
        <w:rPr>
          <w:snapToGrid w:val="0"/>
        </w:rPr>
      </w:pPr>
      <w:r>
        <w:rPr>
          <w:vertAlign w:val="superscript"/>
        </w:rPr>
        <w:lastRenderedPageBreak/>
        <w:t>5</w:t>
      </w:r>
      <w:r>
        <w:rPr>
          <w:snapToGrid w:val="0"/>
        </w:rPr>
        <w:tab/>
        <w:t xml:space="preserve">The </w:t>
      </w:r>
      <w:r>
        <w:rPr>
          <w:i/>
          <w:iCs/>
          <w:snapToGrid w:val="0"/>
        </w:rPr>
        <w:t>Mining Legislation Amendment and Validation Act 2008</w:t>
      </w:r>
      <w:r>
        <w:rPr>
          <w:snapToGrid w:val="0"/>
        </w:rPr>
        <w:t xml:space="preserve"> Pt. 2 Div. 2 and Pt. 3 read as follows:</w:t>
      </w:r>
    </w:p>
    <w:p>
      <w:pPr>
        <w:pStyle w:val="BlankOpen"/>
        <w:rPr>
          <w:snapToGrid w:val="0"/>
        </w:rPr>
      </w:pPr>
    </w:p>
    <w:p>
      <w:pPr>
        <w:pStyle w:val="nzHeading3"/>
        <w:spacing w:before="0"/>
      </w:pPr>
      <w:r>
        <w:rPr>
          <w:rStyle w:val="CharDivNo"/>
        </w:rPr>
        <w:t>Division 2</w:t>
      </w:r>
      <w:r>
        <w:t> — </w:t>
      </w:r>
      <w:r>
        <w:rPr>
          <w:rStyle w:val="CharDivText"/>
        </w:rPr>
        <w:t>Validation and pending applications</w:t>
      </w:r>
    </w:p>
    <w:p>
      <w:pPr>
        <w:pStyle w:val="nzHeading5"/>
      </w:pPr>
      <w:r>
        <w:rPr>
          <w:rStyle w:val="CharSectno"/>
        </w:rPr>
        <w:t>6</w:t>
      </w:r>
      <w:r>
        <w:t>.</w:t>
      </w:r>
      <w:r>
        <w:tab/>
        <w:t>Validation of extension of term of certain exploration licences</w:t>
      </w:r>
    </w:p>
    <w:p>
      <w:pPr>
        <w:pStyle w:val="nzSubsection"/>
      </w:pPr>
      <w:r>
        <w:tab/>
      </w:r>
      <w:r>
        <w:tab/>
        <w:t>If, before the day on which this section comes into operation, the term of a relevant licence was extended as a result of an application lodged at an office of the Department —</w:t>
      </w:r>
    </w:p>
    <w:p>
      <w:pPr>
        <w:pStyle w:val="nzIndenta"/>
      </w:pPr>
      <w:r>
        <w:tab/>
        <w:t>(a)</w:t>
      </w:r>
      <w:r>
        <w:tab/>
        <w:t>the extension of the term of the licence; and</w:t>
      </w:r>
    </w:p>
    <w:p>
      <w:pPr>
        <w:pStyle w:val="nzIndenta"/>
      </w:pPr>
      <w:r>
        <w:tab/>
        <w:t>(b)</w:t>
      </w:r>
      <w:r>
        <w:tab/>
        <w:t>anything done or purportedly done under the licence, or in relation to the licence, after the extension,</w:t>
      </w:r>
    </w:p>
    <w:p>
      <w:pPr>
        <w:pStyle w:val="nzSubsection"/>
      </w:pPr>
      <w:r>
        <w:tab/>
      </w:r>
      <w:r>
        <w:tab/>
        <w:t>are taken to be, and always to have been, as valid and effective as they would have been if the application had been lodged at the office of the mining registrar.</w:t>
      </w:r>
    </w:p>
    <w:p>
      <w:pPr>
        <w:pStyle w:val="nzHeading5"/>
      </w:pPr>
      <w:r>
        <w:rPr>
          <w:rStyle w:val="CharSectno"/>
        </w:rPr>
        <w:t>7</w:t>
      </w:r>
      <w:r>
        <w:t>.</w:t>
      </w:r>
      <w:r>
        <w:tab/>
        <w:t>Pending applications for extension of term</w:t>
      </w:r>
    </w:p>
    <w:p>
      <w:pPr>
        <w:pStyle w:val="nzSubsection"/>
        <w:keepNext/>
      </w:pPr>
      <w:r>
        <w:tab/>
      </w:r>
      <w:r>
        <w:tab/>
        <w:t>If —</w:t>
      </w:r>
    </w:p>
    <w:p>
      <w:pPr>
        <w:pStyle w:val="nzIndenta"/>
      </w:pPr>
      <w:r>
        <w:tab/>
        <w:t>(a)</w:t>
      </w:r>
      <w:r>
        <w:tab/>
        <w:t>an application for the extension of the term of a relevant licence has been lodged at an office of the Department; and</w:t>
      </w:r>
    </w:p>
    <w:p>
      <w:pPr>
        <w:pStyle w:val="nzIndenta"/>
      </w:pPr>
      <w:r>
        <w:tab/>
        <w:t>(b)</w:t>
      </w:r>
      <w:r>
        <w:tab/>
        <w:t>the application has not been determined before the day on which this section comes into operation,</w:t>
      </w:r>
    </w:p>
    <w:p>
      <w:pPr>
        <w:pStyle w:val="nzSubsection"/>
      </w:pPr>
      <w:r>
        <w:tab/>
      </w:r>
      <w:r>
        <w:tab/>
        <w:t>the application is to be dealt with and determined as if it had been lodged at the office of the mining registrar.</w:t>
      </w:r>
    </w:p>
    <w:p>
      <w:pPr>
        <w:pStyle w:val="nzHeading2"/>
      </w:pPr>
      <w:r>
        <w:rPr>
          <w:rStyle w:val="CharPartNo"/>
        </w:rPr>
        <w:t>Part 3</w:t>
      </w:r>
      <w:r>
        <w:rPr>
          <w:rStyle w:val="CharDivNo"/>
        </w:rPr>
        <w:t> </w:t>
      </w:r>
      <w:r>
        <w:t>—</w:t>
      </w:r>
      <w:r>
        <w:rPr>
          <w:rStyle w:val="CharDivText"/>
        </w:rPr>
        <w:t> </w:t>
      </w:r>
      <w:r>
        <w:rPr>
          <w:rStyle w:val="CharPartText"/>
        </w:rPr>
        <w:t>Provisions relating to miscellaneous licences</w:t>
      </w:r>
    </w:p>
    <w:p>
      <w:pPr>
        <w:pStyle w:val="nzHeading5"/>
      </w:pPr>
      <w:r>
        <w:rPr>
          <w:rStyle w:val="CharSectno"/>
        </w:rPr>
        <w:t>8</w:t>
      </w:r>
      <w:r>
        <w:t>.</w:t>
      </w:r>
      <w:r>
        <w:tab/>
        <w:t>Validation of grant of certain miscellaneous licences</w:t>
      </w:r>
    </w:p>
    <w:p>
      <w:pPr>
        <w:pStyle w:val="nzSubsection"/>
      </w:pPr>
      <w:r>
        <w:tab/>
      </w:r>
      <w:r>
        <w:tab/>
        <w:t>If, before the day on which this section comes into operation, a miscellaneous licence was granted for a purpose approved or specified by the Director General of Mines —</w:t>
      </w:r>
    </w:p>
    <w:p>
      <w:pPr>
        <w:pStyle w:val="nzIndenta"/>
      </w:pPr>
      <w:r>
        <w:tab/>
        <w:t>(a)</w:t>
      </w:r>
      <w:r>
        <w:tab/>
        <w:t>the grant of the licence; and</w:t>
      </w:r>
    </w:p>
    <w:p>
      <w:pPr>
        <w:pStyle w:val="nzIndenta"/>
        <w:keepNext/>
        <w:keepLines/>
      </w:pPr>
      <w:r>
        <w:lastRenderedPageBreak/>
        <w:tab/>
        <w:t>(b)</w:t>
      </w:r>
      <w:r>
        <w:tab/>
        <w:t>anything done or purportedly done under the licence or in relation to the licence,</w:t>
      </w:r>
    </w:p>
    <w:p>
      <w:pPr>
        <w:pStyle w:val="nzSubsection"/>
        <w:keepNext/>
        <w:keepLines/>
      </w:pPr>
      <w:r>
        <w:tab/>
      </w:r>
      <w:r>
        <w:tab/>
        <w:t xml:space="preserve">are taken to be, and always to have been, as valid and effective as they would have been if the purpose so approved or specified had been prescribed for the purposes of the </w:t>
      </w:r>
      <w:r>
        <w:rPr>
          <w:i/>
          <w:iCs/>
        </w:rPr>
        <w:t>Mining Act 1978</w:t>
      </w:r>
      <w:r>
        <w:t xml:space="preserve"> section 91(1) at the time of the grant.</w:t>
      </w:r>
    </w:p>
    <w:p>
      <w:pPr>
        <w:pStyle w:val="nzHeading5"/>
      </w:pPr>
      <w:r>
        <w:rPr>
          <w:rStyle w:val="CharSectno"/>
        </w:rPr>
        <w:t>9</w:t>
      </w:r>
      <w:r>
        <w:t>.</w:t>
      </w:r>
      <w:r>
        <w:tab/>
        <w:t>Pending applications for miscellaneous licence</w:t>
      </w:r>
    </w:p>
    <w:p>
      <w:pPr>
        <w:pStyle w:val="nzSubsection"/>
        <w:keepNext/>
        <w:keepLines/>
      </w:pPr>
      <w:r>
        <w:tab/>
      </w:r>
      <w:r>
        <w:tab/>
        <w:t>If —</w:t>
      </w:r>
    </w:p>
    <w:p>
      <w:pPr>
        <w:pStyle w:val="nzIndenta"/>
      </w:pPr>
      <w:r>
        <w:tab/>
        <w:t>(a)</w:t>
      </w:r>
      <w:r>
        <w:tab/>
        <w:t>an application has been made for a miscellaneous licence for a purpose approved or specified by the Director General of Mines; and</w:t>
      </w:r>
    </w:p>
    <w:p>
      <w:pPr>
        <w:pStyle w:val="nzIndenta"/>
      </w:pPr>
      <w:r>
        <w:tab/>
        <w:t>(b)</w:t>
      </w:r>
      <w:r>
        <w:tab/>
        <w:t>the application has not been determined before the day on which this section comes into operation,</w:t>
      </w:r>
    </w:p>
    <w:p>
      <w:pPr>
        <w:pStyle w:val="nzSubsection"/>
      </w:pPr>
      <w:r>
        <w:tab/>
      </w:r>
      <w:r>
        <w:tab/>
        <w:t xml:space="preserve">the application is to be dealt with and determined as if, on and from the time the application was made, the purpose so approved or specified were prescribed for the purposes of the </w:t>
      </w:r>
      <w:r>
        <w:rPr>
          <w:i/>
          <w:iCs/>
        </w:rPr>
        <w:t>Mining Act 1978</w:t>
      </w:r>
      <w:r>
        <w:t xml:space="preserve"> section 91(1).</w:t>
      </w:r>
    </w:p>
    <w:p>
      <w:pPr>
        <w:pStyle w:val="BlankClose"/>
        <w:rPr>
          <w:snapToGrid w:val="0"/>
        </w:rPr>
      </w:pPr>
    </w:p>
    <w:p>
      <w:pPr>
        <w:pStyle w:val="nNote"/>
        <w:rPr>
          <w:snapToGrid w:val="0"/>
        </w:rPr>
      </w:pPr>
      <w:r>
        <w:rPr>
          <w:snapToGrid w:val="0"/>
          <w:vertAlign w:val="superscript"/>
        </w:rPr>
        <w:t>6</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 before they came into operation.</w:t>
      </w:r>
    </w:p>
    <w:p>
      <w:pPr>
        <w:pStyle w:val="nNote"/>
        <w:keepNext/>
        <w:rPr>
          <w:snapToGrid w:val="0"/>
        </w:rPr>
      </w:pPr>
      <w:r>
        <w:rPr>
          <w:snapToGrid w:val="0"/>
          <w:vertAlign w:val="superscript"/>
        </w:rPr>
        <w:t>7</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BlankOpen"/>
        <w:rPr>
          <w:snapToGrid w:val="0"/>
        </w:rPr>
      </w:pPr>
    </w:p>
    <w:p>
      <w:pPr>
        <w:pStyle w:val="nzHeading5"/>
        <w:spacing w:before="0"/>
        <w:rPr>
          <w:snapToGrid w:val="0"/>
        </w:rPr>
      </w:pPr>
      <w:r>
        <w:rPr>
          <w:snapToGrid w:val="0"/>
        </w:rPr>
        <w:t>40.</w:t>
      </w:r>
      <w:r>
        <w:rPr>
          <w:snapToGrid w:val="0"/>
        </w:rPr>
        <w:tab/>
        <w:t>Savings and transitional</w:t>
      </w:r>
    </w:p>
    <w:p>
      <w:pPr>
        <w:pStyle w:val="nzSubsection"/>
        <w:keepNext/>
        <w:rPr>
          <w:snapToGrid w:val="0"/>
        </w:rPr>
      </w:pPr>
      <w:r>
        <w:rPr>
          <w:snapToGrid w:val="0"/>
        </w:rPr>
        <w:tab/>
        <w:t>(1)</w:t>
      </w:r>
      <w:r>
        <w:rPr>
          <w:snapToGrid w:val="0"/>
        </w:rPr>
        <w:tab/>
        <w:t>Notwithstanding sections 15, 16, 17, 19 and 34 but subject to this section —</w:t>
      </w:r>
    </w:p>
    <w:p>
      <w:pPr>
        <w:pStyle w:val="nzIndenta"/>
        <w:rPr>
          <w:snapToGrid w:val="0"/>
        </w:rPr>
      </w:pPr>
      <w:r>
        <w:rPr>
          <w:snapToGrid w:val="0"/>
        </w:rPr>
        <w:tab/>
        <w:t>(a)</w:t>
      </w:r>
      <w:r>
        <w:rPr>
          <w:snapToGrid w:val="0"/>
        </w:rPr>
        <w:tab/>
        <w:t>the amendments to the principal Act effected by those sections do not have effect in relation to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lastRenderedPageBreak/>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w:t>
      </w:r>
    </w:p>
    <w:p>
      <w:pPr>
        <w:pStyle w:val="nzIndenti"/>
        <w:spacing w:before="30"/>
        <w:rPr>
          <w:snapToGrid w:val="0"/>
        </w:rPr>
      </w:pPr>
      <w:r>
        <w:rPr>
          <w:snapToGrid w:val="0"/>
        </w:rPr>
        <w:tab/>
        <w:t>(i)</w:t>
      </w:r>
      <w:r>
        <w:rPr>
          <w:snapToGrid w:val="0"/>
        </w:rPr>
        <w:tab/>
        <w:t>land becomes available from an existing licence; and</w:t>
      </w:r>
    </w:p>
    <w:p>
      <w:pPr>
        <w:pStyle w:val="nzIndenti"/>
        <w:spacing w:before="30"/>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keepNext/>
        <w:keepLines/>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rPr>
          <w:snapToGrid w:val="0"/>
        </w:rPr>
      </w:pPr>
      <w:r>
        <w:rPr>
          <w:snapToGrid w:val="0"/>
        </w:rPr>
        <w:tab/>
        <w:t>(3)</w:t>
      </w:r>
      <w:r>
        <w:rPr>
          <w:snapToGrid w:val="0"/>
        </w:rPr>
        <w:tab/>
        <w:t>In this section —</w:t>
      </w:r>
    </w:p>
    <w:p>
      <w:pPr>
        <w:pStyle w:val="nzDefstart"/>
        <w:spacing w:before="30"/>
      </w:pPr>
      <w:r>
        <w:rPr>
          <w:b/>
        </w:rPr>
        <w:tab/>
      </w:r>
      <w:r>
        <w:rPr>
          <w:rStyle w:val="CharDefText"/>
          <w:snapToGrid/>
        </w:rPr>
        <w:t>block</w:t>
      </w:r>
      <w:r>
        <w:rPr>
          <w:b/>
        </w:rPr>
        <w:t xml:space="preserve"> </w:t>
      </w:r>
      <w:r>
        <w:t>means a block as described in section 56C of the principal Act as in force after the commencement of section 15 of this Act;</w:t>
      </w:r>
    </w:p>
    <w:p>
      <w:pPr>
        <w:pStyle w:val="nzDefstart"/>
        <w:spacing w:before="30"/>
      </w:pPr>
      <w:r>
        <w:rPr>
          <w:b/>
        </w:rPr>
        <w:tab/>
      </w:r>
      <w:r>
        <w:rPr>
          <w:rStyle w:val="CharDefText"/>
          <w:snapToGrid/>
        </w:rPr>
        <w:t>commencement day</w:t>
      </w:r>
      <w:r>
        <w:t xml:space="preserve"> means the day on which sections 15, 16, 17, 19 and 34 of this Act come into operation;</w:t>
      </w:r>
    </w:p>
    <w:p>
      <w:pPr>
        <w:pStyle w:val="nzDefstart"/>
        <w:spacing w:before="30"/>
      </w:pPr>
      <w:r>
        <w:rPr>
          <w:b/>
        </w:rPr>
        <w:tab/>
      </w:r>
      <w:r>
        <w:rPr>
          <w:rStyle w:val="CharDefText"/>
          <w:snapToGrid/>
        </w:rPr>
        <w:t>existing licence</w:t>
      </w:r>
      <w:r>
        <w:t xml:space="preserve"> means an exploration licence referred to in subsection (1)(a)(i) or (iii).</w:t>
      </w:r>
    </w:p>
    <w:p>
      <w:pPr>
        <w:pStyle w:val="nzSubsection"/>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BlankClose"/>
        <w:rPr>
          <w:snapToGrid w:val="0"/>
        </w:rPr>
      </w:pPr>
    </w:p>
    <w:p>
      <w:pPr>
        <w:pStyle w:val="nNote"/>
        <w:keepNext/>
        <w:keepLines/>
        <w:rPr>
          <w:snapToGrid w:val="0"/>
        </w:rPr>
      </w:pPr>
      <w:r>
        <w:rPr>
          <w:snapToGrid w:val="0"/>
          <w:vertAlign w:val="superscript"/>
        </w:rPr>
        <w:t>8</w:t>
      </w:r>
      <w:r>
        <w:rPr>
          <w:snapToGrid w:val="0"/>
        </w:rPr>
        <w:tab/>
        <w:t xml:space="preserve">The </w:t>
      </w:r>
      <w:r>
        <w:rPr>
          <w:i/>
          <w:snapToGrid w:val="0"/>
        </w:rPr>
        <w:t xml:space="preserve">Mining Amendment Act 1993 </w:t>
      </w:r>
      <w:r>
        <w:rPr>
          <w:snapToGrid w:val="0"/>
        </w:rPr>
        <w:t>s. 5(2), 19(2) and 28(2), and s. 29 and 30(3) (which are in Pt. 3 of the Act) read as follows:</w:t>
      </w:r>
    </w:p>
    <w:p>
      <w:pPr>
        <w:pStyle w:val="BlankOpen"/>
        <w:rPr>
          <w:snapToGrid w:val="0"/>
        </w:rPr>
      </w:pPr>
    </w:p>
    <w:p>
      <w:pPr>
        <w:pStyle w:val="nzHeading5"/>
        <w:spacing w:before="0"/>
        <w:rPr>
          <w:snapToGrid w:val="0"/>
        </w:rPr>
      </w:pPr>
      <w:r>
        <w:rPr>
          <w:snapToGrid w:val="0"/>
        </w:rPr>
        <w:t>5.</w:t>
      </w:r>
      <w:r>
        <w:rPr>
          <w:snapToGrid w:val="0"/>
        </w:rPr>
        <w:tab/>
        <w:t>Section 45 amended and savings</w:t>
      </w:r>
    </w:p>
    <w:p>
      <w:pPr>
        <w:pStyle w:val="nzSubsection"/>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nzHeading5"/>
        <w:spacing w:before="160"/>
        <w:rPr>
          <w:snapToGrid w:val="0"/>
        </w:rPr>
      </w:pPr>
      <w:r>
        <w:rPr>
          <w:snapToGrid w:val="0"/>
        </w:rPr>
        <w:t>19.</w:t>
      </w:r>
      <w:r>
        <w:rPr>
          <w:snapToGrid w:val="0"/>
        </w:rPr>
        <w:tab/>
        <w:t>Section 114A inserted and validation</w:t>
      </w:r>
    </w:p>
    <w:p>
      <w:pPr>
        <w:pStyle w:val="nzSubsection"/>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spacing w:before="100"/>
        <w:rPr>
          <w:snapToGrid w:val="0"/>
        </w:rPr>
      </w:pPr>
      <w:r>
        <w:rPr>
          <w:snapToGrid w:val="0"/>
        </w:rPr>
        <w:tab/>
      </w:r>
      <w:r>
        <w:rPr>
          <w:snapToGrid w:val="0"/>
        </w:rPr>
        <w:tab/>
        <w:t>had been in operation when the act or thing was done.</w:t>
      </w:r>
    </w:p>
    <w:p>
      <w:pPr>
        <w:pStyle w:val="nzHeading5"/>
        <w:spacing w:before="160"/>
        <w:rPr>
          <w:snapToGrid w:val="0"/>
        </w:rPr>
      </w:pPr>
      <w:r>
        <w:rPr>
          <w:snapToGrid w:val="0"/>
        </w:rPr>
        <w:t>28.</w:t>
      </w:r>
      <w:r>
        <w:rPr>
          <w:snapToGrid w:val="0"/>
        </w:rPr>
        <w:tab/>
        <w:t>Amendments relating to surveys and savings provision</w:t>
      </w:r>
    </w:p>
    <w:p>
      <w:pPr>
        <w:pStyle w:val="nzSubsection"/>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r>
        <w:rPr>
          <w:snapToGrid w:val="0"/>
        </w:rPr>
        <w:tab/>
      </w:r>
    </w:p>
    <w:p>
      <w:pPr>
        <w:pStyle w:val="nzHeading5"/>
        <w:spacing w:before="160"/>
        <w:rPr>
          <w:snapToGrid w:val="0"/>
        </w:rPr>
      </w:pPr>
      <w:r>
        <w:rPr>
          <w:snapToGrid w:val="0"/>
        </w:rPr>
        <w:t>29.</w:t>
      </w:r>
      <w:r>
        <w:rPr>
          <w:snapToGrid w:val="0"/>
        </w:rPr>
        <w:tab/>
        <w:t>Principal Act</w:t>
      </w:r>
    </w:p>
    <w:p>
      <w:pPr>
        <w:pStyle w:val="nzSubsection"/>
        <w:spacing w:before="120"/>
        <w:rPr>
          <w:snapToGrid w:val="0"/>
        </w:rPr>
      </w:pPr>
      <w:r>
        <w:rPr>
          <w:snapToGrid w:val="0"/>
        </w:rPr>
        <w:tab/>
      </w:r>
      <w:r>
        <w:rPr>
          <w:snapToGrid w:val="0"/>
        </w:rPr>
        <w:tab/>
        <w:t xml:space="preserve">In this Part the </w:t>
      </w:r>
      <w:r>
        <w:rPr>
          <w:i/>
          <w:iCs/>
          <w:snapToGrid w:val="0"/>
        </w:rPr>
        <w:t>Mining Amendment Act 1990</w:t>
      </w:r>
      <w:r>
        <w:rPr>
          <w:snapToGrid w:val="0"/>
        </w:rPr>
        <w:t xml:space="preserve"> is referred to as the principal Act.</w:t>
      </w:r>
    </w:p>
    <w:p>
      <w:pPr>
        <w:pStyle w:val="nzHeading5"/>
        <w:spacing w:before="160"/>
        <w:rPr>
          <w:snapToGrid w:val="0"/>
        </w:rPr>
      </w:pPr>
      <w:r>
        <w:rPr>
          <w:snapToGrid w:val="0"/>
        </w:rPr>
        <w:t>30.</w:t>
      </w:r>
      <w:r>
        <w:rPr>
          <w:snapToGrid w:val="0"/>
        </w:rPr>
        <w:tab/>
      </w:r>
      <w:r>
        <w:rPr>
          <w:i/>
          <w:snapToGrid w:val="0"/>
        </w:rPr>
        <w:t>Mining Amendment Act 1990</w:t>
      </w:r>
      <w:r>
        <w:rPr>
          <w:snapToGrid w:val="0"/>
        </w:rPr>
        <w:t xml:space="preserve"> amended and transitional</w:t>
      </w:r>
    </w:p>
    <w:p>
      <w:pPr>
        <w:pStyle w:val="nzSubsection"/>
        <w:rPr>
          <w:snapToGrid w:val="0"/>
        </w:rPr>
      </w:pPr>
      <w:r>
        <w:rPr>
          <w:snapToGrid w:val="0"/>
        </w:rPr>
        <w:tab/>
        <w:t>(3)</w:t>
      </w:r>
      <w:r>
        <w:rPr>
          <w:snapToGrid w:val="0"/>
        </w:rPr>
        <w:tab/>
        <w:t>Notwithstanding section 40 of the principal Act as amended by this section —</w:t>
      </w:r>
    </w:p>
    <w:p>
      <w:pPr>
        <w:pStyle w:val="nzIndenta"/>
        <w:rPr>
          <w:snapToGrid w:val="0"/>
        </w:rPr>
      </w:pPr>
      <w:r>
        <w:rPr>
          <w:snapToGrid w:val="0"/>
        </w:rPr>
        <w:lastRenderedPageBreak/>
        <w:tab/>
        <w:t>(a)</w:t>
      </w:r>
      <w:r>
        <w:rPr>
          <w:snapToGrid w:val="0"/>
        </w:rPr>
        <w:tab/>
        <w:t>the amendment effected by section 19(b) of the principal Act;</w:t>
      </w:r>
    </w:p>
    <w:p>
      <w:pPr>
        <w:pStyle w:val="nzIndenta"/>
        <w:keepNext/>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BlankClose"/>
      </w:pPr>
    </w:p>
    <w:p>
      <w:pPr>
        <w:pStyle w:val="nNote"/>
        <w:keepNext/>
        <w:rPr>
          <w:snapToGrid w:val="0"/>
        </w:rPr>
      </w:pPr>
      <w:r>
        <w:rPr>
          <w:snapToGrid w:val="0"/>
          <w:vertAlign w:val="superscript"/>
        </w:rPr>
        <w:t>9</w:t>
      </w:r>
      <w:r>
        <w:rPr>
          <w:snapToGrid w:val="0"/>
        </w:rPr>
        <w:tab/>
        <w:t xml:space="preserve">The </w:t>
      </w:r>
      <w:r>
        <w:rPr>
          <w:i/>
          <w:snapToGrid w:val="0"/>
        </w:rPr>
        <w:t xml:space="preserve">Mining Amendment Act 1994 </w:t>
      </w:r>
      <w:r>
        <w:rPr>
          <w:snapToGrid w:val="0"/>
        </w:rPr>
        <w:t>s. 21(5), 31(4) and 53 read as follows:</w:t>
      </w:r>
    </w:p>
    <w:p>
      <w:pPr>
        <w:pStyle w:val="BlankOpen"/>
        <w:rPr>
          <w:snapToGrid w:val="0"/>
        </w:rPr>
      </w:pPr>
    </w:p>
    <w:p>
      <w:pPr>
        <w:pStyle w:val="nzHeading5"/>
        <w:spacing w:before="0"/>
        <w:rPr>
          <w:snapToGrid w:val="0"/>
        </w:rPr>
      </w:pPr>
      <w:r>
        <w:rPr>
          <w:snapToGrid w:val="0"/>
        </w:rPr>
        <w:t>21.</w:t>
      </w:r>
      <w:r>
        <w:rPr>
          <w:snapToGrid w:val="0"/>
        </w:rPr>
        <w:tab/>
        <w:t>Section 70 amended and saving</w:t>
      </w: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nzHeading5"/>
        <w:spacing w:before="160"/>
        <w:rPr>
          <w:snapToGrid w:val="0"/>
        </w:rPr>
      </w:pPr>
      <w:r>
        <w:rPr>
          <w:snapToGrid w:val="0"/>
        </w:rPr>
        <w:t>31.</w:t>
      </w:r>
      <w:r>
        <w:rPr>
          <w:snapToGrid w:val="0"/>
        </w:rPr>
        <w:tab/>
        <w:t>Section 85B amended and saving</w:t>
      </w:r>
    </w:p>
    <w:p>
      <w:pPr>
        <w:pStyle w:val="nzSubsection"/>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rStyle w:val="CharDefText"/>
        </w:rPr>
        <w:t>existing licence</w:t>
      </w:r>
      <w:r>
        <w:rPr>
          <w:snapToGrid w:val="0"/>
        </w:rPr>
        <w:t xml:space="preserve"> means an exploration licence referred to in section 40(1)(a)(i) or (iii) of the </w:t>
      </w:r>
      <w:r>
        <w:rPr>
          <w:i/>
          <w:snapToGrid w:val="0"/>
        </w:rPr>
        <w:t>Mining Amendment Act 1990</w:t>
      </w:r>
      <w:r>
        <w:rPr>
          <w:snapToGrid w:val="0"/>
        </w:rPr>
        <w:t>.</w:t>
      </w:r>
    </w:p>
    <w:p>
      <w:pPr>
        <w:pStyle w:val="BlankClose"/>
        <w:rPr>
          <w:snapToGrid w:val="0"/>
        </w:rPr>
      </w:pPr>
    </w:p>
    <w:p>
      <w:pPr>
        <w:pStyle w:val="nNote"/>
        <w:rPr>
          <w:snapToGrid w:val="0"/>
        </w:rPr>
      </w:pPr>
      <w:r>
        <w:rPr>
          <w:snapToGrid w:val="0"/>
          <w:vertAlign w:val="superscript"/>
        </w:rPr>
        <w:t>10</w:t>
      </w:r>
      <w:r>
        <w:rPr>
          <w:snapToGrid w:val="0"/>
        </w:rPr>
        <w:tab/>
        <w:t xml:space="preserve">The </w:t>
      </w:r>
      <w:r>
        <w:rPr>
          <w:i/>
          <w:iCs/>
          <w:snapToGrid w:val="0"/>
        </w:rPr>
        <w:t>Mining Amendment Act 1996</w:t>
      </w:r>
      <w:r>
        <w:rPr>
          <w:snapToGrid w:val="0"/>
        </w:rPr>
        <w:t xml:space="preserve"> s. 9 had not come into operation when it was deleted by the </w:t>
      </w:r>
      <w:r>
        <w:rPr>
          <w:i/>
          <w:snapToGrid w:val="0"/>
        </w:rPr>
        <w:t>Statutes (Repeals and Miscellaneous Amendments) Act 2009</w:t>
      </w:r>
      <w:r>
        <w:rPr>
          <w:snapToGrid w:val="0"/>
        </w:rPr>
        <w:t xml:space="preserve"> s. 93.</w:t>
      </w:r>
    </w:p>
    <w:p>
      <w:pPr>
        <w:pStyle w:val="nNote"/>
        <w:rPr>
          <w:snapToGrid w:val="0"/>
        </w:rPr>
      </w:pPr>
      <w:r>
        <w:rPr>
          <w:snapToGrid w:val="0"/>
          <w:vertAlign w:val="superscript"/>
        </w:rPr>
        <w:t>11</w:t>
      </w:r>
      <w:r>
        <w:rPr>
          <w:snapToGrid w:val="0"/>
        </w:rPr>
        <w:tab/>
        <w:t>The proclamation for the commencement of s. 3, 4, 6, 8, 11, 12 and 14</w:t>
      </w:r>
      <w:r>
        <w:rPr>
          <w:snapToGrid w:val="0"/>
        </w:rPr>
        <w:noBreakHyphen/>
        <w:t>22 (</w:t>
      </w:r>
      <w:r>
        <w:rPr>
          <w:i/>
          <w:snapToGrid w:val="0"/>
        </w:rPr>
        <w:t>Gazette</w:t>
      </w:r>
      <w:r>
        <w:rPr>
          <w:snapToGrid w:val="0"/>
        </w:rPr>
        <w:t xml:space="preserve"> 14 Jan 2005 p. 164) was revoked in </w:t>
      </w:r>
      <w:r>
        <w:rPr>
          <w:i/>
          <w:snapToGrid w:val="0"/>
        </w:rPr>
        <w:t>Gazette</w:t>
      </w:r>
      <w:r>
        <w:rPr>
          <w:snapToGrid w:val="0"/>
        </w:rPr>
        <w:t xml:space="preserve"> 24 Mar 2005 p. 1001.</w:t>
      </w:r>
    </w:p>
    <w:p>
      <w:pPr>
        <w:pStyle w:val="nNote"/>
        <w:keepNext/>
        <w:keepLines/>
        <w:spacing w:before="120"/>
        <w:rPr>
          <w:snapToGrid w:val="0"/>
        </w:rPr>
      </w:pPr>
      <w:r>
        <w:rPr>
          <w:snapToGrid w:val="0"/>
          <w:vertAlign w:val="superscript"/>
        </w:rPr>
        <w:lastRenderedPageBreak/>
        <w:t>12</w:t>
      </w:r>
      <w:r>
        <w:rPr>
          <w:snapToGrid w:val="0"/>
        </w:rPr>
        <w:tab/>
        <w:t xml:space="preserve">The </w:t>
      </w:r>
      <w:r>
        <w:rPr>
          <w:i/>
          <w:snapToGrid w:val="0"/>
        </w:rPr>
        <w:t xml:space="preserve">Mining Amendment Act 1998 </w:t>
      </w:r>
      <w:r>
        <w:rPr>
          <w:snapToGrid w:val="0"/>
        </w:rPr>
        <w:t>s. 4(3) reads as follows:</w:t>
      </w:r>
    </w:p>
    <w:p>
      <w:pPr>
        <w:pStyle w:val="BlankOpen"/>
        <w:rPr>
          <w:snapToGrid w:val="0"/>
          <w:sz w:val="20"/>
          <w:szCs w:val="20"/>
        </w:rPr>
      </w:pPr>
    </w:p>
    <w:p>
      <w:pPr>
        <w:pStyle w:val="nzSubsection"/>
        <w:keepNext/>
        <w:keepLines/>
        <w:spacing w:before="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BlankClose"/>
        <w:rPr>
          <w:snapToGrid w:val="0"/>
        </w:rPr>
      </w:pPr>
    </w:p>
    <w:p>
      <w:pPr>
        <w:pStyle w:val="nNote"/>
        <w:rPr>
          <w:snapToGrid w:val="0"/>
        </w:rPr>
      </w:pPr>
      <w:r>
        <w:rPr>
          <w:snapToGrid w:val="0"/>
          <w:vertAlign w:val="superscript"/>
        </w:rPr>
        <w:t>13</w:t>
      </w:r>
      <w:r>
        <w:rPr>
          <w:snapToGrid w:val="0"/>
        </w:rPr>
        <w:tab/>
        <w:t>The proclamation for the commencement of s. 12 (</w:t>
      </w:r>
      <w:r>
        <w:rPr>
          <w:i/>
          <w:snapToGrid w:val="0"/>
        </w:rPr>
        <w:t>Gazette</w:t>
      </w:r>
      <w:r>
        <w:rPr>
          <w:snapToGrid w:val="0"/>
        </w:rPr>
        <w:t xml:space="preserve"> 14 Jan 2005 p. 164) was revoked in </w:t>
      </w:r>
      <w:r>
        <w:rPr>
          <w:i/>
          <w:snapToGrid w:val="0"/>
        </w:rPr>
        <w:t>Gazette</w:t>
      </w:r>
      <w:r>
        <w:rPr>
          <w:snapToGrid w:val="0"/>
        </w:rPr>
        <w:t xml:space="preserve"> 24 Mar 2005 p. 1001.</w:t>
      </w:r>
    </w:p>
    <w:p>
      <w:pPr>
        <w:pStyle w:val="nNote"/>
        <w:keepNext/>
        <w:keepLines/>
        <w:rPr>
          <w:snapToGrid w:val="0"/>
        </w:rPr>
      </w:pPr>
      <w:r>
        <w:rPr>
          <w:snapToGrid w:val="0"/>
          <w:vertAlign w:val="superscript"/>
        </w:rPr>
        <w:t>14</w:t>
      </w:r>
      <w:r>
        <w:rPr>
          <w:snapToGrid w:val="0"/>
        </w:rPr>
        <w:tab/>
        <w:t xml:space="preserve">The </w:t>
      </w:r>
      <w:r>
        <w:rPr>
          <w:i/>
          <w:snapToGrid w:val="0"/>
        </w:rPr>
        <w:t>Mining Amendment Act 2004</w:t>
      </w:r>
      <w:r>
        <w:rPr>
          <w:snapToGrid w:val="0"/>
        </w:rPr>
        <w:t xml:space="preserve"> s. 5(2), 6(2), 11, 15(2) and 19 (as amended by the </w:t>
      </w:r>
      <w:r>
        <w:rPr>
          <w:i/>
          <w:iCs/>
        </w:rPr>
        <w:t>Mining Legislation Amendment and Validation Act 2008</w:t>
      </w:r>
      <w:r>
        <w:t xml:space="preserve"> s. 5</w:t>
      </w:r>
      <w:r>
        <w:rPr>
          <w:snapToGrid w:val="0"/>
        </w:rPr>
        <w:t xml:space="preserve"> and the </w:t>
      </w:r>
      <w:r>
        <w:rPr>
          <w:i/>
          <w:snapToGrid w:val="0"/>
        </w:rPr>
        <w:t>Mining Amendment Act 2012</w:t>
      </w:r>
      <w:r>
        <w:rPr>
          <w:snapToGrid w:val="0"/>
        </w:rPr>
        <w:t xml:space="preserve"> Pt. 3)</w:t>
      </w:r>
      <w:r>
        <w:rPr>
          <w:i/>
        </w:rPr>
        <w:t>,</w:t>
      </w:r>
      <w:r>
        <w:rPr>
          <w:snapToGrid w:val="0"/>
        </w:rPr>
        <w:t> 32(3), 35, 36(2), 39(2), 86, 90(2), s. 98(2)</w:t>
      </w:r>
      <w:r>
        <w:rPr>
          <w:snapToGrid w:val="0"/>
        </w:rPr>
        <w:noBreakHyphen/>
        <w:t>(4) and Pt. 12 read as follows:</w:t>
      </w:r>
    </w:p>
    <w:p>
      <w:pPr>
        <w:pStyle w:val="BlankOpen"/>
        <w:rPr>
          <w:snapToGrid w:val="0"/>
          <w:sz w:val="20"/>
          <w:szCs w:val="20"/>
        </w:rPr>
      </w:pPr>
    </w:p>
    <w:p>
      <w:pPr>
        <w:pStyle w:val="nzHeading5"/>
      </w:pPr>
      <w:r>
        <w:rPr>
          <w:rStyle w:val="CharSectno"/>
        </w:rPr>
        <w:t>5</w:t>
      </w:r>
      <w:r>
        <w:t>.</w:t>
      </w:r>
      <w:r>
        <w:tab/>
      </w:r>
      <w:r>
        <w:rPr>
          <w:snapToGrid w:val="0"/>
        </w:rPr>
        <w:t>Section</w:t>
      </w:r>
      <w:r>
        <w:t> 45 amended and savings provision</w:t>
      </w: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nzHeading5"/>
        <w:spacing w:before="160"/>
      </w:pPr>
      <w:r>
        <w:rPr>
          <w:rStyle w:val="CharSectno"/>
        </w:rPr>
        <w:t>6</w:t>
      </w:r>
      <w:r>
        <w:t>.</w:t>
      </w:r>
      <w:r>
        <w:tab/>
      </w:r>
      <w:r>
        <w:rPr>
          <w:snapToGrid w:val="0"/>
        </w:rPr>
        <w:t>Section</w:t>
      </w:r>
      <w:r>
        <w:t> 46 amended and transitional provision</w:t>
      </w: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nzHeading5"/>
        <w:spacing w:before="160"/>
      </w:pPr>
      <w:r>
        <w:t>11.</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tab/>
      </w:r>
      <w:r>
        <w:rPr>
          <w:rStyle w:val="CharDefText"/>
          <w:snapToGrid/>
        </w:rPr>
        <w:t>old provisions</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nzHeading5"/>
        <w:spacing w:before="160"/>
      </w:pPr>
      <w:r>
        <w:lastRenderedPageBreak/>
        <w:t>15.</w:t>
      </w:r>
      <w:r>
        <w:tab/>
        <w:t>Section 63 amended and transitional provision</w:t>
      </w: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nzHeading5"/>
        <w:spacing w:before="160"/>
      </w:pPr>
      <w:r>
        <w:t>19.</w:t>
      </w:r>
      <w:r>
        <w:tab/>
        <w:t>Transitional and savings provisions</w:t>
      </w:r>
    </w:p>
    <w:p>
      <w:pPr>
        <w:pStyle w:val="nzSubsection"/>
        <w:keepNext/>
      </w:pPr>
      <w:r>
        <w:tab/>
        <w:t>(1)</w:t>
      </w:r>
      <w:r>
        <w:tab/>
        <w:t>In this section —</w:t>
      </w:r>
    </w:p>
    <w:p>
      <w:pPr>
        <w:pStyle w:val="nzDefstart"/>
        <w:keepNext/>
      </w:pPr>
      <w:r>
        <w:rPr>
          <w:b/>
        </w:rPr>
        <w:tab/>
      </w:r>
      <w:r>
        <w:rPr>
          <w:rStyle w:val="CharDefText"/>
        </w:rPr>
        <w:t>commencement</w:t>
      </w:r>
      <w:r>
        <w:t xml:space="preserve"> means the commencement of this Part;</w:t>
      </w:r>
    </w:p>
    <w:p>
      <w:pPr>
        <w:pStyle w:val="nzDefstart"/>
      </w:pPr>
      <w:r>
        <w:rPr>
          <w:b/>
        </w:rPr>
        <w:tab/>
      </w:r>
      <w:r>
        <w:rPr>
          <w:rStyle w:val="CharDefText"/>
        </w:rPr>
        <w:t>old provisions</w:t>
      </w:r>
      <w:r>
        <w:t xml:space="preserve"> means the </w:t>
      </w:r>
      <w:r>
        <w:rPr>
          <w:i/>
        </w:rPr>
        <w:t>Mining Act 1978</w:t>
      </w:r>
      <w:r>
        <w:t xml:space="preserve"> as in force immediately before the commencement;</w:t>
      </w:r>
    </w:p>
    <w:p>
      <w:pPr>
        <w:pStyle w:val="nzDefstart"/>
        <w:keepNext/>
      </w:pPr>
      <w:r>
        <w:rPr>
          <w:b/>
        </w:rPr>
        <w:tab/>
      </w:r>
      <w:r>
        <w:rPr>
          <w:rStyle w:val="CharDefText"/>
        </w:rPr>
        <w:t>relevant licence</w:t>
      </w:r>
      <w:r>
        <w:t xml:space="preserve"> means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spacing w:before="60"/>
      </w:pPr>
      <w:r>
        <w:tab/>
        <w:t>(2)</w:t>
      </w:r>
      <w:r>
        <w:tab/>
        <w:t>Despite the amendments made by this Part, the old provisions (other than sections 61(3), 63A, 65(1a), 65(1c) and 65(4)) continue to apply to and in relation to a relevant licence.</w:t>
      </w:r>
    </w:p>
    <w:p>
      <w:pPr>
        <w:pStyle w:val="nzSubsection"/>
        <w:spacing w:before="60"/>
      </w:pPr>
      <w:r>
        <w:tab/>
        <w:t>(2a)</w:t>
      </w:r>
      <w:r>
        <w:tab/>
        <w:t xml:space="preserve">Section 61(3) and (3a) of the </w:t>
      </w:r>
      <w:r>
        <w:rPr>
          <w:i/>
          <w:iCs/>
        </w:rPr>
        <w:t>Mining Act 1978</w:t>
      </w:r>
      <w:r>
        <w:t xml:space="preserve"> apply to and in relation to an application for the extension of the term of a relevant licence.</w:t>
      </w:r>
    </w:p>
    <w:p>
      <w:pPr>
        <w:pStyle w:val="nzSubsection"/>
        <w:spacing w:before="60"/>
      </w:pPr>
      <w:r>
        <w:tab/>
        <w:t>(3)</w:t>
      </w:r>
      <w:r>
        <w:tab/>
        <w:t>If the holder of a relevant licence fails to comply with the requirements for surrender in section 65(1) or (1b) of the old provisions, the Minister must, by notice in writing, require the holder to lodge the surrender for registration within a period specified in the notice.</w:t>
      </w:r>
    </w:p>
    <w:p>
      <w:pPr>
        <w:pStyle w:val="nzSubsection"/>
        <w:spacing w:before="60"/>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spacing w:before="60"/>
      </w:pPr>
      <w:r>
        <w:tab/>
        <w:t>(5)</w:t>
      </w:r>
      <w:r>
        <w:tab/>
        <w:t>Despite the amendments made by section 16, section 65(1a) of the old provisions continues to apply to and in relation to a relevant licence as if —</w:t>
      </w:r>
    </w:p>
    <w:p>
      <w:pPr>
        <w:pStyle w:val="nzIndenta"/>
      </w:pPr>
      <w:r>
        <w:tab/>
        <w:t>(a)</w:t>
      </w:r>
      <w:r>
        <w:tab/>
        <w:t>“licence — ” were replaced by —</w:t>
      </w:r>
    </w:p>
    <w:p>
      <w:pPr>
        <w:pStyle w:val="nzIndenta"/>
      </w:pPr>
      <w:r>
        <w:tab/>
      </w:r>
      <w:r>
        <w:tab/>
        <w:t>“    licence    ”;</w:t>
      </w:r>
    </w:p>
    <w:p>
      <w:pPr>
        <w:pStyle w:val="nzIndenta"/>
        <w:keepNext/>
      </w:pPr>
      <w:r>
        <w:lastRenderedPageBreak/>
        <w:tab/>
        <w:t>(b)</w:t>
      </w:r>
      <w:r>
        <w:tab/>
        <w:t>paragraphs (a) and (b), and “or” after paragraph (a), were deleted; and</w:t>
      </w:r>
    </w:p>
    <w:p>
      <w:pPr>
        <w:pStyle w:val="nzIndenta"/>
        <w:keepNext/>
      </w:pPr>
      <w:r>
        <w:tab/>
        <w:t>(c)</w:t>
      </w:r>
      <w:r>
        <w:tab/>
        <w:t>“the Minister may exempt” were replaced by —</w:t>
      </w:r>
    </w:p>
    <w:p>
      <w:pPr>
        <w:pStyle w:val="MiscOpen"/>
        <w:ind w:left="880"/>
      </w:pPr>
      <w:r>
        <w:t>“</w:t>
      </w:r>
    </w:p>
    <w:p>
      <w:pPr>
        <w:pStyle w:val="nzSubsection"/>
        <w:spacing w:before="40"/>
      </w:pPr>
      <w:r>
        <w:tab/>
      </w:r>
      <w:r>
        <w:tab/>
        <w:t>the Minister may, if satisfied that a ground for exemption exists, exempt</w:t>
      </w:r>
    </w:p>
    <w:p>
      <w:pPr>
        <w:pStyle w:val="MiscClose"/>
      </w:pPr>
      <w:r>
        <w:t xml:space="preserve">    ”.</w:t>
      </w:r>
    </w:p>
    <w:p>
      <w:pPr>
        <w:pStyle w:val="nzSubsection"/>
        <w:spacing w:before="60"/>
      </w:pPr>
      <w:r>
        <w:tab/>
        <w:t>(6)</w:t>
      </w:r>
      <w:r>
        <w:tab/>
        <w:t xml:space="preserve">For the purposes of the application of section 65(1a) of the old provisions as modified by subsection (5) each of the following is a ground for exemption — </w:t>
      </w:r>
    </w:p>
    <w:p>
      <w:pPr>
        <w:pStyle w:val="nzIndenta"/>
      </w:pPr>
      <w:r>
        <w:tab/>
        <w:t>(a)</w:t>
      </w:r>
      <w:r>
        <w:tab/>
        <w:t>by reason of difficulties or delays —</w:t>
      </w:r>
    </w:p>
    <w:p>
      <w:pPr>
        <w:pStyle w:val="nzIndenti"/>
      </w:pPr>
      <w:r>
        <w:tab/>
        <w:t>(i)</w:t>
      </w:r>
      <w:r>
        <w:tab/>
        <w:t>occasioned by law; or</w:t>
      </w:r>
    </w:p>
    <w:p>
      <w:pPr>
        <w:pStyle w:val="nzIndenti"/>
      </w:pPr>
      <w:r>
        <w:tab/>
        <w:t>(ii)</w:t>
      </w:r>
      <w:r>
        <w:tab/>
        <w:t>arising from administrative, political, environmental or other requirements of governmental or other authorities, in the State or elsewhere; or</w:t>
      </w:r>
    </w:p>
    <w:p>
      <w:pPr>
        <w:pStyle w:val="nzIndenti"/>
      </w:pPr>
      <w:r>
        <w:tab/>
        <w:t>(iii)</w:t>
      </w:r>
      <w:r>
        <w:tab/>
        <w:t xml:space="preserve">arising from a requirement to conduct an Aboriginal heritage survey on the land to which the application for exemption relates (the </w:t>
      </w:r>
      <w:r>
        <w:rPr>
          <w:rStyle w:val="CharDefText"/>
        </w:rPr>
        <w:t>relevant land</w:t>
      </w:r>
      <w:r>
        <w:t>); or</w:t>
      </w:r>
    </w:p>
    <w:p>
      <w:pPr>
        <w:pStyle w:val="nzIndenti"/>
      </w:pPr>
      <w:r>
        <w:tab/>
        <w:t>(iv)</w:t>
      </w:r>
      <w:r>
        <w:tab/>
        <w:t>in obtaining requisite consents or approvals for exploration or for the marking out of a mining lease or general purpose lease in relation to any part of the relevant land; or</w:t>
      </w:r>
    </w:p>
    <w:p>
      <w:pPr>
        <w:pStyle w:val="nzIndenti"/>
      </w:pPr>
      <w:r>
        <w:tab/>
        <w:t>(v)</w:t>
      </w:r>
      <w:r>
        <w:tab/>
        <w:t>in gaining access to the relevant land because of unfavourable climatic conditions,</w:t>
      </w:r>
    </w:p>
    <w:p>
      <w:pPr>
        <w:pStyle w:val="nzIndenta"/>
      </w:pPr>
      <w:r>
        <w:tab/>
      </w:r>
      <w:r>
        <w:tab/>
        <w:t>the exploration programme, or the marking out and application appropriate to a mining lease or general purpose lease in relation to the relevant land, could not be undertaken or completed or is restricted in a manner that is, or subject to conditions that are, for the time being impracticable;</w:t>
      </w:r>
    </w:p>
    <w:p>
      <w:pPr>
        <w:pStyle w:val="nzIndenta"/>
      </w:pPr>
      <w:r>
        <w:tab/>
        <w:t>(b)</w:t>
      </w:r>
      <w:r>
        <w:tab/>
        <w:t>work already carried out under the licence justifies further exploration.</w:t>
      </w:r>
    </w:p>
    <w:p>
      <w:pPr>
        <w:pStyle w:val="nzSubsection"/>
        <w:keepNext/>
        <w:keepLines/>
      </w:pPr>
      <w:r>
        <w:lastRenderedPageBreak/>
        <w:tab/>
        <w:t>(7)</w:t>
      </w:r>
      <w:r>
        <w:tab/>
        <w:t>Despite the amendments made by section 16, section 65(1c) of the old provisions continues to apply to and in relation to a relevant licence as if section 65(1c)(b) were replaced by the following paragraph —</w:t>
      </w:r>
    </w:p>
    <w:p>
      <w:pPr>
        <w:pStyle w:val="MiscOpen"/>
        <w:spacing w:before="80"/>
        <w:ind w:left="1338"/>
      </w:pPr>
      <w:r>
        <w:t>“</w:t>
      </w:r>
    </w:p>
    <w:p>
      <w:pPr>
        <w:pStyle w:val="nzIndenta"/>
        <w:keepNext/>
      </w:pPr>
      <w:r>
        <w:tab/>
        <w:t>(b)</w:t>
      </w:r>
      <w:r>
        <w:tab/>
        <w:t>shall be lodged at an office of the Department on or before the last day of the third or fourth year, as the case requires, of the term for which it is lodged;</w:t>
      </w:r>
    </w:p>
    <w:p>
      <w:pPr>
        <w:pStyle w:val="MiscClose"/>
        <w:ind w:right="283"/>
      </w:pPr>
      <w:r>
        <w:t xml:space="preserve">    ”.</w:t>
      </w:r>
    </w:p>
    <w:p>
      <w:pPr>
        <w:pStyle w:val="nzFootnotesection"/>
      </w:pPr>
      <w:r>
        <w:tab/>
      </w:r>
      <w:r>
        <w:tab/>
        <w:t>[Section 19 amended: No. 19 of 2008 s. 5; No. 51 of 2012 s. 45.]</w:t>
      </w:r>
    </w:p>
    <w:p>
      <w:pPr>
        <w:pStyle w:val="nzHeading5"/>
      </w:pPr>
      <w:r>
        <w:t>32.</w:t>
      </w:r>
      <w:r>
        <w:tab/>
        <w:t>Section 82 amended and transitional provisions</w:t>
      </w: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nzHeading5"/>
      </w:pPr>
      <w:r>
        <w:t>35.</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rPr>
          <w:b/>
        </w:rPr>
        <w:tab/>
      </w:r>
      <w:r>
        <w:rPr>
          <w:rStyle w:val="CharDefText"/>
          <w:snapToGrid/>
        </w:rPr>
        <w:t>old provisions</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nzHeading5"/>
        <w:spacing w:before="160"/>
      </w:pPr>
      <w:r>
        <w:t>36.</w:t>
      </w:r>
      <w:r>
        <w:tab/>
        <w:t>Section 70F replaced and transitional provision</w:t>
      </w: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nzHeading5"/>
        <w:spacing w:before="160"/>
      </w:pPr>
      <w:r>
        <w:t>39.</w:t>
      </w:r>
      <w:r>
        <w:tab/>
        <w:t>Section 84A replaced and transitional provision</w:t>
      </w: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w:t>
      </w:r>
    </w:p>
    <w:p>
      <w:pPr>
        <w:pStyle w:val="nzIndenta"/>
      </w:pPr>
      <w:r>
        <w:lastRenderedPageBreak/>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nzHeading5"/>
        <w:spacing w:before="160"/>
      </w:pPr>
      <w:r>
        <w:rPr>
          <w:rStyle w:val="CharSectno"/>
        </w:rPr>
        <w:t>86</w:t>
      </w:r>
      <w:r>
        <w:t>.</w:t>
      </w:r>
      <w:r>
        <w:tab/>
        <w:t>Transitional provision</w:t>
      </w:r>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nzHeading5"/>
        <w:spacing w:before="160"/>
      </w:pPr>
      <w:r>
        <w:rPr>
          <w:rStyle w:val="CharSectno"/>
        </w:rPr>
        <w:t>90</w:t>
      </w:r>
      <w:r>
        <w:t>.</w:t>
      </w:r>
      <w:r>
        <w:tab/>
        <w:t>Section 70H amended and transitional provision</w:t>
      </w:r>
    </w:p>
    <w:p>
      <w:pPr>
        <w:pStyle w:val="nzSubsection"/>
        <w:rPr>
          <w:snapToGrid w:val="0"/>
        </w:rPr>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nzHeading5"/>
        <w:spacing w:before="160"/>
      </w:pPr>
      <w:r>
        <w:t>98.</w:t>
      </w:r>
      <w:r>
        <w:tab/>
        <w:t>Section 118A inserted and validation and transitional provisions</w:t>
      </w: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In subsections (2) and (3) —</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existing mining authorisation</w:t>
      </w:r>
      <w:r>
        <w:t xml:space="preserve"> means a mining authorisation in force immediately before the commencement;</w:t>
      </w:r>
    </w:p>
    <w:p>
      <w:pPr>
        <w:pStyle w:val="nzDefstart"/>
      </w:pPr>
      <w:r>
        <w:rPr>
          <w:b/>
        </w:rPr>
        <w:tab/>
      </w:r>
      <w:r>
        <w:rPr>
          <w:rStyle w:val="CharDefText"/>
          <w:snapToGrid/>
        </w:rPr>
        <w:t>mining authorisation</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nzHeading2"/>
        <w:spacing w:before="240"/>
      </w:pPr>
      <w:r>
        <w:t>Part 12 — Transitional regulations</w:t>
      </w:r>
    </w:p>
    <w:p>
      <w:pPr>
        <w:pStyle w:val="nzHeading5"/>
        <w:spacing w:before="120"/>
      </w:pPr>
      <w:r>
        <w:t>105.</w:t>
      </w:r>
      <w:r>
        <w:tab/>
        <w:t>Further transitional provisions may be made</w:t>
      </w:r>
    </w:p>
    <w:p>
      <w:pPr>
        <w:pStyle w:val="nzSubsection"/>
      </w:pPr>
      <w:r>
        <w:tab/>
        <w:t>(1)</w:t>
      </w:r>
      <w:r>
        <w:tab/>
        <w:t>In this section —</w:t>
      </w:r>
    </w:p>
    <w:p>
      <w:pPr>
        <w:pStyle w:val="nzDefstart"/>
      </w:pPr>
      <w:r>
        <w:rPr>
          <w:b/>
        </w:rPr>
        <w:lastRenderedPageBreak/>
        <w:tab/>
      </w:r>
      <w:r>
        <w:rPr>
          <w:rStyle w:val="CharDefText"/>
          <w:snapToGrid/>
        </w:rPr>
        <w:t>amending provision</w:t>
      </w:r>
      <w:r>
        <w:t xml:space="preserve"> means a provision of this Act;</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specified</w:t>
      </w:r>
      <w:r>
        <w:t xml:space="preserve"> means specified or described in the regulations;</w:t>
      </w:r>
    </w:p>
    <w:p>
      <w:pPr>
        <w:pStyle w:val="nzDefstart"/>
      </w:pPr>
      <w:r>
        <w:rPr>
          <w:b/>
        </w:rPr>
        <w:tab/>
      </w:r>
      <w:r>
        <w:rPr>
          <w:rStyle w:val="CharDefText"/>
          <w:snapToGrid/>
        </w:rPr>
        <w:t>transitional matter</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spacing w:before="60"/>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spacing w:before="60"/>
      </w:pPr>
      <w:r>
        <w:tab/>
        <w:t>(3)</w:t>
      </w:r>
      <w:r>
        <w:tab/>
        <w:t xml:space="preserve">Regulations referred to in subsection (2) may provide that specified provisions of this Act or the </w:t>
      </w:r>
      <w:r>
        <w:rPr>
          <w:i/>
        </w:rPr>
        <w:t>Mining Act 1978</w:t>
      </w:r>
      <w:r>
        <w:t> —</w:t>
      </w:r>
    </w:p>
    <w:p>
      <w:pPr>
        <w:pStyle w:val="nzIndenta"/>
      </w:pPr>
      <w:r>
        <w:tab/>
        <w:t>(a)</w:t>
      </w:r>
      <w:r>
        <w:tab/>
        <w:t>do not apply; or</w:t>
      </w:r>
    </w:p>
    <w:p>
      <w:pPr>
        <w:pStyle w:val="nzIndenta"/>
      </w:pPr>
      <w:r>
        <w:tab/>
        <w:t>(b)</w:t>
      </w:r>
      <w:r>
        <w:tab/>
        <w:t>apply with specified modifications,</w:t>
      </w:r>
    </w:p>
    <w:p>
      <w:pPr>
        <w:pStyle w:val="nzSubsection"/>
        <w:spacing w:before="60"/>
      </w:pPr>
      <w:r>
        <w:tab/>
      </w:r>
      <w:r>
        <w:tab/>
        <w:t>to or in relation to any matter.</w:t>
      </w:r>
    </w:p>
    <w:p>
      <w:pPr>
        <w:pStyle w:val="nzSubsection"/>
        <w:spacing w:before="60"/>
      </w:pPr>
      <w:r>
        <w:tab/>
        <w:t>(4)</w:t>
      </w:r>
      <w:r>
        <w:tab/>
        <w:t>Regulations referred to in subsection (2) must be made within 12 months after the commencement.</w:t>
      </w:r>
    </w:p>
    <w:p>
      <w:pPr>
        <w:pStyle w:val="nzSubsection"/>
        <w:spacing w:before="60"/>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spacing w:before="60"/>
      </w:pPr>
      <w:r>
        <w:tab/>
        <w:t>(6)</w:t>
      </w:r>
      <w:r>
        <w:tab/>
        <w:t>If regulations contain a provision referred to in subsection (5), the provision does not operate so as to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rPr>
          <w:snapToGrid w:val="0"/>
        </w:rPr>
      </w:pPr>
    </w:p>
    <w:p>
      <w:pPr>
        <w:pStyle w:val="nNote"/>
        <w:rPr>
          <w:snapToGrid w:val="0"/>
        </w:rPr>
      </w:pPr>
      <w:r>
        <w:rPr>
          <w:snapToGrid w:val="0"/>
          <w:vertAlign w:val="superscript"/>
        </w:rPr>
        <w:t>15</w:t>
      </w:r>
      <w:r>
        <w:rPr>
          <w:snapToGrid w:val="0"/>
        </w:rPr>
        <w:tab/>
        <w:t>The proclamation for the commencement of Pt. 9 (</w:t>
      </w:r>
      <w:r>
        <w:rPr>
          <w:i/>
          <w:snapToGrid w:val="0"/>
        </w:rPr>
        <w:t>Gazette</w:t>
      </w:r>
      <w:r>
        <w:rPr>
          <w:snapToGrid w:val="0"/>
        </w:rPr>
        <w:t xml:space="preserve"> 14 Jan 2005 p. 164) was revoked in </w:t>
      </w:r>
      <w:r>
        <w:rPr>
          <w:i/>
          <w:snapToGrid w:val="0"/>
        </w:rPr>
        <w:t>Gazette</w:t>
      </w:r>
      <w:r>
        <w:rPr>
          <w:snapToGrid w:val="0"/>
        </w:rPr>
        <w:t xml:space="preserve"> 24 Mar 2005 p. 1002.</w:t>
      </w:r>
    </w:p>
    <w:p>
      <w:pPr>
        <w:pStyle w:val="nNote"/>
      </w:pPr>
      <w:r>
        <w:rPr>
          <w:vertAlign w:val="superscript"/>
        </w:rPr>
        <w:t>16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w:t>
      </w:r>
      <w:r>
        <w:lastRenderedPageBreak/>
        <w:t xml:space="preserve">and the </w:t>
      </w:r>
      <w:r>
        <w:rPr>
          <w:i/>
        </w:rPr>
        <w:t>State Administrative Tribunal Regulations 2004</w:t>
      </w:r>
      <w:r>
        <w:t xml:space="preserve"> r. 28 and 42 deal with certain transitional issues some of which may be relevant for this Act.</w:t>
      </w:r>
    </w:p>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nHeading2"/>
        <w:rPr>
          <w:sz w:val="28"/>
        </w:rPr>
      </w:pPr>
      <w:bookmarkStart w:id="330" w:name="_Toc202186858"/>
      <w:bookmarkStart w:id="331" w:name="_Toc202366314"/>
      <w:r>
        <w:rPr>
          <w:sz w:val="28"/>
        </w:rPr>
        <w:lastRenderedPageBreak/>
        <w:t>Defined terms</w:t>
      </w:r>
      <w:bookmarkEnd w:id="330"/>
      <w:bookmarkEnd w:id="3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absolute caveat</w:t>
      </w:r>
      <w:r>
        <w:tab/>
        <w:t>121</w:t>
      </w:r>
    </w:p>
    <w:p>
      <w:pPr>
        <w:pStyle w:val="DefinedTerms"/>
      </w:pPr>
      <w:r>
        <w:t>aggregate exploration expenditure</w:t>
      </w:r>
      <w:r>
        <w:tab/>
        <w:t>102(2a)</w:t>
      </w:r>
    </w:p>
    <w:p>
      <w:pPr>
        <w:pStyle w:val="DefinedTerms"/>
      </w:pPr>
      <w:r>
        <w:t>agreement</w:t>
      </w:r>
      <w:r>
        <w:tab/>
        <w:t>122E(4)</w:t>
      </w:r>
    </w:p>
    <w:p>
      <w:pPr>
        <w:pStyle w:val="DefinedTerms"/>
      </w:pPr>
      <w:r>
        <w:t>agricultural</w:t>
      </w:r>
      <w:r>
        <w:tab/>
        <w:t>8(1)</w:t>
      </w:r>
    </w:p>
    <w:p>
      <w:pPr>
        <w:pStyle w:val="DefinedTerms"/>
      </w:pPr>
      <w:r>
        <w:t>applicant</w:t>
      </w:r>
      <w:r>
        <w:tab/>
        <w:t>105A(2)</w:t>
      </w:r>
    </w:p>
    <w:p>
      <w:pPr>
        <w:pStyle w:val="DefinedTerms"/>
      </w:pPr>
      <w:r>
        <w:t>application for exemption</w:t>
      </w:r>
      <w:r>
        <w:tab/>
        <w:t>102(1)</w:t>
      </w:r>
    </w:p>
    <w:p>
      <w:pPr>
        <w:pStyle w:val="DefinedTerms"/>
      </w:pPr>
      <w:r>
        <w:t>approved surveyor</w:t>
      </w:r>
      <w:r>
        <w:tab/>
        <w:t>162(2)</w:t>
      </w:r>
    </w:p>
    <w:p>
      <w:pPr>
        <w:pStyle w:val="DefinedTerms"/>
      </w:pPr>
      <w:r>
        <w:t>audit amount</w:t>
      </w:r>
      <w:r>
        <w:tab/>
        <w:t>115B(1)</w:t>
      </w:r>
    </w:p>
    <w:p>
      <w:pPr>
        <w:pStyle w:val="DefinedTerms"/>
      </w:pPr>
      <w:r>
        <w:t>audit statement</w:t>
      </w:r>
      <w:r>
        <w:tab/>
        <w:t>115B(1)</w:t>
      </w:r>
    </w:p>
    <w:p>
      <w:pPr>
        <w:pStyle w:val="DefinedTerms"/>
      </w:pPr>
      <w:r>
        <w:t>authorisation</w:t>
      </w:r>
      <w:r>
        <w:tab/>
        <w:t>118A(1)</w:t>
      </w:r>
    </w:p>
    <w:p>
      <w:pPr>
        <w:pStyle w:val="DefinedTerms"/>
      </w:pPr>
      <w:r>
        <w:t>authorised officer</w:t>
      </w:r>
      <w:r>
        <w:tab/>
        <w:t>103A</w:t>
      </w:r>
    </w:p>
    <w:p>
      <w:pPr>
        <w:pStyle w:val="DefinedTerms"/>
      </w:pPr>
      <w:r>
        <w:t>available land</w:t>
      </w:r>
      <w:r>
        <w:tab/>
        <w:t>40A</w:t>
      </w:r>
    </w:p>
    <w:p>
      <w:pPr>
        <w:pStyle w:val="DefinedTerms"/>
      </w:pPr>
      <w:r>
        <w:t>block</w:t>
      </w:r>
      <w:r>
        <w:tab/>
        <w:t>95A(1)</w:t>
      </w:r>
    </w:p>
    <w:p>
      <w:pPr>
        <w:pStyle w:val="DefinedTerms"/>
      </w:pPr>
      <w:r>
        <w:t>burial ground</w:t>
      </w:r>
      <w:r>
        <w:tab/>
        <w:t>8(1)</w:t>
      </w:r>
    </w:p>
    <w:p>
      <w:pPr>
        <w:pStyle w:val="DefinedTerms"/>
      </w:pPr>
      <w:r>
        <w:t>caveat</w:t>
      </w:r>
      <w:r>
        <w:tab/>
        <w:t>121</w:t>
      </w:r>
    </w:p>
    <w:p>
      <w:pPr>
        <w:pStyle w:val="DefinedTerms"/>
      </w:pPr>
      <w:r>
        <w:t>combined reporting tenements</w:t>
      </w:r>
      <w:r>
        <w:tab/>
        <w:t>102(2)</w:t>
      </w:r>
    </w:p>
    <w:p>
      <w:pPr>
        <w:pStyle w:val="DefinedTerms"/>
      </w:pPr>
      <w:r>
        <w:t>commencement</w:t>
      </w:r>
      <w:r>
        <w:tab/>
        <w:t>91A(6)</w:t>
      </w:r>
    </w:p>
    <w:p>
      <w:pPr>
        <w:pStyle w:val="DefinedTerms"/>
      </w:pPr>
      <w:r>
        <w:t>commencement day</w:t>
      </w:r>
      <w:r>
        <w:tab/>
        <w:t>Second Sch. cl. 16(1), 17(1), 18(1) and 19(1)</w:t>
      </w:r>
    </w:p>
    <w:p>
      <w:pPr>
        <w:pStyle w:val="DefinedTerms"/>
      </w:pPr>
      <w:r>
        <w:t>commencing date</w:t>
      </w:r>
      <w:r>
        <w:tab/>
        <w:t>8(1)</w:t>
      </w:r>
    </w:p>
    <w:p>
      <w:pPr>
        <w:pStyle w:val="DefinedTerms"/>
      </w:pPr>
      <w:r>
        <w:t>Commonwealth land</w:t>
      </w:r>
      <w:r>
        <w:tab/>
        <w:t>8(1)</w:t>
      </w:r>
    </w:p>
    <w:p>
      <w:pPr>
        <w:pStyle w:val="DefinedTerms"/>
      </w:pPr>
      <w:r>
        <w:t>consent caveat</w:t>
      </w:r>
      <w:r>
        <w:tab/>
        <w:t>121</w:t>
      </w:r>
    </w:p>
    <w:p>
      <w:pPr>
        <w:pStyle w:val="DefinedTerms"/>
      </w:pPr>
      <w:r>
        <w:t>conservation land</w:t>
      </w:r>
      <w:r>
        <w:tab/>
        <w:t>40A</w:t>
      </w:r>
    </w:p>
    <w:p>
      <w:pPr>
        <w:pStyle w:val="DefinedTerms"/>
      </w:pPr>
      <w:r>
        <w:t>conservation Minister</w:t>
      </w:r>
      <w:r>
        <w:tab/>
        <w:t>24A(9)</w:t>
      </w:r>
    </w:p>
    <w:p>
      <w:pPr>
        <w:pStyle w:val="DefinedTerms"/>
      </w:pPr>
      <w:r>
        <w:t>continuing licence</w:t>
      </w:r>
      <w:r>
        <w:tab/>
        <w:t>120AA(1)</w:t>
      </w:r>
    </w:p>
    <w:p>
      <w:pPr>
        <w:pStyle w:val="DefinedTerms"/>
      </w:pPr>
      <w:r>
        <w:t>Corporations Act</w:t>
      </w:r>
      <w:r>
        <w:tab/>
        <w:t>8(1)</w:t>
      </w:r>
    </w:p>
    <w:p>
      <w:pPr>
        <w:pStyle w:val="DefinedTerms"/>
      </w:pPr>
      <w:r>
        <w:t>Crown land</w:t>
      </w:r>
      <w:r>
        <w:tab/>
        <w:t>8(1)</w:t>
      </w:r>
    </w:p>
    <w:p>
      <w:pPr>
        <w:pStyle w:val="DefinedTerms"/>
      </w:pPr>
      <w:r>
        <w:t>dam</w:t>
      </w:r>
      <w:r>
        <w:tab/>
        <w:t>8(1)</w:t>
      </w:r>
    </w:p>
    <w:p>
      <w:pPr>
        <w:pStyle w:val="DefinedTerms"/>
      </w:pPr>
      <w:r>
        <w:t>damage</w:t>
      </w:r>
      <w:r>
        <w:tab/>
        <w:t>8(1)</w:t>
      </w:r>
    </w:p>
    <w:p>
      <w:pPr>
        <w:pStyle w:val="DefinedTerms"/>
      </w:pPr>
      <w:r>
        <w:t>dealing</w:t>
      </w:r>
      <w:r>
        <w:tab/>
        <w:t>8(1)</w:t>
      </w:r>
    </w:p>
    <w:p>
      <w:pPr>
        <w:pStyle w:val="DefinedTerms"/>
      </w:pPr>
      <w:r>
        <w:t>Department</w:t>
      </w:r>
      <w:r>
        <w:tab/>
        <w:t>8(1)</w:t>
      </w:r>
    </w:p>
    <w:p>
      <w:pPr>
        <w:pStyle w:val="DefinedTerms"/>
      </w:pPr>
      <w:r>
        <w:t>designated area</w:t>
      </w:r>
      <w:r>
        <w:tab/>
        <w:t>57A(5)</w:t>
      </w:r>
    </w:p>
    <w:p>
      <w:pPr>
        <w:pStyle w:val="DefinedTerms"/>
      </w:pPr>
      <w:r>
        <w:t>designated tenement contact (DTC)</w:t>
      </w:r>
      <w:r>
        <w:tab/>
        <w:t>8(1)</w:t>
      </w:r>
    </w:p>
    <w:p>
      <w:pPr>
        <w:pStyle w:val="DefinedTerms"/>
      </w:pPr>
      <w:r>
        <w:t>Director General of Mines</w:t>
      </w:r>
      <w:r>
        <w:tab/>
        <w:t>8(1)</w:t>
      </w:r>
    </w:p>
    <w:p>
      <w:pPr>
        <w:pStyle w:val="DefinedTerms"/>
      </w:pPr>
      <w:r>
        <w:t>Director, Geological Survey</w:t>
      </w:r>
      <w:r>
        <w:tab/>
        <w:t>8(1)</w:t>
      </w:r>
    </w:p>
    <w:p>
      <w:pPr>
        <w:pStyle w:val="DefinedTerms"/>
      </w:pPr>
      <w:r>
        <w:t>diversification lease</w:t>
      </w:r>
      <w:r>
        <w:tab/>
        <w:t>8(1)</w:t>
      </w:r>
    </w:p>
    <w:p>
      <w:pPr>
        <w:pStyle w:val="DefinedTerms"/>
      </w:pPr>
      <w:r>
        <w:t>end day</w:t>
      </w:r>
      <w:r>
        <w:tab/>
        <w:t>65(1)</w:t>
      </w:r>
    </w:p>
    <w:p>
      <w:pPr>
        <w:pStyle w:val="DefinedTerms"/>
      </w:pPr>
      <w:r>
        <w:t>existing application</w:t>
      </w:r>
      <w:r>
        <w:tab/>
        <w:t>Second Sch. cl. 18(1)</w:t>
      </w:r>
    </w:p>
    <w:p>
      <w:pPr>
        <w:pStyle w:val="DefinedTerms"/>
      </w:pPr>
      <w:r>
        <w:t>expenditure</w:t>
      </w:r>
      <w:r>
        <w:tab/>
        <w:t>115B(1)</w:t>
      </w:r>
    </w:p>
    <w:p>
      <w:pPr>
        <w:pStyle w:val="DefinedTerms"/>
      </w:pPr>
      <w:r>
        <w:t>expenditure amount</w:t>
      </w:r>
      <w:r>
        <w:tab/>
        <w:t>115B(1)</w:t>
      </w:r>
    </w:p>
    <w:p>
      <w:pPr>
        <w:pStyle w:val="DefinedTerms"/>
      </w:pPr>
      <w:r>
        <w:lastRenderedPageBreak/>
        <w:t>expenditure conditions</w:t>
      </w:r>
      <w:r>
        <w:tab/>
        <w:t>8(1)</w:t>
      </w:r>
    </w:p>
    <w:p>
      <w:pPr>
        <w:pStyle w:val="DefinedTerms"/>
      </w:pPr>
      <w:r>
        <w:t>exploration licence</w:t>
      </w:r>
      <w:r>
        <w:tab/>
        <w:t>69A(1)</w:t>
      </w:r>
    </w:p>
    <w:p>
      <w:pPr>
        <w:pStyle w:val="DefinedTerms"/>
      </w:pPr>
      <w:r>
        <w:t>extension application</w:t>
      </w:r>
      <w:r>
        <w:tab/>
        <w:t>45(1b)</w:t>
      </w:r>
    </w:p>
    <w:p>
      <w:pPr>
        <w:pStyle w:val="DefinedTerms"/>
      </w:pPr>
      <w:r>
        <w:t>fisheries Minister</w:t>
      </w:r>
      <w:r>
        <w:tab/>
        <w:t>24A(9)</w:t>
      </w:r>
    </w:p>
    <w:p>
      <w:pPr>
        <w:pStyle w:val="DefinedTerms"/>
      </w:pPr>
      <w:r>
        <w:t>former holder</w:t>
      </w:r>
      <w:r>
        <w:tab/>
        <w:t>114(7), 114C(1)</w:t>
      </w:r>
    </w:p>
    <w:p>
      <w:pPr>
        <w:pStyle w:val="DefinedTerms"/>
      </w:pPr>
      <w:r>
        <w:t>fossick</w:t>
      </w:r>
      <w:r>
        <w:tab/>
        <w:t>8(1)</w:t>
      </w:r>
    </w:p>
    <w:p>
      <w:pPr>
        <w:pStyle w:val="DefinedTerms"/>
      </w:pPr>
      <w:r>
        <w:t>geological sample</w:t>
      </w:r>
      <w:r>
        <w:tab/>
        <w:t>8(1)</w:t>
      </w:r>
    </w:p>
    <w:p>
      <w:pPr>
        <w:pStyle w:val="DefinedTerms"/>
      </w:pPr>
      <w:r>
        <w:t>give</w:t>
      </w:r>
      <w:r>
        <w:tab/>
        <w:t>17(1)</w:t>
      </w:r>
    </w:p>
    <w:p>
      <w:pPr>
        <w:pStyle w:val="DefinedTerms"/>
      </w:pPr>
      <w:r>
        <w:t>grant</w:t>
      </w:r>
      <w:r>
        <w:tab/>
        <w:t>125A(3)</w:t>
      </w:r>
    </w:p>
    <w:p>
      <w:pPr>
        <w:pStyle w:val="DefinedTerms"/>
      </w:pPr>
      <w:r>
        <w:t>granted land</w:t>
      </w:r>
      <w:r>
        <w:tab/>
        <w:t>65(4c)</w:t>
      </w:r>
    </w:p>
    <w:p>
      <w:pPr>
        <w:pStyle w:val="DefinedTerms"/>
      </w:pPr>
      <w:r>
        <w:t>graticular sections</w:t>
      </w:r>
      <w:r>
        <w:tab/>
        <w:t>56C(1)</w:t>
      </w:r>
    </w:p>
    <w:p>
      <w:pPr>
        <w:pStyle w:val="DefinedTerms"/>
      </w:pPr>
      <w:r>
        <w:t>ground disturbing equipment</w:t>
      </w:r>
      <w:r>
        <w:tab/>
        <w:t>8(1)</w:t>
      </w:r>
    </w:p>
    <w:p>
      <w:pPr>
        <w:pStyle w:val="DefinedTerms"/>
      </w:pPr>
      <w:r>
        <w:t>guidelines</w:t>
      </w:r>
      <w:r>
        <w:tab/>
        <w:t>70O(1), 115A(1)</w:t>
      </w:r>
    </w:p>
    <w:p>
      <w:pPr>
        <w:pStyle w:val="DefinedTerms"/>
      </w:pPr>
      <w:r>
        <w:t>identified mineral resource</w:t>
      </w:r>
      <w:r>
        <w:tab/>
        <w:t>8(1)</w:t>
      </w:r>
    </w:p>
    <w:p>
      <w:pPr>
        <w:pStyle w:val="DefinedTerms"/>
      </w:pPr>
      <w:r>
        <w:t>JORC Code</w:t>
      </w:r>
      <w:r>
        <w:tab/>
        <w:t>74(7)</w:t>
      </w:r>
    </w:p>
    <w:p>
      <w:pPr>
        <w:pStyle w:val="DefinedTerms"/>
      </w:pPr>
      <w:r>
        <w:t>judgment</w:t>
      </w:r>
      <w:r>
        <w:tab/>
        <w:t>140(1)</w:t>
      </w:r>
    </w:p>
    <w:p>
      <w:pPr>
        <w:pStyle w:val="DefinedTerms"/>
      </w:pPr>
      <w:r>
        <w:t>LAA Minister</w:t>
      </w:r>
      <w:r>
        <w:tab/>
        <w:t>8(1)</w:t>
      </w:r>
    </w:p>
    <w:p>
      <w:pPr>
        <w:pStyle w:val="DefinedTerms"/>
      </w:pPr>
      <w:r>
        <w:t>land</w:t>
      </w:r>
      <w:r>
        <w:tab/>
        <w:t>8(1), 21(2A)</w:t>
      </w:r>
    </w:p>
    <w:p>
      <w:pPr>
        <w:pStyle w:val="DefinedTerms"/>
      </w:pPr>
      <w:r>
        <w:t>land under cultivation</w:t>
      </w:r>
      <w:r>
        <w:tab/>
        <w:t>8(1)</w:t>
      </w:r>
    </w:p>
    <w:p>
      <w:pPr>
        <w:pStyle w:val="DefinedTerms"/>
      </w:pPr>
      <w:r>
        <w:t>lapidary work</w:t>
      </w:r>
      <w:r>
        <w:tab/>
        <w:t>8(1)</w:t>
      </w:r>
    </w:p>
    <w:p>
      <w:pPr>
        <w:pStyle w:val="DefinedTerms"/>
      </w:pPr>
      <w:r>
        <w:t>late renewal application</w:t>
      </w:r>
      <w:r>
        <w:tab/>
        <w:t>111A(2)</w:t>
      </w:r>
    </w:p>
    <w:p>
      <w:pPr>
        <w:pStyle w:val="DefinedTerms"/>
      </w:pPr>
      <w:r>
        <w:t>later tenement</w:t>
      </w:r>
      <w:r>
        <w:tab/>
        <w:t>103EA(3), 122C(1)</w:t>
      </w:r>
    </w:p>
    <w:p>
      <w:pPr>
        <w:pStyle w:val="DefinedTerms"/>
      </w:pPr>
      <w:r>
        <w:t>lease application</w:t>
      </w:r>
      <w:r>
        <w:tab/>
        <w:t>120AA(1)</w:t>
      </w:r>
    </w:p>
    <w:p>
      <w:pPr>
        <w:pStyle w:val="DefinedTerms"/>
      </w:pPr>
      <w:r>
        <w:t>lessee</w:t>
      </w:r>
      <w:r>
        <w:tab/>
        <w:t>123(7), 125</w:t>
      </w:r>
    </w:p>
    <w:p>
      <w:pPr>
        <w:pStyle w:val="DefinedTerms"/>
      </w:pPr>
      <w:r>
        <w:t>licence</w:t>
      </w:r>
      <w:r>
        <w:tab/>
        <w:t>96A(7)</w:t>
      </w:r>
    </w:p>
    <w:p>
      <w:pPr>
        <w:pStyle w:val="DefinedTerms"/>
      </w:pPr>
      <w:r>
        <w:t>likely</w:t>
      </w:r>
      <w:r>
        <w:tab/>
        <w:t>74(7)</w:t>
      </w:r>
    </w:p>
    <w:p>
      <w:pPr>
        <w:pStyle w:val="DefinedTerms"/>
      </w:pPr>
      <w:r>
        <w:t>listed public company</w:t>
      </w:r>
      <w:r>
        <w:tab/>
        <w:t>8(1)</w:t>
      </w:r>
    </w:p>
    <w:p>
      <w:pPr>
        <w:pStyle w:val="DefinedTerms"/>
      </w:pPr>
      <w:r>
        <w:t>local government</w:t>
      </w:r>
      <w:r>
        <w:tab/>
        <w:t>8(1)</w:t>
      </w:r>
    </w:p>
    <w:p>
      <w:pPr>
        <w:pStyle w:val="DefinedTerms"/>
      </w:pPr>
      <w:r>
        <w:t>machinery</w:t>
      </w:r>
      <w:r>
        <w:tab/>
        <w:t>8(1)</w:t>
      </w:r>
    </w:p>
    <w:p>
      <w:pPr>
        <w:pStyle w:val="DefinedTerms"/>
      </w:pPr>
      <w:r>
        <w:t>marine management area</w:t>
      </w:r>
      <w:r>
        <w:tab/>
        <w:t>8(1)</w:t>
      </w:r>
    </w:p>
    <w:p>
      <w:pPr>
        <w:pStyle w:val="DefinedTerms"/>
      </w:pPr>
      <w:r>
        <w:t>marine Minister</w:t>
      </w:r>
      <w:r>
        <w:tab/>
        <w:t>24A(9)</w:t>
      </w:r>
    </w:p>
    <w:p>
      <w:pPr>
        <w:pStyle w:val="DefinedTerms"/>
      </w:pPr>
      <w:r>
        <w:t>marine nature reserve</w:t>
      </w:r>
      <w:r>
        <w:tab/>
        <w:t>8(1)</w:t>
      </w:r>
    </w:p>
    <w:p>
      <w:pPr>
        <w:pStyle w:val="DefinedTerms"/>
      </w:pPr>
      <w:r>
        <w:t>marine park</w:t>
      </w:r>
      <w:r>
        <w:tab/>
        <w:t>8(1)</w:t>
      </w:r>
    </w:p>
    <w:p>
      <w:pPr>
        <w:pStyle w:val="DefinedTerms"/>
      </w:pPr>
      <w:r>
        <w:t>mine</w:t>
      </w:r>
      <w:r>
        <w:tab/>
        <w:t>8(1)</w:t>
      </w:r>
    </w:p>
    <w:p>
      <w:pPr>
        <w:pStyle w:val="DefinedTerms"/>
      </w:pPr>
      <w:r>
        <w:t>mine closure plan</w:t>
      </w:r>
      <w:r>
        <w:tab/>
        <w:t>70O(1)</w:t>
      </w:r>
    </w:p>
    <w:p>
      <w:pPr>
        <w:pStyle w:val="DefinedTerms"/>
      </w:pPr>
      <w:r>
        <w:t>mineral exploration report</w:t>
      </w:r>
      <w:r>
        <w:tab/>
        <w:t>115A(1)</w:t>
      </w:r>
    </w:p>
    <w:p>
      <w:pPr>
        <w:pStyle w:val="DefinedTerms"/>
      </w:pPr>
      <w:r>
        <w:t>mineral field</w:t>
      </w:r>
      <w:r>
        <w:tab/>
        <w:t>8(1)</w:t>
      </w:r>
    </w:p>
    <w:p>
      <w:pPr>
        <w:pStyle w:val="DefinedTerms"/>
      </w:pPr>
      <w:r>
        <w:t>mineralisation report</w:t>
      </w:r>
      <w:r>
        <w:tab/>
        <w:t>74(7), 74A(7)</w:t>
      </w:r>
    </w:p>
    <w:p>
      <w:pPr>
        <w:pStyle w:val="DefinedTerms"/>
      </w:pPr>
      <w:r>
        <w:t>minerals</w:t>
      </w:r>
      <w:r>
        <w:tab/>
        <w:t>8(1)</w:t>
      </w:r>
    </w:p>
    <w:p>
      <w:pPr>
        <w:pStyle w:val="DefinedTerms"/>
      </w:pPr>
      <w:r>
        <w:t>miner’s right</w:t>
      </w:r>
      <w:r>
        <w:tab/>
        <w:t>8(1)</w:t>
      </w:r>
    </w:p>
    <w:p>
      <w:pPr>
        <w:pStyle w:val="DefinedTerms"/>
      </w:pPr>
      <w:r>
        <w:t>mining</w:t>
      </w:r>
      <w:r>
        <w:tab/>
        <w:t>8(1), 123(2a)</w:t>
      </w:r>
    </w:p>
    <w:p>
      <w:pPr>
        <w:pStyle w:val="DefinedTerms"/>
      </w:pPr>
      <w:r>
        <w:t>mining operations</w:t>
      </w:r>
      <w:r>
        <w:tab/>
        <w:t>8(1)</w:t>
      </w:r>
    </w:p>
    <w:p>
      <w:pPr>
        <w:pStyle w:val="DefinedTerms"/>
      </w:pPr>
      <w:r>
        <w:t>mining plant</w:t>
      </w:r>
      <w:r>
        <w:tab/>
        <w:t>114(1)</w:t>
      </w:r>
    </w:p>
    <w:p>
      <w:pPr>
        <w:pStyle w:val="DefinedTerms"/>
      </w:pPr>
      <w:r>
        <w:t>mining product</w:t>
      </w:r>
      <w:r>
        <w:tab/>
        <w:t>8(1)</w:t>
      </w:r>
    </w:p>
    <w:p>
      <w:pPr>
        <w:pStyle w:val="DefinedTerms"/>
      </w:pPr>
      <w:r>
        <w:lastRenderedPageBreak/>
        <w:t>mining proposal</w:t>
      </w:r>
      <w:r>
        <w:tab/>
        <w:t>70O(1)</w:t>
      </w:r>
    </w:p>
    <w:p>
      <w:pPr>
        <w:pStyle w:val="DefinedTerms"/>
      </w:pPr>
      <w:r>
        <w:t>mining registrar</w:t>
      </w:r>
      <w:r>
        <w:tab/>
        <w:t>8(1)</w:t>
      </w:r>
    </w:p>
    <w:p>
      <w:pPr>
        <w:pStyle w:val="DefinedTerms"/>
      </w:pPr>
      <w:r>
        <w:t>mining tenement</w:t>
      </w:r>
      <w:r>
        <w:tab/>
        <w:t>8(1)</w:t>
      </w:r>
    </w:p>
    <w:p>
      <w:pPr>
        <w:pStyle w:val="DefinedTerms"/>
      </w:pPr>
      <w:r>
        <w:t>mining tenement document</w:t>
      </w:r>
      <w:r>
        <w:tab/>
        <w:t>162(3A)</w:t>
      </w:r>
    </w:p>
    <w:p>
      <w:pPr>
        <w:pStyle w:val="DefinedTerms"/>
      </w:pPr>
      <w:r>
        <w:t>native title holders</w:t>
      </w:r>
      <w:r>
        <w:tab/>
        <w:t>125A(3)</w:t>
      </w:r>
    </w:p>
    <w:p>
      <w:pPr>
        <w:pStyle w:val="DefinedTerms"/>
      </w:pPr>
      <w:r>
        <w:t>new mining tenement</w:t>
      </w:r>
      <w:r>
        <w:tab/>
        <w:t>Second Sch. cl. 10(1) and (3)</w:t>
      </w:r>
    </w:p>
    <w:p>
      <w:pPr>
        <w:pStyle w:val="DefinedTerms"/>
      </w:pPr>
      <w:r>
        <w:t>occupier</w:t>
      </w:r>
      <w:r>
        <w:tab/>
        <w:t>8(1)</w:t>
      </w:r>
    </w:p>
    <w:p>
      <w:pPr>
        <w:pStyle w:val="DefinedTerms"/>
      </w:pPr>
      <w:r>
        <w:t>offsets project</w:t>
      </w:r>
      <w:r>
        <w:tab/>
        <w:t>8(1)</w:t>
      </w:r>
    </w:p>
    <w:p>
      <w:pPr>
        <w:pStyle w:val="DefinedTerms"/>
      </w:pPr>
      <w:r>
        <w:t>offshore area</w:t>
      </w:r>
      <w:r>
        <w:tab/>
        <w:t>9A(2)</w:t>
      </w:r>
    </w:p>
    <w:p>
      <w:pPr>
        <w:pStyle w:val="DefinedTerms"/>
      </w:pPr>
      <w:r>
        <w:t>oil shale</w:t>
      </w:r>
      <w:r>
        <w:tab/>
        <w:t>8(1)</w:t>
      </w:r>
    </w:p>
    <w:p>
      <w:pPr>
        <w:pStyle w:val="DefinedTerms"/>
      </w:pPr>
      <w:r>
        <w:t>old mining tenement</w:t>
      </w:r>
      <w:r>
        <w:tab/>
        <w:t>Second Sch. cl. 10(1) and (3)</w:t>
      </w:r>
    </w:p>
    <w:p>
      <w:pPr>
        <w:pStyle w:val="DefinedTerms"/>
      </w:pPr>
      <w:r>
        <w:t>old mining tenements</w:t>
      </w:r>
      <w:r>
        <w:tab/>
        <w:t>Second Sch. cl. 10(1)</w:t>
      </w:r>
    </w:p>
    <w:p>
      <w:pPr>
        <w:pStyle w:val="DefinedTerms"/>
      </w:pPr>
      <w:r>
        <w:t>operations report</w:t>
      </w:r>
      <w:r>
        <w:tab/>
        <w:t>115A(1), 115B(1)</w:t>
      </w:r>
    </w:p>
    <w:p>
      <w:pPr>
        <w:pStyle w:val="DefinedTerms"/>
      </w:pPr>
      <w:r>
        <w:t>owner</w:t>
      </w:r>
      <w:r>
        <w:tab/>
        <w:t>8(1)</w:t>
      </w:r>
    </w:p>
    <w:p>
      <w:pPr>
        <w:pStyle w:val="DefinedTerms"/>
      </w:pPr>
      <w:r>
        <w:t>Part IV proceedings</w:t>
      </w:r>
      <w:r>
        <w:tab/>
        <w:t>162(2)</w:t>
      </w:r>
    </w:p>
    <w:p>
      <w:pPr>
        <w:pStyle w:val="DefinedTerms"/>
      </w:pPr>
      <w:r>
        <w:t>pastoral lease</w:t>
      </w:r>
      <w:r>
        <w:tab/>
        <w:t>8(1)</w:t>
      </w:r>
    </w:p>
    <w:p>
      <w:pPr>
        <w:pStyle w:val="DefinedTerms"/>
      </w:pPr>
      <w:r>
        <w:t>permit</w:t>
      </w:r>
      <w:r>
        <w:tab/>
        <w:t>40G(1)</w:t>
      </w:r>
    </w:p>
    <w:p>
      <w:pPr>
        <w:pStyle w:val="DefinedTerms"/>
      </w:pPr>
      <w:r>
        <w:t>permit land</w:t>
      </w:r>
      <w:r>
        <w:tab/>
        <w:t>40G(1)</w:t>
      </w:r>
    </w:p>
    <w:p>
      <w:pPr>
        <w:pStyle w:val="DefinedTerms"/>
      </w:pPr>
      <w:r>
        <w:t>prescribed day</w:t>
      </w:r>
      <w:r>
        <w:tab/>
        <w:t>19(2d)</w:t>
      </w:r>
    </w:p>
    <w:p>
      <w:pPr>
        <w:pStyle w:val="DefinedTerms"/>
      </w:pPr>
      <w:r>
        <w:t>prescribed official</w:t>
      </w:r>
      <w:r>
        <w:tab/>
        <w:t>8(1), 30(8)</w:t>
      </w:r>
    </w:p>
    <w:p>
      <w:pPr>
        <w:pStyle w:val="DefinedTerms"/>
      </w:pPr>
      <w:r>
        <w:t>prescribed period</w:t>
      </w:r>
      <w:r>
        <w:tab/>
        <w:t>114(1)</w:t>
      </w:r>
    </w:p>
    <w:p>
      <w:pPr>
        <w:pStyle w:val="DefinedTerms"/>
      </w:pPr>
      <w:r>
        <w:t>prescribed provision</w:t>
      </w:r>
      <w:r>
        <w:tab/>
        <w:t>17(1)</w:t>
      </w:r>
    </w:p>
    <w:p>
      <w:pPr>
        <w:pStyle w:val="DefinedTerms"/>
      </w:pPr>
      <w:r>
        <w:t>primary tenement</w:t>
      </w:r>
      <w:r>
        <w:tab/>
        <w:t>56A(1), 70(1), 70A, 85B(1)</w:t>
      </w:r>
    </w:p>
    <w:p>
      <w:pPr>
        <w:pStyle w:val="DefinedTerms"/>
      </w:pPr>
      <w:r>
        <w:t>private land</w:t>
      </w:r>
      <w:r>
        <w:tab/>
        <w:t>8(1)</w:t>
      </w:r>
    </w:p>
    <w:p>
      <w:pPr>
        <w:pStyle w:val="DefinedTerms"/>
      </w:pPr>
      <w:r>
        <w:t>processed mineral resource</w:t>
      </w:r>
      <w:r>
        <w:tab/>
        <w:t>8(1)</w:t>
      </w:r>
    </w:p>
    <w:p>
      <w:pPr>
        <w:pStyle w:val="DefinedTerms"/>
      </w:pPr>
      <w:r>
        <w:t>proposal</w:t>
      </w:r>
      <w:r>
        <w:tab/>
        <w:t>6(1b)</w:t>
      </w:r>
    </w:p>
    <w:p>
      <w:pPr>
        <w:pStyle w:val="DefinedTerms"/>
      </w:pPr>
      <w:r>
        <w:t>prospecting licence</w:t>
      </w:r>
      <w:r>
        <w:tab/>
        <w:t>53(1)</w:t>
      </w:r>
    </w:p>
    <w:p>
      <w:pPr>
        <w:pStyle w:val="DefinedTerms"/>
      </w:pPr>
      <w:r>
        <w:t>public purpose</w:t>
      </w:r>
      <w:r>
        <w:tab/>
        <w:t>8(1)</w:t>
      </w:r>
    </w:p>
    <w:p>
      <w:pPr>
        <w:pStyle w:val="DefinedTerms"/>
      </w:pPr>
      <w:r>
        <w:t>qualified person</w:t>
      </w:r>
      <w:r>
        <w:tab/>
        <w:t>74(7)</w:t>
      </w:r>
    </w:p>
    <w:p>
      <w:pPr>
        <w:pStyle w:val="DefinedTerms"/>
      </w:pPr>
      <w:r>
        <w:t>register</w:t>
      </w:r>
      <w:r>
        <w:tab/>
        <w:t>8(1)</w:t>
      </w:r>
    </w:p>
    <w:p>
      <w:pPr>
        <w:pStyle w:val="DefinedTerms"/>
      </w:pPr>
      <w:r>
        <w:t>registered</w:t>
      </w:r>
      <w:r>
        <w:tab/>
        <w:t>116(3)</w:t>
      </w:r>
    </w:p>
    <w:p>
      <w:pPr>
        <w:pStyle w:val="DefinedTerms"/>
      </w:pPr>
      <w:r>
        <w:t>registration</w:t>
      </w:r>
      <w:r>
        <w:tab/>
        <w:t>8(1)</w:t>
      </w:r>
    </w:p>
    <w:p>
      <w:pPr>
        <w:pStyle w:val="DefinedTerms"/>
      </w:pPr>
      <w:r>
        <w:t>related</w:t>
      </w:r>
      <w:r>
        <w:tab/>
        <w:t>8(1)</w:t>
      </w:r>
    </w:p>
    <w:p>
      <w:pPr>
        <w:pStyle w:val="DefinedTerms"/>
      </w:pPr>
      <w:r>
        <w:t>relevant licence</w:t>
      </w:r>
      <w:r>
        <w:tab/>
        <w:t>56B(1)</w:t>
      </w:r>
    </w:p>
    <w:p>
      <w:pPr>
        <w:pStyle w:val="DefinedTerms"/>
      </w:pPr>
      <w:r>
        <w:t>relevant mining proposal</w:t>
      </w:r>
      <w:r>
        <w:tab/>
        <w:t>70O(1)</w:t>
      </w:r>
    </w:p>
    <w:p>
      <w:pPr>
        <w:pStyle w:val="DefinedTerms"/>
      </w:pPr>
      <w:r>
        <w:t>relevant portion</w:t>
      </w:r>
      <w:r>
        <w:tab/>
        <w:t>29(6a)</w:t>
      </w:r>
    </w:p>
    <w:p>
      <w:pPr>
        <w:pStyle w:val="DefinedTerms"/>
      </w:pPr>
      <w:r>
        <w:t>relevant tenement</w:t>
      </w:r>
      <w:r>
        <w:tab/>
        <w:t>118A(2)</w:t>
      </w:r>
    </w:p>
    <w:p>
      <w:pPr>
        <w:pStyle w:val="DefinedTerms"/>
      </w:pPr>
      <w:r>
        <w:t>remedial work</w:t>
      </w:r>
      <w:r>
        <w:tab/>
        <w:t>114C(1)</w:t>
      </w:r>
    </w:p>
    <w:p>
      <w:pPr>
        <w:pStyle w:val="DefinedTerms"/>
      </w:pPr>
      <w:r>
        <w:t>repealed Act</w:t>
      </w:r>
      <w:r>
        <w:tab/>
        <w:t>8(1)</w:t>
      </w:r>
    </w:p>
    <w:p>
      <w:pPr>
        <w:pStyle w:val="DefinedTerms"/>
      </w:pPr>
      <w:r>
        <w:t>resource report</w:t>
      </w:r>
      <w:r>
        <w:tab/>
        <w:t>74(7)</w:t>
      </w:r>
    </w:p>
    <w:p>
      <w:pPr>
        <w:pStyle w:val="DefinedTerms"/>
      </w:pPr>
      <w:r>
        <w:t>restricted area</w:t>
      </w:r>
      <w:r>
        <w:tab/>
        <w:t>24A(9)</w:t>
      </w:r>
    </w:p>
    <w:p>
      <w:pPr>
        <w:pStyle w:val="DefinedTerms"/>
      </w:pPr>
      <w:r>
        <w:t>retention status</w:t>
      </w:r>
      <w:r>
        <w:tab/>
        <w:t>8(1)</w:t>
      </w:r>
    </w:p>
    <w:p>
      <w:pPr>
        <w:pStyle w:val="DefinedTerms"/>
      </w:pPr>
      <w:r>
        <w:t>reversion licence application</w:t>
      </w:r>
      <w:r>
        <w:tab/>
        <w:t>8(1)</w:t>
      </w:r>
    </w:p>
    <w:p>
      <w:pPr>
        <w:pStyle w:val="DefinedTerms"/>
      </w:pPr>
      <w:r>
        <w:t>secondary tenement</w:t>
      </w:r>
      <w:r>
        <w:tab/>
        <w:t>67A(7)</w:t>
      </w:r>
    </w:p>
    <w:p>
      <w:pPr>
        <w:pStyle w:val="DefinedTerms"/>
      </w:pPr>
      <w:r>
        <w:lastRenderedPageBreak/>
        <w:t>section 74A report</w:t>
      </w:r>
      <w:r>
        <w:tab/>
        <w:t>75(10)</w:t>
      </w:r>
    </w:p>
    <w:p>
      <w:pPr>
        <w:pStyle w:val="DefinedTerms"/>
      </w:pPr>
      <w:r>
        <w:t>significant mineralisation</w:t>
      </w:r>
      <w:r>
        <w:tab/>
        <w:t>70O(1)</w:t>
      </w:r>
    </w:p>
    <w:p>
      <w:pPr>
        <w:pStyle w:val="DefinedTerms"/>
      </w:pPr>
      <w:r>
        <w:t>special prospecting licence</w:t>
      </w:r>
      <w:r>
        <w:tab/>
        <w:t>56A(1), 70(1), 85B(1)</w:t>
      </w:r>
    </w:p>
    <w:p>
      <w:pPr>
        <w:pStyle w:val="DefinedTerms"/>
      </w:pPr>
      <w:r>
        <w:t>specified</w:t>
      </w:r>
      <w:r>
        <w:tab/>
        <w:t>55A(5), 69D(5), 70IA(4)</w:t>
      </w:r>
    </w:p>
    <w:p>
      <w:pPr>
        <w:pStyle w:val="DefinedTerms"/>
      </w:pPr>
      <w:r>
        <w:t>State</w:t>
      </w:r>
      <w:r>
        <w:tab/>
        <w:t>56C(5)</w:t>
      </w:r>
    </w:p>
    <w:p>
      <w:pPr>
        <w:pStyle w:val="DefinedTerms"/>
      </w:pPr>
      <w:r>
        <w:t>subject to claim caveat</w:t>
      </w:r>
      <w:r>
        <w:tab/>
        <w:t>121</w:t>
      </w:r>
    </w:p>
    <w:p>
      <w:pPr>
        <w:pStyle w:val="DefinedTerms"/>
      </w:pPr>
      <w:r>
        <w:t>surrender day</w:t>
      </w:r>
      <w:r>
        <w:tab/>
        <w:t>65(1)</w:t>
      </w:r>
    </w:p>
    <w:p>
      <w:pPr>
        <w:pStyle w:val="DefinedTerms"/>
      </w:pPr>
      <w:r>
        <w:t>surrendered land</w:t>
      </w:r>
      <w:r>
        <w:tab/>
        <w:t>65(4c)</w:t>
      </w:r>
    </w:p>
    <w:p>
      <w:pPr>
        <w:pStyle w:val="DefinedTerms"/>
      </w:pPr>
      <w:r>
        <w:t>tax memorial</w:t>
      </w:r>
      <w:r>
        <w:tab/>
        <w:t>103A</w:t>
      </w:r>
    </w:p>
    <w:p>
      <w:pPr>
        <w:pStyle w:val="DefinedTerms"/>
      </w:pPr>
      <w:r>
        <w:t>tenement application</w:t>
      </w:r>
      <w:r>
        <w:tab/>
        <w:t>96(3b), 100(1a)</w:t>
      </w:r>
    </w:p>
    <w:p>
      <w:pPr>
        <w:pStyle w:val="DefinedTerms"/>
      </w:pPr>
      <w:r>
        <w:t>the mining registrar</w:t>
      </w:r>
      <w:r>
        <w:tab/>
        <w:t>8(1)</w:t>
      </w:r>
    </w:p>
    <w:p>
      <w:pPr>
        <w:pStyle w:val="DefinedTerms"/>
      </w:pPr>
      <w:r>
        <w:t>the warden</w:t>
      </w:r>
      <w:r>
        <w:tab/>
        <w:t>8(1)</w:t>
      </w:r>
    </w:p>
    <w:p>
      <w:pPr>
        <w:pStyle w:val="DefinedTerms"/>
      </w:pPr>
      <w:r>
        <w:t>transition period</w:t>
      </w:r>
      <w:r>
        <w:tab/>
        <w:t>Second Sch. cl. 18(1)</w:t>
      </w:r>
    </w:p>
    <w:p>
      <w:pPr>
        <w:pStyle w:val="DefinedTerms"/>
      </w:pPr>
      <w:r>
        <w:t>vehicle</w:t>
      </w:r>
      <w:r>
        <w:tab/>
        <w:t>8(1)</w:t>
      </w:r>
    </w:p>
    <w:p>
      <w:pPr>
        <w:pStyle w:val="DefinedTerms"/>
      </w:pPr>
      <w:r>
        <w:t>warden</w:t>
      </w:r>
      <w:r>
        <w:tab/>
        <w:t>8(1)</w:t>
      </w:r>
    </w:p>
    <w:p>
      <w:pPr>
        <w:pStyle w:val="DefinedTerms"/>
      </w:pPr>
      <w:r>
        <w:t>warden’s court</w:t>
      </w:r>
      <w:r>
        <w:tab/>
        <w:t>8(1)</w:t>
      </w:r>
    </w:p>
    <w:p>
      <w:pPr>
        <w:pStyle w:val="DefinedTerms"/>
      </w:pPr>
      <w:r>
        <w:t>withdrawal of memorial</w:t>
      </w:r>
      <w:r>
        <w:tab/>
        <w:t>103A</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pPr>
        <w:rPr>
          <w:snapToGrid w:val="0"/>
        </w:rPr>
      </w:pPr>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09-m0-00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09-m0-00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09-m0-00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09-m0-00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09-m0-00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09-m0-00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992"/>
      <w:gridCol w:w="527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1992" w:type="dxa"/>
        </w:tcPr>
        <w:p>
          <w:pPr>
            <w:pStyle w:val="Header"/>
            <w:spacing w:before="40"/>
          </w:pPr>
          <w:r>
            <w:rPr>
              <w:b/>
            </w:rPr>
            <w:fldChar w:fldCharType="begin"/>
          </w:r>
          <w:r>
            <w:rPr>
              <w:b/>
            </w:rPr>
            <w:instrText>styleref CharSchno</w:instrText>
          </w:r>
          <w:r>
            <w:rPr>
              <w:b/>
            </w:rPr>
            <w:fldChar w:fldCharType="end"/>
          </w:r>
        </w:p>
      </w:tc>
      <w:tc>
        <w:tcPr>
          <w:tcW w:w="5271" w:type="dxa"/>
        </w:tcPr>
        <w:p>
          <w:pPr>
            <w:pStyle w:val="Header"/>
            <w:spacing w:before="40"/>
          </w:pPr>
          <w:r>
            <w:fldChar w:fldCharType="begin"/>
          </w:r>
          <w:r>
            <w:instrText>styleref CharSchText</w:instrText>
          </w:r>
          <w:r>
            <w:fldChar w:fldCharType="end"/>
          </w:r>
        </w:p>
      </w:tc>
    </w:tr>
    <w:tr>
      <w:trPr>
        <w:jc w:val="center"/>
      </w:trPr>
      <w:tc>
        <w:tcPr>
          <w:tcW w:w="1992" w:type="dxa"/>
        </w:tcPr>
        <w:p>
          <w:pPr>
            <w:pStyle w:val="Header"/>
            <w:spacing w:before="40"/>
          </w:pPr>
          <w:r>
            <w:rPr>
              <w:b/>
            </w:rPr>
            <w:fldChar w:fldCharType="begin"/>
          </w:r>
          <w:r>
            <w:rPr>
              <w:b/>
            </w:rPr>
            <w:instrText>styleref CharSDivNo</w:instrText>
          </w:r>
          <w:r>
            <w:rPr>
              <w:b/>
            </w:rPr>
            <w:fldChar w:fldCharType="end"/>
          </w:r>
        </w:p>
      </w:tc>
      <w:tc>
        <w:tcPr>
          <w:tcW w:w="5271" w:type="dxa"/>
        </w:tcPr>
        <w:p>
          <w:pPr>
            <w:pStyle w:val="Header"/>
            <w:spacing w:before="40"/>
          </w:pPr>
          <w:r>
            <w:fldChar w:fldCharType="begin"/>
          </w:r>
          <w:r>
            <w:instrText>styleref CharSDivText</w:instrText>
          </w:r>
          <w:r>
            <w:fldChar w:fldCharType="end"/>
          </w:r>
        </w:p>
      </w:tc>
    </w:tr>
    <w:tr>
      <w:trPr>
        <w:jc w:val="center"/>
      </w:trPr>
      <w:tc>
        <w:tcPr>
          <w:tcW w:w="1992"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27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160" w:type="dxa"/>
      <w:jc w:val="center"/>
      <w:tblLayout w:type="fixed"/>
      <w:tblCellMar>
        <w:left w:w="72" w:type="dxa"/>
        <w:right w:w="72" w:type="dxa"/>
      </w:tblCellMar>
      <w:tblLook w:val="0000" w:firstRow="0" w:lastRow="0" w:firstColumn="0" w:lastColumn="0" w:noHBand="0" w:noVBand="0"/>
    </w:tblPr>
    <w:tblGrid>
      <w:gridCol w:w="5210"/>
      <w:gridCol w:w="1950"/>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5210" w:type="dxa"/>
        </w:tcPr>
        <w:p>
          <w:pPr>
            <w:pStyle w:val="Header"/>
            <w:spacing w:before="40"/>
            <w:jc w:val="right"/>
          </w:pPr>
          <w:r>
            <w:fldChar w:fldCharType="begin"/>
          </w:r>
          <w:r>
            <w:instrText>styleref CharSchText</w:instrText>
          </w:r>
          <w:r>
            <w:fldChar w:fldCharType="end"/>
          </w:r>
        </w:p>
      </w:tc>
      <w:tc>
        <w:tcPr>
          <w:tcW w:w="1950" w:type="dxa"/>
        </w:tcPr>
        <w:p>
          <w:pPr>
            <w:pStyle w:val="Header"/>
            <w:spacing w:before="40"/>
            <w:ind w:right="17"/>
            <w:jc w:val="right"/>
          </w:pPr>
          <w:r>
            <w:rPr>
              <w:b/>
            </w:rPr>
            <w:fldChar w:fldCharType="begin"/>
          </w:r>
          <w:r>
            <w:rPr>
              <w:b/>
            </w:rPr>
            <w:instrText>styleref CharSchno</w:instrText>
          </w:r>
          <w:r>
            <w:rPr>
              <w:b/>
            </w:rPr>
            <w:fldChar w:fldCharType="end"/>
          </w:r>
          <w:r>
            <w:rPr>
              <w:b/>
            </w:rPr>
            <w:t xml:space="preserve"> </w:t>
          </w:r>
        </w:p>
      </w:tc>
    </w:tr>
    <w:tr>
      <w:trPr>
        <w:jc w:val="center"/>
      </w:trPr>
      <w:tc>
        <w:tcPr>
          <w:tcW w:w="5210" w:type="dxa"/>
        </w:tcPr>
        <w:p>
          <w:pPr>
            <w:pStyle w:val="Header"/>
            <w:spacing w:before="40"/>
            <w:jc w:val="right"/>
          </w:pPr>
          <w:r>
            <w:fldChar w:fldCharType="begin"/>
          </w:r>
          <w:r>
            <w:instrText>styleref CharSDivText</w:instrText>
          </w:r>
          <w:r>
            <w:fldChar w:fldCharType="end"/>
          </w:r>
        </w:p>
      </w:tc>
      <w:tc>
        <w:tcPr>
          <w:tcW w:w="1950"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210" w:type="dxa"/>
        </w:tcPr>
        <w:p>
          <w:pPr>
            <w:pStyle w:val="Header"/>
            <w:spacing w:before="40"/>
            <w:jc w:val="right"/>
          </w:pPr>
        </w:p>
      </w:tc>
      <w:tc>
        <w:tcPr>
          <w:tcW w:w="1950"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21" w:name="Schedule"/>
    <w:bookmarkEnd w:id="32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992"/>
      <w:gridCol w:w="527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1992" w:type="dxa"/>
        </w:tcPr>
        <w:p>
          <w:pPr>
            <w:pStyle w:val="Header"/>
            <w:spacing w:before="40"/>
          </w:pPr>
          <w:r>
            <w:rPr>
              <w:b/>
            </w:rPr>
            <w:fldChar w:fldCharType="begin"/>
          </w:r>
          <w:r>
            <w:rPr>
              <w:b/>
            </w:rPr>
            <w:instrText>styleref CharSchno</w:instrText>
          </w:r>
          <w:r>
            <w:rPr>
              <w:b/>
            </w:rPr>
            <w:fldChar w:fldCharType="separate"/>
          </w:r>
          <w:r>
            <w:rPr>
              <w:b/>
            </w:rPr>
            <w:t>Second Schedule</w:t>
          </w:r>
          <w:r>
            <w:rPr>
              <w:b/>
            </w:rPr>
            <w:fldChar w:fldCharType="end"/>
          </w:r>
        </w:p>
      </w:tc>
      <w:tc>
        <w:tcPr>
          <w:tcW w:w="5271" w:type="dxa"/>
        </w:tcPr>
        <w:p>
          <w:pPr>
            <w:pStyle w:val="Header"/>
            <w:spacing w:before="40"/>
          </w:pPr>
          <w:r>
            <w:fldChar w:fldCharType="begin"/>
          </w:r>
          <w:r>
            <w:instrText>styleref CharSchText</w:instrText>
          </w:r>
          <w:r>
            <w:fldChar w:fldCharType="separate"/>
          </w:r>
          <w:r>
            <w:t>Transitional provisions</w:t>
          </w:r>
          <w:r>
            <w:fldChar w:fldCharType="end"/>
          </w:r>
        </w:p>
      </w:tc>
    </w:tr>
    <w:tr>
      <w:trPr>
        <w:jc w:val="center"/>
      </w:trPr>
      <w:tc>
        <w:tcPr>
          <w:tcW w:w="1992" w:type="dxa"/>
        </w:tcPr>
        <w:p>
          <w:pPr>
            <w:pStyle w:val="Header"/>
            <w:spacing w:before="40"/>
          </w:pPr>
        </w:p>
      </w:tc>
      <w:tc>
        <w:tcPr>
          <w:tcW w:w="5271" w:type="dxa"/>
        </w:tcPr>
        <w:p>
          <w:pPr>
            <w:pStyle w:val="Header"/>
            <w:spacing w:before="40"/>
          </w:pPr>
        </w:p>
      </w:tc>
    </w:tr>
    <w:tr>
      <w:trPr>
        <w:jc w:val="center"/>
      </w:trPr>
      <w:tc>
        <w:tcPr>
          <w:tcW w:w="1992" w:type="dxa"/>
        </w:tcPr>
        <w:p>
          <w:pPr>
            <w:pStyle w:val="Header"/>
            <w:spacing w:before="40"/>
          </w:pPr>
        </w:p>
      </w:tc>
      <w:tc>
        <w:tcPr>
          <w:tcW w:w="5271"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160" w:type="dxa"/>
      <w:jc w:val="center"/>
      <w:tblLayout w:type="fixed"/>
      <w:tblCellMar>
        <w:left w:w="72" w:type="dxa"/>
        <w:right w:w="72" w:type="dxa"/>
      </w:tblCellMar>
      <w:tblLook w:val="0000" w:firstRow="0" w:lastRow="0" w:firstColumn="0" w:lastColumn="0" w:noHBand="0" w:noVBand="0"/>
    </w:tblPr>
    <w:tblGrid>
      <w:gridCol w:w="5352"/>
      <w:gridCol w:w="1808"/>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5352" w:type="dxa"/>
        </w:tcPr>
        <w:p>
          <w:pPr>
            <w:pStyle w:val="Header"/>
            <w:spacing w:before="40"/>
            <w:jc w:val="right"/>
          </w:pPr>
          <w:r>
            <w:fldChar w:fldCharType="begin"/>
          </w:r>
          <w:r>
            <w:instrText>styleref CharSchText</w:instrText>
          </w:r>
          <w:r>
            <w:fldChar w:fldCharType="separate"/>
          </w:r>
          <w:r>
            <w:t>Transitional provisions</w:t>
          </w:r>
          <w:r>
            <w:fldChar w:fldCharType="end"/>
          </w:r>
        </w:p>
      </w:tc>
      <w:tc>
        <w:tcPr>
          <w:tcW w:w="1808" w:type="dxa"/>
        </w:tcPr>
        <w:p>
          <w:pPr>
            <w:pStyle w:val="Header"/>
            <w:spacing w:before="40"/>
            <w:ind w:right="17"/>
            <w:jc w:val="right"/>
          </w:pPr>
          <w:r>
            <w:rPr>
              <w:b/>
            </w:rPr>
            <w:fldChar w:fldCharType="begin"/>
          </w:r>
          <w:r>
            <w:rPr>
              <w:b/>
            </w:rPr>
            <w:instrText>styleref CharSchno</w:instrText>
          </w:r>
          <w:r>
            <w:rPr>
              <w:b/>
            </w:rPr>
            <w:fldChar w:fldCharType="separate"/>
          </w:r>
          <w:r>
            <w:rPr>
              <w:b/>
            </w:rPr>
            <w:t>Second Schedule</w:t>
          </w:r>
          <w:r>
            <w:rPr>
              <w:b/>
            </w:rPr>
            <w:fldChar w:fldCharType="end"/>
          </w:r>
          <w:r>
            <w:rPr>
              <w:b/>
            </w:rPr>
            <w:t xml:space="preserve"> </w:t>
          </w:r>
        </w:p>
      </w:tc>
    </w:tr>
    <w:tr>
      <w:trPr>
        <w:jc w:val="center"/>
      </w:trPr>
      <w:tc>
        <w:tcPr>
          <w:tcW w:w="5352" w:type="dxa"/>
        </w:tcPr>
        <w:p>
          <w:pPr>
            <w:pStyle w:val="Header"/>
            <w:spacing w:before="40"/>
            <w:jc w:val="right"/>
          </w:pPr>
        </w:p>
      </w:tc>
      <w:tc>
        <w:tcPr>
          <w:tcW w:w="1808" w:type="dxa"/>
        </w:tcPr>
        <w:p>
          <w:pPr>
            <w:pStyle w:val="Header"/>
            <w:spacing w:before="40"/>
            <w:ind w:right="17"/>
            <w:jc w:val="right"/>
          </w:pPr>
        </w:p>
      </w:tc>
    </w:tr>
    <w:tr>
      <w:trPr>
        <w:jc w:val="center"/>
      </w:trPr>
      <w:tc>
        <w:tcPr>
          <w:tcW w:w="5352" w:type="dxa"/>
        </w:tcPr>
        <w:p>
          <w:pPr>
            <w:pStyle w:val="Header"/>
            <w:spacing w:before="40"/>
            <w:jc w:val="right"/>
          </w:pPr>
        </w:p>
      </w:tc>
      <w:tc>
        <w:tcPr>
          <w:tcW w:w="180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29" w:name="Compilation"/>
    <w:bookmarkEnd w:id="32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32" w:name="DefinedTerms"/>
    <w:bookmarkEnd w:id="332"/>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33" w:name="Coversheet"/>
    <w:bookmarkEnd w:id="3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65ACC3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1A6885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C144A8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A3A489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0180F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9E0E54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92AEEE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E18AA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AEC0D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FED75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D636521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597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30143340"/>
    <w:docVar w:name="WAFER_20140115155833" w:val="RemoveTocBookmarks,RemoveUnusedBookmarks,RemoveLanguageTags,UsedStyles,ResetPageSize,UpdateArrangement"/>
    <w:docVar w:name="WAFER_20140115155833_GUID" w:val="e12f4731-270d-4e95-a83f-6a317391313b"/>
    <w:docVar w:name="WAFER_20140115160059" w:val="RemoveTocBookmarks,RunningHeaders"/>
    <w:docVar w:name="WAFER_20140115160059_GUID" w:val="7b459148-c651-4ccf-af83-c81bf917c72e"/>
    <w:docVar w:name="WAFER_20140424100246" w:val="RemoveTocBookmarks,RemoveUnusedBookmarks,RemoveLanguageTags,UsedStyles,ResetPageSize,UpdateArrangement"/>
    <w:docVar w:name="WAFER_20140424100246_GUID" w:val="ab5f0766-768a-4c68-8909-81b42f3b79c1"/>
    <w:docVar w:name="WAFER_20140424143959" w:val="RemoveTocBookmarks,RunningHeaders"/>
    <w:docVar w:name="WAFER_20140424143959_GUID" w:val="7e5c4ac8-be66-42f9-b2ea-94c2a1987f3a"/>
    <w:docVar w:name="WAFER_20150605152744" w:val="ResetPageSize,UpdateArrangement,UpdateNTable"/>
    <w:docVar w:name="WAFER_20150605152744_GUID" w:val="87b43f46-ccd6-4192-9b13-ff5193364669"/>
    <w:docVar w:name="WAFER_20151103173010" w:val="UpdateStyles,UsedStyles,ConvertStyles"/>
    <w:docVar w:name="WAFER_20151103173010_GUID" w:val="14dc1b60-a3fa-4e39-97d9-72e33c8e0329"/>
    <w:docVar w:name="WAFER_20160505172138" w:val="RemoveTocBookmarks,RemoveUnusedBookmarks,RemoveLanguageTags,UsedStyles,ResetPageSize"/>
    <w:docVar w:name="WAFER_20160505172138_GUID" w:val="b464f714-8a65-4ba7-841d-a195e71a92c1"/>
    <w:docVar w:name="WAFER_20160831105547" w:val="RemoveTocBookmarks,RemoveUnusedBookmarks,RemoveLanguageTags,UsedStyles,ResetPageSize,RemoveCustomizations"/>
    <w:docVar w:name="WAFER_20160831105547_GUID" w:val="11198c5d-fe71-41c1-9983-7a15c601e80d"/>
    <w:docVar w:name="WAFER_20161011164800" w:val="RemoveTocBookmarks,RemoveUnusedBookmarks,RemoveLanguageTags,UsedStyles,RemoveTrackChanges"/>
    <w:docVar w:name="WAFER_20161011164800_GUID" w:val="e92db972-b056-48ac-aacf-f5274b8d67ab"/>
    <w:docVar w:name="WAFER_20161011164816" w:val="RemoveTocBookmarks,RemoveLanguageTags,RemoveTrackChanges,RunningHeaders"/>
    <w:docVar w:name="WAFER_20161011164816_GUID" w:val="2d1a3a64-9112-48ab-92e9-70816ca3ffbc"/>
    <w:docVar w:name="WAFER_20170216160114" w:val="RemoveTocBookmarks,RemoveUnusedBookmarks,RemoveLanguageTags,UsedStyles,ResetPageSize"/>
    <w:docVar w:name="WAFER_20170216160114_GUID" w:val="b4693d26-06a7-47df-b28e-747d07b629b0"/>
    <w:docVar w:name="WAFER_2020021009470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094709_GUID" w:val="417717c6-8537-483d-9978-f78085fd672d"/>
    <w:docVar w:name="WAFER_202011181308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8130836_GUID" w:val="2329fd0d-80e5-42ab-a55b-eaa098869c39"/>
    <w:docVar w:name="WAFER_20211020093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3826_GUID" w:val="37da339c-1d26-414a-a3ff-75e622cd7eb7"/>
    <w:docVar w:name="WAFER_202204111016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01629_GUID" w:val="b1b94b51-35e9-41c6-a839-32c9089e6118"/>
    <w:docVar w:name="WAFER_202206290928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UpdateStyles.ProcessFixes,RemoveIncorrectStyles.ProcessStyles,RemoveIncorrectStyles.ProcessStyles"/>
    <w:docVar w:name="WAFER_20220629092846_GUID" w:val="8f0d4d52-c4b5-4115-ae9c-375578782ce1"/>
    <w:docVar w:name="WAFER_202211011039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01103956_GUID" w:val="c9661f03-4b1f-4bc8-aaa7-cf0b35a7ba54"/>
    <w:docVar w:name="WAFER_202303241237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23710_GUID" w:val="9d8dac9d-e57f-4624-b78b-d6d37d77b8d0"/>
    <w:docVar w:name="WAFER_202308091510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9151046_GUID" w:val="cded0e72-b197-497b-9027-f9cc5bbda81d"/>
    <w:docVar w:name="WAFER_202311151427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115142706_GUID" w:val="3b869f9d-e544-4092-9a4d-8bb2c339e4e2"/>
    <w:docVar w:name="WAFER_202312271328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2822_GUID" w:val="13f13e9c-3eb9-4c53-b2bc-f6eddcda73f9"/>
    <w:docVar w:name="WAFER_202405151340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5134053_GUID" w:val="83b4f51a-dc30-405a-b20c-e71a355e5cb1"/>
    <w:docVar w:name="WAFER_202506301433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630143340_GUID" w:val="8e17ceaa-d54b-49a6-81d0-ad0c3922804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9745"/>
    <o:shapelayout v:ext="edit">
      <o:idmap v:ext="edit" data="1"/>
    </o:shapelayout>
  </w:shapeDefaults>
  <w:decimalSymbol w:val="."/>
  <w:listSeparator w:val=","/>
  <w15:docId w15:val="{7696A2F2-C5C6-48B3-BC14-C5F5F2A2B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Footnotesection">
    <w:name w:val="nzFootnote(section)"/>
    <w:pPr>
      <w:keepLines/>
      <w:tabs>
        <w:tab w:val="left" w:pos="893"/>
      </w:tabs>
      <w:spacing w:before="40"/>
      <w:ind w:left="893" w:hanging="893"/>
    </w:pPr>
    <w:rPr>
      <w:i/>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90349</Words>
  <Characters>421935</Characters>
  <Application>Microsoft Office Word</Application>
  <DocSecurity>0</DocSecurity>
  <Lines>10818</Lines>
  <Paragraphs>5174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507110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1978 - 09-m0-00</dc:title>
  <dc:subject/>
  <dc:creator/>
  <cp:keywords/>
  <dc:description/>
  <cp:lastModifiedBy>Master Repository Process</cp:lastModifiedBy>
  <cp:revision>4</cp:revision>
  <cp:lastPrinted>2017-02-13T08:14:00Z</cp:lastPrinted>
  <dcterms:created xsi:type="dcterms:W3CDTF">2025-07-02T08:46:00Z</dcterms:created>
  <dcterms:modified xsi:type="dcterms:W3CDTF">2025-07-02T08:46:00Z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DocumentType">
    <vt:lpwstr>Act</vt:lpwstr>
  </property>
  <property fmtid="{D5CDD505-2E9C-101B-9397-08002B2CF9AE}" pid="4" name="OwlsUID">
    <vt:i4>517</vt:i4>
  </property>
  <property fmtid="{D5CDD505-2E9C-101B-9397-08002B2CF9AE}" pid="5" name="ReprintedAsAt">
    <vt:filetime>2017-02-09T16:00:00Z</vt:filetime>
  </property>
  <property fmtid="{D5CDD505-2E9C-101B-9397-08002B2CF9AE}" pid="6" name="ReprintNo">
    <vt:lpwstr>9</vt:lpwstr>
  </property>
  <property fmtid="{D5CDD505-2E9C-101B-9397-08002B2CF9AE}" pid="7" name="AsAtDate">
    <vt:lpwstr>02 Jul 2025</vt:lpwstr>
  </property>
  <property fmtid="{D5CDD505-2E9C-101B-9397-08002B2CF9AE}" pid="8" name="Suffix">
    <vt:lpwstr>09-m0-00</vt:lpwstr>
  </property>
  <property fmtid="{D5CDD505-2E9C-101B-9397-08002B2CF9AE}" pid="9" name="Official">
    <vt:lpwstr/>
  </property>
  <property fmtid="{D5CDD505-2E9C-101B-9397-08002B2CF9AE}" pid="10" name="CommencementDate">
    <vt:lpwstr>20250702</vt:lpwstr>
  </property>
  <property fmtid="{D5CDD505-2E9C-101B-9397-08002B2CF9AE}" pid="11" name="CommencementAsAt">
    <vt:filetime>2025-07-01T16:00:00Z</vt:filetime>
  </property>
  <property fmtid="{D5CDD505-2E9C-101B-9397-08002B2CF9AE}" pid="12" name="CommencementYear">
    <vt:lpwstr>2025</vt:lpwstr>
  </property>
</Properties>
</file>