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State Superannuation Act 2000</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State Superannuation Amendment Regulations (No. 4) 2025</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State Superannuation Amendment Regulations (No. 4) 2025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_Toc202440463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_Toc202440464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Regulations amended</w:t>
      </w:r>
      <w:r>
        <w:tab/>
      </w:r>
      <w:r>
        <w:fldChar w:fldCharType="begin"/>
      </w:r>
      <w:r>
        <w:instrText xml:space="preserve"> PAGEREF _Toc202440465 \h </w:instrText>
      </w:r>
      <w:r>
        <w:fldChar w:fldCharType="separate"/>
      </w:r>
      <w:r>
        <w:t>1</w:t>
      </w:r>
      <w:r>
        <w:fldChar w:fldCharType="end"/>
      </w:r>
    </w:p>
    <w:p>
      <w:pPr>
        <w:pStyle w:val="TOC8"/>
        <w:rPr>
          <w:rFonts w:asciiTheme="minorHAnsi" w:eastAsiaTheme="minorEastAsia" w:hAnsiTheme="minorHAnsi" w:cstheme="minorBidi"/>
          <w:szCs w:val="22"/>
        </w:rPr>
      </w:pPr>
      <w:r>
        <w:t>4.</w:t>
      </w:r>
      <w:r>
        <w:tab/>
        <w:t>Regulation 44E inserted</w:t>
      </w:r>
      <w:r>
        <w:tab/>
      </w:r>
      <w:r>
        <w:fldChar w:fldCharType="begin"/>
      </w:r>
      <w:r>
        <w:instrText xml:space="preserve"> PAGEREF _Toc202440466 \h </w:instrText>
      </w:r>
      <w:r>
        <w:fldChar w:fldCharType="separate"/>
      </w:r>
      <w:r>
        <w:t>1</w:t>
      </w:r>
      <w:r>
        <w:fldChar w:fldCharType="end"/>
      </w:r>
    </w:p>
    <w:p>
      <w:pPr>
        <w:pStyle w:val="TOC9"/>
        <w:rPr>
          <w:rFonts w:asciiTheme="minorHAnsi" w:eastAsiaTheme="minorEastAsia" w:hAnsiTheme="minorHAnsi" w:cstheme="minorBidi"/>
          <w:noProof/>
          <w:sz w:val="22"/>
          <w:szCs w:val="22"/>
        </w:rPr>
      </w:pPr>
      <w:r>
        <w:rPr>
          <w:noProof/>
        </w:rPr>
        <w:t>44E.</w:t>
      </w:r>
      <w:r>
        <w:rPr>
          <w:noProof/>
        </w:rPr>
        <w:tab/>
        <w:t>Early release of benefit to Members 65 years and over</w:t>
      </w:r>
      <w:r>
        <w:rPr>
          <w:noProof/>
        </w:rPr>
        <w:tab/>
      </w:r>
      <w:r>
        <w:rPr>
          <w:noProof/>
        </w:rPr>
        <w:fldChar w:fldCharType="begin"/>
      </w:r>
      <w:r>
        <w:rPr>
          <w:noProof/>
        </w:rPr>
        <w:instrText xml:space="preserve"> PAGEREF _Toc202440467 \h </w:instrText>
      </w:r>
      <w:r>
        <w:rPr>
          <w:noProof/>
        </w:rPr>
      </w:r>
      <w:r>
        <w:rPr>
          <w:noProof/>
        </w:rPr>
        <w:fldChar w:fldCharType="separate"/>
      </w:r>
      <w:r>
        <w:rPr>
          <w:noProof/>
        </w:rPr>
        <w:t>1</w:t>
      </w:r>
      <w:r>
        <w:rPr>
          <w:noProof/>
        </w:rPr>
        <w:fldChar w:fldCharType="end"/>
      </w:r>
    </w:p>
    <w:p>
      <w:pPr>
        <w:pStyle w:val="TOC8"/>
        <w:rPr>
          <w:rFonts w:asciiTheme="minorHAnsi" w:eastAsiaTheme="minorEastAsia" w:hAnsiTheme="minorHAnsi" w:cstheme="minorBidi"/>
          <w:szCs w:val="22"/>
        </w:rPr>
      </w:pPr>
      <w:r>
        <w:t>5.</w:t>
      </w:r>
      <w:r>
        <w:tab/>
        <w:t>Regulation 45 amended</w:t>
      </w:r>
      <w:r>
        <w:tab/>
      </w:r>
      <w:r>
        <w:fldChar w:fldCharType="begin"/>
      </w:r>
      <w:r>
        <w:instrText xml:space="preserve"> PAGEREF _Toc202440468 \h </w:instrText>
      </w:r>
      <w:r>
        <w:fldChar w:fldCharType="separate"/>
      </w:r>
      <w:r>
        <w:t>3</w:t>
      </w:r>
      <w:r>
        <w:fldChar w:fldCharType="end"/>
      </w:r>
    </w:p>
    <w:p>
      <w:pPr>
        <w:pStyle w:val="TOC8"/>
        <w:rPr>
          <w:rFonts w:asciiTheme="minorHAnsi" w:eastAsiaTheme="minorEastAsia" w:hAnsiTheme="minorHAnsi" w:cstheme="minorBidi"/>
          <w:szCs w:val="22"/>
        </w:rPr>
      </w:pPr>
      <w:r>
        <w:t>6.</w:t>
      </w:r>
      <w:r>
        <w:tab/>
        <w:t>Regulation 46 amended</w:t>
      </w:r>
      <w:r>
        <w:tab/>
      </w:r>
      <w:r>
        <w:fldChar w:fldCharType="begin"/>
      </w:r>
      <w:r>
        <w:instrText xml:space="preserve"> PAGEREF _Toc202440469 \h </w:instrText>
      </w:r>
      <w:r>
        <w:fldChar w:fldCharType="separate"/>
      </w:r>
      <w:r>
        <w:t>4</w:t>
      </w:r>
      <w:r>
        <w:fldChar w:fldCharType="end"/>
      </w:r>
    </w:p>
    <w:p>
      <w:pPr>
        <w:pStyle w:val="TOC8"/>
        <w:rPr>
          <w:rFonts w:asciiTheme="minorHAnsi" w:eastAsiaTheme="minorEastAsia" w:hAnsiTheme="minorHAnsi" w:cstheme="minorBidi"/>
          <w:szCs w:val="22"/>
        </w:rPr>
      </w:pPr>
      <w:r>
        <w:t>7.</w:t>
      </w:r>
      <w:r>
        <w:tab/>
        <w:t>Regulation 46A amended</w:t>
      </w:r>
      <w:r>
        <w:tab/>
      </w:r>
      <w:r>
        <w:fldChar w:fldCharType="begin"/>
      </w:r>
      <w:r>
        <w:instrText xml:space="preserve"> PAGEREF _Toc202440470 \h </w:instrText>
      </w:r>
      <w:r>
        <w:fldChar w:fldCharType="separate"/>
      </w:r>
      <w:r>
        <w:t>4</w:t>
      </w:r>
      <w:r>
        <w:fldChar w:fldCharType="end"/>
      </w:r>
    </w:p>
    <w:p>
      <w:pPr>
        <w:pStyle w:val="TOC8"/>
        <w:rPr>
          <w:rFonts w:asciiTheme="minorHAnsi" w:eastAsiaTheme="minorEastAsia" w:hAnsiTheme="minorHAnsi" w:cstheme="minorBidi"/>
          <w:szCs w:val="22"/>
        </w:rPr>
      </w:pPr>
      <w:r>
        <w:t>8.</w:t>
      </w:r>
      <w:r>
        <w:tab/>
        <w:t>Regulation 47 amended</w:t>
      </w:r>
      <w:r>
        <w:tab/>
      </w:r>
      <w:r>
        <w:fldChar w:fldCharType="begin"/>
      </w:r>
      <w:r>
        <w:instrText xml:space="preserve"> PAGEREF _Toc202440471 \h </w:instrText>
      </w:r>
      <w:r>
        <w:fldChar w:fldCharType="separate"/>
      </w:r>
      <w:r>
        <w:t>5</w:t>
      </w:r>
      <w:r>
        <w:fldChar w:fldCharType="end"/>
      </w:r>
    </w:p>
    <w:p>
      <w:pPr>
        <w:pStyle w:val="TOC8"/>
        <w:rPr>
          <w:rFonts w:asciiTheme="minorHAnsi" w:eastAsiaTheme="minorEastAsia" w:hAnsiTheme="minorHAnsi" w:cstheme="minorBidi"/>
          <w:szCs w:val="22"/>
        </w:rPr>
      </w:pPr>
      <w:r>
        <w:t>9.</w:t>
      </w:r>
      <w:r>
        <w:tab/>
        <w:t>Regulation 47A amended</w:t>
      </w:r>
      <w:r>
        <w:tab/>
      </w:r>
      <w:r>
        <w:fldChar w:fldCharType="begin"/>
      </w:r>
      <w:r>
        <w:instrText xml:space="preserve"> PAGEREF _Toc202440472 \h </w:instrText>
      </w:r>
      <w:r>
        <w:fldChar w:fldCharType="separate"/>
      </w:r>
      <w:r>
        <w:t>5</w:t>
      </w:r>
      <w:r>
        <w:fldChar w:fldCharType="end"/>
      </w:r>
    </w:p>
    <w:p>
      <w:pPr>
        <w:pStyle w:val="TOC8"/>
        <w:rPr>
          <w:rFonts w:asciiTheme="minorHAnsi" w:eastAsiaTheme="minorEastAsia" w:hAnsiTheme="minorHAnsi" w:cstheme="minorBidi"/>
          <w:szCs w:val="22"/>
        </w:rPr>
      </w:pPr>
      <w:r>
        <w:t>10.</w:t>
      </w:r>
      <w:r>
        <w:tab/>
        <w:t>Regulation 47B inserted</w:t>
      </w:r>
      <w:r>
        <w:tab/>
      </w:r>
      <w:r>
        <w:fldChar w:fldCharType="begin"/>
      </w:r>
      <w:r>
        <w:instrText xml:space="preserve"> PAGEREF _Toc202440473 \h </w:instrText>
      </w:r>
      <w:r>
        <w:fldChar w:fldCharType="separate"/>
      </w:r>
      <w:r>
        <w:t>5</w:t>
      </w:r>
      <w:r>
        <w:fldChar w:fldCharType="end"/>
      </w:r>
    </w:p>
    <w:p>
      <w:pPr>
        <w:pStyle w:val="TOC9"/>
        <w:rPr>
          <w:rFonts w:asciiTheme="minorHAnsi" w:eastAsiaTheme="minorEastAsia" w:hAnsiTheme="minorHAnsi" w:cstheme="minorBidi"/>
          <w:noProof/>
          <w:sz w:val="22"/>
          <w:szCs w:val="22"/>
        </w:rPr>
      </w:pPr>
      <w:r>
        <w:rPr>
          <w:noProof/>
        </w:rPr>
        <w:t>47B.</w:t>
      </w:r>
      <w:r>
        <w:rPr>
          <w:noProof/>
        </w:rPr>
        <w:tab/>
        <w:t>Early payment of preserved GSS withdrawal benefit to workers 65 years and over</w:t>
      </w:r>
      <w:r>
        <w:rPr>
          <w:noProof/>
        </w:rPr>
        <w:tab/>
      </w:r>
      <w:r>
        <w:rPr>
          <w:noProof/>
        </w:rPr>
        <w:fldChar w:fldCharType="begin"/>
      </w:r>
      <w:r>
        <w:rPr>
          <w:noProof/>
        </w:rPr>
        <w:instrText xml:space="preserve"> PAGEREF _Toc202440474 \h </w:instrText>
      </w:r>
      <w:r>
        <w:rPr>
          <w:noProof/>
        </w:rPr>
      </w:r>
      <w:r>
        <w:rPr>
          <w:noProof/>
        </w:rPr>
        <w:fldChar w:fldCharType="separate"/>
      </w:r>
      <w:r>
        <w:rPr>
          <w:noProof/>
        </w:rPr>
        <w:t>5</w:t>
      </w:r>
      <w:r>
        <w:rPr>
          <w:noProof/>
        </w:rPr>
        <w:fldChar w:fldCharType="end"/>
      </w:r>
    </w:p>
    <w:p>
      <w:pPr>
        <w:pStyle w:val="TOC8"/>
        <w:rPr>
          <w:rFonts w:asciiTheme="minorHAnsi" w:eastAsiaTheme="minorEastAsia" w:hAnsiTheme="minorHAnsi" w:cstheme="minorBidi"/>
          <w:szCs w:val="22"/>
        </w:rPr>
      </w:pPr>
      <w:r>
        <w:t>11.</w:t>
      </w:r>
      <w:r>
        <w:tab/>
        <w:t>Schedule 2 amended</w:t>
      </w:r>
      <w:r>
        <w:tab/>
      </w:r>
      <w:r>
        <w:fldChar w:fldCharType="begin"/>
      </w:r>
      <w:r>
        <w:instrText xml:space="preserve"> PAGEREF _Toc202440475 \h </w:instrText>
      </w:r>
      <w:r>
        <w:fldChar w:fldCharType="separate"/>
      </w:r>
      <w:r>
        <w:t>6</w:t>
      </w:r>
      <w:r>
        <w:fldChar w:fldCharType="end"/>
      </w:r>
    </w:p>
    <w:p>
      <w:pPr>
        <w:pStyle w:val="TOC8"/>
        <w:rPr>
          <w:rFonts w:asciiTheme="minorHAnsi" w:eastAsiaTheme="minorEastAsia" w:hAnsiTheme="minorHAnsi" w:cstheme="minorBidi"/>
          <w:szCs w:val="22"/>
        </w:rPr>
      </w:pPr>
      <w:r>
        <w:t>12.</w:t>
      </w:r>
      <w:r>
        <w:tab/>
        <w:t>Schedule 3 amended</w:t>
      </w:r>
      <w:r>
        <w:tab/>
      </w:r>
      <w:r>
        <w:fldChar w:fldCharType="begin"/>
      </w:r>
      <w:r>
        <w:instrText xml:space="preserve"> PAGEREF _Toc202440476 \h </w:instrText>
      </w:r>
      <w:r>
        <w:fldChar w:fldCharType="separate"/>
      </w:r>
      <w:r>
        <w:t>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State Superannuation Act 2000</w:t>
      </w:r>
    </w:p>
    <w:p>
      <w:pPr>
        <w:pStyle w:val="NameofActReg"/>
      </w:pPr>
      <w:r>
        <w:t>State Superannuation Amendment Regulations (No. 4) 2025</w:t>
      </w:r>
    </w:p>
    <w:p>
      <w:pPr>
        <w:pStyle w:val="MadeBy"/>
      </w:pPr>
      <w:r>
        <w:t>Made by the Governor in Executive Council.</w:t>
      </w:r>
    </w:p>
    <w:p>
      <w:pPr>
        <w:pStyle w:val="Heading5"/>
      </w:pPr>
      <w:bookmarkStart w:id="2" w:name="_Toc202440031"/>
      <w:bookmarkStart w:id="3" w:name="_Toc202440463"/>
      <w:r>
        <w:rPr>
          <w:rStyle w:val="CharSectno"/>
        </w:rPr>
        <w:t>1</w:t>
      </w:r>
      <w:r>
        <w:t>.</w:t>
      </w:r>
      <w:r>
        <w:tab/>
        <w:t>Citation</w:t>
      </w:r>
      <w:bookmarkEnd w:id="2"/>
      <w:bookmarkEnd w:id="3"/>
    </w:p>
    <w:p>
      <w:pPr>
        <w:pStyle w:val="Subsection"/>
      </w:pPr>
      <w:r>
        <w:tab/>
      </w:r>
      <w:r>
        <w:tab/>
      </w:r>
      <w:bookmarkStart w:id="4" w:name="Start_Cursor"/>
      <w:bookmarkEnd w:id="4"/>
      <w:r>
        <w:t xml:space="preserve">These </w:t>
      </w:r>
      <w:r>
        <w:rPr>
          <w:spacing w:val="-2"/>
        </w:rPr>
        <w:t>regulations</w:t>
      </w:r>
      <w:r>
        <w:t xml:space="preserve"> are the </w:t>
      </w:r>
      <w:r>
        <w:rPr>
          <w:i/>
        </w:rPr>
        <w:t>State Superannuation Amendment Regulations (No. 4) 2025</w:t>
      </w:r>
      <w:r>
        <w:t>.</w:t>
      </w:r>
    </w:p>
    <w:p>
      <w:pPr>
        <w:pStyle w:val="Heading5"/>
        <w:rPr>
          <w:spacing w:val="-2"/>
        </w:rPr>
      </w:pPr>
      <w:bookmarkStart w:id="5" w:name="_Toc202440032"/>
      <w:bookmarkStart w:id="6" w:name="_Toc202440464"/>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on the WA legislation website;</w:t>
      </w:r>
    </w:p>
    <w:p>
      <w:pPr>
        <w:pStyle w:val="Indenta"/>
      </w:pPr>
      <w:r>
        <w:tab/>
        <w:t>(b)</w:t>
      </w:r>
      <w:r>
        <w:tab/>
        <w:t xml:space="preserve">the rest of the </w:t>
      </w:r>
      <w:r>
        <w:rPr>
          <w:spacing w:val="-2"/>
        </w:rPr>
        <w:t>regulations</w:t>
      </w:r>
      <w:r>
        <w:t> — on the day after that day.</w:t>
      </w:r>
    </w:p>
    <w:p>
      <w:pPr>
        <w:pStyle w:val="Heading5"/>
        <w:rPr>
          <w:snapToGrid w:val="0"/>
        </w:rPr>
      </w:pPr>
      <w:bookmarkStart w:id="7" w:name="_Toc202440033"/>
      <w:bookmarkStart w:id="8" w:name="_Toc202440465"/>
      <w:r>
        <w:rPr>
          <w:rStyle w:val="CharSectno"/>
        </w:rPr>
        <w:t>3</w:t>
      </w:r>
      <w:r>
        <w:rPr>
          <w:snapToGrid w:val="0"/>
        </w:rPr>
        <w:t>.</w:t>
      </w:r>
      <w:r>
        <w:rPr>
          <w:snapToGrid w:val="0"/>
        </w:rPr>
        <w:tab/>
        <w:t>Regulations amended</w:t>
      </w:r>
      <w:bookmarkEnd w:id="7"/>
      <w:bookmarkEnd w:id="8"/>
    </w:p>
    <w:p>
      <w:pPr>
        <w:pStyle w:val="Subsection"/>
      </w:pPr>
      <w:r>
        <w:tab/>
      </w:r>
      <w:r>
        <w:tab/>
        <w:t xml:space="preserve">These </w:t>
      </w:r>
      <w:r>
        <w:rPr>
          <w:spacing w:val="-2"/>
        </w:rPr>
        <w:t>regulations amend</w:t>
      </w:r>
      <w:r>
        <w:t xml:space="preserve"> the </w:t>
      </w:r>
      <w:r>
        <w:rPr>
          <w:i/>
        </w:rPr>
        <w:t>State Superannuation Regulations 2001</w:t>
      </w:r>
      <w:r>
        <w:t>.</w:t>
      </w:r>
    </w:p>
    <w:p>
      <w:pPr>
        <w:pStyle w:val="Heading5"/>
      </w:pPr>
      <w:bookmarkStart w:id="9" w:name="_Toc202440034"/>
      <w:bookmarkStart w:id="10" w:name="_Toc202440466"/>
      <w:r>
        <w:rPr>
          <w:rStyle w:val="CharSectno"/>
        </w:rPr>
        <w:t>4</w:t>
      </w:r>
      <w:r>
        <w:t>.</w:t>
      </w:r>
      <w:r>
        <w:tab/>
        <w:t>Regulation 44E inserted</w:t>
      </w:r>
      <w:bookmarkEnd w:id="9"/>
      <w:bookmarkEnd w:id="10"/>
    </w:p>
    <w:p>
      <w:pPr>
        <w:pStyle w:val="Subsection"/>
        <w:keepNext/>
      </w:pPr>
      <w:r>
        <w:tab/>
      </w:r>
      <w:r>
        <w:tab/>
        <w:t>At the end of Part 2 Division 4 insert:</w:t>
      </w:r>
    </w:p>
    <w:p>
      <w:pPr>
        <w:pStyle w:val="BlankOpen"/>
      </w:pPr>
    </w:p>
    <w:p>
      <w:pPr>
        <w:pStyle w:val="zHeading5"/>
      </w:pPr>
      <w:bookmarkStart w:id="11" w:name="_Toc202440035"/>
      <w:bookmarkStart w:id="12" w:name="_Toc202440467"/>
      <w:r>
        <w:t>44E.</w:t>
      </w:r>
      <w:r>
        <w:tab/>
        <w:t>Early release of benefit to Members 65 years and over</w:t>
      </w:r>
      <w:bookmarkEnd w:id="11"/>
      <w:bookmarkEnd w:id="12"/>
    </w:p>
    <w:p>
      <w:pPr>
        <w:pStyle w:val="zSubsection"/>
      </w:pPr>
      <w:r>
        <w:tab/>
        <w:t>(1)</w:t>
      </w:r>
      <w:r>
        <w:tab/>
        <w:t>This regulation applies to a Gold State Super Member who is —</w:t>
      </w:r>
    </w:p>
    <w:p>
      <w:pPr>
        <w:pStyle w:val="zIndenta"/>
      </w:pPr>
      <w:r>
        <w:tab/>
        <w:t>(a)</w:t>
      </w:r>
      <w:r>
        <w:tab/>
        <w:t>an eligible Gold State worker; and</w:t>
      </w:r>
    </w:p>
    <w:p>
      <w:pPr>
        <w:pStyle w:val="zIndenta"/>
      </w:pPr>
      <w:r>
        <w:tab/>
        <w:t>(b)</w:t>
      </w:r>
      <w:r>
        <w:tab/>
        <w:t>at least 65 years of age.</w:t>
      </w:r>
    </w:p>
    <w:p>
      <w:pPr>
        <w:pStyle w:val="zSubsection"/>
      </w:pPr>
      <w:r>
        <w:lastRenderedPageBreak/>
        <w:tab/>
        <w:t>(2)</w:t>
      </w:r>
      <w:r>
        <w:tab/>
        <w:t>The Member may apply to the Board for the early release of all or part of a benefit under this Division that the Member is not yet entitled to.</w:t>
      </w:r>
    </w:p>
    <w:p>
      <w:pPr>
        <w:pStyle w:val="zSubsection"/>
      </w:pPr>
      <w:r>
        <w:tab/>
        <w:t>(3)</w:t>
      </w:r>
      <w:r>
        <w:tab/>
        <w:t>An application cannot be made for an amount that is —</w:t>
      </w:r>
    </w:p>
    <w:p>
      <w:pPr>
        <w:pStyle w:val="zIndenta"/>
      </w:pPr>
      <w:r>
        <w:tab/>
        <w:t>(a)</w:t>
      </w:r>
      <w:r>
        <w:tab/>
        <w:t>less than the pre</w:t>
      </w:r>
      <w:r>
        <w:noBreakHyphen/>
        <w:t>set minimum (if any); or</w:t>
      </w:r>
    </w:p>
    <w:p>
      <w:pPr>
        <w:pStyle w:val="zIndenta"/>
      </w:pPr>
      <w:r>
        <w:tab/>
        <w:t>(b)</w:t>
      </w:r>
      <w:r>
        <w:tab/>
        <w:t>more than the amount of the benefit under regulation 38 to which the Member would be entitled if the Member ceased to be a worker on the day on which the Member makes the application.</w:t>
      </w:r>
    </w:p>
    <w:p>
      <w:pPr>
        <w:pStyle w:val="zSubsection"/>
      </w:pPr>
      <w:r>
        <w:tab/>
        <w:t>(4)</w:t>
      </w:r>
      <w:r>
        <w:tab/>
        <w:t>If the Board receives an application under subregulation (2), the Board must —</w:t>
      </w:r>
    </w:p>
    <w:p>
      <w:pPr>
        <w:pStyle w:val="zIndenta"/>
      </w:pPr>
      <w:r>
        <w:tab/>
        <w:t>(a)</w:t>
      </w:r>
      <w:r>
        <w:tab/>
        <w:t>determine the consequent reduction that would, if the amount requested is released to the Member, be made to the amount of any benefit subsequently arising in respect of the Member under this Division; and</w:t>
      </w:r>
    </w:p>
    <w:p>
      <w:pPr>
        <w:pStyle w:val="zIndenta"/>
      </w:pPr>
      <w:r>
        <w:tab/>
        <w:t>(b)</w:t>
      </w:r>
      <w:r>
        <w:tab/>
        <w:t>inform the Member of the reduction.</w:t>
      </w:r>
    </w:p>
    <w:p>
      <w:pPr>
        <w:pStyle w:val="zSubsection"/>
      </w:pPr>
      <w:r>
        <w:tab/>
        <w:t>(5)</w:t>
      </w:r>
      <w:r>
        <w:tab/>
        <w:t>The consequent reduction under subregulation (4)(a) must be a reduction by a specified amount of the multiple of final remuneration used to calculate the amount of the benefit.</w:t>
      </w:r>
    </w:p>
    <w:p>
      <w:pPr>
        <w:pStyle w:val="zSubsection"/>
      </w:pPr>
      <w:r>
        <w:tab/>
        <w:t>(6)</w:t>
      </w:r>
      <w:r>
        <w:tab/>
        <w:t>If, after being informed of the consequent reduction under subregulation (4)(b), the Member, in writing given to the Board, elects to receive the amount applied for —</w:t>
      </w:r>
    </w:p>
    <w:p>
      <w:pPr>
        <w:pStyle w:val="zIndenta"/>
      </w:pPr>
      <w:r>
        <w:tab/>
        <w:t>(a)</w:t>
      </w:r>
      <w:r>
        <w:tab/>
        <w:t>the Board must pay the Member the amount applied for; and</w:t>
      </w:r>
    </w:p>
    <w:p>
      <w:pPr>
        <w:pStyle w:val="zIndenta"/>
        <w:keepNext/>
      </w:pPr>
      <w:r>
        <w:tab/>
        <w:t>(b)</w:t>
      </w:r>
      <w:r>
        <w:tab/>
        <w:t xml:space="preserve">the amount of any benefit arising in respect of the Member under this Division after the election is reduced in accordance with the </w:t>
      </w:r>
      <w:r>
        <w:lastRenderedPageBreak/>
        <w:t>Board’s determination under subregulation (4)(a).</w:t>
      </w:r>
    </w:p>
    <w:p>
      <w:pPr>
        <w:pStyle w:val="zSubsection"/>
      </w:pPr>
      <w:r>
        <w:tab/>
        <w:t>(7)</w:t>
      </w:r>
      <w:r>
        <w:tab/>
        <w:t>An amount payable to the Member under this regulation is not a benefit to which a reduction under subregulation (6)(b) or regulation 44A(1) or 44B(6)(c) applies.</w:t>
      </w:r>
    </w:p>
    <w:p>
      <w:pPr>
        <w:pStyle w:val="zSubsection"/>
      </w:pPr>
      <w:r>
        <w:tab/>
        <w:t>(8)</w:t>
      </w:r>
      <w:r>
        <w:tab/>
        <w:t>However, subregulation (7) does not affect a reduction under subregulation (6)(b) or regulation 44A(1) or 44B(6)(c) reducing the amount, referred to in subregulation (3)(b), of the benefit under regulation 38 to which the Member would be entitled if the Member ceased to be a worker on the day on which the Member makes the application.</w:t>
      </w:r>
    </w:p>
    <w:p>
      <w:pPr>
        <w:pStyle w:val="BlankClose"/>
      </w:pPr>
    </w:p>
    <w:p>
      <w:pPr>
        <w:pStyle w:val="Heading5"/>
      </w:pPr>
      <w:bookmarkStart w:id="13" w:name="_Toc202440036"/>
      <w:bookmarkStart w:id="14" w:name="_Toc202440468"/>
      <w:r>
        <w:rPr>
          <w:rStyle w:val="CharSectno"/>
        </w:rPr>
        <w:t>5</w:t>
      </w:r>
      <w:r>
        <w:t>.</w:t>
      </w:r>
      <w:r>
        <w:tab/>
        <w:t>Regulation 45 amended</w:t>
      </w:r>
      <w:bookmarkEnd w:id="13"/>
      <w:bookmarkEnd w:id="14"/>
    </w:p>
    <w:p>
      <w:pPr>
        <w:pStyle w:val="Subsection"/>
      </w:pPr>
      <w:r>
        <w:tab/>
        <w:t>(1)</w:t>
      </w:r>
      <w:r>
        <w:tab/>
        <w:t>In regulation 45(1) delete “47 and 47A” and insert:</w:t>
      </w:r>
    </w:p>
    <w:p>
      <w:pPr>
        <w:pStyle w:val="BlankOpen"/>
      </w:pPr>
    </w:p>
    <w:p>
      <w:pPr>
        <w:pStyle w:val="Subsection"/>
      </w:pPr>
      <w:r>
        <w:tab/>
      </w:r>
      <w:r>
        <w:tab/>
        <w:t>47, 47A and 47B,</w:t>
      </w:r>
    </w:p>
    <w:p>
      <w:pPr>
        <w:pStyle w:val="BlankClose"/>
      </w:pPr>
    </w:p>
    <w:p>
      <w:pPr>
        <w:pStyle w:val="Subsection"/>
        <w:rPr>
          <w:snapToGrid w:val="0"/>
        </w:rPr>
      </w:pPr>
      <w:r>
        <w:tab/>
        <w:t>(2)</w:t>
      </w:r>
      <w:r>
        <w:tab/>
        <w:t>In regulation 45(2) delete “</w:t>
      </w:r>
      <w:r>
        <w:rPr>
          <w:snapToGrid w:val="0"/>
        </w:rPr>
        <w:t>plus interest under regulation 46”.</w:t>
      </w:r>
    </w:p>
    <w:p>
      <w:pPr>
        <w:pStyle w:val="Subsection"/>
        <w:keepNext/>
      </w:pPr>
      <w:r>
        <w:tab/>
        <w:t>(3)</w:t>
      </w:r>
      <w:r>
        <w:tab/>
        <w:t>At the end of regulation 45(2) insert:</w:t>
      </w:r>
    </w:p>
    <w:p>
      <w:pPr>
        <w:pStyle w:val="BlankOpen"/>
      </w:pPr>
    </w:p>
    <w:p>
      <w:pPr>
        <w:pStyle w:val="zPermNoteHeading"/>
      </w:pPr>
      <w:r>
        <w:tab/>
        <w:t>Note for this subregulation:</w:t>
      </w:r>
    </w:p>
    <w:p>
      <w:pPr>
        <w:pStyle w:val="zPermNoteText"/>
      </w:pPr>
      <w:r>
        <w:tab/>
      </w:r>
      <w:r>
        <w:tab/>
        <w:t>The amount of a GSS withdrawal benefit includes interest accrued on the benefit. See regulation 46.</w:t>
      </w:r>
    </w:p>
    <w:p>
      <w:pPr>
        <w:pStyle w:val="BlankClose"/>
      </w:pPr>
    </w:p>
    <w:p>
      <w:pPr>
        <w:pStyle w:val="Subsection"/>
        <w:rPr>
          <w:snapToGrid w:val="0"/>
        </w:rPr>
      </w:pPr>
      <w:r>
        <w:tab/>
        <w:t>(4)</w:t>
      </w:r>
      <w:r>
        <w:tab/>
        <w:t>In regulation 45(3) delete “</w:t>
      </w:r>
      <w:r>
        <w:rPr>
          <w:snapToGrid w:val="0"/>
        </w:rPr>
        <w:t>plus interest under regulation 46”.</w:t>
      </w:r>
    </w:p>
    <w:p>
      <w:pPr>
        <w:pStyle w:val="SectAltNote"/>
      </w:pPr>
      <w:r>
        <w:tab/>
        <w:t>Note: The heading to amended regulation 45 is to read:</w:t>
      </w:r>
    </w:p>
    <w:p>
      <w:pPr>
        <w:pStyle w:val="SectAltHeading"/>
      </w:pPr>
      <w:r>
        <w:tab/>
      </w:r>
      <w:r>
        <w:tab/>
        <w:t>Restriction on payment of GSS withdrawal benefit</w:t>
      </w:r>
    </w:p>
    <w:p>
      <w:pPr>
        <w:pStyle w:val="Heading5"/>
      </w:pPr>
      <w:bookmarkStart w:id="15" w:name="_Toc202440037"/>
      <w:bookmarkStart w:id="16" w:name="_Toc202440469"/>
      <w:r>
        <w:rPr>
          <w:rStyle w:val="CharSectno"/>
        </w:rPr>
        <w:lastRenderedPageBreak/>
        <w:t>6</w:t>
      </w:r>
      <w:r>
        <w:t>.</w:t>
      </w:r>
      <w:r>
        <w:tab/>
        <w:t>Regulation 46 amended</w:t>
      </w:r>
      <w:bookmarkEnd w:id="15"/>
      <w:bookmarkEnd w:id="16"/>
    </w:p>
    <w:p>
      <w:pPr>
        <w:pStyle w:val="Subsection"/>
      </w:pPr>
      <w:r>
        <w:tab/>
        <w:t>(1)</w:t>
      </w:r>
      <w:r>
        <w:tab/>
        <w:t>In regulation 46:</w:t>
      </w:r>
    </w:p>
    <w:p>
      <w:pPr>
        <w:pStyle w:val="Indenta"/>
      </w:pPr>
      <w:r>
        <w:tab/>
        <w:t>(a)</w:t>
      </w:r>
      <w:r>
        <w:tab/>
        <w:t>delete “Interest” and insert:</w:t>
      </w:r>
    </w:p>
    <w:p>
      <w:pPr>
        <w:pStyle w:val="BlankOpen"/>
      </w:pPr>
    </w:p>
    <w:p>
      <w:pPr>
        <w:pStyle w:val="zSubsection"/>
      </w:pPr>
      <w:r>
        <w:tab/>
        <w:t>(1)</w:t>
      </w:r>
      <w:r>
        <w:tab/>
        <w:t>Interest</w:t>
      </w:r>
    </w:p>
    <w:p>
      <w:pPr>
        <w:pStyle w:val="BlankClose"/>
      </w:pPr>
    </w:p>
    <w:p>
      <w:pPr>
        <w:pStyle w:val="Indenta"/>
      </w:pPr>
      <w:r>
        <w:tab/>
        <w:t>(b)</w:t>
      </w:r>
      <w:r>
        <w:tab/>
        <w:t>before “GSS” insert:</w:t>
      </w:r>
    </w:p>
    <w:p>
      <w:pPr>
        <w:pStyle w:val="BlankOpen"/>
      </w:pPr>
    </w:p>
    <w:p>
      <w:pPr>
        <w:pStyle w:val="Indenta"/>
      </w:pPr>
      <w:r>
        <w:tab/>
      </w:r>
      <w:r>
        <w:tab/>
        <w:t>preserved</w:t>
      </w:r>
    </w:p>
    <w:p>
      <w:pPr>
        <w:pStyle w:val="BlankClose"/>
      </w:pPr>
    </w:p>
    <w:p>
      <w:pPr>
        <w:pStyle w:val="Subsection"/>
      </w:pPr>
      <w:r>
        <w:tab/>
        <w:t>(2)</w:t>
      </w:r>
      <w:r>
        <w:tab/>
        <w:t>At the end of regulation 46 insert:</w:t>
      </w:r>
    </w:p>
    <w:p>
      <w:pPr>
        <w:pStyle w:val="BlankOpen"/>
      </w:pPr>
    </w:p>
    <w:p>
      <w:pPr>
        <w:pStyle w:val="zSubsection"/>
      </w:pPr>
      <w:r>
        <w:tab/>
        <w:t>(2)</w:t>
      </w:r>
      <w:r>
        <w:tab/>
        <w:t>Interest accrued under subregulation (1) forms part of the Gold State Super Member’s preserved GSS withdrawal benefit.</w:t>
      </w:r>
    </w:p>
    <w:p>
      <w:pPr>
        <w:pStyle w:val="zSubsection"/>
        <w:rPr>
          <w:rStyle w:val="DraftersNotes"/>
          <w:b w:val="0"/>
          <w:i w:val="0"/>
          <w:sz w:val="24"/>
        </w:rPr>
      </w:pPr>
      <w:r>
        <w:tab/>
        <w:t>(3)</w:t>
      </w:r>
      <w:r>
        <w:tab/>
        <w:t>If the amount of a Gold State Super Member’s preserved GSS withdrawal benefit is reduced, interest continues to accrue on any remaining amount of the Member’s benefit under subregulation (1).</w:t>
      </w:r>
    </w:p>
    <w:p>
      <w:pPr>
        <w:pStyle w:val="BlankClose"/>
      </w:pPr>
    </w:p>
    <w:p>
      <w:pPr>
        <w:pStyle w:val="SectAltNote"/>
      </w:pPr>
      <w:r>
        <w:tab/>
        <w:t>Note: The heading to amended regulation 46 is to read:</w:t>
      </w:r>
    </w:p>
    <w:p>
      <w:pPr>
        <w:pStyle w:val="SectAltHeading"/>
      </w:pPr>
      <w:r>
        <w:tab/>
      </w:r>
      <w:r>
        <w:tab/>
      </w:r>
      <w:r>
        <w:rPr>
          <w:snapToGrid w:val="0"/>
        </w:rPr>
        <w:t xml:space="preserve">Interest accrued on preserved </w:t>
      </w:r>
      <w:r>
        <w:t>GSS withdrawal benefit</w:t>
      </w:r>
    </w:p>
    <w:p>
      <w:pPr>
        <w:pStyle w:val="Heading5"/>
      </w:pPr>
      <w:bookmarkStart w:id="17" w:name="_Toc202440038"/>
      <w:bookmarkStart w:id="18" w:name="_Toc202440470"/>
      <w:r>
        <w:rPr>
          <w:rStyle w:val="CharSectno"/>
        </w:rPr>
        <w:t>7</w:t>
      </w:r>
      <w:r>
        <w:t>.</w:t>
      </w:r>
      <w:r>
        <w:tab/>
        <w:t>Regulation 46A amended</w:t>
      </w:r>
      <w:bookmarkEnd w:id="17"/>
      <w:bookmarkEnd w:id="18"/>
    </w:p>
    <w:p>
      <w:pPr>
        <w:pStyle w:val="Subsection"/>
      </w:pPr>
      <w:r>
        <w:tab/>
      </w:r>
      <w:r>
        <w:tab/>
        <w:t>In regulation 46A before “GSS” insert:</w:t>
      </w:r>
    </w:p>
    <w:p>
      <w:pPr>
        <w:pStyle w:val="BlankOpen"/>
      </w:pPr>
    </w:p>
    <w:p>
      <w:pPr>
        <w:pStyle w:val="Subsection"/>
      </w:pPr>
      <w:r>
        <w:tab/>
      </w:r>
      <w:r>
        <w:tab/>
        <w:t>preserved</w:t>
      </w:r>
    </w:p>
    <w:p>
      <w:pPr>
        <w:pStyle w:val="BlankClose"/>
      </w:pPr>
    </w:p>
    <w:p>
      <w:pPr>
        <w:pStyle w:val="SectAltNote"/>
      </w:pPr>
      <w:r>
        <w:tab/>
        <w:t>Note: The heading to amended regulation 46A is to read:</w:t>
      </w:r>
    </w:p>
    <w:p>
      <w:pPr>
        <w:pStyle w:val="SectAltHeading"/>
        <w:rPr>
          <w:rStyle w:val="CharSectno"/>
        </w:rPr>
      </w:pPr>
      <w:r>
        <w:tab/>
      </w:r>
      <w:r>
        <w:tab/>
        <w:t>Reduction of preserved GSS withdrawal benefit if payment under r. 47A</w:t>
      </w:r>
    </w:p>
    <w:p>
      <w:pPr>
        <w:pStyle w:val="Heading5"/>
      </w:pPr>
      <w:bookmarkStart w:id="19" w:name="_Toc202440039"/>
      <w:bookmarkStart w:id="20" w:name="_Toc202440471"/>
      <w:r>
        <w:rPr>
          <w:rStyle w:val="CharSectno"/>
        </w:rPr>
        <w:lastRenderedPageBreak/>
        <w:t>8</w:t>
      </w:r>
      <w:r>
        <w:t>.</w:t>
      </w:r>
      <w:r>
        <w:tab/>
        <w:t>Regulation 47 amended</w:t>
      </w:r>
      <w:bookmarkEnd w:id="19"/>
      <w:bookmarkEnd w:id="20"/>
    </w:p>
    <w:p>
      <w:pPr>
        <w:pStyle w:val="Subsection"/>
        <w:keepNext/>
        <w:rPr>
          <w:snapToGrid w:val="0"/>
        </w:rPr>
      </w:pPr>
      <w:r>
        <w:tab/>
      </w:r>
      <w:r>
        <w:tab/>
        <w:t>In regulation 47(4) delete “benefit plus interest under regulation </w:t>
      </w:r>
      <w:r>
        <w:rPr>
          <w:snapToGrid w:val="0"/>
        </w:rPr>
        <w:t>46,” and insert:</w:t>
      </w:r>
    </w:p>
    <w:p>
      <w:pPr>
        <w:pStyle w:val="BlankOpen"/>
      </w:pPr>
    </w:p>
    <w:p>
      <w:pPr>
        <w:pStyle w:val="Subsection"/>
        <w:rPr>
          <w:snapToGrid w:val="0"/>
        </w:rPr>
      </w:pPr>
      <w:r>
        <w:rPr>
          <w:snapToGrid w:val="0"/>
        </w:rPr>
        <w:tab/>
      </w:r>
      <w:r>
        <w:rPr>
          <w:snapToGrid w:val="0"/>
        </w:rPr>
        <w:tab/>
        <w:t>benefit,</w:t>
      </w:r>
    </w:p>
    <w:p>
      <w:pPr>
        <w:pStyle w:val="BlankClose"/>
      </w:pPr>
    </w:p>
    <w:p>
      <w:pPr>
        <w:pStyle w:val="Heading5"/>
      </w:pPr>
      <w:bookmarkStart w:id="21" w:name="_Toc202440040"/>
      <w:bookmarkStart w:id="22" w:name="_Toc202440472"/>
      <w:r>
        <w:rPr>
          <w:rStyle w:val="CharSectno"/>
        </w:rPr>
        <w:t>9</w:t>
      </w:r>
      <w:r>
        <w:t>.</w:t>
      </w:r>
      <w:r>
        <w:tab/>
        <w:t>Regulation 47A amended</w:t>
      </w:r>
      <w:bookmarkEnd w:id="21"/>
      <w:bookmarkEnd w:id="22"/>
    </w:p>
    <w:p>
      <w:pPr>
        <w:pStyle w:val="Subsection"/>
      </w:pPr>
      <w:r>
        <w:tab/>
      </w:r>
      <w:r>
        <w:tab/>
        <w:t>In regulation 47A(6)(a) delete “this Division; or” and insert:</w:t>
      </w:r>
    </w:p>
    <w:p>
      <w:pPr>
        <w:pStyle w:val="BlankOpen"/>
      </w:pPr>
    </w:p>
    <w:p>
      <w:pPr>
        <w:pStyle w:val="Subsection"/>
      </w:pPr>
      <w:r>
        <w:tab/>
      </w:r>
      <w:r>
        <w:tab/>
        <w:t>Division 4; or</w:t>
      </w:r>
    </w:p>
    <w:p>
      <w:pPr>
        <w:pStyle w:val="BlankClose"/>
      </w:pPr>
    </w:p>
    <w:p>
      <w:pPr>
        <w:pStyle w:val="Heading5"/>
      </w:pPr>
      <w:bookmarkStart w:id="23" w:name="_Toc202440041"/>
      <w:bookmarkStart w:id="24" w:name="_Toc202440473"/>
      <w:r>
        <w:rPr>
          <w:rStyle w:val="CharSectno"/>
        </w:rPr>
        <w:t>10</w:t>
      </w:r>
      <w:r>
        <w:t>.</w:t>
      </w:r>
      <w:r>
        <w:tab/>
        <w:t>Regulation 47B inserted</w:t>
      </w:r>
      <w:bookmarkEnd w:id="23"/>
      <w:bookmarkEnd w:id="24"/>
    </w:p>
    <w:p>
      <w:pPr>
        <w:pStyle w:val="Subsection"/>
      </w:pPr>
      <w:r>
        <w:tab/>
      </w:r>
      <w:r>
        <w:tab/>
        <w:t>After regulation 47A insert:</w:t>
      </w:r>
    </w:p>
    <w:p>
      <w:pPr>
        <w:pStyle w:val="BlankOpen"/>
      </w:pPr>
    </w:p>
    <w:p>
      <w:pPr>
        <w:pStyle w:val="zHeading5"/>
      </w:pPr>
      <w:bookmarkStart w:id="25" w:name="_Toc202440042"/>
      <w:bookmarkStart w:id="26" w:name="_Toc202440474"/>
      <w:r>
        <w:t>47B.</w:t>
      </w:r>
      <w:r>
        <w:tab/>
        <w:t>Early payment of preserved GSS withdrawal benefit to workers 65 years and over</w:t>
      </w:r>
      <w:bookmarkEnd w:id="25"/>
      <w:bookmarkEnd w:id="26"/>
    </w:p>
    <w:p>
      <w:pPr>
        <w:pStyle w:val="zSubsection"/>
      </w:pPr>
      <w:r>
        <w:tab/>
        <w:t>(1)</w:t>
      </w:r>
      <w:r>
        <w:tab/>
        <w:t>This regulation applies to a Gold State Super Member who is —</w:t>
      </w:r>
    </w:p>
    <w:p>
      <w:pPr>
        <w:pStyle w:val="zIndenta"/>
      </w:pPr>
      <w:r>
        <w:tab/>
        <w:t>(a)</w:t>
      </w:r>
      <w:r>
        <w:tab/>
        <w:t>a worker entitled to a preserved GSS withdrawal benefit that is not yet payable under regulation 45(1); and</w:t>
      </w:r>
    </w:p>
    <w:p>
      <w:pPr>
        <w:pStyle w:val="zIndenta"/>
      </w:pPr>
      <w:r>
        <w:tab/>
        <w:t>(b)</w:t>
      </w:r>
      <w:r>
        <w:tab/>
        <w:t>at least 65 years of age.</w:t>
      </w:r>
    </w:p>
    <w:p>
      <w:pPr>
        <w:pStyle w:val="zSubsection"/>
      </w:pPr>
      <w:r>
        <w:tab/>
        <w:t>(2)</w:t>
      </w:r>
      <w:r>
        <w:tab/>
        <w:t>The Member may apply to the Board for the payment of all or part of the Member’s preserved GSS withdrawal benefit.</w:t>
      </w:r>
    </w:p>
    <w:p>
      <w:pPr>
        <w:pStyle w:val="zSubsection"/>
      </w:pPr>
      <w:r>
        <w:tab/>
        <w:t>(3)</w:t>
      </w:r>
      <w:r>
        <w:tab/>
        <w:t>If the Board receives an application under subregulation (2), the Board must pay the Member the amount requested.</w:t>
      </w:r>
    </w:p>
    <w:p>
      <w:pPr>
        <w:pStyle w:val="zSubsection"/>
      </w:pPr>
      <w:r>
        <w:lastRenderedPageBreak/>
        <w:tab/>
        <w:t>(4)</w:t>
      </w:r>
      <w:r>
        <w:tab/>
        <w:t>However, the Board must not pay an amount that —</w:t>
      </w:r>
    </w:p>
    <w:p>
      <w:pPr>
        <w:pStyle w:val="zIndenta"/>
      </w:pPr>
      <w:r>
        <w:tab/>
        <w:t>(a)</w:t>
      </w:r>
      <w:r>
        <w:tab/>
        <w:t>is less than the pre</w:t>
      </w:r>
      <w:r>
        <w:noBreakHyphen/>
        <w:t>set minimum (if any); or</w:t>
      </w:r>
    </w:p>
    <w:p>
      <w:pPr>
        <w:pStyle w:val="zIndenta"/>
      </w:pPr>
      <w:r>
        <w:tab/>
        <w:t>(b)</w:t>
      </w:r>
      <w:r>
        <w:tab/>
        <w:t>would reduce the remaining amount of the Member’s preserved GSS withdrawal benefit to less than the pre</w:t>
      </w:r>
      <w:r>
        <w:noBreakHyphen/>
        <w:t>set minimum (if any).</w:t>
      </w:r>
    </w:p>
    <w:p>
      <w:pPr>
        <w:pStyle w:val="zSubsection"/>
      </w:pPr>
      <w:r>
        <w:tab/>
        <w:t>(5)</w:t>
      </w:r>
      <w:r>
        <w:tab/>
        <w:t>Subregulation (4)(b) does not apply if the application is for payment of all of the Member’s preserved GSS withdrawal benefit.</w:t>
      </w:r>
    </w:p>
    <w:p>
      <w:pPr>
        <w:pStyle w:val="zSubsection"/>
      </w:pPr>
      <w:r>
        <w:tab/>
        <w:t>(6)</w:t>
      </w:r>
      <w:r>
        <w:tab/>
        <w:t>If all or part of the Member’s preserved GSS withdrawal benefit is paid under this regulation, the amount of the benefit is reduced by an amount equal to the amount of the benefit that is paid to the Member.</w:t>
      </w:r>
    </w:p>
    <w:p>
      <w:pPr>
        <w:pStyle w:val="BlankClose"/>
      </w:pPr>
    </w:p>
    <w:p>
      <w:pPr>
        <w:pStyle w:val="Heading5"/>
      </w:pPr>
      <w:bookmarkStart w:id="27" w:name="_Toc202440043"/>
      <w:bookmarkStart w:id="28" w:name="_Toc202440475"/>
      <w:r>
        <w:rPr>
          <w:rStyle w:val="CharSectno"/>
        </w:rPr>
        <w:t>11</w:t>
      </w:r>
      <w:r>
        <w:t>.</w:t>
      </w:r>
      <w:r>
        <w:tab/>
        <w:t>Schedule 2 amended</w:t>
      </w:r>
      <w:bookmarkEnd w:id="27"/>
      <w:bookmarkEnd w:id="28"/>
    </w:p>
    <w:p>
      <w:pPr>
        <w:pStyle w:val="Subsection"/>
      </w:pPr>
      <w:r>
        <w:tab/>
      </w:r>
      <w:r>
        <w:tab/>
        <w:t>In Schedule 2 clause 4(6):</w:t>
      </w:r>
    </w:p>
    <w:p>
      <w:pPr>
        <w:pStyle w:val="Indenta"/>
      </w:pPr>
      <w:r>
        <w:tab/>
        <w:t>(a)</w:t>
      </w:r>
      <w:r>
        <w:tab/>
        <w:t>delete “</w:t>
      </w:r>
      <w:r>
        <w:rPr>
          <w:sz w:val="22"/>
        </w:rPr>
        <w:t>46(a),</w:t>
      </w:r>
      <w:r>
        <w:t>” and insert:</w:t>
      </w:r>
    </w:p>
    <w:p>
      <w:pPr>
        <w:pStyle w:val="BlankOpen"/>
      </w:pPr>
    </w:p>
    <w:p>
      <w:pPr>
        <w:pStyle w:val="Indenta"/>
        <w:rPr>
          <w:sz w:val="22"/>
          <w:szCs w:val="22"/>
        </w:rPr>
      </w:pPr>
      <w:r>
        <w:tab/>
      </w:r>
      <w:r>
        <w:tab/>
      </w:r>
      <w:r>
        <w:rPr>
          <w:sz w:val="22"/>
          <w:szCs w:val="22"/>
        </w:rPr>
        <w:t>46(1)(a),</w:t>
      </w:r>
    </w:p>
    <w:p>
      <w:pPr>
        <w:pStyle w:val="BlankClose"/>
      </w:pPr>
    </w:p>
    <w:p>
      <w:pPr>
        <w:pStyle w:val="Indenta"/>
      </w:pPr>
      <w:r>
        <w:tab/>
        <w:t>(b)</w:t>
      </w:r>
      <w:r>
        <w:tab/>
        <w:t>delete “</w:t>
      </w:r>
      <w:r>
        <w:rPr>
          <w:sz w:val="22"/>
        </w:rPr>
        <w:t>46</w:t>
      </w:r>
      <w:r>
        <w:t>” and insert:</w:t>
      </w:r>
    </w:p>
    <w:p>
      <w:pPr>
        <w:pStyle w:val="BlankOpen"/>
      </w:pPr>
    </w:p>
    <w:p>
      <w:pPr>
        <w:pStyle w:val="Indenta"/>
        <w:rPr>
          <w:sz w:val="22"/>
          <w:szCs w:val="22"/>
        </w:rPr>
      </w:pPr>
      <w:r>
        <w:tab/>
      </w:r>
      <w:r>
        <w:tab/>
      </w:r>
      <w:r>
        <w:rPr>
          <w:sz w:val="22"/>
          <w:szCs w:val="22"/>
        </w:rPr>
        <w:t>46(1)</w:t>
      </w:r>
    </w:p>
    <w:p>
      <w:pPr>
        <w:pStyle w:val="BlankClose"/>
      </w:pPr>
    </w:p>
    <w:p>
      <w:pPr>
        <w:pStyle w:val="Heading5"/>
      </w:pPr>
      <w:bookmarkStart w:id="29" w:name="_Toc202440044"/>
      <w:bookmarkStart w:id="30" w:name="_Toc202440476"/>
      <w:r>
        <w:rPr>
          <w:rStyle w:val="CharSectno"/>
        </w:rPr>
        <w:t>12</w:t>
      </w:r>
      <w:r>
        <w:t>.</w:t>
      </w:r>
      <w:r>
        <w:tab/>
        <w:t>Schedule 3 amended</w:t>
      </w:r>
      <w:bookmarkEnd w:id="29"/>
      <w:bookmarkEnd w:id="30"/>
    </w:p>
    <w:p>
      <w:pPr>
        <w:pStyle w:val="Subsection"/>
      </w:pPr>
      <w:r>
        <w:tab/>
      </w:r>
      <w:r>
        <w:tab/>
        <w:t>In Schedule 3 clause 25 delete “</w:t>
      </w:r>
      <w:r>
        <w:rPr>
          <w:sz w:val="22"/>
        </w:rPr>
        <w:t>46(c).</w:t>
      </w:r>
      <w:r>
        <w:t>” and insert:</w:t>
      </w:r>
    </w:p>
    <w:p>
      <w:pPr>
        <w:pStyle w:val="BlankOpen"/>
      </w:pPr>
    </w:p>
    <w:p>
      <w:pPr>
        <w:pStyle w:val="Subsection"/>
        <w:rPr>
          <w:sz w:val="22"/>
        </w:rPr>
      </w:pPr>
      <w:r>
        <w:tab/>
      </w:r>
      <w:r>
        <w:tab/>
      </w:r>
      <w:r>
        <w:rPr>
          <w:sz w:val="22"/>
        </w:rPr>
        <w:t>46(1)(c).</w:t>
      </w:r>
    </w:p>
    <w:p>
      <w:pPr>
        <w:pStyle w:val="BlankClose"/>
      </w:pPr>
    </w:p>
    <w:p>
      <w:pPr>
        <w:pStyle w:val="SectAltNote"/>
      </w:pPr>
      <w:r>
        <w:lastRenderedPageBreak/>
        <w:tab/>
        <w:t>Note: The heading to amended Schedule 3 clause 25 is to read:</w:t>
      </w:r>
    </w:p>
    <w:p>
      <w:pPr>
        <w:pStyle w:val="SectAltHeading"/>
      </w:pPr>
      <w:r>
        <w:tab/>
      </w:r>
      <w:r>
        <w:tab/>
        <w:t>Effect of current determination under GES Act s. 40(3) as to interest on deferred benefit for r. 46(1)(c)</w:t>
      </w: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t>N. HAGLEY, Clerk of the Executive Council</w:t>
      </w: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4224FC5"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A4C7F68" w14:textId="7F955FBF" w:rsidR="00672E71" w:rsidRDefault="00672E7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A0207">
                        <w:rPr>
                          <w:sz w:val="16"/>
                        </w:rPr>
                        <w:t>2025</w:t>
                      </w:r>
                      <w:r>
                        <w:rPr>
                          <w:sz w:val="16"/>
                        </w:rPr>
                        <w:fldChar w:fldCharType="end"/>
                      </w:r>
                      <w:r>
                        <w:rPr>
                          <w:sz w:val="16"/>
                        </w:rPr>
                        <w:t>.</w:t>
                      </w:r>
                    </w:p>
                    <w:p w14:paraId="23C08D27" w14:textId="77777777" w:rsidR="00672E71" w:rsidRDefault="00672E7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CF3D8E0" w14:textId="6AA02DD7" w:rsidR="00672E71" w:rsidRDefault="00672E7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A0207">
                        <w:rPr>
                          <w:sz w:val="16"/>
                        </w:rPr>
                        <w:t>2025</w:t>
                      </w:r>
                      <w:r>
                        <w:rPr>
                          <w:sz w:val="16"/>
                        </w:rPr>
                        <w:fldChar w:fldCharType="end"/>
                      </w:r>
                      <w:r>
                        <w:rPr>
                          <w:sz w:val="16"/>
                        </w:rPr>
                        <w:t>.</w:t>
                      </w:r>
                    </w:p>
                    <w:p w14:paraId="21D3DCB3" w14:textId="77777777" w:rsidR="00672E71" w:rsidRDefault="00672E71">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2025/131</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09 Jul 2025</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2025/131</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09 Jul 2025</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2025/131</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09 Jul 2025</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2025/131</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09 Jul 2025</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2025/131</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09 Jul 2025</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2025/131</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09 Jul 2025</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Amendment Regulations (No. 4) 2025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Superannuation Amendment Regulations (No. 4) 2025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Amendment Regulations (No. 4) 2025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State Superannuation Amendment Regulations (No. 4) 2025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1" w:name="Coversheet"/>
    <w:bookmarkEnd w:id="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BBA1437"/>
    <w:multiLevelType w:val="singleLevel"/>
    <w:tmpl w:val="0C09000F"/>
    <w:lvl w:ilvl="0">
      <w:start w:val="1"/>
      <w:numFmt w:val="decimal"/>
      <w:lvlText w:val="%1."/>
      <w:lvlJc w:val="left"/>
      <w:pPr>
        <w:ind w:left="720" w:hanging="360"/>
      </w:pPr>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5"/>
  </w:num>
  <w:num w:numId="3">
    <w:abstractNumId w:val="15"/>
  </w:num>
  <w:num w:numId="4">
    <w:abstractNumId w:val="9"/>
  </w:num>
  <w:num w:numId="5">
    <w:abstractNumId w:val="7"/>
  </w:num>
  <w:num w:numId="6">
    <w:abstractNumId w:val="6"/>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22"/>
  </w:num>
  <w:num w:numId="15">
    <w:abstractNumId w:val="11"/>
  </w:num>
  <w:num w:numId="16">
    <w:abstractNumId w:val="14"/>
  </w:num>
  <w:num w:numId="17">
    <w:abstractNumId w:val="19"/>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7168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50703125931"/>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506051610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605161047_GUID" w:val="abef39b1-b64f-4d9d-bafc-7919dffd3e48"/>
    <w:docVar w:name="WAFER_202506251121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12142_GUID" w:val="a705d666-34d6-4917-b186-f793bf1f554c"/>
    <w:docVar w:name="WAFER_202507031259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50703125931_GUID" w:val="a6a5da84-bf81-4a65-b233-d6d8a52f0f5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81"/>
    <o:shapelayout v:ext="edit">
      <o:idmap v:ext="edit" data="1"/>
    </o:shapelayout>
  </w:shapeDefaults>
  <w:decimalSymbol w:val="."/>
  <w:listSeparator w:val=","/>
  <w15:docId w15:val="{D1AE1F2B-79B2-4706-A93F-F70D0A590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semiHidden/>
    <w:rPr>
      <w:rFonts w:ascii="Tahoma" w:hAnsi="Tahoma" w:cs="Tahoma"/>
      <w:sz w:val="16"/>
      <w:szCs w:val="16"/>
    </w:rPr>
  </w:style>
  <w:style w:type="character" w:customStyle="1" w:styleId="BalloonTextChar">
    <w:name w:val="Balloon Text Char"/>
    <w:basedOn w:val="DefaultParagraphFont"/>
    <w:link w:val="BalloonText"/>
    <w:semiHidden/>
    <w:rPr>
      <w:rFonts w:ascii="Tahoma" w:hAnsi="Tahoma" w:cs="Tahoma"/>
      <w:sz w:val="16"/>
      <w:szCs w:val="16"/>
    </w:r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1238</Words>
  <Characters>6167</Characters>
  <Application>Microsoft Office Word</Application>
  <DocSecurity>0</DocSecurity>
  <Lines>237</Lines>
  <Paragraphs>145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Amendment Regulations (No. 4) 2025 - 00-00-00</dc:title>
  <dc:subject/>
  <dc:creator/>
  <cp:keywords/>
  <dc:description/>
  <cp:lastModifiedBy>Master Repository Process</cp:lastModifiedBy>
  <cp:revision>4</cp:revision>
  <cp:lastPrinted>2025-06-10T23:07:00Z</cp:lastPrinted>
  <dcterms:created xsi:type="dcterms:W3CDTF">2025-07-08T02:55:00Z</dcterms:created>
  <dcterms:modified xsi:type="dcterms:W3CDTF">2025-07-08T02:55:00Z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55382</vt:lpwstr>
  </property>
  <property fmtid="{D5CDD505-2E9C-101B-9397-08002B2CF9AE}" pid="3" name="DocumentType">
    <vt:lpwstr>Reg</vt:lpwstr>
  </property>
  <property fmtid="{D5CDD505-2E9C-101B-9397-08002B2CF9AE}" pid="4" name="AsAtDate">
    <vt:lpwstr>09 Jul 2025</vt:lpwstr>
  </property>
  <property fmtid="{D5CDD505-2E9C-101B-9397-08002B2CF9AE}" pid="5" name="Suffix">
    <vt:lpwstr>00-00-00</vt:lpwstr>
  </property>
  <property fmtid="{D5CDD505-2E9C-101B-9397-08002B2CF9AE}" pid="6" name="Official">
    <vt:lpwstr/>
  </property>
  <property fmtid="{D5CDD505-2E9C-101B-9397-08002B2CF9AE}" pid="7" name="SLAPId">
    <vt:lpwstr>2025/131</vt:lpwstr>
  </property>
  <property fmtid="{D5CDD505-2E9C-101B-9397-08002B2CF9AE}" pid="8" name="PublishDate">
    <vt:lpwstr>9 Jul 2025</vt:lpwstr>
  </property>
  <property fmtid="{D5CDD505-2E9C-101B-9397-08002B2CF9AE}" pid="9" name="CommencementDate">
    <vt:lpwstr>20250709</vt:lpwstr>
  </property>
  <property fmtid="{D5CDD505-2E9C-101B-9397-08002B2CF9AE}" pid="10" name="CommencementAsAt">
    <vt:filetime>2025-07-08T16:00:00Z</vt:filetime>
  </property>
  <property fmtid="{D5CDD505-2E9C-101B-9397-08002B2CF9AE}" pid="11" name="CommencementYear">
    <vt:lpwstr>2025</vt:lpwstr>
  </property>
</Properties>
</file>