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_Toc202449234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_Toc202449235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_Toc202449236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animals and stock</w:t>
      </w:r>
      <w:r>
        <w:tab/>
      </w:r>
      <w:r>
        <w:fldChar w:fldCharType="begin"/>
      </w:r>
      <w:r>
        <w:instrText xml:space="preserve"> PAGEREF _Toc202449237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_Toc202449238 \h </w:instrText>
      </w:r>
      <w:r>
        <w:fldChar w:fldCharType="separate"/>
      </w:r>
      <w:r>
        <w:t>8</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_Toc202449239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_Toc202449242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_Toc202449243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_Toc202449244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_Toc202449246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_Toc202449247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_Toc202449248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_Toc202449250 \h </w:instrText>
      </w:r>
      <w:r>
        <w:fldChar w:fldCharType="separate"/>
      </w:r>
      <w:r>
        <w:t>12</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_Toc202449251 \h </w:instrText>
      </w:r>
      <w:r>
        <w:fldChar w:fldCharType="separate"/>
      </w:r>
      <w:r>
        <w:t>12</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_Toc202449252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_Toc202449254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Access to register</w:t>
      </w:r>
      <w:r>
        <w:tab/>
      </w:r>
      <w:r>
        <w:fldChar w:fldCharType="begin"/>
      </w:r>
      <w:r>
        <w:instrText xml:space="preserve"> PAGEREF _Toc202449255 \h </w:instrText>
      </w:r>
      <w:r>
        <w:fldChar w:fldCharType="separate"/>
      </w:r>
      <w:r>
        <w:t>15</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_Toc202449256 \h </w:instrText>
      </w:r>
      <w:r>
        <w:fldChar w:fldCharType="separate"/>
      </w:r>
      <w:r>
        <w:t>15</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_Toc202449257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_Toc202449259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_Toc202449261 \h </w:instrText>
      </w:r>
      <w:r>
        <w:fldChar w:fldCharType="separate"/>
      </w:r>
      <w:r>
        <w:t>17</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_Toc202449262 \h </w:instrText>
      </w:r>
      <w:r>
        <w:fldChar w:fldCharType="separate"/>
      </w:r>
      <w:r>
        <w:t>17</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_Toc202449263 \h </w:instrText>
      </w:r>
      <w:r>
        <w:fldChar w:fldCharType="separate"/>
      </w:r>
      <w:r>
        <w:t>17</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_Toc202449264 \h </w:instrText>
      </w:r>
      <w:r>
        <w:fldChar w:fldCharType="separate"/>
      </w:r>
      <w:r>
        <w:t>18</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_Toc202449265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_Toc202449266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_Toc202449268 \h </w:instrText>
      </w:r>
      <w:r>
        <w:fldChar w:fldCharType="separate"/>
      </w:r>
      <w:r>
        <w:t>19</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_Toc202449269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_Toc202449272 \h </w:instrText>
      </w:r>
      <w:r>
        <w:fldChar w:fldCharType="separate"/>
      </w:r>
      <w:r>
        <w:t>23</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_Toc202449273 \h </w:instrText>
      </w:r>
      <w:r>
        <w:fldChar w:fldCharType="separate"/>
      </w:r>
      <w:r>
        <w:t>23</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_Toc202449274 \h </w:instrText>
      </w:r>
      <w:r>
        <w:fldChar w:fldCharType="separate"/>
      </w:r>
      <w:r>
        <w:t>23</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_Toc202449275 \h </w:instrText>
      </w:r>
      <w:r>
        <w:fldChar w:fldCharType="separate"/>
      </w:r>
      <w:r>
        <w:t>23</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_Toc202449276 \h </w:instrText>
      </w:r>
      <w:r>
        <w:fldChar w:fldCharType="separate"/>
      </w:r>
      <w:r>
        <w:t>24</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_Toc202449277 \h </w:instrText>
      </w:r>
      <w:r>
        <w:fldChar w:fldCharType="separate"/>
      </w:r>
      <w:r>
        <w:t>24</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_Toc202449278 \h </w:instrText>
      </w:r>
      <w:r>
        <w:fldChar w:fldCharType="separate"/>
      </w:r>
      <w:r>
        <w:t>25</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_Toc202449279 \h </w:instrText>
      </w:r>
      <w:r>
        <w:fldChar w:fldCharType="separate"/>
      </w:r>
      <w:r>
        <w:t>25</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_Toc202449280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_Toc202449281 \h </w:instrText>
      </w:r>
      <w:r>
        <w:fldChar w:fldCharType="separate"/>
      </w:r>
      <w:r>
        <w:t>26</w:t>
      </w:r>
      <w:r>
        <w:fldChar w:fldCharType="end"/>
      </w:r>
    </w:p>
    <w:p>
      <w:pPr>
        <w:pStyle w:val="TOC8"/>
        <w:rPr>
          <w:rFonts w:asciiTheme="minorHAnsi" w:eastAsiaTheme="minorEastAsia" w:hAnsiTheme="minorHAnsi" w:cstheme="minorBidi"/>
          <w:szCs w:val="22"/>
        </w:rPr>
      </w:pPr>
      <w:r>
        <w:t>39.</w:t>
      </w:r>
      <w:r>
        <w:tab/>
        <w:t>When unused identifiers and identification equipment to be given to inspector</w:t>
      </w:r>
      <w:r>
        <w:tab/>
      </w:r>
      <w:r>
        <w:fldChar w:fldCharType="begin"/>
      </w:r>
      <w:r>
        <w:instrText xml:space="preserve"> PAGEREF _Toc202449282 \h </w:instrText>
      </w:r>
      <w:r>
        <w:fldChar w:fldCharType="separate"/>
      </w:r>
      <w:r>
        <w:t>28</w:t>
      </w:r>
      <w:r>
        <w:fldChar w:fldCharType="end"/>
      </w:r>
    </w:p>
    <w:p>
      <w:pPr>
        <w:pStyle w:val="TOC8"/>
        <w:rPr>
          <w:rFonts w:asciiTheme="minorHAnsi" w:eastAsiaTheme="minorEastAsia" w:hAnsiTheme="minorHAnsi" w:cstheme="minorBidi"/>
          <w:szCs w:val="22"/>
        </w:rPr>
      </w:pPr>
      <w:r>
        <w:lastRenderedPageBreak/>
        <w:t>40.</w:t>
      </w:r>
      <w:r>
        <w:tab/>
        <w:t>Possession of identifiers and identification equipment</w:t>
      </w:r>
      <w:r>
        <w:tab/>
      </w:r>
      <w:r>
        <w:fldChar w:fldCharType="begin"/>
      </w:r>
      <w:r>
        <w:instrText xml:space="preserve"> PAGEREF _Toc202449283 \h </w:instrText>
      </w:r>
      <w:r>
        <w:fldChar w:fldCharType="separate"/>
      </w:r>
      <w:r>
        <w:t>28</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_Toc202449284 \h </w:instrText>
      </w:r>
      <w:r>
        <w:fldChar w:fldCharType="separate"/>
      </w:r>
      <w:r>
        <w:t>29</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_Toc202449285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_Toc202449287 \h </w:instrText>
      </w:r>
      <w:r>
        <w:fldChar w:fldCharType="separate"/>
      </w:r>
      <w:r>
        <w:t>29</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_Toc202449288 \h </w:instrText>
      </w:r>
      <w:r>
        <w:fldChar w:fldCharType="separate"/>
      </w:r>
      <w:r>
        <w:t>30</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_Toc202449289 \h </w:instrText>
      </w:r>
      <w:r>
        <w:fldChar w:fldCharType="separate"/>
      </w:r>
      <w:r>
        <w:t>31</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_Toc202449290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_Toc202449293 \h </w:instrText>
      </w:r>
      <w:r>
        <w:fldChar w:fldCharType="separate"/>
      </w:r>
      <w:r>
        <w:t>31</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_Toc202449294 \h </w:instrText>
      </w:r>
      <w:r>
        <w:fldChar w:fldCharType="separate"/>
      </w:r>
      <w:r>
        <w:t>32</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_Toc202449295 \h </w:instrText>
      </w:r>
      <w:r>
        <w:fldChar w:fldCharType="separate"/>
      </w:r>
      <w:r>
        <w:t>34</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_Toc202449296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_Toc202449298 \h </w:instrText>
      </w:r>
      <w:r>
        <w:fldChar w:fldCharType="separate"/>
      </w:r>
      <w:r>
        <w:t>35</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_Toc202449299 \h </w:instrText>
      </w:r>
      <w:r>
        <w:fldChar w:fldCharType="separate"/>
      </w:r>
      <w:r>
        <w:t>35</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_Toc202449300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_Toc202449302 \h </w:instrText>
      </w:r>
      <w:r>
        <w:fldChar w:fldCharType="separate"/>
      </w:r>
      <w:r>
        <w:t>37</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_Toc202449303 \h </w:instrText>
      </w:r>
      <w:r>
        <w:fldChar w:fldCharType="separate"/>
      </w:r>
      <w:r>
        <w:t>37</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_Toc202449304 \h </w:instrText>
      </w:r>
      <w:r>
        <w:fldChar w:fldCharType="separate"/>
      </w:r>
      <w:r>
        <w:t>38</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_Toc202449305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_Toc202449307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_Toc202449310 \h </w:instrText>
      </w:r>
      <w:r>
        <w:fldChar w:fldCharType="separate"/>
      </w:r>
      <w:r>
        <w:t>40</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_Toc202449311 \h </w:instrText>
      </w:r>
      <w:r>
        <w:fldChar w:fldCharType="separate"/>
      </w:r>
      <w:r>
        <w:t>41</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_Toc202449312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identifiers and identification equipment for registered identifiers</w:t>
      </w:r>
      <w:r>
        <w:tab/>
      </w:r>
      <w:r>
        <w:fldChar w:fldCharType="begin"/>
      </w:r>
      <w:r>
        <w:instrText xml:space="preserve"> PAGEREF _Toc202449314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_Toc202449316 \h </w:instrText>
      </w:r>
      <w:r>
        <w:fldChar w:fldCharType="separate"/>
      </w:r>
      <w:r>
        <w:t>43</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_Toc202449317 \h </w:instrText>
      </w:r>
      <w:r>
        <w:fldChar w:fldCharType="separate"/>
      </w:r>
      <w:r>
        <w:t>43</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_Toc202449318 \h </w:instrText>
      </w:r>
      <w:r>
        <w:fldChar w:fldCharType="separate"/>
      </w:r>
      <w:r>
        <w:t>44</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_Toc202449319 \h </w:instrText>
      </w:r>
      <w:r>
        <w:fldChar w:fldCharType="separate"/>
      </w:r>
      <w:r>
        <w:t>46</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_Toc202449320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_Toc202449322 \h </w:instrText>
      </w:r>
      <w:r>
        <w:fldChar w:fldCharType="separate"/>
      </w:r>
      <w:r>
        <w:t>49</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_Toc202449323 \h </w:instrText>
      </w:r>
      <w:r>
        <w:fldChar w:fldCharType="separate"/>
      </w:r>
      <w:r>
        <w:t>49</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_Toc202449324 \h </w:instrText>
      </w:r>
      <w:r>
        <w:fldChar w:fldCharType="separate"/>
      </w:r>
      <w:r>
        <w:t>49</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_Toc202449325 \h </w:instrText>
      </w:r>
      <w:r>
        <w:fldChar w:fldCharType="separate"/>
      </w:r>
      <w:r>
        <w:t>51</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_Toc202449326 \h </w:instrText>
      </w:r>
      <w:r>
        <w:fldChar w:fldCharType="separate"/>
      </w:r>
      <w:r>
        <w:t>51</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_Toc202449327 \h </w:instrText>
      </w:r>
      <w:r>
        <w:fldChar w:fldCharType="separate"/>
      </w:r>
      <w:r>
        <w:t>51</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_Toc202449328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_Toc202449331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must identify cattle and buffalo</w:t>
      </w:r>
      <w:r>
        <w:tab/>
      </w:r>
      <w:r>
        <w:fldChar w:fldCharType="begin"/>
      </w:r>
      <w:r>
        <w:instrText xml:space="preserve"> PAGEREF _Toc202449334 \h </w:instrText>
      </w:r>
      <w:r>
        <w:fldChar w:fldCharType="separate"/>
      </w:r>
      <w:r>
        <w:t>53</w:t>
      </w:r>
      <w:r>
        <w:fldChar w:fldCharType="end"/>
      </w:r>
    </w:p>
    <w:p>
      <w:pPr>
        <w:pStyle w:val="TOC8"/>
        <w:rPr>
          <w:rFonts w:asciiTheme="minorHAnsi" w:eastAsiaTheme="minorEastAsia" w:hAnsiTheme="minorHAnsi" w:cstheme="minorBidi"/>
          <w:szCs w:val="22"/>
        </w:rPr>
      </w:pPr>
      <w:r>
        <w:lastRenderedPageBreak/>
        <w:t>77.</w:t>
      </w:r>
      <w:r>
        <w:tab/>
        <w:t>Exemption for unweaned animals</w:t>
      </w:r>
      <w:r>
        <w:tab/>
      </w:r>
      <w:r>
        <w:fldChar w:fldCharType="begin"/>
      </w:r>
      <w:r>
        <w:instrText xml:space="preserve"> PAGEREF _Toc202449335 \h </w:instrText>
      </w:r>
      <w:r>
        <w:fldChar w:fldCharType="separate"/>
      </w:r>
      <w:r>
        <w:t>54</w:t>
      </w:r>
      <w:r>
        <w:fldChar w:fldCharType="end"/>
      </w:r>
    </w:p>
    <w:p>
      <w:pPr>
        <w:pStyle w:val="TOC8"/>
        <w:rPr>
          <w:rFonts w:asciiTheme="minorHAnsi" w:eastAsiaTheme="minorEastAsia" w:hAnsiTheme="minorHAnsi" w:cstheme="minorBidi"/>
          <w:szCs w:val="22"/>
        </w:rPr>
      </w:pPr>
      <w:r>
        <w:t>78.</w:t>
      </w:r>
      <w:r>
        <w:tab/>
        <w:t>Requirements for brands</w:t>
      </w:r>
      <w:r>
        <w:tab/>
      </w:r>
      <w:r>
        <w:fldChar w:fldCharType="begin"/>
      </w:r>
      <w:r>
        <w:instrText xml:space="preserve"> PAGEREF _Toc202449336 \h </w:instrText>
      </w:r>
      <w:r>
        <w:fldChar w:fldCharType="separate"/>
      </w:r>
      <w:r>
        <w:t>54</w:t>
      </w:r>
      <w:r>
        <w:fldChar w:fldCharType="end"/>
      </w:r>
    </w:p>
    <w:p>
      <w:pPr>
        <w:pStyle w:val="TOC8"/>
        <w:rPr>
          <w:rFonts w:asciiTheme="minorHAnsi" w:eastAsiaTheme="minorEastAsia" w:hAnsiTheme="minorHAnsi" w:cstheme="minorBidi"/>
          <w:szCs w:val="22"/>
        </w:rPr>
      </w:pPr>
      <w:r>
        <w:t>79.</w:t>
      </w:r>
      <w:r>
        <w:tab/>
        <w:t>Requirements for earmarks</w:t>
      </w:r>
      <w:r>
        <w:tab/>
      </w:r>
      <w:r>
        <w:fldChar w:fldCharType="begin"/>
      </w:r>
      <w:r>
        <w:instrText xml:space="preserve"> PAGEREF _Toc202449337 \h </w:instrText>
      </w:r>
      <w:r>
        <w:fldChar w:fldCharType="separate"/>
      </w:r>
      <w:r>
        <w:t>55</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_Toc202449338 \h </w:instrText>
      </w:r>
      <w:r>
        <w:fldChar w:fldCharType="separate"/>
      </w:r>
      <w:r>
        <w:t>55</w:t>
      </w:r>
      <w:r>
        <w:fldChar w:fldCharType="end"/>
      </w:r>
    </w:p>
    <w:p>
      <w:pPr>
        <w:pStyle w:val="TOC8"/>
        <w:rPr>
          <w:rFonts w:asciiTheme="minorHAnsi" w:eastAsiaTheme="minorEastAsia" w:hAnsiTheme="minorHAnsi" w:cstheme="minorBidi"/>
          <w:szCs w:val="22"/>
        </w:rPr>
      </w:pPr>
      <w:r>
        <w:t>81.</w:t>
      </w:r>
      <w:r>
        <w:tab/>
        <w:t>Spayed female animals must be marked</w:t>
      </w:r>
      <w:r>
        <w:tab/>
      </w:r>
      <w:r>
        <w:fldChar w:fldCharType="begin"/>
      </w:r>
      <w:r>
        <w:instrText xml:space="preserve"> PAGEREF _Toc202449339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requirements for cattle and buffalo</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_Toc202449341 \h </w:instrText>
      </w:r>
      <w:r>
        <w:fldChar w:fldCharType="separate"/>
      </w:r>
      <w:r>
        <w:t>56</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_Toc202449342 \h </w:instrText>
      </w:r>
      <w:r>
        <w:fldChar w:fldCharType="separate"/>
      </w:r>
      <w:r>
        <w:t>57</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_Toc202449343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NLIS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_Toc202449346 \h </w:instrText>
      </w:r>
      <w:r>
        <w:fldChar w:fldCharType="separate"/>
      </w:r>
      <w:r>
        <w:t>59</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_Toc202449347 \h </w:instrText>
      </w:r>
      <w:r>
        <w:fldChar w:fldCharType="separate"/>
      </w:r>
      <w:r>
        <w:t>59</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_Toc202449348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_Toc202449350 \h </w:instrText>
      </w:r>
      <w:r>
        <w:fldChar w:fldCharType="separate"/>
      </w:r>
      <w:r>
        <w:t>60</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_Toc202449351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_Toc202449353 \h </w:instrText>
      </w:r>
      <w:r>
        <w:fldChar w:fldCharType="separate"/>
      </w:r>
      <w:r>
        <w:t>62</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pound</w:t>
      </w:r>
      <w:r>
        <w:tab/>
      </w:r>
      <w:r>
        <w:fldChar w:fldCharType="begin"/>
      </w:r>
      <w:r>
        <w:instrText xml:space="preserve"> PAGEREF _Toc202449354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_Toc202449356 \h </w:instrText>
      </w:r>
      <w:r>
        <w:fldChar w:fldCharType="separate"/>
      </w:r>
      <w:r>
        <w:t>63</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_Toc202449357 \h </w:instrText>
      </w:r>
      <w:r>
        <w:fldChar w:fldCharType="separate"/>
      </w:r>
      <w:r>
        <w:t>63</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_Toc202449358 \h </w:instrText>
      </w:r>
      <w:r>
        <w:fldChar w:fldCharType="separate"/>
      </w:r>
      <w:r>
        <w:t>64</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_Toc202449359 \h </w:instrText>
      </w:r>
      <w:r>
        <w:fldChar w:fldCharType="separate"/>
      </w:r>
      <w:r>
        <w:t>64</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_Toc202449360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_Toc202449362 \h </w:instrText>
      </w:r>
      <w:r>
        <w:fldChar w:fldCharType="separate"/>
      </w:r>
      <w:r>
        <w:t>66</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_Toc202449363 \h </w:instrText>
      </w:r>
      <w:r>
        <w:fldChar w:fldCharType="separate"/>
      </w:r>
      <w:r>
        <w:t>67</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_Toc202449364 \h </w:instrText>
      </w:r>
      <w:r>
        <w:fldChar w:fldCharType="separate"/>
      </w:r>
      <w:r>
        <w:t>67</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_Toc202449365 \h </w:instrText>
      </w:r>
      <w:r>
        <w:fldChar w:fldCharType="separate"/>
      </w:r>
      <w:r>
        <w:t>68</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_Toc202449366 \h </w:instrText>
      </w:r>
      <w:r>
        <w:fldChar w:fldCharType="separate"/>
      </w:r>
      <w:r>
        <w:t>68</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_Toc202449367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_Toc202449369 \h </w:instrText>
      </w:r>
      <w:r>
        <w:fldChar w:fldCharType="separate"/>
      </w:r>
      <w:r>
        <w:t>69</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_Toc202449370 \h </w:instrText>
      </w:r>
      <w:r>
        <w:fldChar w:fldCharType="separate"/>
      </w:r>
      <w:r>
        <w:t>70</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_Toc202449371 \h </w:instrText>
      </w:r>
      <w:r>
        <w:fldChar w:fldCharType="separate"/>
      </w:r>
      <w:r>
        <w:t>71</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_Toc202449372 \h </w:instrText>
      </w:r>
      <w:r>
        <w:fldChar w:fldCharType="separate"/>
      </w:r>
      <w:r>
        <w:t>71</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_Toc202449373 \h </w:instrText>
      </w:r>
      <w:r>
        <w:fldChar w:fldCharType="separate"/>
      </w:r>
      <w:r>
        <w:t>72</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_Toc202449374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_Toc202449376 \h </w:instrText>
      </w:r>
      <w:r>
        <w:fldChar w:fldCharType="separate"/>
      </w:r>
      <w:r>
        <w:t>73</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_Toc202449377 \h </w:instrText>
      </w:r>
      <w:r>
        <w:fldChar w:fldCharType="separate"/>
      </w:r>
      <w:r>
        <w:t>75</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_Toc202449378 \h </w:instrText>
      </w:r>
      <w:r>
        <w:fldChar w:fldCharType="separate"/>
      </w:r>
      <w:r>
        <w:t>76</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_Toc202449379 \h </w:instrText>
      </w:r>
      <w:r>
        <w:fldChar w:fldCharType="separate"/>
      </w:r>
      <w:r>
        <w:t>76</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_Toc202449380 \h </w:instrText>
      </w:r>
      <w:r>
        <w:fldChar w:fldCharType="separate"/>
      </w:r>
      <w:r>
        <w:t>78</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_Toc202449381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_Toc202449383 \h </w:instrText>
      </w:r>
      <w:r>
        <w:fldChar w:fldCharType="separate"/>
      </w:r>
      <w:r>
        <w:t>80</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_Toc202449384 \h </w:instrText>
      </w:r>
      <w:r>
        <w:fldChar w:fldCharType="separate"/>
      </w:r>
      <w:r>
        <w:t>82</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_Toc202449385 \h </w:instrText>
      </w:r>
      <w:r>
        <w:fldChar w:fldCharType="separate"/>
      </w:r>
      <w:r>
        <w:t>82</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_Toc202449386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pigs</w:t>
      </w:r>
    </w:p>
    <w:p>
      <w:pPr>
        <w:pStyle w:val="TOC4"/>
        <w:tabs>
          <w:tab w:val="right" w:leader="dot" w:pos="7077"/>
        </w:tabs>
        <w:rPr>
          <w:rFonts w:asciiTheme="minorHAnsi" w:eastAsiaTheme="minorEastAsia" w:hAnsiTheme="minorHAnsi" w:cstheme="minorBidi"/>
          <w:b w:val="0"/>
          <w:szCs w:val="22"/>
        </w:rPr>
      </w:pPr>
      <w:r>
        <w:t>Division 2 — Owners of pigs</w:t>
      </w:r>
    </w:p>
    <w:p>
      <w:pPr>
        <w:pStyle w:val="TOC6"/>
        <w:tabs>
          <w:tab w:val="right" w:leader="dot" w:pos="7077"/>
        </w:tabs>
        <w:rPr>
          <w:rFonts w:asciiTheme="minorHAnsi" w:eastAsiaTheme="minorEastAsia" w:hAnsiTheme="minorHAnsi" w:cstheme="minorBidi"/>
          <w:b w:val="0"/>
          <w:sz w:val="22"/>
          <w:szCs w:val="22"/>
        </w:rPr>
      </w:pPr>
      <w:r>
        <w:t>Subdivision 2A — Identifiers for pigs</w:t>
      </w:r>
    </w:p>
    <w:p>
      <w:pPr>
        <w:pStyle w:val="TOC8"/>
        <w:rPr>
          <w:rFonts w:asciiTheme="minorHAnsi" w:eastAsiaTheme="minorEastAsia" w:hAnsiTheme="minorHAnsi" w:cstheme="minorBidi"/>
          <w:szCs w:val="22"/>
        </w:rPr>
      </w:pPr>
      <w:r>
        <w:t>127A.</w:t>
      </w:r>
      <w:r>
        <w:tab/>
        <w:t>Owners to identify pigs</w:t>
      </w:r>
      <w:r>
        <w:tab/>
      </w:r>
      <w:r>
        <w:fldChar w:fldCharType="begin"/>
      </w:r>
      <w:r>
        <w:instrText xml:space="preserve"> PAGEREF _Toc202449390 \h </w:instrText>
      </w:r>
      <w:r>
        <w:fldChar w:fldCharType="separate"/>
      </w:r>
      <w:r>
        <w:t>86</w:t>
      </w:r>
      <w:r>
        <w:fldChar w:fldCharType="end"/>
      </w:r>
    </w:p>
    <w:p>
      <w:pPr>
        <w:pStyle w:val="TOC8"/>
        <w:rPr>
          <w:rFonts w:asciiTheme="minorHAnsi" w:eastAsiaTheme="minorEastAsia" w:hAnsiTheme="minorHAnsi" w:cstheme="minorBidi"/>
          <w:szCs w:val="22"/>
        </w:rPr>
      </w:pPr>
      <w:r>
        <w:t>127B.</w:t>
      </w:r>
      <w:r>
        <w:tab/>
        <w:t>Exemption for unweaned pigs</w:t>
      </w:r>
      <w:r>
        <w:tab/>
      </w:r>
      <w:r>
        <w:fldChar w:fldCharType="begin"/>
      </w:r>
      <w:r>
        <w:instrText xml:space="preserve"> PAGEREF _Toc202449391 \h </w:instrText>
      </w:r>
      <w:r>
        <w:fldChar w:fldCharType="separate"/>
      </w:r>
      <w:r>
        <w:t>87</w:t>
      </w:r>
      <w:r>
        <w:fldChar w:fldCharType="end"/>
      </w:r>
    </w:p>
    <w:p>
      <w:pPr>
        <w:pStyle w:val="TOC8"/>
        <w:rPr>
          <w:rFonts w:asciiTheme="minorHAnsi" w:eastAsiaTheme="minorEastAsia" w:hAnsiTheme="minorHAnsi" w:cstheme="minorBidi"/>
          <w:szCs w:val="22"/>
        </w:rPr>
      </w:pPr>
      <w:r>
        <w:t>127C.</w:t>
      </w:r>
      <w:r>
        <w:tab/>
        <w:t>Requirements for slap brands</w:t>
      </w:r>
      <w:r>
        <w:tab/>
      </w:r>
      <w:r>
        <w:fldChar w:fldCharType="begin"/>
      </w:r>
      <w:r>
        <w:instrText xml:space="preserve"> PAGEREF _Toc202449392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requirements for pigs</w:t>
      </w:r>
    </w:p>
    <w:p>
      <w:pPr>
        <w:pStyle w:val="TOC8"/>
        <w:rPr>
          <w:rFonts w:asciiTheme="minorHAnsi" w:eastAsiaTheme="minorEastAsia" w:hAnsiTheme="minorHAnsi" w:cstheme="minorBidi"/>
          <w:szCs w:val="22"/>
        </w:rPr>
      </w:pPr>
      <w:r>
        <w:t>129A.</w:t>
      </w:r>
      <w:r>
        <w:tab/>
        <w:t>Responsibilities of owner before moving pigs</w:t>
      </w:r>
      <w:r>
        <w:tab/>
      </w:r>
      <w:r>
        <w:fldChar w:fldCharType="begin"/>
      </w:r>
      <w:r>
        <w:instrText xml:space="preserve"> PAGEREF _Toc202449394 \h </w:instrText>
      </w:r>
      <w:r>
        <w:fldChar w:fldCharType="separate"/>
      </w:r>
      <w:r>
        <w:t>88</w:t>
      </w:r>
      <w:r>
        <w:fldChar w:fldCharType="end"/>
      </w:r>
    </w:p>
    <w:p>
      <w:pPr>
        <w:pStyle w:val="TOC8"/>
        <w:rPr>
          <w:rFonts w:asciiTheme="minorHAnsi" w:eastAsiaTheme="minorEastAsia" w:hAnsiTheme="minorHAnsi" w:cstheme="minorBidi"/>
          <w:szCs w:val="22"/>
        </w:rPr>
      </w:pPr>
      <w:r>
        <w:t>129B.</w:t>
      </w:r>
      <w:r>
        <w:tab/>
        <w:t>Exemptions from identification of pigs</w:t>
      </w:r>
      <w:r>
        <w:tab/>
      </w:r>
      <w:r>
        <w:fldChar w:fldCharType="begin"/>
      </w:r>
      <w:r>
        <w:instrText xml:space="preserve"> PAGEREF _Toc202449395 \h </w:instrText>
      </w:r>
      <w:r>
        <w:fldChar w:fldCharType="separate"/>
      </w:r>
      <w:r>
        <w:t>89</w:t>
      </w:r>
      <w:r>
        <w:fldChar w:fldCharType="end"/>
      </w:r>
    </w:p>
    <w:p>
      <w:pPr>
        <w:pStyle w:val="TOC8"/>
        <w:rPr>
          <w:rFonts w:asciiTheme="minorHAnsi" w:eastAsiaTheme="minorEastAsia" w:hAnsiTheme="minorHAnsi" w:cstheme="minorBidi"/>
          <w:szCs w:val="22"/>
        </w:rPr>
      </w:pPr>
      <w:r>
        <w:t>130.</w:t>
      </w:r>
      <w:r>
        <w:tab/>
      </w:r>
      <w:r>
        <w:rPr>
          <w:bCs/>
        </w:rPr>
        <w:t>Responsibilities of owner after moving pig</w:t>
      </w:r>
      <w:r>
        <w:tab/>
      </w:r>
      <w:r>
        <w:fldChar w:fldCharType="begin"/>
      </w:r>
      <w:r>
        <w:instrText xml:space="preserve"> PAGEREF _Toc202449396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Other NLIS requirements for pigs</w:t>
      </w:r>
    </w:p>
    <w:p>
      <w:pPr>
        <w:pStyle w:val="TOC6"/>
        <w:tabs>
          <w:tab w:val="right" w:leader="dot" w:pos="7077"/>
        </w:tabs>
        <w:rPr>
          <w:rFonts w:asciiTheme="minorHAnsi" w:eastAsiaTheme="minorEastAsia" w:hAnsiTheme="minorHAnsi" w:cstheme="minorBidi"/>
          <w:b w:val="0"/>
          <w:sz w:val="22"/>
          <w:szCs w:val="22"/>
        </w:rPr>
      </w:pPr>
      <w:r>
        <w:t>Subdivision 1 — Imported pigs, pigs from a pound and dead stray pigs</w:t>
      </w:r>
    </w:p>
    <w:p>
      <w:pPr>
        <w:pStyle w:val="TOC8"/>
        <w:rPr>
          <w:rFonts w:asciiTheme="minorHAnsi" w:eastAsiaTheme="minorEastAsia" w:hAnsiTheme="minorHAnsi" w:cstheme="minorBidi"/>
          <w:szCs w:val="22"/>
        </w:rPr>
      </w:pPr>
      <w:r>
        <w:t>131.</w:t>
      </w:r>
      <w:r>
        <w:tab/>
      </w:r>
      <w:r>
        <w:rPr>
          <w:bCs/>
        </w:rPr>
        <w:t>Imported pigs</w:t>
      </w:r>
      <w:r>
        <w:tab/>
      </w:r>
      <w:r>
        <w:fldChar w:fldCharType="begin"/>
      </w:r>
      <w:r>
        <w:instrText xml:space="preserve"> PAGEREF _Toc202449399 \h </w:instrText>
      </w:r>
      <w:r>
        <w:fldChar w:fldCharType="separate"/>
      </w:r>
      <w:r>
        <w:t>91</w:t>
      </w:r>
      <w:r>
        <w:fldChar w:fldCharType="end"/>
      </w:r>
    </w:p>
    <w:p>
      <w:pPr>
        <w:pStyle w:val="TOC8"/>
        <w:rPr>
          <w:rFonts w:asciiTheme="minorHAnsi" w:eastAsiaTheme="minorEastAsia" w:hAnsiTheme="minorHAnsi" w:cstheme="minorBidi"/>
          <w:szCs w:val="22"/>
        </w:rPr>
      </w:pPr>
      <w:r>
        <w:t>132.</w:t>
      </w:r>
      <w:r>
        <w:tab/>
      </w:r>
      <w:r>
        <w:rPr>
          <w:bCs/>
        </w:rPr>
        <w:t>Pigs from pound</w:t>
      </w:r>
      <w:r>
        <w:tab/>
      </w:r>
      <w:r>
        <w:fldChar w:fldCharType="begin"/>
      </w:r>
      <w:r>
        <w:instrText xml:space="preserve"> PAGEREF _Toc202449400 \h </w:instrText>
      </w:r>
      <w:r>
        <w:fldChar w:fldCharType="separate"/>
      </w:r>
      <w:r>
        <w:t>91</w:t>
      </w:r>
      <w:r>
        <w:fldChar w:fldCharType="end"/>
      </w:r>
    </w:p>
    <w:p>
      <w:pPr>
        <w:pStyle w:val="TOC8"/>
        <w:rPr>
          <w:rFonts w:asciiTheme="minorHAnsi" w:eastAsiaTheme="minorEastAsia" w:hAnsiTheme="minorHAnsi" w:cstheme="minorBidi"/>
          <w:szCs w:val="22"/>
        </w:rPr>
      </w:pPr>
      <w:r>
        <w:t>133.</w:t>
      </w:r>
      <w:r>
        <w:tab/>
      </w:r>
      <w:r>
        <w:rPr>
          <w:bCs/>
        </w:rPr>
        <w:t>Dead stray pigs</w:t>
      </w:r>
      <w:r>
        <w:tab/>
      </w:r>
      <w:r>
        <w:fldChar w:fldCharType="begin"/>
      </w:r>
      <w:r>
        <w:instrText xml:space="preserve"> PAGEREF _Toc202449401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_Toc202449403 \h </w:instrText>
      </w:r>
      <w:r>
        <w:fldChar w:fldCharType="separate"/>
      </w:r>
      <w:r>
        <w:t>92</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_Toc202449404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r>
      <w:r>
        <w:rPr>
          <w:bCs/>
        </w:rPr>
        <w:t>Pigs not to be delivered to property without relevant PIC</w:t>
      </w:r>
      <w:r>
        <w:tab/>
      </w:r>
      <w:r>
        <w:fldChar w:fldCharType="begin"/>
      </w:r>
      <w:r>
        <w:instrText xml:space="preserve"> PAGEREF _Toc202449406 \h </w:instrText>
      </w:r>
      <w:r>
        <w:fldChar w:fldCharType="separate"/>
      </w:r>
      <w:r>
        <w:t>95</w:t>
      </w:r>
      <w:r>
        <w:fldChar w:fldCharType="end"/>
      </w:r>
    </w:p>
    <w:p>
      <w:pPr>
        <w:pStyle w:val="TOC8"/>
        <w:rPr>
          <w:rFonts w:asciiTheme="minorHAnsi" w:eastAsiaTheme="minorEastAsia" w:hAnsiTheme="minorHAnsi" w:cstheme="minorBidi"/>
          <w:szCs w:val="22"/>
        </w:rPr>
      </w:pPr>
      <w:r>
        <w:t>137.</w:t>
      </w:r>
      <w:r>
        <w:tab/>
      </w:r>
      <w:r>
        <w:rPr>
          <w:bCs/>
        </w:rPr>
        <w:t>Responsibilities of property operator if pig dies on or while being moved to property</w:t>
      </w:r>
      <w:r>
        <w:tab/>
      </w:r>
      <w:r>
        <w:fldChar w:fldCharType="begin"/>
      </w:r>
      <w:r>
        <w:instrText xml:space="preserve"> PAGEREF _Toc202449407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r>
      <w:r>
        <w:rPr>
          <w:bCs/>
        </w:rPr>
        <w:t>Responsibilities of pound operator if no NLIS device applied to pig</w:t>
      </w:r>
      <w:r>
        <w:tab/>
      </w:r>
      <w:r>
        <w:fldChar w:fldCharType="begin"/>
      </w:r>
      <w:r>
        <w:instrText xml:space="preserve"> PAGEREF _Toc202449409 \h </w:instrText>
      </w:r>
      <w:r>
        <w:fldChar w:fldCharType="separate"/>
      </w:r>
      <w:r>
        <w:t>96</w:t>
      </w:r>
      <w:r>
        <w:fldChar w:fldCharType="end"/>
      </w:r>
    </w:p>
    <w:p>
      <w:pPr>
        <w:pStyle w:val="TOC8"/>
        <w:rPr>
          <w:rFonts w:asciiTheme="minorHAnsi" w:eastAsiaTheme="minorEastAsia" w:hAnsiTheme="minorHAnsi" w:cstheme="minorBidi"/>
          <w:szCs w:val="22"/>
        </w:rPr>
      </w:pPr>
      <w:r>
        <w:t>139.</w:t>
      </w:r>
      <w:r>
        <w:tab/>
      </w:r>
      <w:r>
        <w:rPr>
          <w:bCs/>
        </w:rPr>
        <w:t>Responsibilities of pound operator if pig born at or while being moved to pound</w:t>
      </w:r>
      <w:r>
        <w:tab/>
      </w:r>
      <w:r>
        <w:fldChar w:fldCharType="begin"/>
      </w:r>
      <w:r>
        <w:instrText xml:space="preserve"> PAGEREF _Toc202449410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140.</w:t>
      </w:r>
      <w:r>
        <w:tab/>
      </w:r>
      <w:r>
        <w:rPr>
          <w:bCs/>
        </w:rPr>
        <w:t>Responsibilities of pound operator if NLIS device applied to pig</w:t>
      </w:r>
      <w:r>
        <w:tab/>
      </w:r>
      <w:r>
        <w:fldChar w:fldCharType="begin"/>
      </w:r>
      <w:r>
        <w:instrText xml:space="preserve"> PAGEREF _Toc202449411 \h </w:instrText>
      </w:r>
      <w:r>
        <w:fldChar w:fldCharType="separate"/>
      </w:r>
      <w:r>
        <w:t>97</w:t>
      </w:r>
      <w:r>
        <w:fldChar w:fldCharType="end"/>
      </w:r>
    </w:p>
    <w:p>
      <w:pPr>
        <w:pStyle w:val="TOC8"/>
        <w:rPr>
          <w:rFonts w:asciiTheme="minorHAnsi" w:eastAsiaTheme="minorEastAsia" w:hAnsiTheme="minorHAnsi" w:cstheme="minorBidi"/>
          <w:szCs w:val="22"/>
        </w:rPr>
      </w:pPr>
      <w:r>
        <w:t>141.</w:t>
      </w:r>
      <w:r>
        <w:tab/>
      </w:r>
      <w:r>
        <w:rPr>
          <w:bCs/>
        </w:rPr>
        <w:t>Responsibilities of pound operator if pig moved from pound</w:t>
      </w:r>
      <w:r>
        <w:tab/>
      </w:r>
      <w:r>
        <w:fldChar w:fldCharType="begin"/>
      </w:r>
      <w:r>
        <w:instrText xml:space="preserve"> PAGEREF _Toc202449412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r>
      <w:r>
        <w:rPr>
          <w:bCs/>
        </w:rPr>
        <w:t>Responsibility of holding yard operator if no NLIS identifier applied to pig</w:t>
      </w:r>
      <w:r>
        <w:tab/>
      </w:r>
      <w:r>
        <w:fldChar w:fldCharType="begin"/>
      </w:r>
      <w:r>
        <w:instrText xml:space="preserve"> PAGEREF _Toc202449414 \h </w:instrText>
      </w:r>
      <w:r>
        <w:fldChar w:fldCharType="separate"/>
      </w:r>
      <w:r>
        <w:t>99</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_Toc202449415 \h </w:instrText>
      </w:r>
      <w:r>
        <w:fldChar w:fldCharType="separate"/>
      </w:r>
      <w:r>
        <w:t>100</w:t>
      </w:r>
      <w:r>
        <w:fldChar w:fldCharType="end"/>
      </w:r>
    </w:p>
    <w:p>
      <w:pPr>
        <w:pStyle w:val="TOC8"/>
        <w:rPr>
          <w:rFonts w:asciiTheme="minorHAnsi" w:eastAsiaTheme="minorEastAsia" w:hAnsiTheme="minorHAnsi" w:cstheme="minorBidi"/>
          <w:szCs w:val="22"/>
        </w:rPr>
      </w:pPr>
      <w:r>
        <w:t>144.</w:t>
      </w:r>
      <w:r>
        <w:tab/>
      </w:r>
      <w:r>
        <w:rPr>
          <w:bCs/>
        </w:rPr>
        <w:t>Responsibilities of holding yard operator if pig born at or while being moved to holding yard</w:t>
      </w:r>
      <w:r>
        <w:tab/>
      </w:r>
      <w:r>
        <w:fldChar w:fldCharType="begin"/>
      </w:r>
      <w:r>
        <w:instrText xml:space="preserve"> PAGEREF _Toc202449416 \h </w:instrText>
      </w:r>
      <w:r>
        <w:fldChar w:fldCharType="separate"/>
      </w:r>
      <w:r>
        <w:t>100</w:t>
      </w:r>
      <w:r>
        <w:fldChar w:fldCharType="end"/>
      </w:r>
    </w:p>
    <w:p>
      <w:pPr>
        <w:pStyle w:val="TOC8"/>
        <w:rPr>
          <w:rFonts w:asciiTheme="minorHAnsi" w:eastAsiaTheme="minorEastAsia" w:hAnsiTheme="minorHAnsi" w:cstheme="minorBidi"/>
          <w:szCs w:val="22"/>
        </w:rPr>
      </w:pPr>
      <w:r>
        <w:t>145.</w:t>
      </w:r>
      <w:r>
        <w:tab/>
      </w:r>
      <w:r>
        <w:rPr>
          <w:bCs/>
        </w:rPr>
        <w:t>Responsibilities of holding yard operator if pig held at holding yard for more than 48 hours or moved from holding yard in different consignment</w:t>
      </w:r>
      <w:r>
        <w:tab/>
      </w:r>
      <w:r>
        <w:fldChar w:fldCharType="begin"/>
      </w:r>
      <w:r>
        <w:instrText xml:space="preserve"> PAGEREF _Toc202449417 \h </w:instrText>
      </w:r>
      <w:r>
        <w:fldChar w:fldCharType="separate"/>
      </w:r>
      <w:r>
        <w:t>101</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_Toc202449418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_Toc202449420 \h </w:instrText>
      </w:r>
      <w:r>
        <w:fldChar w:fldCharType="separate"/>
      </w:r>
      <w:r>
        <w:t>102</w:t>
      </w:r>
      <w:r>
        <w:fldChar w:fldCharType="end"/>
      </w:r>
    </w:p>
    <w:p>
      <w:pPr>
        <w:pStyle w:val="TOC8"/>
        <w:rPr>
          <w:rFonts w:asciiTheme="minorHAnsi" w:eastAsiaTheme="minorEastAsia" w:hAnsiTheme="minorHAnsi" w:cstheme="minorBidi"/>
          <w:szCs w:val="22"/>
        </w:rPr>
      </w:pPr>
      <w:r>
        <w:t>148.</w:t>
      </w:r>
      <w:r>
        <w:tab/>
      </w:r>
      <w:r>
        <w:rPr>
          <w:bCs/>
        </w:rPr>
        <w:t>Responsibilities of saleyard operator if no NLIS identifier applied to pig</w:t>
      </w:r>
      <w:r>
        <w:tab/>
      </w:r>
      <w:r>
        <w:fldChar w:fldCharType="begin"/>
      </w:r>
      <w:r>
        <w:instrText xml:space="preserve"> PAGEREF _Toc202449421 \h </w:instrText>
      </w:r>
      <w:r>
        <w:fldChar w:fldCharType="separate"/>
      </w:r>
      <w:r>
        <w:t>103</w:t>
      </w:r>
      <w:r>
        <w:fldChar w:fldCharType="end"/>
      </w:r>
    </w:p>
    <w:p>
      <w:pPr>
        <w:pStyle w:val="TOC8"/>
        <w:rPr>
          <w:rFonts w:asciiTheme="minorHAnsi" w:eastAsiaTheme="minorEastAsia" w:hAnsiTheme="minorHAnsi" w:cstheme="minorBidi"/>
          <w:szCs w:val="22"/>
        </w:rPr>
      </w:pPr>
      <w:r>
        <w:t>149.</w:t>
      </w:r>
      <w:r>
        <w:tab/>
        <w:t>Directions by inspectors</w:t>
      </w:r>
      <w:r>
        <w:tab/>
      </w:r>
      <w:r>
        <w:fldChar w:fldCharType="begin"/>
      </w:r>
      <w:r>
        <w:instrText xml:space="preserve"> PAGEREF _Toc202449422 \h </w:instrText>
      </w:r>
      <w:r>
        <w:fldChar w:fldCharType="separate"/>
      </w:r>
      <w:r>
        <w:t>104</w:t>
      </w:r>
      <w:r>
        <w:fldChar w:fldCharType="end"/>
      </w:r>
    </w:p>
    <w:p>
      <w:pPr>
        <w:pStyle w:val="TOC8"/>
        <w:rPr>
          <w:rFonts w:asciiTheme="minorHAnsi" w:eastAsiaTheme="minorEastAsia" w:hAnsiTheme="minorHAnsi" w:cstheme="minorBidi"/>
          <w:szCs w:val="22"/>
        </w:rPr>
      </w:pPr>
      <w:r>
        <w:t>150.</w:t>
      </w:r>
      <w:r>
        <w:tab/>
      </w:r>
      <w:r>
        <w:rPr>
          <w:bCs/>
        </w:rPr>
        <w:t>Responsibilities of saleyard operator if pig born at or while being moved to saleyard</w:t>
      </w:r>
      <w:r>
        <w:tab/>
      </w:r>
      <w:r>
        <w:fldChar w:fldCharType="begin"/>
      </w:r>
      <w:r>
        <w:instrText xml:space="preserve"> PAGEREF _Toc202449423 \h </w:instrText>
      </w:r>
      <w:r>
        <w:fldChar w:fldCharType="separate"/>
      </w:r>
      <w:r>
        <w:t>104</w:t>
      </w:r>
      <w:r>
        <w:fldChar w:fldCharType="end"/>
      </w:r>
    </w:p>
    <w:p>
      <w:pPr>
        <w:pStyle w:val="TOC8"/>
        <w:rPr>
          <w:rFonts w:asciiTheme="minorHAnsi" w:eastAsiaTheme="minorEastAsia" w:hAnsiTheme="minorHAnsi" w:cstheme="minorBidi"/>
          <w:szCs w:val="22"/>
        </w:rPr>
      </w:pPr>
      <w:r>
        <w:t>151.</w:t>
      </w:r>
      <w:r>
        <w:tab/>
      </w:r>
      <w:r>
        <w:rPr>
          <w:bCs/>
        </w:rPr>
        <w:t>Responsibilities of saleyard operator if pig moved from saleyard</w:t>
      </w:r>
      <w:r>
        <w:tab/>
      </w:r>
      <w:r>
        <w:fldChar w:fldCharType="begin"/>
      </w:r>
      <w:r>
        <w:instrText xml:space="preserve"> PAGEREF _Toc202449424 \h </w:instrText>
      </w:r>
      <w:r>
        <w:fldChar w:fldCharType="separate"/>
      </w:r>
      <w:r>
        <w:t>105</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_Toc202449425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r>
      <w:r>
        <w:rPr>
          <w:bCs/>
        </w:rPr>
        <w:t>Responsibilities of abattoir operator if no NLIS identifier applied to pig</w:t>
      </w:r>
      <w:r>
        <w:tab/>
      </w:r>
      <w:r>
        <w:fldChar w:fldCharType="begin"/>
      </w:r>
      <w:r>
        <w:instrText xml:space="preserve"> PAGEREF _Toc202449427 \h </w:instrText>
      </w:r>
      <w:r>
        <w:fldChar w:fldCharType="separate"/>
      </w:r>
      <w:r>
        <w:t>107</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_Toc202449428 \h </w:instrText>
      </w:r>
      <w:r>
        <w:fldChar w:fldCharType="separate"/>
      </w:r>
      <w:r>
        <w:t>108</w:t>
      </w:r>
      <w:r>
        <w:fldChar w:fldCharType="end"/>
      </w:r>
    </w:p>
    <w:p>
      <w:pPr>
        <w:pStyle w:val="TOC8"/>
        <w:rPr>
          <w:rFonts w:asciiTheme="minorHAnsi" w:eastAsiaTheme="minorEastAsia" w:hAnsiTheme="minorHAnsi" w:cstheme="minorBidi"/>
          <w:szCs w:val="22"/>
        </w:rPr>
      </w:pPr>
      <w:r>
        <w:t>155.</w:t>
      </w:r>
      <w:r>
        <w:tab/>
      </w:r>
      <w:r>
        <w:rPr>
          <w:bCs/>
        </w:rPr>
        <w:t>Responsibilities of abattoir operator if pig born at or while being moved to abattoir</w:t>
      </w:r>
      <w:r>
        <w:tab/>
      </w:r>
      <w:r>
        <w:fldChar w:fldCharType="begin"/>
      </w:r>
      <w:r>
        <w:instrText xml:space="preserve"> PAGEREF _Toc202449429 \h </w:instrText>
      </w:r>
      <w:r>
        <w:fldChar w:fldCharType="separate"/>
      </w:r>
      <w:r>
        <w:t>109</w:t>
      </w:r>
      <w:r>
        <w:fldChar w:fldCharType="end"/>
      </w:r>
    </w:p>
    <w:p>
      <w:pPr>
        <w:pStyle w:val="TOC8"/>
        <w:rPr>
          <w:rFonts w:asciiTheme="minorHAnsi" w:eastAsiaTheme="minorEastAsia" w:hAnsiTheme="minorHAnsi" w:cstheme="minorBidi"/>
          <w:szCs w:val="22"/>
        </w:rPr>
      </w:pPr>
      <w:r>
        <w:t>156.</w:t>
      </w:r>
      <w:r>
        <w:tab/>
      </w:r>
      <w:r>
        <w:rPr>
          <w:bCs/>
        </w:rPr>
        <w:t>Responsibilities of abattoir operator if pig moved to abattoir</w:t>
      </w:r>
      <w:r>
        <w:tab/>
      </w:r>
      <w:r>
        <w:fldChar w:fldCharType="begin"/>
      </w:r>
      <w:r>
        <w:instrText xml:space="preserve"> PAGEREF _Toc202449430 \h </w:instrText>
      </w:r>
      <w:r>
        <w:fldChar w:fldCharType="separate"/>
      </w:r>
      <w:r>
        <w:t>109</w:t>
      </w:r>
      <w:r>
        <w:fldChar w:fldCharType="end"/>
      </w:r>
    </w:p>
    <w:p>
      <w:pPr>
        <w:pStyle w:val="TOC8"/>
        <w:rPr>
          <w:rFonts w:asciiTheme="minorHAnsi" w:eastAsiaTheme="minorEastAsia" w:hAnsiTheme="minorHAnsi" w:cstheme="minorBidi"/>
          <w:szCs w:val="22"/>
        </w:rPr>
      </w:pPr>
      <w:r>
        <w:t>157.</w:t>
      </w:r>
      <w:r>
        <w:tab/>
      </w:r>
      <w:r>
        <w:rPr>
          <w:bCs/>
        </w:rPr>
        <w:t>Responsibilities of abattoir operator after pig slaughtered</w:t>
      </w:r>
      <w:r>
        <w:tab/>
      </w:r>
      <w:r>
        <w:fldChar w:fldCharType="begin"/>
      </w:r>
      <w:r>
        <w:instrText xml:space="preserve"> PAGEREF _Toc202449431 \h </w:instrText>
      </w:r>
      <w:r>
        <w:fldChar w:fldCharType="separate"/>
      </w:r>
      <w:r>
        <w:t>110</w:t>
      </w:r>
      <w:r>
        <w:fldChar w:fldCharType="end"/>
      </w:r>
    </w:p>
    <w:p>
      <w:pPr>
        <w:pStyle w:val="TOC8"/>
        <w:rPr>
          <w:rFonts w:asciiTheme="minorHAnsi" w:eastAsiaTheme="minorEastAsia" w:hAnsiTheme="minorHAnsi" w:cstheme="minorBidi"/>
          <w:szCs w:val="22"/>
        </w:rPr>
      </w:pPr>
      <w:r>
        <w:t>158.</w:t>
      </w:r>
      <w:r>
        <w:tab/>
      </w:r>
      <w:r>
        <w:rPr>
          <w:bCs/>
        </w:rPr>
        <w:t>Responsibilities of abattoir operator if live pig moved from abattoir</w:t>
      </w:r>
      <w:r>
        <w:tab/>
      </w:r>
      <w:r>
        <w:fldChar w:fldCharType="begin"/>
      </w:r>
      <w:r>
        <w:instrText xml:space="preserve"> PAGEREF _Toc202449432 \h </w:instrText>
      </w:r>
      <w:r>
        <w:fldChar w:fldCharType="separate"/>
      </w:r>
      <w:r>
        <w:t>111</w:t>
      </w:r>
      <w:r>
        <w:fldChar w:fldCharType="end"/>
      </w:r>
    </w:p>
    <w:p>
      <w:pPr>
        <w:pStyle w:val="TOC8"/>
        <w:rPr>
          <w:rFonts w:asciiTheme="minorHAnsi" w:eastAsiaTheme="minorEastAsia" w:hAnsiTheme="minorHAnsi" w:cstheme="minorBidi"/>
          <w:szCs w:val="22"/>
        </w:rPr>
      </w:pPr>
      <w:r>
        <w:t>159.</w:t>
      </w:r>
      <w:r>
        <w:tab/>
      </w:r>
      <w:r>
        <w:rPr>
          <w:bCs/>
          <w:snapToGrid w:val="0"/>
        </w:rPr>
        <w:t>Slaughtered pigs moved to pet food processing plants</w:t>
      </w:r>
      <w:r>
        <w:tab/>
      </w:r>
      <w:r>
        <w:fldChar w:fldCharType="begin"/>
      </w:r>
      <w:r>
        <w:instrText xml:space="preserve"> PAGEREF _Toc202449433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160.</w:t>
      </w:r>
      <w:r>
        <w:tab/>
      </w:r>
      <w:r>
        <w:rPr>
          <w:bCs/>
        </w:rPr>
        <w:t>Responsibilities of export depot operator if no NLIS identifier applied to pig</w:t>
      </w:r>
      <w:r>
        <w:tab/>
      </w:r>
      <w:r>
        <w:fldChar w:fldCharType="begin"/>
      </w:r>
      <w:r>
        <w:instrText xml:space="preserve"> PAGEREF _Toc202449435 \h </w:instrText>
      </w:r>
      <w:r>
        <w:fldChar w:fldCharType="separate"/>
      </w:r>
      <w:r>
        <w:t>113</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_Toc202449436 \h </w:instrText>
      </w:r>
      <w:r>
        <w:fldChar w:fldCharType="separate"/>
      </w:r>
      <w:r>
        <w:t>114</w:t>
      </w:r>
      <w:r>
        <w:fldChar w:fldCharType="end"/>
      </w:r>
    </w:p>
    <w:p>
      <w:pPr>
        <w:pStyle w:val="TOC8"/>
        <w:rPr>
          <w:rFonts w:asciiTheme="minorHAnsi" w:eastAsiaTheme="minorEastAsia" w:hAnsiTheme="minorHAnsi" w:cstheme="minorBidi"/>
          <w:szCs w:val="22"/>
        </w:rPr>
      </w:pPr>
      <w:r>
        <w:t>162.</w:t>
      </w:r>
      <w:r>
        <w:tab/>
      </w:r>
      <w:r>
        <w:rPr>
          <w:bCs/>
        </w:rPr>
        <w:t>Responsibilities of export depot operator if pig born at or while being moved to export depot</w:t>
      </w:r>
      <w:r>
        <w:tab/>
      </w:r>
      <w:r>
        <w:fldChar w:fldCharType="begin"/>
      </w:r>
      <w:r>
        <w:instrText xml:space="preserve"> PAGEREF _Toc202449437 \h </w:instrText>
      </w:r>
      <w:r>
        <w:fldChar w:fldCharType="separate"/>
      </w:r>
      <w:r>
        <w:t>115</w:t>
      </w:r>
      <w:r>
        <w:fldChar w:fldCharType="end"/>
      </w:r>
    </w:p>
    <w:p>
      <w:pPr>
        <w:pStyle w:val="TOC8"/>
        <w:rPr>
          <w:rFonts w:asciiTheme="minorHAnsi" w:eastAsiaTheme="minorEastAsia" w:hAnsiTheme="minorHAnsi" w:cstheme="minorBidi"/>
          <w:szCs w:val="22"/>
        </w:rPr>
      </w:pPr>
      <w:r>
        <w:t>163.</w:t>
      </w:r>
      <w:r>
        <w:tab/>
      </w:r>
      <w:r>
        <w:rPr>
          <w:bCs/>
        </w:rPr>
        <w:t>Responsibilities of export depot operator if pig moved to export depot</w:t>
      </w:r>
      <w:r>
        <w:tab/>
      </w:r>
      <w:r>
        <w:fldChar w:fldCharType="begin"/>
      </w:r>
      <w:r>
        <w:instrText xml:space="preserve"> PAGEREF _Toc202449438 \h </w:instrText>
      </w:r>
      <w:r>
        <w:fldChar w:fldCharType="separate"/>
      </w:r>
      <w:r>
        <w:t>115</w:t>
      </w:r>
      <w:r>
        <w:fldChar w:fldCharType="end"/>
      </w:r>
    </w:p>
    <w:p>
      <w:pPr>
        <w:pStyle w:val="TOC8"/>
        <w:rPr>
          <w:rFonts w:asciiTheme="minorHAnsi" w:eastAsiaTheme="minorEastAsia" w:hAnsiTheme="minorHAnsi" w:cstheme="minorBidi"/>
          <w:szCs w:val="22"/>
        </w:rPr>
      </w:pPr>
      <w:r>
        <w:t>164.</w:t>
      </w:r>
      <w:r>
        <w:tab/>
      </w:r>
      <w:r>
        <w:rPr>
          <w:bCs/>
        </w:rPr>
        <w:t>Responsibilities of export depot operator if pig exported or otherwise moved from export depot</w:t>
      </w:r>
      <w:r>
        <w:tab/>
      </w:r>
      <w:r>
        <w:fldChar w:fldCharType="begin"/>
      </w:r>
      <w:r>
        <w:instrText xml:space="preserve"> PAGEREF _Toc202449439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6A — Identifying sheep and goats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164A.</w:t>
      </w:r>
      <w:r>
        <w:tab/>
        <w:t>Terms used</w:t>
      </w:r>
      <w:r>
        <w:tab/>
      </w:r>
      <w:r>
        <w:fldChar w:fldCharType="begin"/>
      </w:r>
      <w:r>
        <w:instrText xml:space="preserve"> PAGEREF _Toc202449442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Owners and purchasers of sheep and goats</w:t>
      </w:r>
    </w:p>
    <w:p>
      <w:pPr>
        <w:pStyle w:val="TOC6"/>
        <w:tabs>
          <w:tab w:val="right" w:leader="dot" w:pos="7077"/>
        </w:tabs>
        <w:rPr>
          <w:rFonts w:asciiTheme="minorHAnsi" w:eastAsiaTheme="minorEastAsia" w:hAnsiTheme="minorHAnsi" w:cstheme="minorBidi"/>
          <w:b w:val="0"/>
          <w:sz w:val="22"/>
          <w:szCs w:val="22"/>
        </w:rPr>
      </w:pPr>
      <w:r>
        <w:t>Subdivision 1 — Identifiers for sheep</w:t>
      </w:r>
    </w:p>
    <w:p>
      <w:pPr>
        <w:pStyle w:val="TOC8"/>
        <w:rPr>
          <w:rFonts w:asciiTheme="minorHAnsi" w:eastAsiaTheme="minorEastAsia" w:hAnsiTheme="minorHAnsi" w:cstheme="minorBidi"/>
          <w:szCs w:val="22"/>
        </w:rPr>
      </w:pPr>
      <w:r>
        <w:t>164B.</w:t>
      </w:r>
      <w:r>
        <w:tab/>
        <w:t>Owners must identify sheep</w:t>
      </w:r>
      <w:r>
        <w:tab/>
      </w:r>
      <w:r>
        <w:fldChar w:fldCharType="begin"/>
      </w:r>
      <w:r>
        <w:instrText xml:space="preserve"> PAGEREF _Toc202449445 \h </w:instrText>
      </w:r>
      <w:r>
        <w:fldChar w:fldCharType="separate"/>
      </w:r>
      <w:r>
        <w:t>119</w:t>
      </w:r>
      <w:r>
        <w:fldChar w:fldCharType="end"/>
      </w:r>
    </w:p>
    <w:p>
      <w:pPr>
        <w:pStyle w:val="TOC8"/>
        <w:rPr>
          <w:rFonts w:asciiTheme="minorHAnsi" w:eastAsiaTheme="minorEastAsia" w:hAnsiTheme="minorHAnsi" w:cstheme="minorBidi"/>
          <w:szCs w:val="22"/>
        </w:rPr>
      </w:pPr>
      <w:r>
        <w:t>164C.</w:t>
      </w:r>
      <w:r>
        <w:tab/>
        <w:t>Exemption for unweaned sheep</w:t>
      </w:r>
      <w:r>
        <w:tab/>
      </w:r>
      <w:r>
        <w:fldChar w:fldCharType="begin"/>
      </w:r>
      <w:r>
        <w:instrText xml:space="preserve"> PAGEREF _Toc202449446 \h </w:instrText>
      </w:r>
      <w:r>
        <w:fldChar w:fldCharType="separate"/>
      </w:r>
      <w:r>
        <w:t>120</w:t>
      </w:r>
      <w:r>
        <w:fldChar w:fldCharType="end"/>
      </w:r>
    </w:p>
    <w:p>
      <w:pPr>
        <w:pStyle w:val="TOC8"/>
        <w:rPr>
          <w:rFonts w:asciiTheme="minorHAnsi" w:eastAsiaTheme="minorEastAsia" w:hAnsiTheme="minorHAnsi" w:cstheme="minorBidi"/>
          <w:szCs w:val="22"/>
        </w:rPr>
      </w:pPr>
      <w:r>
        <w:t>164D.</w:t>
      </w:r>
      <w:r>
        <w:tab/>
        <w:t>Requirements for earmarks</w:t>
      </w:r>
      <w:r>
        <w:tab/>
      </w:r>
      <w:r>
        <w:fldChar w:fldCharType="begin"/>
      </w:r>
      <w:r>
        <w:instrText xml:space="preserve"> PAGEREF _Toc202449447 \h </w:instrText>
      </w:r>
      <w:r>
        <w:fldChar w:fldCharType="separate"/>
      </w:r>
      <w:r>
        <w:t>120</w:t>
      </w:r>
      <w:r>
        <w:fldChar w:fldCharType="end"/>
      </w:r>
    </w:p>
    <w:p>
      <w:pPr>
        <w:pStyle w:val="TOC8"/>
        <w:rPr>
          <w:rFonts w:asciiTheme="minorHAnsi" w:eastAsiaTheme="minorEastAsia" w:hAnsiTheme="minorHAnsi" w:cstheme="minorBidi"/>
          <w:szCs w:val="22"/>
        </w:rPr>
      </w:pPr>
      <w:r>
        <w:t>164E.</w:t>
      </w:r>
      <w:r>
        <w:tab/>
        <w:t>Application of markings: sheep</w:t>
      </w:r>
      <w:r>
        <w:tab/>
      </w:r>
      <w:r>
        <w:fldChar w:fldCharType="begin"/>
      </w:r>
      <w:r>
        <w:instrText xml:space="preserve"> PAGEREF _Toc202449448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Identifiers for goats</w:t>
      </w:r>
    </w:p>
    <w:p>
      <w:pPr>
        <w:pStyle w:val="TOC8"/>
        <w:rPr>
          <w:rFonts w:asciiTheme="minorHAnsi" w:eastAsiaTheme="minorEastAsia" w:hAnsiTheme="minorHAnsi" w:cstheme="minorBidi"/>
          <w:szCs w:val="22"/>
        </w:rPr>
      </w:pPr>
      <w:r>
        <w:t>164F.</w:t>
      </w:r>
      <w:r>
        <w:tab/>
        <w:t>Owners must identify goats</w:t>
      </w:r>
      <w:r>
        <w:tab/>
      </w:r>
      <w:r>
        <w:fldChar w:fldCharType="begin"/>
      </w:r>
      <w:r>
        <w:instrText xml:space="preserve"> PAGEREF _Toc202449450 \h </w:instrText>
      </w:r>
      <w:r>
        <w:fldChar w:fldCharType="separate"/>
      </w:r>
      <w:r>
        <w:t>122</w:t>
      </w:r>
      <w:r>
        <w:fldChar w:fldCharType="end"/>
      </w:r>
    </w:p>
    <w:p>
      <w:pPr>
        <w:pStyle w:val="TOC8"/>
        <w:rPr>
          <w:rFonts w:asciiTheme="minorHAnsi" w:eastAsiaTheme="minorEastAsia" w:hAnsiTheme="minorHAnsi" w:cstheme="minorBidi"/>
          <w:szCs w:val="22"/>
        </w:rPr>
      </w:pPr>
      <w:r>
        <w:t>164G.</w:t>
      </w:r>
      <w:r>
        <w:tab/>
        <w:t>Exemption for unweaned goats</w:t>
      </w:r>
      <w:r>
        <w:tab/>
      </w:r>
      <w:r>
        <w:fldChar w:fldCharType="begin"/>
      </w:r>
      <w:r>
        <w:instrText xml:space="preserve"> PAGEREF _Toc202449451 \h </w:instrText>
      </w:r>
      <w:r>
        <w:fldChar w:fldCharType="separate"/>
      </w:r>
      <w:r>
        <w:t>122</w:t>
      </w:r>
      <w:r>
        <w:fldChar w:fldCharType="end"/>
      </w:r>
    </w:p>
    <w:p>
      <w:pPr>
        <w:pStyle w:val="TOC8"/>
        <w:rPr>
          <w:rFonts w:asciiTheme="minorHAnsi" w:eastAsiaTheme="minorEastAsia" w:hAnsiTheme="minorHAnsi" w:cstheme="minorBidi"/>
          <w:szCs w:val="22"/>
        </w:rPr>
      </w:pPr>
      <w:r>
        <w:t>164H.</w:t>
      </w:r>
      <w:r>
        <w:tab/>
        <w:t>Requirements for earmarks</w:t>
      </w:r>
      <w:r>
        <w:tab/>
      </w:r>
      <w:r>
        <w:fldChar w:fldCharType="begin"/>
      </w:r>
      <w:r>
        <w:instrText xml:space="preserve"> PAGEREF _Toc202449452 \h </w:instrText>
      </w:r>
      <w:r>
        <w:fldChar w:fldCharType="separate"/>
      </w:r>
      <w:r>
        <w:t>122</w:t>
      </w:r>
      <w:r>
        <w:fldChar w:fldCharType="end"/>
      </w:r>
    </w:p>
    <w:p>
      <w:pPr>
        <w:pStyle w:val="TOC8"/>
        <w:rPr>
          <w:rFonts w:asciiTheme="minorHAnsi" w:eastAsiaTheme="minorEastAsia" w:hAnsiTheme="minorHAnsi" w:cstheme="minorBidi"/>
          <w:szCs w:val="22"/>
        </w:rPr>
      </w:pPr>
      <w:r>
        <w:t>164I.</w:t>
      </w:r>
      <w:r>
        <w:tab/>
        <w:t>Application of markings: goat</w:t>
      </w:r>
      <w:r>
        <w:tab/>
      </w:r>
      <w:r>
        <w:fldChar w:fldCharType="begin"/>
      </w:r>
      <w:r>
        <w:instrText xml:space="preserve"> PAGEREF _Toc202449453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Owner responsibilities when sheep and goats moved</w:t>
      </w:r>
    </w:p>
    <w:p>
      <w:pPr>
        <w:pStyle w:val="TOC8"/>
        <w:rPr>
          <w:rFonts w:asciiTheme="minorHAnsi" w:eastAsiaTheme="minorEastAsia" w:hAnsiTheme="minorHAnsi" w:cstheme="minorBidi"/>
          <w:szCs w:val="22"/>
        </w:rPr>
      </w:pPr>
      <w:r>
        <w:t>164J.</w:t>
      </w:r>
      <w:r>
        <w:tab/>
        <w:t>Responsibilities of owner before moving sheep or goat</w:t>
      </w:r>
      <w:r>
        <w:tab/>
      </w:r>
      <w:r>
        <w:fldChar w:fldCharType="begin"/>
      </w:r>
      <w:r>
        <w:instrText xml:space="preserve"> PAGEREF _Toc202449455 \h </w:instrText>
      </w:r>
      <w:r>
        <w:fldChar w:fldCharType="separate"/>
      </w:r>
      <w:r>
        <w:t>123</w:t>
      </w:r>
      <w:r>
        <w:fldChar w:fldCharType="end"/>
      </w:r>
    </w:p>
    <w:p>
      <w:pPr>
        <w:pStyle w:val="TOC8"/>
        <w:rPr>
          <w:rFonts w:asciiTheme="minorHAnsi" w:eastAsiaTheme="minorEastAsia" w:hAnsiTheme="minorHAnsi" w:cstheme="minorBidi"/>
          <w:szCs w:val="22"/>
        </w:rPr>
      </w:pPr>
      <w:r>
        <w:t>164K.</w:t>
      </w:r>
      <w:r>
        <w:tab/>
        <w:t>Exemptions from NLIS device identification when sheep or goat moved</w:t>
      </w:r>
      <w:r>
        <w:tab/>
      </w:r>
      <w:r>
        <w:fldChar w:fldCharType="begin"/>
      </w:r>
      <w:r>
        <w:instrText xml:space="preserve"> PAGEREF _Toc202449456 \h </w:instrText>
      </w:r>
      <w:r>
        <w:fldChar w:fldCharType="separate"/>
      </w:r>
      <w:r>
        <w:t>124</w:t>
      </w:r>
      <w:r>
        <w:fldChar w:fldCharType="end"/>
      </w:r>
    </w:p>
    <w:p>
      <w:pPr>
        <w:pStyle w:val="TOC8"/>
        <w:rPr>
          <w:rFonts w:asciiTheme="minorHAnsi" w:eastAsiaTheme="minorEastAsia" w:hAnsiTheme="minorHAnsi" w:cstheme="minorBidi"/>
          <w:szCs w:val="22"/>
        </w:rPr>
      </w:pPr>
      <w:r>
        <w:t>164L.</w:t>
      </w:r>
      <w:r>
        <w:tab/>
        <w:t>Responsibility of owner if receiving sheep or goat without NLIS device</w:t>
      </w:r>
      <w:r>
        <w:tab/>
      </w:r>
      <w:r>
        <w:fldChar w:fldCharType="begin"/>
      </w:r>
      <w:r>
        <w:instrText xml:space="preserve"> PAGEREF _Toc202449457 \h </w:instrText>
      </w:r>
      <w:r>
        <w:fldChar w:fldCharType="separate"/>
      </w:r>
      <w:r>
        <w:t>124</w:t>
      </w:r>
      <w:r>
        <w:fldChar w:fldCharType="end"/>
      </w:r>
    </w:p>
    <w:p>
      <w:pPr>
        <w:pStyle w:val="TOC8"/>
        <w:rPr>
          <w:rFonts w:asciiTheme="minorHAnsi" w:eastAsiaTheme="minorEastAsia" w:hAnsiTheme="minorHAnsi" w:cstheme="minorBidi"/>
          <w:szCs w:val="22"/>
        </w:rPr>
      </w:pPr>
      <w:r>
        <w:t>164M.</w:t>
      </w:r>
      <w:r>
        <w:tab/>
        <w:t>Responsibility of owner if receiving NLIS identified sheep or goat</w:t>
      </w:r>
      <w:r>
        <w:tab/>
      </w:r>
      <w:r>
        <w:fldChar w:fldCharType="begin"/>
      </w:r>
      <w:r>
        <w:instrText xml:space="preserve"> PAGEREF _Toc202449458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Owner responsibilities if sheep or goat dies</w:t>
      </w:r>
    </w:p>
    <w:p>
      <w:pPr>
        <w:pStyle w:val="TOC8"/>
        <w:rPr>
          <w:rFonts w:asciiTheme="minorHAnsi" w:eastAsiaTheme="minorEastAsia" w:hAnsiTheme="minorHAnsi" w:cstheme="minorBidi"/>
          <w:szCs w:val="22"/>
        </w:rPr>
      </w:pPr>
      <w:r>
        <w:t>164N.</w:t>
      </w:r>
      <w:r>
        <w:tab/>
        <w:t>Responsibilities of owner if sheep or goat dies on or while being moved to farming property</w:t>
      </w:r>
      <w:r>
        <w:tab/>
      </w:r>
      <w:r>
        <w:fldChar w:fldCharType="begin"/>
      </w:r>
      <w:r>
        <w:instrText xml:space="preserve"> PAGEREF _Toc202449460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Purchasers of sheep and goats</w:t>
      </w:r>
    </w:p>
    <w:p>
      <w:pPr>
        <w:pStyle w:val="TOC8"/>
        <w:rPr>
          <w:rFonts w:asciiTheme="minorHAnsi" w:eastAsiaTheme="minorEastAsia" w:hAnsiTheme="minorHAnsi" w:cstheme="minorBidi"/>
          <w:szCs w:val="22"/>
        </w:rPr>
      </w:pPr>
      <w:r>
        <w:t>164O.</w:t>
      </w:r>
      <w:r>
        <w:tab/>
        <w:t>Responsibilities of purchasers of sheep and goats</w:t>
      </w:r>
      <w:r>
        <w:tab/>
      </w:r>
      <w:r>
        <w:fldChar w:fldCharType="begin"/>
      </w:r>
      <w:r>
        <w:instrText xml:space="preserve"> PAGEREF _Toc202449462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Property operators</w:t>
      </w:r>
    </w:p>
    <w:p>
      <w:pPr>
        <w:pStyle w:val="TOC6"/>
        <w:tabs>
          <w:tab w:val="right" w:leader="dot" w:pos="7077"/>
        </w:tabs>
        <w:rPr>
          <w:rFonts w:asciiTheme="minorHAnsi" w:eastAsiaTheme="minorEastAsia" w:hAnsiTheme="minorHAnsi" w:cstheme="minorBidi"/>
          <w:b w:val="0"/>
          <w:sz w:val="22"/>
          <w:szCs w:val="22"/>
        </w:rPr>
      </w:pPr>
      <w:r>
        <w:t>Subdivision 1 — General provisions relating to property operators</w:t>
      </w:r>
    </w:p>
    <w:p>
      <w:pPr>
        <w:pStyle w:val="TOC8"/>
        <w:rPr>
          <w:rFonts w:asciiTheme="minorHAnsi" w:eastAsiaTheme="minorEastAsia" w:hAnsiTheme="minorHAnsi" w:cstheme="minorBidi"/>
          <w:szCs w:val="22"/>
        </w:rPr>
      </w:pPr>
      <w:r>
        <w:t>164P.</w:t>
      </w:r>
      <w:r>
        <w:tab/>
        <w:t>Sheep and goats not to be delivered to property without relevant PIC</w:t>
      </w:r>
      <w:r>
        <w:tab/>
      </w:r>
      <w:r>
        <w:fldChar w:fldCharType="begin"/>
      </w:r>
      <w:r>
        <w:instrText xml:space="preserve"> PAGEREF _Toc202449465 \h </w:instrText>
      </w:r>
      <w:r>
        <w:fldChar w:fldCharType="separate"/>
      </w:r>
      <w:r>
        <w:t>128</w:t>
      </w:r>
      <w:r>
        <w:fldChar w:fldCharType="end"/>
      </w:r>
    </w:p>
    <w:p>
      <w:pPr>
        <w:pStyle w:val="TOC8"/>
        <w:rPr>
          <w:rFonts w:asciiTheme="minorHAnsi" w:eastAsiaTheme="minorEastAsia" w:hAnsiTheme="minorHAnsi" w:cstheme="minorBidi"/>
          <w:szCs w:val="22"/>
        </w:rPr>
      </w:pPr>
      <w:r>
        <w:t>164Q.</w:t>
      </w:r>
      <w:r>
        <w:tab/>
        <w:t>Responsibility of property operator if sheep or goat dies on or while being moved to property</w:t>
      </w:r>
      <w:r>
        <w:tab/>
      </w:r>
      <w:r>
        <w:fldChar w:fldCharType="begin"/>
      </w:r>
      <w:r>
        <w:instrText xml:space="preserve"> PAGEREF _Toc202449466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Pounds</w:t>
      </w:r>
    </w:p>
    <w:p>
      <w:pPr>
        <w:pStyle w:val="TOC8"/>
        <w:rPr>
          <w:rFonts w:asciiTheme="minorHAnsi" w:eastAsiaTheme="minorEastAsia" w:hAnsiTheme="minorHAnsi" w:cstheme="minorBidi"/>
          <w:szCs w:val="22"/>
        </w:rPr>
      </w:pPr>
      <w:r>
        <w:t>164R.</w:t>
      </w:r>
      <w:r>
        <w:tab/>
        <w:t>Responsibilities of pound operator if no NLIS device applied to sheep or goat</w:t>
      </w:r>
      <w:r>
        <w:tab/>
      </w:r>
      <w:r>
        <w:fldChar w:fldCharType="begin"/>
      </w:r>
      <w:r>
        <w:instrText xml:space="preserve"> PAGEREF _Toc202449468 \h </w:instrText>
      </w:r>
      <w:r>
        <w:fldChar w:fldCharType="separate"/>
      </w:r>
      <w:r>
        <w:t>129</w:t>
      </w:r>
      <w:r>
        <w:fldChar w:fldCharType="end"/>
      </w:r>
    </w:p>
    <w:p>
      <w:pPr>
        <w:pStyle w:val="TOC8"/>
        <w:rPr>
          <w:rFonts w:asciiTheme="minorHAnsi" w:eastAsiaTheme="minorEastAsia" w:hAnsiTheme="minorHAnsi" w:cstheme="minorBidi"/>
          <w:szCs w:val="22"/>
        </w:rPr>
      </w:pPr>
      <w:r>
        <w:t>164S.</w:t>
      </w:r>
      <w:r>
        <w:tab/>
        <w:t>Responsibility of pound operator if sheep or goat born at or while being moved to pound</w:t>
      </w:r>
      <w:r>
        <w:tab/>
      </w:r>
      <w:r>
        <w:fldChar w:fldCharType="begin"/>
      </w:r>
      <w:r>
        <w:instrText xml:space="preserve"> PAGEREF _Toc202449469 \h </w:instrText>
      </w:r>
      <w:r>
        <w:fldChar w:fldCharType="separate"/>
      </w:r>
      <w:r>
        <w:t>130</w:t>
      </w:r>
      <w:r>
        <w:fldChar w:fldCharType="end"/>
      </w:r>
    </w:p>
    <w:p>
      <w:pPr>
        <w:pStyle w:val="TOC8"/>
        <w:rPr>
          <w:rFonts w:asciiTheme="minorHAnsi" w:eastAsiaTheme="minorEastAsia" w:hAnsiTheme="minorHAnsi" w:cstheme="minorBidi"/>
          <w:szCs w:val="22"/>
        </w:rPr>
      </w:pPr>
      <w:r>
        <w:t>164T.</w:t>
      </w:r>
      <w:r>
        <w:tab/>
        <w:t>Responsibility of pound operator if NLIS device applied to sheep or goat</w:t>
      </w:r>
      <w:r>
        <w:tab/>
      </w:r>
      <w:r>
        <w:fldChar w:fldCharType="begin"/>
      </w:r>
      <w:r>
        <w:instrText xml:space="preserve"> PAGEREF _Toc202449470 \h </w:instrText>
      </w:r>
      <w:r>
        <w:fldChar w:fldCharType="separate"/>
      </w:r>
      <w:r>
        <w:t>130</w:t>
      </w:r>
      <w:r>
        <w:fldChar w:fldCharType="end"/>
      </w:r>
    </w:p>
    <w:p>
      <w:pPr>
        <w:pStyle w:val="TOC8"/>
        <w:rPr>
          <w:rFonts w:asciiTheme="minorHAnsi" w:eastAsiaTheme="minorEastAsia" w:hAnsiTheme="minorHAnsi" w:cstheme="minorBidi"/>
          <w:szCs w:val="22"/>
        </w:rPr>
      </w:pPr>
      <w:r>
        <w:t>164U.</w:t>
      </w:r>
      <w:r>
        <w:tab/>
        <w:t>Responsibilities of pound operator if sheep or goat moved from pound</w:t>
      </w:r>
      <w:r>
        <w:tab/>
      </w:r>
      <w:r>
        <w:fldChar w:fldCharType="begin"/>
      </w:r>
      <w:r>
        <w:instrText xml:space="preserve"> PAGEREF _Toc202449471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Holding yards</w:t>
      </w:r>
    </w:p>
    <w:p>
      <w:pPr>
        <w:pStyle w:val="TOC8"/>
        <w:rPr>
          <w:rFonts w:asciiTheme="minorHAnsi" w:eastAsiaTheme="minorEastAsia" w:hAnsiTheme="minorHAnsi" w:cstheme="minorBidi"/>
          <w:szCs w:val="22"/>
        </w:rPr>
      </w:pPr>
      <w:r>
        <w:t>164V.</w:t>
      </w:r>
      <w:r>
        <w:tab/>
        <w:t>Responsibility of holding yard operator if no NLIS device applied to sheep or goat</w:t>
      </w:r>
      <w:r>
        <w:tab/>
      </w:r>
      <w:r>
        <w:fldChar w:fldCharType="begin"/>
      </w:r>
      <w:r>
        <w:instrText xml:space="preserve"> PAGEREF _Toc202449473 \h </w:instrText>
      </w:r>
      <w:r>
        <w:fldChar w:fldCharType="separate"/>
      </w:r>
      <w:r>
        <w:t>132</w:t>
      </w:r>
      <w:r>
        <w:fldChar w:fldCharType="end"/>
      </w:r>
    </w:p>
    <w:p>
      <w:pPr>
        <w:pStyle w:val="TOC8"/>
        <w:rPr>
          <w:rFonts w:asciiTheme="minorHAnsi" w:eastAsiaTheme="minorEastAsia" w:hAnsiTheme="minorHAnsi" w:cstheme="minorBidi"/>
          <w:szCs w:val="22"/>
        </w:rPr>
      </w:pPr>
      <w:r>
        <w:t>164W.</w:t>
      </w:r>
      <w:r>
        <w:tab/>
        <w:t>Directions by inspectors</w:t>
      </w:r>
      <w:r>
        <w:tab/>
      </w:r>
      <w:r>
        <w:fldChar w:fldCharType="begin"/>
      </w:r>
      <w:r>
        <w:instrText xml:space="preserve"> PAGEREF _Toc202449474 \h </w:instrText>
      </w:r>
      <w:r>
        <w:fldChar w:fldCharType="separate"/>
      </w:r>
      <w:r>
        <w:t>133</w:t>
      </w:r>
      <w:r>
        <w:fldChar w:fldCharType="end"/>
      </w:r>
    </w:p>
    <w:p>
      <w:pPr>
        <w:pStyle w:val="TOC8"/>
        <w:rPr>
          <w:rFonts w:asciiTheme="minorHAnsi" w:eastAsiaTheme="minorEastAsia" w:hAnsiTheme="minorHAnsi" w:cstheme="minorBidi"/>
          <w:szCs w:val="22"/>
        </w:rPr>
      </w:pPr>
      <w:r>
        <w:t>164X.</w:t>
      </w:r>
      <w:r>
        <w:tab/>
        <w:t>Responsibility of holding yard operator if sheep or goat born at or while being moved to holding yard</w:t>
      </w:r>
      <w:r>
        <w:tab/>
      </w:r>
      <w:r>
        <w:fldChar w:fldCharType="begin"/>
      </w:r>
      <w:r>
        <w:instrText xml:space="preserve"> PAGEREF _Toc202449475 \h </w:instrText>
      </w:r>
      <w:r>
        <w:fldChar w:fldCharType="separate"/>
      </w:r>
      <w:r>
        <w:t>133</w:t>
      </w:r>
      <w:r>
        <w:fldChar w:fldCharType="end"/>
      </w:r>
    </w:p>
    <w:p>
      <w:pPr>
        <w:pStyle w:val="TOC8"/>
        <w:rPr>
          <w:rFonts w:asciiTheme="minorHAnsi" w:eastAsiaTheme="minorEastAsia" w:hAnsiTheme="minorHAnsi" w:cstheme="minorBidi"/>
          <w:szCs w:val="22"/>
        </w:rPr>
      </w:pPr>
      <w:r>
        <w:t>164Y.</w:t>
      </w:r>
      <w:r>
        <w:tab/>
        <w:t>Responsibility of holding yard operator if consignment held for less than 48 hours and moved from holding yard in a single consignment</w:t>
      </w:r>
      <w:r>
        <w:tab/>
      </w:r>
      <w:r>
        <w:fldChar w:fldCharType="begin"/>
      </w:r>
      <w:r>
        <w:instrText xml:space="preserve"> PAGEREF _Toc202449476 \h </w:instrText>
      </w:r>
      <w:r>
        <w:fldChar w:fldCharType="separate"/>
      </w:r>
      <w:r>
        <w:t>133</w:t>
      </w:r>
      <w:r>
        <w:fldChar w:fldCharType="end"/>
      </w:r>
    </w:p>
    <w:p>
      <w:pPr>
        <w:pStyle w:val="TOC8"/>
        <w:rPr>
          <w:rFonts w:asciiTheme="minorHAnsi" w:eastAsiaTheme="minorEastAsia" w:hAnsiTheme="minorHAnsi" w:cstheme="minorBidi"/>
          <w:szCs w:val="22"/>
        </w:rPr>
      </w:pPr>
      <w:r>
        <w:t>164Z.</w:t>
      </w:r>
      <w:r>
        <w:tab/>
        <w:t>Responsibility of holding yard operator if sheep or goat held for less than 48 hours and moved from holding yard in different consignment</w:t>
      </w:r>
      <w:r>
        <w:tab/>
      </w:r>
      <w:r>
        <w:fldChar w:fldCharType="begin"/>
      </w:r>
      <w:r>
        <w:instrText xml:space="preserve"> PAGEREF _Toc202449477 \h </w:instrText>
      </w:r>
      <w:r>
        <w:fldChar w:fldCharType="separate"/>
      </w:r>
      <w:r>
        <w:t>134</w:t>
      </w:r>
      <w:r>
        <w:fldChar w:fldCharType="end"/>
      </w:r>
    </w:p>
    <w:p>
      <w:pPr>
        <w:pStyle w:val="TOC8"/>
        <w:rPr>
          <w:rFonts w:asciiTheme="minorHAnsi" w:eastAsiaTheme="minorEastAsia" w:hAnsiTheme="minorHAnsi" w:cstheme="minorBidi"/>
          <w:szCs w:val="22"/>
        </w:rPr>
      </w:pPr>
      <w:r>
        <w:t>164ZA.</w:t>
      </w:r>
      <w:r>
        <w:tab/>
        <w:t>Responsibility of holding yard operator if sheep or goat held for more than 48 hours</w:t>
      </w:r>
      <w:r>
        <w:tab/>
      </w:r>
      <w:r>
        <w:fldChar w:fldCharType="begin"/>
      </w:r>
      <w:r>
        <w:instrText xml:space="preserve"> PAGEREF _Toc202449478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Saleyards</w:t>
      </w:r>
    </w:p>
    <w:p>
      <w:pPr>
        <w:pStyle w:val="TOC8"/>
        <w:rPr>
          <w:rFonts w:asciiTheme="minorHAnsi" w:eastAsiaTheme="minorEastAsia" w:hAnsiTheme="minorHAnsi" w:cstheme="minorBidi"/>
          <w:szCs w:val="22"/>
        </w:rPr>
      </w:pPr>
      <w:r>
        <w:t>164ZB.</w:t>
      </w:r>
      <w:r>
        <w:tab/>
        <w:t>When saleyard to be treated as holding yard</w:t>
      </w:r>
      <w:r>
        <w:tab/>
      </w:r>
      <w:r>
        <w:fldChar w:fldCharType="begin"/>
      </w:r>
      <w:r>
        <w:instrText xml:space="preserve"> PAGEREF _Toc202449480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164ZC.</w:t>
      </w:r>
      <w:r>
        <w:tab/>
        <w:t>Responsibilities of saleyard operator if no NLIS device applied to sheep or goat</w:t>
      </w:r>
      <w:r>
        <w:tab/>
      </w:r>
      <w:r>
        <w:fldChar w:fldCharType="begin"/>
      </w:r>
      <w:r>
        <w:instrText xml:space="preserve"> PAGEREF _Toc202449481 \h </w:instrText>
      </w:r>
      <w:r>
        <w:fldChar w:fldCharType="separate"/>
      </w:r>
      <w:r>
        <w:t>136</w:t>
      </w:r>
      <w:r>
        <w:fldChar w:fldCharType="end"/>
      </w:r>
    </w:p>
    <w:p>
      <w:pPr>
        <w:pStyle w:val="TOC8"/>
        <w:rPr>
          <w:rFonts w:asciiTheme="minorHAnsi" w:eastAsiaTheme="minorEastAsia" w:hAnsiTheme="minorHAnsi" w:cstheme="minorBidi"/>
          <w:szCs w:val="22"/>
        </w:rPr>
      </w:pPr>
      <w:r>
        <w:t>164ZD.</w:t>
      </w:r>
      <w:r>
        <w:tab/>
        <w:t>Directions by inspectors</w:t>
      </w:r>
      <w:r>
        <w:tab/>
      </w:r>
      <w:r>
        <w:fldChar w:fldCharType="begin"/>
      </w:r>
      <w:r>
        <w:instrText xml:space="preserve"> PAGEREF _Toc202449482 \h </w:instrText>
      </w:r>
      <w:r>
        <w:fldChar w:fldCharType="separate"/>
      </w:r>
      <w:r>
        <w:t>136</w:t>
      </w:r>
      <w:r>
        <w:fldChar w:fldCharType="end"/>
      </w:r>
    </w:p>
    <w:p>
      <w:pPr>
        <w:pStyle w:val="TOC8"/>
        <w:rPr>
          <w:rFonts w:asciiTheme="minorHAnsi" w:eastAsiaTheme="minorEastAsia" w:hAnsiTheme="minorHAnsi" w:cstheme="minorBidi"/>
          <w:szCs w:val="22"/>
        </w:rPr>
      </w:pPr>
      <w:r>
        <w:t>164ZE.</w:t>
      </w:r>
      <w:r>
        <w:tab/>
        <w:t>Responsibility of saleyard operator if sheep or goat born at or while being moved to saleyard</w:t>
      </w:r>
      <w:r>
        <w:tab/>
      </w:r>
      <w:r>
        <w:fldChar w:fldCharType="begin"/>
      </w:r>
      <w:r>
        <w:instrText xml:space="preserve"> PAGEREF _Toc202449483 \h </w:instrText>
      </w:r>
      <w:r>
        <w:fldChar w:fldCharType="separate"/>
      </w:r>
      <w:r>
        <w:t>137</w:t>
      </w:r>
      <w:r>
        <w:fldChar w:fldCharType="end"/>
      </w:r>
    </w:p>
    <w:p>
      <w:pPr>
        <w:pStyle w:val="TOC8"/>
        <w:rPr>
          <w:rFonts w:asciiTheme="minorHAnsi" w:eastAsiaTheme="minorEastAsia" w:hAnsiTheme="minorHAnsi" w:cstheme="minorBidi"/>
          <w:szCs w:val="22"/>
        </w:rPr>
      </w:pPr>
      <w:r>
        <w:t>164ZF.</w:t>
      </w:r>
      <w:r>
        <w:tab/>
        <w:t>Responsibility of saleyard operator if sheep or goat moved from saleyard</w:t>
      </w:r>
      <w:r>
        <w:tab/>
      </w:r>
      <w:r>
        <w:fldChar w:fldCharType="begin"/>
      </w:r>
      <w:r>
        <w:instrText xml:space="preserve"> PAGEREF _Toc202449484 \h </w:instrText>
      </w:r>
      <w:r>
        <w:fldChar w:fldCharType="separate"/>
      </w:r>
      <w:r>
        <w:t>137</w:t>
      </w:r>
      <w:r>
        <w:fldChar w:fldCharType="end"/>
      </w:r>
    </w:p>
    <w:p>
      <w:pPr>
        <w:pStyle w:val="TOC8"/>
        <w:rPr>
          <w:rFonts w:asciiTheme="minorHAnsi" w:eastAsiaTheme="minorEastAsia" w:hAnsiTheme="minorHAnsi" w:cstheme="minorBidi"/>
          <w:szCs w:val="22"/>
        </w:rPr>
      </w:pPr>
      <w:r>
        <w:t>164ZG.</w:t>
      </w:r>
      <w:r>
        <w:tab/>
        <w:t>Information to be recorded in NLIS database by saleyard operator</w:t>
      </w:r>
      <w:r>
        <w:tab/>
      </w:r>
      <w:r>
        <w:fldChar w:fldCharType="begin"/>
      </w:r>
      <w:r>
        <w:instrText xml:space="preserve"> PAGEREF _Toc202449485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Abattoirs</w:t>
      </w:r>
    </w:p>
    <w:p>
      <w:pPr>
        <w:pStyle w:val="TOC8"/>
        <w:rPr>
          <w:rFonts w:asciiTheme="minorHAnsi" w:eastAsiaTheme="minorEastAsia" w:hAnsiTheme="minorHAnsi" w:cstheme="minorBidi"/>
          <w:szCs w:val="22"/>
        </w:rPr>
      </w:pPr>
      <w:r>
        <w:t>164ZH.</w:t>
      </w:r>
      <w:r>
        <w:tab/>
        <w:t>Responsibilities of abattoir operator if no NLIS device applied to sheep or goat</w:t>
      </w:r>
      <w:r>
        <w:tab/>
      </w:r>
      <w:r>
        <w:fldChar w:fldCharType="begin"/>
      </w:r>
      <w:r>
        <w:instrText xml:space="preserve"> PAGEREF _Toc202449487 \h </w:instrText>
      </w:r>
      <w:r>
        <w:fldChar w:fldCharType="separate"/>
      </w:r>
      <w:r>
        <w:t>139</w:t>
      </w:r>
      <w:r>
        <w:fldChar w:fldCharType="end"/>
      </w:r>
    </w:p>
    <w:p>
      <w:pPr>
        <w:pStyle w:val="TOC8"/>
        <w:rPr>
          <w:rFonts w:asciiTheme="minorHAnsi" w:eastAsiaTheme="minorEastAsia" w:hAnsiTheme="minorHAnsi" w:cstheme="minorBidi"/>
          <w:szCs w:val="22"/>
        </w:rPr>
      </w:pPr>
      <w:r>
        <w:t>164ZI.</w:t>
      </w:r>
      <w:r>
        <w:tab/>
        <w:t>Directions by inspectors</w:t>
      </w:r>
      <w:r>
        <w:tab/>
      </w:r>
      <w:r>
        <w:fldChar w:fldCharType="begin"/>
      </w:r>
      <w:r>
        <w:instrText xml:space="preserve"> PAGEREF _Toc202449488 \h </w:instrText>
      </w:r>
      <w:r>
        <w:fldChar w:fldCharType="separate"/>
      </w:r>
      <w:r>
        <w:t>140</w:t>
      </w:r>
      <w:r>
        <w:fldChar w:fldCharType="end"/>
      </w:r>
    </w:p>
    <w:p>
      <w:pPr>
        <w:pStyle w:val="TOC8"/>
        <w:rPr>
          <w:rFonts w:asciiTheme="minorHAnsi" w:eastAsiaTheme="minorEastAsia" w:hAnsiTheme="minorHAnsi" w:cstheme="minorBidi"/>
          <w:szCs w:val="22"/>
        </w:rPr>
      </w:pPr>
      <w:r>
        <w:t>164ZJ.</w:t>
      </w:r>
      <w:r>
        <w:tab/>
        <w:t>Responsibility of abattoir operator if sheep or goat born at or while being moved to abattoir</w:t>
      </w:r>
      <w:r>
        <w:tab/>
      </w:r>
      <w:r>
        <w:fldChar w:fldCharType="begin"/>
      </w:r>
      <w:r>
        <w:instrText xml:space="preserve"> PAGEREF _Toc202449489 \h </w:instrText>
      </w:r>
      <w:r>
        <w:fldChar w:fldCharType="separate"/>
      </w:r>
      <w:r>
        <w:t>140</w:t>
      </w:r>
      <w:r>
        <w:fldChar w:fldCharType="end"/>
      </w:r>
    </w:p>
    <w:p>
      <w:pPr>
        <w:pStyle w:val="TOC8"/>
        <w:rPr>
          <w:rFonts w:asciiTheme="minorHAnsi" w:eastAsiaTheme="minorEastAsia" w:hAnsiTheme="minorHAnsi" w:cstheme="minorBidi"/>
          <w:szCs w:val="22"/>
        </w:rPr>
      </w:pPr>
      <w:r>
        <w:t>164ZK.</w:t>
      </w:r>
      <w:r>
        <w:tab/>
        <w:t>Responsibility of abattoir operator if sheep or goat moved to abattoir</w:t>
      </w:r>
      <w:r>
        <w:tab/>
      </w:r>
      <w:r>
        <w:fldChar w:fldCharType="begin"/>
      </w:r>
      <w:r>
        <w:instrText xml:space="preserve"> PAGEREF _Toc202449490 \h </w:instrText>
      </w:r>
      <w:r>
        <w:fldChar w:fldCharType="separate"/>
      </w:r>
      <w:r>
        <w:t>141</w:t>
      </w:r>
      <w:r>
        <w:fldChar w:fldCharType="end"/>
      </w:r>
    </w:p>
    <w:p>
      <w:pPr>
        <w:pStyle w:val="TOC8"/>
        <w:rPr>
          <w:rFonts w:asciiTheme="minorHAnsi" w:eastAsiaTheme="minorEastAsia" w:hAnsiTheme="minorHAnsi" w:cstheme="minorBidi"/>
          <w:szCs w:val="22"/>
        </w:rPr>
      </w:pPr>
      <w:r>
        <w:t>164ZL.</w:t>
      </w:r>
      <w:r>
        <w:tab/>
        <w:t>Responsibility of abattoir operator after sheep or goat slaughtered</w:t>
      </w:r>
      <w:r>
        <w:tab/>
      </w:r>
      <w:r>
        <w:fldChar w:fldCharType="begin"/>
      </w:r>
      <w:r>
        <w:instrText xml:space="preserve"> PAGEREF _Toc202449491 \h </w:instrText>
      </w:r>
      <w:r>
        <w:fldChar w:fldCharType="separate"/>
      </w:r>
      <w:r>
        <w:t>141</w:t>
      </w:r>
      <w:r>
        <w:fldChar w:fldCharType="end"/>
      </w:r>
    </w:p>
    <w:p>
      <w:pPr>
        <w:pStyle w:val="TOC8"/>
        <w:rPr>
          <w:rFonts w:asciiTheme="minorHAnsi" w:eastAsiaTheme="minorEastAsia" w:hAnsiTheme="minorHAnsi" w:cstheme="minorBidi"/>
          <w:szCs w:val="22"/>
        </w:rPr>
      </w:pPr>
      <w:r>
        <w:t>164ZM.</w:t>
      </w:r>
      <w:r>
        <w:tab/>
        <w:t>Responsibilities of abattoir operator if live sheep or goat moved from abattoir</w:t>
      </w:r>
      <w:r>
        <w:tab/>
      </w:r>
      <w:r>
        <w:fldChar w:fldCharType="begin"/>
      </w:r>
      <w:r>
        <w:instrText xml:space="preserve"> PAGEREF _Toc202449492 \h </w:instrText>
      </w:r>
      <w:r>
        <w:fldChar w:fldCharType="separate"/>
      </w:r>
      <w:r>
        <w:t>141</w:t>
      </w:r>
      <w:r>
        <w:fldChar w:fldCharType="end"/>
      </w:r>
    </w:p>
    <w:p>
      <w:pPr>
        <w:pStyle w:val="TOC8"/>
        <w:rPr>
          <w:rFonts w:asciiTheme="minorHAnsi" w:eastAsiaTheme="minorEastAsia" w:hAnsiTheme="minorHAnsi" w:cstheme="minorBidi"/>
          <w:szCs w:val="22"/>
        </w:rPr>
      </w:pPr>
      <w:r>
        <w:t>164ZN.</w:t>
      </w:r>
      <w:r>
        <w:tab/>
        <w:t>Slaughtered sheep and goats moved to pet food processing plants</w:t>
      </w:r>
      <w:r>
        <w:tab/>
      </w:r>
      <w:r>
        <w:fldChar w:fldCharType="begin"/>
      </w:r>
      <w:r>
        <w:instrText xml:space="preserve"> PAGEREF _Toc202449493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6 — Export depots</w:t>
      </w:r>
    </w:p>
    <w:p>
      <w:pPr>
        <w:pStyle w:val="TOC8"/>
        <w:rPr>
          <w:rFonts w:asciiTheme="minorHAnsi" w:eastAsiaTheme="minorEastAsia" w:hAnsiTheme="minorHAnsi" w:cstheme="minorBidi"/>
          <w:szCs w:val="22"/>
        </w:rPr>
      </w:pPr>
      <w:r>
        <w:t>164ZO.</w:t>
      </w:r>
      <w:r>
        <w:tab/>
        <w:t>Responsibilities of export depot operator if no NLIS device applied to sheep or goat</w:t>
      </w:r>
      <w:r>
        <w:tab/>
      </w:r>
      <w:r>
        <w:fldChar w:fldCharType="begin"/>
      </w:r>
      <w:r>
        <w:instrText xml:space="preserve"> PAGEREF _Toc202449495 \h </w:instrText>
      </w:r>
      <w:r>
        <w:fldChar w:fldCharType="separate"/>
      </w:r>
      <w:r>
        <w:t>143</w:t>
      </w:r>
      <w:r>
        <w:fldChar w:fldCharType="end"/>
      </w:r>
    </w:p>
    <w:p>
      <w:pPr>
        <w:pStyle w:val="TOC8"/>
        <w:rPr>
          <w:rFonts w:asciiTheme="minorHAnsi" w:eastAsiaTheme="minorEastAsia" w:hAnsiTheme="minorHAnsi" w:cstheme="minorBidi"/>
          <w:szCs w:val="22"/>
        </w:rPr>
      </w:pPr>
      <w:r>
        <w:t>164ZP.</w:t>
      </w:r>
      <w:r>
        <w:tab/>
        <w:t>Directions by inspectors</w:t>
      </w:r>
      <w:r>
        <w:tab/>
      </w:r>
      <w:r>
        <w:fldChar w:fldCharType="begin"/>
      </w:r>
      <w:r>
        <w:instrText xml:space="preserve"> PAGEREF _Toc202449496 \h </w:instrText>
      </w:r>
      <w:r>
        <w:fldChar w:fldCharType="separate"/>
      </w:r>
      <w:r>
        <w:t>144</w:t>
      </w:r>
      <w:r>
        <w:fldChar w:fldCharType="end"/>
      </w:r>
    </w:p>
    <w:p>
      <w:pPr>
        <w:pStyle w:val="TOC8"/>
        <w:rPr>
          <w:rFonts w:asciiTheme="minorHAnsi" w:eastAsiaTheme="minorEastAsia" w:hAnsiTheme="minorHAnsi" w:cstheme="minorBidi"/>
          <w:szCs w:val="22"/>
        </w:rPr>
      </w:pPr>
      <w:r>
        <w:t>164ZQ.</w:t>
      </w:r>
      <w:r>
        <w:tab/>
        <w:t>Responsibility of export depot operator if sheep or goat born at or while being moved to export depot</w:t>
      </w:r>
      <w:r>
        <w:tab/>
      </w:r>
      <w:r>
        <w:fldChar w:fldCharType="begin"/>
      </w:r>
      <w:r>
        <w:instrText xml:space="preserve"> PAGEREF _Toc202449497 \h </w:instrText>
      </w:r>
      <w:r>
        <w:fldChar w:fldCharType="separate"/>
      </w:r>
      <w:r>
        <w:t>144</w:t>
      </w:r>
      <w:r>
        <w:fldChar w:fldCharType="end"/>
      </w:r>
    </w:p>
    <w:p>
      <w:pPr>
        <w:pStyle w:val="TOC8"/>
        <w:rPr>
          <w:rFonts w:asciiTheme="minorHAnsi" w:eastAsiaTheme="minorEastAsia" w:hAnsiTheme="minorHAnsi" w:cstheme="minorBidi"/>
          <w:szCs w:val="22"/>
        </w:rPr>
      </w:pPr>
      <w:r>
        <w:t>164ZR.</w:t>
      </w:r>
      <w:r>
        <w:tab/>
        <w:t>Responsibility of export depot operator if sheep or goat moved to export depot</w:t>
      </w:r>
      <w:r>
        <w:tab/>
      </w:r>
      <w:r>
        <w:fldChar w:fldCharType="begin"/>
      </w:r>
      <w:r>
        <w:instrText xml:space="preserve"> PAGEREF _Toc202449498 \h </w:instrText>
      </w:r>
      <w:r>
        <w:fldChar w:fldCharType="separate"/>
      </w:r>
      <w:r>
        <w:t>145</w:t>
      </w:r>
      <w:r>
        <w:fldChar w:fldCharType="end"/>
      </w:r>
    </w:p>
    <w:p>
      <w:pPr>
        <w:pStyle w:val="TOC8"/>
        <w:rPr>
          <w:rFonts w:asciiTheme="minorHAnsi" w:eastAsiaTheme="minorEastAsia" w:hAnsiTheme="minorHAnsi" w:cstheme="minorBidi"/>
          <w:szCs w:val="22"/>
        </w:rPr>
      </w:pPr>
      <w:r>
        <w:t>164ZS.</w:t>
      </w:r>
      <w:r>
        <w:tab/>
        <w:t>Responsibilities of export depot operator if sheep or goat exported or otherwise moved from export depot</w:t>
      </w:r>
      <w:r>
        <w:tab/>
      </w:r>
      <w:r>
        <w:fldChar w:fldCharType="begin"/>
      </w:r>
      <w:r>
        <w:instrText xml:space="preserve"> PAGEREF _Toc202449499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4 — Carriers of sheep and goats</w:t>
      </w:r>
    </w:p>
    <w:p>
      <w:pPr>
        <w:pStyle w:val="TOC8"/>
        <w:rPr>
          <w:rFonts w:asciiTheme="minorHAnsi" w:eastAsiaTheme="minorEastAsia" w:hAnsiTheme="minorHAnsi" w:cstheme="minorBidi"/>
          <w:szCs w:val="22"/>
        </w:rPr>
      </w:pPr>
      <w:r>
        <w:t>164ZT.</w:t>
      </w:r>
      <w:r>
        <w:tab/>
        <w:t>Responsibilities of carriers</w:t>
      </w:r>
      <w:r>
        <w:tab/>
      </w:r>
      <w:r>
        <w:fldChar w:fldCharType="begin"/>
      </w:r>
      <w:r>
        <w:instrText xml:space="preserve"> PAGEREF _Toc202449501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Other NLIS requirements for sheep and goats</w:t>
      </w:r>
    </w:p>
    <w:p>
      <w:pPr>
        <w:pStyle w:val="TOC8"/>
        <w:rPr>
          <w:rFonts w:asciiTheme="minorHAnsi" w:eastAsiaTheme="minorEastAsia" w:hAnsiTheme="minorHAnsi" w:cstheme="minorBidi"/>
          <w:szCs w:val="22"/>
        </w:rPr>
      </w:pPr>
      <w:r>
        <w:t>164ZU.</w:t>
      </w:r>
      <w:r>
        <w:tab/>
        <w:t>Imported sheep and goats</w:t>
      </w:r>
      <w:r>
        <w:tab/>
      </w:r>
      <w:r>
        <w:fldChar w:fldCharType="begin"/>
      </w:r>
      <w:r>
        <w:instrText xml:space="preserve"> PAGEREF _Toc202449503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164ZV.</w:t>
      </w:r>
      <w:r>
        <w:tab/>
        <w:t>Sheep and goats from pound</w:t>
      </w:r>
      <w:r>
        <w:tab/>
      </w:r>
      <w:r>
        <w:fldChar w:fldCharType="begin"/>
      </w:r>
      <w:r>
        <w:instrText xml:space="preserve"> PAGEREF _Toc202449504 \h </w:instrText>
      </w:r>
      <w:r>
        <w:fldChar w:fldCharType="separate"/>
      </w:r>
      <w:r>
        <w:t>147</w:t>
      </w:r>
      <w:r>
        <w:fldChar w:fldCharType="end"/>
      </w:r>
    </w:p>
    <w:p>
      <w:pPr>
        <w:pStyle w:val="TOC8"/>
        <w:rPr>
          <w:rFonts w:asciiTheme="minorHAnsi" w:eastAsiaTheme="minorEastAsia" w:hAnsiTheme="minorHAnsi" w:cstheme="minorBidi"/>
          <w:szCs w:val="22"/>
        </w:rPr>
      </w:pPr>
      <w:r>
        <w:t>164ZW.</w:t>
      </w:r>
      <w:r>
        <w:tab/>
        <w:t>Dead stray sheep and goats</w:t>
      </w:r>
      <w:r>
        <w:tab/>
      </w:r>
      <w:r>
        <w:fldChar w:fldCharType="begin"/>
      </w:r>
      <w:r>
        <w:instrText xml:space="preserve"> PAGEREF _Toc202449505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_Toc202449508 \h </w:instrText>
      </w:r>
      <w:r>
        <w:fldChar w:fldCharType="separate"/>
      </w:r>
      <w:r>
        <w:t>149</w:t>
      </w:r>
      <w:r>
        <w:fldChar w:fldCharType="end"/>
      </w:r>
    </w:p>
    <w:p>
      <w:pPr>
        <w:pStyle w:val="TOC8"/>
        <w:rPr>
          <w:rFonts w:asciiTheme="minorHAnsi" w:eastAsiaTheme="minorEastAsia" w:hAnsiTheme="minorHAnsi" w:cstheme="minorBidi"/>
          <w:szCs w:val="22"/>
        </w:rPr>
      </w:pPr>
      <w:r>
        <w:t>166.</w:t>
      </w:r>
      <w:r>
        <w:tab/>
        <w:t>Exemption for unweaned deer</w:t>
      </w:r>
      <w:r>
        <w:tab/>
      </w:r>
      <w:r>
        <w:fldChar w:fldCharType="begin"/>
      </w:r>
      <w:r>
        <w:instrText xml:space="preserve"> PAGEREF _Toc202449509 \h </w:instrText>
      </w:r>
      <w:r>
        <w:fldChar w:fldCharType="separate"/>
      </w:r>
      <w:r>
        <w:t>150</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_Toc202449510 \h </w:instrText>
      </w:r>
      <w:r>
        <w:fldChar w:fldCharType="separate"/>
      </w:r>
      <w:r>
        <w:t>150</w:t>
      </w:r>
      <w:r>
        <w:fldChar w:fldCharType="end"/>
      </w:r>
    </w:p>
    <w:p>
      <w:pPr>
        <w:pStyle w:val="TOC8"/>
        <w:rPr>
          <w:rFonts w:asciiTheme="minorHAnsi" w:eastAsiaTheme="minorEastAsia" w:hAnsiTheme="minorHAnsi" w:cstheme="minorBidi"/>
          <w:szCs w:val="22"/>
        </w:rPr>
      </w:pPr>
      <w:r>
        <w:t>168.</w:t>
      </w:r>
      <w:r>
        <w:tab/>
        <w:t>Requirements for brands</w:t>
      </w:r>
      <w:r>
        <w:tab/>
      </w:r>
      <w:r>
        <w:fldChar w:fldCharType="begin"/>
      </w:r>
      <w:r>
        <w:instrText xml:space="preserve"> PAGEREF _Toc202449511 \h </w:instrText>
      </w:r>
      <w:r>
        <w:fldChar w:fldCharType="separate"/>
      </w:r>
      <w:r>
        <w:t>151</w:t>
      </w:r>
      <w:r>
        <w:fldChar w:fldCharType="end"/>
      </w:r>
    </w:p>
    <w:p>
      <w:pPr>
        <w:pStyle w:val="TOC8"/>
        <w:rPr>
          <w:rFonts w:asciiTheme="minorHAnsi" w:eastAsiaTheme="minorEastAsia" w:hAnsiTheme="minorHAnsi" w:cstheme="minorBidi"/>
          <w:szCs w:val="22"/>
        </w:rPr>
      </w:pPr>
      <w:r>
        <w:t>169.</w:t>
      </w:r>
      <w:r>
        <w:tab/>
        <w:t>Requirements for earmarks</w:t>
      </w:r>
      <w:r>
        <w:tab/>
      </w:r>
      <w:r>
        <w:fldChar w:fldCharType="begin"/>
      </w:r>
      <w:r>
        <w:instrText xml:space="preserve"> PAGEREF _Toc202449512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Horses and donkeys</w:t>
      </w:r>
    </w:p>
    <w:p>
      <w:pPr>
        <w:pStyle w:val="TOC8"/>
        <w:rPr>
          <w:rFonts w:asciiTheme="minorHAnsi" w:eastAsiaTheme="minorEastAsia" w:hAnsiTheme="minorHAnsi" w:cstheme="minorBidi"/>
          <w:szCs w:val="22"/>
        </w:rPr>
      </w:pPr>
      <w:r>
        <w:t>170.</w:t>
      </w:r>
      <w:r>
        <w:tab/>
        <w:t>Owners to identify horses and donkeys</w:t>
      </w:r>
      <w:r>
        <w:tab/>
      </w:r>
      <w:r>
        <w:fldChar w:fldCharType="begin"/>
      </w:r>
      <w:r>
        <w:instrText xml:space="preserve"> PAGEREF _Toc202449514 \h </w:instrText>
      </w:r>
      <w:r>
        <w:fldChar w:fldCharType="separate"/>
      </w:r>
      <w:r>
        <w:t>151</w:t>
      </w:r>
      <w:r>
        <w:fldChar w:fldCharType="end"/>
      </w:r>
    </w:p>
    <w:p>
      <w:pPr>
        <w:pStyle w:val="TOC8"/>
        <w:rPr>
          <w:rFonts w:asciiTheme="minorHAnsi" w:eastAsiaTheme="minorEastAsia" w:hAnsiTheme="minorHAnsi" w:cstheme="minorBidi"/>
          <w:szCs w:val="22"/>
        </w:rPr>
      </w:pPr>
      <w:r>
        <w:t>171.</w:t>
      </w:r>
      <w:r>
        <w:tab/>
        <w:t>Exemption for unweaned horses and donkeys</w:t>
      </w:r>
      <w:r>
        <w:tab/>
      </w:r>
      <w:r>
        <w:fldChar w:fldCharType="begin"/>
      </w:r>
      <w:r>
        <w:instrText xml:space="preserve"> PAGEREF _Toc202449515 \h </w:instrText>
      </w:r>
      <w:r>
        <w:fldChar w:fldCharType="separate"/>
      </w:r>
      <w:r>
        <w:t>153</w:t>
      </w:r>
      <w:r>
        <w:fldChar w:fldCharType="end"/>
      </w:r>
    </w:p>
    <w:p>
      <w:pPr>
        <w:pStyle w:val="TOC8"/>
        <w:rPr>
          <w:rFonts w:asciiTheme="minorHAnsi" w:eastAsiaTheme="minorEastAsia" w:hAnsiTheme="minorHAnsi" w:cstheme="minorBidi"/>
          <w:szCs w:val="22"/>
        </w:rPr>
      </w:pPr>
      <w:r>
        <w:t>172.</w:t>
      </w:r>
      <w:r>
        <w:tab/>
        <w:t>Horses or donkeys identified by previous owner</w:t>
      </w:r>
      <w:r>
        <w:tab/>
      </w:r>
      <w:r>
        <w:fldChar w:fldCharType="begin"/>
      </w:r>
      <w:r>
        <w:instrText xml:space="preserve"> PAGEREF _Toc202449516 \h </w:instrText>
      </w:r>
      <w:r>
        <w:fldChar w:fldCharType="separate"/>
      </w:r>
      <w:r>
        <w:t>153</w:t>
      </w:r>
      <w:r>
        <w:fldChar w:fldCharType="end"/>
      </w:r>
    </w:p>
    <w:p>
      <w:pPr>
        <w:pStyle w:val="TOC8"/>
        <w:rPr>
          <w:rFonts w:asciiTheme="minorHAnsi" w:eastAsiaTheme="minorEastAsia" w:hAnsiTheme="minorHAnsi" w:cstheme="minorBidi"/>
          <w:szCs w:val="22"/>
        </w:rPr>
      </w:pPr>
      <w:r>
        <w:t>173.</w:t>
      </w:r>
      <w:r>
        <w:tab/>
        <w:t>Requirements for brands</w:t>
      </w:r>
      <w:r>
        <w:tab/>
      </w:r>
      <w:r>
        <w:fldChar w:fldCharType="begin"/>
      </w:r>
      <w:r>
        <w:instrText xml:space="preserve"> PAGEREF _Toc202449517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_Toc202449519 \h </w:instrText>
      </w:r>
      <w:r>
        <w:fldChar w:fldCharType="separate"/>
      </w:r>
      <w:r>
        <w:t>154</w:t>
      </w:r>
      <w:r>
        <w:fldChar w:fldCharType="end"/>
      </w:r>
    </w:p>
    <w:p>
      <w:pPr>
        <w:pStyle w:val="TOC8"/>
        <w:rPr>
          <w:rFonts w:asciiTheme="minorHAnsi" w:eastAsiaTheme="minorEastAsia" w:hAnsiTheme="minorHAnsi" w:cstheme="minorBidi"/>
          <w:szCs w:val="22"/>
        </w:rPr>
      </w:pPr>
      <w:r>
        <w:t>182.</w:t>
      </w:r>
      <w:r>
        <w:tab/>
        <w:t>Exemption for unweaned South American camelids</w:t>
      </w:r>
      <w:r>
        <w:tab/>
      </w:r>
      <w:r>
        <w:fldChar w:fldCharType="begin"/>
      </w:r>
      <w:r>
        <w:instrText xml:space="preserve"> PAGEREF _Toc202449520 \h </w:instrText>
      </w:r>
      <w:r>
        <w:fldChar w:fldCharType="separate"/>
      </w:r>
      <w:r>
        <w:t>156</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_Toc202449521 \h </w:instrText>
      </w:r>
      <w:r>
        <w:fldChar w:fldCharType="separate"/>
      </w:r>
      <w:r>
        <w:t>156</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_Toc202449522 \h </w:instrText>
      </w:r>
      <w:r>
        <w:fldChar w:fldCharType="separate"/>
      </w:r>
      <w:r>
        <w:t>156</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_Toc202449523 \h </w:instrText>
      </w:r>
      <w:r>
        <w:fldChar w:fldCharType="separate"/>
      </w:r>
      <w:r>
        <w:t>157</w:t>
      </w:r>
      <w:r>
        <w:fldChar w:fldCharType="end"/>
      </w:r>
    </w:p>
    <w:p>
      <w:pPr>
        <w:pStyle w:val="TOC8"/>
        <w:rPr>
          <w:rFonts w:asciiTheme="minorHAnsi" w:eastAsiaTheme="minorEastAsia" w:hAnsiTheme="minorHAnsi" w:cstheme="minorBidi"/>
          <w:szCs w:val="22"/>
        </w:rPr>
      </w:pPr>
      <w:r>
        <w:t>186.</w:t>
      </w:r>
      <w:r>
        <w:tab/>
        <w:t>Earmarks and other markings</w:t>
      </w:r>
      <w:r>
        <w:tab/>
      </w:r>
      <w:r>
        <w:fldChar w:fldCharType="begin"/>
      </w:r>
      <w:r>
        <w:instrText xml:space="preserve"> PAGEREF _Toc202449524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_Toc202449526 \h </w:instrText>
      </w:r>
      <w:r>
        <w:fldChar w:fldCharType="separate"/>
      </w:r>
      <w:r>
        <w:t>158</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_Toc202449527 \h </w:instrText>
      </w:r>
      <w:r>
        <w:fldChar w:fldCharType="separate"/>
      </w:r>
      <w:r>
        <w:t>158</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_Toc202449528 \h </w:instrText>
      </w:r>
      <w:r>
        <w:fldChar w:fldCharType="separate"/>
      </w:r>
      <w:r>
        <w:t>158</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_Toc202449529 \h </w:instrText>
      </w:r>
      <w:r>
        <w:fldChar w:fldCharType="separate"/>
      </w:r>
      <w:r>
        <w:t>159</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_Toc202449530 \h </w:instrText>
      </w:r>
      <w:r>
        <w:fldChar w:fldCharType="separate"/>
      </w:r>
      <w:r>
        <w:t>161</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_Toc202449531 \h </w:instrText>
      </w:r>
      <w:r>
        <w:fldChar w:fldCharType="separate"/>
      </w:r>
      <w:r>
        <w:t>162</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_Toc202449532 \h </w:instrText>
      </w:r>
      <w:r>
        <w:fldChar w:fldCharType="separate"/>
      </w:r>
      <w:r>
        <w:t>163</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_Toc202449533 \h </w:instrText>
      </w:r>
      <w:r>
        <w:fldChar w:fldCharType="separate"/>
      </w:r>
      <w:r>
        <w:t>164</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_Toc202449534 \h </w:instrText>
      </w:r>
      <w:r>
        <w:fldChar w:fldCharType="separate"/>
      </w:r>
      <w:r>
        <w:t>165</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_Toc202449535 \h </w:instrText>
      </w:r>
      <w:r>
        <w:fldChar w:fldCharType="separate"/>
      </w:r>
      <w:r>
        <w:t>165</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_Toc202449536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198.</w:t>
      </w:r>
      <w:r>
        <w:tab/>
        <w:t>Movement of animals if transport documents retained by inspector</w:t>
      </w:r>
      <w:r>
        <w:tab/>
      </w:r>
      <w:r>
        <w:fldChar w:fldCharType="begin"/>
      </w:r>
      <w:r>
        <w:instrText xml:space="preserve"> PAGEREF _Toc202449537 \h </w:instrText>
      </w:r>
      <w:r>
        <w:fldChar w:fldCharType="separate"/>
      </w:r>
      <w:r>
        <w:t>168</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_Toc202449538 \h </w:instrText>
      </w:r>
      <w:r>
        <w:fldChar w:fldCharType="separate"/>
      </w:r>
      <w:r>
        <w:t>169</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_Toc202449539 \h </w:instrText>
      </w:r>
      <w:r>
        <w:fldChar w:fldCharType="separate"/>
      </w:r>
      <w:r>
        <w:t>169</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_Toc202449540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_Toc202449542 \h </w:instrText>
      </w:r>
      <w:r>
        <w:fldChar w:fldCharType="separate"/>
      </w:r>
      <w:r>
        <w:t>172</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_Toc202449543 \h </w:instrText>
      </w:r>
      <w:r>
        <w:fldChar w:fldCharType="separate"/>
      </w:r>
      <w:r>
        <w:t>172</w:t>
      </w:r>
      <w:r>
        <w:fldChar w:fldCharType="end"/>
      </w:r>
    </w:p>
    <w:p>
      <w:pPr>
        <w:pStyle w:val="TOC8"/>
        <w:rPr>
          <w:rFonts w:asciiTheme="minorHAnsi" w:eastAsiaTheme="minorEastAsia" w:hAnsiTheme="minorHAnsi" w:cstheme="minorBidi"/>
          <w:szCs w:val="22"/>
        </w:rPr>
      </w:pPr>
      <w:r>
        <w:t>204.</w:t>
      </w:r>
      <w:r>
        <w:tab/>
        <w:t>Exclusive use of registered identifiers</w:t>
      </w:r>
      <w:r>
        <w:tab/>
      </w:r>
      <w:r>
        <w:fldChar w:fldCharType="begin"/>
      </w:r>
      <w:r>
        <w:instrText xml:space="preserve"> PAGEREF _Toc202449544 \h </w:instrText>
      </w:r>
      <w:r>
        <w:fldChar w:fldCharType="separate"/>
      </w:r>
      <w:r>
        <w:t>172</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_Toc202449545 \h </w:instrText>
      </w:r>
      <w:r>
        <w:fldChar w:fldCharType="separate"/>
      </w:r>
      <w:r>
        <w:t>173</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_Toc202449546 \h </w:instrText>
      </w:r>
      <w:r>
        <w:fldChar w:fldCharType="separate"/>
      </w:r>
      <w:r>
        <w:t>173</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_Toc202449547 \h </w:instrText>
      </w:r>
      <w:r>
        <w:fldChar w:fldCharType="separate"/>
      </w:r>
      <w:r>
        <w:t>173</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_Toc202449548 \h </w:instrText>
      </w:r>
      <w:r>
        <w:fldChar w:fldCharType="separate"/>
      </w:r>
      <w:r>
        <w:t>174</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_Toc202449549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_Toc202449551 \h </w:instrText>
      </w:r>
      <w:r>
        <w:fldChar w:fldCharType="separate"/>
      </w:r>
      <w:r>
        <w:t>176</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_Toc202449552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_Toc202449555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_Toc202449557 \h </w:instrText>
      </w:r>
      <w:r>
        <w:fldChar w:fldCharType="separate"/>
      </w:r>
      <w:r>
        <w:t>178</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_Toc202449558 \h </w:instrText>
      </w:r>
      <w:r>
        <w:fldChar w:fldCharType="separate"/>
      </w:r>
      <w:r>
        <w:t>178</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_Toc202449559 \h </w:instrText>
      </w:r>
      <w:r>
        <w:fldChar w:fldCharType="separate"/>
      </w:r>
      <w:r>
        <w:t>179</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_Toc202449560 \h </w:instrText>
      </w:r>
      <w:r>
        <w:fldChar w:fldCharType="separate"/>
      </w:r>
      <w:r>
        <w:t>180</w:t>
      </w:r>
      <w:r>
        <w:fldChar w:fldCharType="end"/>
      </w:r>
    </w:p>
    <w:p>
      <w:pPr>
        <w:pStyle w:val="TOC4"/>
        <w:keepLines/>
        <w:tabs>
          <w:tab w:val="right" w:leader="dot" w:pos="7077"/>
        </w:tabs>
        <w:rPr>
          <w:rFonts w:asciiTheme="minorHAnsi" w:eastAsiaTheme="minorEastAsia" w:hAnsiTheme="minorHAnsi" w:cstheme="minorBidi"/>
          <w:b w:val="0"/>
          <w:szCs w:val="22"/>
        </w:rPr>
      </w:pPr>
      <w:r>
        <w:lastRenderedPageBreak/>
        <w:t xml:space="preserve">Division 3 — Transitional provisions for the </w:t>
      </w:r>
      <w:r>
        <w:rPr>
          <w:i/>
        </w:rPr>
        <w:t>Biosecurity and Agriculture Management (Identification and Movement of Stock and Apiaries) Amendment Regulations 2024</w:t>
      </w:r>
    </w:p>
    <w:p>
      <w:pPr>
        <w:pStyle w:val="TOC8"/>
        <w:keepNext/>
        <w:keepLines/>
        <w:rPr>
          <w:rFonts w:asciiTheme="minorHAnsi" w:eastAsiaTheme="minorEastAsia" w:hAnsiTheme="minorHAnsi" w:cstheme="minorBidi"/>
          <w:szCs w:val="22"/>
        </w:rPr>
      </w:pPr>
      <w:r>
        <w:t>217A.</w:t>
      </w:r>
      <w:r>
        <w:tab/>
        <w:t>Terms used</w:t>
      </w:r>
      <w:r>
        <w:tab/>
      </w:r>
      <w:r>
        <w:fldChar w:fldCharType="begin"/>
      </w:r>
      <w:r>
        <w:instrText xml:space="preserve"> PAGEREF _Toc202449562 \h </w:instrText>
      </w:r>
      <w:r>
        <w:fldChar w:fldCharType="separate"/>
      </w:r>
      <w:r>
        <w:t>180</w:t>
      </w:r>
      <w:r>
        <w:fldChar w:fldCharType="end"/>
      </w:r>
    </w:p>
    <w:p>
      <w:pPr>
        <w:pStyle w:val="TOC8"/>
        <w:rPr>
          <w:rFonts w:asciiTheme="minorHAnsi" w:eastAsiaTheme="minorEastAsia" w:hAnsiTheme="minorHAnsi" w:cstheme="minorBidi"/>
          <w:szCs w:val="22"/>
        </w:rPr>
      </w:pPr>
      <w:r>
        <w:t>217B.</w:t>
      </w:r>
      <w:r>
        <w:tab/>
        <w:t>Sheep or goats born before commencement day</w:t>
      </w:r>
      <w:r>
        <w:tab/>
      </w:r>
      <w:r>
        <w:fldChar w:fldCharType="begin"/>
      </w:r>
      <w:r>
        <w:instrText xml:space="preserve"> PAGEREF _Toc202449563 \h </w:instrText>
      </w:r>
      <w:r>
        <w:fldChar w:fldCharType="separate"/>
      </w:r>
      <w:r>
        <w:t>181</w:t>
      </w:r>
      <w:r>
        <w:fldChar w:fldCharType="end"/>
      </w:r>
    </w:p>
    <w:p>
      <w:pPr>
        <w:pStyle w:val="TOC8"/>
        <w:rPr>
          <w:rFonts w:asciiTheme="minorHAnsi" w:eastAsiaTheme="minorEastAsia" w:hAnsiTheme="minorHAnsi" w:cstheme="minorBidi"/>
          <w:szCs w:val="22"/>
        </w:rPr>
      </w:pPr>
      <w:r>
        <w:t>217C.</w:t>
      </w:r>
      <w:r>
        <w:tab/>
        <w:t>Amendments related to saleyards and abattoirs</w:t>
      </w:r>
      <w:r>
        <w:tab/>
      </w:r>
      <w:r>
        <w:fldChar w:fldCharType="begin"/>
      </w:r>
      <w:r>
        <w:instrText xml:space="preserve"> PAGEREF _Toc202449564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_Toc202449567 \h </w:instrText>
      </w:r>
      <w:r>
        <w:fldChar w:fldCharType="separate"/>
      </w:r>
      <w:r>
        <w:t>183</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_Toc202449568 \h </w:instrText>
      </w:r>
      <w:r>
        <w:fldChar w:fldCharType="separate"/>
      </w:r>
      <w:r>
        <w:t>183</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_Toc202449569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_Toc202449571 \h </w:instrText>
      </w:r>
      <w:r>
        <w:fldChar w:fldCharType="separate"/>
      </w:r>
      <w:r>
        <w:t>184</w:t>
      </w:r>
      <w:r>
        <w:fldChar w:fldCharType="end"/>
      </w:r>
    </w:p>
    <w:p>
      <w:pPr>
        <w:pStyle w:val="TOC8"/>
        <w:rPr>
          <w:rFonts w:asciiTheme="minorHAnsi" w:eastAsiaTheme="minorEastAsia" w:hAnsiTheme="minorHAnsi" w:cstheme="minorBidi"/>
          <w:szCs w:val="22"/>
        </w:rPr>
      </w:pPr>
      <w:r>
        <w:t>222.</w:t>
      </w:r>
      <w:r>
        <w:tab/>
        <w:t>Owners of brands</w:t>
      </w:r>
      <w:r>
        <w:tab/>
      </w:r>
      <w:r>
        <w:fldChar w:fldCharType="begin"/>
      </w:r>
      <w:r>
        <w:instrText xml:space="preserve"> PAGEREF _Toc202449572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_Toc202449574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outlineLvl w:val="0"/>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2" w:name="_Toc202443680"/>
      <w:bookmarkStart w:id="3" w:name="_Toc202444432"/>
      <w:bookmarkStart w:id="4" w:name="_Toc20244923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2449234"/>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6" w:name="_Toc20244923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7" w:name="_Toc202449236"/>
      <w:r>
        <w:rPr>
          <w:rStyle w:val="CharSectno"/>
        </w:rPr>
        <w:t>3</w:t>
      </w:r>
      <w:r>
        <w:rPr>
          <w:snapToGrid w:val="0"/>
        </w:rPr>
        <w:t>.</w:t>
      </w:r>
      <w:r>
        <w:rPr>
          <w:snapToGrid w:val="0"/>
        </w:rPr>
        <w:tab/>
        <w:t>Terms used</w:t>
      </w:r>
      <w:bookmarkEnd w:id="7"/>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lastRenderedPageBreak/>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lastRenderedPageBreak/>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lastRenderedPageBreak/>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tab/>
      </w:r>
      <w:r>
        <w:rPr>
          <w:rStyle w:val="CharDefText"/>
        </w:rPr>
        <w:t>poultry</w:t>
      </w:r>
      <w:r>
        <w:t xml:space="preserve"> means a bird of a species (including a hybrid of a species) that is set out in the </w:t>
      </w:r>
      <w:r>
        <w:rPr>
          <w:i/>
        </w:rPr>
        <w:t>Biosecurity and Agriculture Management Regulations 2013</w:t>
      </w:r>
      <w:r>
        <w:t xml:space="preserve"> Schedule 1 item 11 column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lastRenderedPageBreak/>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lastRenderedPageBreak/>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 SL 2022/17 r. 4.]</w:t>
      </w:r>
    </w:p>
    <w:p>
      <w:pPr>
        <w:pStyle w:val="Heading5"/>
      </w:pPr>
      <w:bookmarkStart w:id="8" w:name="_Toc202449237"/>
      <w:r>
        <w:rPr>
          <w:rStyle w:val="CharSectno"/>
        </w:rPr>
        <w:t>4</w:t>
      </w:r>
      <w:r>
        <w:t>.</w:t>
      </w:r>
      <w:r>
        <w:tab/>
        <w:t>References to animals and stock</w:t>
      </w:r>
      <w:bookmarkEnd w:id="8"/>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(ea)</w:t>
      </w:r>
      <w:r>
        <w:tab/>
        <w:t>an emu;</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(ia)</w:t>
      </w:r>
      <w:r>
        <w:tab/>
        <w:t>poultry;</w:t>
      </w:r>
    </w:p>
    <w:p>
      <w:pPr>
        <w:pStyle w:val="Indenta"/>
      </w:pPr>
      <w:r>
        <w:tab/>
        <w:t>(j)</w:t>
      </w:r>
      <w:r>
        <w:tab/>
        <w:t>a sheep;</w:t>
      </w:r>
    </w:p>
    <w:p>
      <w:pPr>
        <w:pStyle w:val="Indenta"/>
      </w:pPr>
      <w:r>
        <w:tab/>
        <w:t>(k)</w:t>
      </w:r>
      <w:r>
        <w:tab/>
        <w:t>a South American camelid.</w:t>
      </w:r>
    </w:p>
    <w:p>
      <w:pPr>
        <w:pStyle w:val="Footnotesection"/>
      </w:pPr>
      <w:r>
        <w:lastRenderedPageBreak/>
        <w:tab/>
        <w:t>[Regulation 4 inserted: Gazette 27 Jun 2019 p. 2408</w:t>
      </w:r>
      <w:r>
        <w:noBreakHyphen/>
        <w:t>9; amended: SL 2022/17 r. 5.]</w:t>
      </w:r>
    </w:p>
    <w:p>
      <w:pPr>
        <w:pStyle w:val="Heading5"/>
      </w:pPr>
      <w:bookmarkStart w:id="9" w:name="_Toc202449238"/>
      <w:r>
        <w:rPr>
          <w:rStyle w:val="CharSectno"/>
        </w:rPr>
        <w:t>5</w:t>
      </w:r>
      <w:r>
        <w:t>.</w:t>
      </w:r>
      <w:r>
        <w:tab/>
        <w:t>Meaning of consignment</w:t>
      </w:r>
      <w:bookmarkEnd w:id="9"/>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0" w:name="_Toc202449239"/>
      <w:r>
        <w:rPr>
          <w:rStyle w:val="CharSectno"/>
        </w:rPr>
        <w:t>6</w:t>
      </w:r>
      <w:r>
        <w:t>.</w:t>
      </w:r>
      <w:r>
        <w:tab/>
        <w:t>Meaning of owner of stock</w:t>
      </w:r>
      <w:bookmarkEnd w:id="10"/>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11" w:name="_Toc202443687"/>
      <w:bookmarkStart w:id="12" w:name="_Toc202444439"/>
      <w:bookmarkStart w:id="13" w:name="_Toc202449240"/>
      <w:r>
        <w:rPr>
          <w:rStyle w:val="CharPartNo"/>
        </w:rPr>
        <w:lastRenderedPageBreak/>
        <w:t>Part 2</w:t>
      </w:r>
      <w:r>
        <w:t> — </w:t>
      </w:r>
      <w:r>
        <w:rPr>
          <w:rStyle w:val="CharPartText"/>
        </w:rPr>
        <w:t>Registration</w:t>
      </w:r>
      <w:bookmarkEnd w:id="11"/>
      <w:bookmarkEnd w:id="12"/>
      <w:bookmarkEnd w:id="13"/>
    </w:p>
    <w:p>
      <w:pPr>
        <w:pStyle w:val="Heading3"/>
      </w:pPr>
      <w:bookmarkStart w:id="14" w:name="_Toc202443688"/>
      <w:bookmarkStart w:id="15" w:name="_Toc202444440"/>
      <w:bookmarkStart w:id="16" w:name="_Toc202449241"/>
      <w:r>
        <w:rPr>
          <w:rStyle w:val="CharDivNo"/>
        </w:rPr>
        <w:t>Division 1</w:t>
      </w:r>
      <w:r>
        <w:t> — </w:t>
      </w:r>
      <w:r>
        <w:rPr>
          <w:rStyle w:val="CharDivText"/>
        </w:rPr>
        <w:t>Owners and purchasers of stock</w:t>
      </w:r>
      <w:bookmarkEnd w:id="14"/>
      <w:bookmarkEnd w:id="15"/>
      <w:bookmarkEnd w:id="16"/>
    </w:p>
    <w:p>
      <w:pPr>
        <w:pStyle w:val="Heading5"/>
      </w:pPr>
      <w:bookmarkStart w:id="17" w:name="_Toc202449242"/>
      <w:r>
        <w:rPr>
          <w:rStyle w:val="CharSectno"/>
        </w:rPr>
        <w:t>7</w:t>
      </w:r>
      <w:r>
        <w:t>.</w:t>
      </w:r>
      <w:r>
        <w:tab/>
        <w:t>Owners and purchasers of stock to be registered</w:t>
      </w:r>
      <w:bookmarkEnd w:id="17"/>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 person who owns or purchases emus, ostriches or poultry if —</w:t>
      </w:r>
    </w:p>
    <w:p>
      <w:pPr>
        <w:pStyle w:val="Indenta"/>
      </w:pPr>
      <w:r>
        <w:tab/>
        <w:t>(a)</w:t>
      </w:r>
      <w:r>
        <w:tab/>
        <w:t>the person owns —</w:t>
      </w:r>
    </w:p>
    <w:p>
      <w:pPr>
        <w:pStyle w:val="Indenti"/>
      </w:pPr>
      <w:r>
        <w:tab/>
        <w:t>(i)</w:t>
      </w:r>
      <w:r>
        <w:tab/>
        <w:t>fewer than 50 poultry; and</w:t>
      </w:r>
    </w:p>
    <w:p>
      <w:pPr>
        <w:pStyle w:val="Indenti"/>
      </w:pPr>
      <w:r>
        <w:tab/>
        <w:t>(ii)</w:t>
      </w:r>
      <w:r>
        <w:tab/>
        <w:t xml:space="preserve">fewer than 10 emus and ostriches (in any combination); </w:t>
      </w:r>
    </w:p>
    <w:p>
      <w:pPr>
        <w:pStyle w:val="Indenta"/>
      </w:pPr>
      <w:r>
        <w:tab/>
      </w:r>
      <w:r>
        <w:tab/>
        <w:t>and</w:t>
      </w:r>
    </w:p>
    <w:p>
      <w:pPr>
        <w:pStyle w:val="Indenta"/>
      </w:pPr>
      <w:r>
        <w:tab/>
        <w:t>(b)</w:t>
      </w:r>
      <w:r>
        <w:tab/>
        <w:t>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 SL 2022/17 r. 6.]</w:t>
      </w:r>
    </w:p>
    <w:p>
      <w:pPr>
        <w:pStyle w:val="Heading5"/>
      </w:pPr>
      <w:bookmarkStart w:id="18" w:name="_Toc202449243"/>
      <w:r>
        <w:rPr>
          <w:rStyle w:val="CharSectno"/>
        </w:rPr>
        <w:t>8</w:t>
      </w:r>
      <w:r>
        <w:t>.</w:t>
      </w:r>
      <w:r>
        <w:tab/>
        <w:t>Director General may allot identifiers, PICs and BICs as required</w:t>
      </w:r>
      <w:bookmarkEnd w:id="18"/>
    </w:p>
    <w:p>
      <w:pPr>
        <w:pStyle w:val="Subsection"/>
        <w:keepNext/>
      </w:pPr>
      <w:r>
        <w:tab/>
        <w:t>(1)</w:t>
      </w:r>
      <w:r>
        <w:tab/>
        <w:t xml:space="preserve">The Director General may — </w:t>
      </w:r>
    </w:p>
    <w:p>
      <w:pPr>
        <w:pStyle w:val="Indenta"/>
      </w:pPr>
      <w:r>
        <w:tab/>
        <w:t>(a)</w:t>
      </w:r>
      <w:r>
        <w:tab/>
        <w:t>as and when the Director General thinks appropriate; or</w:t>
      </w:r>
    </w:p>
    <w:p>
      <w:pPr>
        <w:pStyle w:val="Indenta"/>
        <w:keepNext/>
      </w:pPr>
      <w:r>
        <w:lastRenderedPageBreak/>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19" w:name="_Toc202449244"/>
      <w:r>
        <w:rPr>
          <w:rStyle w:val="CharSectno"/>
        </w:rPr>
        <w:t>9</w:t>
      </w:r>
      <w:r>
        <w:t>.</w:t>
      </w:r>
      <w:r>
        <w:tab/>
        <w:t>Review</w:t>
      </w:r>
      <w:bookmarkEnd w:id="19"/>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20" w:name="_Toc202443692"/>
      <w:bookmarkStart w:id="21" w:name="_Toc202444444"/>
      <w:bookmarkStart w:id="22" w:name="_Toc202449245"/>
      <w:r>
        <w:rPr>
          <w:rStyle w:val="CharDivNo"/>
        </w:rPr>
        <w:t>Division 2</w:t>
      </w:r>
      <w:r>
        <w:t> — </w:t>
      </w:r>
      <w:r>
        <w:rPr>
          <w:rStyle w:val="CharDivText"/>
        </w:rPr>
        <w:t>Non</w:t>
      </w:r>
      <w:r>
        <w:rPr>
          <w:rStyle w:val="CharDivText"/>
        </w:rPr>
        <w:noBreakHyphen/>
        <w:t>farming property operators</w:t>
      </w:r>
      <w:bookmarkEnd w:id="20"/>
      <w:bookmarkEnd w:id="21"/>
      <w:bookmarkEnd w:id="22"/>
    </w:p>
    <w:p>
      <w:pPr>
        <w:pStyle w:val="Heading5"/>
      </w:pPr>
      <w:bookmarkStart w:id="23" w:name="_Toc202449246"/>
      <w:r>
        <w:rPr>
          <w:rStyle w:val="CharSectno"/>
        </w:rPr>
        <w:t>10</w:t>
      </w:r>
      <w:r>
        <w:t>.</w:t>
      </w:r>
      <w:r>
        <w:tab/>
        <w:t>Non</w:t>
      </w:r>
      <w:r>
        <w:noBreakHyphen/>
        <w:t>farming property operators to be registered</w:t>
      </w:r>
      <w:bookmarkEnd w:id="23"/>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lastRenderedPageBreak/>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24" w:name="_Toc202449247"/>
      <w:r>
        <w:rPr>
          <w:rStyle w:val="CharSectno"/>
        </w:rPr>
        <w:t>11</w:t>
      </w:r>
      <w:r>
        <w:t>.</w:t>
      </w:r>
      <w:r>
        <w:tab/>
        <w:t>Director General may allot PICs as required</w:t>
      </w:r>
      <w:bookmarkEnd w:id="24"/>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25" w:name="_Toc202449248"/>
      <w:r>
        <w:rPr>
          <w:rStyle w:val="CharSectno"/>
        </w:rPr>
        <w:t>12</w:t>
      </w:r>
      <w:r>
        <w:t>.</w:t>
      </w:r>
      <w:r>
        <w:tab/>
        <w:t>Review</w:t>
      </w:r>
      <w:bookmarkEnd w:id="25"/>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keepNext/>
      </w:pPr>
      <w:r>
        <w:lastRenderedPageBreak/>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26" w:name="_Toc202443696"/>
      <w:bookmarkStart w:id="27" w:name="_Toc202444448"/>
      <w:bookmarkStart w:id="28" w:name="_Toc202449249"/>
      <w:r>
        <w:rPr>
          <w:rStyle w:val="CharDivNo"/>
        </w:rPr>
        <w:t>Division 3</w:t>
      </w:r>
      <w:r>
        <w:t> — </w:t>
      </w:r>
      <w:r>
        <w:rPr>
          <w:rStyle w:val="CharDivText"/>
        </w:rPr>
        <w:t>Beekeepers</w:t>
      </w:r>
      <w:bookmarkEnd w:id="26"/>
      <w:bookmarkEnd w:id="27"/>
      <w:bookmarkEnd w:id="28"/>
    </w:p>
    <w:p>
      <w:pPr>
        <w:pStyle w:val="Heading5"/>
      </w:pPr>
      <w:bookmarkStart w:id="29" w:name="_Toc202449250"/>
      <w:r>
        <w:rPr>
          <w:rStyle w:val="CharSectno"/>
        </w:rPr>
        <w:t>13</w:t>
      </w:r>
      <w:r>
        <w:t>.</w:t>
      </w:r>
      <w:r>
        <w:tab/>
        <w:t>Beekeepers to be registered</w:t>
      </w:r>
      <w:bookmarkEnd w:id="29"/>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Ednotesubsection"/>
      </w:pPr>
      <w:r>
        <w:tab/>
        <w:t>[(2)-(5)</w:t>
      </w:r>
      <w:r>
        <w:tab/>
        <w:t>deleted]</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 SL 2025/133 r. 4.]</w:t>
      </w:r>
    </w:p>
    <w:p>
      <w:pPr>
        <w:pStyle w:val="Heading5"/>
      </w:pPr>
      <w:bookmarkStart w:id="30" w:name="_Toc202449251"/>
      <w:r>
        <w:rPr>
          <w:rStyle w:val="CharSectno"/>
        </w:rPr>
        <w:t>14</w:t>
      </w:r>
      <w:r>
        <w:t>.</w:t>
      </w:r>
      <w:r>
        <w:tab/>
        <w:t>Director General may allot identifiers as required</w:t>
      </w:r>
      <w:bookmarkEnd w:id="30"/>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31" w:name="_Toc202449252"/>
      <w:r>
        <w:rPr>
          <w:rStyle w:val="CharSectno"/>
        </w:rPr>
        <w:t>15</w:t>
      </w:r>
      <w:r>
        <w:t>.</w:t>
      </w:r>
      <w:r>
        <w:tab/>
        <w:t>Review</w:t>
      </w:r>
      <w:bookmarkEnd w:id="31"/>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32" w:name="_Toc202443700"/>
      <w:bookmarkStart w:id="33" w:name="_Toc202444452"/>
      <w:bookmarkStart w:id="34" w:name="_Toc202449253"/>
      <w:r>
        <w:rPr>
          <w:rStyle w:val="CharDivNo"/>
        </w:rPr>
        <w:lastRenderedPageBreak/>
        <w:t>Division 4</w:t>
      </w:r>
      <w:r>
        <w:t> — </w:t>
      </w:r>
      <w:r>
        <w:rPr>
          <w:rStyle w:val="CharDivText"/>
        </w:rPr>
        <w:t>The register</w:t>
      </w:r>
      <w:bookmarkEnd w:id="32"/>
      <w:bookmarkEnd w:id="33"/>
      <w:bookmarkEnd w:id="34"/>
    </w:p>
    <w:p>
      <w:pPr>
        <w:pStyle w:val="Heading5"/>
      </w:pPr>
      <w:bookmarkStart w:id="35" w:name="_Toc202449254"/>
      <w:r>
        <w:rPr>
          <w:rStyle w:val="CharSectno"/>
        </w:rPr>
        <w:t>16</w:t>
      </w:r>
      <w:r>
        <w:t>.</w:t>
      </w:r>
      <w:r>
        <w:tab/>
        <w:t>Register to be kept</w:t>
      </w:r>
      <w:bookmarkEnd w:id="35"/>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lastRenderedPageBreak/>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lastRenderedPageBreak/>
        <w:tab/>
        <w:t>(5)</w:t>
      </w:r>
      <w:r>
        <w:tab/>
        <w:t>The Director General may amend, add to or correct the register in any manner that the Director General considers necessary to make the register an accurate record of the details it records.</w:t>
      </w:r>
    </w:p>
    <w:p>
      <w:pPr>
        <w:pStyle w:val="Heading5"/>
      </w:pPr>
      <w:bookmarkStart w:id="36" w:name="_Toc202449255"/>
      <w:r>
        <w:rPr>
          <w:rStyle w:val="CharSectno"/>
        </w:rPr>
        <w:t>17</w:t>
      </w:r>
      <w:r>
        <w:t>.</w:t>
      </w:r>
      <w:r>
        <w:tab/>
        <w:t>Access to register</w:t>
      </w:r>
      <w:bookmarkEnd w:id="36"/>
    </w:p>
    <w:p>
      <w:pPr>
        <w:pStyle w:val="Subsection"/>
        <w:keepNext/>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37" w:name="_Toc202449256"/>
      <w:r>
        <w:rPr>
          <w:rStyle w:val="CharSectno"/>
        </w:rPr>
        <w:t>18</w:t>
      </w:r>
      <w:r>
        <w:t>.</w:t>
      </w:r>
      <w:r>
        <w:tab/>
        <w:t>Director General to be notified if owner moves stock to a farming property without relevant PIC</w:t>
      </w:r>
      <w:bookmarkEnd w:id="37"/>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38" w:name="_Toc202449257"/>
      <w:r>
        <w:rPr>
          <w:rStyle w:val="CharSectno"/>
        </w:rPr>
        <w:lastRenderedPageBreak/>
        <w:t>19</w:t>
      </w:r>
      <w:r>
        <w:t>.</w:t>
      </w:r>
      <w:r>
        <w:tab/>
        <w:t>Director General to be notified of change of address</w:t>
      </w:r>
      <w:bookmarkEnd w:id="38"/>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for this subregulation: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39" w:name="_Toc202443705"/>
      <w:bookmarkStart w:id="40" w:name="_Toc202444457"/>
      <w:bookmarkStart w:id="41" w:name="_Toc202449258"/>
      <w:r>
        <w:rPr>
          <w:rStyle w:val="CharDivNo"/>
        </w:rPr>
        <w:t>Division 5</w:t>
      </w:r>
      <w:r>
        <w:t> — </w:t>
      </w:r>
      <w:r>
        <w:rPr>
          <w:rStyle w:val="CharDivText"/>
        </w:rPr>
        <w:t>Certificates of registration</w:t>
      </w:r>
      <w:bookmarkEnd w:id="39"/>
      <w:bookmarkEnd w:id="40"/>
      <w:bookmarkEnd w:id="41"/>
    </w:p>
    <w:p>
      <w:pPr>
        <w:pStyle w:val="Heading5"/>
      </w:pPr>
      <w:bookmarkStart w:id="42" w:name="_Toc202449259"/>
      <w:r>
        <w:rPr>
          <w:rStyle w:val="CharSectno"/>
        </w:rPr>
        <w:t>20</w:t>
      </w:r>
      <w:r>
        <w:t>.</w:t>
      </w:r>
      <w:r>
        <w:tab/>
        <w:t>Certificates of registration</w:t>
      </w:r>
      <w:bookmarkEnd w:id="42"/>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lastRenderedPageBreak/>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43" w:name="_Toc202443707"/>
      <w:bookmarkStart w:id="44" w:name="_Toc202444459"/>
      <w:bookmarkStart w:id="45" w:name="_Toc202449260"/>
      <w:r>
        <w:rPr>
          <w:rStyle w:val="CharDivNo"/>
        </w:rPr>
        <w:t>Division 6</w:t>
      </w:r>
      <w:r>
        <w:t> — </w:t>
      </w:r>
      <w:r>
        <w:rPr>
          <w:rStyle w:val="CharDivText"/>
        </w:rPr>
        <w:t>Term of registration, renewals and cancellations</w:t>
      </w:r>
      <w:bookmarkEnd w:id="43"/>
      <w:bookmarkEnd w:id="44"/>
      <w:bookmarkEnd w:id="45"/>
    </w:p>
    <w:p>
      <w:pPr>
        <w:pStyle w:val="Heading5"/>
      </w:pPr>
      <w:bookmarkStart w:id="46" w:name="_Toc202449261"/>
      <w:r>
        <w:rPr>
          <w:rStyle w:val="CharSectno"/>
        </w:rPr>
        <w:t>21</w:t>
      </w:r>
      <w:r>
        <w:t>.</w:t>
      </w:r>
      <w:r>
        <w:tab/>
        <w:t>Term used: registration</w:t>
      </w:r>
      <w:bookmarkEnd w:id="46"/>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47" w:name="_Toc202449262"/>
      <w:r>
        <w:rPr>
          <w:rStyle w:val="CharSectno"/>
        </w:rPr>
        <w:t>22</w:t>
      </w:r>
      <w:r>
        <w:t>.</w:t>
      </w:r>
      <w:r>
        <w:tab/>
        <w:t>Term of registration</w:t>
      </w:r>
      <w:bookmarkEnd w:id="47"/>
    </w:p>
    <w:p>
      <w:pPr>
        <w:pStyle w:val="Subsection"/>
      </w:pPr>
      <w:r>
        <w:tab/>
      </w:r>
      <w:r>
        <w:tab/>
        <w:t>Unless cancelled under regulation 24, a registration expires 3 years after the day on which it is granted or renewed under these regulations.</w:t>
      </w:r>
    </w:p>
    <w:p>
      <w:pPr>
        <w:pStyle w:val="Heading5"/>
      </w:pPr>
      <w:bookmarkStart w:id="48" w:name="_Toc202449263"/>
      <w:r>
        <w:rPr>
          <w:rStyle w:val="CharSectno"/>
        </w:rPr>
        <w:t>23</w:t>
      </w:r>
      <w:r>
        <w:t>.</w:t>
      </w:r>
      <w:r>
        <w:tab/>
        <w:t>Renewal of registration</w:t>
      </w:r>
      <w:bookmarkEnd w:id="48"/>
    </w:p>
    <w:p>
      <w:pPr>
        <w:pStyle w:val="Subsection"/>
      </w:pPr>
      <w:r>
        <w:tab/>
        <w:t>(1)</w:t>
      </w:r>
      <w:r>
        <w:tab/>
        <w:t>At least 21 days before a person’s registration expires, the person may apply to the Director General to renew the registration.</w:t>
      </w:r>
    </w:p>
    <w:p>
      <w:pPr>
        <w:pStyle w:val="Subsection"/>
      </w:pPr>
      <w:r>
        <w:lastRenderedPageBreak/>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49" w:name="_Toc202449264"/>
      <w:r>
        <w:rPr>
          <w:rStyle w:val="CharSectno"/>
        </w:rPr>
        <w:t>24</w:t>
      </w:r>
      <w:r>
        <w:t>.</w:t>
      </w:r>
      <w:r>
        <w:tab/>
        <w:t>Cancellation of registration</w:t>
      </w:r>
      <w:bookmarkEnd w:id="49"/>
    </w:p>
    <w:p>
      <w:pPr>
        <w:pStyle w:val="Subsection"/>
        <w:keepNext/>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50" w:name="_Toc202449265"/>
      <w:r>
        <w:rPr>
          <w:rStyle w:val="CharSectno"/>
        </w:rPr>
        <w:lastRenderedPageBreak/>
        <w:t>25</w:t>
      </w:r>
      <w:r>
        <w:t>.</w:t>
      </w:r>
      <w:r>
        <w:tab/>
        <w:t>Effect of expiry or cancellation of registration</w:t>
      </w:r>
      <w:bookmarkEnd w:id="50"/>
    </w:p>
    <w:p>
      <w:pPr>
        <w:pStyle w:val="Subsection"/>
        <w:keepNext/>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keepNext/>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51" w:name="_Toc202449266"/>
      <w:r>
        <w:rPr>
          <w:rStyle w:val="CharSectno"/>
        </w:rPr>
        <w:t>26</w:t>
      </w:r>
      <w:r>
        <w:t>.</w:t>
      </w:r>
      <w:r>
        <w:tab/>
        <w:t>Review</w:t>
      </w:r>
      <w:bookmarkEnd w:id="51"/>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52" w:name="_Toc202443714"/>
      <w:bookmarkStart w:id="53" w:name="_Toc202444466"/>
      <w:bookmarkStart w:id="54" w:name="_Toc202449267"/>
      <w:r>
        <w:rPr>
          <w:rStyle w:val="CharDivNo"/>
        </w:rPr>
        <w:t>Division 7</w:t>
      </w:r>
      <w:r>
        <w:t> — </w:t>
      </w:r>
      <w:r>
        <w:rPr>
          <w:rStyle w:val="CharDivText"/>
        </w:rPr>
        <w:t>Transfer of registered identifiers and PICs</w:t>
      </w:r>
      <w:bookmarkEnd w:id="52"/>
      <w:bookmarkEnd w:id="53"/>
      <w:bookmarkEnd w:id="54"/>
    </w:p>
    <w:p>
      <w:pPr>
        <w:pStyle w:val="Heading5"/>
      </w:pPr>
      <w:bookmarkStart w:id="55" w:name="_Toc202449268"/>
      <w:r>
        <w:rPr>
          <w:rStyle w:val="CharSectno"/>
        </w:rPr>
        <w:t>27</w:t>
      </w:r>
      <w:r>
        <w:t>.</w:t>
      </w:r>
      <w:r>
        <w:tab/>
        <w:t>Transfer of registered identifiers and PICs</w:t>
      </w:r>
      <w:bookmarkEnd w:id="55"/>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lastRenderedPageBreak/>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56" w:name="_Toc202449269"/>
      <w:r>
        <w:rPr>
          <w:rStyle w:val="CharSectno"/>
        </w:rPr>
        <w:lastRenderedPageBreak/>
        <w:t>28</w:t>
      </w:r>
      <w:r>
        <w:t>.</w:t>
      </w:r>
      <w:r>
        <w:tab/>
        <w:t>Mortgagee’s right to use and transfer registered identifiers</w:t>
      </w:r>
      <w:bookmarkEnd w:id="56"/>
    </w:p>
    <w:p>
      <w:pPr>
        <w:pStyle w:val="Subsection"/>
        <w:keepNext/>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 xml:space="preserve">no transfer of ownership of a registered identifier relating to the stock or apiary over which the mortgage </w:t>
      </w:r>
      <w:r>
        <w:lastRenderedPageBreak/>
        <w:t>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keepNext/>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57" w:name="_Toc202443717"/>
      <w:bookmarkStart w:id="58" w:name="_Toc202444469"/>
      <w:bookmarkStart w:id="59" w:name="_Toc202449270"/>
      <w:r>
        <w:rPr>
          <w:rStyle w:val="CharPartNo"/>
        </w:rPr>
        <w:lastRenderedPageBreak/>
        <w:t>Part 3</w:t>
      </w:r>
      <w:r>
        <w:t> — </w:t>
      </w:r>
      <w:r>
        <w:rPr>
          <w:rStyle w:val="CharPartText"/>
        </w:rPr>
        <w:t>Identifiers for stock</w:t>
      </w:r>
      <w:bookmarkEnd w:id="57"/>
      <w:bookmarkEnd w:id="58"/>
      <w:bookmarkEnd w:id="59"/>
    </w:p>
    <w:p>
      <w:pPr>
        <w:pStyle w:val="Heading3"/>
      </w:pPr>
      <w:bookmarkStart w:id="60" w:name="_Toc202443718"/>
      <w:bookmarkStart w:id="61" w:name="_Toc202444470"/>
      <w:bookmarkStart w:id="62" w:name="_Toc202449271"/>
      <w:r>
        <w:rPr>
          <w:rStyle w:val="CharDivNo"/>
        </w:rPr>
        <w:t>Division 1</w:t>
      </w:r>
      <w:r>
        <w:t> — </w:t>
      </w:r>
      <w:r>
        <w:rPr>
          <w:rStyle w:val="CharDivText"/>
        </w:rPr>
        <w:t>Registered identifiers for stock</w:t>
      </w:r>
      <w:bookmarkEnd w:id="60"/>
      <w:bookmarkEnd w:id="61"/>
      <w:bookmarkEnd w:id="62"/>
    </w:p>
    <w:p>
      <w:pPr>
        <w:pStyle w:val="Heading5"/>
      </w:pPr>
      <w:bookmarkStart w:id="63" w:name="_Toc202449272"/>
      <w:r>
        <w:rPr>
          <w:rStyle w:val="CharSectno"/>
        </w:rPr>
        <w:t>29</w:t>
      </w:r>
      <w:r>
        <w:t>.</w:t>
      </w:r>
      <w:r>
        <w:tab/>
        <w:t>Term used: certificate of registration</w:t>
      </w:r>
      <w:bookmarkEnd w:id="63"/>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64" w:name="_Toc202449273"/>
      <w:r>
        <w:rPr>
          <w:rStyle w:val="CharSectno"/>
        </w:rPr>
        <w:t>30</w:t>
      </w:r>
      <w:r>
        <w:t>.</w:t>
      </w:r>
      <w:r>
        <w:tab/>
        <w:t>Registered identifiers for application as brand</w:t>
      </w:r>
      <w:bookmarkEnd w:id="64"/>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65" w:name="_Toc202449274"/>
      <w:r>
        <w:rPr>
          <w:rStyle w:val="CharSectno"/>
        </w:rPr>
        <w:t>31</w:t>
      </w:r>
      <w:r>
        <w:t>.</w:t>
      </w:r>
      <w:r>
        <w:tab/>
        <w:t>Registered identifiers for application as earmark</w:t>
      </w:r>
      <w:bookmarkEnd w:id="65"/>
    </w:p>
    <w:p>
      <w:pPr>
        <w:pStyle w:val="Subsection"/>
      </w:pPr>
      <w:r>
        <w:tab/>
      </w:r>
      <w:r>
        <w:tab/>
        <w:t>A registered identifier for application as an earmark to stock must consist of 2 symbols as allotted.</w:t>
      </w:r>
    </w:p>
    <w:p>
      <w:pPr>
        <w:pStyle w:val="Heading5"/>
      </w:pPr>
      <w:bookmarkStart w:id="66" w:name="_Toc202449275"/>
      <w:r>
        <w:rPr>
          <w:rStyle w:val="CharSectno"/>
        </w:rPr>
        <w:t>32</w:t>
      </w:r>
      <w:r>
        <w:t>.</w:t>
      </w:r>
      <w:r>
        <w:tab/>
        <w:t>Limit of one brand and one earmark for each relevant PIC</w:t>
      </w:r>
      <w:bookmarkEnd w:id="66"/>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 xml:space="preserve">If 2 or more registered identifiers for application as a brand are allotted to an owner of stock for stock kept by the owner on one or more farming properties with the same relevant PIC, the Director General must, after giving written notice to the owner </w:t>
      </w:r>
      <w:r>
        <w:lastRenderedPageBreak/>
        <w:t>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67" w:name="_Toc202449276"/>
      <w:r>
        <w:rPr>
          <w:rStyle w:val="CharSectno"/>
        </w:rPr>
        <w:t>33</w:t>
      </w:r>
      <w:r>
        <w:t>.</w:t>
      </w:r>
      <w:r>
        <w:tab/>
        <w:t>Confusing or misleading identifiers</w:t>
      </w:r>
      <w:bookmarkEnd w:id="67"/>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68" w:name="_Toc202449277"/>
      <w:r>
        <w:rPr>
          <w:rStyle w:val="CharSectno"/>
        </w:rPr>
        <w:t>34</w:t>
      </w:r>
      <w:r>
        <w:t>.</w:t>
      </w:r>
      <w:r>
        <w:tab/>
        <w:t>Cross</w:t>
      </w:r>
      <w:r>
        <w:noBreakHyphen/>
        <w:t>border farming properties</w:t>
      </w:r>
      <w:bookmarkEnd w:id="68"/>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69" w:name="_Toc202449278"/>
      <w:r>
        <w:rPr>
          <w:rStyle w:val="CharSectno"/>
        </w:rPr>
        <w:lastRenderedPageBreak/>
        <w:t>35</w:t>
      </w:r>
      <w:r>
        <w:t>.</w:t>
      </w:r>
      <w:r>
        <w:tab/>
        <w:t>Special identifiers</w:t>
      </w:r>
      <w:bookmarkEnd w:id="69"/>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70" w:name="_Toc202449279"/>
      <w:r>
        <w:rPr>
          <w:rStyle w:val="CharSectno"/>
        </w:rPr>
        <w:t>36</w:t>
      </w:r>
      <w:r>
        <w:t>.</w:t>
      </w:r>
      <w:r>
        <w:tab/>
        <w:t>Exclusive use of registered identifiers</w:t>
      </w:r>
      <w:bookmarkEnd w:id="70"/>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lastRenderedPageBreak/>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71" w:name="_Toc202449280"/>
      <w:r>
        <w:rPr>
          <w:rStyle w:val="CharSectno"/>
        </w:rPr>
        <w:t>37</w:t>
      </w:r>
      <w:r>
        <w:t>.</w:t>
      </w:r>
      <w:r>
        <w:tab/>
        <w:t>Registered identifiers to be used to identify stock on property with corresponding PIC</w:t>
      </w:r>
      <w:bookmarkEnd w:id="71"/>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72" w:name="_Toc202449281"/>
      <w:r>
        <w:rPr>
          <w:rStyle w:val="CharSectno"/>
        </w:rPr>
        <w:t>38</w:t>
      </w:r>
      <w:r>
        <w:t>.</w:t>
      </w:r>
      <w:r>
        <w:tab/>
      </w:r>
      <w:r>
        <w:rPr>
          <w:snapToGrid w:val="0"/>
        </w:rPr>
        <w:t>Permit to use registered identifier to identify stock on property without corresponding PIC</w:t>
      </w:r>
      <w:bookmarkEnd w:id="72"/>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lastRenderedPageBreak/>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73" w:name="_Toc202449282"/>
      <w:r>
        <w:rPr>
          <w:rStyle w:val="CharSectno"/>
        </w:rPr>
        <w:lastRenderedPageBreak/>
        <w:t>39</w:t>
      </w:r>
      <w:r>
        <w:t>.</w:t>
      </w:r>
      <w:r>
        <w:tab/>
        <w:t>When unused identifiers and identification equipment to be given to inspector</w:t>
      </w:r>
      <w:bookmarkEnd w:id="73"/>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74" w:name="_Toc202449283"/>
      <w:r>
        <w:rPr>
          <w:rStyle w:val="CharSectno"/>
        </w:rPr>
        <w:t>40</w:t>
      </w:r>
      <w:r>
        <w:t>.</w:t>
      </w:r>
      <w:r>
        <w:tab/>
        <w:t>Possession of identifiers and identification equipment</w:t>
      </w:r>
      <w:bookmarkEnd w:id="74"/>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lastRenderedPageBreak/>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75" w:name="_Toc202449284"/>
      <w:r>
        <w:rPr>
          <w:rStyle w:val="CharSectno"/>
        </w:rPr>
        <w:t>41</w:t>
      </w:r>
      <w:r>
        <w:t>.</w:t>
      </w:r>
      <w:r>
        <w:tab/>
        <w:t>False representations relating to registered identifiers</w:t>
      </w:r>
      <w:bookmarkEnd w:id="75"/>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76" w:name="_Toc202449285"/>
      <w:r>
        <w:rPr>
          <w:rStyle w:val="CharSectno"/>
        </w:rPr>
        <w:t>42</w:t>
      </w:r>
      <w:r>
        <w:t>.</w:t>
      </w:r>
      <w:r>
        <w:tab/>
        <w:t>Unauthorised removal of registered identifier from live animal</w:t>
      </w:r>
      <w:bookmarkEnd w:id="76"/>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77" w:name="_Toc202443733"/>
      <w:bookmarkStart w:id="78" w:name="_Toc202444485"/>
      <w:bookmarkStart w:id="79" w:name="_Toc202449286"/>
      <w:r>
        <w:rPr>
          <w:rStyle w:val="CharDivNo"/>
        </w:rPr>
        <w:t>Division 2</w:t>
      </w:r>
      <w:r>
        <w:t> — </w:t>
      </w:r>
      <w:r>
        <w:rPr>
          <w:rStyle w:val="CharDivText"/>
        </w:rPr>
        <w:t>Approved identification systems</w:t>
      </w:r>
      <w:bookmarkEnd w:id="77"/>
      <w:bookmarkEnd w:id="78"/>
      <w:bookmarkEnd w:id="79"/>
    </w:p>
    <w:p>
      <w:pPr>
        <w:pStyle w:val="Heading5"/>
      </w:pPr>
      <w:bookmarkStart w:id="80" w:name="_Toc202449287"/>
      <w:r>
        <w:rPr>
          <w:rStyle w:val="CharSectno"/>
        </w:rPr>
        <w:t>43</w:t>
      </w:r>
      <w:r>
        <w:t>.</w:t>
      </w:r>
      <w:r>
        <w:tab/>
        <w:t>Approved identifiers and databases</w:t>
      </w:r>
      <w:bookmarkEnd w:id="80"/>
    </w:p>
    <w:p>
      <w:pPr>
        <w:pStyle w:val="Subsection"/>
      </w:pPr>
      <w:r>
        <w:tab/>
        <w:t>(1)</w:t>
      </w:r>
      <w:r>
        <w:tab/>
        <w:t xml:space="preserve">The Director General may approve, for the purposes of identifying stock under these regulations, a type of identifier (an </w:t>
      </w:r>
      <w:r>
        <w:rPr>
          <w:rStyle w:val="CharDefText"/>
        </w:rPr>
        <w:lastRenderedPageBreak/>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81" w:name="_Toc202449288"/>
      <w:r>
        <w:rPr>
          <w:rStyle w:val="CharSectno"/>
        </w:rPr>
        <w:t>44</w:t>
      </w:r>
      <w:r>
        <w:t>.</w:t>
      </w:r>
      <w:r>
        <w:tab/>
        <w:t>Use of approved identifiers</w:t>
      </w:r>
      <w:bookmarkEnd w:id="81"/>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lastRenderedPageBreak/>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82" w:name="_Toc202449289"/>
      <w:r>
        <w:rPr>
          <w:rStyle w:val="CharSectno"/>
        </w:rPr>
        <w:t>45</w:t>
      </w:r>
      <w:r>
        <w:t>.</w:t>
      </w:r>
      <w:r>
        <w:tab/>
        <w:t>False representations relating to approved identifiers</w:t>
      </w:r>
      <w:bookmarkEnd w:id="82"/>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83" w:name="_Toc202449290"/>
      <w:r>
        <w:rPr>
          <w:rStyle w:val="CharSectno"/>
        </w:rPr>
        <w:t>46</w:t>
      </w:r>
      <w:r>
        <w:t>.</w:t>
      </w:r>
      <w:r>
        <w:tab/>
        <w:t>Unauthorised removal of approved identifier from live animal</w:t>
      </w:r>
      <w:bookmarkEnd w:id="83"/>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84" w:name="_Toc202443738"/>
      <w:bookmarkStart w:id="85" w:name="_Toc202444490"/>
      <w:bookmarkStart w:id="86" w:name="_Toc202449291"/>
      <w:r>
        <w:rPr>
          <w:rStyle w:val="CharDivNo"/>
        </w:rPr>
        <w:t>Division 3</w:t>
      </w:r>
      <w:r>
        <w:t> — </w:t>
      </w:r>
      <w:r>
        <w:rPr>
          <w:rStyle w:val="CharDivText"/>
        </w:rPr>
        <w:t>NLIS identifiers</w:t>
      </w:r>
      <w:bookmarkEnd w:id="84"/>
      <w:bookmarkEnd w:id="85"/>
      <w:bookmarkEnd w:id="86"/>
    </w:p>
    <w:p>
      <w:pPr>
        <w:pStyle w:val="Heading4"/>
      </w:pPr>
      <w:bookmarkStart w:id="87" w:name="_Toc202443739"/>
      <w:bookmarkStart w:id="88" w:name="_Toc202444491"/>
      <w:bookmarkStart w:id="89" w:name="_Toc202449292"/>
      <w:r>
        <w:t>Subdivision 1 — NLIS devices</w:t>
      </w:r>
      <w:bookmarkEnd w:id="87"/>
      <w:bookmarkEnd w:id="88"/>
      <w:bookmarkEnd w:id="89"/>
    </w:p>
    <w:p>
      <w:pPr>
        <w:pStyle w:val="Heading5"/>
      </w:pPr>
      <w:bookmarkStart w:id="90" w:name="_Toc202449293"/>
      <w:r>
        <w:rPr>
          <w:rStyle w:val="CharSectno"/>
        </w:rPr>
        <w:t>47</w:t>
      </w:r>
      <w:r>
        <w:t>.</w:t>
      </w:r>
      <w:r>
        <w:tab/>
        <w:t>Meaning of NLIS device</w:t>
      </w:r>
      <w:bookmarkEnd w:id="90"/>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lastRenderedPageBreak/>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keepNext/>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91" w:name="_Toc202449294"/>
      <w:r>
        <w:rPr>
          <w:rStyle w:val="CharSectno"/>
        </w:rPr>
        <w:t>48</w:t>
      </w:r>
      <w:r>
        <w:t>.</w:t>
      </w:r>
      <w:r>
        <w:tab/>
        <w:t>Applying NLIS devices to stock</w:t>
      </w:r>
      <w:bookmarkEnd w:id="91"/>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lastRenderedPageBreak/>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to a sheep other than — </w:t>
      </w:r>
    </w:p>
    <w:p>
      <w:pPr>
        <w:pStyle w:val="Indenta"/>
      </w:pPr>
      <w:r>
        <w:tab/>
        <w:t>(a)</w:t>
      </w:r>
      <w:r>
        <w:tab/>
        <w:t>in the left ear of a male sheep; or</w:t>
      </w:r>
    </w:p>
    <w:p>
      <w:pPr>
        <w:pStyle w:val="Indenta"/>
      </w:pPr>
      <w:r>
        <w:tab/>
        <w:t>(b)</w:t>
      </w:r>
      <w:r>
        <w:tab/>
        <w:t>in the right ear of a female sheep.</w:t>
      </w:r>
    </w:p>
    <w:p>
      <w:pPr>
        <w:pStyle w:val="Penstart"/>
      </w:pPr>
      <w:r>
        <w:tab/>
        <w:t>Penalty for this subregulation: a fine of $2 000.</w:t>
      </w:r>
    </w:p>
    <w:p>
      <w:pPr>
        <w:pStyle w:val="Subsection"/>
      </w:pPr>
      <w:r>
        <w:tab/>
        <w:t>(4)</w:t>
      </w:r>
      <w:r>
        <w:tab/>
        <w:t>A person must not apply an NLIS device to a goat other than —</w:t>
      </w:r>
    </w:p>
    <w:p>
      <w:pPr>
        <w:pStyle w:val="Indenta"/>
      </w:pPr>
      <w:r>
        <w:tab/>
        <w:t>(a)</w:t>
      </w:r>
      <w:r>
        <w:tab/>
        <w:t>in the left ear of a male goat; or</w:t>
      </w:r>
    </w:p>
    <w:p>
      <w:pPr>
        <w:pStyle w:val="Indenta"/>
      </w:pPr>
      <w:r>
        <w:tab/>
        <w:t>(b)</w:t>
      </w:r>
      <w:r>
        <w:tab/>
        <w:t>in the right ear of a female goat; or</w:t>
      </w:r>
    </w:p>
    <w:p>
      <w:pPr>
        <w:pStyle w:val="Indenta"/>
      </w:pPr>
      <w:r>
        <w:tab/>
        <w:t>(c)</w:t>
      </w:r>
      <w:r>
        <w:tab/>
        <w:t>around a leg of the goat.</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lastRenderedPageBreak/>
        <w:tab/>
        <w:t>[Regulation 48 amended: Gazette 27 Jun 2019 p. 2412; SL 2024/264 r. 4.]</w:t>
      </w:r>
    </w:p>
    <w:p>
      <w:pPr>
        <w:pStyle w:val="Heading5"/>
      </w:pPr>
      <w:bookmarkStart w:id="92" w:name="_Toc202449295"/>
      <w:r>
        <w:rPr>
          <w:rStyle w:val="CharSectno"/>
        </w:rPr>
        <w:t>49</w:t>
      </w:r>
      <w:r>
        <w:t>.</w:t>
      </w:r>
      <w:r>
        <w:tab/>
        <w:t>When unused NLIS devices to be given to inspector</w:t>
      </w:r>
      <w:bookmarkEnd w:id="92"/>
    </w:p>
    <w:p>
      <w:pPr>
        <w:pStyle w:val="Subsection"/>
        <w:keepNext/>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93" w:name="_Toc202449296"/>
      <w:r>
        <w:rPr>
          <w:rStyle w:val="CharSectno"/>
        </w:rPr>
        <w:t>50</w:t>
      </w:r>
      <w:r>
        <w:t>.</w:t>
      </w:r>
      <w:r>
        <w:tab/>
        <w:t>False representations relating to NLIS devices</w:t>
      </w:r>
      <w:bookmarkEnd w:id="93"/>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94" w:name="_Toc202443744"/>
      <w:bookmarkStart w:id="95" w:name="_Toc202444496"/>
      <w:bookmarkStart w:id="96" w:name="_Toc202449297"/>
      <w:r>
        <w:lastRenderedPageBreak/>
        <w:t>Subdivision 2 — NLIS tags</w:t>
      </w:r>
      <w:bookmarkEnd w:id="94"/>
      <w:bookmarkEnd w:id="95"/>
      <w:bookmarkEnd w:id="96"/>
    </w:p>
    <w:p>
      <w:pPr>
        <w:pStyle w:val="Heading5"/>
      </w:pPr>
      <w:bookmarkStart w:id="97" w:name="_Toc202449298"/>
      <w:r>
        <w:rPr>
          <w:rStyle w:val="CharSectno"/>
        </w:rPr>
        <w:t>51</w:t>
      </w:r>
      <w:r>
        <w:t>.</w:t>
      </w:r>
      <w:r>
        <w:tab/>
        <w:t>Meaning of NLIS tag</w:t>
      </w:r>
      <w:bookmarkEnd w:id="97"/>
    </w:p>
    <w:p>
      <w:pPr>
        <w:pStyle w:val="Subsection"/>
        <w:keepNext/>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98" w:name="_Toc202449299"/>
      <w:r>
        <w:rPr>
          <w:rStyle w:val="CharSectno"/>
        </w:rPr>
        <w:t>52</w:t>
      </w:r>
      <w:r>
        <w:t>.</w:t>
      </w:r>
      <w:r>
        <w:tab/>
        <w:t>Applying NLIS tags to stock</w:t>
      </w:r>
      <w:bookmarkEnd w:id="98"/>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 xml:space="preserve">the person is, or is acting on behalf of, its owner or is otherwise required or empowered by these regulations to </w:t>
      </w:r>
      <w:r>
        <w:lastRenderedPageBreak/>
        <w:t>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Ednotesubsection"/>
      </w:pPr>
      <w:r>
        <w:tab/>
        <w:t>[(2), (3)</w:t>
      </w:r>
      <w:r>
        <w:tab/>
        <w:t>deleted]</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 SL 2024/264 r. 5.]</w:t>
      </w:r>
    </w:p>
    <w:p>
      <w:pPr>
        <w:pStyle w:val="Heading5"/>
      </w:pPr>
      <w:bookmarkStart w:id="99" w:name="_Toc202449300"/>
      <w:r>
        <w:rPr>
          <w:rStyle w:val="CharSectno"/>
        </w:rPr>
        <w:t>53</w:t>
      </w:r>
      <w:r>
        <w:t>.</w:t>
      </w:r>
      <w:r>
        <w:tab/>
        <w:t>False representations relating to NLIS tags</w:t>
      </w:r>
      <w:bookmarkEnd w:id="99"/>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00" w:name="_Toc202443748"/>
      <w:bookmarkStart w:id="101" w:name="_Toc202444500"/>
      <w:bookmarkStart w:id="102" w:name="_Toc202449301"/>
      <w:r>
        <w:lastRenderedPageBreak/>
        <w:t>Subdivision 3 — Removal and disposal of NLIS identifiers</w:t>
      </w:r>
      <w:bookmarkEnd w:id="100"/>
      <w:bookmarkEnd w:id="101"/>
      <w:bookmarkEnd w:id="102"/>
    </w:p>
    <w:p>
      <w:pPr>
        <w:pStyle w:val="Heading5"/>
      </w:pPr>
      <w:bookmarkStart w:id="103" w:name="_Toc202449302"/>
      <w:r>
        <w:rPr>
          <w:rStyle w:val="CharSectno"/>
        </w:rPr>
        <w:t>54</w:t>
      </w:r>
      <w:r>
        <w:t>.</w:t>
      </w:r>
      <w:r>
        <w:tab/>
        <w:t>Removal of NLIS identifiers</w:t>
      </w:r>
      <w:bookmarkEnd w:id="103"/>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104" w:name="_Toc202449303"/>
      <w:r>
        <w:rPr>
          <w:rStyle w:val="CharSectno"/>
        </w:rPr>
        <w:t>55</w:t>
      </w:r>
      <w:r>
        <w:t>.</w:t>
      </w:r>
      <w:r>
        <w:tab/>
        <w:t>Replacing NLIS identifiers</w:t>
      </w:r>
      <w:bookmarkEnd w:id="104"/>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lastRenderedPageBreak/>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105" w:name="_Toc202449304"/>
      <w:r>
        <w:rPr>
          <w:rStyle w:val="CharSectno"/>
        </w:rPr>
        <w:t>56</w:t>
      </w:r>
      <w:r>
        <w:t>.</w:t>
      </w:r>
      <w:r>
        <w:tab/>
        <w:t>Disposal of NLIS identifiers</w:t>
      </w:r>
      <w:bookmarkEnd w:id="105"/>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06" w:name="_Toc202449305"/>
      <w:r>
        <w:rPr>
          <w:rStyle w:val="CharSectno"/>
        </w:rPr>
        <w:t>57</w:t>
      </w:r>
      <w:r>
        <w:t>.</w:t>
      </w:r>
      <w:r>
        <w:tab/>
        <w:t>NLIS identifiers not to be damaged or defaced</w:t>
      </w:r>
      <w:bookmarkEnd w:id="106"/>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07" w:name="_Toc202443753"/>
      <w:bookmarkStart w:id="108" w:name="_Toc202444505"/>
      <w:bookmarkStart w:id="109" w:name="_Toc202449306"/>
      <w:r>
        <w:t>Subdivision 4 — The NLIS database</w:t>
      </w:r>
      <w:bookmarkEnd w:id="107"/>
      <w:bookmarkEnd w:id="108"/>
      <w:bookmarkEnd w:id="109"/>
    </w:p>
    <w:p>
      <w:pPr>
        <w:pStyle w:val="Heading5"/>
      </w:pPr>
      <w:bookmarkStart w:id="110" w:name="_Toc202449307"/>
      <w:r>
        <w:rPr>
          <w:rStyle w:val="CharSectno"/>
        </w:rPr>
        <w:t>58</w:t>
      </w:r>
      <w:r>
        <w:t>.</w:t>
      </w:r>
      <w:r>
        <w:tab/>
        <w:t>The NLIS database</w:t>
      </w:r>
      <w:bookmarkEnd w:id="110"/>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lastRenderedPageBreak/>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keepNext/>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lastRenderedPageBreak/>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111" w:name="_Toc202443755"/>
      <w:bookmarkStart w:id="112" w:name="_Toc202444507"/>
      <w:bookmarkStart w:id="113" w:name="_Toc202449308"/>
      <w:r>
        <w:rPr>
          <w:rStyle w:val="CharDivNo"/>
        </w:rPr>
        <w:t>Division 4</w:t>
      </w:r>
      <w:r>
        <w:t> — </w:t>
      </w:r>
      <w:r>
        <w:rPr>
          <w:rStyle w:val="CharDivText"/>
        </w:rPr>
        <w:t>Manufacture and supply of identifiers</w:t>
      </w:r>
      <w:bookmarkEnd w:id="111"/>
      <w:bookmarkEnd w:id="112"/>
      <w:bookmarkEnd w:id="113"/>
    </w:p>
    <w:p>
      <w:pPr>
        <w:pStyle w:val="Heading4"/>
      </w:pPr>
      <w:bookmarkStart w:id="114" w:name="_Toc202443756"/>
      <w:bookmarkStart w:id="115" w:name="_Toc202444508"/>
      <w:bookmarkStart w:id="116" w:name="_Toc202449309"/>
      <w:r>
        <w:t>Subdivision 1 — Approved devices, approved identification equipment and approved manufacturers</w:t>
      </w:r>
      <w:bookmarkEnd w:id="114"/>
      <w:bookmarkEnd w:id="115"/>
      <w:bookmarkEnd w:id="116"/>
    </w:p>
    <w:p>
      <w:pPr>
        <w:pStyle w:val="Heading5"/>
      </w:pPr>
      <w:bookmarkStart w:id="117" w:name="_Toc202449310"/>
      <w:r>
        <w:rPr>
          <w:rStyle w:val="CharSectno"/>
        </w:rPr>
        <w:t>59</w:t>
      </w:r>
      <w:r>
        <w:t>.</w:t>
      </w:r>
      <w:r>
        <w:tab/>
        <w:t>Approved devices and approved identification equipment</w:t>
      </w:r>
      <w:bookmarkEnd w:id="117"/>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118" w:name="_Toc202449311"/>
      <w:r>
        <w:rPr>
          <w:rStyle w:val="CharSectno"/>
        </w:rPr>
        <w:lastRenderedPageBreak/>
        <w:t>60</w:t>
      </w:r>
      <w:r>
        <w:t>.</w:t>
      </w:r>
      <w:r>
        <w:tab/>
        <w:t>Approved manufacturers</w:t>
      </w:r>
      <w:bookmarkEnd w:id="118"/>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119" w:name="_Toc202449312"/>
      <w:r>
        <w:rPr>
          <w:rStyle w:val="CharSectno"/>
        </w:rPr>
        <w:t>61</w:t>
      </w:r>
      <w:r>
        <w:t>.</w:t>
      </w:r>
      <w:r>
        <w:tab/>
        <w:t>Review</w:t>
      </w:r>
      <w:bookmarkEnd w:id="119"/>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120" w:name="_Toc202443760"/>
      <w:bookmarkStart w:id="121" w:name="_Toc202444512"/>
      <w:bookmarkStart w:id="122" w:name="_Toc202449313"/>
      <w:r>
        <w:t>Subdivision 2 — Registered identifiers</w:t>
      </w:r>
      <w:bookmarkEnd w:id="120"/>
      <w:bookmarkEnd w:id="121"/>
      <w:bookmarkEnd w:id="122"/>
    </w:p>
    <w:p>
      <w:pPr>
        <w:pStyle w:val="Heading5"/>
      </w:pPr>
      <w:bookmarkStart w:id="123" w:name="_Toc202449314"/>
      <w:r>
        <w:rPr>
          <w:rStyle w:val="CharSectno"/>
        </w:rPr>
        <w:t>62</w:t>
      </w:r>
      <w:r>
        <w:t>.</w:t>
      </w:r>
      <w:r>
        <w:tab/>
        <w:t>Manufacture and supply of identifiers and identification equipment for registered identifiers</w:t>
      </w:r>
      <w:bookmarkEnd w:id="123"/>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lastRenderedPageBreak/>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keepNext/>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lastRenderedPageBreak/>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124" w:name="_Toc202443762"/>
      <w:bookmarkStart w:id="125" w:name="_Toc202444514"/>
      <w:bookmarkStart w:id="126" w:name="_Toc202449315"/>
      <w:r>
        <w:t>Subdivision 3 — NLIS identifiers</w:t>
      </w:r>
      <w:bookmarkEnd w:id="124"/>
      <w:bookmarkEnd w:id="125"/>
      <w:bookmarkEnd w:id="126"/>
    </w:p>
    <w:p>
      <w:pPr>
        <w:pStyle w:val="Heading5"/>
      </w:pPr>
      <w:bookmarkStart w:id="127" w:name="_Toc202449316"/>
      <w:r>
        <w:rPr>
          <w:rStyle w:val="CharSectno"/>
        </w:rPr>
        <w:t>63</w:t>
      </w:r>
      <w:r>
        <w:t>.</w:t>
      </w:r>
      <w:r>
        <w:tab/>
        <w:t>Term used: manufacture</w:t>
      </w:r>
      <w:bookmarkEnd w:id="127"/>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128" w:name="_Toc202449317"/>
      <w:r>
        <w:rPr>
          <w:rStyle w:val="CharSectno"/>
        </w:rPr>
        <w:t>64</w:t>
      </w:r>
      <w:r>
        <w:t>.</w:t>
      </w:r>
      <w:r>
        <w:tab/>
        <w:t>Manufacture of NLIS devices</w:t>
      </w:r>
      <w:bookmarkEnd w:id="128"/>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lastRenderedPageBreak/>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129" w:name="_Toc202449318"/>
      <w:r>
        <w:rPr>
          <w:rStyle w:val="CharSectno"/>
        </w:rPr>
        <w:t>65</w:t>
      </w:r>
      <w:r>
        <w:t>.</w:t>
      </w:r>
      <w:r>
        <w:tab/>
        <w:t>Supply of NLIS devices by manufacturers</w:t>
      </w:r>
      <w:bookmarkEnd w:id="129"/>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p>
    <w:p>
      <w:pPr>
        <w:pStyle w:val="Indenta"/>
        <w:keepNext/>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lastRenderedPageBreak/>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130" w:name="_Toc202449319"/>
      <w:r>
        <w:rPr>
          <w:rStyle w:val="CharSectno"/>
        </w:rPr>
        <w:lastRenderedPageBreak/>
        <w:t>66</w:t>
      </w:r>
      <w:r>
        <w:t>.</w:t>
      </w:r>
      <w:r>
        <w:tab/>
        <w:t>Supply of NLIS devices by persons other than manufacturers</w:t>
      </w:r>
      <w:bookmarkEnd w:id="130"/>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keepNext/>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131" w:name="_Toc202449320"/>
      <w:r>
        <w:rPr>
          <w:rStyle w:val="CharSectno"/>
        </w:rPr>
        <w:t>67</w:t>
      </w:r>
      <w:r>
        <w:t>.</w:t>
      </w:r>
      <w:r>
        <w:tab/>
        <w:t>Manufacture of NLIS tags</w:t>
      </w:r>
      <w:bookmarkEnd w:id="131"/>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lastRenderedPageBreak/>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keepNext/>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lastRenderedPageBreak/>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132" w:name="_Toc202443768"/>
      <w:bookmarkStart w:id="133" w:name="_Toc202444520"/>
      <w:bookmarkStart w:id="134" w:name="_Toc202449321"/>
      <w:r>
        <w:rPr>
          <w:rStyle w:val="CharPartNo"/>
        </w:rPr>
        <w:lastRenderedPageBreak/>
        <w:t>Part 4</w:t>
      </w:r>
      <w:r>
        <w:rPr>
          <w:rStyle w:val="CharDivNo"/>
        </w:rPr>
        <w:t> </w:t>
      </w:r>
      <w:r>
        <w:t>—</w:t>
      </w:r>
      <w:r>
        <w:rPr>
          <w:rStyle w:val="CharDivText"/>
        </w:rPr>
        <w:t> </w:t>
      </w:r>
      <w:r>
        <w:rPr>
          <w:rStyle w:val="CharPartText"/>
        </w:rPr>
        <w:t>General provisions for identifying stock</w:t>
      </w:r>
      <w:bookmarkEnd w:id="132"/>
      <w:bookmarkEnd w:id="133"/>
      <w:bookmarkEnd w:id="134"/>
    </w:p>
    <w:p>
      <w:pPr>
        <w:pStyle w:val="Heading5"/>
      </w:pPr>
      <w:bookmarkStart w:id="135" w:name="_Toc202449322"/>
      <w:r>
        <w:rPr>
          <w:rStyle w:val="CharSectno"/>
        </w:rPr>
        <w:t>68</w:t>
      </w:r>
      <w:r>
        <w:t>.</w:t>
      </w:r>
      <w:r>
        <w:tab/>
        <w:t>Term used: identifier</w:t>
      </w:r>
      <w:bookmarkEnd w:id="135"/>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136" w:name="_Toc202449323"/>
      <w:r>
        <w:rPr>
          <w:rStyle w:val="CharSectno"/>
        </w:rPr>
        <w:t>69</w:t>
      </w:r>
      <w:r>
        <w:t>.</w:t>
      </w:r>
      <w:r>
        <w:tab/>
        <w:t>Director General may exempt stock from identification requirements</w:t>
      </w:r>
      <w:bookmarkEnd w:id="136"/>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137" w:name="_Toc202449324"/>
      <w:r>
        <w:rPr>
          <w:rStyle w:val="CharSectno"/>
        </w:rPr>
        <w:t>70</w:t>
      </w:r>
      <w:r>
        <w:t>.</w:t>
      </w:r>
      <w:r>
        <w:tab/>
        <w:t>Identification exemption certificates</w:t>
      </w:r>
      <w:bookmarkEnd w:id="137"/>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lastRenderedPageBreak/>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138" w:name="_Toc202449325"/>
      <w:r>
        <w:rPr>
          <w:rStyle w:val="CharSectno"/>
        </w:rPr>
        <w:lastRenderedPageBreak/>
        <w:t>71</w:t>
      </w:r>
      <w:r>
        <w:t>.</w:t>
      </w:r>
      <w:r>
        <w:tab/>
        <w:t>When stock not properly identified</w:t>
      </w:r>
      <w:bookmarkEnd w:id="138"/>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139" w:name="_Toc202449326"/>
      <w:r>
        <w:rPr>
          <w:rStyle w:val="CharSectno"/>
        </w:rPr>
        <w:t>72</w:t>
      </w:r>
      <w:r>
        <w:t>.</w:t>
      </w:r>
      <w:r>
        <w:tab/>
        <w:t>Altered or damaged identifiers</w:t>
      </w:r>
      <w:bookmarkEnd w:id="139"/>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140" w:name="_Toc202449327"/>
      <w:r>
        <w:rPr>
          <w:rStyle w:val="CharSectno"/>
        </w:rPr>
        <w:t>73</w:t>
      </w:r>
      <w:r>
        <w:t>.</w:t>
      </w:r>
      <w:r>
        <w:tab/>
        <w:t>Possession of unidentified stock</w:t>
      </w:r>
      <w:bookmarkEnd w:id="140"/>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141" w:name="_Toc202449328"/>
      <w:r>
        <w:rPr>
          <w:rStyle w:val="CharSectno"/>
        </w:rPr>
        <w:lastRenderedPageBreak/>
        <w:t>74</w:t>
      </w:r>
      <w:r>
        <w:t>.</w:t>
      </w:r>
      <w:r>
        <w:tab/>
        <w:t>Things that may be confused with identifiers</w:t>
      </w:r>
      <w:bookmarkEnd w:id="141"/>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142" w:name="_Toc202443776"/>
      <w:bookmarkStart w:id="143" w:name="_Toc202444528"/>
      <w:bookmarkStart w:id="144" w:name="_Toc202449329"/>
      <w:r>
        <w:rPr>
          <w:rStyle w:val="CharPartNo"/>
        </w:rPr>
        <w:lastRenderedPageBreak/>
        <w:t>Part 5</w:t>
      </w:r>
      <w:r>
        <w:t> — </w:t>
      </w:r>
      <w:r>
        <w:rPr>
          <w:rStyle w:val="CharPartText"/>
        </w:rPr>
        <w:t>Identifying cattle and buffalo</w:t>
      </w:r>
      <w:bookmarkEnd w:id="142"/>
      <w:bookmarkEnd w:id="143"/>
      <w:bookmarkEnd w:id="144"/>
    </w:p>
    <w:p>
      <w:pPr>
        <w:pStyle w:val="Heading3"/>
      </w:pPr>
      <w:bookmarkStart w:id="145" w:name="_Toc202443777"/>
      <w:bookmarkStart w:id="146" w:name="_Toc202444529"/>
      <w:bookmarkStart w:id="147" w:name="_Toc202449330"/>
      <w:r>
        <w:rPr>
          <w:rStyle w:val="CharDivNo"/>
        </w:rPr>
        <w:t>Division 1</w:t>
      </w:r>
      <w:r>
        <w:t> — </w:t>
      </w:r>
      <w:r>
        <w:rPr>
          <w:rStyle w:val="CharDivText"/>
        </w:rPr>
        <w:t>Terms used</w:t>
      </w:r>
      <w:bookmarkEnd w:id="145"/>
      <w:bookmarkEnd w:id="146"/>
      <w:bookmarkEnd w:id="147"/>
    </w:p>
    <w:p>
      <w:pPr>
        <w:pStyle w:val="Heading5"/>
      </w:pPr>
      <w:bookmarkStart w:id="148" w:name="_Toc202449331"/>
      <w:r>
        <w:rPr>
          <w:rStyle w:val="CharSectno"/>
        </w:rPr>
        <w:t>75</w:t>
      </w:r>
      <w:r>
        <w:t>.</w:t>
      </w:r>
      <w:r>
        <w:tab/>
        <w:t>Terms used</w:t>
      </w:r>
      <w:bookmarkEnd w:id="148"/>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149" w:name="_Toc202443779"/>
      <w:bookmarkStart w:id="150" w:name="_Toc202444531"/>
      <w:bookmarkStart w:id="151" w:name="_Toc202449332"/>
      <w:r>
        <w:rPr>
          <w:rStyle w:val="CharDivNo"/>
        </w:rPr>
        <w:t>Division 2</w:t>
      </w:r>
      <w:r>
        <w:t> — </w:t>
      </w:r>
      <w:r>
        <w:rPr>
          <w:rStyle w:val="CharDivText"/>
        </w:rPr>
        <w:t>Owners of cattle or buffalo</w:t>
      </w:r>
      <w:bookmarkEnd w:id="149"/>
      <w:bookmarkEnd w:id="150"/>
      <w:bookmarkEnd w:id="151"/>
    </w:p>
    <w:p>
      <w:pPr>
        <w:pStyle w:val="Heading4"/>
      </w:pPr>
      <w:bookmarkStart w:id="152" w:name="_Toc202443780"/>
      <w:bookmarkStart w:id="153" w:name="_Toc202444532"/>
      <w:bookmarkStart w:id="154" w:name="_Toc202449333"/>
      <w:r>
        <w:t>Subdivision 1 — Registered identifiers and approved identifiers</w:t>
      </w:r>
      <w:bookmarkEnd w:id="152"/>
      <w:bookmarkEnd w:id="153"/>
      <w:bookmarkEnd w:id="154"/>
    </w:p>
    <w:p>
      <w:pPr>
        <w:pStyle w:val="Heading5"/>
      </w:pPr>
      <w:bookmarkStart w:id="155" w:name="_Toc202449334"/>
      <w:r>
        <w:rPr>
          <w:rStyle w:val="CharSectno"/>
        </w:rPr>
        <w:t>76</w:t>
      </w:r>
      <w:r>
        <w:t>.</w:t>
      </w:r>
      <w:r>
        <w:tab/>
        <w:t>Owners must identify cattle and buffalo</w:t>
      </w:r>
      <w:bookmarkEnd w:id="155"/>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lastRenderedPageBreak/>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156" w:name="_Toc202449335"/>
      <w:r>
        <w:rPr>
          <w:rStyle w:val="CharSectno"/>
        </w:rPr>
        <w:t>77</w:t>
      </w:r>
      <w:r>
        <w:t>.</w:t>
      </w:r>
      <w:r>
        <w:tab/>
        <w:t>Exemption for unweaned animals</w:t>
      </w:r>
      <w:bookmarkEnd w:id="156"/>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157" w:name="_Toc202449336"/>
      <w:r>
        <w:rPr>
          <w:rStyle w:val="CharSectno"/>
        </w:rPr>
        <w:t>78</w:t>
      </w:r>
      <w:r>
        <w:t>.</w:t>
      </w:r>
      <w:r>
        <w:tab/>
        <w:t>Requirements for brands</w:t>
      </w:r>
      <w:bookmarkEnd w:id="157"/>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 xml:space="preserve">in the case of a firebrand or freezebrand applied to the near or left rump or shoulder of an animal that has been </w:t>
      </w:r>
      <w:r>
        <w:lastRenderedPageBreak/>
        <w:t>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158" w:name="_Toc202449337"/>
      <w:r>
        <w:rPr>
          <w:rStyle w:val="CharSectno"/>
        </w:rPr>
        <w:t>79</w:t>
      </w:r>
      <w:r>
        <w:t>.</w:t>
      </w:r>
      <w:r>
        <w:tab/>
        <w:t>Requirements for earmarks</w:t>
      </w:r>
      <w:bookmarkEnd w:id="158"/>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159" w:name="_Toc202449338"/>
      <w:r>
        <w:rPr>
          <w:rStyle w:val="CharSectno"/>
        </w:rPr>
        <w:t>80</w:t>
      </w:r>
      <w:r>
        <w:t>.</w:t>
      </w:r>
      <w:r>
        <w:tab/>
        <w:t>Age marks, cullmarks and other markings</w:t>
      </w:r>
      <w:bookmarkEnd w:id="159"/>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lastRenderedPageBreak/>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160" w:name="_Toc202449339"/>
      <w:r>
        <w:rPr>
          <w:rStyle w:val="CharSectno"/>
        </w:rPr>
        <w:t>81</w:t>
      </w:r>
      <w:r>
        <w:t>.</w:t>
      </w:r>
      <w:r>
        <w:tab/>
        <w:t>Spayed female animals must be marked</w:t>
      </w:r>
      <w:bookmarkEnd w:id="160"/>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161" w:name="_Toc202443787"/>
      <w:bookmarkStart w:id="162" w:name="_Toc202444539"/>
      <w:bookmarkStart w:id="163" w:name="_Toc202449340"/>
      <w:r>
        <w:t>Subdivision 2 — NLIS requirements for cattle and buffalo</w:t>
      </w:r>
      <w:bookmarkEnd w:id="161"/>
      <w:bookmarkEnd w:id="162"/>
      <w:bookmarkEnd w:id="163"/>
    </w:p>
    <w:p>
      <w:pPr>
        <w:pStyle w:val="Footnoteheading"/>
      </w:pPr>
      <w:r>
        <w:tab/>
        <w:t>[Heading amended: Gazette 27 Jun 2019 p. 2418.]</w:t>
      </w:r>
    </w:p>
    <w:p>
      <w:pPr>
        <w:pStyle w:val="Heading5"/>
        <w:spacing w:before="180"/>
      </w:pPr>
      <w:bookmarkStart w:id="164" w:name="_Toc202449341"/>
      <w:r>
        <w:rPr>
          <w:rStyle w:val="CharSectno"/>
        </w:rPr>
        <w:t>82</w:t>
      </w:r>
      <w:r>
        <w:t>.</w:t>
      </w:r>
      <w:r>
        <w:tab/>
        <w:t>Responsibilities of owner before moving cattle or buffalo</w:t>
      </w:r>
      <w:bookmarkEnd w:id="164"/>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lastRenderedPageBreak/>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165" w:name="_Toc202449342"/>
      <w:r>
        <w:rPr>
          <w:rStyle w:val="CharSectno"/>
        </w:rPr>
        <w:t>83</w:t>
      </w:r>
      <w:r>
        <w:t>.</w:t>
      </w:r>
      <w:r>
        <w:tab/>
        <w:t>Exemptions from NLIS identification</w:t>
      </w:r>
      <w:bookmarkEnd w:id="165"/>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lastRenderedPageBreak/>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166" w:name="_Toc202449343"/>
      <w:r>
        <w:rPr>
          <w:rStyle w:val="CharSectno"/>
        </w:rPr>
        <w:t>84</w:t>
      </w:r>
      <w:r>
        <w:t>.</w:t>
      </w:r>
      <w:r>
        <w:tab/>
        <w:t>Responsibilities of owner after moving animal</w:t>
      </w:r>
      <w:bookmarkEnd w:id="166"/>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lastRenderedPageBreak/>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167" w:name="_Toc202443791"/>
      <w:bookmarkStart w:id="168" w:name="_Toc202444543"/>
      <w:bookmarkStart w:id="169" w:name="_Toc202449344"/>
      <w:r>
        <w:rPr>
          <w:rStyle w:val="CharDivNo"/>
        </w:rPr>
        <w:t>Division 3</w:t>
      </w:r>
      <w:r>
        <w:t> — NLIS</w:t>
      </w:r>
      <w:r>
        <w:rPr>
          <w:rStyle w:val="CharDivText"/>
        </w:rPr>
        <w:t xml:space="preserve"> requirements for cattle and buffalo</w:t>
      </w:r>
      <w:bookmarkEnd w:id="167"/>
      <w:bookmarkEnd w:id="168"/>
      <w:bookmarkEnd w:id="169"/>
    </w:p>
    <w:p>
      <w:pPr>
        <w:pStyle w:val="Footnoteheading"/>
      </w:pPr>
      <w:r>
        <w:tab/>
        <w:t>[Heading amended: Gazette 27 Jun 2019 p. 2418.]</w:t>
      </w:r>
    </w:p>
    <w:p>
      <w:pPr>
        <w:pStyle w:val="Heading4"/>
        <w:spacing w:before="200"/>
      </w:pPr>
      <w:bookmarkStart w:id="170" w:name="_Toc202443792"/>
      <w:bookmarkStart w:id="171" w:name="_Toc202444544"/>
      <w:bookmarkStart w:id="172" w:name="_Toc202449345"/>
      <w:r>
        <w:t>Subdivision 1 — Imported animals, animals from a pound and dead stray animals</w:t>
      </w:r>
      <w:bookmarkEnd w:id="170"/>
      <w:bookmarkEnd w:id="171"/>
      <w:bookmarkEnd w:id="172"/>
    </w:p>
    <w:p>
      <w:pPr>
        <w:pStyle w:val="Heading5"/>
      </w:pPr>
      <w:bookmarkStart w:id="173" w:name="_Toc202449346"/>
      <w:r>
        <w:rPr>
          <w:rStyle w:val="CharSectno"/>
        </w:rPr>
        <w:t>85</w:t>
      </w:r>
      <w:r>
        <w:t>.</w:t>
      </w:r>
      <w:r>
        <w:tab/>
        <w:t>Imported cattle and buffalo</w:t>
      </w:r>
      <w:bookmarkEnd w:id="173"/>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174" w:name="_Toc202449347"/>
      <w:r>
        <w:rPr>
          <w:rStyle w:val="CharSectno"/>
        </w:rPr>
        <w:t>86</w:t>
      </w:r>
      <w:r>
        <w:t>.</w:t>
      </w:r>
      <w:r>
        <w:tab/>
        <w:t>Cattle and buffalo from a pound</w:t>
      </w:r>
      <w:bookmarkEnd w:id="174"/>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175" w:name="_Toc202449348"/>
      <w:r>
        <w:rPr>
          <w:rStyle w:val="CharSectno"/>
        </w:rPr>
        <w:t>87</w:t>
      </w:r>
      <w:r>
        <w:t>.</w:t>
      </w:r>
      <w:r>
        <w:tab/>
        <w:t>Dead stray cattle and buffalo</w:t>
      </w:r>
      <w:bookmarkEnd w:id="175"/>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keepNext/>
      </w:pPr>
      <w:r>
        <w:lastRenderedPageBreak/>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176" w:name="_Toc202443796"/>
      <w:bookmarkStart w:id="177" w:name="_Toc202444548"/>
      <w:bookmarkStart w:id="178" w:name="_Toc202449349"/>
      <w:r>
        <w:t>Subdivision 2 — Carriers and purchasers</w:t>
      </w:r>
      <w:bookmarkEnd w:id="176"/>
      <w:bookmarkEnd w:id="177"/>
      <w:bookmarkEnd w:id="178"/>
    </w:p>
    <w:p>
      <w:pPr>
        <w:pStyle w:val="Heading5"/>
      </w:pPr>
      <w:bookmarkStart w:id="179" w:name="_Toc202449350"/>
      <w:r>
        <w:rPr>
          <w:rStyle w:val="CharSectno"/>
        </w:rPr>
        <w:t>88</w:t>
      </w:r>
      <w:r>
        <w:t>.</w:t>
      </w:r>
      <w:r>
        <w:tab/>
        <w:t>Responsibilities of carriers</w:t>
      </w:r>
      <w:bookmarkEnd w:id="179"/>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lastRenderedPageBreak/>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180" w:name="_Toc202449351"/>
      <w:r>
        <w:rPr>
          <w:rStyle w:val="CharSectno"/>
        </w:rPr>
        <w:t>89</w:t>
      </w:r>
      <w:r>
        <w:t>.</w:t>
      </w:r>
      <w:r>
        <w:tab/>
        <w:t>Responsibilities of purchasers</w:t>
      </w:r>
      <w:bookmarkEnd w:id="180"/>
    </w:p>
    <w:p>
      <w:pPr>
        <w:pStyle w:val="Subsection"/>
        <w:keepNext/>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lastRenderedPageBreak/>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181" w:name="_Toc202443799"/>
      <w:bookmarkStart w:id="182" w:name="_Toc202444551"/>
      <w:bookmarkStart w:id="183" w:name="_Toc202449352"/>
      <w:r>
        <w:t>Subdivision 3 — General provisions relating to property operators</w:t>
      </w:r>
      <w:bookmarkEnd w:id="181"/>
      <w:bookmarkEnd w:id="182"/>
      <w:bookmarkEnd w:id="183"/>
    </w:p>
    <w:p>
      <w:pPr>
        <w:pStyle w:val="Heading5"/>
      </w:pPr>
      <w:bookmarkStart w:id="184" w:name="_Toc202449353"/>
      <w:r>
        <w:rPr>
          <w:rStyle w:val="CharSectno"/>
        </w:rPr>
        <w:t>90</w:t>
      </w:r>
      <w:r>
        <w:t>.</w:t>
      </w:r>
      <w:r>
        <w:tab/>
        <w:t>Cattle or buffalo not to be delivered to property without relevant PIC</w:t>
      </w:r>
      <w:bookmarkEnd w:id="184"/>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185" w:name="_Toc202449354"/>
      <w:r>
        <w:rPr>
          <w:rStyle w:val="CharSectno"/>
        </w:rPr>
        <w:t>91</w:t>
      </w:r>
      <w:r>
        <w:t>.</w:t>
      </w:r>
      <w:r>
        <w:tab/>
        <w:t>Responsibilities of property operator if animal dies on or while being moved to property other than pound</w:t>
      </w:r>
      <w:bookmarkEnd w:id="185"/>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lastRenderedPageBreak/>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186" w:name="_Toc202443802"/>
      <w:bookmarkStart w:id="187" w:name="_Toc202444554"/>
      <w:bookmarkStart w:id="188" w:name="_Toc202449355"/>
      <w:r>
        <w:t>Subdivision 4 — Pounds</w:t>
      </w:r>
      <w:bookmarkEnd w:id="186"/>
      <w:bookmarkEnd w:id="187"/>
      <w:bookmarkEnd w:id="188"/>
    </w:p>
    <w:p>
      <w:pPr>
        <w:pStyle w:val="Heading5"/>
      </w:pPr>
      <w:bookmarkStart w:id="189" w:name="_Toc202449356"/>
      <w:r>
        <w:rPr>
          <w:rStyle w:val="CharSectno"/>
        </w:rPr>
        <w:t>92</w:t>
      </w:r>
      <w:r>
        <w:t>.</w:t>
      </w:r>
      <w:r>
        <w:tab/>
        <w:t>Responsibilities of pound operator if no NLIS device applied to animal</w:t>
      </w:r>
      <w:bookmarkEnd w:id="189"/>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190" w:name="_Toc202449357"/>
      <w:r>
        <w:rPr>
          <w:rStyle w:val="CharSectno"/>
        </w:rPr>
        <w:t>93</w:t>
      </w:r>
      <w:r>
        <w:t>.</w:t>
      </w:r>
      <w:r>
        <w:tab/>
        <w:t>Responsibilities of pound operator if animal born at or while being moved to pound</w:t>
      </w:r>
      <w:bookmarkEnd w:id="190"/>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191" w:name="_Toc202449358"/>
      <w:r>
        <w:rPr>
          <w:rStyle w:val="CharSectno"/>
        </w:rPr>
        <w:lastRenderedPageBreak/>
        <w:t>94</w:t>
      </w:r>
      <w:r>
        <w:t>.</w:t>
      </w:r>
      <w:r>
        <w:tab/>
        <w:t>Responsibilities of pound operator if NLIS device applied to animal</w:t>
      </w:r>
      <w:bookmarkEnd w:id="191"/>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192" w:name="_Toc202449359"/>
      <w:r>
        <w:rPr>
          <w:rStyle w:val="CharSectno"/>
        </w:rPr>
        <w:t>95</w:t>
      </w:r>
      <w:r>
        <w:t>.</w:t>
      </w:r>
      <w:r>
        <w:tab/>
        <w:t>Responsibilities of pound operator if animal moved from pound</w:t>
      </w:r>
      <w:bookmarkEnd w:id="192"/>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xml:space="preserve">, within 48 hours after the </w:t>
      </w:r>
      <w:r>
        <w:lastRenderedPageBreak/>
        <w:t>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193" w:name="_Toc202449360"/>
      <w:r>
        <w:rPr>
          <w:rStyle w:val="CharSectno"/>
        </w:rPr>
        <w:t>96</w:t>
      </w:r>
      <w:r>
        <w:t>.</w:t>
      </w:r>
      <w:r>
        <w:tab/>
        <w:t>Responsibilities of pound operator if animal dies on or while being moved to pound</w:t>
      </w:r>
      <w:bookmarkEnd w:id="193"/>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194" w:name="_Toc202443808"/>
      <w:bookmarkStart w:id="195" w:name="_Toc202444560"/>
      <w:bookmarkStart w:id="196" w:name="_Toc202449361"/>
      <w:r>
        <w:lastRenderedPageBreak/>
        <w:t>Subdivision 5 — Holding yards</w:t>
      </w:r>
      <w:bookmarkEnd w:id="194"/>
      <w:bookmarkEnd w:id="195"/>
      <w:bookmarkEnd w:id="196"/>
    </w:p>
    <w:p>
      <w:pPr>
        <w:pStyle w:val="Heading5"/>
      </w:pPr>
      <w:bookmarkStart w:id="197" w:name="_Toc202449362"/>
      <w:r>
        <w:rPr>
          <w:rStyle w:val="CharSectno"/>
        </w:rPr>
        <w:t>97</w:t>
      </w:r>
      <w:r>
        <w:t>.</w:t>
      </w:r>
      <w:r>
        <w:tab/>
        <w:t>Responsibilities of holding yard operator if no NLIS device applied to animal</w:t>
      </w:r>
      <w:bookmarkEnd w:id="197"/>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keepNext/>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198" w:name="_Toc202449363"/>
      <w:r>
        <w:rPr>
          <w:rStyle w:val="CharSectno"/>
        </w:rPr>
        <w:lastRenderedPageBreak/>
        <w:t>98</w:t>
      </w:r>
      <w:r>
        <w:t>.</w:t>
      </w:r>
      <w:r>
        <w:tab/>
        <w:t>Directions by inspectors</w:t>
      </w:r>
      <w:bookmarkEnd w:id="198"/>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199" w:name="_Toc202449364"/>
      <w:r>
        <w:rPr>
          <w:rStyle w:val="CharSectno"/>
        </w:rPr>
        <w:t>99</w:t>
      </w:r>
      <w:r>
        <w:t>.</w:t>
      </w:r>
      <w:r>
        <w:tab/>
        <w:t>Responsibilities of holding yard operator if animal born at or while being moved to holding yard</w:t>
      </w:r>
      <w:bookmarkEnd w:id="199"/>
    </w:p>
    <w:p>
      <w:pPr>
        <w:pStyle w:val="Subsection"/>
        <w:keepNext/>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200" w:name="_Toc202449365"/>
      <w:r>
        <w:rPr>
          <w:rStyle w:val="CharSectno"/>
        </w:rPr>
        <w:lastRenderedPageBreak/>
        <w:t>100</w:t>
      </w:r>
      <w:r>
        <w:t>.</w:t>
      </w:r>
      <w:r>
        <w:tab/>
        <w:t>Responsibilities of holding yard operator if consignment held for less than 48 hours and moved from holding yard in a single consignment</w:t>
      </w:r>
      <w:bookmarkEnd w:id="200"/>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201" w:name="_Toc202449366"/>
      <w:r>
        <w:rPr>
          <w:rStyle w:val="CharSectno"/>
        </w:rPr>
        <w:t>101</w:t>
      </w:r>
      <w:r>
        <w:t>.</w:t>
      </w:r>
      <w:r>
        <w:tab/>
        <w:t>Responsibilities of holding yard operator if animal held for less than 48 hours and moved from holding yard in different consignment</w:t>
      </w:r>
      <w:bookmarkEnd w:id="201"/>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lastRenderedPageBreak/>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202" w:name="_Toc202449367"/>
      <w:r>
        <w:rPr>
          <w:rStyle w:val="CharSectno"/>
        </w:rPr>
        <w:t>102</w:t>
      </w:r>
      <w:r>
        <w:t>.</w:t>
      </w:r>
      <w:r>
        <w:tab/>
        <w:t>Responsibilities of holding yard operator if animal held for more than 48 hours</w:t>
      </w:r>
      <w:bookmarkEnd w:id="202"/>
    </w:p>
    <w:p>
      <w:pPr>
        <w:pStyle w:val="Subsection"/>
        <w:keepNext/>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203" w:name="_Toc202443815"/>
      <w:bookmarkStart w:id="204" w:name="_Toc202444567"/>
      <w:bookmarkStart w:id="205" w:name="_Toc202449368"/>
      <w:r>
        <w:t>Subdivision 6 — Saleyards</w:t>
      </w:r>
      <w:bookmarkEnd w:id="203"/>
      <w:bookmarkEnd w:id="204"/>
      <w:bookmarkEnd w:id="205"/>
    </w:p>
    <w:p>
      <w:pPr>
        <w:pStyle w:val="Heading5"/>
      </w:pPr>
      <w:bookmarkStart w:id="206" w:name="_Toc202449369"/>
      <w:r>
        <w:rPr>
          <w:rStyle w:val="CharSectno"/>
        </w:rPr>
        <w:t>103</w:t>
      </w:r>
      <w:r>
        <w:t>.</w:t>
      </w:r>
      <w:r>
        <w:tab/>
        <w:t>When saleyard to be treated as holding yard</w:t>
      </w:r>
      <w:bookmarkEnd w:id="206"/>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lastRenderedPageBreak/>
        <w:tab/>
      </w:r>
      <w:r>
        <w:tab/>
        <w:t>regulations 97 to 99 apply, with any necessary modifications, to the movement of the cattle or buffalo as if the saleyard were a holding yard.</w:t>
      </w:r>
    </w:p>
    <w:p>
      <w:pPr>
        <w:pStyle w:val="Heading5"/>
      </w:pPr>
      <w:bookmarkStart w:id="207" w:name="_Toc202449370"/>
      <w:r>
        <w:rPr>
          <w:rStyle w:val="CharSectno"/>
        </w:rPr>
        <w:t>104</w:t>
      </w:r>
      <w:r>
        <w:t>.</w:t>
      </w:r>
      <w:r>
        <w:tab/>
        <w:t>Responsibilities of saleyard operator if no NLIS device applied to animal</w:t>
      </w:r>
      <w:bookmarkEnd w:id="207"/>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lastRenderedPageBreak/>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208" w:name="_Toc202449371"/>
      <w:r>
        <w:rPr>
          <w:rStyle w:val="CharSectno"/>
        </w:rPr>
        <w:t>105</w:t>
      </w:r>
      <w:r>
        <w:t>.</w:t>
      </w:r>
      <w:r>
        <w:tab/>
        <w:t>Directions by inspectors</w:t>
      </w:r>
      <w:bookmarkEnd w:id="208"/>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keepNext/>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209" w:name="_Toc202449372"/>
      <w:r>
        <w:rPr>
          <w:rStyle w:val="CharSectno"/>
        </w:rPr>
        <w:t>106</w:t>
      </w:r>
      <w:r>
        <w:t>.</w:t>
      </w:r>
      <w:r>
        <w:tab/>
        <w:t>Responsibilities of saleyard operator if animal born at or while being moved to saleyard</w:t>
      </w:r>
      <w:bookmarkEnd w:id="209"/>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lastRenderedPageBreak/>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10" w:name="_Toc202449373"/>
      <w:r>
        <w:rPr>
          <w:rStyle w:val="CharSectno"/>
        </w:rPr>
        <w:t>107</w:t>
      </w:r>
      <w:r>
        <w:t>.</w:t>
      </w:r>
      <w:r>
        <w:tab/>
        <w:t>Responsibilities of saleyard operator if NLIS device applied to animal</w:t>
      </w:r>
      <w:bookmarkEnd w:id="210"/>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211" w:name="_Toc202449374"/>
      <w:r>
        <w:rPr>
          <w:rStyle w:val="CharSectno"/>
        </w:rPr>
        <w:t>108</w:t>
      </w:r>
      <w:r>
        <w:t>.</w:t>
      </w:r>
      <w:r>
        <w:tab/>
        <w:t>Responsibilities of saleyard operator if animal moved from saleyard</w:t>
      </w:r>
      <w:bookmarkEnd w:id="211"/>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xml:space="preserve">, within 48 hours after the </w:t>
      </w:r>
      <w:r>
        <w:lastRenderedPageBreak/>
        <w:t>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212" w:name="_Toc202443822"/>
      <w:bookmarkStart w:id="213" w:name="_Toc202444574"/>
      <w:bookmarkStart w:id="214" w:name="_Toc202449375"/>
      <w:r>
        <w:t>Subdivision 7 — Abattoirs</w:t>
      </w:r>
      <w:bookmarkEnd w:id="212"/>
      <w:bookmarkEnd w:id="213"/>
      <w:bookmarkEnd w:id="214"/>
    </w:p>
    <w:p>
      <w:pPr>
        <w:pStyle w:val="Heading5"/>
      </w:pPr>
      <w:bookmarkStart w:id="215" w:name="_Toc202449376"/>
      <w:r>
        <w:rPr>
          <w:rStyle w:val="CharSectno"/>
        </w:rPr>
        <w:t>109</w:t>
      </w:r>
      <w:r>
        <w:t>.</w:t>
      </w:r>
      <w:r>
        <w:tab/>
        <w:t>Responsibilities of abattoir operator if no NLIS device is applied to animal</w:t>
      </w:r>
      <w:bookmarkEnd w:id="215"/>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lastRenderedPageBreak/>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lastRenderedPageBreak/>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216" w:name="_Toc202449377"/>
      <w:r>
        <w:rPr>
          <w:rStyle w:val="CharSectno"/>
        </w:rPr>
        <w:t>110</w:t>
      </w:r>
      <w:r>
        <w:t>.</w:t>
      </w:r>
      <w:r>
        <w:tab/>
        <w:t>Directions by inspectors</w:t>
      </w:r>
      <w:bookmarkEnd w:id="216"/>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217" w:name="_Toc202449378"/>
      <w:r>
        <w:rPr>
          <w:rStyle w:val="CharSectno"/>
        </w:rPr>
        <w:lastRenderedPageBreak/>
        <w:t>111</w:t>
      </w:r>
      <w:r>
        <w:t>.</w:t>
      </w:r>
      <w:r>
        <w:tab/>
        <w:t>Responsibilities of abattoir operator if animal born at or while being moved to abattoir</w:t>
      </w:r>
      <w:bookmarkEnd w:id="217"/>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218" w:name="_Toc202449379"/>
      <w:r>
        <w:rPr>
          <w:rStyle w:val="CharSectno"/>
        </w:rPr>
        <w:t>112</w:t>
      </w:r>
      <w:r>
        <w:t>.</w:t>
      </w:r>
      <w:r>
        <w:tab/>
      </w:r>
      <w:r>
        <w:rPr>
          <w:snapToGrid w:val="0"/>
        </w:rPr>
        <w:t>Responsibilities of abattoir operator if NLIS device applied to animal</w:t>
      </w:r>
      <w:bookmarkEnd w:id="218"/>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lastRenderedPageBreak/>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lastRenderedPageBreak/>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219" w:name="_Toc202449380"/>
      <w:r>
        <w:rPr>
          <w:rStyle w:val="CharSectno"/>
        </w:rPr>
        <w:t>113</w:t>
      </w:r>
      <w:r>
        <w:t>.</w:t>
      </w:r>
      <w:r>
        <w:tab/>
        <w:t>Responsibilities of abattoir operator if animal exempt from NLIS identification</w:t>
      </w:r>
      <w:bookmarkEnd w:id="219"/>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lastRenderedPageBreak/>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220" w:name="_Toc202449381"/>
      <w:r>
        <w:rPr>
          <w:rStyle w:val="CharSectno"/>
        </w:rPr>
        <w:t>114</w:t>
      </w:r>
      <w:r>
        <w:t>.</w:t>
      </w:r>
      <w:r>
        <w:tab/>
      </w:r>
      <w:r>
        <w:rPr>
          <w:snapToGrid w:val="0"/>
        </w:rPr>
        <w:t>Slaughtered animals moved to pet food processing plants</w:t>
      </w:r>
      <w:bookmarkEnd w:id="220"/>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lastRenderedPageBreak/>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221" w:name="_Toc202443829"/>
      <w:bookmarkStart w:id="222" w:name="_Toc202444581"/>
      <w:bookmarkStart w:id="223" w:name="_Toc202449382"/>
      <w:r>
        <w:t>Subdivision 8 — Export depots</w:t>
      </w:r>
      <w:bookmarkEnd w:id="221"/>
      <w:bookmarkEnd w:id="222"/>
      <w:bookmarkEnd w:id="223"/>
    </w:p>
    <w:p>
      <w:pPr>
        <w:pStyle w:val="Heading5"/>
      </w:pPr>
      <w:bookmarkStart w:id="224" w:name="_Toc202449383"/>
      <w:r>
        <w:rPr>
          <w:rStyle w:val="CharSectno"/>
        </w:rPr>
        <w:t>115</w:t>
      </w:r>
      <w:r>
        <w:t>.</w:t>
      </w:r>
      <w:r>
        <w:tab/>
        <w:t>Responsibilities of export depot operator if no NLIS device applied to animal</w:t>
      </w:r>
      <w:bookmarkEnd w:id="224"/>
    </w:p>
    <w:p>
      <w:pPr>
        <w:pStyle w:val="Subsection"/>
        <w:keepNext/>
      </w:pPr>
      <w:r>
        <w:tab/>
        <w:t>(1)</w:t>
      </w:r>
      <w:r>
        <w:tab/>
      </w:r>
      <w:r>
        <w:rPr>
          <w:snapToGrid w:val="0"/>
        </w:rPr>
        <w:t>Unless</w:t>
      </w:r>
      <w:r>
        <w:t xml:space="preserve"> an inspector in a particular case approves otherwise, if an animal to which an NLIS device is not applied is moved to an </w:t>
      </w:r>
      <w:r>
        <w:lastRenderedPageBreak/>
        <w:t xml:space="preserve">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lastRenderedPageBreak/>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225" w:name="_Toc202449384"/>
      <w:r>
        <w:rPr>
          <w:rStyle w:val="CharSectno"/>
        </w:rPr>
        <w:t>116</w:t>
      </w:r>
      <w:r>
        <w:t>.</w:t>
      </w:r>
      <w:r>
        <w:tab/>
        <w:t>Directions by inspectors</w:t>
      </w:r>
      <w:bookmarkEnd w:id="225"/>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226" w:name="_Toc202449385"/>
      <w:r>
        <w:rPr>
          <w:rStyle w:val="CharSectno"/>
        </w:rPr>
        <w:t>117</w:t>
      </w:r>
      <w:r>
        <w:t>.</w:t>
      </w:r>
      <w:r>
        <w:tab/>
        <w:t>Responsibilities of export depot operator if animal born at or while being moved to export depot</w:t>
      </w:r>
      <w:bookmarkEnd w:id="226"/>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lastRenderedPageBreak/>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27" w:name="_Toc202449386"/>
      <w:r>
        <w:rPr>
          <w:rStyle w:val="CharSectno"/>
        </w:rPr>
        <w:t>118</w:t>
      </w:r>
      <w:r>
        <w:t>.</w:t>
      </w:r>
      <w:r>
        <w:tab/>
        <w:t>Other responsibilities of export depot operators</w:t>
      </w:r>
      <w:bookmarkEnd w:id="227"/>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lastRenderedPageBreak/>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keepNext/>
      </w:pPr>
      <w:r>
        <w:tab/>
        <w:t>(6)</w:t>
      </w:r>
      <w:r>
        <w:tab/>
        <w:t xml:space="preserve">An export depot operator must not, without the approval of an inspector, move or permit to be moved from the export depot an </w:t>
      </w:r>
      <w:r>
        <w:lastRenderedPageBreak/>
        <w:t>animal to which an NLIS device is applied unless the device is functioning.</w:t>
      </w:r>
    </w:p>
    <w:p>
      <w:pPr>
        <w:pStyle w:val="Penstart"/>
        <w:keepNext/>
      </w:pPr>
      <w:r>
        <w:tab/>
        <w:t>Penalty for this subregulation: a fine of $5 000.</w:t>
      </w:r>
    </w:p>
    <w:p>
      <w:pPr>
        <w:pStyle w:val="Footnotesection"/>
      </w:pPr>
      <w:r>
        <w:tab/>
        <w:t>[Regulation 118 amended: Gazette 27 Jun 2019 p. 2423; SL 2021/204 r. 14.]</w:t>
      </w:r>
    </w:p>
    <w:p>
      <w:pPr>
        <w:pStyle w:val="Heading2"/>
      </w:pPr>
      <w:bookmarkStart w:id="228" w:name="_Toc202443834"/>
      <w:bookmarkStart w:id="229" w:name="_Toc202444586"/>
      <w:bookmarkStart w:id="230" w:name="_Toc202449387"/>
      <w:r>
        <w:rPr>
          <w:rStyle w:val="CharPartNo"/>
        </w:rPr>
        <w:lastRenderedPageBreak/>
        <w:t>Part 6</w:t>
      </w:r>
      <w:r>
        <w:t> — </w:t>
      </w:r>
      <w:r>
        <w:rPr>
          <w:rStyle w:val="CharPartText"/>
        </w:rPr>
        <w:t>Identifying pigs</w:t>
      </w:r>
      <w:bookmarkEnd w:id="228"/>
      <w:bookmarkEnd w:id="229"/>
      <w:bookmarkEnd w:id="230"/>
    </w:p>
    <w:p>
      <w:pPr>
        <w:pStyle w:val="Footnoteheading"/>
      </w:pPr>
      <w:r>
        <w:tab/>
        <w:t>[Heading amended: Gazette 27 Jun 2019 p. 2424; SL 2024/264 r. 13.]</w:t>
      </w:r>
    </w:p>
    <w:p>
      <w:pPr>
        <w:pStyle w:val="Ednotedivision"/>
      </w:pPr>
      <w:r>
        <w:t>[Division 1 (r. 119) deleted: SL 2024/264 r. 6.]</w:t>
      </w:r>
    </w:p>
    <w:p>
      <w:pPr>
        <w:pStyle w:val="Heading3"/>
      </w:pPr>
      <w:bookmarkStart w:id="231" w:name="_Toc202443835"/>
      <w:bookmarkStart w:id="232" w:name="_Toc202444587"/>
      <w:bookmarkStart w:id="233" w:name="_Toc202449388"/>
      <w:r>
        <w:rPr>
          <w:rStyle w:val="CharDivNo"/>
        </w:rPr>
        <w:t>Division 2</w:t>
      </w:r>
      <w:r>
        <w:t> — </w:t>
      </w:r>
      <w:r>
        <w:rPr>
          <w:rStyle w:val="CharDivText"/>
        </w:rPr>
        <w:t>Owners of pigs</w:t>
      </w:r>
      <w:bookmarkEnd w:id="231"/>
      <w:bookmarkEnd w:id="232"/>
      <w:bookmarkEnd w:id="233"/>
    </w:p>
    <w:p>
      <w:pPr>
        <w:pStyle w:val="Footnoteheading"/>
      </w:pPr>
      <w:r>
        <w:tab/>
        <w:t>[Heading amended: Gazette 27 Jun 2019 p. 2424; SL 2024/264 r. 13.]</w:t>
      </w:r>
    </w:p>
    <w:p>
      <w:pPr>
        <w:pStyle w:val="Ednotesubdivision"/>
      </w:pPr>
      <w:r>
        <w:t>[Subdivisions 1 (r. 120-123) and 2 (r. 124-127) deleted: SL 2024/264 r. 7.]</w:t>
      </w:r>
    </w:p>
    <w:p>
      <w:pPr>
        <w:pStyle w:val="Heading4"/>
      </w:pPr>
      <w:bookmarkStart w:id="234" w:name="_Toc202443836"/>
      <w:bookmarkStart w:id="235" w:name="_Toc202444588"/>
      <w:bookmarkStart w:id="236" w:name="_Toc202449389"/>
      <w:r>
        <w:t>Subdivision 2A — Identifiers for pigs</w:t>
      </w:r>
      <w:bookmarkEnd w:id="234"/>
      <w:bookmarkEnd w:id="235"/>
      <w:bookmarkEnd w:id="236"/>
    </w:p>
    <w:p>
      <w:pPr>
        <w:pStyle w:val="Footnoteheading"/>
      </w:pPr>
      <w:r>
        <w:tab/>
        <w:t>[Heading inserted: Gazette 27 Jun 2019 p. 2428.]</w:t>
      </w:r>
    </w:p>
    <w:p>
      <w:pPr>
        <w:pStyle w:val="Heading5"/>
      </w:pPr>
      <w:bookmarkStart w:id="237" w:name="_Toc202449390"/>
      <w:r>
        <w:rPr>
          <w:rStyle w:val="CharSectno"/>
        </w:rPr>
        <w:t>127A</w:t>
      </w:r>
      <w:r>
        <w:t>.</w:t>
      </w:r>
      <w:r>
        <w:tab/>
        <w:t>Owners to identify pigs</w:t>
      </w:r>
      <w:bookmarkEnd w:id="237"/>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lastRenderedPageBreak/>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238" w:name="_Toc202449391"/>
      <w:r>
        <w:rPr>
          <w:rStyle w:val="CharSectno"/>
        </w:rPr>
        <w:t>127B</w:t>
      </w:r>
      <w:r>
        <w:t>.</w:t>
      </w:r>
      <w:r>
        <w:tab/>
        <w:t>Exemption for unweaned pigs</w:t>
      </w:r>
      <w:bookmarkEnd w:id="238"/>
    </w:p>
    <w:p>
      <w:pPr>
        <w:pStyle w:val="Subsection"/>
        <w:keepLines/>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239" w:name="_Toc202449392"/>
      <w:r>
        <w:rPr>
          <w:rStyle w:val="CharSectno"/>
        </w:rPr>
        <w:t>127C</w:t>
      </w:r>
      <w:r>
        <w:t>.</w:t>
      </w:r>
      <w:r>
        <w:tab/>
        <w:t>Requirements for slap brands</w:t>
      </w:r>
      <w:bookmarkEnd w:id="239"/>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lastRenderedPageBreak/>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240" w:name="_Toc202443840"/>
      <w:bookmarkStart w:id="241" w:name="_Toc202444592"/>
      <w:bookmarkStart w:id="242" w:name="_Toc202449393"/>
      <w:r>
        <w:t>Subdivision 3 — NLIS requirements for pigs</w:t>
      </w:r>
      <w:bookmarkEnd w:id="240"/>
      <w:bookmarkEnd w:id="241"/>
      <w:bookmarkEnd w:id="242"/>
      <w:r>
        <w:t xml:space="preserve"> </w:t>
      </w:r>
    </w:p>
    <w:p>
      <w:pPr>
        <w:pStyle w:val="Footnoteheading"/>
        <w:keepNext/>
      </w:pPr>
      <w:r>
        <w:tab/>
        <w:t>[Heading inserted: Gazette 27 Jun 2019 p. 2429; amended: SL 2024/264 r. 13.]</w:t>
      </w:r>
    </w:p>
    <w:p>
      <w:pPr>
        <w:pStyle w:val="Ednotesection"/>
        <w:rPr>
          <w:i w:val="0"/>
        </w:rPr>
      </w:pPr>
      <w:r>
        <w:t>[</w:t>
      </w:r>
      <w:r>
        <w:rPr>
          <w:b/>
          <w:bCs/>
        </w:rPr>
        <w:t>128, 129.</w:t>
      </w:r>
      <w:r>
        <w:t xml:space="preserve"> </w:t>
      </w:r>
      <w:r>
        <w:tab/>
        <w:t>Deleted: SL 2024/264 r. 8.]</w:t>
      </w:r>
    </w:p>
    <w:p>
      <w:pPr>
        <w:pStyle w:val="Heading5"/>
      </w:pPr>
      <w:bookmarkStart w:id="243" w:name="_Toc202449394"/>
      <w:r>
        <w:rPr>
          <w:rStyle w:val="CharSectno"/>
        </w:rPr>
        <w:t>129A</w:t>
      </w:r>
      <w:r>
        <w:t>.</w:t>
      </w:r>
      <w:r>
        <w:tab/>
        <w:t>Responsibilities of owner before moving pigs</w:t>
      </w:r>
      <w:bookmarkEnd w:id="243"/>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lastRenderedPageBreak/>
        <w:tab/>
        <w:t>Penalty for this subregulation: a fine of $5 000.</w:t>
      </w:r>
    </w:p>
    <w:p>
      <w:pPr>
        <w:pStyle w:val="Footnotesection"/>
      </w:pPr>
      <w:r>
        <w:tab/>
        <w:t>[Regulation 129A inserted: Gazette 27 Jun 2019 p. 2430</w:t>
      </w:r>
      <w:r>
        <w:noBreakHyphen/>
        <w:t>1.]</w:t>
      </w:r>
    </w:p>
    <w:p>
      <w:pPr>
        <w:pStyle w:val="Heading5"/>
      </w:pPr>
      <w:bookmarkStart w:id="244" w:name="_Toc202449395"/>
      <w:r>
        <w:rPr>
          <w:rStyle w:val="CharSectno"/>
        </w:rPr>
        <w:t>129B</w:t>
      </w:r>
      <w:r>
        <w:t>.</w:t>
      </w:r>
      <w:r>
        <w:tab/>
        <w:t>Exemptions from identification of pigs</w:t>
      </w:r>
      <w:bookmarkEnd w:id="244"/>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245" w:name="_Toc202449396"/>
      <w:r>
        <w:rPr>
          <w:rStyle w:val="CharSectno"/>
        </w:rPr>
        <w:t>130</w:t>
      </w:r>
      <w:r>
        <w:t>.</w:t>
      </w:r>
      <w:r>
        <w:tab/>
      </w:r>
      <w:r>
        <w:rPr>
          <w:bCs/>
        </w:rPr>
        <w:t>Responsibilities of owner after moving pig</w:t>
      </w:r>
      <w:bookmarkEnd w:id="245"/>
    </w:p>
    <w:p>
      <w:pPr>
        <w:pStyle w:val="Subsection"/>
        <w:keepNext/>
        <w:rPr>
          <w:snapToGrid w:val="0"/>
        </w:rPr>
      </w:pPr>
      <w:r>
        <w:tab/>
        <w:t>(1)</w:t>
      </w:r>
      <w:r>
        <w:tab/>
        <w:t xml:space="preserve">Except as provided in subregulation (3), if an owner of a pig causes or permits a consignment of one or more pigs to be moved from a property on which the pig is, or pigs are, kept to a property without the same relevant PIC, </w:t>
      </w:r>
      <w:r>
        <w:rPr>
          <w:snapToGrid w:val="0"/>
        </w:rPr>
        <w:t xml:space="preserve">the owner must, within </w:t>
      </w:r>
      <w:r>
        <w:rPr>
          <w:snapToGrid w:val="0"/>
        </w:rPr>
        <w:lastRenderedPageBreak/>
        <w:t xml:space="preserve">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pig in a consignment to which an NLIS device is applied, if the owner, </w:t>
      </w:r>
      <w:r>
        <w:rPr>
          <w:snapToGrid w:val="0"/>
        </w:rPr>
        <w:t xml:space="preserve">within 48 hours </w:t>
      </w:r>
      <w:r>
        <w:t>after the pig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pig or pigs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 amended: SL 2024/264 r. 13.]</w:t>
      </w:r>
    </w:p>
    <w:p>
      <w:pPr>
        <w:pStyle w:val="Heading3"/>
      </w:pPr>
      <w:bookmarkStart w:id="246" w:name="_Toc202443844"/>
      <w:bookmarkStart w:id="247" w:name="_Toc202444596"/>
      <w:bookmarkStart w:id="248" w:name="_Toc202449397"/>
      <w:r>
        <w:rPr>
          <w:rStyle w:val="CharDivNo"/>
        </w:rPr>
        <w:lastRenderedPageBreak/>
        <w:t>Division 3</w:t>
      </w:r>
      <w:r>
        <w:t> — </w:t>
      </w:r>
      <w:r>
        <w:rPr>
          <w:rStyle w:val="CharDivText"/>
        </w:rPr>
        <w:t>Other NLIS requirements for pigs</w:t>
      </w:r>
      <w:bookmarkEnd w:id="246"/>
      <w:bookmarkEnd w:id="247"/>
      <w:bookmarkEnd w:id="248"/>
    </w:p>
    <w:p>
      <w:pPr>
        <w:pStyle w:val="Footnoteheading"/>
      </w:pPr>
      <w:r>
        <w:tab/>
        <w:t>[Heading inserted: Gazette 27 Jun 2019 p. 2432; amended: SL 2024/264 r. 13.]</w:t>
      </w:r>
    </w:p>
    <w:p>
      <w:pPr>
        <w:pStyle w:val="Heading4"/>
      </w:pPr>
      <w:bookmarkStart w:id="249" w:name="_Toc202443845"/>
      <w:bookmarkStart w:id="250" w:name="_Toc202444597"/>
      <w:bookmarkStart w:id="251" w:name="_Toc202449398"/>
      <w:r>
        <w:t>Subdivision 1 — Imported pigs, pigs from a pound and dead stray pigs</w:t>
      </w:r>
      <w:bookmarkEnd w:id="249"/>
      <w:bookmarkEnd w:id="250"/>
      <w:bookmarkEnd w:id="251"/>
    </w:p>
    <w:p>
      <w:pPr>
        <w:pStyle w:val="Footnoteheading"/>
      </w:pPr>
      <w:r>
        <w:tab/>
        <w:t>[Heading amended: SL 2024/264 r. 13.]</w:t>
      </w:r>
    </w:p>
    <w:p>
      <w:pPr>
        <w:pStyle w:val="Heading5"/>
      </w:pPr>
      <w:bookmarkStart w:id="252" w:name="_Toc202449399"/>
      <w:r>
        <w:rPr>
          <w:rStyle w:val="CharSectno"/>
        </w:rPr>
        <w:t>131</w:t>
      </w:r>
      <w:r>
        <w:t>.</w:t>
      </w:r>
      <w:r>
        <w:tab/>
      </w:r>
      <w:r>
        <w:rPr>
          <w:bCs/>
        </w:rPr>
        <w:t>Imported pigs</w:t>
      </w:r>
      <w:bookmarkEnd w:id="252"/>
    </w:p>
    <w:p>
      <w:pPr>
        <w:pStyle w:val="Subsection"/>
      </w:pPr>
      <w:r>
        <w:tab/>
      </w:r>
      <w:r>
        <w:tab/>
        <w:t>A person must not take possession or control of an imported pig unless the pig has an NLIS identifier applied to it.</w:t>
      </w:r>
    </w:p>
    <w:p>
      <w:pPr>
        <w:pStyle w:val="Penstart"/>
      </w:pPr>
      <w:r>
        <w:tab/>
        <w:t>Penalty: a fine of $5 000.</w:t>
      </w:r>
    </w:p>
    <w:p>
      <w:pPr>
        <w:pStyle w:val="Footnotesection"/>
      </w:pPr>
      <w:r>
        <w:tab/>
        <w:t>[Regulation 131 amended: SL 2024/264 r. 13.]</w:t>
      </w:r>
    </w:p>
    <w:p>
      <w:pPr>
        <w:pStyle w:val="Heading5"/>
      </w:pPr>
      <w:bookmarkStart w:id="253" w:name="_Toc202449400"/>
      <w:r>
        <w:rPr>
          <w:rStyle w:val="CharSectno"/>
        </w:rPr>
        <w:t>132</w:t>
      </w:r>
      <w:r>
        <w:t>.</w:t>
      </w:r>
      <w:r>
        <w:tab/>
      </w:r>
      <w:r>
        <w:rPr>
          <w:bCs/>
        </w:rPr>
        <w:t>Pigs from pound</w:t>
      </w:r>
      <w:bookmarkEnd w:id="253"/>
    </w:p>
    <w:p>
      <w:pPr>
        <w:pStyle w:val="Subsection"/>
      </w:pPr>
      <w:r>
        <w:tab/>
      </w:r>
      <w:r>
        <w:tab/>
        <w:t>A person must not take possession or control of a pig from a pound unless the pig has an NLIS identifier applied to it.</w:t>
      </w:r>
    </w:p>
    <w:p>
      <w:pPr>
        <w:pStyle w:val="Penstart"/>
      </w:pPr>
      <w:r>
        <w:tab/>
        <w:t>Penalty: a fine of $5 000.</w:t>
      </w:r>
    </w:p>
    <w:p>
      <w:pPr>
        <w:pStyle w:val="Footnotesection"/>
      </w:pPr>
      <w:r>
        <w:tab/>
        <w:t>[Regulation 132 amended: SL 2024/264 r. 13.]</w:t>
      </w:r>
    </w:p>
    <w:p>
      <w:pPr>
        <w:pStyle w:val="Heading5"/>
      </w:pPr>
      <w:bookmarkStart w:id="254" w:name="_Toc202449401"/>
      <w:r>
        <w:rPr>
          <w:rStyle w:val="CharSectno"/>
        </w:rPr>
        <w:t>133</w:t>
      </w:r>
      <w:r>
        <w:t>.</w:t>
      </w:r>
      <w:r>
        <w:tab/>
      </w:r>
      <w:r>
        <w:rPr>
          <w:bCs/>
        </w:rPr>
        <w:t>Dead stray pigs</w:t>
      </w:r>
      <w:bookmarkEnd w:id="254"/>
    </w:p>
    <w:p>
      <w:pPr>
        <w:pStyle w:val="Subsection"/>
        <w:keepNext/>
      </w:pPr>
      <w:r>
        <w:tab/>
        <w:t>(1)</w:t>
      </w:r>
      <w:r>
        <w:tab/>
        <w:t xml:space="preserve">In this regulation — </w:t>
      </w:r>
    </w:p>
    <w:p>
      <w:pPr>
        <w:pStyle w:val="Defstart"/>
      </w:pPr>
      <w:r>
        <w:tab/>
      </w:r>
      <w:r>
        <w:rPr>
          <w:rStyle w:val="CharDefText"/>
        </w:rPr>
        <w:t>NLIS identified pig</w:t>
      </w:r>
      <w:r>
        <w:t xml:space="preserve"> means a pig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pig or destroys an NLIS identified pig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keepNext/>
      </w:pPr>
      <w:r>
        <w:lastRenderedPageBreak/>
        <w:tab/>
        <w:t>(3)</w:t>
      </w:r>
      <w:r>
        <w:tab/>
        <w:t xml:space="preserve">If this regulation applies, the local government must, within 48 hours after the NLIS identified pig is found dead or is destroyed, update the NLIS database in relation to the pig’s NLIS device by recording the following — </w:t>
      </w:r>
    </w:p>
    <w:p>
      <w:pPr>
        <w:pStyle w:val="Indenta"/>
      </w:pPr>
      <w:r>
        <w:tab/>
        <w:t>(a)</w:t>
      </w:r>
      <w:r>
        <w:tab/>
        <w:t>the PIC of the pound operated by the local government;</w:t>
      </w:r>
    </w:p>
    <w:p>
      <w:pPr>
        <w:pStyle w:val="Indenta"/>
      </w:pPr>
      <w:r>
        <w:tab/>
        <w:t>(b)</w:t>
      </w:r>
      <w:r>
        <w:tab/>
        <w:t>the date the pig was found dead or was destroyed.</w:t>
      </w:r>
    </w:p>
    <w:p>
      <w:pPr>
        <w:pStyle w:val="Penstart"/>
      </w:pPr>
      <w:r>
        <w:tab/>
        <w:t>Penalty for this subregulation: a fine of $2 000.</w:t>
      </w:r>
    </w:p>
    <w:p>
      <w:pPr>
        <w:pStyle w:val="Footnotesection"/>
      </w:pPr>
      <w:r>
        <w:tab/>
        <w:t>[Regulation 133 amended: SL 2021/204 r. 14; SL 2024/264 r. 13.]</w:t>
      </w:r>
    </w:p>
    <w:p>
      <w:pPr>
        <w:pStyle w:val="Heading4"/>
      </w:pPr>
      <w:bookmarkStart w:id="255" w:name="_Toc202443849"/>
      <w:bookmarkStart w:id="256" w:name="_Toc202444601"/>
      <w:bookmarkStart w:id="257" w:name="_Toc202449402"/>
      <w:r>
        <w:t>Subdivision 2 — Carriers and purchasers</w:t>
      </w:r>
      <w:bookmarkEnd w:id="255"/>
      <w:bookmarkEnd w:id="256"/>
      <w:bookmarkEnd w:id="257"/>
    </w:p>
    <w:p>
      <w:pPr>
        <w:pStyle w:val="Heading5"/>
      </w:pPr>
      <w:bookmarkStart w:id="258" w:name="_Toc202449403"/>
      <w:r>
        <w:rPr>
          <w:rStyle w:val="CharSectno"/>
        </w:rPr>
        <w:t>134</w:t>
      </w:r>
      <w:r>
        <w:t>.</w:t>
      </w:r>
      <w:r>
        <w:tab/>
        <w:t>Responsibilities of carriers</w:t>
      </w:r>
      <w:bookmarkEnd w:id="258"/>
    </w:p>
    <w:p>
      <w:pPr>
        <w:pStyle w:val="Subsection"/>
      </w:pPr>
      <w:r>
        <w:tab/>
        <w:t>(1)</w:t>
      </w:r>
      <w:r>
        <w:tab/>
        <w:t>A carrier moving a pig from a property to a holding yard must, as soon as practicable after arriving there, endorse on the transport document relating to the pig —</w:t>
      </w:r>
    </w:p>
    <w:p>
      <w:pPr>
        <w:pStyle w:val="Indenta"/>
      </w:pPr>
      <w:r>
        <w:tab/>
        <w:t>(a)</w:t>
      </w:r>
      <w:r>
        <w:tab/>
        <w:t>the relevant PIC of the holding yard; and</w:t>
      </w:r>
    </w:p>
    <w:p>
      <w:pPr>
        <w:pStyle w:val="Indenta"/>
      </w:pPr>
      <w:r>
        <w:tab/>
        <w:t>(b)</w:t>
      </w:r>
      <w:r>
        <w:tab/>
        <w:t>the relevant PIC of the property to which the pig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w:t>
      </w:r>
      <w:r>
        <w:t>a pig</w:t>
      </w:r>
      <w:r>
        <w:rPr>
          <w:snapToGrid w:val="0"/>
        </w:rPr>
        <w:t xml:space="preserve"> to which an NLIS identifier is not applied, the carrier must keep the </w:t>
      </w:r>
      <w:r>
        <w:t>pig separate from —</w:t>
      </w:r>
    </w:p>
    <w:p>
      <w:pPr>
        <w:pStyle w:val="Indenta"/>
      </w:pPr>
      <w:r>
        <w:tab/>
        <w:t>(a)</w:t>
      </w:r>
      <w:r>
        <w:tab/>
        <w:t>any pig to which an NLIS identifier is applied; and</w:t>
      </w:r>
    </w:p>
    <w:p>
      <w:pPr>
        <w:pStyle w:val="Indenta"/>
      </w:pPr>
      <w:r>
        <w:tab/>
        <w:t>(b)</w:t>
      </w:r>
      <w:r>
        <w:tab/>
        <w:t>any pig being moved from another property.</w:t>
      </w:r>
    </w:p>
    <w:p>
      <w:pPr>
        <w:pStyle w:val="Penstart"/>
      </w:pPr>
      <w:r>
        <w:tab/>
        <w:t>Penalty for this subregulation: a fine of $2 000.</w:t>
      </w:r>
    </w:p>
    <w:p>
      <w:pPr>
        <w:pStyle w:val="Footnotesection"/>
      </w:pPr>
      <w:r>
        <w:tab/>
        <w:t>[Regulation 134 amended: SL 2021/204 r. 14; SL 2024/264 r. 13.]</w:t>
      </w:r>
    </w:p>
    <w:p>
      <w:pPr>
        <w:pStyle w:val="Heading5"/>
      </w:pPr>
      <w:bookmarkStart w:id="259" w:name="_Toc202449404"/>
      <w:r>
        <w:rPr>
          <w:rStyle w:val="CharSectno"/>
        </w:rPr>
        <w:lastRenderedPageBreak/>
        <w:t>135</w:t>
      </w:r>
      <w:r>
        <w:t>.</w:t>
      </w:r>
      <w:r>
        <w:tab/>
        <w:t>Responsibilities of purchasers</w:t>
      </w:r>
      <w:bookmarkEnd w:id="259"/>
    </w:p>
    <w:p>
      <w:pPr>
        <w:pStyle w:val="Subsection"/>
      </w:pPr>
      <w:r>
        <w:tab/>
        <w:t>(1)</w:t>
      </w:r>
      <w:r>
        <w:tab/>
        <w:t>A purchaser of a pig at a property, other than a saleyard, must, when requested by the property operator, give the</w:t>
      </w:r>
      <w:r>
        <w:rPr>
          <w:snapToGrid w:val="0"/>
        </w:rPr>
        <w:t xml:space="preserve"> relevant PIC of the property </w:t>
      </w:r>
      <w:r>
        <w:t>to which the pig is to be moved.</w:t>
      </w:r>
    </w:p>
    <w:p>
      <w:pPr>
        <w:pStyle w:val="Penstart"/>
      </w:pPr>
      <w:r>
        <w:tab/>
        <w:t>Penalty for this subregulation: a fine of $5 000.</w:t>
      </w:r>
    </w:p>
    <w:p>
      <w:pPr>
        <w:pStyle w:val="Subsection"/>
        <w:keepNext/>
      </w:pPr>
      <w:r>
        <w:tab/>
        <w:t>(2)</w:t>
      </w:r>
      <w:r>
        <w:tab/>
        <w:t>A purchaser of a pig at a saleyard must, when requested by the saleyard operator, give the saleyard operator either —</w:t>
      </w:r>
    </w:p>
    <w:p>
      <w:pPr>
        <w:pStyle w:val="Indenta"/>
      </w:pPr>
      <w:r>
        <w:tab/>
        <w:t>(a)</w:t>
      </w:r>
      <w:r>
        <w:tab/>
        <w:t>the relevant</w:t>
      </w:r>
      <w:r>
        <w:rPr>
          <w:snapToGrid w:val="0"/>
        </w:rPr>
        <w:t xml:space="preserve"> PIC of the property </w:t>
      </w:r>
      <w:r>
        <w:t>to which the pig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pigs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pig in a consignment to which an NLIS device is applied, if, within 48 hours after the pig is moved from the property, the purchaser updates the NLIS database in relation to the device by recording the information referred to in subregulation (3)(c) to (f).</w:t>
      </w:r>
    </w:p>
    <w:p>
      <w:pPr>
        <w:pStyle w:val="Subsection"/>
        <w:keepNext/>
        <w:rPr>
          <w:snapToGrid w:val="0"/>
        </w:rPr>
      </w:pPr>
      <w:r>
        <w:lastRenderedPageBreak/>
        <w:tab/>
        <w:t>(5)</w:t>
      </w:r>
      <w:r>
        <w:tab/>
        <w:t>If, in relation to the purchase of a consignment of one or more pigs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pig in a consignment to which an NLIS device is applied, if, within 24 hours after the pig is moved from the saleyard, the purchaser updates the NLIS database in relation to the device by recording the information referred to in subregulation (5)(c) to (f).</w:t>
      </w:r>
    </w:p>
    <w:p>
      <w:pPr>
        <w:pStyle w:val="Subsection"/>
        <w:keepNext/>
      </w:pPr>
      <w:r>
        <w:tab/>
        <w:t>(7)</w:t>
      </w:r>
      <w:r>
        <w:tab/>
        <w:t>A purchaser of a pig at a property must not take possession or control of the pig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 SL 2024/264 r. 13.]</w:t>
      </w:r>
    </w:p>
    <w:p>
      <w:pPr>
        <w:pStyle w:val="Heading4"/>
      </w:pPr>
      <w:bookmarkStart w:id="260" w:name="_Toc202443852"/>
      <w:bookmarkStart w:id="261" w:name="_Toc202444604"/>
      <w:bookmarkStart w:id="262" w:name="_Toc202449405"/>
      <w:r>
        <w:lastRenderedPageBreak/>
        <w:t>Subdivision 3 — General provisions relating to property operators</w:t>
      </w:r>
      <w:bookmarkEnd w:id="260"/>
      <w:bookmarkEnd w:id="261"/>
      <w:bookmarkEnd w:id="262"/>
    </w:p>
    <w:p>
      <w:pPr>
        <w:pStyle w:val="Heading5"/>
      </w:pPr>
      <w:bookmarkStart w:id="263" w:name="_Toc202449406"/>
      <w:r>
        <w:rPr>
          <w:rStyle w:val="CharSectno"/>
        </w:rPr>
        <w:t>136</w:t>
      </w:r>
      <w:r>
        <w:t>.</w:t>
      </w:r>
      <w:r>
        <w:tab/>
      </w:r>
      <w:r>
        <w:rPr>
          <w:bCs/>
        </w:rPr>
        <w:t>Pigs not to be delivered to property without relevant PIC</w:t>
      </w:r>
      <w:bookmarkEnd w:id="263"/>
    </w:p>
    <w:p>
      <w:pPr>
        <w:pStyle w:val="Subsection"/>
      </w:pPr>
      <w:r>
        <w:tab/>
      </w:r>
      <w:r>
        <w:tab/>
        <w:t>The operator of a property must not cause or permit a pig to be moved to the property unless the operator is the registered owner of a relevant PIC for the property.</w:t>
      </w:r>
    </w:p>
    <w:p>
      <w:pPr>
        <w:pStyle w:val="Penstart"/>
      </w:pPr>
      <w:r>
        <w:tab/>
        <w:t>Penalty: a fine of $5 000.</w:t>
      </w:r>
    </w:p>
    <w:p>
      <w:pPr>
        <w:pStyle w:val="Footnotesection"/>
      </w:pPr>
      <w:r>
        <w:tab/>
        <w:t>[Regulation 136 amended: SL 2024/264 r. 13.]</w:t>
      </w:r>
    </w:p>
    <w:p>
      <w:pPr>
        <w:pStyle w:val="Heading5"/>
      </w:pPr>
      <w:bookmarkStart w:id="264" w:name="_Toc202449407"/>
      <w:r>
        <w:rPr>
          <w:rStyle w:val="CharSectno"/>
        </w:rPr>
        <w:t>137</w:t>
      </w:r>
      <w:r>
        <w:t>.</w:t>
      </w:r>
      <w:r>
        <w:tab/>
      </w:r>
      <w:r>
        <w:rPr>
          <w:bCs/>
        </w:rPr>
        <w:t>Responsibilities of property operator if pig dies on or while being moved to property</w:t>
      </w:r>
      <w:bookmarkEnd w:id="264"/>
    </w:p>
    <w:p>
      <w:pPr>
        <w:pStyle w:val="Subsection"/>
      </w:pPr>
      <w:r>
        <w:tab/>
        <w:t>(1)</w:t>
      </w:r>
      <w:r>
        <w:tab/>
        <w:t>This regulation does not apply to a pig that dies on the farming property on which it is kept or while being moved from a property to another property with the same relevant PIC.</w:t>
      </w:r>
    </w:p>
    <w:p>
      <w:pPr>
        <w:pStyle w:val="Subsection"/>
      </w:pPr>
      <w:r>
        <w:tab/>
        <w:t>(2)</w:t>
      </w:r>
      <w:r>
        <w:tab/>
        <w:t xml:space="preserve">If one or more pigs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pigs that died;</w:t>
      </w:r>
    </w:p>
    <w:p>
      <w:pPr>
        <w:pStyle w:val="Indenta"/>
      </w:pPr>
      <w:r>
        <w:tab/>
        <w:t>(c)</w:t>
      </w:r>
      <w:r>
        <w:tab/>
        <w:t>the relevant PIC of the last property at which the pig was kept;</w:t>
      </w:r>
    </w:p>
    <w:p>
      <w:pPr>
        <w:pStyle w:val="Indenta"/>
      </w:pPr>
      <w:r>
        <w:tab/>
        <w:t>(d)</w:t>
      </w:r>
      <w:r>
        <w:tab/>
        <w:t>the relevant PIC of the property on which the pig or pigs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pig.</w:t>
      </w:r>
    </w:p>
    <w:p>
      <w:pPr>
        <w:pStyle w:val="Penstart"/>
      </w:pPr>
      <w:r>
        <w:tab/>
        <w:t>Penalty for this subregulation: a fine of $2 000.</w:t>
      </w:r>
    </w:p>
    <w:p>
      <w:pPr>
        <w:pStyle w:val="Subsection"/>
      </w:pPr>
      <w:r>
        <w:tab/>
        <w:t>(3)</w:t>
      </w:r>
      <w:r>
        <w:tab/>
        <w:t xml:space="preserve">It is sufficient compliance with subregulation (2), in relation to any pig in a consignment to which an NLIS device is applied, if within </w:t>
      </w:r>
      <w:r>
        <w:rPr>
          <w:snapToGrid w:val="0"/>
        </w:rPr>
        <w:t>48 hours</w:t>
      </w:r>
      <w:r>
        <w:t xml:space="preserve"> after the death of the pig, the property operator </w:t>
      </w:r>
      <w:r>
        <w:lastRenderedPageBreak/>
        <w:t>updates the NLIS database in relation to the device by recording the information referred to in subregulation (2)(c) to (f).</w:t>
      </w:r>
    </w:p>
    <w:p>
      <w:pPr>
        <w:pStyle w:val="Footnotesection"/>
      </w:pPr>
      <w:r>
        <w:tab/>
        <w:t>[Regulation 137 amended: Gazette 27 Jun 2019 p. 2434</w:t>
      </w:r>
      <w:r>
        <w:noBreakHyphen/>
        <w:t>5; SL 2021/204 r. 14; SL 2024/264 r. 13.]</w:t>
      </w:r>
    </w:p>
    <w:p>
      <w:pPr>
        <w:pStyle w:val="Heading4"/>
      </w:pPr>
      <w:bookmarkStart w:id="265" w:name="_Toc202443855"/>
      <w:bookmarkStart w:id="266" w:name="_Toc202444607"/>
      <w:bookmarkStart w:id="267" w:name="_Toc202449408"/>
      <w:r>
        <w:t>Subdivision 4 — Pounds</w:t>
      </w:r>
      <w:bookmarkEnd w:id="265"/>
      <w:bookmarkEnd w:id="266"/>
      <w:bookmarkEnd w:id="267"/>
    </w:p>
    <w:p>
      <w:pPr>
        <w:pStyle w:val="Heading5"/>
      </w:pPr>
      <w:bookmarkStart w:id="268" w:name="_Toc202449409"/>
      <w:r>
        <w:rPr>
          <w:rStyle w:val="CharSectno"/>
        </w:rPr>
        <w:t>138</w:t>
      </w:r>
      <w:r>
        <w:t>.</w:t>
      </w:r>
      <w:r>
        <w:tab/>
      </w:r>
      <w:r>
        <w:rPr>
          <w:bCs/>
        </w:rPr>
        <w:t>Responsibilities of pound operator if no NLIS device applied to pig</w:t>
      </w:r>
      <w:bookmarkEnd w:id="268"/>
    </w:p>
    <w:p>
      <w:pPr>
        <w:pStyle w:val="Subsection"/>
      </w:pPr>
      <w:r>
        <w:tab/>
        <w:t>(1)</w:t>
      </w:r>
      <w:r>
        <w:tab/>
        <w:t>This regulation does not apply to a pig to which an NLIS device is applied.</w:t>
      </w:r>
    </w:p>
    <w:p>
      <w:pPr>
        <w:pStyle w:val="Subsection"/>
      </w:pPr>
      <w:r>
        <w:tab/>
        <w:t>(2)</w:t>
      </w:r>
      <w:r>
        <w:tab/>
        <w:t>The operator of a pound may, before a pig is moved to the pound, apply, or cause to be applied, to the pig an NLIS post breeder tag.</w:t>
      </w:r>
    </w:p>
    <w:p>
      <w:pPr>
        <w:pStyle w:val="Subsection"/>
      </w:pPr>
      <w:r>
        <w:tab/>
        <w:t>(3)</w:t>
      </w:r>
      <w:r>
        <w:tab/>
        <w:t xml:space="preserve">Unless an inspector in a particular case approves otherwise, if a pig is moved to a pound before the pound operator has applied, or caused to be applied, to the pig an NLIS post breeder tag, the pound operator </w:t>
      </w:r>
      <w:r>
        <w:rPr>
          <w:snapToGrid w:val="0"/>
        </w:rPr>
        <w:t>must</w:t>
      </w:r>
      <w:r>
        <w:t>, within the period specified in subregulation (4), apply, or cause to be applied, to the pig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pig is moved to the pound and before it is moved from the pound.</w:t>
      </w:r>
    </w:p>
    <w:p>
      <w:pPr>
        <w:pStyle w:val="Footnotesection"/>
      </w:pPr>
      <w:r>
        <w:tab/>
        <w:t>[Regulation 138 amended: Gazette 27 Jun 2019 p. 2435; SL 2021/204 r. 14; SL 2024/264 r. 13.]</w:t>
      </w:r>
    </w:p>
    <w:p>
      <w:pPr>
        <w:pStyle w:val="Heading5"/>
      </w:pPr>
      <w:bookmarkStart w:id="269" w:name="_Toc202449410"/>
      <w:r>
        <w:rPr>
          <w:rStyle w:val="CharSectno"/>
        </w:rPr>
        <w:t>139</w:t>
      </w:r>
      <w:r>
        <w:t>.</w:t>
      </w:r>
      <w:r>
        <w:tab/>
      </w:r>
      <w:r>
        <w:rPr>
          <w:bCs/>
        </w:rPr>
        <w:t>Responsibilities of pound operator if pig born at or while being moved to pound</w:t>
      </w:r>
      <w:bookmarkEnd w:id="269"/>
    </w:p>
    <w:p>
      <w:pPr>
        <w:pStyle w:val="Subsection"/>
      </w:pPr>
      <w:r>
        <w:tab/>
      </w:r>
      <w:r>
        <w:tab/>
        <w:t xml:space="preserve">If a pig is born at, or while being moved to, a pound, the </w:t>
      </w:r>
      <w:r>
        <w:rPr>
          <w:snapToGrid w:val="0"/>
        </w:rPr>
        <w:t xml:space="preserve">pound operator </w:t>
      </w:r>
      <w:r>
        <w:t>must, as soon as practicable after its birth and before it is moved from the pound, apply, or cause to be applied, to the pig an NLIS post breeder tag.</w:t>
      </w:r>
    </w:p>
    <w:p>
      <w:pPr>
        <w:pStyle w:val="Penstart"/>
      </w:pPr>
      <w:r>
        <w:lastRenderedPageBreak/>
        <w:tab/>
        <w:t>Penalty: a fine of $2 000.</w:t>
      </w:r>
    </w:p>
    <w:p>
      <w:pPr>
        <w:pStyle w:val="Footnotesection"/>
      </w:pPr>
      <w:r>
        <w:tab/>
        <w:t>[Regulation 139 amended: SL 2024/264 r. 13.]</w:t>
      </w:r>
    </w:p>
    <w:p>
      <w:pPr>
        <w:pStyle w:val="Heading5"/>
      </w:pPr>
      <w:bookmarkStart w:id="270" w:name="_Toc202449411"/>
      <w:r>
        <w:rPr>
          <w:rStyle w:val="CharSectno"/>
        </w:rPr>
        <w:t>140</w:t>
      </w:r>
      <w:r>
        <w:t>.</w:t>
      </w:r>
      <w:r>
        <w:tab/>
      </w:r>
      <w:r>
        <w:rPr>
          <w:bCs/>
        </w:rPr>
        <w:t>Responsibilities of pound operator if NLIS device applied to pig</w:t>
      </w:r>
      <w:bookmarkEnd w:id="270"/>
    </w:p>
    <w:p>
      <w:pPr>
        <w:pStyle w:val="Subsection"/>
      </w:pPr>
      <w:r>
        <w:tab/>
        <w:t>(1)</w:t>
      </w:r>
      <w:r>
        <w:tab/>
        <w:t>If a pig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 xml:space="preserve">relating to the movement of the </w:t>
      </w:r>
      <w:r>
        <w:t>pig</w:t>
      </w:r>
      <w:r>
        <w:rPr>
          <w:snapToGrid w:val="0"/>
        </w:rPr>
        <w:t xml:space="preserve"> to the pound</w:t>
      </w:r>
      <w:r>
        <w:t>;</w:t>
      </w:r>
    </w:p>
    <w:p>
      <w:pPr>
        <w:pStyle w:val="Indenta"/>
      </w:pPr>
      <w:r>
        <w:tab/>
        <w:t>(c)</w:t>
      </w:r>
      <w:r>
        <w:tab/>
        <w:t>the date the pig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pig is moved to the pound and before it is moved from the pound.</w:t>
      </w:r>
    </w:p>
    <w:p>
      <w:pPr>
        <w:pStyle w:val="Footnotesection"/>
      </w:pPr>
      <w:r>
        <w:tab/>
        <w:t>[Regulation 140 amended: SL 2021/204 r. 14; SL 2024/264 r. 13.]</w:t>
      </w:r>
    </w:p>
    <w:p>
      <w:pPr>
        <w:pStyle w:val="Heading5"/>
      </w:pPr>
      <w:bookmarkStart w:id="271" w:name="_Toc202449412"/>
      <w:r>
        <w:rPr>
          <w:rStyle w:val="CharSectno"/>
        </w:rPr>
        <w:t>141</w:t>
      </w:r>
      <w:r>
        <w:t>.</w:t>
      </w:r>
      <w:r>
        <w:tab/>
      </w:r>
      <w:r>
        <w:rPr>
          <w:bCs/>
        </w:rPr>
        <w:t>Responsibilities of pound operator if pig moved from pound</w:t>
      </w:r>
      <w:bookmarkEnd w:id="271"/>
    </w:p>
    <w:p>
      <w:pPr>
        <w:pStyle w:val="Subsection"/>
      </w:pPr>
      <w:r>
        <w:tab/>
        <w:t>(1)</w:t>
      </w:r>
      <w:r>
        <w:tab/>
        <w:t xml:space="preserve">A pound operator must not move, or permit to be moved, from the pound a pig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pig is sold or otherwise supplied the relevant PIC of the property to which the pig is to be moved.</w:t>
      </w:r>
    </w:p>
    <w:p>
      <w:pPr>
        <w:pStyle w:val="Penstart"/>
      </w:pPr>
      <w:r>
        <w:tab/>
        <w:t>Penalty for this subregulation: a fine of $2 000.</w:t>
      </w:r>
    </w:p>
    <w:p>
      <w:pPr>
        <w:pStyle w:val="Subsection"/>
      </w:pPr>
      <w:r>
        <w:tab/>
        <w:t>(2)</w:t>
      </w:r>
      <w:r>
        <w:tab/>
        <w:t xml:space="preserve">If a consignment of one or more pigs, to which an NLIS device is not applied, is moved from a pound, the pound operator </w:t>
      </w:r>
      <w:r>
        <w:rPr>
          <w:snapToGrid w:val="0"/>
        </w:rPr>
        <w:t>must</w:t>
      </w:r>
      <w:r>
        <w:t xml:space="preserve">, </w:t>
      </w:r>
      <w:r>
        <w:lastRenderedPageBreak/>
        <w:t xml:space="preserve">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pigs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pig or pigs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 pig to which an NLIS device is applied is moved from a pound, the pound operator</w:t>
      </w:r>
      <w:r>
        <w:rPr>
          <w:snapToGrid w:val="0"/>
        </w:rPr>
        <w:t xml:space="preserve"> must</w:t>
      </w:r>
      <w:r>
        <w:t>, within 48 hours after the pig is moved, update the NLIS database in relation to the device by recording the following —</w:t>
      </w:r>
    </w:p>
    <w:p>
      <w:pPr>
        <w:pStyle w:val="Indenta"/>
      </w:pPr>
      <w:r>
        <w:tab/>
        <w:t>(a)</w:t>
      </w:r>
      <w:r>
        <w:tab/>
        <w:t>the relevant PIC of the property to which the pig has been moved;</w:t>
      </w:r>
    </w:p>
    <w:p>
      <w:pPr>
        <w:pStyle w:val="Indenta"/>
        <w:rPr>
          <w:snapToGrid w:val="0"/>
        </w:rPr>
      </w:pPr>
      <w:r>
        <w:tab/>
        <w:t>(b)</w:t>
      </w:r>
      <w:r>
        <w:tab/>
        <w:t xml:space="preserve">the serial number of the transport document </w:t>
      </w:r>
      <w:r>
        <w:rPr>
          <w:snapToGrid w:val="0"/>
        </w:rPr>
        <w:t xml:space="preserve">relating to the movement of the </w:t>
      </w:r>
      <w:r>
        <w:t>pig</w:t>
      </w:r>
      <w:r>
        <w:rPr>
          <w:snapToGrid w:val="0"/>
        </w:rPr>
        <w:t xml:space="preserve"> from the pound;</w:t>
      </w:r>
    </w:p>
    <w:p>
      <w:pPr>
        <w:pStyle w:val="Indenta"/>
      </w:pPr>
      <w:r>
        <w:tab/>
        <w:t>(c)</w:t>
      </w:r>
      <w:r>
        <w:tab/>
        <w:t>the date the pig was moved from the pound.</w:t>
      </w:r>
    </w:p>
    <w:p>
      <w:pPr>
        <w:pStyle w:val="Penstart"/>
      </w:pPr>
      <w:r>
        <w:tab/>
        <w:t>Penalty for this subregulation: a fine of $2 000.</w:t>
      </w:r>
    </w:p>
    <w:p>
      <w:pPr>
        <w:pStyle w:val="Footnotesection"/>
      </w:pPr>
      <w:r>
        <w:tab/>
        <w:t>[Regulation 141 amended: Gazette 27 Jun 2019 p. 2436; SL 2021/204 r. 14; SL 2024/264 r. 13.]</w:t>
      </w:r>
    </w:p>
    <w:p>
      <w:pPr>
        <w:pStyle w:val="Heading4"/>
        <w:keepLines/>
      </w:pPr>
      <w:bookmarkStart w:id="272" w:name="_Toc202443860"/>
      <w:bookmarkStart w:id="273" w:name="_Toc202444612"/>
      <w:bookmarkStart w:id="274" w:name="_Toc202449413"/>
      <w:r>
        <w:lastRenderedPageBreak/>
        <w:t>Subdivision 5 — Holding yards</w:t>
      </w:r>
      <w:bookmarkEnd w:id="272"/>
      <w:bookmarkEnd w:id="273"/>
      <w:bookmarkEnd w:id="274"/>
    </w:p>
    <w:p>
      <w:pPr>
        <w:pStyle w:val="Heading5"/>
      </w:pPr>
      <w:bookmarkStart w:id="275" w:name="_Toc202449414"/>
      <w:r>
        <w:rPr>
          <w:rStyle w:val="CharSectno"/>
        </w:rPr>
        <w:t>142</w:t>
      </w:r>
      <w:r>
        <w:t>.</w:t>
      </w:r>
      <w:r>
        <w:tab/>
      </w:r>
      <w:r>
        <w:rPr>
          <w:bCs/>
        </w:rPr>
        <w:t>Responsibility of holding yard operator if no NLIS identifier applied to pig</w:t>
      </w:r>
      <w:bookmarkEnd w:id="275"/>
    </w:p>
    <w:p>
      <w:pPr>
        <w:pStyle w:val="Subsection"/>
        <w:keepNext/>
        <w:keepLines/>
      </w:pPr>
      <w:r>
        <w:tab/>
        <w:t>(1)</w:t>
      </w:r>
      <w:r>
        <w:tab/>
        <w:t>In this regulation —</w:t>
      </w:r>
    </w:p>
    <w:p>
      <w:pPr>
        <w:pStyle w:val="Defstart"/>
        <w:rPr>
          <w:snapToGrid/>
        </w:rPr>
      </w:pPr>
      <w:r>
        <w:tab/>
      </w:r>
      <w:r>
        <w:rPr>
          <w:rStyle w:val="CharDefText"/>
        </w:rPr>
        <w:t>NLIS device</w:t>
      </w:r>
      <w:r>
        <w:t>, in relation to a pig moved to a holding yard, means an NLIS device in relation to which the NLIS database has been updated with the relevant PIC of the property from which the pig was moved to the holding yard</w:t>
      </w:r>
      <w:r>
        <w:rPr>
          <w:snapToGrid/>
        </w:rPr>
        <w:t>;</w:t>
      </w:r>
    </w:p>
    <w:p>
      <w:pPr>
        <w:pStyle w:val="Defstart"/>
        <w:keepNext/>
        <w:keepLines/>
      </w:pPr>
      <w:r>
        <w:rPr>
          <w:b/>
        </w:rPr>
        <w:tab/>
      </w:r>
      <w:r>
        <w:rPr>
          <w:rStyle w:val="CharDefText"/>
        </w:rPr>
        <w:t>NLIS tag</w:t>
      </w:r>
      <w:r>
        <w:t xml:space="preserve">, in relation to a pig moved to a holding yard, means an NLIS tag that displays — </w:t>
      </w:r>
    </w:p>
    <w:p>
      <w:pPr>
        <w:pStyle w:val="Defpara"/>
      </w:pPr>
      <w:r>
        <w:tab/>
        <w:t>(a)</w:t>
      </w:r>
      <w:r>
        <w:tab/>
        <w:t>the relevant PIC of the property from which the pig was moved to the holding yard; or</w:t>
      </w:r>
    </w:p>
    <w:p>
      <w:pPr>
        <w:pStyle w:val="Defpara"/>
      </w:pPr>
      <w:r>
        <w:tab/>
        <w:t>(b)</w:t>
      </w:r>
      <w:r>
        <w:tab/>
        <w:t>a registered identifier for which the corresponding PIC is the relevant PIC of the property from which the pig was moved to the holding yard.</w:t>
      </w:r>
    </w:p>
    <w:p>
      <w:pPr>
        <w:pStyle w:val="Subsection"/>
      </w:pPr>
      <w:r>
        <w:tab/>
        <w:t>(2)</w:t>
      </w:r>
      <w:r>
        <w:tab/>
        <w:t>Unless an inspector in a particular case approves otherwise, if a pig to which neither an NLIS tag nor an NLIS device is applied is moved to a holding yard, the holding yard operator must, within the period specified in subregulation (3), apply, or cause to be applied, to the pig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pig arrives at the holding yard and before it is moved from the holding yard.</w:t>
      </w:r>
    </w:p>
    <w:p>
      <w:pPr>
        <w:pStyle w:val="Subsection"/>
      </w:pPr>
      <w:r>
        <w:tab/>
        <w:t>(4)</w:t>
      </w:r>
      <w:r>
        <w:tab/>
        <w:t>If a consignment of pigs is moved to a holding yard and more than 10% of the pigs have neither an NLIS tag nor an NLIS device applied to them, the holding yard operator must —</w:t>
      </w:r>
    </w:p>
    <w:p>
      <w:pPr>
        <w:pStyle w:val="Indenta"/>
      </w:pPr>
      <w:r>
        <w:tab/>
        <w:t>(a)</w:t>
      </w:r>
      <w:r>
        <w:tab/>
        <w:t>hold the pigs at the holding yard; and</w:t>
      </w:r>
    </w:p>
    <w:p>
      <w:pPr>
        <w:pStyle w:val="Indenta"/>
        <w:keepNext/>
      </w:pPr>
      <w:r>
        <w:lastRenderedPageBreak/>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 SL 2024/264 r. 13.]</w:t>
      </w:r>
    </w:p>
    <w:p>
      <w:pPr>
        <w:pStyle w:val="Heading5"/>
      </w:pPr>
      <w:bookmarkStart w:id="276" w:name="_Toc202449415"/>
      <w:r>
        <w:rPr>
          <w:rStyle w:val="CharSectno"/>
        </w:rPr>
        <w:t>143</w:t>
      </w:r>
      <w:r>
        <w:t>.</w:t>
      </w:r>
      <w:r>
        <w:tab/>
        <w:t>Directions by inspectors</w:t>
      </w:r>
      <w:bookmarkEnd w:id="276"/>
    </w:p>
    <w:p>
      <w:pPr>
        <w:pStyle w:val="Subsection"/>
      </w:pPr>
      <w:r>
        <w:tab/>
        <w:t>(1)</w:t>
      </w:r>
      <w:r>
        <w:tab/>
        <w:t>For the purposes of regulation 142(4)(b), the inspector may give any necessary or convenient direction in relation to the pigs including —</w:t>
      </w:r>
    </w:p>
    <w:p>
      <w:pPr>
        <w:pStyle w:val="Indenta"/>
      </w:pPr>
      <w:r>
        <w:tab/>
        <w:t>(a)</w:t>
      </w:r>
      <w:r>
        <w:tab/>
        <w:t>to hold the pigs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 SL 2024/264 r. 13.]</w:t>
      </w:r>
    </w:p>
    <w:p>
      <w:pPr>
        <w:pStyle w:val="Heading5"/>
      </w:pPr>
      <w:bookmarkStart w:id="277" w:name="_Toc202449416"/>
      <w:r>
        <w:rPr>
          <w:rStyle w:val="CharSectno"/>
        </w:rPr>
        <w:t>144</w:t>
      </w:r>
      <w:r>
        <w:t>.</w:t>
      </w:r>
      <w:r>
        <w:tab/>
      </w:r>
      <w:r>
        <w:rPr>
          <w:bCs/>
        </w:rPr>
        <w:t>Responsibilities of holding yard operator if pig born at or while being moved to holding yard</w:t>
      </w:r>
      <w:bookmarkEnd w:id="277"/>
    </w:p>
    <w:p>
      <w:pPr>
        <w:pStyle w:val="Subsection"/>
      </w:pPr>
      <w:r>
        <w:tab/>
      </w:r>
      <w:r>
        <w:tab/>
        <w:t xml:space="preserve">If a pig is born at, or while being moved to, a holding yard, the </w:t>
      </w:r>
      <w:r>
        <w:rPr>
          <w:snapToGrid w:val="0"/>
        </w:rPr>
        <w:t xml:space="preserve">holding yard operator </w:t>
      </w:r>
      <w:r>
        <w:t>must, as soon as practicable after its birth and before it is moved from the holding yard, apply, or cause to be applied, to the pig an NLIS post breeder tag.</w:t>
      </w:r>
    </w:p>
    <w:p>
      <w:pPr>
        <w:pStyle w:val="Penstart"/>
      </w:pPr>
      <w:r>
        <w:tab/>
        <w:t>Penalty: a fine of $2 000.</w:t>
      </w:r>
    </w:p>
    <w:p>
      <w:pPr>
        <w:pStyle w:val="Footnotesection"/>
      </w:pPr>
      <w:r>
        <w:tab/>
        <w:t>[Regulation 144 amended: SL 2024/264 r. 13.]</w:t>
      </w:r>
    </w:p>
    <w:p>
      <w:pPr>
        <w:pStyle w:val="Heading5"/>
      </w:pPr>
      <w:bookmarkStart w:id="278" w:name="_Toc202449417"/>
      <w:r>
        <w:rPr>
          <w:rStyle w:val="CharSectno"/>
        </w:rPr>
        <w:lastRenderedPageBreak/>
        <w:t>145</w:t>
      </w:r>
      <w:r>
        <w:t>.</w:t>
      </w:r>
      <w:r>
        <w:tab/>
      </w:r>
      <w:r>
        <w:rPr>
          <w:bCs/>
        </w:rPr>
        <w:t>Responsibilities of holding yard operator if pig held at holding yard for more than 48 hours or moved from holding yard in different consignment</w:t>
      </w:r>
      <w:bookmarkEnd w:id="278"/>
    </w:p>
    <w:p>
      <w:pPr>
        <w:pStyle w:val="Subsection"/>
        <w:keepNext/>
      </w:pPr>
      <w:r>
        <w:tab/>
        <w:t>(1)</w:t>
      </w:r>
      <w:r>
        <w:tab/>
        <w:t xml:space="preserve">If a pig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pig is moved from the holding yard, apply, or cause to be applied, to the pig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pig an NLIS post breeder tag; or</w:t>
      </w:r>
    </w:p>
    <w:p>
      <w:pPr>
        <w:pStyle w:val="Indenta"/>
      </w:pPr>
      <w:r>
        <w:tab/>
        <w:t>(c)</w:t>
      </w:r>
      <w:r>
        <w:tab/>
        <w:t>the pig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 SL 2024/264 r. 13.]</w:t>
      </w:r>
    </w:p>
    <w:p>
      <w:pPr>
        <w:pStyle w:val="Heading5"/>
      </w:pPr>
      <w:bookmarkStart w:id="279" w:name="_Toc202449418"/>
      <w:r>
        <w:rPr>
          <w:rStyle w:val="CharSectno"/>
        </w:rPr>
        <w:t>146</w:t>
      </w:r>
      <w:r>
        <w:t>.</w:t>
      </w:r>
      <w:r>
        <w:tab/>
        <w:t>Other responsibilities of holding yard operators</w:t>
      </w:r>
      <w:bookmarkEnd w:id="279"/>
    </w:p>
    <w:p>
      <w:pPr>
        <w:pStyle w:val="Subsection"/>
      </w:pPr>
      <w:r>
        <w:tab/>
        <w:t>(1)</w:t>
      </w:r>
      <w:r>
        <w:tab/>
        <w:t xml:space="preserve">Unless an inspector in a particular case approves otherwise, if a consignment of one or more pigs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lastRenderedPageBreak/>
        <w:tab/>
        <w:t>(b)</w:t>
      </w:r>
      <w:r>
        <w:tab/>
        <w:t>the number of pigs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pig or pigs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pig or pigs;</w:t>
      </w:r>
    </w:p>
    <w:p>
      <w:pPr>
        <w:pStyle w:val="Indenta"/>
      </w:pPr>
      <w:r>
        <w:tab/>
        <w:t>(h)</w:t>
      </w:r>
      <w:r>
        <w:tab/>
        <w:t>the date the consignment arrived at the holding yard.</w:t>
      </w:r>
    </w:p>
    <w:p>
      <w:pPr>
        <w:pStyle w:val="Penstart"/>
      </w:pPr>
      <w:r>
        <w:tab/>
        <w:t>Penalty for this subregulation: a fine of $2 000.</w:t>
      </w:r>
    </w:p>
    <w:p>
      <w:pPr>
        <w:pStyle w:val="Subsection"/>
        <w:keepNext/>
      </w:pPr>
      <w:r>
        <w:tab/>
        <w:t>(2)</w:t>
      </w:r>
      <w:r>
        <w:tab/>
        <w:t>It is sufficient compliance with subregulation (1), in relation to any pig in a consignment to which an NLIS device is applied, if the holding yard operator, before the pig is moved from the holding yard, updates the NLIS database in relation to the device by recording the information referred to in subregulation (1)(c), (d), (f) and (h).</w:t>
      </w:r>
    </w:p>
    <w:p>
      <w:pPr>
        <w:pStyle w:val="Footnotesection"/>
      </w:pPr>
      <w:r>
        <w:tab/>
        <w:t>[Regulation 146 amended: Gazette 27 Jun 2019 p. 2436; SL 2021/204 r. 14; SL 2024/264 r. 13.]</w:t>
      </w:r>
    </w:p>
    <w:p>
      <w:pPr>
        <w:pStyle w:val="Heading4"/>
      </w:pPr>
      <w:bookmarkStart w:id="280" w:name="_Toc202443866"/>
      <w:bookmarkStart w:id="281" w:name="_Toc202444618"/>
      <w:bookmarkStart w:id="282" w:name="_Toc202449419"/>
      <w:r>
        <w:t>Subdivision 6 — Saleyards</w:t>
      </w:r>
      <w:bookmarkEnd w:id="280"/>
      <w:bookmarkEnd w:id="281"/>
      <w:bookmarkEnd w:id="282"/>
    </w:p>
    <w:p>
      <w:pPr>
        <w:pStyle w:val="Heading5"/>
      </w:pPr>
      <w:bookmarkStart w:id="283" w:name="_Toc202449420"/>
      <w:r>
        <w:rPr>
          <w:rStyle w:val="CharSectno"/>
        </w:rPr>
        <w:t>147</w:t>
      </w:r>
      <w:r>
        <w:t>.</w:t>
      </w:r>
      <w:r>
        <w:tab/>
        <w:t>When saleyard to be treated as holding yard</w:t>
      </w:r>
      <w:bookmarkEnd w:id="283"/>
    </w:p>
    <w:p>
      <w:pPr>
        <w:pStyle w:val="Subsection"/>
      </w:pPr>
      <w:r>
        <w:tab/>
      </w:r>
      <w:r>
        <w:tab/>
        <w:t>If a pig is moved to a saleyard for purposes other than for sale, and while the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lastRenderedPageBreak/>
        <w:tab/>
      </w:r>
      <w:r>
        <w:tab/>
        <w:t>regulations 142 to 146 apply, with any necessary modifications, to the movement of the pig as if the saleyard were a holding yard.</w:t>
      </w:r>
    </w:p>
    <w:p>
      <w:pPr>
        <w:pStyle w:val="Footnotesection"/>
      </w:pPr>
      <w:r>
        <w:tab/>
        <w:t>[Regulation 147 amended: Gazette 27 Jun 2019 p. 2436</w:t>
      </w:r>
      <w:r>
        <w:noBreakHyphen/>
        <w:t>7; SL 2024/264 r. 13.]</w:t>
      </w:r>
    </w:p>
    <w:p>
      <w:pPr>
        <w:pStyle w:val="Heading5"/>
      </w:pPr>
      <w:bookmarkStart w:id="284" w:name="_Toc202449421"/>
      <w:r>
        <w:rPr>
          <w:rStyle w:val="CharSectno"/>
        </w:rPr>
        <w:t>148</w:t>
      </w:r>
      <w:r>
        <w:t>.</w:t>
      </w:r>
      <w:r>
        <w:tab/>
      </w:r>
      <w:r>
        <w:rPr>
          <w:bCs/>
        </w:rPr>
        <w:t>Responsibilities of saleyard operator if no NLIS identifier applied to pig</w:t>
      </w:r>
      <w:bookmarkEnd w:id="284"/>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 pig moved to a saleyard, means an NLIS device in relation to which the NLIS database has been updated with the relevant PIC of the property from which the pig was moved to the saleyard</w:t>
      </w:r>
      <w:r>
        <w:rPr>
          <w:snapToGrid/>
        </w:rPr>
        <w:t>;</w:t>
      </w:r>
    </w:p>
    <w:p>
      <w:pPr>
        <w:pStyle w:val="Defstart"/>
        <w:keepLines/>
      </w:pPr>
      <w:r>
        <w:rPr>
          <w:b/>
        </w:rPr>
        <w:tab/>
      </w:r>
      <w:r>
        <w:rPr>
          <w:rStyle w:val="CharDefText"/>
        </w:rPr>
        <w:t>NLIS tag</w:t>
      </w:r>
      <w:r>
        <w:t xml:space="preserve">, in relation to a pig moved to a saleyard, means an NLIS tag that displays — </w:t>
      </w:r>
    </w:p>
    <w:p>
      <w:pPr>
        <w:pStyle w:val="Defpara"/>
      </w:pPr>
      <w:r>
        <w:tab/>
        <w:t>(a)</w:t>
      </w:r>
      <w:r>
        <w:tab/>
        <w:t>the relevant PIC of the property from which the pig was moved to the saleyard; or</w:t>
      </w:r>
    </w:p>
    <w:p>
      <w:pPr>
        <w:pStyle w:val="Defpara"/>
      </w:pPr>
      <w:r>
        <w:tab/>
        <w:t>(b)</w:t>
      </w:r>
      <w:r>
        <w:tab/>
        <w:t>a registered identifier for which the corresponding PIC is the relevant PIC of the property from which the pig was moved to the saleyard.</w:t>
      </w:r>
    </w:p>
    <w:p>
      <w:pPr>
        <w:pStyle w:val="Subsection"/>
      </w:pPr>
      <w:r>
        <w:tab/>
        <w:t>(2)</w:t>
      </w:r>
      <w:r>
        <w:tab/>
        <w:t>Unless an inspector in a particular case approves otherwise, if a pig to which neither an NLIS tag nor an NLIS device is applied is moved to a saleyard, the saleyard operator must, within the period specified in subregulation (3), apply, or cause to be applied, to the pig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pig arrives at the saleyard and before it is sold or moved from the saleyard.</w:t>
      </w:r>
    </w:p>
    <w:p>
      <w:pPr>
        <w:pStyle w:val="Subsection"/>
      </w:pPr>
      <w:r>
        <w:tab/>
        <w:t>(4)</w:t>
      </w:r>
      <w:r>
        <w:tab/>
        <w:t>Except as provided in subregulation (5), if a consignment of pigs is moved to a saleyard and more than 10% of the pigs have neither an NLIS tag nor an NLIS device applied to them, the operator of the saleyard must —</w:t>
      </w:r>
    </w:p>
    <w:p>
      <w:pPr>
        <w:pStyle w:val="Indenta"/>
      </w:pPr>
      <w:r>
        <w:lastRenderedPageBreak/>
        <w:tab/>
        <w:t>(a)</w:t>
      </w:r>
      <w:r>
        <w:tab/>
        <w:t>hold the pigs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 (4) does not apply to a consignment of pigs to which an NLIS identifier is not applied that is moved to a saleyard under the exemption in regulation 129B(1)(b).</w:t>
      </w:r>
    </w:p>
    <w:p>
      <w:pPr>
        <w:pStyle w:val="Footnotesection"/>
      </w:pPr>
      <w:r>
        <w:tab/>
        <w:t>[Regulation 148 amended: Gazette 27 Jun 2019 p. 2437; SL 2021/204 r. 14; SL 2024/264 r. 9 and 13.]</w:t>
      </w:r>
    </w:p>
    <w:p>
      <w:pPr>
        <w:pStyle w:val="Heading5"/>
      </w:pPr>
      <w:bookmarkStart w:id="285" w:name="_Toc202449422"/>
      <w:r>
        <w:rPr>
          <w:rStyle w:val="CharSectno"/>
        </w:rPr>
        <w:t>149</w:t>
      </w:r>
      <w:r>
        <w:t>.</w:t>
      </w:r>
      <w:r>
        <w:tab/>
        <w:t>Directions by inspectors</w:t>
      </w:r>
      <w:bookmarkEnd w:id="285"/>
    </w:p>
    <w:p>
      <w:pPr>
        <w:pStyle w:val="Subsection"/>
      </w:pPr>
      <w:r>
        <w:tab/>
        <w:t>(1)</w:t>
      </w:r>
      <w:r>
        <w:tab/>
        <w:t>For the purposes of regulation 148(4)(b), the inspector may give any necessary or convenient direction in relation to the pigs including —</w:t>
      </w:r>
    </w:p>
    <w:p>
      <w:pPr>
        <w:pStyle w:val="Indenta"/>
      </w:pPr>
      <w:r>
        <w:tab/>
        <w:t>(a)</w:t>
      </w:r>
      <w:r>
        <w:tab/>
        <w:t>to hold the pigs at the saleyard; and</w:t>
      </w:r>
    </w:p>
    <w:p>
      <w:pPr>
        <w:pStyle w:val="Indenta"/>
      </w:pPr>
      <w:r>
        <w:tab/>
        <w:t>(b)</w:t>
      </w:r>
      <w:r>
        <w:tab/>
        <w:t>to move them to, and hold them at, another place specified by the inspector; and</w:t>
      </w:r>
    </w:p>
    <w:p>
      <w:pPr>
        <w:pStyle w:val="Indenta"/>
        <w:keepNext/>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 SL 2024/264 r. 13.]</w:t>
      </w:r>
    </w:p>
    <w:p>
      <w:pPr>
        <w:pStyle w:val="Heading5"/>
      </w:pPr>
      <w:bookmarkStart w:id="286" w:name="_Toc202449423"/>
      <w:r>
        <w:rPr>
          <w:rStyle w:val="CharSectno"/>
        </w:rPr>
        <w:t>150</w:t>
      </w:r>
      <w:r>
        <w:t>.</w:t>
      </w:r>
      <w:r>
        <w:tab/>
      </w:r>
      <w:r>
        <w:rPr>
          <w:bCs/>
        </w:rPr>
        <w:t>Responsibilities of saleyard operator if pig born at or while being moved to saleyard</w:t>
      </w:r>
      <w:bookmarkEnd w:id="286"/>
    </w:p>
    <w:p>
      <w:pPr>
        <w:pStyle w:val="Subsection"/>
      </w:pPr>
      <w:r>
        <w:tab/>
      </w:r>
      <w:r>
        <w:tab/>
        <w:t>If a pig is born at, or while being moved to, a saleyard, the saleyard operator must, as soon as practicable after its birth and before it is sold or moved from the saleyard, apply, or cause to be applied, to the pig an NLIS post breeder tag.</w:t>
      </w:r>
    </w:p>
    <w:p>
      <w:pPr>
        <w:pStyle w:val="Penstart"/>
      </w:pPr>
      <w:r>
        <w:tab/>
        <w:t>Penalty: a fine of $5 000.</w:t>
      </w:r>
    </w:p>
    <w:p>
      <w:pPr>
        <w:pStyle w:val="Footnotesection"/>
      </w:pPr>
      <w:r>
        <w:tab/>
        <w:t>[Regulation 150 amended: SL 2024/264 r. 13.]</w:t>
      </w:r>
    </w:p>
    <w:p>
      <w:pPr>
        <w:pStyle w:val="Heading5"/>
      </w:pPr>
      <w:bookmarkStart w:id="287" w:name="_Toc202449424"/>
      <w:r>
        <w:rPr>
          <w:rStyle w:val="CharSectno"/>
        </w:rPr>
        <w:lastRenderedPageBreak/>
        <w:t>151</w:t>
      </w:r>
      <w:r>
        <w:t>.</w:t>
      </w:r>
      <w:r>
        <w:tab/>
      </w:r>
      <w:r>
        <w:rPr>
          <w:bCs/>
        </w:rPr>
        <w:t>Responsibilities of saleyard operator if pig moved from saleyard</w:t>
      </w:r>
      <w:bookmarkEnd w:id="287"/>
    </w:p>
    <w:p>
      <w:pPr>
        <w:pStyle w:val="Subsection"/>
        <w:keepNext/>
      </w:pPr>
      <w:r>
        <w:tab/>
        <w:t>(1)</w:t>
      </w:r>
      <w:r>
        <w:tab/>
        <w:t xml:space="preserve">A saleyard operator must not move, or permit to be moved, from the saleyard a pig to which an NLIS identifier is applied unless — </w:t>
      </w:r>
    </w:p>
    <w:p>
      <w:pPr>
        <w:pStyle w:val="Indenta"/>
      </w:pPr>
      <w:r>
        <w:tab/>
        <w:t>(a)</w:t>
      </w:r>
      <w:r>
        <w:tab/>
        <w:t>it is moved back to the property from which it came, or to another property with a relevant PIC, and the saleyard operator has obtained from the person to whom the pig is sold or otherwise supplied the relevant PIC of the property to which the pig is to be moved; or</w:t>
      </w:r>
    </w:p>
    <w:p>
      <w:pPr>
        <w:pStyle w:val="Indenta"/>
      </w:pPr>
      <w:r>
        <w:tab/>
        <w:t>(b)</w:t>
      </w:r>
      <w:r>
        <w:tab/>
        <w:t>the saleyard operator has obtained from the person to whom the pig is sold or otherwise supplied the person’s BIC.</w:t>
      </w:r>
    </w:p>
    <w:p>
      <w:pPr>
        <w:pStyle w:val="Penstart"/>
      </w:pPr>
      <w:r>
        <w:tab/>
        <w:t>Penalty for this subregulation: a fine of $5 000.</w:t>
      </w:r>
    </w:p>
    <w:p>
      <w:pPr>
        <w:pStyle w:val="Subsection"/>
        <w:keepNext/>
      </w:pPr>
      <w:r>
        <w:tab/>
        <w:t>(2)</w:t>
      </w:r>
      <w:r>
        <w:tab/>
        <w:t>A saleyard operator must not, without the approval of an inspector, cause or permit a pig to which an NLIS tag is applied to be sold or moved from the saleyard unless the tag is legible.</w:t>
      </w:r>
    </w:p>
    <w:p>
      <w:pPr>
        <w:pStyle w:val="Penstart"/>
        <w:keepNext/>
      </w:pPr>
      <w:r>
        <w:tab/>
        <w:t>Penalty for this subregulation: a fine of $5 000.</w:t>
      </w:r>
    </w:p>
    <w:p>
      <w:pPr>
        <w:pStyle w:val="Footnotesection"/>
      </w:pPr>
      <w:r>
        <w:tab/>
        <w:t>[Regulation 151 amended: Gazette 27 Jun 2019 p. 2437; SL 2021/204 r. 14; SL 2024/264 r. 13.]</w:t>
      </w:r>
    </w:p>
    <w:p>
      <w:pPr>
        <w:pStyle w:val="Heading5"/>
      </w:pPr>
      <w:bookmarkStart w:id="288" w:name="_Toc202449425"/>
      <w:r>
        <w:rPr>
          <w:rStyle w:val="CharSectno"/>
        </w:rPr>
        <w:t>152</w:t>
      </w:r>
      <w:r>
        <w:t>.</w:t>
      </w:r>
      <w:r>
        <w:tab/>
        <w:t>Other responsibilities of saleyard operators</w:t>
      </w:r>
      <w:bookmarkEnd w:id="288"/>
    </w:p>
    <w:p>
      <w:pPr>
        <w:pStyle w:val="Subsection"/>
      </w:pPr>
      <w:r>
        <w:tab/>
        <w:t>(1)</w:t>
      </w:r>
      <w:r>
        <w:tab/>
        <w:t>The operator of a saleyard must, within the period specified in subregulation (3), record in the NLIS database the movement of a consignment of pigs to the saleyard, and any subsequent sale or other movement of a consignment of pigs from the saleyard, including the following (as applicable)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lastRenderedPageBreak/>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pig or pigs;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pig or pigs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pig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 SL 2024/264 r. 13.]</w:t>
      </w:r>
    </w:p>
    <w:p>
      <w:pPr>
        <w:pStyle w:val="Heading4"/>
      </w:pPr>
      <w:bookmarkStart w:id="289" w:name="_Toc202443873"/>
      <w:bookmarkStart w:id="290" w:name="_Toc202444625"/>
      <w:bookmarkStart w:id="291" w:name="_Toc202449426"/>
      <w:r>
        <w:lastRenderedPageBreak/>
        <w:t>Subdivision 7 — Abattoirs</w:t>
      </w:r>
      <w:bookmarkEnd w:id="289"/>
      <w:bookmarkEnd w:id="290"/>
      <w:bookmarkEnd w:id="291"/>
    </w:p>
    <w:p>
      <w:pPr>
        <w:pStyle w:val="Heading5"/>
      </w:pPr>
      <w:bookmarkStart w:id="292" w:name="_Toc202449427"/>
      <w:r>
        <w:rPr>
          <w:rStyle w:val="CharSectno"/>
        </w:rPr>
        <w:t>153</w:t>
      </w:r>
      <w:r>
        <w:t>.</w:t>
      </w:r>
      <w:r>
        <w:tab/>
      </w:r>
      <w:r>
        <w:rPr>
          <w:bCs/>
        </w:rPr>
        <w:t>Responsibilities of abattoir operator if no NLIS identifier applied to pig</w:t>
      </w:r>
      <w:bookmarkEnd w:id="292"/>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pigs before they are slaughtered; and</w:t>
      </w:r>
    </w:p>
    <w:p>
      <w:pPr>
        <w:pStyle w:val="Defsubpara"/>
      </w:pPr>
      <w:r>
        <w:tab/>
        <w:t>(ii)</w:t>
      </w:r>
      <w:r>
        <w:tab/>
        <w:t>giving consent for pigs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 pig moved to an abattoir, means an NLIS device in relation to which the NLIS database has been updated with the relevant PIC of the property from which the pig was moved to the abattoir</w:t>
      </w:r>
      <w:r>
        <w:rPr>
          <w:snapToGrid/>
        </w:rPr>
        <w:t>;</w:t>
      </w:r>
    </w:p>
    <w:p>
      <w:pPr>
        <w:pStyle w:val="Defstart"/>
        <w:keepNext/>
        <w:keepLines/>
      </w:pPr>
      <w:r>
        <w:rPr>
          <w:b/>
        </w:rPr>
        <w:tab/>
      </w:r>
      <w:r>
        <w:rPr>
          <w:rStyle w:val="CharDefText"/>
        </w:rPr>
        <w:t>NLIS tag</w:t>
      </w:r>
      <w:r>
        <w:t xml:space="preserve">, in relation to a pig moved to an abattoir, means an NLIS tag that displays — </w:t>
      </w:r>
    </w:p>
    <w:p>
      <w:pPr>
        <w:pStyle w:val="Defpara"/>
      </w:pPr>
      <w:r>
        <w:tab/>
        <w:t>(a)</w:t>
      </w:r>
      <w:r>
        <w:tab/>
        <w:t>the relevant PIC of the property from which the pig was moved to the abattoir; or</w:t>
      </w:r>
    </w:p>
    <w:p>
      <w:pPr>
        <w:pStyle w:val="Defpara"/>
      </w:pPr>
      <w:r>
        <w:tab/>
        <w:t>(b)</w:t>
      </w:r>
      <w:r>
        <w:tab/>
        <w:t>a registered identifier for which the corresponding PIC is the relevant PIC of the property from which the pig was moved to the abattoir.</w:t>
      </w:r>
    </w:p>
    <w:p>
      <w:pPr>
        <w:pStyle w:val="Subsection"/>
      </w:pPr>
      <w:r>
        <w:tab/>
        <w:t>(2)</w:t>
      </w:r>
      <w:r>
        <w:tab/>
        <w:t>This regulation does not apply to a pig to which an NLIS identifier is not applied that is moved to an abattoir under an exemption in regulation 129B(1).</w:t>
      </w:r>
    </w:p>
    <w:p>
      <w:pPr>
        <w:pStyle w:val="Subsection"/>
      </w:pPr>
      <w:r>
        <w:tab/>
        <w:t>(3)</w:t>
      </w:r>
      <w:r>
        <w:tab/>
        <w:t xml:space="preserve">Unless an abattoir inspector in a particular case approves otherwise, if a pig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lastRenderedPageBreak/>
        <w:t xml:space="preserve">within the period specified in </w:t>
      </w:r>
      <w:r>
        <w:t>subregulation (4), apply, or cause to be applied, to the pig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pig arrives at the abattoir and before it is slaughtered or otherwise moved from the abattoir.</w:t>
      </w:r>
    </w:p>
    <w:p>
      <w:pPr>
        <w:pStyle w:val="Subsection"/>
      </w:pPr>
      <w:r>
        <w:tab/>
        <w:t>(5)</w:t>
      </w:r>
      <w:r>
        <w:tab/>
        <w:t xml:space="preserve">If a consignment of pigs is moved to an </w:t>
      </w:r>
      <w:r>
        <w:rPr>
          <w:snapToGrid w:val="0"/>
        </w:rPr>
        <w:t>abattoir</w:t>
      </w:r>
      <w:r>
        <w:t xml:space="preserve"> and more than 10% of the pigs have neither an NLIS tag nor an NLIS device applied to them, the operator of the abattoir must —</w:t>
      </w:r>
    </w:p>
    <w:p>
      <w:pPr>
        <w:pStyle w:val="Indenta"/>
      </w:pPr>
      <w:r>
        <w:tab/>
        <w:t>(a)</w:t>
      </w:r>
      <w:r>
        <w:tab/>
        <w:t>hold the pigs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 SL 2024/264 r. 10 and 13.]</w:t>
      </w:r>
    </w:p>
    <w:p>
      <w:pPr>
        <w:pStyle w:val="Heading5"/>
      </w:pPr>
      <w:bookmarkStart w:id="293" w:name="_Toc202449428"/>
      <w:r>
        <w:rPr>
          <w:rStyle w:val="CharSectno"/>
        </w:rPr>
        <w:t>154</w:t>
      </w:r>
      <w:r>
        <w:t>.</w:t>
      </w:r>
      <w:r>
        <w:tab/>
        <w:t>Directions by inspectors</w:t>
      </w:r>
      <w:bookmarkEnd w:id="293"/>
    </w:p>
    <w:p>
      <w:pPr>
        <w:pStyle w:val="Subsection"/>
      </w:pPr>
      <w:r>
        <w:tab/>
        <w:t>(1)</w:t>
      </w:r>
      <w:r>
        <w:tab/>
        <w:t>For the purposes of regulation 153(5)(b), an inspector may give any necessary or convenient direction in relation to the pigs including —</w:t>
      </w:r>
    </w:p>
    <w:p>
      <w:pPr>
        <w:pStyle w:val="Indenta"/>
      </w:pPr>
      <w:r>
        <w:tab/>
        <w:t>(a)</w:t>
      </w:r>
      <w:r>
        <w:tab/>
        <w:t>to hold the pigs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 SL 2024/264 r. 13.]</w:t>
      </w:r>
    </w:p>
    <w:p>
      <w:pPr>
        <w:pStyle w:val="Heading5"/>
      </w:pPr>
      <w:bookmarkStart w:id="294" w:name="_Toc202449429"/>
      <w:r>
        <w:rPr>
          <w:rStyle w:val="CharSectno"/>
        </w:rPr>
        <w:lastRenderedPageBreak/>
        <w:t>155</w:t>
      </w:r>
      <w:r>
        <w:t>.</w:t>
      </w:r>
      <w:r>
        <w:tab/>
      </w:r>
      <w:r>
        <w:rPr>
          <w:bCs/>
        </w:rPr>
        <w:t>Responsibilities of abattoir operator if pig born at or while being moved to abattoir</w:t>
      </w:r>
      <w:bookmarkEnd w:id="294"/>
    </w:p>
    <w:p>
      <w:pPr>
        <w:pStyle w:val="Subsection"/>
      </w:pPr>
      <w:r>
        <w:tab/>
      </w:r>
      <w:r>
        <w:tab/>
        <w:t>Unless an inspector in a particular case approves otherwise, if a pig is born at, or while being moved to, an abattoir, the abattoir operator must, as soon as practicable after its birth and before it is sold or moved from the abattoir, apply, or cause to be applied, to the pig an NLIS post breeder tag.</w:t>
      </w:r>
    </w:p>
    <w:p>
      <w:pPr>
        <w:pStyle w:val="Penstart"/>
      </w:pPr>
      <w:r>
        <w:tab/>
        <w:t>Penalty: a fine of $5 000.</w:t>
      </w:r>
    </w:p>
    <w:p>
      <w:pPr>
        <w:pStyle w:val="Footnotesection"/>
      </w:pPr>
      <w:r>
        <w:tab/>
        <w:t>[Regulation 155 amended: SL 2024/264 r. 13.]</w:t>
      </w:r>
    </w:p>
    <w:p>
      <w:pPr>
        <w:pStyle w:val="Heading5"/>
      </w:pPr>
      <w:bookmarkStart w:id="295" w:name="_Toc202449430"/>
      <w:r>
        <w:rPr>
          <w:rStyle w:val="CharSectno"/>
        </w:rPr>
        <w:t>156</w:t>
      </w:r>
      <w:r>
        <w:t>.</w:t>
      </w:r>
      <w:r>
        <w:tab/>
      </w:r>
      <w:r>
        <w:rPr>
          <w:bCs/>
        </w:rPr>
        <w:t>Responsibilities of abattoir operator if pig moved to abattoir</w:t>
      </w:r>
      <w:bookmarkEnd w:id="295"/>
    </w:p>
    <w:p>
      <w:pPr>
        <w:pStyle w:val="Subsection"/>
      </w:pPr>
      <w:r>
        <w:tab/>
        <w:t>(1)</w:t>
      </w:r>
      <w:r>
        <w:tab/>
        <w:t>If a consignment of one or more pigs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pig or pigs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pig or pigs;</w:t>
      </w:r>
    </w:p>
    <w:p>
      <w:pPr>
        <w:pStyle w:val="Indenta"/>
      </w:pPr>
      <w:r>
        <w:tab/>
        <w:t>(h)</w:t>
      </w:r>
      <w:r>
        <w:tab/>
        <w:t>the date the consignment arrived at the abattoir.</w:t>
      </w:r>
    </w:p>
    <w:p>
      <w:pPr>
        <w:pStyle w:val="Penstart"/>
      </w:pPr>
      <w:r>
        <w:tab/>
        <w:t>Penalty for this subregulation: a fine of $5 000.</w:t>
      </w:r>
    </w:p>
    <w:p>
      <w:pPr>
        <w:pStyle w:val="Subsection"/>
      </w:pPr>
      <w:r>
        <w:lastRenderedPageBreak/>
        <w:tab/>
        <w:t>(2)</w:t>
      </w:r>
      <w:r>
        <w:tab/>
        <w:t>It is sufficient compliance with subregulation (1), in relation to any pig in a consignment to which an NLIS device is applied, if the abattoir operator, within 48 hours after the pig arrives at the abattoir, updates the NLIS database in relation to the device by recording the information referred to in subregulation (1)(c), (d), (f) and (h).</w:t>
      </w:r>
    </w:p>
    <w:p>
      <w:pPr>
        <w:pStyle w:val="Footnotesection"/>
        <w:rPr>
          <w:i w:val="0"/>
          <w:iCs/>
        </w:rPr>
      </w:pPr>
      <w:r>
        <w:tab/>
        <w:t>[Regulation 156 amended: Gazette 27 Jun 2019 p. 2439; SL 2021/204 r. 14; SL 2024/264 r. 13.]</w:t>
      </w:r>
    </w:p>
    <w:p>
      <w:pPr>
        <w:pStyle w:val="Heading5"/>
      </w:pPr>
      <w:bookmarkStart w:id="296" w:name="_Toc202449431"/>
      <w:r>
        <w:rPr>
          <w:rStyle w:val="CharSectno"/>
        </w:rPr>
        <w:t>157</w:t>
      </w:r>
      <w:r>
        <w:t>.</w:t>
      </w:r>
      <w:r>
        <w:tab/>
      </w:r>
      <w:r>
        <w:rPr>
          <w:bCs/>
        </w:rPr>
        <w:t>Responsibilities of abattoir operator after pig slaughtered</w:t>
      </w:r>
      <w:bookmarkEnd w:id="296"/>
    </w:p>
    <w:p>
      <w:pPr>
        <w:pStyle w:val="Subsection"/>
      </w:pPr>
      <w:r>
        <w:tab/>
        <w:t>(1)</w:t>
      </w:r>
      <w:r>
        <w:tab/>
        <w:t xml:space="preserve">If a consignment of one or more pigs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pig or pigs at the abattoir;</w:t>
      </w:r>
    </w:p>
    <w:p>
      <w:pPr>
        <w:pStyle w:val="Indenta"/>
      </w:pPr>
      <w:r>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abattoir operator, within 48 hours after the pig is slaughtered, updates the NLIS database in relation to the NLIS device by recording the information referred to in subregulation (1)(c), (d) and (f).</w:t>
      </w:r>
    </w:p>
    <w:p>
      <w:pPr>
        <w:pStyle w:val="Footnotesection"/>
      </w:pPr>
      <w:r>
        <w:tab/>
        <w:t>[Regulation 157 amended: Gazette 27 Jun 2019 p. 2439; SL 2021/204 r. 14; SL 2024/264 r. 13.]</w:t>
      </w:r>
    </w:p>
    <w:p>
      <w:pPr>
        <w:pStyle w:val="Heading5"/>
      </w:pPr>
      <w:bookmarkStart w:id="297" w:name="_Toc202449432"/>
      <w:r>
        <w:rPr>
          <w:rStyle w:val="CharSectno"/>
        </w:rPr>
        <w:lastRenderedPageBreak/>
        <w:t>158</w:t>
      </w:r>
      <w:r>
        <w:t>.</w:t>
      </w:r>
      <w:r>
        <w:tab/>
      </w:r>
      <w:r>
        <w:rPr>
          <w:bCs/>
        </w:rPr>
        <w:t>Responsibilities of abattoir operator if live pig moved from abattoir</w:t>
      </w:r>
      <w:bookmarkEnd w:id="297"/>
    </w:p>
    <w:p>
      <w:pPr>
        <w:pStyle w:val="Subsection"/>
        <w:keepNext/>
      </w:pPr>
      <w:r>
        <w:tab/>
        <w:t>(1)</w:t>
      </w:r>
      <w:r>
        <w:tab/>
        <w:t xml:space="preserve">Unless an inspector in a particular case approves otherwise, an abattoir operator must not move, or permit to be moved, from the abattoir a live pig unless — </w:t>
      </w:r>
    </w:p>
    <w:p>
      <w:pPr>
        <w:pStyle w:val="Indenta"/>
      </w:pPr>
      <w:r>
        <w:tab/>
        <w:t>(a)</w:t>
      </w:r>
      <w:r>
        <w:tab/>
        <w:t>the pig is moved back to the property from which it came or to another property with a relevant PIC; and</w:t>
      </w:r>
    </w:p>
    <w:p>
      <w:pPr>
        <w:pStyle w:val="Indenta"/>
      </w:pPr>
      <w:r>
        <w:tab/>
        <w:t>(b)</w:t>
      </w:r>
      <w:r>
        <w:tab/>
        <w:t>the abattoir operator has obtained from the person to whom the pig is sold or otherwise supplied the relevant PIC of the property to which the pig is to be moved; and</w:t>
      </w:r>
    </w:p>
    <w:p>
      <w:pPr>
        <w:pStyle w:val="Indenta"/>
      </w:pPr>
      <w:r>
        <w:tab/>
        <w:t>(c)</w:t>
      </w:r>
      <w:r>
        <w:tab/>
        <w:t xml:space="preserve">the pig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pigs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pigs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pig or pigs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lastRenderedPageBreak/>
        <w:tab/>
        <w:t>(3)</w:t>
      </w:r>
      <w:r>
        <w:tab/>
        <w:t>It is sufficient compliance with subregulation (2), in relation to any pig in a consignment to which an NLIS device is applied, if the abattoir operator, within 48 hours after the pig is moved from the abattoir, updates the NLIS database in relation to the device by recording the information referred to in subregulation (2)(c), (d), (f) and (g).</w:t>
      </w:r>
    </w:p>
    <w:p>
      <w:pPr>
        <w:pStyle w:val="Subsection"/>
        <w:spacing w:before="200"/>
      </w:pPr>
      <w:r>
        <w:tab/>
        <w:t>(4)</w:t>
      </w:r>
      <w:r>
        <w:tab/>
        <w:t xml:space="preserve">If a live pig to which an NLIS device, but not an NLIS post breeder tag, is applied is moved from an abattoir, the abattoir operator must, within 48 hours after the pig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pig has been moved;</w:t>
      </w:r>
    </w:p>
    <w:p>
      <w:pPr>
        <w:pStyle w:val="Indenta"/>
      </w:pPr>
      <w:r>
        <w:tab/>
        <w:t>(c)</w:t>
      </w:r>
      <w:r>
        <w:tab/>
        <w:t>the serial number of the transport document relating to the movement of the pig from the abattoir;</w:t>
      </w:r>
    </w:p>
    <w:p>
      <w:pPr>
        <w:pStyle w:val="Indenta"/>
      </w:pPr>
      <w:r>
        <w:tab/>
        <w:t>(d)</w:t>
      </w:r>
      <w:r>
        <w:tab/>
        <w:t>the date the pig was moved from the abattoir.</w:t>
      </w:r>
    </w:p>
    <w:p>
      <w:pPr>
        <w:pStyle w:val="Penstart"/>
      </w:pPr>
      <w:r>
        <w:tab/>
        <w:t>Penalty for this subregulation: a fine of $5 000.</w:t>
      </w:r>
    </w:p>
    <w:p>
      <w:pPr>
        <w:pStyle w:val="Footnotesection"/>
      </w:pPr>
      <w:r>
        <w:tab/>
        <w:t>[Regulation 158 amended: Gazette 27 Jun 2019 p. 2440; SL 2021/204 r. 14; SL 2024/264 r. 13.]</w:t>
      </w:r>
    </w:p>
    <w:p>
      <w:pPr>
        <w:pStyle w:val="Heading5"/>
        <w:rPr>
          <w:snapToGrid w:val="0"/>
        </w:rPr>
      </w:pPr>
      <w:bookmarkStart w:id="298" w:name="_Toc202449433"/>
      <w:r>
        <w:rPr>
          <w:rStyle w:val="CharSectno"/>
        </w:rPr>
        <w:t>159</w:t>
      </w:r>
      <w:r>
        <w:t>.</w:t>
      </w:r>
      <w:r>
        <w:tab/>
      </w:r>
      <w:r>
        <w:rPr>
          <w:bCs/>
          <w:snapToGrid w:val="0"/>
        </w:rPr>
        <w:t>Slaughtered pigs moved to pet food processing plants</w:t>
      </w:r>
      <w:bookmarkEnd w:id="298"/>
    </w:p>
    <w:p>
      <w:pPr>
        <w:pStyle w:val="Subsection"/>
      </w:pPr>
      <w:r>
        <w:tab/>
        <w:t>(1)</w:t>
      </w:r>
      <w:r>
        <w:tab/>
        <w:t>If a consignment of one or more slaughtered pigs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lastRenderedPageBreak/>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operator of the pet food processing plant, within 48 hours after the pig arrives there, updates the NLIS database in relation to the device by recording the information referred to in subregulation (1)(c) to (f).</w:t>
      </w:r>
    </w:p>
    <w:p>
      <w:pPr>
        <w:pStyle w:val="Footnotesection"/>
      </w:pPr>
      <w:r>
        <w:tab/>
        <w:t>[Regulation 159 amended: Gazette 27 Jun 2019 p. 2440; SL 2021/204 r. 14; SL 2024/264 r. 13.]</w:t>
      </w:r>
    </w:p>
    <w:p>
      <w:pPr>
        <w:pStyle w:val="Heading4"/>
      </w:pPr>
      <w:bookmarkStart w:id="299" w:name="_Toc202443881"/>
      <w:bookmarkStart w:id="300" w:name="_Toc202444633"/>
      <w:bookmarkStart w:id="301" w:name="_Toc202449434"/>
      <w:r>
        <w:t>Subdivision 8 — Export depots</w:t>
      </w:r>
      <w:bookmarkEnd w:id="299"/>
      <w:bookmarkEnd w:id="300"/>
      <w:bookmarkEnd w:id="301"/>
    </w:p>
    <w:p>
      <w:pPr>
        <w:pStyle w:val="Heading5"/>
      </w:pPr>
      <w:bookmarkStart w:id="302" w:name="_Toc202449435"/>
      <w:r>
        <w:rPr>
          <w:rStyle w:val="CharSectno"/>
        </w:rPr>
        <w:t>160</w:t>
      </w:r>
      <w:r>
        <w:t>.</w:t>
      </w:r>
      <w:r>
        <w:tab/>
      </w:r>
      <w:r>
        <w:rPr>
          <w:bCs/>
        </w:rPr>
        <w:t>Responsibilities of export depot operator if no NLIS identifier applied to pig</w:t>
      </w:r>
      <w:bookmarkEnd w:id="302"/>
    </w:p>
    <w:p>
      <w:pPr>
        <w:pStyle w:val="Subsection"/>
      </w:pPr>
      <w:r>
        <w:tab/>
        <w:t>(1)</w:t>
      </w:r>
      <w:r>
        <w:tab/>
        <w:t>In this regulation —</w:t>
      </w:r>
    </w:p>
    <w:p>
      <w:pPr>
        <w:pStyle w:val="Defstart"/>
        <w:rPr>
          <w:snapToGrid/>
        </w:rPr>
      </w:pPr>
      <w:r>
        <w:rPr>
          <w:b/>
        </w:rPr>
        <w:tab/>
      </w:r>
      <w:r>
        <w:rPr>
          <w:rStyle w:val="CharDefText"/>
        </w:rPr>
        <w:t>NLIS device</w:t>
      </w:r>
      <w:r>
        <w:t>, in relation to a pig moved to an export depot, means an NLIS device in relation to which the NLIS database has been updated with the relevant PIC of the property from which the pig was moved to the export depot</w:t>
      </w:r>
      <w:r>
        <w:rPr>
          <w:snapToGrid/>
        </w:rPr>
        <w:t>;</w:t>
      </w:r>
    </w:p>
    <w:p>
      <w:pPr>
        <w:pStyle w:val="Defstart"/>
        <w:keepLines/>
      </w:pPr>
      <w:r>
        <w:rPr>
          <w:b/>
        </w:rPr>
        <w:tab/>
      </w:r>
      <w:r>
        <w:rPr>
          <w:rStyle w:val="CharDefText"/>
        </w:rPr>
        <w:t>NLIS tag</w:t>
      </w:r>
      <w:r>
        <w:t xml:space="preserve">, in relation to a pig moved to an export depot, means an NLIS tag that displays — </w:t>
      </w:r>
    </w:p>
    <w:p>
      <w:pPr>
        <w:pStyle w:val="Defpara"/>
      </w:pPr>
      <w:r>
        <w:tab/>
        <w:t>(a)</w:t>
      </w:r>
      <w:r>
        <w:tab/>
        <w:t>the relevant PIC of the property from which the pig was moved to the export depot; or</w:t>
      </w:r>
    </w:p>
    <w:p>
      <w:pPr>
        <w:pStyle w:val="Defpara"/>
      </w:pPr>
      <w:r>
        <w:tab/>
        <w:t>(b)</w:t>
      </w:r>
      <w:r>
        <w:tab/>
        <w:t>a registered identifier for which the corresponding PIC is the relevant PIC of the property from which the pig was moved to the export depot.</w:t>
      </w:r>
    </w:p>
    <w:p>
      <w:pPr>
        <w:pStyle w:val="Subsection"/>
      </w:pPr>
      <w:r>
        <w:tab/>
        <w:t>(2)</w:t>
      </w:r>
      <w:r>
        <w:tab/>
      </w:r>
      <w:r>
        <w:rPr>
          <w:snapToGrid w:val="0"/>
        </w:rPr>
        <w:t>Unless</w:t>
      </w:r>
      <w:r>
        <w:t xml:space="preserve"> an inspector in a particular case approves otherwise, if a pig to which neither an NLIS tag nor an NLIS device is applied </w:t>
      </w:r>
      <w:r>
        <w:lastRenderedPageBreak/>
        <w:t xml:space="preserve">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pig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pig arrives at the export depot and before it is exported or otherwise moved from the export depot.</w:t>
      </w:r>
    </w:p>
    <w:p>
      <w:pPr>
        <w:pStyle w:val="Subsection"/>
      </w:pPr>
      <w:r>
        <w:tab/>
        <w:t>(4)</w:t>
      </w:r>
      <w:r>
        <w:tab/>
        <w:t xml:space="preserve">If a consignment of pigs is moved to an </w:t>
      </w:r>
      <w:r>
        <w:rPr>
          <w:snapToGrid w:val="0"/>
        </w:rPr>
        <w:t>export depot</w:t>
      </w:r>
      <w:r>
        <w:t xml:space="preserve"> and more than 10% of the pigs have neither an NLIS tag nor an NLIS device applied to them, the export depot operator must —</w:t>
      </w:r>
    </w:p>
    <w:p>
      <w:pPr>
        <w:pStyle w:val="Indenta"/>
      </w:pPr>
      <w:r>
        <w:tab/>
        <w:t>(a)</w:t>
      </w:r>
      <w:r>
        <w:tab/>
        <w:t>hold the pigs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 SL 2024/264 r. 13.]</w:t>
      </w:r>
    </w:p>
    <w:p>
      <w:pPr>
        <w:pStyle w:val="Heading5"/>
      </w:pPr>
      <w:bookmarkStart w:id="303" w:name="_Toc202449436"/>
      <w:r>
        <w:rPr>
          <w:rStyle w:val="CharSectno"/>
        </w:rPr>
        <w:t>161</w:t>
      </w:r>
      <w:r>
        <w:t>.</w:t>
      </w:r>
      <w:r>
        <w:tab/>
        <w:t>Directions by inspectors</w:t>
      </w:r>
      <w:bookmarkEnd w:id="303"/>
    </w:p>
    <w:p>
      <w:pPr>
        <w:pStyle w:val="Subsection"/>
        <w:keepNext/>
      </w:pPr>
      <w:r>
        <w:tab/>
        <w:t>(1)</w:t>
      </w:r>
      <w:r>
        <w:tab/>
        <w:t>For the purposes of regulation 160(4)(b), the inspector may give any necessary or convenient direction in relation to the pigs including —</w:t>
      </w:r>
    </w:p>
    <w:p>
      <w:pPr>
        <w:pStyle w:val="Indenta"/>
      </w:pPr>
      <w:r>
        <w:tab/>
        <w:t>(a)</w:t>
      </w:r>
      <w:r>
        <w:tab/>
        <w:t>to hold the pigs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 SL 2024/264 r. 13.]</w:t>
      </w:r>
    </w:p>
    <w:p>
      <w:pPr>
        <w:pStyle w:val="Heading5"/>
      </w:pPr>
      <w:bookmarkStart w:id="304" w:name="_Toc202449437"/>
      <w:r>
        <w:rPr>
          <w:rStyle w:val="CharSectno"/>
        </w:rPr>
        <w:lastRenderedPageBreak/>
        <w:t>162</w:t>
      </w:r>
      <w:r>
        <w:t>.</w:t>
      </w:r>
      <w:r>
        <w:tab/>
      </w:r>
      <w:r>
        <w:rPr>
          <w:bCs/>
        </w:rPr>
        <w:t>Responsibilities of export depot operator if pig born at or while being moved to export depot</w:t>
      </w:r>
      <w:bookmarkEnd w:id="304"/>
    </w:p>
    <w:p>
      <w:pPr>
        <w:pStyle w:val="Subsection"/>
      </w:pPr>
      <w:r>
        <w:tab/>
      </w:r>
      <w:r>
        <w:tab/>
        <w:t>If a pig is born at, or while being moved to, an export depot, the export depot operator must, as soon as practicable after its birth and before it is moved from the export depot, apply, or cause to be applied, to the pig an NLIS post breeder tag.</w:t>
      </w:r>
    </w:p>
    <w:p>
      <w:pPr>
        <w:pStyle w:val="Penstart"/>
      </w:pPr>
      <w:r>
        <w:tab/>
        <w:t>Penalty: a fine of $5 000.</w:t>
      </w:r>
    </w:p>
    <w:p>
      <w:pPr>
        <w:pStyle w:val="Footnotesection"/>
      </w:pPr>
      <w:r>
        <w:tab/>
        <w:t>[Regulation 162 amended: SL 2024/264 r. 13.]</w:t>
      </w:r>
    </w:p>
    <w:p>
      <w:pPr>
        <w:pStyle w:val="Heading5"/>
      </w:pPr>
      <w:bookmarkStart w:id="305" w:name="_Toc202449438"/>
      <w:r>
        <w:rPr>
          <w:rStyle w:val="CharSectno"/>
        </w:rPr>
        <w:t>163</w:t>
      </w:r>
      <w:r>
        <w:t>.</w:t>
      </w:r>
      <w:r>
        <w:tab/>
      </w:r>
      <w:r>
        <w:rPr>
          <w:bCs/>
        </w:rPr>
        <w:t>Responsibilities of export depot operator if pig moved to export depot</w:t>
      </w:r>
      <w:bookmarkEnd w:id="305"/>
    </w:p>
    <w:p>
      <w:pPr>
        <w:pStyle w:val="Subsection"/>
      </w:pPr>
      <w:r>
        <w:tab/>
        <w:t>(1)</w:t>
      </w:r>
      <w:r>
        <w:tab/>
        <w:t>If a consignment of one or more pigs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pig or pigs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pig or pigs;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 xml:space="preserve">It is sufficient compliance with subregulation (1), in relation to any pig in a consignment to which an NLIS device is applied, if the export depot operator, within 48 hours after the pig arrives at the export depot, updates the NLIS database in relation to the </w:t>
      </w:r>
      <w:r>
        <w:lastRenderedPageBreak/>
        <w:t>device by recording the information referred to in subregulation (1)(c), (d), (f) and (h).</w:t>
      </w:r>
    </w:p>
    <w:p>
      <w:pPr>
        <w:pStyle w:val="Footnotesection"/>
      </w:pPr>
      <w:r>
        <w:tab/>
        <w:t>[Regulation 163 amended: Gazette 27 Jun 2019 p. 2441; SL 2021/204 r. 14; SL 2024/264 r. 13.]</w:t>
      </w:r>
    </w:p>
    <w:p>
      <w:pPr>
        <w:pStyle w:val="Heading5"/>
        <w:spacing w:before="260"/>
      </w:pPr>
      <w:bookmarkStart w:id="306" w:name="_Toc202449439"/>
      <w:r>
        <w:rPr>
          <w:rStyle w:val="CharSectno"/>
        </w:rPr>
        <w:t>164</w:t>
      </w:r>
      <w:r>
        <w:t>.</w:t>
      </w:r>
      <w:r>
        <w:tab/>
      </w:r>
      <w:r>
        <w:rPr>
          <w:bCs/>
        </w:rPr>
        <w:t>Responsibilities of export depot operator if pig exported or otherwise moved from export depot</w:t>
      </w:r>
      <w:bookmarkEnd w:id="306"/>
    </w:p>
    <w:p>
      <w:pPr>
        <w:pStyle w:val="Subsection"/>
        <w:spacing w:before="240"/>
      </w:pPr>
      <w:r>
        <w:tab/>
        <w:t>(1)</w:t>
      </w:r>
      <w:r>
        <w:tab/>
        <w:t>If a consignment of one or more pigs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pigs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pig in a consignment to which an NLIS device is applied, if the export depot operator, within 48 hours after the pig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w:t>
      </w:r>
      <w:r>
        <w:lastRenderedPageBreak/>
        <w:t xml:space="preserve">permit to be moved from the export depot a pig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pig is sold or otherwise supplied the relevant PIC of the property to which the pig is to be moved; and</w:t>
      </w:r>
    </w:p>
    <w:p>
      <w:pPr>
        <w:pStyle w:val="Indenta"/>
      </w:pPr>
      <w:r>
        <w:tab/>
        <w:t>(c)</w:t>
      </w:r>
      <w:r>
        <w:tab/>
        <w:t>the export depot operator has applied, or caused to be applied, to the pig an NLIS post breeder tag.</w:t>
      </w:r>
    </w:p>
    <w:p>
      <w:pPr>
        <w:pStyle w:val="Penstart"/>
      </w:pPr>
      <w:r>
        <w:tab/>
        <w:t>Penalty for this subregulation: a fine of $5 000.</w:t>
      </w:r>
    </w:p>
    <w:p>
      <w:pPr>
        <w:pStyle w:val="Subsection"/>
      </w:pPr>
      <w:r>
        <w:tab/>
        <w:t>(4)</w:t>
      </w:r>
      <w:r>
        <w:tab/>
        <w:t>It is not necessary to apply an NLIS post breeder tag to a pig under subregulation (3)(c) if the pig is being moved directly to an abattoir.</w:t>
      </w:r>
    </w:p>
    <w:p>
      <w:pPr>
        <w:pStyle w:val="Subsection"/>
      </w:pPr>
      <w:r>
        <w:tab/>
        <w:t>(5)</w:t>
      </w:r>
      <w:r>
        <w:tab/>
        <w:t>Unless an inspector in a particular case approves otherwise, if a consignment of one or more pigs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pigs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pig or pigs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lastRenderedPageBreak/>
        <w:tab/>
        <w:t>(6)</w:t>
      </w:r>
      <w:r>
        <w:tab/>
        <w:t>It is sufficient compliance with subregulation (5), in relation to any pig in a consignment to which an NLIS device is applied, if the export depot operator, within 48 hours after the pig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 SL 2024/264 r. 13.]</w:t>
      </w:r>
    </w:p>
    <w:p>
      <w:pPr>
        <w:pStyle w:val="Heading2"/>
      </w:pPr>
      <w:bookmarkStart w:id="307" w:name="_Toc202443887"/>
      <w:bookmarkStart w:id="308" w:name="_Toc202444639"/>
      <w:bookmarkStart w:id="309" w:name="_Toc202449440"/>
      <w:r>
        <w:rPr>
          <w:rStyle w:val="CharPartNo"/>
        </w:rPr>
        <w:lastRenderedPageBreak/>
        <w:t>Part 6A</w:t>
      </w:r>
      <w:r>
        <w:t> —</w:t>
      </w:r>
      <w:r>
        <w:rPr>
          <w:rStyle w:val="CharPartText"/>
        </w:rPr>
        <w:t> Identifying sheep and goats</w:t>
      </w:r>
      <w:bookmarkEnd w:id="307"/>
      <w:bookmarkEnd w:id="308"/>
      <w:bookmarkEnd w:id="309"/>
    </w:p>
    <w:p>
      <w:pPr>
        <w:pStyle w:val="Footnoteheading"/>
      </w:pPr>
      <w:r>
        <w:tab/>
        <w:t>[Heading inserted: SL 2024/264 r. 11.]</w:t>
      </w:r>
    </w:p>
    <w:p>
      <w:pPr>
        <w:pStyle w:val="Heading3"/>
      </w:pPr>
      <w:bookmarkStart w:id="310" w:name="_Toc202443888"/>
      <w:bookmarkStart w:id="311" w:name="_Toc202444640"/>
      <w:bookmarkStart w:id="312" w:name="_Toc202449441"/>
      <w:r>
        <w:rPr>
          <w:rStyle w:val="CharDivNo"/>
        </w:rPr>
        <w:t>Division 1</w:t>
      </w:r>
      <w:r>
        <w:t> —</w:t>
      </w:r>
      <w:r>
        <w:rPr>
          <w:rStyle w:val="CharDivText"/>
        </w:rPr>
        <w:t> Preliminary</w:t>
      </w:r>
      <w:bookmarkEnd w:id="310"/>
      <w:bookmarkEnd w:id="311"/>
      <w:bookmarkEnd w:id="312"/>
    </w:p>
    <w:p>
      <w:pPr>
        <w:pStyle w:val="Footnoteheading"/>
      </w:pPr>
      <w:r>
        <w:tab/>
        <w:t>[Heading inserted: SL 2024/264 r. 11.]</w:t>
      </w:r>
    </w:p>
    <w:p>
      <w:pPr>
        <w:pStyle w:val="Heading5"/>
      </w:pPr>
      <w:bookmarkStart w:id="313" w:name="_Toc202449442"/>
      <w:r>
        <w:rPr>
          <w:rStyle w:val="CharSectno"/>
        </w:rPr>
        <w:t>164A</w:t>
      </w:r>
      <w:r>
        <w:t>.</w:t>
      </w:r>
      <w:r>
        <w:tab/>
        <w:t>Terms used</w:t>
      </w:r>
      <w:bookmarkEnd w:id="313"/>
    </w:p>
    <w:p>
      <w:pPr>
        <w:pStyle w:val="Subsection"/>
      </w:pPr>
      <w:r>
        <w:tab/>
      </w:r>
      <w:r>
        <w:tab/>
        <w:t xml:space="preserve">In this Part — </w:t>
      </w:r>
    </w:p>
    <w:p>
      <w:pPr>
        <w:pStyle w:val="Defstart"/>
      </w:pPr>
      <w:r>
        <w:tab/>
      </w:r>
      <w:r>
        <w:rPr>
          <w:rStyle w:val="CharDefText"/>
        </w:rPr>
        <w:t>NLIS identified sheep or goat</w:t>
      </w:r>
      <w:r>
        <w:t xml:space="preserve"> means a sheep, or a goat, to which an NLIS device is applied;</w:t>
      </w:r>
    </w:p>
    <w:p>
      <w:pPr>
        <w:pStyle w:val="Defstart"/>
      </w:pPr>
      <w:r>
        <w:tab/>
      </w:r>
      <w:r>
        <w:rPr>
          <w:rStyle w:val="CharDefText"/>
        </w:rPr>
        <w:t>receiving owner</w:t>
      </w:r>
      <w:r>
        <w:t xml:space="preserve">, in relation to a sheep or goat that is being moved to a farming property, means the person — </w:t>
      </w:r>
    </w:p>
    <w:p>
      <w:pPr>
        <w:pStyle w:val="Defpara"/>
      </w:pPr>
      <w:r>
        <w:tab/>
        <w:t>(a)</w:t>
      </w:r>
      <w:r>
        <w:tab/>
        <w:t>who is taking possession or control of the sheep or goat; and</w:t>
      </w:r>
    </w:p>
    <w:p>
      <w:pPr>
        <w:pStyle w:val="Defpara"/>
      </w:pPr>
      <w:r>
        <w:tab/>
        <w:t>(b)</w:t>
      </w:r>
      <w:r>
        <w:tab/>
        <w:t>who is, or is acting on behalf of, the registered owner of a relevant PIC for the property.</w:t>
      </w:r>
    </w:p>
    <w:p>
      <w:pPr>
        <w:pStyle w:val="Footnotesection"/>
      </w:pPr>
      <w:r>
        <w:tab/>
        <w:t>[Regulation 164 inserted: SL 2024/264 r. 11.]</w:t>
      </w:r>
    </w:p>
    <w:p>
      <w:pPr>
        <w:pStyle w:val="Heading3"/>
      </w:pPr>
      <w:bookmarkStart w:id="314" w:name="_Toc202443890"/>
      <w:bookmarkStart w:id="315" w:name="_Toc202444642"/>
      <w:bookmarkStart w:id="316" w:name="_Toc202449443"/>
      <w:r>
        <w:rPr>
          <w:rStyle w:val="CharDivNo"/>
        </w:rPr>
        <w:t>Division 2</w:t>
      </w:r>
      <w:r>
        <w:t> —</w:t>
      </w:r>
      <w:r>
        <w:rPr>
          <w:rStyle w:val="CharDivText"/>
        </w:rPr>
        <w:t> Owners and purchasers of sheep and goats</w:t>
      </w:r>
      <w:bookmarkEnd w:id="314"/>
      <w:bookmarkEnd w:id="315"/>
      <w:bookmarkEnd w:id="316"/>
    </w:p>
    <w:p>
      <w:pPr>
        <w:pStyle w:val="Footnoteheading"/>
      </w:pPr>
      <w:r>
        <w:tab/>
        <w:t>[Heading inserted: SL 2024/264 r. 11.]</w:t>
      </w:r>
    </w:p>
    <w:p>
      <w:pPr>
        <w:pStyle w:val="Heading4"/>
      </w:pPr>
      <w:bookmarkStart w:id="317" w:name="_Toc202443891"/>
      <w:bookmarkStart w:id="318" w:name="_Toc202444643"/>
      <w:bookmarkStart w:id="319" w:name="_Toc202449444"/>
      <w:r>
        <w:t>Subdivision 1 — Identifiers for sheep</w:t>
      </w:r>
      <w:bookmarkEnd w:id="317"/>
      <w:bookmarkEnd w:id="318"/>
      <w:bookmarkEnd w:id="319"/>
    </w:p>
    <w:p>
      <w:pPr>
        <w:pStyle w:val="Footnoteheading"/>
      </w:pPr>
      <w:r>
        <w:tab/>
        <w:t>[Heading inserted: SL 2024/264 r. 11.]</w:t>
      </w:r>
    </w:p>
    <w:p>
      <w:pPr>
        <w:pStyle w:val="Heading5"/>
      </w:pPr>
      <w:bookmarkStart w:id="320" w:name="_Toc202449445"/>
      <w:r>
        <w:rPr>
          <w:rStyle w:val="CharSectno"/>
        </w:rPr>
        <w:t>164B</w:t>
      </w:r>
      <w:r>
        <w:t>.</w:t>
      </w:r>
      <w:r>
        <w:tab/>
        <w:t>Owners must identify sheep</w:t>
      </w:r>
      <w:bookmarkEnd w:id="320"/>
    </w:p>
    <w:p>
      <w:pPr>
        <w:pStyle w:val="Subsection"/>
      </w:pPr>
      <w:r>
        <w:tab/>
        <w:t>(1)</w:t>
      </w:r>
      <w:r>
        <w:tab/>
        <w:t>An owner of a sheep that is kept on a property in the south</w:t>
      </w:r>
      <w:r>
        <w:noBreakHyphen/>
        <w:t xml:space="preserve">west of the State must identify the sheep, or cause it to be identified, with an NLIS device — </w:t>
      </w:r>
    </w:p>
    <w:p>
      <w:pPr>
        <w:pStyle w:val="Indenta"/>
      </w:pPr>
      <w:r>
        <w:tab/>
        <w:t>(a)</w:t>
      </w:r>
      <w:r>
        <w:tab/>
        <w:t>if the sheep is weaned before it reaches 6 months of age and before it is identified in accordance with this regulation — when it is weaned; or</w:t>
      </w:r>
    </w:p>
    <w:p>
      <w:pPr>
        <w:pStyle w:val="Indenta"/>
      </w:pPr>
      <w:r>
        <w:lastRenderedPageBreak/>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pPr>
      <w:r>
        <w:tab/>
        <w:t>(2)</w:t>
      </w:r>
      <w:r>
        <w:tab/>
        <w:t>An owner of a sheep, other than a sheep that is kept on a property in the south</w:t>
      </w:r>
      <w:r>
        <w:noBreakHyphen/>
        <w:t xml:space="preserve">west of the State, must identify the sheep, or cause it to be identified, with an NLIS device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1 or both of the following identifiers —</w:t>
      </w:r>
    </w:p>
    <w:p>
      <w:pPr>
        <w:pStyle w:val="Indenta"/>
      </w:pPr>
      <w:r>
        <w:tab/>
        <w:t>(a)</w:t>
      </w:r>
      <w:r>
        <w:tab/>
        <w:t>a registered identifier applied as an earmark in accordance with regulation 164E;</w:t>
      </w:r>
    </w:p>
    <w:p>
      <w:pPr>
        <w:pStyle w:val="Indenta"/>
      </w:pPr>
      <w:r>
        <w:tab/>
        <w:t>(b)</w:t>
      </w:r>
      <w:r>
        <w:tab/>
        <w:t>an approved identifier for sheep.</w:t>
      </w:r>
    </w:p>
    <w:p>
      <w:pPr>
        <w:pStyle w:val="Footnotesection"/>
      </w:pPr>
      <w:r>
        <w:tab/>
        <w:t>[Regulation 164B inserted: SL 2024/264 r. 11.]</w:t>
      </w:r>
    </w:p>
    <w:p>
      <w:pPr>
        <w:pStyle w:val="Heading5"/>
      </w:pPr>
      <w:bookmarkStart w:id="321" w:name="_Toc202449446"/>
      <w:r>
        <w:rPr>
          <w:rStyle w:val="CharSectno"/>
        </w:rPr>
        <w:t>164C</w:t>
      </w:r>
      <w:r>
        <w:t>.</w:t>
      </w:r>
      <w:r>
        <w:tab/>
        <w:t>Exemption for unweaned sheep</w:t>
      </w:r>
      <w:bookmarkEnd w:id="321"/>
    </w:p>
    <w:p>
      <w:pPr>
        <w:pStyle w:val="Subsection"/>
      </w:pPr>
      <w:r>
        <w:tab/>
      </w:r>
      <w:r>
        <w:tab/>
        <w:t>It is not necessary for an unweaned sheep to be identified in accordance with regulation 164B(1)(b) or (2)(a) if it is being moved with its mother from the property on which it is kept to another property with the same relevant PIC.</w:t>
      </w:r>
    </w:p>
    <w:p>
      <w:pPr>
        <w:pStyle w:val="Footnotesection"/>
      </w:pPr>
      <w:r>
        <w:tab/>
        <w:t>[Regulation 164C inserted: SL 2024/264 r. 11.]</w:t>
      </w:r>
    </w:p>
    <w:p>
      <w:pPr>
        <w:pStyle w:val="Heading5"/>
      </w:pPr>
      <w:bookmarkStart w:id="322" w:name="_Toc202449447"/>
      <w:r>
        <w:rPr>
          <w:rStyle w:val="CharSectno"/>
        </w:rPr>
        <w:t>164D</w:t>
      </w:r>
      <w:r>
        <w:t>.</w:t>
      </w:r>
      <w:r>
        <w:tab/>
        <w:t>Requirements for earmarks</w:t>
      </w:r>
      <w:bookmarkEnd w:id="322"/>
    </w:p>
    <w:p>
      <w:pPr>
        <w:pStyle w:val="Subsection"/>
      </w:pPr>
      <w:r>
        <w:tab/>
      </w:r>
      <w:r>
        <w:tab/>
        <w:t>For the purposes of regulation 164B(3)(a), a registered identifier is applied as an earmark in accordance with this regulation if —</w:t>
      </w:r>
    </w:p>
    <w:p>
      <w:pPr>
        <w:pStyle w:val="Indenta"/>
      </w:pPr>
      <w:r>
        <w:lastRenderedPageBreak/>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164D inserted: SL 2024/264 r. 11.]</w:t>
      </w:r>
    </w:p>
    <w:p>
      <w:pPr>
        <w:pStyle w:val="Heading5"/>
      </w:pPr>
      <w:bookmarkStart w:id="323" w:name="_Toc202449448"/>
      <w:r>
        <w:rPr>
          <w:rStyle w:val="CharSectno"/>
        </w:rPr>
        <w:t>164E</w:t>
      </w:r>
      <w:r>
        <w:t>.</w:t>
      </w:r>
      <w:r>
        <w:tab/>
        <w:t>Application of markings: sheep</w:t>
      </w:r>
      <w:bookmarkEnd w:id="323"/>
    </w:p>
    <w:p>
      <w:pPr>
        <w:pStyle w:val="Subsection"/>
      </w:pPr>
      <w:r>
        <w:tab/>
      </w:r>
      <w:r>
        <w:tab/>
        <w:t xml:space="preserve">A person must not apply a marking to a sheep, other than an identifier applied under regulation 164B,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pPr>
      <w:r>
        <w:tab/>
        <w:t>(b)</w:t>
      </w:r>
      <w:r>
        <w:tab/>
        <w:t>if it is intended to identify an uncoloured sheep known to be a carrier of a gene for coloured wool — it is applied in the form of 3 circular holes in line, each being not less than 6 mm and not more than 10 mm in diameter, completely within the sheep’s ear; and</w:t>
      </w:r>
    </w:p>
    <w:p>
      <w:pPr>
        <w:pStyle w:val="Indenta"/>
      </w:pPr>
      <w:r>
        <w:tab/>
        <w:t>(c)</w:t>
      </w:r>
      <w:r>
        <w:tab/>
        <w:t>it is applied in such a manner, and in such a position, as to render it clearly distinguishable from an identifier applied to the sheep under regulation 164B.</w:t>
      </w:r>
    </w:p>
    <w:p>
      <w:pPr>
        <w:pStyle w:val="Penstart"/>
      </w:pPr>
      <w:r>
        <w:tab/>
        <w:t>Penalty: a fine of $2 000.</w:t>
      </w:r>
    </w:p>
    <w:p>
      <w:pPr>
        <w:pStyle w:val="Footnotesection"/>
      </w:pPr>
      <w:r>
        <w:tab/>
        <w:t>[Regulation 164E inserted: SL 2024/264 r. 11.]</w:t>
      </w:r>
    </w:p>
    <w:p>
      <w:pPr>
        <w:pStyle w:val="Heading4"/>
      </w:pPr>
      <w:bookmarkStart w:id="324" w:name="_Toc202443896"/>
      <w:bookmarkStart w:id="325" w:name="_Toc202444648"/>
      <w:bookmarkStart w:id="326" w:name="_Toc202449449"/>
      <w:r>
        <w:lastRenderedPageBreak/>
        <w:t>Subdivision 2 — Identifiers for goats</w:t>
      </w:r>
      <w:bookmarkEnd w:id="324"/>
      <w:bookmarkEnd w:id="325"/>
      <w:bookmarkEnd w:id="326"/>
    </w:p>
    <w:p>
      <w:pPr>
        <w:pStyle w:val="Footnoteheading"/>
        <w:keepNext/>
      </w:pPr>
      <w:r>
        <w:tab/>
        <w:t>[Heading inserted: SL 2024/264 r. 11.]</w:t>
      </w:r>
    </w:p>
    <w:p>
      <w:pPr>
        <w:pStyle w:val="Heading5"/>
      </w:pPr>
      <w:bookmarkStart w:id="327" w:name="_Toc202449450"/>
      <w:r>
        <w:rPr>
          <w:rStyle w:val="CharSectno"/>
        </w:rPr>
        <w:t>164F</w:t>
      </w:r>
      <w:r>
        <w:t>.</w:t>
      </w:r>
      <w:r>
        <w:tab/>
        <w:t>Owners must identify goats</w:t>
      </w:r>
      <w:bookmarkEnd w:id="327"/>
      <w:r>
        <w:t xml:space="preserve"> </w:t>
      </w:r>
    </w:p>
    <w:p>
      <w:pPr>
        <w:pStyle w:val="Subsection"/>
      </w:pPr>
      <w:r>
        <w:tab/>
        <w:t>(1)</w:t>
      </w:r>
      <w:r>
        <w:tab/>
        <w:t xml:space="preserve">An owner of a goat must identify the goat, or cause it to be identified, with an NLIS device — </w:t>
      </w:r>
    </w:p>
    <w:p>
      <w:pPr>
        <w:pStyle w:val="Indenta"/>
      </w:pPr>
      <w:r>
        <w:tab/>
        <w:t>(a)</w:t>
      </w:r>
      <w:r>
        <w:tab/>
        <w:t>if it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Nothing in these regulations prevents an owner of a goat from applying to it, in addition to an NLIS device, 1 or both of the following identifiers —</w:t>
      </w:r>
    </w:p>
    <w:p>
      <w:pPr>
        <w:pStyle w:val="Indenta"/>
      </w:pPr>
      <w:r>
        <w:tab/>
        <w:t>(a)</w:t>
      </w:r>
      <w:r>
        <w:tab/>
        <w:t>a registered identifier applied as an earmark in accordance with regulation 164H;</w:t>
      </w:r>
    </w:p>
    <w:p>
      <w:pPr>
        <w:pStyle w:val="Indenta"/>
      </w:pPr>
      <w:r>
        <w:tab/>
        <w:t>(b)</w:t>
      </w:r>
      <w:r>
        <w:tab/>
        <w:t>an approved identifier for goats.</w:t>
      </w:r>
    </w:p>
    <w:p>
      <w:pPr>
        <w:pStyle w:val="Footnotesection"/>
      </w:pPr>
      <w:r>
        <w:tab/>
        <w:t>[Regulation 164F inserted: SL 2024/264 r. 11.]</w:t>
      </w:r>
    </w:p>
    <w:p>
      <w:pPr>
        <w:pStyle w:val="Heading5"/>
      </w:pPr>
      <w:bookmarkStart w:id="328" w:name="_Toc202449451"/>
      <w:r>
        <w:rPr>
          <w:rStyle w:val="CharSectno"/>
        </w:rPr>
        <w:t>164G</w:t>
      </w:r>
      <w:r>
        <w:t>.</w:t>
      </w:r>
      <w:r>
        <w:tab/>
        <w:t>Exemption for unweaned goats</w:t>
      </w:r>
      <w:bookmarkEnd w:id="328"/>
    </w:p>
    <w:p>
      <w:pPr>
        <w:pStyle w:val="Subsection"/>
      </w:pPr>
      <w:r>
        <w:tab/>
      </w:r>
      <w:r>
        <w:tab/>
        <w:t>It is not necessary for an unweaned goat to be identified in accordance with regulation 164F(1)(a) if it is being moved with its mother from the property on which it is kept to another property with the same relevant PIC.</w:t>
      </w:r>
    </w:p>
    <w:p>
      <w:pPr>
        <w:pStyle w:val="Heading5"/>
      </w:pPr>
      <w:bookmarkStart w:id="329" w:name="_Toc202449452"/>
      <w:r>
        <w:rPr>
          <w:rStyle w:val="CharSectno"/>
        </w:rPr>
        <w:t>164H</w:t>
      </w:r>
      <w:r>
        <w:t>.</w:t>
      </w:r>
      <w:r>
        <w:tab/>
        <w:t>Requirements for earmarks</w:t>
      </w:r>
      <w:bookmarkEnd w:id="329"/>
    </w:p>
    <w:p>
      <w:pPr>
        <w:pStyle w:val="Subsection"/>
      </w:pPr>
      <w:r>
        <w:tab/>
      </w:r>
      <w:r>
        <w:tab/>
        <w:t>For the purposes of regulation 164F(2), a registered identifier is applied as an earmark in accordance with this regulation if —</w:t>
      </w:r>
    </w:p>
    <w:p>
      <w:pPr>
        <w:pStyle w:val="Indenta"/>
      </w:pPr>
      <w:r>
        <w:tab/>
        <w:t>(a)</w:t>
      </w:r>
      <w:r>
        <w:tab/>
        <w:t>in the case of a male goat — it is applied in the right ear; and</w:t>
      </w:r>
    </w:p>
    <w:p>
      <w:pPr>
        <w:pStyle w:val="Indenta"/>
      </w:pPr>
      <w:r>
        <w:lastRenderedPageBreak/>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164H inserted: SL 2024/264 r. 11.]</w:t>
      </w:r>
    </w:p>
    <w:p>
      <w:pPr>
        <w:pStyle w:val="Heading5"/>
      </w:pPr>
      <w:bookmarkStart w:id="330" w:name="_Toc202449453"/>
      <w:r>
        <w:rPr>
          <w:rStyle w:val="CharSectno"/>
        </w:rPr>
        <w:t>164I</w:t>
      </w:r>
      <w:r>
        <w:t>.</w:t>
      </w:r>
      <w:r>
        <w:tab/>
        <w:t>Application of markings: goat</w:t>
      </w:r>
      <w:bookmarkEnd w:id="330"/>
    </w:p>
    <w:p>
      <w:pPr>
        <w:pStyle w:val="Subsection"/>
      </w:pPr>
      <w:r>
        <w:tab/>
      </w:r>
      <w:r>
        <w:tab/>
        <w:t xml:space="preserve">A person must not apply a marking to a goat, other than an identifier applied under regulation 164F,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tab/>
        <w:t>(b)</w:t>
      </w:r>
      <w:r>
        <w:tab/>
        <w:t>it is applied in such a manner, and in such a position, as to render it clearly distinguishable from an identifier applied to the goat under regulation 164F.</w:t>
      </w:r>
    </w:p>
    <w:p>
      <w:pPr>
        <w:pStyle w:val="Penstart"/>
      </w:pPr>
      <w:r>
        <w:tab/>
        <w:t>Penalty: a fine of $2 000.</w:t>
      </w:r>
    </w:p>
    <w:p>
      <w:pPr>
        <w:pStyle w:val="Footnotesection"/>
      </w:pPr>
      <w:r>
        <w:tab/>
        <w:t>[Regulation 164I inserted: SL 2024/264 r. 11.]</w:t>
      </w:r>
    </w:p>
    <w:p>
      <w:pPr>
        <w:pStyle w:val="Heading4"/>
      </w:pPr>
      <w:bookmarkStart w:id="331" w:name="_Toc202443901"/>
      <w:bookmarkStart w:id="332" w:name="_Toc202444653"/>
      <w:bookmarkStart w:id="333" w:name="_Toc202449454"/>
      <w:r>
        <w:t>Subdivision 3 — Owner responsibilities when sheep and goats moved</w:t>
      </w:r>
      <w:bookmarkEnd w:id="331"/>
      <w:bookmarkEnd w:id="332"/>
      <w:bookmarkEnd w:id="333"/>
    </w:p>
    <w:p>
      <w:pPr>
        <w:pStyle w:val="Footnoteheading"/>
      </w:pPr>
      <w:r>
        <w:tab/>
        <w:t>[Heading inserted: SL 2024/264 r. 11.]</w:t>
      </w:r>
    </w:p>
    <w:p>
      <w:pPr>
        <w:pStyle w:val="Heading5"/>
      </w:pPr>
      <w:bookmarkStart w:id="334" w:name="_Toc202449455"/>
      <w:r>
        <w:rPr>
          <w:rStyle w:val="CharSectno"/>
        </w:rPr>
        <w:t>164J</w:t>
      </w:r>
      <w:r>
        <w:t>.</w:t>
      </w:r>
      <w:r>
        <w:tab/>
        <w:t>Responsibilities of owner before moving sheep or goat</w:t>
      </w:r>
      <w:bookmarkEnd w:id="334"/>
    </w:p>
    <w:p>
      <w:pPr>
        <w:pStyle w:val="Subsection"/>
      </w:pPr>
      <w:r>
        <w:tab/>
      </w:r>
      <w:r>
        <w:tab/>
        <w:t>An owner of a sheep or goat must not cause or permit the sheep or goat to be moved from the farming property on which it is kept unless —</w:t>
      </w:r>
    </w:p>
    <w:p>
      <w:pPr>
        <w:pStyle w:val="Indenta"/>
      </w:pPr>
      <w:r>
        <w:tab/>
        <w:t>(a)</w:t>
      </w:r>
      <w:r>
        <w:tab/>
        <w:t>the sheep or goat has an NLIS device applied to it; and</w:t>
      </w:r>
    </w:p>
    <w:p>
      <w:pPr>
        <w:pStyle w:val="Indenta"/>
      </w:pPr>
      <w:r>
        <w:tab/>
        <w:t>(b)</w:t>
      </w:r>
      <w:r>
        <w:tab/>
        <w:t>the PIC recorded in the NLIS database in relation to the device is the relevant PIC of the property from which the sheep or goat is to be moved.</w:t>
      </w:r>
    </w:p>
    <w:p>
      <w:pPr>
        <w:pStyle w:val="Penstart"/>
      </w:pPr>
      <w:r>
        <w:tab/>
        <w:t>Penalty: a fine of $5 000.</w:t>
      </w:r>
    </w:p>
    <w:p>
      <w:pPr>
        <w:pStyle w:val="Footnotesection"/>
      </w:pPr>
      <w:r>
        <w:lastRenderedPageBreak/>
        <w:tab/>
        <w:t>[Regulation 164J inserted: SL 2024/264 r. 11.]</w:t>
      </w:r>
    </w:p>
    <w:p>
      <w:pPr>
        <w:pStyle w:val="Heading5"/>
      </w:pPr>
      <w:bookmarkStart w:id="335" w:name="_Toc202449456"/>
      <w:r>
        <w:rPr>
          <w:rStyle w:val="CharSectno"/>
        </w:rPr>
        <w:t>164K</w:t>
      </w:r>
      <w:r>
        <w:t>.</w:t>
      </w:r>
      <w:r>
        <w:tab/>
        <w:t>Exemptions from NLIS device identification when sheep or goat moved</w:t>
      </w:r>
      <w:bookmarkEnd w:id="335"/>
    </w:p>
    <w:p>
      <w:pPr>
        <w:pStyle w:val="Subsection"/>
      </w:pPr>
      <w:r>
        <w:tab/>
        <w:t>(1)</w:t>
      </w:r>
      <w:r>
        <w:tab/>
        <w:t>Regulation 164J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if an inspector approves the movement of the sheep or goat without an NLIS device being applied to it.</w:t>
      </w:r>
    </w:p>
    <w:p>
      <w:pPr>
        <w:pStyle w:val="Subsection"/>
      </w:pPr>
      <w:r>
        <w:tab/>
        <w:t>(2)</w:t>
      </w:r>
      <w:r>
        <w:tab/>
        <w:t xml:space="preserve">The exemption in subregulation (1)(b) applies only if — </w:t>
      </w:r>
    </w:p>
    <w:p>
      <w:pPr>
        <w:pStyle w:val="Indenta"/>
      </w:pPr>
      <w:r>
        <w:tab/>
        <w:t>(a)</w:t>
      </w:r>
      <w:r>
        <w:tab/>
        <w:t>the person has given the carrier of the sheep or goat a waybill that relates to the sheep or goat and to no other sheep or goats, unless all of them are being moved under the exemption; and</w:t>
      </w:r>
    </w:p>
    <w:p>
      <w:pPr>
        <w:pStyle w:val="Indenta"/>
      </w:pPr>
      <w:r>
        <w:tab/>
        <w:t>(b)</w:t>
      </w:r>
      <w:r>
        <w:tab/>
        <w:t>the person has taken all practicable measures to ensure that the sheep or goat, while it is being moved, is kept separate from —</w:t>
      </w:r>
    </w:p>
    <w:p>
      <w:pPr>
        <w:pStyle w:val="Indenti"/>
      </w:pPr>
      <w:r>
        <w:tab/>
        <w:t>(i)</w:t>
      </w:r>
      <w:r>
        <w:tab/>
        <w:t>any NLIS identified sheep or goat; and</w:t>
      </w:r>
    </w:p>
    <w:p>
      <w:pPr>
        <w:pStyle w:val="Indenti"/>
      </w:pPr>
      <w:r>
        <w:tab/>
        <w:t>(ii)</w:t>
      </w:r>
      <w:r>
        <w:tab/>
        <w:t>any sheep or goat being moved from another property.</w:t>
      </w:r>
    </w:p>
    <w:p>
      <w:pPr>
        <w:pStyle w:val="Footnotesection"/>
      </w:pPr>
      <w:r>
        <w:tab/>
        <w:t>[Regulation 164K inserted: SL 2024/264 r. 11.]</w:t>
      </w:r>
    </w:p>
    <w:p>
      <w:pPr>
        <w:pStyle w:val="Heading5"/>
      </w:pPr>
      <w:bookmarkStart w:id="336" w:name="_Toc202449457"/>
      <w:r>
        <w:rPr>
          <w:rStyle w:val="CharSectno"/>
        </w:rPr>
        <w:t>164L</w:t>
      </w:r>
      <w:r>
        <w:t>.</w:t>
      </w:r>
      <w:r>
        <w:tab/>
        <w:t>Responsibility of owner if receiving sheep or goat without NLIS device</w:t>
      </w:r>
      <w:bookmarkEnd w:id="336"/>
      <w:r>
        <w:t xml:space="preserve"> </w:t>
      </w:r>
    </w:p>
    <w:p>
      <w:pPr>
        <w:pStyle w:val="Subsection"/>
      </w:pPr>
      <w:r>
        <w:tab/>
      </w:r>
      <w:r>
        <w:tab/>
        <w:t>Unless an inspector in a particular case approves otherwise, if a sheep or goat other than an NLIS identified sheep or goat is moved to a farming property, the receiving owner must, as soon as practicable after taking possession of the sheep or goat, apply, or cause to be applied, to the sheep or goat an NLIS post breeder device.</w:t>
      </w:r>
    </w:p>
    <w:p>
      <w:pPr>
        <w:pStyle w:val="Penstart"/>
      </w:pPr>
      <w:r>
        <w:tab/>
        <w:t>Penalty: a fine of $2 000</w:t>
      </w:r>
    </w:p>
    <w:p>
      <w:pPr>
        <w:pStyle w:val="Footnotesection"/>
      </w:pPr>
      <w:r>
        <w:lastRenderedPageBreak/>
        <w:tab/>
        <w:t>[Regulation 164L inserted: SL 2024/264 r. 11.]</w:t>
      </w:r>
    </w:p>
    <w:p>
      <w:pPr>
        <w:pStyle w:val="Heading5"/>
      </w:pPr>
      <w:bookmarkStart w:id="337" w:name="_Toc202449458"/>
      <w:r>
        <w:rPr>
          <w:rStyle w:val="CharSectno"/>
        </w:rPr>
        <w:t>164M</w:t>
      </w:r>
      <w:r>
        <w:t>.</w:t>
      </w:r>
      <w:r>
        <w:tab/>
        <w:t>Responsibility of owner if receiving NLIS identified sheep or goat</w:t>
      </w:r>
      <w:bookmarkEnd w:id="337"/>
    </w:p>
    <w:p>
      <w:pPr>
        <w:pStyle w:val="Subsection"/>
      </w:pPr>
      <w:r>
        <w:tab/>
        <w:t>(1)</w:t>
      </w:r>
      <w:r>
        <w:tab/>
        <w:t xml:space="preserve">If an NLIS identified sheep or goat is moved from a property (the </w:t>
      </w:r>
      <w:r>
        <w:rPr>
          <w:rStyle w:val="CharDefText"/>
        </w:rPr>
        <w:t>first property</w:t>
      </w:r>
      <w:r>
        <w:t xml:space="preserve">) to a farming property with a different PIC, the receiving owner must, within 48 hours after the sheep or goat is moved from the first property, record in the NLIS database the following — </w:t>
      </w:r>
    </w:p>
    <w:p>
      <w:pPr>
        <w:pStyle w:val="Indenta"/>
      </w:pPr>
      <w:r>
        <w:tab/>
        <w:t>(a)</w:t>
      </w:r>
      <w:r>
        <w:tab/>
        <w:t xml:space="preserve">the relevant PIC of the first property; </w:t>
      </w:r>
    </w:p>
    <w:p>
      <w:pPr>
        <w:pStyle w:val="Indenta"/>
      </w:pPr>
      <w:r>
        <w:tab/>
        <w:t>(b)</w:t>
      </w:r>
      <w:r>
        <w:tab/>
        <w:t>the relevant PIC of the farming property to which the sheep or goat has been moved;</w:t>
      </w:r>
    </w:p>
    <w:p>
      <w:pPr>
        <w:pStyle w:val="Indenta"/>
      </w:pPr>
      <w:r>
        <w:tab/>
        <w:t>(c)</w:t>
      </w:r>
      <w:r>
        <w:tab/>
        <w:t xml:space="preserve">the serial number of the transport document relating to the movement of the sheep or goat to the farming property; </w:t>
      </w:r>
    </w:p>
    <w:p>
      <w:pPr>
        <w:pStyle w:val="Indenta"/>
      </w:pPr>
      <w:r>
        <w:tab/>
        <w:t>(d)</w:t>
      </w:r>
      <w:r>
        <w:tab/>
        <w:t>the date the sheep or goat was moved from the first property.</w:t>
      </w:r>
    </w:p>
    <w:p>
      <w:pPr>
        <w:pStyle w:val="Penstart"/>
      </w:pPr>
      <w:r>
        <w:tab/>
        <w:t>Penalty for this subregulation: a fine of $5 000.</w:t>
      </w:r>
    </w:p>
    <w:p>
      <w:pPr>
        <w:pStyle w:val="Subsection"/>
      </w:pPr>
      <w:r>
        <w:tab/>
        <w:t>(2)</w:t>
      </w:r>
      <w:r>
        <w:tab/>
        <w:t>Subregulation (1) does not apply if —</w:t>
      </w:r>
    </w:p>
    <w:p>
      <w:pPr>
        <w:pStyle w:val="Indenta"/>
      </w:pPr>
      <w:r>
        <w:tab/>
        <w:t>(a)</w:t>
      </w:r>
      <w:r>
        <w:tab/>
        <w:t>the sheep or goat was purchased by the receiving owner at a property other than a saleyard; or</w:t>
      </w:r>
    </w:p>
    <w:p>
      <w:pPr>
        <w:pStyle w:val="Indenta"/>
      </w:pPr>
      <w:r>
        <w:tab/>
        <w:t>(b)</w:t>
      </w:r>
      <w:r>
        <w:tab/>
        <w:t>an inspector has given written approval for the sheep or goat to be moved to another property without updating the NLIS database.</w:t>
      </w:r>
    </w:p>
    <w:p>
      <w:pPr>
        <w:pStyle w:val="PermNoteHeading"/>
      </w:pPr>
      <w:r>
        <w:tab/>
        <w:t xml:space="preserve">Note for this subregulation: </w:t>
      </w:r>
    </w:p>
    <w:p>
      <w:pPr>
        <w:pStyle w:val="PermNoteText"/>
      </w:pPr>
      <w:r>
        <w:tab/>
      </w:r>
      <w:r>
        <w:tab/>
        <w:t>For the purposes of paragraph (a), see regulation 164O(3) for the requirement to record information in the NLIS database in relation to a sheep or goat referred to in subregulation (2)(a).</w:t>
      </w:r>
    </w:p>
    <w:p>
      <w:pPr>
        <w:pStyle w:val="Footnotesection"/>
      </w:pPr>
      <w:r>
        <w:tab/>
        <w:t>[Regulation 164M inserted: SL 2024/264 r. 11.]</w:t>
      </w:r>
    </w:p>
    <w:p>
      <w:pPr>
        <w:pStyle w:val="Heading4"/>
      </w:pPr>
      <w:bookmarkStart w:id="338" w:name="_Toc202443906"/>
      <w:bookmarkStart w:id="339" w:name="_Toc202444658"/>
      <w:bookmarkStart w:id="340" w:name="_Toc202449459"/>
      <w:r>
        <w:lastRenderedPageBreak/>
        <w:t>Subdivision 4 — Owner responsibilities if sheep or goat dies</w:t>
      </w:r>
      <w:bookmarkEnd w:id="338"/>
      <w:bookmarkEnd w:id="339"/>
      <w:bookmarkEnd w:id="340"/>
    </w:p>
    <w:p>
      <w:pPr>
        <w:pStyle w:val="Footnoteheading"/>
        <w:keepNext/>
      </w:pPr>
      <w:r>
        <w:tab/>
        <w:t>[Heading inserted: SL 2024/264 r. 11.]</w:t>
      </w:r>
    </w:p>
    <w:p>
      <w:pPr>
        <w:pStyle w:val="Heading5"/>
      </w:pPr>
      <w:bookmarkStart w:id="341" w:name="_Toc202449460"/>
      <w:r>
        <w:rPr>
          <w:rStyle w:val="CharSectno"/>
        </w:rPr>
        <w:t>164N</w:t>
      </w:r>
      <w:r>
        <w:t>.</w:t>
      </w:r>
      <w:r>
        <w:tab/>
        <w:t>Responsibilities of owner if sheep or goat dies on or while being moved to farming property</w:t>
      </w:r>
      <w:bookmarkEnd w:id="341"/>
    </w:p>
    <w:p>
      <w:pPr>
        <w:pStyle w:val="Subsection"/>
      </w:pPr>
      <w:r>
        <w:tab/>
        <w:t>(1)</w:t>
      </w:r>
      <w:r>
        <w:tab/>
        <w:t>If an NLIS identified sheep or goat dies on the farming property on which it is kept, or while being moved to another farming property with the same relevant PIC, the owner of the sheep or goat must, within 48 hours after the animal is found dead, record in the NLIS database the information set out in subregulation (3).</w:t>
      </w:r>
    </w:p>
    <w:p>
      <w:pPr>
        <w:pStyle w:val="Penstart"/>
      </w:pPr>
      <w:r>
        <w:tab/>
        <w:t>Penalty for this subregulation: a fine of $2 000.</w:t>
      </w:r>
    </w:p>
    <w:p>
      <w:pPr>
        <w:pStyle w:val="Subsection"/>
      </w:pPr>
      <w:r>
        <w:tab/>
        <w:t>(2)</w:t>
      </w:r>
      <w:r>
        <w:tab/>
        <w:t>If an NLIS identified sheep or goat dies while being moved from a property to a farming property that does not have the same relevant PIC, the receiving owner of the sheep or goat must, within 48 hours after the animal is found dead, record in the NLIS database the information set out in subregulation (3).</w:t>
      </w:r>
    </w:p>
    <w:p>
      <w:pPr>
        <w:pStyle w:val="Penstart"/>
      </w:pPr>
      <w:r>
        <w:tab/>
        <w:t>Penalty for this subregulation: a fine of $2 000.</w:t>
      </w:r>
    </w:p>
    <w:p>
      <w:pPr>
        <w:pStyle w:val="Subsection"/>
      </w:pPr>
      <w:r>
        <w:tab/>
        <w:t>(3)</w:t>
      </w:r>
      <w:r>
        <w:tab/>
        <w:t xml:space="preserve">The information is as follows — </w:t>
      </w:r>
    </w:p>
    <w:p>
      <w:pPr>
        <w:pStyle w:val="Indenta"/>
      </w:pPr>
      <w:r>
        <w:tab/>
        <w:t>(a)</w:t>
      </w:r>
      <w:r>
        <w:tab/>
        <w:t>the relevant PIC of the last property at which the sheep or goat was kept;</w:t>
      </w:r>
    </w:p>
    <w:p>
      <w:pPr>
        <w:pStyle w:val="Indenta"/>
      </w:pPr>
      <w:r>
        <w:tab/>
        <w:t>(b)</w:t>
      </w:r>
      <w:r>
        <w:tab/>
        <w:t>the relevant PIC of the property on which the sheep or goat died or to which it was being moved;</w:t>
      </w:r>
    </w:p>
    <w:p>
      <w:pPr>
        <w:pStyle w:val="Indenta"/>
      </w:pPr>
      <w:r>
        <w:tab/>
        <w:t>(c)</w:t>
      </w:r>
      <w:r>
        <w:tab/>
        <w:t>the serial number of the transport document relating to the movement of the sheep or goat to the property;</w:t>
      </w:r>
    </w:p>
    <w:p>
      <w:pPr>
        <w:pStyle w:val="Indenta"/>
      </w:pPr>
      <w:r>
        <w:tab/>
        <w:t>(d)</w:t>
      </w:r>
      <w:r>
        <w:tab/>
        <w:t>the date the sheep or goat was found dead.</w:t>
      </w:r>
    </w:p>
    <w:p>
      <w:pPr>
        <w:pStyle w:val="Footnotesection"/>
      </w:pPr>
      <w:r>
        <w:tab/>
        <w:t>[Regulation 164N inserted: SL 2024/264 r. 11.]</w:t>
      </w:r>
    </w:p>
    <w:p>
      <w:pPr>
        <w:pStyle w:val="Heading4"/>
      </w:pPr>
      <w:bookmarkStart w:id="342" w:name="_Toc202443908"/>
      <w:bookmarkStart w:id="343" w:name="_Toc202444660"/>
      <w:bookmarkStart w:id="344" w:name="_Toc202449461"/>
      <w:r>
        <w:lastRenderedPageBreak/>
        <w:t>Subdivision 5 — Purchasers of sheep and goats</w:t>
      </w:r>
      <w:bookmarkEnd w:id="342"/>
      <w:bookmarkEnd w:id="343"/>
      <w:bookmarkEnd w:id="344"/>
    </w:p>
    <w:p>
      <w:pPr>
        <w:pStyle w:val="Footnoteheading"/>
        <w:keepNext/>
      </w:pPr>
      <w:r>
        <w:tab/>
        <w:t>[Heading inserted: SL 2024/264 r. 11.]</w:t>
      </w:r>
    </w:p>
    <w:p>
      <w:pPr>
        <w:pStyle w:val="Heading5"/>
      </w:pPr>
      <w:bookmarkStart w:id="345" w:name="_Toc202449462"/>
      <w:r>
        <w:rPr>
          <w:rStyle w:val="CharSectno"/>
        </w:rPr>
        <w:t>164O</w:t>
      </w:r>
      <w:r>
        <w:t>.</w:t>
      </w:r>
      <w:r>
        <w:tab/>
        <w:t>Responsibilities of purchasers of sheep and goats</w:t>
      </w:r>
      <w:bookmarkEnd w:id="345"/>
    </w:p>
    <w:p>
      <w:pPr>
        <w:pStyle w:val="Subsection"/>
      </w:pPr>
      <w:r>
        <w:tab/>
        <w:t>(1)</w:t>
      </w:r>
      <w:r>
        <w:tab/>
        <w:t>A purchaser of a sheep or goat at a property other than a saleyard must, when requested by the property operator, give the property operator the relevant PIC of the property to which the sheep or goat is to be moved.</w:t>
      </w:r>
    </w:p>
    <w:p>
      <w:pPr>
        <w:pStyle w:val="Penstart"/>
      </w:pPr>
      <w:r>
        <w:tab/>
        <w:t>Penalty for this subregulation: a fine of $5 000.</w:t>
      </w:r>
    </w:p>
    <w:p>
      <w:pPr>
        <w:pStyle w:val="Subsection"/>
      </w:pPr>
      <w:r>
        <w:tab/>
        <w:t>(2)</w:t>
      </w:r>
      <w:r>
        <w:tab/>
        <w:t>A purchaser of a sheep or goat at a saleyard must, when requested by the saleyard operator, give the saleyard operator either —</w:t>
      </w:r>
    </w:p>
    <w:p>
      <w:pPr>
        <w:pStyle w:val="Indenta"/>
      </w:pPr>
      <w:r>
        <w:tab/>
        <w:t>(a)</w:t>
      </w:r>
      <w:r>
        <w:tab/>
        <w:t>the relevant PIC of the property to which the sheep or goat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an NLIS identified sheep or goat at a property other than a saleyard must, within 48 hours after the sheep or goat is moved from the property, record in the NLIS database the following —</w:t>
      </w:r>
    </w:p>
    <w:p>
      <w:pPr>
        <w:pStyle w:val="Indenta"/>
      </w:pPr>
      <w:r>
        <w:tab/>
        <w:t>(a)</w:t>
      </w:r>
      <w:r>
        <w:tab/>
        <w:t>the relevant PIC of the property from which the sheep or goat has been moved;</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property;</w:t>
      </w:r>
    </w:p>
    <w:p>
      <w:pPr>
        <w:pStyle w:val="Indenta"/>
      </w:pPr>
      <w:r>
        <w:tab/>
        <w:t>(d)</w:t>
      </w:r>
      <w:r>
        <w:tab/>
        <w:t>the date the sheep or goat was moved from the property.</w:t>
      </w:r>
    </w:p>
    <w:p>
      <w:pPr>
        <w:pStyle w:val="Penstart"/>
      </w:pPr>
      <w:r>
        <w:tab/>
        <w:t>Penalty for this subregulation: a fine of $5 000.</w:t>
      </w:r>
    </w:p>
    <w:p>
      <w:pPr>
        <w:pStyle w:val="Subsection"/>
      </w:pPr>
      <w:r>
        <w:tab/>
        <w:t>(4)</w:t>
      </w:r>
      <w:r>
        <w:tab/>
        <w:t xml:space="preserve">If, in relation to the purchase from a saleyard of an NLIS identified sheep or goat, a purchaser does not give the saleyard operator a relevant PIC under subregulation (2), the purchaser </w:t>
      </w:r>
      <w:r>
        <w:lastRenderedPageBreak/>
        <w:t xml:space="preserve">must, within 24 hours after the sheep or goat is moved from the saleyard, record in the NLIS database the following — </w:t>
      </w:r>
    </w:p>
    <w:p>
      <w:pPr>
        <w:pStyle w:val="Indenta"/>
      </w:pPr>
      <w:r>
        <w:tab/>
        <w:t>(a)</w:t>
      </w:r>
      <w:r>
        <w:tab/>
        <w:t>the purchaser’s BIC;</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saleyard;</w:t>
      </w:r>
    </w:p>
    <w:p>
      <w:pPr>
        <w:pStyle w:val="Indenta"/>
      </w:pPr>
      <w:r>
        <w:tab/>
        <w:t>(d)</w:t>
      </w:r>
      <w:r>
        <w:tab/>
        <w:t>the date the sheep or goat was moved from the saleyard.</w:t>
      </w:r>
    </w:p>
    <w:p>
      <w:pPr>
        <w:pStyle w:val="Penstart"/>
      </w:pPr>
      <w:r>
        <w:tab/>
        <w:t>Penalty for this subregulation: a fine of $5 000.</w:t>
      </w:r>
    </w:p>
    <w:p>
      <w:pPr>
        <w:pStyle w:val="Subsection"/>
      </w:pPr>
      <w:r>
        <w:tab/>
        <w:t>(5)</w:t>
      </w:r>
      <w:r>
        <w:tab/>
        <w:t>A purchaser of a sheep or goat at a property must not take possession or control of the sheep or goat unless it is moved in accordance with this Part.</w:t>
      </w:r>
    </w:p>
    <w:p>
      <w:pPr>
        <w:pStyle w:val="Penstart"/>
      </w:pPr>
      <w:r>
        <w:tab/>
        <w:t>Penalty for this subregulation: a fine of $5 000.</w:t>
      </w:r>
    </w:p>
    <w:p>
      <w:pPr>
        <w:pStyle w:val="Footnotesection"/>
      </w:pPr>
      <w:r>
        <w:tab/>
        <w:t>[Regulation 164O inserted: SL 2024/264 r. 11.]</w:t>
      </w:r>
    </w:p>
    <w:p>
      <w:pPr>
        <w:pStyle w:val="Heading3"/>
      </w:pPr>
      <w:bookmarkStart w:id="346" w:name="_Toc202443910"/>
      <w:bookmarkStart w:id="347" w:name="_Toc202444662"/>
      <w:bookmarkStart w:id="348" w:name="_Toc202449463"/>
      <w:r>
        <w:rPr>
          <w:rStyle w:val="CharDivNo"/>
        </w:rPr>
        <w:t>Division 3</w:t>
      </w:r>
      <w:r>
        <w:t> —</w:t>
      </w:r>
      <w:r>
        <w:rPr>
          <w:rStyle w:val="CharDivText"/>
        </w:rPr>
        <w:t> Property operators</w:t>
      </w:r>
      <w:bookmarkEnd w:id="346"/>
      <w:bookmarkEnd w:id="347"/>
      <w:bookmarkEnd w:id="348"/>
    </w:p>
    <w:p>
      <w:pPr>
        <w:pStyle w:val="Footnoteheading"/>
      </w:pPr>
      <w:r>
        <w:tab/>
        <w:t>[Heading inserted: SL 2024/264 r. 11.]</w:t>
      </w:r>
    </w:p>
    <w:p>
      <w:pPr>
        <w:pStyle w:val="Heading4"/>
      </w:pPr>
      <w:bookmarkStart w:id="349" w:name="_Toc202443911"/>
      <w:bookmarkStart w:id="350" w:name="_Toc202444663"/>
      <w:bookmarkStart w:id="351" w:name="_Toc202449464"/>
      <w:r>
        <w:t>Subdivision 1 — General provisions relating to property operators</w:t>
      </w:r>
      <w:bookmarkEnd w:id="349"/>
      <w:bookmarkEnd w:id="350"/>
      <w:bookmarkEnd w:id="351"/>
    </w:p>
    <w:p>
      <w:pPr>
        <w:pStyle w:val="Footnoteheading"/>
      </w:pPr>
      <w:r>
        <w:tab/>
        <w:t>[Heading inserted: SL 2024/264 r. 11.]</w:t>
      </w:r>
    </w:p>
    <w:p>
      <w:pPr>
        <w:pStyle w:val="Heading5"/>
      </w:pPr>
      <w:bookmarkStart w:id="352" w:name="_Toc202449465"/>
      <w:r>
        <w:rPr>
          <w:rStyle w:val="CharSectno"/>
        </w:rPr>
        <w:t>164P</w:t>
      </w:r>
      <w:r>
        <w:t>.</w:t>
      </w:r>
      <w:r>
        <w:tab/>
        <w:t>Sheep and goats not to be delivered to property without relevant PIC</w:t>
      </w:r>
      <w:bookmarkEnd w:id="352"/>
    </w:p>
    <w:p>
      <w:pPr>
        <w:pStyle w:val="Subsection"/>
      </w:pPr>
      <w:r>
        <w:tab/>
      </w:r>
      <w:r>
        <w:tab/>
        <w:t>The operator of a property must not cause or permit a sheep or goat to be moved to the property unless the operator is the registered owner of a relevant PIC for the property.</w:t>
      </w:r>
    </w:p>
    <w:p>
      <w:pPr>
        <w:pStyle w:val="Penstart"/>
      </w:pPr>
      <w:r>
        <w:tab/>
        <w:t>Penalty: a fine of $5 000.</w:t>
      </w:r>
    </w:p>
    <w:p>
      <w:pPr>
        <w:pStyle w:val="Footnotesection"/>
      </w:pPr>
      <w:r>
        <w:tab/>
        <w:t>[Regulation 164P inserted: SL 2024/264 r. 11.]</w:t>
      </w:r>
    </w:p>
    <w:p>
      <w:pPr>
        <w:pStyle w:val="Heading5"/>
      </w:pPr>
      <w:bookmarkStart w:id="353" w:name="_Toc202449466"/>
      <w:r>
        <w:rPr>
          <w:rStyle w:val="CharSectno"/>
        </w:rPr>
        <w:lastRenderedPageBreak/>
        <w:t>164Q</w:t>
      </w:r>
      <w:r>
        <w:t>.</w:t>
      </w:r>
      <w:r>
        <w:tab/>
        <w:t>Responsibility of property operator if sheep or goat dies on or while being moved to property</w:t>
      </w:r>
      <w:bookmarkEnd w:id="353"/>
    </w:p>
    <w:p>
      <w:pPr>
        <w:pStyle w:val="Subsection"/>
      </w:pPr>
      <w:r>
        <w:tab/>
      </w:r>
      <w:r>
        <w:tab/>
        <w:t>If an NLIS identified sheep or goat dies (except by slaughter) on, or while being moved to, a non</w:t>
      </w:r>
      <w:r>
        <w:noBreakHyphen/>
        <w:t xml:space="preserve">farming property, the property operator must, within 48 hours after the animal is found dead, record in the NLIS database the following — </w:t>
      </w:r>
    </w:p>
    <w:p>
      <w:pPr>
        <w:pStyle w:val="Indenta"/>
      </w:pPr>
      <w:r>
        <w:tab/>
        <w:t>(a)</w:t>
      </w:r>
      <w:r>
        <w:tab/>
        <w:t>the relevant PIC of the last property at which the sheep or goat was kept;</w:t>
      </w:r>
    </w:p>
    <w:p>
      <w:pPr>
        <w:pStyle w:val="Indenta"/>
      </w:pPr>
      <w:r>
        <w:tab/>
        <w:t>(b)</w:t>
      </w:r>
      <w:r>
        <w:tab/>
        <w:t>the relevant PIC of the property on which the sheep or goat died or to which it was being moved;</w:t>
      </w:r>
    </w:p>
    <w:p>
      <w:pPr>
        <w:pStyle w:val="Indenta"/>
      </w:pPr>
      <w:r>
        <w:tab/>
        <w:t>(c)</w:t>
      </w:r>
      <w:r>
        <w:tab/>
        <w:t>the serial number of the transport document relating to the movement of the sheep or goat to the property;</w:t>
      </w:r>
    </w:p>
    <w:p>
      <w:pPr>
        <w:pStyle w:val="Indenta"/>
      </w:pPr>
      <w:r>
        <w:tab/>
        <w:t>(d)</w:t>
      </w:r>
      <w:r>
        <w:tab/>
        <w:t>the date the sheep or goat was found dead.</w:t>
      </w:r>
    </w:p>
    <w:p>
      <w:pPr>
        <w:pStyle w:val="Penstart"/>
      </w:pPr>
      <w:r>
        <w:tab/>
        <w:t>Penalty: a fine of $2 000.</w:t>
      </w:r>
    </w:p>
    <w:p>
      <w:pPr>
        <w:pStyle w:val="Footnotesection"/>
      </w:pPr>
      <w:r>
        <w:tab/>
        <w:t>[Regulation 164Q inserted: SL 2024/264 r. 11.]</w:t>
      </w:r>
    </w:p>
    <w:p>
      <w:pPr>
        <w:pStyle w:val="Heading4"/>
      </w:pPr>
      <w:bookmarkStart w:id="354" w:name="_Toc202443914"/>
      <w:bookmarkStart w:id="355" w:name="_Toc202444666"/>
      <w:bookmarkStart w:id="356" w:name="_Toc202449467"/>
      <w:r>
        <w:t>Subdivision 2 — Pounds</w:t>
      </w:r>
      <w:bookmarkEnd w:id="354"/>
      <w:bookmarkEnd w:id="355"/>
      <w:bookmarkEnd w:id="356"/>
    </w:p>
    <w:p>
      <w:pPr>
        <w:pStyle w:val="Footnoteheading"/>
      </w:pPr>
      <w:r>
        <w:tab/>
        <w:t>[Heading inserted: SL 2024/264 r. 11.]</w:t>
      </w:r>
    </w:p>
    <w:p>
      <w:pPr>
        <w:pStyle w:val="Heading5"/>
      </w:pPr>
      <w:bookmarkStart w:id="357" w:name="_Toc202449468"/>
      <w:r>
        <w:rPr>
          <w:rStyle w:val="CharSectno"/>
        </w:rPr>
        <w:t>164R</w:t>
      </w:r>
      <w:r>
        <w:t>.</w:t>
      </w:r>
      <w:r>
        <w:tab/>
        <w:t>Responsibilities of pound operator if no NLIS device applied to sheep or goat</w:t>
      </w:r>
      <w:bookmarkEnd w:id="357"/>
    </w:p>
    <w:p>
      <w:pPr>
        <w:pStyle w:val="Subsection"/>
      </w:pPr>
      <w:r>
        <w:tab/>
        <w:t>(1)</w:t>
      </w:r>
      <w:r>
        <w:tab/>
        <w:t>This regulation does not apply to an NLIS identified sheep or goat.</w:t>
      </w:r>
    </w:p>
    <w:p>
      <w:pPr>
        <w:pStyle w:val="Subsection"/>
      </w:pPr>
      <w:r>
        <w:tab/>
        <w:t>(2)</w:t>
      </w:r>
      <w:r>
        <w:tab/>
        <w:t>The operator of a pound may, before a sheep or goat is moved to the pound, apply, or cause to be applied, to the sheep or goat an NLIS post breeder device.</w:t>
      </w:r>
    </w:p>
    <w:p>
      <w:pPr>
        <w:pStyle w:val="Subsection"/>
      </w:pPr>
      <w:r>
        <w:tab/>
        <w:t>(3)</w:t>
      </w:r>
      <w:r>
        <w:tab/>
        <w:t>Unless an inspector in a particular case approves otherwise, if a sheep or goat is moved to a pound before the pound operator has applied, or caused to be applied, to the sheep or goat an NLIS post breeder device, the pound operator must, within the period specified in subregulation (4), apply, or cause to be applied, to the sheep or goat an NLIS post breeder device.</w:t>
      </w:r>
    </w:p>
    <w:p>
      <w:pPr>
        <w:pStyle w:val="Penstart"/>
      </w:pPr>
      <w:r>
        <w:lastRenderedPageBreak/>
        <w:tab/>
        <w:t>Penalty for this subregulation: a fine of $2 000.</w:t>
      </w:r>
    </w:p>
    <w:p>
      <w:pPr>
        <w:pStyle w:val="Subsection"/>
      </w:pPr>
      <w:r>
        <w:tab/>
        <w:t>(4)</w:t>
      </w:r>
      <w:r>
        <w:tab/>
        <w:t>The pound operator must comply with subregulation (3) as soon as practicable after the sheep or goat is moved to the pound and before it is moved from the pound.</w:t>
      </w:r>
    </w:p>
    <w:p>
      <w:pPr>
        <w:pStyle w:val="Footnotesection"/>
      </w:pPr>
      <w:r>
        <w:tab/>
        <w:t>[Regulation 164R inserted: SL 2024/264 r. 11.]</w:t>
      </w:r>
    </w:p>
    <w:p>
      <w:pPr>
        <w:pStyle w:val="Heading5"/>
      </w:pPr>
      <w:bookmarkStart w:id="358" w:name="_Toc202449469"/>
      <w:r>
        <w:rPr>
          <w:rStyle w:val="CharSectno"/>
        </w:rPr>
        <w:t>164S</w:t>
      </w:r>
      <w:r>
        <w:t>.</w:t>
      </w:r>
      <w:r>
        <w:tab/>
        <w:t>Responsibility of pound operator if sheep or goat born at or while being moved to pound</w:t>
      </w:r>
      <w:bookmarkEnd w:id="358"/>
    </w:p>
    <w:p>
      <w:pPr>
        <w:pStyle w:val="Subsection"/>
      </w:pPr>
      <w:r>
        <w:tab/>
      </w:r>
      <w:r>
        <w:tab/>
        <w:t>If a sheep or goat is born at, or while being moved to, a pound, the pound operator must, as soon as practicable after its birth and before it is moved from the pound, apply, or cause to be applied, to the sheep or goat an NLIS post breeder device.</w:t>
      </w:r>
    </w:p>
    <w:p>
      <w:pPr>
        <w:pStyle w:val="Penstart"/>
      </w:pPr>
      <w:r>
        <w:tab/>
        <w:t>Penalty: a fine of $2 000.</w:t>
      </w:r>
    </w:p>
    <w:p>
      <w:pPr>
        <w:pStyle w:val="Footnotesection"/>
      </w:pPr>
      <w:r>
        <w:tab/>
        <w:t>[Regulation 164S inserted: SL 2024/264 r. 11.]</w:t>
      </w:r>
    </w:p>
    <w:p>
      <w:pPr>
        <w:pStyle w:val="Heading5"/>
      </w:pPr>
      <w:bookmarkStart w:id="359" w:name="_Toc202449470"/>
      <w:r>
        <w:rPr>
          <w:rStyle w:val="CharSectno"/>
        </w:rPr>
        <w:t>164T</w:t>
      </w:r>
      <w:r>
        <w:t>.</w:t>
      </w:r>
      <w:r>
        <w:tab/>
        <w:t>Responsibility of pound operator if NLIS device applied to sheep or goat</w:t>
      </w:r>
      <w:bookmarkEnd w:id="359"/>
    </w:p>
    <w:p>
      <w:pPr>
        <w:pStyle w:val="Subsection"/>
      </w:pPr>
      <w:r>
        <w:tab/>
        <w:t>(1)</w:t>
      </w:r>
      <w:r>
        <w:tab/>
        <w:t>If an NLIS identified sheep or goat is moved to a pound, the pound operator must, within the period specified in subregulation (2), record in the NLIS database the following —</w:t>
      </w:r>
    </w:p>
    <w:p>
      <w:pPr>
        <w:pStyle w:val="Indenta"/>
      </w:pPr>
      <w:r>
        <w:tab/>
        <w:t>(a)</w:t>
      </w:r>
      <w:r>
        <w:tab/>
        <w:t>the relevant PIC of the pound;</w:t>
      </w:r>
    </w:p>
    <w:p>
      <w:pPr>
        <w:pStyle w:val="Indenta"/>
      </w:pPr>
      <w:r>
        <w:tab/>
        <w:t>(b)</w:t>
      </w:r>
      <w:r>
        <w:tab/>
        <w:t>the serial number of the transport document relating to the movement of the sheep or goat to the pound;</w:t>
      </w:r>
    </w:p>
    <w:p>
      <w:pPr>
        <w:pStyle w:val="Indenta"/>
      </w:pPr>
      <w:r>
        <w:tab/>
        <w:t>(c)</w:t>
      </w:r>
      <w:r>
        <w:tab/>
        <w:t>the date the sheep or goat arrived at the pound.</w:t>
      </w:r>
    </w:p>
    <w:p>
      <w:pPr>
        <w:pStyle w:val="Penstart"/>
      </w:pPr>
      <w:r>
        <w:tab/>
        <w:t>Penalty for this subregulation: a fine of $2 000.</w:t>
      </w:r>
    </w:p>
    <w:p>
      <w:pPr>
        <w:pStyle w:val="Subsection"/>
      </w:pPr>
      <w:r>
        <w:tab/>
        <w:t>(2)</w:t>
      </w:r>
      <w:r>
        <w:tab/>
        <w:t>The pound operator must comply with subregulation (1) as soon as practicable after the sheep or goat is moved to the pound and before it is moved from the pound.</w:t>
      </w:r>
    </w:p>
    <w:p>
      <w:pPr>
        <w:pStyle w:val="Footnotesection"/>
      </w:pPr>
      <w:r>
        <w:tab/>
        <w:t>[Regulation 164T inserted: SL 2024/264 r. 11.]</w:t>
      </w:r>
    </w:p>
    <w:p>
      <w:pPr>
        <w:pStyle w:val="Heading5"/>
      </w:pPr>
      <w:bookmarkStart w:id="360" w:name="_Toc202449471"/>
      <w:r>
        <w:rPr>
          <w:rStyle w:val="CharSectno"/>
        </w:rPr>
        <w:lastRenderedPageBreak/>
        <w:t>164U</w:t>
      </w:r>
      <w:r>
        <w:t>.</w:t>
      </w:r>
      <w:r>
        <w:tab/>
        <w:t>Responsibilities of pound operator if sheep or goat moved from pound</w:t>
      </w:r>
      <w:bookmarkEnd w:id="360"/>
    </w:p>
    <w:p>
      <w:pPr>
        <w:pStyle w:val="Subsection"/>
      </w:pPr>
      <w:r>
        <w:tab/>
        <w:t>(1)</w:t>
      </w:r>
      <w:r>
        <w:tab/>
        <w:t xml:space="preserve">A pound operator must not move, or permit to be moved, from the pound a sheep or goat unless — </w:t>
      </w:r>
    </w:p>
    <w:p>
      <w:pPr>
        <w:pStyle w:val="Indenta"/>
      </w:pPr>
      <w:r>
        <w:tab/>
        <w:t>(a)</w:t>
      </w:r>
      <w:r>
        <w:tab/>
        <w:t>it is to be moved back to the property from which it came or to another property with a relevant PIC; and</w:t>
      </w:r>
    </w:p>
    <w:p>
      <w:pPr>
        <w:pStyle w:val="Indenta"/>
      </w:pPr>
      <w:r>
        <w:tab/>
        <w:t>(b)</w:t>
      </w:r>
      <w:r>
        <w:tab/>
        <w:t>the pound operator has obtained from the person to whom the sheep or goat is sold or otherwise supplied the relevant PIC of the property to which the sheep or goat is to be moved.</w:t>
      </w:r>
    </w:p>
    <w:p>
      <w:pPr>
        <w:pStyle w:val="Penstart"/>
      </w:pPr>
      <w:r>
        <w:tab/>
        <w:t>Penalty for this subregulation: a fine of $2 000.</w:t>
      </w:r>
    </w:p>
    <w:p>
      <w:pPr>
        <w:pStyle w:val="Subsection"/>
      </w:pPr>
      <w:r>
        <w:tab/>
        <w:t>(2)</w:t>
      </w:r>
      <w:r>
        <w:tab/>
        <w:t xml:space="preserve">If a sheep or goat other than an NLIS identified sheep or goat is moved from a pound, the pound operator must, within 48 hours after the sheep or goat is moved, record in the NLIS database the following — </w:t>
      </w:r>
    </w:p>
    <w:p>
      <w:pPr>
        <w:pStyle w:val="Indenta"/>
      </w:pPr>
      <w:r>
        <w:tab/>
        <w:t>(a)</w:t>
      </w:r>
      <w:r>
        <w:tab/>
        <w:t>the species of animal;</w:t>
      </w:r>
    </w:p>
    <w:p>
      <w:pPr>
        <w:pStyle w:val="Indenta"/>
      </w:pPr>
      <w:r>
        <w:tab/>
        <w:t>(b)</w:t>
      </w:r>
      <w:r>
        <w:tab/>
        <w:t>the relevant PIC of the pound;</w:t>
      </w:r>
    </w:p>
    <w:p>
      <w:pPr>
        <w:pStyle w:val="Indenta"/>
      </w:pPr>
      <w:r>
        <w:tab/>
        <w:t>(c)</w:t>
      </w:r>
      <w:r>
        <w:tab/>
        <w:t>the relevant PIC of the property to which the sheep or goat has been moved;</w:t>
      </w:r>
    </w:p>
    <w:p>
      <w:pPr>
        <w:pStyle w:val="Indenta"/>
      </w:pPr>
      <w:r>
        <w:tab/>
        <w:t>(d)</w:t>
      </w:r>
      <w:r>
        <w:tab/>
        <w:t>the serial number of the transport document relating to the movement of the sheep or goat from the pound;</w:t>
      </w:r>
    </w:p>
    <w:p>
      <w:pPr>
        <w:pStyle w:val="Indenta"/>
      </w:pPr>
      <w:r>
        <w:tab/>
        <w:t>(e)</w:t>
      </w:r>
      <w:r>
        <w:tab/>
        <w:t xml:space="preserve">the date the sheep or goat was moved from the pound. </w:t>
      </w:r>
    </w:p>
    <w:p>
      <w:pPr>
        <w:pStyle w:val="Penstart"/>
      </w:pPr>
      <w:r>
        <w:tab/>
        <w:t>Penalty for this subregulation: a fine of $2 000.</w:t>
      </w:r>
    </w:p>
    <w:p>
      <w:pPr>
        <w:pStyle w:val="Subsection"/>
      </w:pPr>
      <w:r>
        <w:tab/>
        <w:t>(3)</w:t>
      </w:r>
      <w:r>
        <w:tab/>
        <w:t>If an NLIS identified sheep or goat is moved from a pound, the pound operator must, within 48 hours after the sheep or goat is moved, record in the NLIS database the following —</w:t>
      </w:r>
    </w:p>
    <w:p>
      <w:pPr>
        <w:pStyle w:val="Indenta"/>
      </w:pPr>
      <w:r>
        <w:tab/>
        <w:t>(a)</w:t>
      </w:r>
      <w:r>
        <w:tab/>
        <w:t>the relevant PIC of the pound;</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pound;</w:t>
      </w:r>
    </w:p>
    <w:p>
      <w:pPr>
        <w:pStyle w:val="Indenta"/>
      </w:pPr>
      <w:r>
        <w:lastRenderedPageBreak/>
        <w:tab/>
        <w:t>(d)</w:t>
      </w:r>
      <w:r>
        <w:tab/>
        <w:t>the date the sheep or goat was moved from the pound.</w:t>
      </w:r>
    </w:p>
    <w:p>
      <w:pPr>
        <w:pStyle w:val="Penstart"/>
      </w:pPr>
      <w:r>
        <w:tab/>
        <w:t>Penalty for this subregulation: a fine of $2 000.</w:t>
      </w:r>
    </w:p>
    <w:p>
      <w:pPr>
        <w:pStyle w:val="Footnotesection"/>
      </w:pPr>
      <w:r>
        <w:tab/>
        <w:t>[Regulation 164U inserted: SL 2024/264 r. 11.]</w:t>
      </w:r>
    </w:p>
    <w:p>
      <w:pPr>
        <w:pStyle w:val="Heading4"/>
      </w:pPr>
      <w:bookmarkStart w:id="361" w:name="_Toc202443919"/>
      <w:bookmarkStart w:id="362" w:name="_Toc202444671"/>
      <w:bookmarkStart w:id="363" w:name="_Toc202449472"/>
      <w:r>
        <w:t>Subdivision 3 — Holding yards</w:t>
      </w:r>
      <w:bookmarkEnd w:id="361"/>
      <w:bookmarkEnd w:id="362"/>
      <w:bookmarkEnd w:id="363"/>
    </w:p>
    <w:p>
      <w:pPr>
        <w:pStyle w:val="Footnoteheading"/>
        <w:keepNext/>
      </w:pPr>
      <w:r>
        <w:tab/>
        <w:t>[Heading inserted: SL 2024/264 r. 11.]</w:t>
      </w:r>
    </w:p>
    <w:p>
      <w:pPr>
        <w:pStyle w:val="Heading5"/>
      </w:pPr>
      <w:bookmarkStart w:id="364" w:name="_Toc202449473"/>
      <w:r>
        <w:rPr>
          <w:rStyle w:val="CharSectno"/>
        </w:rPr>
        <w:t>164V</w:t>
      </w:r>
      <w:r>
        <w:t>.</w:t>
      </w:r>
      <w:r>
        <w:tab/>
        <w:t>Responsibility of holding yard operator if no NLIS device applied to sheep or goat</w:t>
      </w:r>
      <w:bookmarkEnd w:id="364"/>
    </w:p>
    <w:p>
      <w:pPr>
        <w:pStyle w:val="Subsection"/>
      </w:pPr>
      <w:r>
        <w:tab/>
        <w:t>(1)</w:t>
      </w:r>
      <w:r>
        <w:tab/>
        <w:t>Unless an inspector in a particular case approves otherwise, if a sheep or goat other than an NLIS identified sheep or goat is moved to a holding yard, the holding yard operator must, within the period specified in subregulation (2), apply, or cause to be applied, to the sheep or goat an NLIS post breeder device.</w:t>
      </w:r>
    </w:p>
    <w:p>
      <w:pPr>
        <w:pStyle w:val="Penstart"/>
      </w:pPr>
      <w:r>
        <w:tab/>
        <w:t xml:space="preserve">Penalty for this subregulation: a fine of $2 000. </w:t>
      </w:r>
    </w:p>
    <w:p>
      <w:pPr>
        <w:pStyle w:val="Subsection"/>
      </w:pPr>
      <w:r>
        <w:tab/>
        <w:t>(2)</w:t>
      </w:r>
      <w:r>
        <w:tab/>
        <w:t>The holding yard operator must comply with subregulation (1) as soon as practicable after the sheep or goat arrives at the holding yard and before it is moved from the holding yard.</w:t>
      </w:r>
    </w:p>
    <w:p>
      <w:pPr>
        <w:pStyle w:val="Subsection"/>
      </w:pPr>
      <w:r>
        <w:tab/>
        <w:t>(3)</w:t>
      </w:r>
      <w:r>
        <w:tab/>
        <w:t>If a consignment of sheep or goats is moved to a holding yard and more than 10% of the animals in the consignment are not NLIS identified sheep or goats, the holding yard operator must —</w:t>
      </w:r>
    </w:p>
    <w:p>
      <w:pPr>
        <w:pStyle w:val="Indenta"/>
      </w:pPr>
      <w:r>
        <w:tab/>
        <w:t>(a)</w:t>
      </w:r>
      <w:r>
        <w:tab/>
        <w:t>hold the sheep or goats at the holding yard; and</w:t>
      </w:r>
    </w:p>
    <w:p>
      <w:pPr>
        <w:pStyle w:val="Indenta"/>
      </w:pPr>
      <w:r>
        <w:tab/>
        <w:t>(b)</w:t>
      </w:r>
      <w:r>
        <w:tab/>
        <w:t>inform an inspector accordingly.</w:t>
      </w:r>
    </w:p>
    <w:p>
      <w:pPr>
        <w:pStyle w:val="Penstart"/>
      </w:pPr>
      <w:r>
        <w:tab/>
        <w:t>Penalty for this subregulation: a fine of $2 000.</w:t>
      </w:r>
    </w:p>
    <w:p>
      <w:pPr>
        <w:pStyle w:val="Subsection"/>
      </w:pPr>
      <w:r>
        <w:tab/>
        <w:t>(4)</w:t>
      </w:r>
      <w:r>
        <w:tab/>
        <w:t>For the purposes of this regulation, a sheep or goat that is moved to a holding yard is taken not to be an NLIS identified sheep or goat unless the relevant PIC of the property from which the sheep or goat was moved is recorded in the NLIS database.</w:t>
      </w:r>
    </w:p>
    <w:p>
      <w:pPr>
        <w:pStyle w:val="Footnotesection"/>
      </w:pPr>
      <w:r>
        <w:tab/>
        <w:t>[Regulation 164V inserted: SL 2024/264 r. 11.]</w:t>
      </w:r>
    </w:p>
    <w:p>
      <w:pPr>
        <w:pStyle w:val="Heading5"/>
      </w:pPr>
      <w:bookmarkStart w:id="365" w:name="_Toc202449474"/>
      <w:r>
        <w:rPr>
          <w:rStyle w:val="CharSectno"/>
        </w:rPr>
        <w:lastRenderedPageBreak/>
        <w:t>164W</w:t>
      </w:r>
      <w:r>
        <w:t>.</w:t>
      </w:r>
      <w:r>
        <w:tab/>
        <w:t>Directions by inspectors</w:t>
      </w:r>
      <w:bookmarkEnd w:id="365"/>
    </w:p>
    <w:p>
      <w:pPr>
        <w:pStyle w:val="Subsection"/>
      </w:pPr>
      <w:r>
        <w:tab/>
        <w:t>(1)</w:t>
      </w:r>
      <w:r>
        <w:tab/>
        <w:t>An inspector who receives information about a consignment of sheep or goats from a holding yard operator under regulation 164V(3)(b) may give any necessary or convenient direction to the holding yard operator in relation to the sheep or goats, including —</w:t>
      </w:r>
    </w:p>
    <w:p>
      <w:pPr>
        <w:pStyle w:val="Indenta"/>
      </w:pPr>
      <w:r>
        <w:tab/>
        <w:t>(a)</w:t>
      </w:r>
      <w:r>
        <w:tab/>
        <w:t>to hold the sheep or goats at the holding yard; and</w:t>
      </w:r>
    </w:p>
    <w:p>
      <w:pPr>
        <w:pStyle w:val="Indenta"/>
      </w:pPr>
      <w:r>
        <w:tab/>
        <w:t>(b)</w:t>
      </w:r>
      <w:r>
        <w:tab/>
        <w:t>to move them to, and hold them at, another place specified by the inspector; and</w:t>
      </w:r>
    </w:p>
    <w:p>
      <w:pPr>
        <w:pStyle w:val="Indenta"/>
      </w:pPr>
      <w:r>
        <w:tab/>
        <w:t>(c)</w:t>
      </w:r>
      <w:r>
        <w:tab/>
        <w:t>to arrange for regulation 164V(1) to be complied with.</w:t>
      </w:r>
    </w:p>
    <w:p>
      <w:pPr>
        <w:pStyle w:val="Subsection"/>
      </w:pPr>
      <w:r>
        <w:tab/>
        <w:t>(2)</w:t>
      </w:r>
      <w:r>
        <w:tab/>
        <w:t>The holding yard operator must comply with a direction given by an inspector under subregulation (1).</w:t>
      </w:r>
    </w:p>
    <w:p>
      <w:pPr>
        <w:pStyle w:val="Penstart"/>
      </w:pPr>
      <w:r>
        <w:tab/>
        <w:t>Penalty for this subregulation: a fine of $5 000.</w:t>
      </w:r>
    </w:p>
    <w:p>
      <w:pPr>
        <w:pStyle w:val="Footnotesection"/>
      </w:pPr>
      <w:r>
        <w:tab/>
        <w:t>[Regulation 164W inserted: SL 2024/264 r. 11.]</w:t>
      </w:r>
    </w:p>
    <w:p>
      <w:pPr>
        <w:pStyle w:val="Heading5"/>
      </w:pPr>
      <w:bookmarkStart w:id="366" w:name="_Toc202449475"/>
      <w:r>
        <w:rPr>
          <w:rStyle w:val="CharSectno"/>
        </w:rPr>
        <w:t>164X</w:t>
      </w:r>
      <w:r>
        <w:t>.</w:t>
      </w:r>
      <w:r>
        <w:tab/>
        <w:t>Responsibility of holding yard operator if sheep or goat born at or while being moved to holding yard</w:t>
      </w:r>
      <w:bookmarkEnd w:id="366"/>
      <w:r>
        <w:t xml:space="preserve"> </w:t>
      </w:r>
    </w:p>
    <w:p>
      <w:pPr>
        <w:pStyle w:val="Subsection"/>
      </w:pPr>
      <w:r>
        <w:tab/>
      </w:r>
      <w:r>
        <w:tab/>
        <w:t>If a sheep or goat is born at, or while being moved to, a holding yard, the holding yard operator must, as soon as practicable after its birth and before it is moved from the holding yard, apply, or cause to be applied, to the sheep or goat an NLIS post breeder device.</w:t>
      </w:r>
    </w:p>
    <w:p>
      <w:pPr>
        <w:pStyle w:val="Penstart"/>
      </w:pPr>
      <w:r>
        <w:tab/>
        <w:t>Penalty: a fine of $2 000.</w:t>
      </w:r>
    </w:p>
    <w:p>
      <w:pPr>
        <w:pStyle w:val="Footnotesection"/>
      </w:pPr>
      <w:r>
        <w:tab/>
        <w:t>[Regulation 164X inserted: SL 2024/264 r. 11.]</w:t>
      </w:r>
    </w:p>
    <w:p>
      <w:pPr>
        <w:pStyle w:val="Heading5"/>
      </w:pPr>
      <w:bookmarkStart w:id="367" w:name="_Toc202449476"/>
      <w:r>
        <w:rPr>
          <w:rStyle w:val="CharSectno"/>
        </w:rPr>
        <w:t>164Y</w:t>
      </w:r>
      <w:r>
        <w:t>.</w:t>
      </w:r>
      <w:r>
        <w:tab/>
        <w:t>Responsibility of holding yard operator if consignment held for less than 48 hours and moved from holding yard in a single consignment</w:t>
      </w:r>
      <w:bookmarkEnd w:id="367"/>
    </w:p>
    <w:p>
      <w:pPr>
        <w:pStyle w:val="Subsection"/>
      </w:pPr>
      <w:r>
        <w:tab/>
        <w:t>(1)</w:t>
      </w:r>
      <w:r>
        <w:tab/>
        <w:t xml:space="preserve">Subregulation (2) applies if — </w:t>
      </w:r>
    </w:p>
    <w:p>
      <w:pPr>
        <w:pStyle w:val="Indenta"/>
      </w:pPr>
      <w:r>
        <w:tab/>
        <w:t>(a)</w:t>
      </w:r>
      <w:r>
        <w:tab/>
        <w:t>a consignment of 1 or more NLIS identified sheep or goats is moved to a holding yard; and</w:t>
      </w:r>
    </w:p>
    <w:p>
      <w:pPr>
        <w:pStyle w:val="Indenta"/>
      </w:pPr>
      <w:r>
        <w:lastRenderedPageBreak/>
        <w:tab/>
        <w:t>(b)</w:t>
      </w:r>
      <w:r>
        <w:tab/>
        <w:t>within 48 hours after arriving there, the consignment is moved from the holding yard in a single consignment.</w:t>
      </w:r>
    </w:p>
    <w:p>
      <w:pPr>
        <w:pStyle w:val="Subsection"/>
      </w:pPr>
      <w:r>
        <w:tab/>
        <w:t>(2)</w:t>
      </w:r>
      <w:r>
        <w:tab/>
        <w:t>If this subregulation applies, the holding yard operator must, within 48 hours after the consignment is moved from the holding yard, record the following in the NLIS database in relation each sheep or goat in the consignment —</w:t>
      </w:r>
    </w:p>
    <w:p>
      <w:pPr>
        <w:pStyle w:val="Indenta"/>
      </w:pPr>
      <w:r>
        <w:tab/>
        <w:t>(a)</w:t>
      </w:r>
      <w:r>
        <w:tab/>
        <w:t>the relevant PIC of the holding yard;</w:t>
      </w:r>
    </w:p>
    <w:p>
      <w:pPr>
        <w:pStyle w:val="Indenta"/>
      </w:pPr>
      <w:r>
        <w:tab/>
        <w:t>(b)</w:t>
      </w:r>
      <w:r>
        <w:tab/>
        <w:t>the date the sheep or goat arrived at the holding yard.</w:t>
      </w:r>
    </w:p>
    <w:p>
      <w:pPr>
        <w:pStyle w:val="Penstart"/>
      </w:pPr>
      <w:r>
        <w:tab/>
        <w:t>Penalty for this subregulation: a fine of $2 000.</w:t>
      </w:r>
    </w:p>
    <w:p>
      <w:pPr>
        <w:pStyle w:val="Footnotesection"/>
      </w:pPr>
      <w:r>
        <w:tab/>
        <w:t>[Regulation 164Y inserted: SL 2024/264 r. 11.]</w:t>
      </w:r>
    </w:p>
    <w:p>
      <w:pPr>
        <w:pStyle w:val="Heading5"/>
      </w:pPr>
      <w:bookmarkStart w:id="368" w:name="_Toc202449477"/>
      <w:r>
        <w:rPr>
          <w:rStyle w:val="CharSectno"/>
        </w:rPr>
        <w:t>164Z</w:t>
      </w:r>
      <w:r>
        <w:t>.</w:t>
      </w:r>
      <w:r>
        <w:tab/>
        <w:t>Responsibility of holding yard operator if sheep or goat held for less than 48 hours and moved from holding yard in different consignment</w:t>
      </w:r>
      <w:bookmarkEnd w:id="368"/>
    </w:p>
    <w:p>
      <w:pPr>
        <w:pStyle w:val="Subsection"/>
      </w:pPr>
      <w:r>
        <w:tab/>
        <w:t>(1)</w:t>
      </w:r>
      <w:r>
        <w:tab/>
        <w:t xml:space="preserve">Subregulation (2) applies if — </w:t>
      </w:r>
    </w:p>
    <w:p>
      <w:pPr>
        <w:pStyle w:val="Indenta"/>
      </w:pPr>
      <w:r>
        <w:tab/>
        <w:t>(a)</w:t>
      </w:r>
      <w:r>
        <w:tab/>
        <w:t>a consignment of 1 or more NLIS identified sheep or goats is moved to a holding yard; and</w:t>
      </w:r>
    </w:p>
    <w:p>
      <w:pPr>
        <w:pStyle w:val="Indenta"/>
      </w:pPr>
      <w:r>
        <w:tab/>
        <w:t>(b)</w:t>
      </w:r>
      <w:r>
        <w:tab/>
        <w:t>within 48 hours after arriving there, the sheep or goats are moved from the holding yard but not in the same consignment.</w:t>
      </w:r>
    </w:p>
    <w:p>
      <w:pPr>
        <w:pStyle w:val="Subsection"/>
      </w:pPr>
      <w:r>
        <w:tab/>
        <w:t>(2)</w:t>
      </w:r>
      <w:r>
        <w:tab/>
        <w:t>If this subregulation applies, the holding yard operator must, within 48 hours after each consignment is moved from the holding yard, record in the NLIS database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the serial number of the transport document relating to the movement of the sheep or goat to the holding yard;</w:t>
      </w:r>
    </w:p>
    <w:p>
      <w:pPr>
        <w:pStyle w:val="Indenta"/>
      </w:pPr>
      <w:r>
        <w:tab/>
        <w:t>(d)</w:t>
      </w:r>
      <w:r>
        <w:tab/>
        <w:t>the date the sheep or goat arrived at the holding yard.</w:t>
      </w:r>
    </w:p>
    <w:p>
      <w:pPr>
        <w:pStyle w:val="Penstart"/>
      </w:pPr>
      <w:r>
        <w:tab/>
        <w:t>Penalty for this subregulation: a fine of $2 000.</w:t>
      </w:r>
    </w:p>
    <w:p>
      <w:pPr>
        <w:pStyle w:val="Footnotesection"/>
      </w:pPr>
      <w:r>
        <w:tab/>
        <w:t>[Regulation 164Z inserted: SL 2024/264 r. 11.]</w:t>
      </w:r>
    </w:p>
    <w:p>
      <w:pPr>
        <w:pStyle w:val="Heading5"/>
      </w:pPr>
      <w:bookmarkStart w:id="369" w:name="_Toc202449478"/>
      <w:r>
        <w:rPr>
          <w:rStyle w:val="CharSectno"/>
        </w:rPr>
        <w:lastRenderedPageBreak/>
        <w:t>164ZA</w:t>
      </w:r>
      <w:r>
        <w:t>.</w:t>
      </w:r>
      <w:r>
        <w:tab/>
        <w:t>Responsibility of holding yard operator if sheep or goat held for more than 48 hours</w:t>
      </w:r>
      <w:bookmarkEnd w:id="369"/>
      <w:r>
        <w:t xml:space="preserve"> </w:t>
      </w:r>
    </w:p>
    <w:p>
      <w:pPr>
        <w:pStyle w:val="Subsection"/>
      </w:pPr>
      <w:r>
        <w:tab/>
        <w:t>(1)</w:t>
      </w:r>
      <w:r>
        <w:tab/>
        <w:t>If an NLIS identified sheep or goat is moved to a holding yard and is to be kept there for more than 48 hours, the holding yard operator must, within 48 hours after the sheep or goat arrives at the holding yard, record in the NLIS database the information set out in subregulation (2).</w:t>
      </w:r>
    </w:p>
    <w:p>
      <w:pPr>
        <w:pStyle w:val="Penstart"/>
      </w:pPr>
      <w:r>
        <w:tab/>
        <w:t>Penalty for this subregulation: a fine of $2 000.</w:t>
      </w:r>
    </w:p>
    <w:p>
      <w:pPr>
        <w:pStyle w:val="Subsection"/>
      </w:pPr>
      <w:r>
        <w:tab/>
        <w:t>(2)</w:t>
      </w:r>
      <w:r>
        <w:tab/>
        <w:t>The information is as follows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the serial number of the transport document relating to the movement of the sheep or goat to the holding yard;</w:t>
      </w:r>
    </w:p>
    <w:p>
      <w:pPr>
        <w:pStyle w:val="Indenta"/>
      </w:pPr>
      <w:r>
        <w:tab/>
        <w:t>(d)</w:t>
      </w:r>
      <w:r>
        <w:tab/>
        <w:t>the date the sheep or goat arrived at the holding yard.</w:t>
      </w:r>
    </w:p>
    <w:p>
      <w:pPr>
        <w:pStyle w:val="Footnotesection"/>
      </w:pPr>
      <w:r>
        <w:tab/>
        <w:t>[Regulation 164ZA inserted: SL 2024/264 r. 11.]</w:t>
      </w:r>
    </w:p>
    <w:p>
      <w:pPr>
        <w:pStyle w:val="Heading4"/>
      </w:pPr>
      <w:bookmarkStart w:id="370" w:name="_Toc202443926"/>
      <w:bookmarkStart w:id="371" w:name="_Toc202444678"/>
      <w:bookmarkStart w:id="372" w:name="_Toc202449479"/>
      <w:r>
        <w:t>Subdivision 4 — Saleyards</w:t>
      </w:r>
      <w:bookmarkEnd w:id="370"/>
      <w:bookmarkEnd w:id="371"/>
      <w:bookmarkEnd w:id="372"/>
    </w:p>
    <w:p>
      <w:pPr>
        <w:pStyle w:val="Footnoteheading"/>
      </w:pPr>
      <w:r>
        <w:tab/>
        <w:t>[Heading inserted: SL 2024/264 r. 11.]</w:t>
      </w:r>
    </w:p>
    <w:p>
      <w:pPr>
        <w:pStyle w:val="Heading5"/>
      </w:pPr>
      <w:bookmarkStart w:id="373" w:name="_Toc202449480"/>
      <w:r>
        <w:rPr>
          <w:rStyle w:val="CharSectno"/>
        </w:rPr>
        <w:t>164ZB</w:t>
      </w:r>
      <w:r>
        <w:t>.</w:t>
      </w:r>
      <w:r>
        <w:tab/>
        <w:t>When saleyard to be treated as holding yard</w:t>
      </w:r>
      <w:bookmarkEnd w:id="373"/>
    </w:p>
    <w:p>
      <w:pPr>
        <w:pStyle w:val="Subsection"/>
      </w:pPr>
      <w:r>
        <w:tab/>
        <w:t>(1)</w:t>
      </w:r>
      <w:r>
        <w:tab/>
        <w:t>Subdivision 3 applies with any necessary modifications to the movement of a sheep or goat to a saleyard, in the circumstances set out in subregulation (2), as if the saleyard were a holding yard.</w:t>
      </w:r>
    </w:p>
    <w:p>
      <w:pPr>
        <w:pStyle w:val="Subsection"/>
      </w:pPr>
      <w:r>
        <w:tab/>
        <w:t>(2)</w:t>
      </w:r>
      <w:r>
        <w:tab/>
        <w:t xml:space="preserve">Subregulation (1) applies if a sheep or goat is moved to a saleyard for purposes other than for sale, and while the sheep or goat is kept at the saleyard no other species of animal is kept there — </w:t>
      </w:r>
    </w:p>
    <w:p>
      <w:pPr>
        <w:pStyle w:val="Indenta"/>
      </w:pPr>
      <w:r>
        <w:tab/>
        <w:t>(a)</w:t>
      </w:r>
      <w:r>
        <w:tab/>
        <w:t>for the purposes of sale; or</w:t>
      </w:r>
    </w:p>
    <w:p>
      <w:pPr>
        <w:pStyle w:val="Indenta"/>
      </w:pPr>
      <w:r>
        <w:tab/>
        <w:t>(b)</w:t>
      </w:r>
      <w:r>
        <w:tab/>
        <w:t>after having been sold at the property.</w:t>
      </w:r>
    </w:p>
    <w:p>
      <w:pPr>
        <w:pStyle w:val="Footnotesection"/>
      </w:pPr>
      <w:r>
        <w:lastRenderedPageBreak/>
        <w:tab/>
        <w:t>[Regulation 164ZB inserted: SL 2024/264 r. 11.]</w:t>
      </w:r>
    </w:p>
    <w:p>
      <w:pPr>
        <w:pStyle w:val="Heading5"/>
      </w:pPr>
      <w:bookmarkStart w:id="374" w:name="_Toc202449481"/>
      <w:r>
        <w:rPr>
          <w:rStyle w:val="CharSectno"/>
        </w:rPr>
        <w:t>164ZC</w:t>
      </w:r>
      <w:r>
        <w:t>.</w:t>
      </w:r>
      <w:r>
        <w:tab/>
        <w:t>Responsibilities of saleyard operator if no NLIS device applied to sheep or goat</w:t>
      </w:r>
      <w:bookmarkEnd w:id="374"/>
    </w:p>
    <w:p>
      <w:pPr>
        <w:pStyle w:val="Subsection"/>
      </w:pPr>
      <w:r>
        <w:tab/>
        <w:t>(1)</w:t>
      </w:r>
      <w:r>
        <w:tab/>
        <w:t>Unless an inspector in a particular case approves otherwise, if a sheep or goat other than an NLIS identified sheep or goat is moved to a saleyard, the saleyard operator must, within the period specified in subregulation (2), apply, or cause to be applied, to the sheep or goat an NLIS post breeder device.</w:t>
      </w:r>
    </w:p>
    <w:p>
      <w:pPr>
        <w:pStyle w:val="Penstart"/>
      </w:pPr>
      <w:r>
        <w:tab/>
        <w:t>Penalty for this subregulation: a fine of $5 000.</w:t>
      </w:r>
    </w:p>
    <w:p>
      <w:pPr>
        <w:pStyle w:val="Subsection"/>
      </w:pPr>
      <w:r>
        <w:tab/>
        <w:t>(2)</w:t>
      </w:r>
      <w:r>
        <w:tab/>
        <w:t>The saleyard operator must comply with subregulation (1) as soon as practicable after the sheep or goat arrives at the saleyard and before it is sold or moved from the saleyard.</w:t>
      </w:r>
    </w:p>
    <w:p>
      <w:pPr>
        <w:pStyle w:val="Subsection"/>
      </w:pPr>
      <w:r>
        <w:tab/>
        <w:t>(3)</w:t>
      </w:r>
      <w:r>
        <w:tab/>
        <w:t>If a consignment of sheep or goats is moved to a saleyard and more than 10% of the animals in the consignment are not NLIS identified sheep or goats, the saleyard operator must —</w:t>
      </w:r>
    </w:p>
    <w:p>
      <w:pPr>
        <w:pStyle w:val="Indenta"/>
      </w:pPr>
      <w:r>
        <w:tab/>
        <w:t>(a)</w:t>
      </w:r>
      <w:r>
        <w:tab/>
        <w:t>hold the sheep or goats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sheep or goats that is moved to a saleyard under the exemption in regulation 164K(1)(b).</w:t>
      </w:r>
    </w:p>
    <w:p>
      <w:pPr>
        <w:pStyle w:val="Subsection"/>
      </w:pPr>
      <w:r>
        <w:tab/>
        <w:t>(5)</w:t>
      </w:r>
      <w:r>
        <w:tab/>
        <w:t>For the purposes of this regulation, a sheep or goat that is moved to a saleyard is taken not to be an NLIS identified sheep or goat unless the relevant PIC of the property from which the sheep or goat was moved is recorded in the database.</w:t>
      </w:r>
    </w:p>
    <w:p>
      <w:pPr>
        <w:pStyle w:val="Footnotesection"/>
      </w:pPr>
      <w:r>
        <w:tab/>
        <w:t>[Regulation 164ZC inserted: SL 2024/264 r. 11.]</w:t>
      </w:r>
    </w:p>
    <w:p>
      <w:pPr>
        <w:pStyle w:val="Heading5"/>
      </w:pPr>
      <w:bookmarkStart w:id="375" w:name="_Toc202449482"/>
      <w:r>
        <w:rPr>
          <w:rStyle w:val="CharSectno"/>
        </w:rPr>
        <w:t>164ZD</w:t>
      </w:r>
      <w:r>
        <w:t>.</w:t>
      </w:r>
      <w:r>
        <w:tab/>
        <w:t>Directions by inspectors</w:t>
      </w:r>
      <w:bookmarkEnd w:id="375"/>
    </w:p>
    <w:p>
      <w:pPr>
        <w:pStyle w:val="Subsection"/>
      </w:pPr>
      <w:r>
        <w:tab/>
        <w:t>(1)</w:t>
      </w:r>
      <w:r>
        <w:tab/>
        <w:t xml:space="preserve">An inspector who receives information about a consignment of sheep or goats from a saleyard operator under </w:t>
      </w:r>
      <w:r>
        <w:lastRenderedPageBreak/>
        <w:t>regulation 164ZC(3)(b) may give any necessary or convenient direction to the saleyard operator in relation to the sheep or goats, including —</w:t>
      </w:r>
    </w:p>
    <w:p>
      <w:pPr>
        <w:pStyle w:val="Indenta"/>
      </w:pPr>
      <w:r>
        <w:tab/>
        <w:t>(a)</w:t>
      </w:r>
      <w:r>
        <w:tab/>
        <w:t>to hold the sheep or goats at the saleyard; and</w:t>
      </w:r>
    </w:p>
    <w:p>
      <w:pPr>
        <w:pStyle w:val="Indenta"/>
      </w:pPr>
      <w:r>
        <w:tab/>
        <w:t>(b)</w:t>
      </w:r>
      <w:r>
        <w:tab/>
        <w:t>to move them to, and hold them at, another place specified by the inspector; and</w:t>
      </w:r>
    </w:p>
    <w:p>
      <w:pPr>
        <w:pStyle w:val="Indenta"/>
      </w:pPr>
      <w:r>
        <w:tab/>
        <w:t>(c)</w:t>
      </w:r>
      <w:r>
        <w:tab/>
        <w:t>to arrange for regulation 164ZC(1) to be complied with.</w:t>
      </w:r>
    </w:p>
    <w:p>
      <w:pPr>
        <w:pStyle w:val="Subsection"/>
      </w:pPr>
      <w:r>
        <w:tab/>
        <w:t>(2)</w:t>
      </w:r>
      <w:r>
        <w:tab/>
        <w:t>The saleyard operator must comply with a direction given by an inspector under subregulation (1).</w:t>
      </w:r>
    </w:p>
    <w:p>
      <w:pPr>
        <w:pStyle w:val="Penstart"/>
      </w:pPr>
      <w:r>
        <w:tab/>
        <w:t>Penalty for this subregulation: a fine of $5 000.</w:t>
      </w:r>
    </w:p>
    <w:p>
      <w:pPr>
        <w:pStyle w:val="Footnotesection"/>
      </w:pPr>
      <w:r>
        <w:tab/>
        <w:t>[Regulation 164ZD inserted: SL 2024/264 r. 11.]</w:t>
      </w:r>
    </w:p>
    <w:p>
      <w:pPr>
        <w:pStyle w:val="Heading5"/>
      </w:pPr>
      <w:bookmarkStart w:id="376" w:name="_Toc202449483"/>
      <w:r>
        <w:rPr>
          <w:rStyle w:val="CharSectno"/>
        </w:rPr>
        <w:t>164ZE</w:t>
      </w:r>
      <w:r>
        <w:t>.</w:t>
      </w:r>
      <w:r>
        <w:tab/>
        <w:t>Responsibility of saleyard operator if sheep or goat born at or while being moved to saleyard</w:t>
      </w:r>
      <w:bookmarkEnd w:id="376"/>
    </w:p>
    <w:p>
      <w:pPr>
        <w:pStyle w:val="Subsection"/>
      </w:pPr>
      <w:r>
        <w:tab/>
      </w:r>
      <w:r>
        <w:tab/>
        <w:t>If a sheep or goat is born at, or while being moved to, a saleyard, the saleyard operator must, as soon as practicable after its birth and before it is sold or moved from the saleyard, apply, or cause to be applied, to the sheep or goat an NLIS post breeder device.</w:t>
      </w:r>
    </w:p>
    <w:p>
      <w:pPr>
        <w:pStyle w:val="Penstart"/>
      </w:pPr>
      <w:r>
        <w:tab/>
        <w:t>Penalty: a fine of $5 000.</w:t>
      </w:r>
    </w:p>
    <w:p>
      <w:pPr>
        <w:pStyle w:val="Footnotesection"/>
      </w:pPr>
      <w:r>
        <w:tab/>
        <w:t>[Regulation 164ZE inserted: SL 2024/264 r. 11.]</w:t>
      </w:r>
    </w:p>
    <w:p>
      <w:pPr>
        <w:pStyle w:val="Heading5"/>
      </w:pPr>
      <w:bookmarkStart w:id="377" w:name="_Toc202449484"/>
      <w:r>
        <w:rPr>
          <w:rStyle w:val="CharSectno"/>
        </w:rPr>
        <w:t>164ZF</w:t>
      </w:r>
      <w:r>
        <w:t>.</w:t>
      </w:r>
      <w:r>
        <w:tab/>
        <w:t>Responsibility of saleyard operator if sheep or goat moved from saleyard</w:t>
      </w:r>
      <w:bookmarkEnd w:id="377"/>
    </w:p>
    <w:p>
      <w:pPr>
        <w:pStyle w:val="Subsection"/>
      </w:pPr>
      <w:r>
        <w:tab/>
      </w:r>
      <w:r>
        <w:tab/>
        <w:t xml:space="preserve">A saleyard operator must not move, or permit to be moved, from the saleyard an NLIS identified sheep or goat unless — </w:t>
      </w:r>
    </w:p>
    <w:p>
      <w:pPr>
        <w:pStyle w:val="Indenta"/>
      </w:pPr>
      <w:r>
        <w:tab/>
        <w:t>(a)</w:t>
      </w:r>
      <w:r>
        <w:tab/>
        <w:t>it is to be moved back to the property from which it came, or to another property with a relevant PIC, and the saleyard operator has obtained from the person to whom the sheep or goat is sold or otherwise supplied the relevant PIC of the property to which the sheep or goat is to be moved; or</w:t>
      </w:r>
    </w:p>
    <w:p>
      <w:pPr>
        <w:pStyle w:val="Indenta"/>
      </w:pPr>
      <w:r>
        <w:lastRenderedPageBreak/>
        <w:tab/>
        <w:t>(b)</w:t>
      </w:r>
      <w:r>
        <w:tab/>
        <w:t>the saleyard operator has obtained from the person to whom the sheep or goat is sold or otherwise supplied the person’s BIC.</w:t>
      </w:r>
    </w:p>
    <w:p>
      <w:pPr>
        <w:pStyle w:val="Penstart"/>
      </w:pPr>
      <w:r>
        <w:tab/>
        <w:t>Penalty: a fine of $5 000.</w:t>
      </w:r>
    </w:p>
    <w:p>
      <w:pPr>
        <w:pStyle w:val="Footnotesection"/>
      </w:pPr>
      <w:r>
        <w:tab/>
        <w:t>[Regulation 164ZF inserted: SL 2024/264 r. 11.]</w:t>
      </w:r>
    </w:p>
    <w:p>
      <w:pPr>
        <w:pStyle w:val="Heading5"/>
      </w:pPr>
      <w:bookmarkStart w:id="378" w:name="_Toc202449485"/>
      <w:r>
        <w:rPr>
          <w:rStyle w:val="CharSectno"/>
        </w:rPr>
        <w:t>164ZG</w:t>
      </w:r>
      <w:r>
        <w:t>.</w:t>
      </w:r>
      <w:r>
        <w:tab/>
        <w:t>Information to be recorded in NLIS database by saleyard operator</w:t>
      </w:r>
      <w:bookmarkEnd w:id="378"/>
    </w:p>
    <w:p>
      <w:pPr>
        <w:pStyle w:val="Subsection"/>
      </w:pPr>
      <w:r>
        <w:tab/>
        <w:t>(1)</w:t>
      </w:r>
      <w:r>
        <w:tab/>
        <w:t>The operator of a saleyard must, within the period specified in subregulation (2), record in the NLIS database the movement of a sheep or goat to the saleyard, and any subsequent sale or other movement of the sheep or goat from the saleyard, including the following (as applicable) —</w:t>
      </w:r>
    </w:p>
    <w:p>
      <w:pPr>
        <w:pStyle w:val="Indenta"/>
      </w:pPr>
      <w:r>
        <w:tab/>
        <w:t>(a)</w:t>
      </w:r>
      <w:r>
        <w:tab/>
        <w:t>the relevant PIC of the previous property;</w:t>
      </w:r>
    </w:p>
    <w:p>
      <w:pPr>
        <w:pStyle w:val="Indenta"/>
      </w:pPr>
      <w:r>
        <w:tab/>
        <w:t>(b)</w:t>
      </w:r>
      <w:r>
        <w:tab/>
        <w:t xml:space="preserve">the relevant PIC of the saleyard; </w:t>
      </w:r>
    </w:p>
    <w:p>
      <w:pPr>
        <w:pStyle w:val="Indenta"/>
      </w:pPr>
      <w:r>
        <w:tab/>
        <w:t>(c)</w:t>
      </w:r>
      <w:r>
        <w:tab/>
        <w:t>the serial number of the transport document relating to the movement of the sheep or goat to the saleyard;</w:t>
      </w:r>
    </w:p>
    <w:p>
      <w:pPr>
        <w:pStyle w:val="Indenta"/>
      </w:pPr>
      <w:r>
        <w:tab/>
        <w:t>(d)</w:t>
      </w:r>
      <w:r>
        <w:tab/>
        <w:t>the relevant PIC of the property to which the sheep or goat was moved from the saleyard or, if applicable, the BIC of the purchaser of the sheep or goat;</w:t>
      </w:r>
    </w:p>
    <w:p>
      <w:pPr>
        <w:pStyle w:val="Indenta"/>
      </w:pPr>
      <w:r>
        <w:tab/>
        <w:t>(e)</w:t>
      </w:r>
      <w:r>
        <w:tab/>
        <w:t>the date the sheep or goat arrived at the saleyard;</w:t>
      </w:r>
    </w:p>
    <w:p>
      <w:pPr>
        <w:pStyle w:val="Indenta"/>
      </w:pPr>
      <w:r>
        <w:tab/>
        <w:t>(f)</w:t>
      </w:r>
      <w:r>
        <w:tab/>
        <w:t>the date the sheep or goat was sold at, or otherwise moved from, the saleyard.</w:t>
      </w:r>
    </w:p>
    <w:p>
      <w:pPr>
        <w:pStyle w:val="Penstart"/>
      </w:pPr>
      <w:r>
        <w:tab/>
        <w:t>Penalty for this subregulation: a fine of $5 000.</w:t>
      </w:r>
    </w:p>
    <w:p>
      <w:pPr>
        <w:pStyle w:val="Subsection"/>
      </w:pPr>
      <w:r>
        <w:tab/>
        <w:t>(2)</w:t>
      </w:r>
      <w:r>
        <w:tab/>
        <w:t>The saleyard operator must comply with the requirement in subregulation (1) within 48 hours after the sheep or goat is moved from the saleyard.</w:t>
      </w:r>
    </w:p>
    <w:p>
      <w:pPr>
        <w:pStyle w:val="Footnotesection"/>
      </w:pPr>
      <w:r>
        <w:tab/>
        <w:t>[Regulation 164ZG inserted: SL 2024/264 r. 11.]</w:t>
      </w:r>
    </w:p>
    <w:p>
      <w:pPr>
        <w:pStyle w:val="Heading4"/>
      </w:pPr>
      <w:bookmarkStart w:id="379" w:name="_Toc202443933"/>
      <w:bookmarkStart w:id="380" w:name="_Toc202444685"/>
      <w:bookmarkStart w:id="381" w:name="_Toc202449486"/>
      <w:r>
        <w:lastRenderedPageBreak/>
        <w:t>Subdivision 5 — Abattoirs</w:t>
      </w:r>
      <w:bookmarkEnd w:id="379"/>
      <w:bookmarkEnd w:id="380"/>
      <w:bookmarkEnd w:id="381"/>
    </w:p>
    <w:p>
      <w:pPr>
        <w:pStyle w:val="Footnoteheading"/>
        <w:keepNext/>
      </w:pPr>
      <w:r>
        <w:tab/>
        <w:t>[Heading inserted: SL 2024/264 r. 11.]</w:t>
      </w:r>
    </w:p>
    <w:p>
      <w:pPr>
        <w:pStyle w:val="Heading5"/>
      </w:pPr>
      <w:bookmarkStart w:id="382" w:name="_Toc202449487"/>
      <w:r>
        <w:rPr>
          <w:rStyle w:val="CharSectno"/>
        </w:rPr>
        <w:t>164ZH</w:t>
      </w:r>
      <w:r>
        <w:t>.</w:t>
      </w:r>
      <w:r>
        <w:tab/>
        <w:t>Responsibilities of abattoir operator if no NLIS device applied to sheep or goat</w:t>
      </w:r>
      <w:bookmarkEnd w:id="382"/>
    </w:p>
    <w:p>
      <w:pPr>
        <w:pStyle w:val="Subsection"/>
      </w:pPr>
      <w:r>
        <w:tab/>
        <w:t>(1)</w:t>
      </w:r>
      <w:r>
        <w:tab/>
        <w:t>In this regulation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either inspecting animals before they are slaughtered, or giving consent for animals to be slaughtered after inspection, who is authorised by that agency to exercise the functions of an abattoir inspector under this regulation.</w:t>
      </w:r>
    </w:p>
    <w:p>
      <w:pPr>
        <w:pStyle w:val="Subsection"/>
      </w:pPr>
      <w:r>
        <w:tab/>
        <w:t>(2)</w:t>
      </w:r>
      <w:r>
        <w:tab/>
        <w:t>Unless an abattoir inspector in a particular case approves otherwise, if a sheep or goat other than an NLIS identified sheep or goat is moved to an abattoir, the abattoir operator must, within the period specified in subregulation (3), apply, or cause to be applied, to the sheep or goat an NLIS post breeder device.</w:t>
      </w:r>
    </w:p>
    <w:p>
      <w:pPr>
        <w:pStyle w:val="Penstart"/>
      </w:pPr>
      <w:r>
        <w:tab/>
        <w:t>Penalty for this subregulation: a fine of $5 000.</w:t>
      </w:r>
    </w:p>
    <w:p>
      <w:pPr>
        <w:pStyle w:val="Subsection"/>
      </w:pPr>
      <w:r>
        <w:tab/>
        <w:t>(3)</w:t>
      </w:r>
      <w:r>
        <w:tab/>
        <w:t>The abattoir operator must comply with subregulation (2) as soon as practicable after the sheep or goat arrives at the abattoir and before it is slaughtered or otherwise moved from the abattoir.</w:t>
      </w:r>
    </w:p>
    <w:p>
      <w:pPr>
        <w:pStyle w:val="Subsection"/>
      </w:pPr>
      <w:r>
        <w:tab/>
        <w:t>(4)</w:t>
      </w:r>
      <w:r>
        <w:tab/>
        <w:t>If a consignment of sheep or goats is moved to an abattoir and more than 10% of the animals in the consignment are not NLIS identified sheep or goats, the abattoir operator must —</w:t>
      </w:r>
    </w:p>
    <w:p>
      <w:pPr>
        <w:pStyle w:val="Indenta"/>
      </w:pPr>
      <w:r>
        <w:tab/>
        <w:t>(a)</w:t>
      </w:r>
      <w:r>
        <w:tab/>
        <w:t>hold the sheep or goats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lastRenderedPageBreak/>
        <w:tab/>
        <w:t>(5)</w:t>
      </w:r>
      <w:r>
        <w:tab/>
        <w:t>Subregulations (2) to (4) do not apply to a sheep or goat, or a consignment of sheep or goats, that is moved to an abattoir under the exemption in regulation 164K(1)(b).</w:t>
      </w:r>
    </w:p>
    <w:p>
      <w:pPr>
        <w:pStyle w:val="Subsection"/>
      </w:pPr>
      <w:r>
        <w:tab/>
        <w:t>(6)</w:t>
      </w:r>
      <w:r>
        <w:tab/>
        <w:t>For the purposes of this regulation, a sheep or goat that is moved to an abattoir is taken not to be an NLIS identified sheep or goat unless the relevant PIC of the property from which the sheep or goat was moved is recorded in the database.</w:t>
      </w:r>
    </w:p>
    <w:p>
      <w:pPr>
        <w:pStyle w:val="Footnotesection"/>
      </w:pPr>
      <w:r>
        <w:tab/>
        <w:t>[Regulation 164ZH inserted: SL 2024/264 r. 11.]</w:t>
      </w:r>
    </w:p>
    <w:p>
      <w:pPr>
        <w:pStyle w:val="Heading5"/>
      </w:pPr>
      <w:bookmarkStart w:id="383" w:name="_Toc202449488"/>
      <w:r>
        <w:rPr>
          <w:rStyle w:val="CharSectno"/>
        </w:rPr>
        <w:t>164ZI</w:t>
      </w:r>
      <w:r>
        <w:t>.</w:t>
      </w:r>
      <w:r>
        <w:tab/>
        <w:t>Directions by inspectors</w:t>
      </w:r>
      <w:bookmarkEnd w:id="383"/>
    </w:p>
    <w:p>
      <w:pPr>
        <w:pStyle w:val="Subsection"/>
      </w:pPr>
      <w:r>
        <w:tab/>
        <w:t>(1)</w:t>
      </w:r>
      <w:r>
        <w:tab/>
        <w:t>An inspector who receives information about a consignment of sheep or goats from an abattoir operator under regulation 164ZH(4)(b) may give any necessary or convenient direction to the abattoir operator in relation to the sheep or goats, including —</w:t>
      </w:r>
    </w:p>
    <w:p>
      <w:pPr>
        <w:pStyle w:val="Indenta"/>
      </w:pPr>
      <w:r>
        <w:tab/>
        <w:t>(a)</w:t>
      </w:r>
      <w:r>
        <w:tab/>
        <w:t>to hold the sheep or goats at the abattoir; and</w:t>
      </w:r>
    </w:p>
    <w:p>
      <w:pPr>
        <w:pStyle w:val="Indenta"/>
      </w:pPr>
      <w:r>
        <w:tab/>
        <w:t>(b)</w:t>
      </w:r>
      <w:r>
        <w:tab/>
        <w:t>to move them to, and hold them at, another place specified by the inspector; and</w:t>
      </w:r>
    </w:p>
    <w:p>
      <w:pPr>
        <w:pStyle w:val="Indenta"/>
      </w:pPr>
      <w:r>
        <w:tab/>
        <w:t>(c)</w:t>
      </w:r>
      <w:r>
        <w:tab/>
        <w:t>to arrange for regulation 164ZH(2)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164ZI inserted: SL 2024/264 r. 11.]</w:t>
      </w:r>
    </w:p>
    <w:p>
      <w:pPr>
        <w:pStyle w:val="Heading5"/>
      </w:pPr>
      <w:bookmarkStart w:id="384" w:name="_Toc202449489"/>
      <w:r>
        <w:rPr>
          <w:rStyle w:val="CharSectno"/>
        </w:rPr>
        <w:t>164ZJ</w:t>
      </w:r>
      <w:r>
        <w:t>.</w:t>
      </w:r>
      <w:r>
        <w:tab/>
        <w:t>Responsibility of abattoir operator if sheep or goat born at or while being moved to abattoir</w:t>
      </w:r>
      <w:bookmarkEnd w:id="384"/>
    </w:p>
    <w:p>
      <w:pPr>
        <w:pStyle w:val="Subsection"/>
      </w:pPr>
      <w:r>
        <w:tab/>
      </w:r>
      <w:r>
        <w:tab/>
        <w:t>Unless an inspector in a particular case approves otherwise, if a sheep or goat is born at, or while being moved to, an abattoir, the abattoir operator must, as soon as practicable after its birth and before it is sold or moved from the abattoir, apply, or cause to be applied, to the sheep or goat an NLIS post breeder device.</w:t>
      </w:r>
    </w:p>
    <w:p>
      <w:pPr>
        <w:pStyle w:val="Penstart"/>
      </w:pPr>
      <w:r>
        <w:tab/>
        <w:t>Penalty: a fine of $5 000.</w:t>
      </w:r>
    </w:p>
    <w:p>
      <w:pPr>
        <w:pStyle w:val="Footnotesection"/>
      </w:pPr>
      <w:r>
        <w:lastRenderedPageBreak/>
        <w:tab/>
        <w:t>[Regulation 164ZJ inserted: SL 2024/264 r. 11.]</w:t>
      </w:r>
    </w:p>
    <w:p>
      <w:pPr>
        <w:pStyle w:val="Heading5"/>
      </w:pPr>
      <w:bookmarkStart w:id="385" w:name="_Toc202449490"/>
      <w:r>
        <w:rPr>
          <w:rStyle w:val="CharSectno"/>
        </w:rPr>
        <w:t>164ZK</w:t>
      </w:r>
      <w:r>
        <w:t>.</w:t>
      </w:r>
      <w:r>
        <w:tab/>
        <w:t>Responsibility of abattoir operator if sheep or goat moved to abattoir</w:t>
      </w:r>
      <w:bookmarkEnd w:id="385"/>
    </w:p>
    <w:p>
      <w:pPr>
        <w:pStyle w:val="Subsection"/>
      </w:pPr>
      <w:r>
        <w:tab/>
      </w:r>
      <w:r>
        <w:tab/>
        <w:t>If an NLIS identified sheep or goat is moved to an abattoir, the abattoir operator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the relevant PIC of the abattoir;</w:t>
      </w:r>
    </w:p>
    <w:p>
      <w:pPr>
        <w:pStyle w:val="Indenta"/>
      </w:pPr>
      <w:r>
        <w:tab/>
        <w:t>(c)</w:t>
      </w:r>
      <w:r>
        <w:tab/>
        <w:t>the serial number of the transport document relating to the movement of the sheep or goat to the abattoir;</w:t>
      </w:r>
    </w:p>
    <w:p>
      <w:pPr>
        <w:pStyle w:val="Indenta"/>
      </w:pPr>
      <w:r>
        <w:tab/>
        <w:t>(d)</w:t>
      </w:r>
      <w:r>
        <w:tab/>
        <w:t>the date the sheep or goat arrived at the abattoir.</w:t>
      </w:r>
    </w:p>
    <w:p>
      <w:pPr>
        <w:pStyle w:val="Penstart"/>
      </w:pPr>
      <w:r>
        <w:tab/>
        <w:t>Penalty: a fine of $5 000.</w:t>
      </w:r>
    </w:p>
    <w:p>
      <w:pPr>
        <w:pStyle w:val="Footnotesection"/>
      </w:pPr>
      <w:r>
        <w:tab/>
        <w:t>[Regulation 164ZK inserted: SL 2024/264 r. 11.]</w:t>
      </w:r>
    </w:p>
    <w:p>
      <w:pPr>
        <w:pStyle w:val="Heading5"/>
      </w:pPr>
      <w:bookmarkStart w:id="386" w:name="_Toc202449491"/>
      <w:r>
        <w:rPr>
          <w:rStyle w:val="CharSectno"/>
        </w:rPr>
        <w:t>164ZL</w:t>
      </w:r>
      <w:r>
        <w:t>.</w:t>
      </w:r>
      <w:r>
        <w:tab/>
        <w:t>Responsibility of abattoir operator after sheep or goat slaughtered</w:t>
      </w:r>
      <w:bookmarkEnd w:id="386"/>
    </w:p>
    <w:p>
      <w:pPr>
        <w:pStyle w:val="Subsection"/>
      </w:pPr>
      <w:r>
        <w:tab/>
      </w:r>
      <w:r>
        <w:tab/>
        <w:t xml:space="preserve">If an NLIS identified sheep or goat is moved to an abattoir and is slaughtered there, the abattoir operator must, within 48 hours after the slaughter, record in the NLIS database the following — </w:t>
      </w:r>
    </w:p>
    <w:p>
      <w:pPr>
        <w:pStyle w:val="Indenta"/>
      </w:pPr>
      <w:r>
        <w:tab/>
        <w:t>(a)</w:t>
      </w:r>
      <w:r>
        <w:tab/>
        <w:t>the relevant PIC of the previous property;</w:t>
      </w:r>
    </w:p>
    <w:p>
      <w:pPr>
        <w:pStyle w:val="Indenta"/>
      </w:pPr>
      <w:r>
        <w:tab/>
        <w:t>(b)</w:t>
      </w:r>
      <w:r>
        <w:tab/>
        <w:t>the relevant PIC of the abattoir;</w:t>
      </w:r>
    </w:p>
    <w:p>
      <w:pPr>
        <w:pStyle w:val="Indenta"/>
      </w:pPr>
      <w:r>
        <w:tab/>
        <w:t>(c)</w:t>
      </w:r>
      <w:r>
        <w:tab/>
        <w:t>the date of slaughter.</w:t>
      </w:r>
    </w:p>
    <w:p>
      <w:pPr>
        <w:pStyle w:val="Penstart"/>
      </w:pPr>
      <w:r>
        <w:tab/>
        <w:t>Penalty: a fine of $5 000.</w:t>
      </w:r>
    </w:p>
    <w:p>
      <w:pPr>
        <w:pStyle w:val="Footnotesection"/>
      </w:pPr>
      <w:r>
        <w:tab/>
        <w:t>[Regulation 164ZL inserted: SL 2024/264 r. 11.]</w:t>
      </w:r>
    </w:p>
    <w:p>
      <w:pPr>
        <w:pStyle w:val="Heading5"/>
      </w:pPr>
      <w:bookmarkStart w:id="387" w:name="_Toc202449492"/>
      <w:r>
        <w:rPr>
          <w:rStyle w:val="CharSectno"/>
        </w:rPr>
        <w:t>164ZM</w:t>
      </w:r>
      <w:r>
        <w:t>.</w:t>
      </w:r>
      <w:r>
        <w:tab/>
        <w:t>Responsibilities of abattoir operator if live sheep or goat moved from abattoir</w:t>
      </w:r>
      <w:bookmarkEnd w:id="387"/>
    </w:p>
    <w:p>
      <w:pPr>
        <w:pStyle w:val="Subsection"/>
      </w:pPr>
      <w:r>
        <w:tab/>
        <w:t>(1)</w:t>
      </w:r>
      <w:r>
        <w:tab/>
        <w:t xml:space="preserve">Unless an inspector in a particular case approves otherwise, an abattoir operator must not move, or permit to be moved, from the abattoir a live sheep or goat unless — </w:t>
      </w:r>
    </w:p>
    <w:p>
      <w:pPr>
        <w:pStyle w:val="Indenta"/>
      </w:pPr>
      <w:r>
        <w:lastRenderedPageBreak/>
        <w:tab/>
        <w:t>(a)</w:t>
      </w:r>
      <w:r>
        <w:tab/>
        <w:t>the sheep or goat is to be moved back to the property from which it came or to another property with a relevant PIC; and</w:t>
      </w:r>
    </w:p>
    <w:p>
      <w:pPr>
        <w:pStyle w:val="Indenta"/>
      </w:pPr>
      <w:r>
        <w:tab/>
        <w:t>(b)</w:t>
      </w:r>
      <w:r>
        <w:tab/>
        <w:t>the abattoir operator has obtained from the person to whom the sheep or goat is sold or otherwise supplied the relevant PIC of the property to which the sheep or goat is to be moved; and</w:t>
      </w:r>
    </w:p>
    <w:p>
      <w:pPr>
        <w:pStyle w:val="Indenta"/>
      </w:pPr>
      <w:r>
        <w:tab/>
        <w:t>(c)</w:t>
      </w:r>
      <w:r>
        <w:tab/>
        <w:t>the sheep or goat has an NLIS device applied to it.</w:t>
      </w:r>
    </w:p>
    <w:p>
      <w:pPr>
        <w:pStyle w:val="Penstart"/>
      </w:pPr>
      <w:r>
        <w:tab/>
        <w:t>Penalty for this subregulation: a fine of $5 000.</w:t>
      </w:r>
    </w:p>
    <w:p>
      <w:pPr>
        <w:pStyle w:val="Subsection"/>
      </w:pPr>
      <w:r>
        <w:tab/>
        <w:t>(2)</w:t>
      </w:r>
      <w:r>
        <w:tab/>
        <w:t>If a live sheep or goat to which an NLIS post breeder device is applied is moved from an abattoir, the abattoir operator must, within 48 hours after the sheep or goat is moved from the abattoir, record in the NLIS database the following —</w:t>
      </w:r>
    </w:p>
    <w:p>
      <w:pPr>
        <w:pStyle w:val="Indenta"/>
      </w:pPr>
      <w:r>
        <w:tab/>
        <w:t>(a)</w:t>
      </w:r>
      <w:r>
        <w:tab/>
        <w:t>the relevant PIC of the abattoir;</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abattoir;</w:t>
      </w:r>
    </w:p>
    <w:p>
      <w:pPr>
        <w:pStyle w:val="Indenta"/>
      </w:pPr>
      <w:r>
        <w:tab/>
        <w:t>(d)</w:t>
      </w:r>
      <w:r>
        <w:tab/>
        <w:t>the date the sheep or goat was moved from the abattoir.</w:t>
      </w:r>
    </w:p>
    <w:p>
      <w:pPr>
        <w:pStyle w:val="Penstart"/>
      </w:pPr>
      <w:r>
        <w:tab/>
        <w:t>Penalty for this subregulation: a fine of $5 000.</w:t>
      </w:r>
    </w:p>
    <w:p>
      <w:pPr>
        <w:pStyle w:val="Subsection"/>
      </w:pPr>
      <w:r>
        <w:tab/>
        <w:t>(3)</w:t>
      </w:r>
      <w:r>
        <w:tab/>
        <w:t xml:space="preserve">If a live sheep or goat to which an NLIS device, but not an NLIS post breeder device, is applied is moved from an abattoir, the abattoir operator must, within 48 hours after the sheep or goat is moved from the abattoir, record in the NLIS database the following — </w:t>
      </w:r>
    </w:p>
    <w:p>
      <w:pPr>
        <w:pStyle w:val="Indenta"/>
      </w:pPr>
      <w:r>
        <w:tab/>
        <w:t>(a)</w:t>
      </w:r>
      <w:r>
        <w:tab/>
        <w:t>the relevant PIC of the abattoir;</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abattoir;</w:t>
      </w:r>
    </w:p>
    <w:p>
      <w:pPr>
        <w:pStyle w:val="Indenta"/>
      </w:pPr>
      <w:r>
        <w:tab/>
        <w:t>(d)</w:t>
      </w:r>
      <w:r>
        <w:tab/>
        <w:t>the date the sheep or goat was moved from the abattoir.</w:t>
      </w:r>
    </w:p>
    <w:p>
      <w:pPr>
        <w:pStyle w:val="Penstart"/>
      </w:pPr>
      <w:r>
        <w:tab/>
        <w:t>Penalty for this subregulation: a fine of $5 000.</w:t>
      </w:r>
    </w:p>
    <w:p>
      <w:pPr>
        <w:pStyle w:val="Footnotesection"/>
      </w:pPr>
      <w:r>
        <w:lastRenderedPageBreak/>
        <w:tab/>
        <w:t>[Regulation 164ZM inserted: SL 2024/264 r. 11.]</w:t>
      </w:r>
    </w:p>
    <w:p>
      <w:pPr>
        <w:pStyle w:val="Heading5"/>
      </w:pPr>
      <w:bookmarkStart w:id="388" w:name="_Toc202449493"/>
      <w:r>
        <w:rPr>
          <w:rStyle w:val="CharSectno"/>
        </w:rPr>
        <w:t>164ZN</w:t>
      </w:r>
      <w:r>
        <w:t>.</w:t>
      </w:r>
      <w:r>
        <w:tab/>
        <w:t>Slaughtered sheep and goats moved to pet food processing plants</w:t>
      </w:r>
      <w:bookmarkEnd w:id="388"/>
    </w:p>
    <w:p>
      <w:pPr>
        <w:pStyle w:val="Subsection"/>
      </w:pPr>
      <w:r>
        <w:tab/>
      </w:r>
      <w:r>
        <w:tab/>
        <w:t>If a slaughtered NLIS identified sheep or goat is moved to a pet food processing plant, the operator of the pet food processing plant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 xml:space="preserve">the relevant PIC of the pet food processing plant; </w:t>
      </w:r>
    </w:p>
    <w:p>
      <w:pPr>
        <w:pStyle w:val="Indenta"/>
      </w:pPr>
      <w:r>
        <w:tab/>
        <w:t>(c)</w:t>
      </w:r>
      <w:r>
        <w:tab/>
        <w:t>the serial number of the transport document relating to the movement of the sheep or goat to the pet food processing plant;</w:t>
      </w:r>
    </w:p>
    <w:p>
      <w:pPr>
        <w:pStyle w:val="Indenta"/>
      </w:pPr>
      <w:r>
        <w:tab/>
        <w:t>(d)</w:t>
      </w:r>
      <w:r>
        <w:tab/>
        <w:t>the date the sheep or goat arrived at the pet food processing plant.</w:t>
      </w:r>
    </w:p>
    <w:p>
      <w:pPr>
        <w:pStyle w:val="Penstart"/>
      </w:pPr>
      <w:r>
        <w:tab/>
        <w:t>Penalty: a fine of $5 000.</w:t>
      </w:r>
    </w:p>
    <w:p>
      <w:pPr>
        <w:pStyle w:val="Footnotesection"/>
      </w:pPr>
      <w:r>
        <w:tab/>
        <w:t>[Regulation 164ZN inserted: SL 2024/264 r. 11.]</w:t>
      </w:r>
    </w:p>
    <w:p>
      <w:pPr>
        <w:pStyle w:val="Heading4"/>
      </w:pPr>
      <w:bookmarkStart w:id="389" w:name="_Toc202443941"/>
      <w:bookmarkStart w:id="390" w:name="_Toc202444693"/>
      <w:bookmarkStart w:id="391" w:name="_Toc202449494"/>
      <w:r>
        <w:t>Subdivision 6 — Export depots</w:t>
      </w:r>
      <w:bookmarkEnd w:id="389"/>
      <w:bookmarkEnd w:id="390"/>
      <w:bookmarkEnd w:id="391"/>
    </w:p>
    <w:p>
      <w:pPr>
        <w:pStyle w:val="Footnoteheading"/>
      </w:pPr>
      <w:r>
        <w:tab/>
        <w:t>[Heading inserted: SL 2024/264 r. 11.]</w:t>
      </w:r>
    </w:p>
    <w:p>
      <w:pPr>
        <w:pStyle w:val="Heading5"/>
      </w:pPr>
      <w:bookmarkStart w:id="392" w:name="_Toc202449495"/>
      <w:r>
        <w:rPr>
          <w:rStyle w:val="CharSectno"/>
        </w:rPr>
        <w:t>164ZO</w:t>
      </w:r>
      <w:r>
        <w:t>.</w:t>
      </w:r>
      <w:r>
        <w:tab/>
        <w:t>Responsibilities of export depot operator if no NLIS device applied to sheep or goat</w:t>
      </w:r>
      <w:bookmarkEnd w:id="392"/>
    </w:p>
    <w:p>
      <w:pPr>
        <w:pStyle w:val="Subsection"/>
      </w:pPr>
      <w:r>
        <w:tab/>
        <w:t>(1)</w:t>
      </w:r>
      <w:r>
        <w:tab/>
        <w:t>Unless an inspector in a particular case approves otherwise, if a sheep or goat other than an NLIS identified sheep or goat is moved to an export depot, the export depot operator must, within the period specified in subregulation (2) apply, or cause to be applied, to the sheep or goat an NLIS post breeder device.</w:t>
      </w:r>
    </w:p>
    <w:p>
      <w:pPr>
        <w:pStyle w:val="Penstart"/>
      </w:pPr>
      <w:r>
        <w:tab/>
        <w:t>Penalty for this subregulation: a fine of $5 000.</w:t>
      </w:r>
    </w:p>
    <w:p>
      <w:pPr>
        <w:pStyle w:val="Subsection"/>
      </w:pPr>
      <w:r>
        <w:tab/>
        <w:t>(2)</w:t>
      </w:r>
      <w:r>
        <w:tab/>
        <w:t>The export depot operator must comply with subregulation (1) as soon as practicable after the sheep or goat arrives at the export depot and before it is exported or otherwise moved from the export depot.</w:t>
      </w:r>
    </w:p>
    <w:p>
      <w:pPr>
        <w:pStyle w:val="Subsection"/>
      </w:pPr>
      <w:r>
        <w:lastRenderedPageBreak/>
        <w:tab/>
        <w:t>(3)</w:t>
      </w:r>
      <w:r>
        <w:tab/>
        <w:t>If a consignment of sheep or goats is moved to an export depot and more than 10% of the animals in the consignment are not NLIS identified sheep or goats, the export depot operator must —</w:t>
      </w:r>
    </w:p>
    <w:p>
      <w:pPr>
        <w:pStyle w:val="Indenta"/>
      </w:pPr>
      <w:r>
        <w:tab/>
        <w:t>(a)</w:t>
      </w:r>
      <w:r>
        <w:tab/>
        <w:t>hold the sheep or goats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For the purposes of this regulation, a sheep or goat that is moved to an export depot is taken not to be an NLIS identified sheep or goat unless the relevant PIC of the property from which the sheep or goat was moved is recorded in the database.</w:t>
      </w:r>
    </w:p>
    <w:p>
      <w:pPr>
        <w:pStyle w:val="Footnotesection"/>
      </w:pPr>
      <w:r>
        <w:tab/>
        <w:t>[Regulation 164ZO inserted: SL 2024/264 r. 11.]</w:t>
      </w:r>
    </w:p>
    <w:p>
      <w:pPr>
        <w:pStyle w:val="Heading5"/>
      </w:pPr>
      <w:bookmarkStart w:id="393" w:name="_Toc202449496"/>
      <w:r>
        <w:rPr>
          <w:rStyle w:val="CharSectno"/>
        </w:rPr>
        <w:t>164ZP</w:t>
      </w:r>
      <w:r>
        <w:t>.</w:t>
      </w:r>
      <w:r>
        <w:tab/>
        <w:t>Directions by inspectors</w:t>
      </w:r>
      <w:bookmarkEnd w:id="393"/>
    </w:p>
    <w:p>
      <w:pPr>
        <w:pStyle w:val="Subsection"/>
      </w:pPr>
      <w:r>
        <w:tab/>
        <w:t>(1)</w:t>
      </w:r>
      <w:r>
        <w:tab/>
        <w:t>An inspector who receives information about a consignment of sheep or goats from an export depot operator under regulation 164ZO(3)(b) may give any necessary or convenient direction to the export depot operator in relation to the sheep or goats, including —</w:t>
      </w:r>
    </w:p>
    <w:p>
      <w:pPr>
        <w:pStyle w:val="Indenta"/>
      </w:pPr>
      <w:r>
        <w:tab/>
        <w:t>(a)</w:t>
      </w:r>
      <w:r>
        <w:tab/>
        <w:t>to hold the sheep or goats at the export depot; and</w:t>
      </w:r>
    </w:p>
    <w:p>
      <w:pPr>
        <w:pStyle w:val="Indenta"/>
      </w:pPr>
      <w:r>
        <w:tab/>
        <w:t>(b)</w:t>
      </w:r>
      <w:r>
        <w:tab/>
        <w:t>to move them to, and hold them at, another place specified by the inspector; and</w:t>
      </w:r>
    </w:p>
    <w:p>
      <w:pPr>
        <w:pStyle w:val="Indenta"/>
      </w:pPr>
      <w:r>
        <w:tab/>
        <w:t>(c)</w:t>
      </w:r>
      <w:r>
        <w:tab/>
        <w:t>to arrange for regulation 164ZO(1) to be complied with.</w:t>
      </w:r>
    </w:p>
    <w:p>
      <w:pPr>
        <w:pStyle w:val="Subsection"/>
      </w:pPr>
      <w:r>
        <w:tab/>
        <w:t>(2)</w:t>
      </w:r>
      <w:r>
        <w:tab/>
        <w:t>The export depot operator must comply with a direction given by an inspector under subregulation (1).</w:t>
      </w:r>
    </w:p>
    <w:p>
      <w:pPr>
        <w:pStyle w:val="Penstart"/>
      </w:pPr>
      <w:r>
        <w:tab/>
        <w:t>Penalty for this subregulation: a fine of $5 000.</w:t>
      </w:r>
    </w:p>
    <w:p>
      <w:pPr>
        <w:pStyle w:val="Footnotesection"/>
      </w:pPr>
      <w:r>
        <w:tab/>
        <w:t>[Regulation 164ZP inserted: SL 2024/264 r. 11.]</w:t>
      </w:r>
    </w:p>
    <w:p>
      <w:pPr>
        <w:pStyle w:val="Heading5"/>
      </w:pPr>
      <w:bookmarkStart w:id="394" w:name="_Toc202449497"/>
      <w:r>
        <w:rPr>
          <w:rStyle w:val="CharSectno"/>
        </w:rPr>
        <w:t>164ZQ</w:t>
      </w:r>
      <w:r>
        <w:t>.</w:t>
      </w:r>
      <w:r>
        <w:tab/>
        <w:t>Responsibility of export depot operator if sheep or goat born at or while being moved to export depot</w:t>
      </w:r>
      <w:bookmarkEnd w:id="394"/>
    </w:p>
    <w:p>
      <w:pPr>
        <w:pStyle w:val="Subsection"/>
      </w:pPr>
      <w:r>
        <w:tab/>
      </w:r>
      <w:r>
        <w:tab/>
        <w:t xml:space="preserve">If a sheep or goat is born at, or while being moved to, an export depot, the export depot operator must, as soon as practicable </w:t>
      </w:r>
      <w:r>
        <w:lastRenderedPageBreak/>
        <w:t>after its birth and before it is moved from the export depot, apply, or cause to be applied, to the sheep or goat an NLIS post breeder device.</w:t>
      </w:r>
    </w:p>
    <w:p>
      <w:pPr>
        <w:pStyle w:val="Penstart"/>
      </w:pPr>
      <w:r>
        <w:tab/>
        <w:t>Penalty: a fine of $5 000.</w:t>
      </w:r>
    </w:p>
    <w:p>
      <w:pPr>
        <w:pStyle w:val="Footnotesection"/>
      </w:pPr>
      <w:r>
        <w:tab/>
        <w:t>[Regulation 164ZQ inserted: SL 2024/264 r. 11.]</w:t>
      </w:r>
    </w:p>
    <w:p>
      <w:pPr>
        <w:pStyle w:val="Heading5"/>
      </w:pPr>
      <w:bookmarkStart w:id="395" w:name="_Toc202449498"/>
      <w:r>
        <w:rPr>
          <w:rStyle w:val="CharSectno"/>
        </w:rPr>
        <w:t>164ZR</w:t>
      </w:r>
      <w:r>
        <w:t>.</w:t>
      </w:r>
      <w:r>
        <w:tab/>
        <w:t>Responsibility of export depot operator if sheep or goat moved to export depot</w:t>
      </w:r>
      <w:bookmarkEnd w:id="395"/>
    </w:p>
    <w:p>
      <w:pPr>
        <w:pStyle w:val="Subsection"/>
      </w:pPr>
      <w:r>
        <w:tab/>
      </w:r>
      <w:r>
        <w:tab/>
        <w:t>If a sheep or goat is moved to an export depot, the export depot operator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 xml:space="preserve">the relevant PIC of the export depot; </w:t>
      </w:r>
    </w:p>
    <w:p>
      <w:pPr>
        <w:pStyle w:val="Indenta"/>
      </w:pPr>
      <w:r>
        <w:tab/>
        <w:t>(c)</w:t>
      </w:r>
      <w:r>
        <w:tab/>
        <w:t>the serial number of the transport document relating to the movement of the sheep or goat to the export depot;</w:t>
      </w:r>
    </w:p>
    <w:p>
      <w:pPr>
        <w:pStyle w:val="Indenta"/>
      </w:pPr>
      <w:r>
        <w:tab/>
        <w:t>(d)</w:t>
      </w:r>
      <w:r>
        <w:tab/>
        <w:t>the date the sheep or goat arrived at the export depot.</w:t>
      </w:r>
    </w:p>
    <w:p>
      <w:pPr>
        <w:pStyle w:val="Penstart"/>
      </w:pPr>
      <w:r>
        <w:tab/>
        <w:t>Penalty: a fine of $5 000.</w:t>
      </w:r>
    </w:p>
    <w:p>
      <w:pPr>
        <w:pStyle w:val="Footnotesection"/>
      </w:pPr>
      <w:r>
        <w:tab/>
        <w:t>[Regulation 164ZR inserted: SL 2024/264 r. 11.]</w:t>
      </w:r>
    </w:p>
    <w:p>
      <w:pPr>
        <w:pStyle w:val="Heading5"/>
      </w:pPr>
      <w:bookmarkStart w:id="396" w:name="_Toc202449499"/>
      <w:r>
        <w:rPr>
          <w:rStyle w:val="CharSectno"/>
        </w:rPr>
        <w:t>164ZS</w:t>
      </w:r>
      <w:r>
        <w:t>.</w:t>
      </w:r>
      <w:r>
        <w:tab/>
        <w:t>Responsibilities of export depot operator if sheep or goat exported or otherwise moved from export depot</w:t>
      </w:r>
      <w:bookmarkEnd w:id="396"/>
    </w:p>
    <w:p>
      <w:pPr>
        <w:pStyle w:val="Subsection"/>
      </w:pPr>
      <w:r>
        <w:tab/>
        <w:t>(1)</w:t>
      </w:r>
      <w:r>
        <w:tab/>
        <w:t>If a sheep or goat is moved from an export depot for export, the export depot operator must, within 48 hours after the sheep or goat is moved, record in the NLIS database the following —</w:t>
      </w:r>
    </w:p>
    <w:p>
      <w:pPr>
        <w:pStyle w:val="Indenta"/>
      </w:pPr>
      <w:r>
        <w:tab/>
        <w:t>(a)</w:t>
      </w:r>
      <w:r>
        <w:tab/>
        <w:t xml:space="preserve">the relevant PIC of the export depot; </w:t>
      </w:r>
    </w:p>
    <w:p>
      <w:pPr>
        <w:pStyle w:val="Indenta"/>
      </w:pPr>
      <w:r>
        <w:tab/>
        <w:t>(b)</w:t>
      </w:r>
      <w:r>
        <w:tab/>
        <w:t>the relevant PIC of the port to which the sheep or goat has been moved;</w:t>
      </w:r>
    </w:p>
    <w:p>
      <w:pPr>
        <w:pStyle w:val="Indenta"/>
      </w:pPr>
      <w:r>
        <w:tab/>
        <w:t>(c)</w:t>
      </w:r>
      <w:r>
        <w:tab/>
        <w:t>the serial number of the transport document relating to the movement of the sheep or goat from the export depot;</w:t>
      </w:r>
    </w:p>
    <w:p>
      <w:pPr>
        <w:pStyle w:val="Indenta"/>
      </w:pPr>
      <w:r>
        <w:tab/>
        <w:t>(d)</w:t>
      </w:r>
      <w:r>
        <w:tab/>
        <w:t>the date the sheep or goat was moved from the export depot.</w:t>
      </w:r>
    </w:p>
    <w:p>
      <w:pPr>
        <w:pStyle w:val="Penstart"/>
      </w:pPr>
      <w:r>
        <w:lastRenderedPageBreak/>
        <w:tab/>
        <w:t>Penalty for this subregulation: a fine of $5 000.</w:t>
      </w:r>
    </w:p>
    <w:p>
      <w:pPr>
        <w:pStyle w:val="Subsection"/>
      </w:pPr>
      <w:r>
        <w:tab/>
        <w:t>(2)</w:t>
      </w:r>
      <w:r>
        <w:tab/>
        <w:t xml:space="preserve">Unless an inspector in a particular case approves otherwise, an export depot operator must not, except by export, move or permit to be moved from the export depot an NLIS identified sheep or goat unless — </w:t>
      </w:r>
    </w:p>
    <w:p>
      <w:pPr>
        <w:pStyle w:val="Indenta"/>
      </w:pPr>
      <w:r>
        <w:tab/>
        <w:t>(a)</w:t>
      </w:r>
      <w:r>
        <w:tab/>
        <w:t>it is to be moved back to the property from which it came or to another property with a relevant PIC; and</w:t>
      </w:r>
    </w:p>
    <w:p>
      <w:pPr>
        <w:pStyle w:val="Indenta"/>
      </w:pPr>
      <w:r>
        <w:tab/>
        <w:t>(b)</w:t>
      </w:r>
      <w:r>
        <w:tab/>
        <w:t>the export depot operator has obtained from the person to whom the sheep or goat is sold or otherwise supplied the relevant PIC of the property to which the sheep or goat is to be moved.</w:t>
      </w:r>
    </w:p>
    <w:p>
      <w:pPr>
        <w:pStyle w:val="Penstart"/>
      </w:pPr>
      <w:r>
        <w:tab/>
        <w:t>Penalty for this subregulation: a fine of $5 000.</w:t>
      </w:r>
    </w:p>
    <w:p>
      <w:pPr>
        <w:pStyle w:val="Subsection"/>
      </w:pPr>
      <w:r>
        <w:tab/>
        <w:t>(3)</w:t>
      </w:r>
      <w:r>
        <w:tab/>
        <w:t>Unless an inspector in a particular case approves otherwise, if a sheep or goat is moved from an export depot, except by export, the export depot operator must, within 48 hours after the sheep or goat is moved, record in the NLIS database the following —</w:t>
      </w:r>
    </w:p>
    <w:p>
      <w:pPr>
        <w:pStyle w:val="Indenta"/>
      </w:pPr>
      <w:r>
        <w:tab/>
        <w:t>(a)</w:t>
      </w:r>
      <w:r>
        <w:tab/>
        <w:t>the relevant PIC of the export depot;</w:t>
      </w:r>
    </w:p>
    <w:p>
      <w:pPr>
        <w:pStyle w:val="Indenta"/>
      </w:pPr>
      <w:r>
        <w:tab/>
        <w:t>(b)</w:t>
      </w:r>
      <w:r>
        <w:tab/>
        <w:t>the relevant PIC of the property to which the sheep or goat has been moved;</w:t>
      </w:r>
    </w:p>
    <w:p>
      <w:pPr>
        <w:pStyle w:val="Indenta"/>
      </w:pPr>
      <w:r>
        <w:tab/>
        <w:t>(c)</w:t>
      </w:r>
      <w:r>
        <w:tab/>
        <w:t>the serial number of the waybill relating to the movement of the sheep or goat from the export depot;</w:t>
      </w:r>
    </w:p>
    <w:p>
      <w:pPr>
        <w:pStyle w:val="Indenta"/>
      </w:pPr>
      <w:r>
        <w:tab/>
        <w:t>(d)</w:t>
      </w:r>
      <w:r>
        <w:tab/>
        <w:t>the date the sheep or goat was moved from the export depot.</w:t>
      </w:r>
    </w:p>
    <w:p>
      <w:pPr>
        <w:pStyle w:val="Penstart"/>
      </w:pPr>
      <w:r>
        <w:tab/>
        <w:t>Penalty for this subregulation: a fine of $5 000.</w:t>
      </w:r>
    </w:p>
    <w:p>
      <w:pPr>
        <w:pStyle w:val="Footnotesection"/>
      </w:pPr>
      <w:r>
        <w:tab/>
        <w:t>[Regulation 164ZS inserted: SL 2024/264 r. 11.]</w:t>
      </w:r>
    </w:p>
    <w:p>
      <w:pPr>
        <w:pStyle w:val="Heading3"/>
      </w:pPr>
      <w:bookmarkStart w:id="397" w:name="_Toc202443947"/>
      <w:bookmarkStart w:id="398" w:name="_Toc202444699"/>
      <w:bookmarkStart w:id="399" w:name="_Toc202449500"/>
      <w:r>
        <w:rPr>
          <w:rStyle w:val="CharDivNo"/>
        </w:rPr>
        <w:lastRenderedPageBreak/>
        <w:t>Division 4</w:t>
      </w:r>
      <w:r>
        <w:t> —</w:t>
      </w:r>
      <w:r>
        <w:rPr>
          <w:rStyle w:val="CharDivText"/>
        </w:rPr>
        <w:t> Carriers of sheep and goats</w:t>
      </w:r>
      <w:bookmarkEnd w:id="397"/>
      <w:bookmarkEnd w:id="398"/>
      <w:bookmarkEnd w:id="399"/>
    </w:p>
    <w:p>
      <w:pPr>
        <w:pStyle w:val="Footnoteheading"/>
        <w:keepNext/>
      </w:pPr>
      <w:r>
        <w:tab/>
        <w:t>[Heading inserted: SL 2024/264 r. 11.]</w:t>
      </w:r>
    </w:p>
    <w:p>
      <w:pPr>
        <w:pStyle w:val="Heading5"/>
      </w:pPr>
      <w:bookmarkStart w:id="400" w:name="_Toc202449501"/>
      <w:r>
        <w:rPr>
          <w:rStyle w:val="CharSectno"/>
        </w:rPr>
        <w:t>164ZT</w:t>
      </w:r>
      <w:r>
        <w:t>.</w:t>
      </w:r>
      <w:r>
        <w:tab/>
        <w:t>Responsibilities of carriers</w:t>
      </w:r>
      <w:bookmarkEnd w:id="400"/>
    </w:p>
    <w:p>
      <w:pPr>
        <w:pStyle w:val="Subsection"/>
      </w:pPr>
      <w:r>
        <w:tab/>
        <w:t>(1)</w:t>
      </w:r>
      <w:r>
        <w:tab/>
        <w:t>A carrier moving a sheep or goat from a property to a holding yard must, as soon as practicable after arriving there, endorse on the transport document relating to the sheep or goat —</w:t>
      </w:r>
    </w:p>
    <w:p>
      <w:pPr>
        <w:pStyle w:val="Indenta"/>
      </w:pPr>
      <w:r>
        <w:tab/>
        <w:t>(a)</w:t>
      </w:r>
      <w:r>
        <w:tab/>
        <w:t>the relevant PIC of the holding yard; and</w:t>
      </w:r>
    </w:p>
    <w:p>
      <w:pPr>
        <w:pStyle w:val="Indenta"/>
      </w:pPr>
      <w:r>
        <w:tab/>
        <w:t>(b)</w:t>
      </w:r>
      <w:r>
        <w:tab/>
        <w:t>the relevant PIC of the property to which the sheep or goat is to be taken from the holding yard.</w:t>
      </w:r>
    </w:p>
    <w:p>
      <w:pPr>
        <w:pStyle w:val="Penstart"/>
      </w:pPr>
      <w:r>
        <w:tab/>
        <w:t>Penalty for this subregulation: a fine of $2 000.</w:t>
      </w:r>
    </w:p>
    <w:p>
      <w:pPr>
        <w:pStyle w:val="Subsection"/>
      </w:pPr>
      <w:r>
        <w:tab/>
        <w:t>(2)</w:t>
      </w:r>
      <w:r>
        <w:tab/>
        <w:t>If a carrier moves from a property a sheep or goat to which an NLIS device is not applied, the carrier must keep the sheep or goat separate from —</w:t>
      </w:r>
    </w:p>
    <w:p>
      <w:pPr>
        <w:pStyle w:val="Indenta"/>
      </w:pPr>
      <w:r>
        <w:tab/>
        <w:t>(a)</w:t>
      </w:r>
      <w:r>
        <w:tab/>
        <w:t>any NLIS identified sheep or goat; and</w:t>
      </w:r>
    </w:p>
    <w:p>
      <w:pPr>
        <w:pStyle w:val="Indenta"/>
      </w:pPr>
      <w:r>
        <w:tab/>
        <w:t>(b)</w:t>
      </w:r>
      <w:r>
        <w:tab/>
        <w:t>any sheep or goat being moved from another property.</w:t>
      </w:r>
    </w:p>
    <w:p>
      <w:pPr>
        <w:pStyle w:val="Penstart"/>
      </w:pPr>
      <w:r>
        <w:tab/>
        <w:t xml:space="preserve">Penalty for this subregulation: a fine of $2 000. </w:t>
      </w:r>
    </w:p>
    <w:p>
      <w:pPr>
        <w:pStyle w:val="Footnotesection"/>
      </w:pPr>
      <w:r>
        <w:tab/>
        <w:t>[Regulation 164ZT inserted: SL 2024/264 r. 11.]</w:t>
      </w:r>
    </w:p>
    <w:p>
      <w:pPr>
        <w:pStyle w:val="Heading3"/>
      </w:pPr>
      <w:bookmarkStart w:id="401" w:name="_Toc202443949"/>
      <w:bookmarkStart w:id="402" w:name="_Toc202444701"/>
      <w:bookmarkStart w:id="403" w:name="_Toc202449502"/>
      <w:r>
        <w:rPr>
          <w:rStyle w:val="CharDivNo"/>
        </w:rPr>
        <w:t>Division 5</w:t>
      </w:r>
      <w:r>
        <w:t> —</w:t>
      </w:r>
      <w:r>
        <w:rPr>
          <w:rStyle w:val="CharDivText"/>
        </w:rPr>
        <w:t> Other NLIS requirements for sheep and goats</w:t>
      </w:r>
      <w:bookmarkEnd w:id="401"/>
      <w:bookmarkEnd w:id="402"/>
      <w:bookmarkEnd w:id="403"/>
    </w:p>
    <w:p>
      <w:pPr>
        <w:pStyle w:val="Footnoteheading"/>
      </w:pPr>
      <w:r>
        <w:tab/>
        <w:t>[Heading inserted: SL 2024/264 r. 11.]</w:t>
      </w:r>
    </w:p>
    <w:p>
      <w:pPr>
        <w:pStyle w:val="Heading5"/>
      </w:pPr>
      <w:bookmarkStart w:id="404" w:name="_Toc202449503"/>
      <w:r>
        <w:rPr>
          <w:rStyle w:val="CharSectno"/>
        </w:rPr>
        <w:t>164ZU</w:t>
      </w:r>
      <w:r>
        <w:t>.</w:t>
      </w:r>
      <w:r>
        <w:tab/>
        <w:t>Imported sheep and goats</w:t>
      </w:r>
      <w:bookmarkEnd w:id="404"/>
    </w:p>
    <w:p>
      <w:pPr>
        <w:pStyle w:val="Subsection"/>
      </w:pPr>
      <w:r>
        <w:tab/>
      </w:r>
      <w:r>
        <w:tab/>
        <w:t>A person must not take possession or control of an imported sheep or goat unless it has an NLIS device applied to it.</w:t>
      </w:r>
    </w:p>
    <w:p>
      <w:pPr>
        <w:pStyle w:val="Penstart"/>
      </w:pPr>
      <w:r>
        <w:tab/>
        <w:t>Penalty: a fine of $5 000.</w:t>
      </w:r>
    </w:p>
    <w:p>
      <w:pPr>
        <w:pStyle w:val="Footnotesection"/>
      </w:pPr>
      <w:r>
        <w:tab/>
        <w:t>[Regulation 164ZU inserted: SL 2024/264 r. 11.]</w:t>
      </w:r>
    </w:p>
    <w:p>
      <w:pPr>
        <w:pStyle w:val="Heading5"/>
      </w:pPr>
      <w:bookmarkStart w:id="405" w:name="_Toc202449504"/>
      <w:r>
        <w:rPr>
          <w:rStyle w:val="CharSectno"/>
        </w:rPr>
        <w:t>164ZV</w:t>
      </w:r>
      <w:r>
        <w:t>.</w:t>
      </w:r>
      <w:r>
        <w:tab/>
        <w:t>Sheep and goats from pound</w:t>
      </w:r>
      <w:bookmarkEnd w:id="405"/>
    </w:p>
    <w:p>
      <w:pPr>
        <w:pStyle w:val="Subsection"/>
      </w:pPr>
      <w:r>
        <w:tab/>
      </w:r>
      <w:r>
        <w:tab/>
        <w:t>A person must not take possession or control of a sheep or goat from a pound unless it has an NLIS device applied to it.</w:t>
      </w:r>
    </w:p>
    <w:p>
      <w:pPr>
        <w:pStyle w:val="Penstart"/>
      </w:pPr>
      <w:r>
        <w:lastRenderedPageBreak/>
        <w:tab/>
        <w:t>Penalty: a fine of $5 000.</w:t>
      </w:r>
    </w:p>
    <w:p>
      <w:pPr>
        <w:pStyle w:val="Footnotesection"/>
      </w:pPr>
      <w:r>
        <w:tab/>
        <w:t>[Regulation 164ZV inserted: SL 2024/264 r. 11.]</w:t>
      </w:r>
    </w:p>
    <w:p>
      <w:pPr>
        <w:pStyle w:val="Heading5"/>
      </w:pPr>
      <w:bookmarkStart w:id="406" w:name="_Toc202449505"/>
      <w:r>
        <w:rPr>
          <w:rStyle w:val="CharSectno"/>
        </w:rPr>
        <w:t>164ZW</w:t>
      </w:r>
      <w:r>
        <w:t>.</w:t>
      </w:r>
      <w:r>
        <w:tab/>
        <w:t>Dead stray sheep and goats</w:t>
      </w:r>
      <w:bookmarkEnd w:id="406"/>
    </w:p>
    <w:p>
      <w:pPr>
        <w:pStyle w:val="Subsection"/>
      </w:pPr>
      <w:r>
        <w:tab/>
        <w:t>(1)</w:t>
      </w:r>
      <w:r>
        <w:tab/>
        <w:t xml:space="preserve">In this regulation — </w:t>
      </w:r>
    </w:p>
    <w:p>
      <w:pPr>
        <w:pStyle w:val="Defstart"/>
      </w:pPr>
      <w:r>
        <w:tab/>
      </w:r>
      <w:r>
        <w:rPr>
          <w:rStyle w:val="CharDefText"/>
        </w:rPr>
        <w:t>designated person</w:t>
      </w:r>
      <w:r>
        <w:t xml:space="preserve"> means — </w:t>
      </w:r>
    </w:p>
    <w:p>
      <w:pPr>
        <w:pStyle w:val="Defpara"/>
      </w:pPr>
      <w:r>
        <w:tab/>
        <w:t>(a)</w:t>
      </w:r>
      <w:r>
        <w:tab/>
        <w:t>a ranger appointed by a local government; or</w:t>
      </w:r>
    </w:p>
    <w:p>
      <w:pPr>
        <w:pStyle w:val="Defpara"/>
      </w:pPr>
      <w:r>
        <w:tab/>
        <w:t>(b)</w:t>
      </w:r>
      <w:r>
        <w:tab/>
        <w:t>a person authorised by a local government to impound animals.</w:t>
      </w:r>
    </w:p>
    <w:p>
      <w:pPr>
        <w:pStyle w:val="Subsection"/>
      </w:pPr>
      <w:r>
        <w:tab/>
        <w:t>(2)</w:t>
      </w:r>
      <w:r>
        <w:tab/>
        <w:t xml:space="preserve">Subregulation (3) applies if a designated person finds a dead NLIS identified sheep or goat, or destroys an NLIS identified sheep or goat, on — </w:t>
      </w:r>
    </w:p>
    <w:p>
      <w:pPr>
        <w:pStyle w:val="Indenta"/>
      </w:pPr>
      <w:r>
        <w:tab/>
        <w:t>(a)</w:t>
      </w:r>
      <w:r>
        <w:tab/>
        <w:t xml:space="preserve">a street, way or place mentioned in the </w:t>
      </w:r>
      <w:r>
        <w:rPr>
          <w:i/>
        </w:rPr>
        <w:t>Local Government (Miscellaneous Provisions) Act 1960</w:t>
      </w:r>
      <w:r>
        <w:t xml:space="preserve"> section 447; or</w:t>
      </w:r>
    </w:p>
    <w:p>
      <w:pPr>
        <w:pStyle w:val="Indenta"/>
      </w:pPr>
      <w:r>
        <w:tab/>
        <w:t>(b)</w:t>
      </w:r>
      <w:r>
        <w:tab/>
        <w:t>vacant Crown land.</w:t>
      </w:r>
    </w:p>
    <w:p>
      <w:pPr>
        <w:pStyle w:val="Subsection"/>
      </w:pPr>
      <w:r>
        <w:tab/>
        <w:t>(3)</w:t>
      </w:r>
      <w:r>
        <w:tab/>
        <w:t xml:space="preserve">If this subregulation applies, the local government that appointed or authorised the designated person (as the case requires) must, within 48 hours after the NLIS identified sheep or goat is found dead or is destroyed, record in the NLIS database the following — </w:t>
      </w:r>
    </w:p>
    <w:p>
      <w:pPr>
        <w:pStyle w:val="Indenta"/>
      </w:pPr>
      <w:r>
        <w:tab/>
        <w:t>(a)</w:t>
      </w:r>
      <w:r>
        <w:tab/>
        <w:t>the PIC of the pound operated by the local government;</w:t>
      </w:r>
    </w:p>
    <w:p>
      <w:pPr>
        <w:pStyle w:val="Indenta"/>
      </w:pPr>
      <w:r>
        <w:tab/>
        <w:t>(b)</w:t>
      </w:r>
      <w:r>
        <w:tab/>
        <w:t>the date the sheep or goat was found dead or was destroyed.</w:t>
      </w:r>
    </w:p>
    <w:p>
      <w:pPr>
        <w:pStyle w:val="Penstart"/>
      </w:pPr>
      <w:r>
        <w:tab/>
        <w:t>Penalty for this subregulation: a fine of $2 000.</w:t>
      </w:r>
    </w:p>
    <w:p>
      <w:pPr>
        <w:pStyle w:val="Footnotesection"/>
      </w:pPr>
      <w:r>
        <w:tab/>
        <w:t>[Regulation 164ZW inserted: SL 2024/264 r. 11.]</w:t>
      </w:r>
    </w:p>
    <w:p>
      <w:pPr>
        <w:pStyle w:val="Heading2"/>
      </w:pPr>
      <w:bookmarkStart w:id="407" w:name="_Toc202443953"/>
      <w:bookmarkStart w:id="408" w:name="_Toc202444705"/>
      <w:bookmarkStart w:id="409" w:name="_Toc202449506"/>
      <w:r>
        <w:rPr>
          <w:rStyle w:val="CharPartNo"/>
        </w:rPr>
        <w:lastRenderedPageBreak/>
        <w:t>Part 7</w:t>
      </w:r>
      <w:r>
        <w:t> — </w:t>
      </w:r>
      <w:r>
        <w:rPr>
          <w:rStyle w:val="CharPartText"/>
        </w:rPr>
        <w:t>Identifying other species of stock</w:t>
      </w:r>
      <w:bookmarkEnd w:id="407"/>
      <w:bookmarkEnd w:id="408"/>
      <w:bookmarkEnd w:id="409"/>
    </w:p>
    <w:p>
      <w:pPr>
        <w:pStyle w:val="Heading3"/>
      </w:pPr>
      <w:bookmarkStart w:id="410" w:name="_Toc202443954"/>
      <w:bookmarkStart w:id="411" w:name="_Toc202444706"/>
      <w:bookmarkStart w:id="412" w:name="_Toc202449507"/>
      <w:r>
        <w:rPr>
          <w:rStyle w:val="CharDivNo"/>
        </w:rPr>
        <w:t>Division 1</w:t>
      </w:r>
      <w:r>
        <w:t> — </w:t>
      </w:r>
      <w:r>
        <w:rPr>
          <w:rStyle w:val="CharDivText"/>
        </w:rPr>
        <w:t>Deer</w:t>
      </w:r>
      <w:bookmarkEnd w:id="410"/>
      <w:bookmarkEnd w:id="411"/>
      <w:bookmarkEnd w:id="412"/>
    </w:p>
    <w:p>
      <w:pPr>
        <w:pStyle w:val="Heading5"/>
      </w:pPr>
      <w:bookmarkStart w:id="413" w:name="_Toc202449508"/>
      <w:r>
        <w:rPr>
          <w:rStyle w:val="CharSectno"/>
        </w:rPr>
        <w:t>165</w:t>
      </w:r>
      <w:r>
        <w:t>.</w:t>
      </w:r>
      <w:r>
        <w:tab/>
        <w:t>Owners to identify deer</w:t>
      </w:r>
      <w:bookmarkEnd w:id="413"/>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lastRenderedPageBreak/>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414" w:name="_Toc202449509"/>
      <w:r>
        <w:rPr>
          <w:rStyle w:val="CharSectno"/>
        </w:rPr>
        <w:t>166</w:t>
      </w:r>
      <w:r>
        <w:t>.</w:t>
      </w:r>
      <w:r>
        <w:tab/>
        <w:t>Exemption for unweaned deer</w:t>
      </w:r>
      <w:bookmarkEnd w:id="414"/>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415" w:name="_Toc202449510"/>
      <w:r>
        <w:rPr>
          <w:rStyle w:val="CharSectno"/>
        </w:rPr>
        <w:t>167</w:t>
      </w:r>
      <w:r>
        <w:t>.</w:t>
      </w:r>
      <w:r>
        <w:tab/>
        <w:t>Deer identified by previous owner</w:t>
      </w:r>
      <w:bookmarkEnd w:id="415"/>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416" w:name="_Toc202449511"/>
      <w:r>
        <w:rPr>
          <w:rStyle w:val="CharSectno"/>
        </w:rPr>
        <w:lastRenderedPageBreak/>
        <w:t>168</w:t>
      </w:r>
      <w:r>
        <w:t>.</w:t>
      </w:r>
      <w:r>
        <w:tab/>
        <w:t>Requirements for brands</w:t>
      </w:r>
      <w:bookmarkEnd w:id="416"/>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417" w:name="_Toc202449512"/>
      <w:r>
        <w:rPr>
          <w:rStyle w:val="CharSectno"/>
        </w:rPr>
        <w:t>169</w:t>
      </w:r>
      <w:r>
        <w:t>.</w:t>
      </w:r>
      <w:r>
        <w:tab/>
        <w:t>Requirements for earmarks</w:t>
      </w:r>
      <w:bookmarkEnd w:id="417"/>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418" w:name="_Toc202443960"/>
      <w:bookmarkStart w:id="419" w:name="_Toc202444712"/>
      <w:bookmarkStart w:id="420" w:name="_Toc202449513"/>
      <w:r>
        <w:rPr>
          <w:rStyle w:val="CharDivNo"/>
        </w:rPr>
        <w:t>Division 2</w:t>
      </w:r>
      <w:r>
        <w:t> — </w:t>
      </w:r>
      <w:r>
        <w:rPr>
          <w:rStyle w:val="CharDivText"/>
        </w:rPr>
        <w:t>Horses and donkeys</w:t>
      </w:r>
      <w:bookmarkEnd w:id="418"/>
      <w:bookmarkEnd w:id="419"/>
      <w:bookmarkEnd w:id="420"/>
    </w:p>
    <w:p>
      <w:pPr>
        <w:pStyle w:val="Footnoteheading"/>
      </w:pPr>
      <w:r>
        <w:tab/>
        <w:t>[Heading inserted: Gazette 27 Jun 2019 p. 2444.]</w:t>
      </w:r>
    </w:p>
    <w:p>
      <w:pPr>
        <w:pStyle w:val="Heading5"/>
      </w:pPr>
      <w:bookmarkStart w:id="421" w:name="_Toc202449514"/>
      <w:r>
        <w:rPr>
          <w:rStyle w:val="CharSectno"/>
        </w:rPr>
        <w:t>170</w:t>
      </w:r>
      <w:r>
        <w:t>.</w:t>
      </w:r>
      <w:r>
        <w:tab/>
        <w:t>Owners to identify horses and donkeys</w:t>
      </w:r>
      <w:bookmarkEnd w:id="421"/>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lastRenderedPageBreak/>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lastRenderedPageBreak/>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422" w:name="_Toc202449515"/>
      <w:r>
        <w:rPr>
          <w:rStyle w:val="CharSectno"/>
        </w:rPr>
        <w:t>171</w:t>
      </w:r>
      <w:r>
        <w:t>.</w:t>
      </w:r>
      <w:r>
        <w:tab/>
        <w:t>Exemption for unweaned horses and donkeys</w:t>
      </w:r>
      <w:bookmarkEnd w:id="422"/>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423" w:name="_Toc202449516"/>
      <w:r>
        <w:rPr>
          <w:rStyle w:val="CharSectno"/>
        </w:rPr>
        <w:t>172</w:t>
      </w:r>
      <w:r>
        <w:t>.</w:t>
      </w:r>
      <w:r>
        <w:tab/>
        <w:t>Horses or donkeys identified by previous owner</w:t>
      </w:r>
      <w:bookmarkEnd w:id="423"/>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424" w:name="_Toc202449517"/>
      <w:r>
        <w:rPr>
          <w:rStyle w:val="CharSectno"/>
        </w:rPr>
        <w:t>173</w:t>
      </w:r>
      <w:r>
        <w:t>.</w:t>
      </w:r>
      <w:r>
        <w:tab/>
        <w:t>Requirements for brands</w:t>
      </w:r>
      <w:bookmarkEnd w:id="424"/>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keepNext/>
      </w:pPr>
      <w:r>
        <w:lastRenderedPageBreak/>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Ednotedivision"/>
      </w:pPr>
      <w:r>
        <w:t>[Div. 3 (r.174</w:t>
      </w:r>
      <w:r>
        <w:noBreakHyphen/>
        <w:t>177) deleted: SL 2022/17 r. 7.]</w:t>
      </w:r>
    </w:p>
    <w:p>
      <w:pPr>
        <w:pStyle w:val="Ednotedivision"/>
      </w:pPr>
      <w:r>
        <w:t>[Div. 4 (r.178-180) deleted: Gazette 27 Jun 2019 p. 2447.]</w:t>
      </w:r>
    </w:p>
    <w:p>
      <w:pPr>
        <w:pStyle w:val="Heading3"/>
      </w:pPr>
      <w:bookmarkStart w:id="425" w:name="_Toc202443965"/>
      <w:bookmarkStart w:id="426" w:name="_Toc202444717"/>
      <w:bookmarkStart w:id="427" w:name="_Toc202449518"/>
      <w:r>
        <w:rPr>
          <w:rStyle w:val="CharDivNo"/>
        </w:rPr>
        <w:t>Division 5</w:t>
      </w:r>
      <w:r>
        <w:t> — </w:t>
      </w:r>
      <w:r>
        <w:rPr>
          <w:rStyle w:val="CharDivText"/>
        </w:rPr>
        <w:t>South American camelids</w:t>
      </w:r>
      <w:bookmarkEnd w:id="425"/>
      <w:bookmarkEnd w:id="426"/>
      <w:bookmarkEnd w:id="427"/>
    </w:p>
    <w:p>
      <w:pPr>
        <w:pStyle w:val="Heading5"/>
      </w:pPr>
      <w:bookmarkStart w:id="428" w:name="_Toc202449519"/>
      <w:r>
        <w:rPr>
          <w:rStyle w:val="CharSectno"/>
        </w:rPr>
        <w:t>181</w:t>
      </w:r>
      <w:r>
        <w:t>.</w:t>
      </w:r>
      <w:r>
        <w:tab/>
        <w:t>Owners to identify South American camelids</w:t>
      </w:r>
      <w:bookmarkEnd w:id="428"/>
    </w:p>
    <w:p>
      <w:pPr>
        <w:pStyle w:val="Subsection"/>
        <w:keepNext/>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keepNext/>
      </w:pPr>
      <w:r>
        <w:tab/>
        <w:t>(b)</w:t>
      </w:r>
      <w:r>
        <w:tab/>
        <w:t>otherwise — before it reaches 6 months of age.</w:t>
      </w:r>
    </w:p>
    <w:p>
      <w:pPr>
        <w:pStyle w:val="Penstart"/>
      </w:pPr>
      <w:r>
        <w:tab/>
        <w:t>Penalty for this subregulation: a fine of $2 000.</w:t>
      </w:r>
    </w:p>
    <w:p>
      <w:pPr>
        <w:pStyle w:val="Subsection"/>
        <w:keepNext/>
      </w:pPr>
      <w:r>
        <w:lastRenderedPageBreak/>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keepNext/>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keepNext/>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keepNext/>
      </w:pPr>
      <w:r>
        <w:tab/>
        <w:t>(c)</w:t>
      </w:r>
      <w:r>
        <w:tab/>
        <w:t>an approved identifier for South American camelids.</w:t>
      </w:r>
    </w:p>
    <w:p>
      <w:pPr>
        <w:pStyle w:val="Footnotesection"/>
      </w:pPr>
      <w:r>
        <w:tab/>
        <w:t>[Regulation 181 amended: Gazette 27 Jun 2019 p. 2447; SL 2021/204 r. 14.]</w:t>
      </w:r>
    </w:p>
    <w:p>
      <w:pPr>
        <w:pStyle w:val="Heading5"/>
      </w:pPr>
      <w:bookmarkStart w:id="429" w:name="_Toc202449520"/>
      <w:r>
        <w:rPr>
          <w:rStyle w:val="CharSectno"/>
        </w:rPr>
        <w:lastRenderedPageBreak/>
        <w:t>182</w:t>
      </w:r>
      <w:r>
        <w:t>.</w:t>
      </w:r>
      <w:r>
        <w:tab/>
        <w:t>Exemption for unweaned South American camelids</w:t>
      </w:r>
      <w:bookmarkEnd w:id="429"/>
    </w:p>
    <w:p>
      <w:pPr>
        <w:pStyle w:val="Subsection"/>
        <w:keepNext/>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430" w:name="_Toc202449521"/>
      <w:r>
        <w:rPr>
          <w:rStyle w:val="CharSectno"/>
        </w:rPr>
        <w:t>183</w:t>
      </w:r>
      <w:r>
        <w:t>.</w:t>
      </w:r>
      <w:r>
        <w:tab/>
        <w:t>South American camelids identified by previous owner</w:t>
      </w:r>
      <w:bookmarkEnd w:id="430"/>
    </w:p>
    <w:p>
      <w:pPr>
        <w:pStyle w:val="Subsection"/>
        <w:keepNext/>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431" w:name="_Toc202449522"/>
      <w:r>
        <w:rPr>
          <w:rStyle w:val="CharSectno"/>
        </w:rPr>
        <w:t>184</w:t>
      </w:r>
      <w:r>
        <w:t>.</w:t>
      </w:r>
      <w:r>
        <w:tab/>
        <w:t>Registered identifier applied as brand</w:t>
      </w:r>
      <w:bookmarkEnd w:id="431"/>
    </w:p>
    <w:p>
      <w:pPr>
        <w:pStyle w:val="Subsection"/>
        <w:keepNext/>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keepNext/>
      </w:pPr>
      <w:r>
        <w:tab/>
        <w:t>(c)</w:t>
      </w:r>
      <w:r>
        <w:tab/>
        <w:t>in the case of a female South American camelid — is applied to the right ear.</w:t>
      </w:r>
    </w:p>
    <w:p>
      <w:pPr>
        <w:pStyle w:val="Footnotesection"/>
      </w:pPr>
      <w:r>
        <w:tab/>
        <w:t>[Regulation 184 inserted: Gazette 27 Jun 2019 p. 2448.]</w:t>
      </w:r>
    </w:p>
    <w:p>
      <w:pPr>
        <w:pStyle w:val="Heading5"/>
      </w:pPr>
      <w:bookmarkStart w:id="432" w:name="_Toc202449523"/>
      <w:r>
        <w:rPr>
          <w:rStyle w:val="CharSectno"/>
        </w:rPr>
        <w:lastRenderedPageBreak/>
        <w:t>185</w:t>
      </w:r>
      <w:r>
        <w:t>.</w:t>
      </w:r>
      <w:r>
        <w:tab/>
        <w:t>Registered identifier applied as earmark</w:t>
      </w:r>
      <w:bookmarkEnd w:id="432"/>
    </w:p>
    <w:p>
      <w:pPr>
        <w:pStyle w:val="Subsection"/>
        <w:keepNext/>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keepNext/>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433" w:name="_Toc202449524"/>
      <w:r>
        <w:rPr>
          <w:rStyle w:val="CharSectno"/>
        </w:rPr>
        <w:t>186</w:t>
      </w:r>
      <w:r>
        <w:t>.</w:t>
      </w:r>
      <w:r>
        <w:tab/>
        <w:t>Earmarks and other markings</w:t>
      </w:r>
      <w:bookmarkEnd w:id="433"/>
    </w:p>
    <w:p>
      <w:pPr>
        <w:pStyle w:val="Subsection"/>
        <w:keepNext/>
      </w:pPr>
      <w:r>
        <w:tab/>
      </w:r>
      <w:r>
        <w:tab/>
        <w:t>A person must not apply an earmark to a South American camelid, other than an identifier applied under regulation 181, unless —</w:t>
      </w:r>
    </w:p>
    <w:p>
      <w:pPr>
        <w:pStyle w:val="Indenta"/>
        <w:keepNext/>
      </w:pPr>
      <w:r>
        <w:tab/>
        <w:t>(a)</w:t>
      </w:r>
      <w:r>
        <w:tab/>
        <w:t xml:space="preserve">if it is applied to the ear, it is — </w:t>
      </w:r>
    </w:p>
    <w:p>
      <w:pPr>
        <w:pStyle w:val="Indenti"/>
      </w:pPr>
      <w:r>
        <w:tab/>
        <w:t>(i)</w:t>
      </w:r>
      <w:r>
        <w:tab/>
        <w:t>in the left ear of a male animal; or</w:t>
      </w:r>
    </w:p>
    <w:p>
      <w:pPr>
        <w:pStyle w:val="Indenti"/>
        <w:keepNext/>
      </w:pPr>
      <w:r>
        <w:tab/>
        <w:t>(ii)</w:t>
      </w:r>
      <w:r>
        <w:tab/>
        <w:t>in the right ear of a female animal;</w:t>
      </w:r>
    </w:p>
    <w:p>
      <w:pPr>
        <w:pStyle w:val="Indenta"/>
      </w:pPr>
      <w:r>
        <w:tab/>
      </w:r>
      <w:r>
        <w:tab/>
        <w:t>and</w:t>
      </w:r>
    </w:p>
    <w:p>
      <w:pPr>
        <w:pStyle w:val="Indenta"/>
        <w:keepNext/>
      </w:pPr>
      <w:r>
        <w:tab/>
        <w:t>(b)</w:t>
      </w:r>
      <w:r>
        <w:tab/>
        <w:t>it is applied in such a manner, and in such a position, as to render it clearly distinguishable from an identifier applied to the animal under regulation 181.</w:t>
      </w:r>
    </w:p>
    <w:p>
      <w:pPr>
        <w:pStyle w:val="zPenstart"/>
        <w:keepNext/>
      </w:pPr>
      <w:r>
        <w:tab/>
        <w:t>Penalty: a fine of $2 000.</w:t>
      </w:r>
    </w:p>
    <w:p>
      <w:pPr>
        <w:pStyle w:val="Footnotesection"/>
      </w:pPr>
      <w:r>
        <w:tab/>
        <w:t>[Regulation 186 inserted: Gazette 27 Jun 2019 p. 2448</w:t>
      </w:r>
      <w:r>
        <w:noBreakHyphen/>
        <w:t>9.]</w:t>
      </w:r>
    </w:p>
    <w:p>
      <w:pPr>
        <w:pStyle w:val="Heading2"/>
      </w:pPr>
      <w:bookmarkStart w:id="434" w:name="_Toc202443972"/>
      <w:bookmarkStart w:id="435" w:name="_Toc202444724"/>
      <w:bookmarkStart w:id="436" w:name="_Toc202449525"/>
      <w:r>
        <w:rPr>
          <w:rStyle w:val="CharPartNo"/>
        </w:rPr>
        <w:lastRenderedPageBreak/>
        <w:t>Part 8</w:t>
      </w:r>
      <w:r>
        <w:rPr>
          <w:rStyle w:val="CharDivNo"/>
        </w:rPr>
        <w:t> </w:t>
      </w:r>
      <w:r>
        <w:t>—</w:t>
      </w:r>
      <w:r>
        <w:rPr>
          <w:rStyle w:val="CharDivText"/>
        </w:rPr>
        <w:t> </w:t>
      </w:r>
      <w:r>
        <w:rPr>
          <w:rStyle w:val="CharPartText"/>
        </w:rPr>
        <w:t>Movement of animals</w:t>
      </w:r>
      <w:bookmarkEnd w:id="434"/>
      <w:bookmarkEnd w:id="435"/>
      <w:bookmarkEnd w:id="436"/>
    </w:p>
    <w:p>
      <w:pPr>
        <w:pStyle w:val="Heading5"/>
      </w:pPr>
      <w:bookmarkStart w:id="437" w:name="_Toc202449526"/>
      <w:r>
        <w:rPr>
          <w:rStyle w:val="CharSectno"/>
        </w:rPr>
        <w:t>187</w:t>
      </w:r>
      <w:r>
        <w:t>.</w:t>
      </w:r>
      <w:r>
        <w:tab/>
        <w:t>Terms used</w:t>
      </w:r>
      <w:bookmarkEnd w:id="437"/>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438" w:name="_Toc202449527"/>
      <w:r>
        <w:rPr>
          <w:rStyle w:val="CharSectno"/>
        </w:rPr>
        <w:t>188</w:t>
      </w:r>
      <w:r>
        <w:t>.</w:t>
      </w:r>
      <w:r>
        <w:tab/>
        <w:t>Application of Part</w:t>
      </w:r>
      <w:bookmarkEnd w:id="438"/>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emu or ostrich, or poultry; or</w:t>
      </w:r>
    </w:p>
    <w:p>
      <w:pPr>
        <w:pStyle w:val="Indenta"/>
      </w:pPr>
      <w:r>
        <w:tab/>
        <w:t>(c)</w:t>
      </w:r>
      <w:r>
        <w:tab/>
        <w:t>a slaughtered animal being moved from an abattoir.</w:t>
      </w:r>
    </w:p>
    <w:p>
      <w:pPr>
        <w:pStyle w:val="Footnotesection"/>
      </w:pPr>
      <w:r>
        <w:tab/>
        <w:t>[Regulation 188 amended: Gazette 27 Jun 2019 p. 2449; SL 2022/17 r. 8.]</w:t>
      </w:r>
    </w:p>
    <w:p>
      <w:pPr>
        <w:pStyle w:val="Heading5"/>
      </w:pPr>
      <w:bookmarkStart w:id="439" w:name="_Toc202449528"/>
      <w:r>
        <w:rPr>
          <w:rStyle w:val="CharSectno"/>
        </w:rPr>
        <w:t>189</w:t>
      </w:r>
      <w:r>
        <w:t>.</w:t>
      </w:r>
      <w:r>
        <w:tab/>
        <w:t>When waybill is required</w:t>
      </w:r>
      <w:bookmarkEnd w:id="439"/>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keepNext/>
      </w:pPr>
      <w:r>
        <w:lastRenderedPageBreak/>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440" w:name="_Toc202449529"/>
      <w:r>
        <w:rPr>
          <w:rStyle w:val="CharSectno"/>
        </w:rPr>
        <w:t>190</w:t>
      </w:r>
      <w:r>
        <w:t>.</w:t>
      </w:r>
      <w:r>
        <w:tab/>
        <w:t>General requirements for waybills</w:t>
      </w:r>
      <w:bookmarkEnd w:id="440"/>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lastRenderedPageBreak/>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keepNext/>
      </w:pPr>
      <w:r>
        <w:lastRenderedPageBreak/>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441" w:name="_Toc202449530"/>
      <w:r>
        <w:rPr>
          <w:rStyle w:val="CharSectno"/>
        </w:rPr>
        <w:t>191</w:t>
      </w:r>
      <w:r>
        <w:t>.</w:t>
      </w:r>
      <w:r>
        <w:tab/>
        <w:t>Movements from saleyards</w:t>
      </w:r>
      <w:bookmarkEnd w:id="441"/>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lastRenderedPageBreak/>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442" w:name="_Toc202449531"/>
      <w:r>
        <w:rPr>
          <w:rStyle w:val="CharSectno"/>
        </w:rPr>
        <w:t>192</w:t>
      </w:r>
      <w:r>
        <w:t>.</w:t>
      </w:r>
      <w:r>
        <w:tab/>
        <w:t>When purchaser must provide waybill</w:t>
      </w:r>
      <w:bookmarkEnd w:id="442"/>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w:t>
      </w:r>
      <w:r>
        <w:lastRenderedPageBreak/>
        <w:t xml:space="preserve">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443" w:name="_Toc202449532"/>
      <w:r>
        <w:rPr>
          <w:rStyle w:val="CharSectno"/>
        </w:rPr>
        <w:t>193</w:t>
      </w:r>
      <w:r>
        <w:t>.</w:t>
      </w:r>
      <w:r>
        <w:tab/>
        <w:t>Movements from export depots</w:t>
      </w:r>
      <w:bookmarkEnd w:id="443"/>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lastRenderedPageBreak/>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444" w:name="_Toc202449533"/>
      <w:r>
        <w:rPr>
          <w:rStyle w:val="CharSectno"/>
        </w:rPr>
        <w:t>194</w:t>
      </w:r>
      <w:r>
        <w:t>.</w:t>
      </w:r>
      <w:r>
        <w:tab/>
        <w:t>Recording identifiers on waybills</w:t>
      </w:r>
      <w:bookmarkEnd w:id="444"/>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lastRenderedPageBreak/>
        <w:tab/>
        <w:t>[Regulation 194 amended: Gazette 27 Jun 2019 p. 2450.]</w:t>
      </w:r>
    </w:p>
    <w:p>
      <w:pPr>
        <w:pStyle w:val="Heading5"/>
      </w:pPr>
      <w:bookmarkStart w:id="445" w:name="_Toc202449534"/>
      <w:r>
        <w:rPr>
          <w:rStyle w:val="CharSectno"/>
        </w:rPr>
        <w:t>195</w:t>
      </w:r>
      <w:r>
        <w:t>.</w:t>
      </w:r>
      <w:r>
        <w:tab/>
        <w:t>When waybill is not required</w:t>
      </w:r>
      <w:bookmarkEnd w:id="445"/>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446" w:name="_Toc202449535"/>
      <w:r>
        <w:rPr>
          <w:rStyle w:val="CharSectno"/>
        </w:rPr>
        <w:t>196</w:t>
      </w:r>
      <w:r>
        <w:t>.</w:t>
      </w:r>
      <w:r>
        <w:tab/>
        <w:t>Movement permits</w:t>
      </w:r>
      <w:bookmarkEnd w:id="446"/>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lastRenderedPageBreak/>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keepNext/>
      </w:pPr>
      <w:r>
        <w:lastRenderedPageBreak/>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447" w:name="_Toc202449536"/>
      <w:r>
        <w:rPr>
          <w:rStyle w:val="CharSectno"/>
        </w:rPr>
        <w:t>197</w:t>
      </w:r>
      <w:r>
        <w:t>.</w:t>
      </w:r>
      <w:r>
        <w:tab/>
        <w:t>When carrier may make out waybill</w:t>
      </w:r>
      <w:bookmarkEnd w:id="447"/>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lastRenderedPageBreak/>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448" w:name="_Toc202449537"/>
      <w:r>
        <w:rPr>
          <w:rStyle w:val="CharSectno"/>
        </w:rPr>
        <w:t>198</w:t>
      </w:r>
      <w:r>
        <w:t>.</w:t>
      </w:r>
      <w:r>
        <w:tab/>
        <w:t>Movement of animals if transport documents retained by inspector</w:t>
      </w:r>
      <w:bookmarkEnd w:id="448"/>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keepNext/>
      </w:pPr>
      <w:r>
        <w:lastRenderedPageBreak/>
        <w:tab/>
        <w:t>(5)</w:t>
      </w:r>
      <w:r>
        <w:tab/>
        <w:t>A carrier who is given a written authority under subregulation </w:t>
      </w:r>
      <w:r>
        <w:rPr>
          <w:snapToGrid w:val="0"/>
        </w:rPr>
        <w:t>(2)(a)</w:t>
      </w:r>
      <w:r>
        <w:t xml:space="preserve"> must comply with any conditions specified in the written authority.</w:t>
      </w:r>
    </w:p>
    <w:p>
      <w:pPr>
        <w:pStyle w:val="Penstart"/>
        <w:keepNext/>
      </w:pPr>
      <w:r>
        <w:tab/>
        <w:t>Penalty for this subregulation: a fine of $2 000.</w:t>
      </w:r>
    </w:p>
    <w:p>
      <w:pPr>
        <w:pStyle w:val="Footnotesection"/>
      </w:pPr>
      <w:r>
        <w:tab/>
        <w:t>[Regulation 198 amended: Gazette 27 Jun 2019 p. 2450; SL 2021/204 r. 14.]</w:t>
      </w:r>
    </w:p>
    <w:p>
      <w:pPr>
        <w:pStyle w:val="Heading5"/>
      </w:pPr>
      <w:bookmarkStart w:id="449" w:name="_Toc202449538"/>
      <w:r>
        <w:rPr>
          <w:rStyle w:val="CharSectno"/>
        </w:rPr>
        <w:t>199</w:t>
      </w:r>
      <w:r>
        <w:t>.</w:t>
      </w:r>
      <w:r>
        <w:tab/>
        <w:t>Transport document must accompany animal being moved</w:t>
      </w:r>
      <w:bookmarkEnd w:id="449"/>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450" w:name="_Toc202449539"/>
      <w:r>
        <w:rPr>
          <w:rStyle w:val="CharSectno"/>
        </w:rPr>
        <w:t>200</w:t>
      </w:r>
      <w:r>
        <w:t>.</w:t>
      </w:r>
      <w:r>
        <w:tab/>
        <w:t>Carrier to deliver transport document to operator of destination property</w:t>
      </w:r>
      <w:bookmarkEnd w:id="450"/>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lastRenderedPageBreak/>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451" w:name="_Toc202449540"/>
      <w:r>
        <w:rPr>
          <w:rStyle w:val="CharSectno"/>
        </w:rPr>
        <w:t>201</w:t>
      </w:r>
      <w:r>
        <w:t>.</w:t>
      </w:r>
      <w:r>
        <w:tab/>
        <w:t>Property operator to obtain transport document</w:t>
      </w:r>
      <w:bookmarkEnd w:id="451"/>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lastRenderedPageBreak/>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452" w:name="_Toc202443988"/>
      <w:bookmarkStart w:id="453" w:name="_Toc202444740"/>
      <w:bookmarkStart w:id="454" w:name="_Toc202449541"/>
      <w:r>
        <w:rPr>
          <w:rStyle w:val="CharPartNo"/>
        </w:rPr>
        <w:lastRenderedPageBreak/>
        <w:t>Part 9</w:t>
      </w:r>
      <w:r>
        <w:rPr>
          <w:rStyle w:val="CharDivNo"/>
        </w:rPr>
        <w:t> </w:t>
      </w:r>
      <w:r>
        <w:t>—</w:t>
      </w:r>
      <w:r>
        <w:rPr>
          <w:rStyle w:val="CharDivText"/>
        </w:rPr>
        <w:t> </w:t>
      </w:r>
      <w:r>
        <w:rPr>
          <w:rStyle w:val="CharPartText"/>
        </w:rPr>
        <w:t>Identification and movement of apiaries</w:t>
      </w:r>
      <w:bookmarkEnd w:id="452"/>
      <w:bookmarkEnd w:id="453"/>
      <w:bookmarkEnd w:id="454"/>
    </w:p>
    <w:p>
      <w:pPr>
        <w:pStyle w:val="Heading5"/>
      </w:pPr>
      <w:bookmarkStart w:id="455" w:name="_Toc202449542"/>
      <w:r>
        <w:rPr>
          <w:rStyle w:val="CharSectno"/>
        </w:rPr>
        <w:t>202</w:t>
      </w:r>
      <w:r>
        <w:t>.</w:t>
      </w:r>
      <w:r>
        <w:tab/>
        <w:t>Beekeepers to identify hives</w:t>
      </w:r>
      <w:bookmarkEnd w:id="455"/>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456" w:name="_Toc202449543"/>
      <w:r>
        <w:rPr>
          <w:rStyle w:val="CharSectno"/>
        </w:rPr>
        <w:t>203</w:t>
      </w:r>
      <w:r>
        <w:t>.</w:t>
      </w:r>
      <w:r>
        <w:tab/>
        <w:t>Identifying hives</w:t>
      </w:r>
      <w:bookmarkEnd w:id="456"/>
    </w:p>
    <w:p>
      <w:pPr>
        <w:pStyle w:val="Subsection"/>
      </w:pPr>
      <w:r>
        <w:tab/>
        <w:t>(1)</w:t>
      </w:r>
      <w:r>
        <w:tab/>
        <w:t xml:space="preserve">A registered identifier must — </w:t>
      </w:r>
    </w:p>
    <w:p>
      <w:pPr>
        <w:pStyle w:val="Indenta"/>
        <w:rPr>
          <w:rStyle w:val="DraftersNotes"/>
          <w:b w:val="0"/>
          <w:i w:val="0"/>
          <w:sz w:val="24"/>
        </w:rPr>
      </w:pPr>
      <w:r>
        <w:tab/>
        <w:t>(a)</w:t>
      </w:r>
      <w:r>
        <w:tab/>
        <w:t>be applied to a hive and marked in a manner approved by the Director General, as published on the department’s electronic site; and</w:t>
      </w:r>
    </w:p>
    <w:p>
      <w:pPr>
        <w:pStyle w:val="Indenta"/>
        <w:rPr>
          <w:rStyle w:val="DraftersNotes"/>
          <w:b w:val="0"/>
          <w:i w:val="0"/>
          <w:sz w:val="24"/>
        </w:rPr>
      </w:pPr>
      <w:r>
        <w:tab/>
        <w:t>(b)</w:t>
      </w:r>
      <w:r>
        <w:tab/>
        <w:t>meet the requirements of subregulation (2).</w:t>
      </w:r>
    </w:p>
    <w:p>
      <w:pPr>
        <w:pStyle w:val="Subsection"/>
      </w:pPr>
      <w:r>
        <w:tab/>
        <w:t>(2)</w:t>
      </w:r>
      <w:r>
        <w:tab/>
        <w:t>Each letter and numeral forming part of a registered identifier for hives must be visible, legible and indelible.</w:t>
      </w:r>
    </w:p>
    <w:p>
      <w:pPr>
        <w:pStyle w:val="Subsection"/>
      </w:pPr>
      <w:r>
        <w:tab/>
        <w:t>(3)</w:t>
      </w:r>
      <w:r>
        <w:tab/>
        <w:t>A beekeeper must apply the beekeeper’s registered identifier to a hive within 7 days of taking possession of the hive.</w:t>
      </w:r>
    </w:p>
    <w:p>
      <w:pPr>
        <w:pStyle w:val="Footnotesection"/>
      </w:pPr>
      <w:r>
        <w:tab/>
        <w:t>[Regulation 203 amended: SL 2025/133 r. 5.]</w:t>
      </w:r>
    </w:p>
    <w:p>
      <w:pPr>
        <w:pStyle w:val="Heading5"/>
      </w:pPr>
      <w:bookmarkStart w:id="457" w:name="_Toc202449544"/>
      <w:r>
        <w:rPr>
          <w:rStyle w:val="CharSectno"/>
        </w:rPr>
        <w:t>204</w:t>
      </w:r>
      <w:r>
        <w:t>.</w:t>
      </w:r>
      <w:r>
        <w:tab/>
        <w:t>Exclusive use of registered identifiers</w:t>
      </w:r>
      <w:bookmarkEnd w:id="457"/>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Ednotesection"/>
      </w:pPr>
      <w:r>
        <w:t>[</w:t>
      </w:r>
      <w:r>
        <w:rPr>
          <w:b/>
          <w:bCs/>
        </w:rPr>
        <w:t>205.</w:t>
      </w:r>
      <w:r>
        <w:tab/>
        <w:t>Deleted: SL 2025/133 r. 6.]</w:t>
      </w:r>
    </w:p>
    <w:p>
      <w:pPr>
        <w:pStyle w:val="Heading5"/>
      </w:pPr>
      <w:bookmarkStart w:id="458" w:name="_Toc202449545"/>
      <w:r>
        <w:rPr>
          <w:rStyle w:val="CharSectno"/>
        </w:rPr>
        <w:lastRenderedPageBreak/>
        <w:t>206</w:t>
      </w:r>
      <w:r>
        <w:t>.</w:t>
      </w:r>
      <w:r>
        <w:tab/>
        <w:t>Altered or defaced identifiers</w:t>
      </w:r>
      <w:bookmarkEnd w:id="458"/>
    </w:p>
    <w:p>
      <w:pPr>
        <w:pStyle w:val="Subsection"/>
        <w:keepNext/>
      </w:pPr>
      <w:r>
        <w:tab/>
        <w:t>(1)</w:t>
      </w:r>
      <w:r>
        <w:tab/>
        <w:t>A person must not, except in accordance with the approved manner under regulation 203,</w:t>
      </w:r>
      <w:r>
        <w:rPr>
          <w:snapToGrid w:val="0"/>
        </w:rPr>
        <w:t xml:space="preserve"> alter, deface or otherwise render indistinguishable an identifier on a hive.</w:t>
      </w:r>
    </w:p>
    <w:p>
      <w:pPr>
        <w:pStyle w:val="Penstart"/>
      </w:pPr>
      <w:r>
        <w:tab/>
        <w:t>Penalty for this subregulation: a fine of $5 000.</w:t>
      </w:r>
    </w:p>
    <w:p>
      <w:pPr>
        <w:pStyle w:val="Subsection"/>
      </w:pPr>
      <w:r>
        <w:tab/>
        <w:t>(2)</w:t>
      </w:r>
      <w:r>
        <w:tab/>
        <w:t>Subject to subregulation (1), a hive bearing an identifier that is altered, defaced or otherwise rendered indistinguishable is to be regarded as not identified in accordance with these regulations.</w:t>
      </w:r>
    </w:p>
    <w:p>
      <w:pPr>
        <w:pStyle w:val="Footnotesection"/>
      </w:pPr>
      <w:r>
        <w:tab/>
        <w:t>[Regulation 206 amended: SL 2021/204 r. 14; SL 2025/133 r. 7.]</w:t>
      </w:r>
    </w:p>
    <w:p>
      <w:pPr>
        <w:pStyle w:val="Heading5"/>
      </w:pPr>
      <w:bookmarkStart w:id="459" w:name="_Toc202449546"/>
      <w:r>
        <w:rPr>
          <w:rStyle w:val="CharSectno"/>
        </w:rPr>
        <w:t>207</w:t>
      </w:r>
      <w:r>
        <w:t>.</w:t>
      </w:r>
      <w:r>
        <w:tab/>
        <w:t>Possession of unidentified hives</w:t>
      </w:r>
      <w:bookmarkEnd w:id="459"/>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460" w:name="_Toc202449547"/>
      <w:r>
        <w:rPr>
          <w:rStyle w:val="CharSectno"/>
        </w:rPr>
        <w:t>208</w:t>
      </w:r>
      <w:r>
        <w:t>.</w:t>
      </w:r>
      <w:r>
        <w:tab/>
        <w:t>Notices for apiaries</w:t>
      </w:r>
      <w:bookmarkEnd w:id="460"/>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lastRenderedPageBreak/>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461" w:name="_Toc202449548"/>
      <w:r>
        <w:rPr>
          <w:rStyle w:val="CharSectno"/>
        </w:rPr>
        <w:t>209</w:t>
      </w:r>
      <w:r>
        <w:t>.</w:t>
      </w:r>
      <w:r>
        <w:tab/>
        <w:t>Establishment and movement of apiaries</w:t>
      </w:r>
      <w:bookmarkEnd w:id="461"/>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462" w:name="_Toc202449549"/>
      <w:r>
        <w:rPr>
          <w:rStyle w:val="CharSectno"/>
        </w:rPr>
        <w:t>210</w:t>
      </w:r>
      <w:r>
        <w:t>.</w:t>
      </w:r>
      <w:r>
        <w:tab/>
        <w:t>Lease, supply or disposal of apiaries</w:t>
      </w:r>
      <w:bookmarkEnd w:id="462"/>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lastRenderedPageBreak/>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463" w:name="_Toc202443998"/>
      <w:bookmarkStart w:id="464" w:name="_Toc202444749"/>
      <w:bookmarkStart w:id="465" w:name="_Toc202449550"/>
      <w:r>
        <w:rPr>
          <w:rStyle w:val="CharPartNo"/>
        </w:rPr>
        <w:lastRenderedPageBreak/>
        <w:t>Part 10</w:t>
      </w:r>
      <w:r>
        <w:rPr>
          <w:rStyle w:val="CharDivNo"/>
        </w:rPr>
        <w:t> </w:t>
      </w:r>
      <w:r>
        <w:t>—</w:t>
      </w:r>
      <w:r>
        <w:rPr>
          <w:rStyle w:val="CharDivText"/>
        </w:rPr>
        <w:t> </w:t>
      </w:r>
      <w:r>
        <w:rPr>
          <w:rStyle w:val="CharPartText"/>
        </w:rPr>
        <w:t>Miscellaneous</w:t>
      </w:r>
      <w:bookmarkEnd w:id="463"/>
      <w:bookmarkEnd w:id="464"/>
      <w:bookmarkEnd w:id="465"/>
    </w:p>
    <w:p>
      <w:pPr>
        <w:pStyle w:val="Heading5"/>
      </w:pPr>
      <w:bookmarkStart w:id="466" w:name="_Toc202449551"/>
      <w:r>
        <w:rPr>
          <w:rStyle w:val="CharSectno"/>
        </w:rPr>
        <w:t>211</w:t>
      </w:r>
      <w:r>
        <w:t>.</w:t>
      </w:r>
      <w:r>
        <w:tab/>
        <w:t>False or misleading information</w:t>
      </w:r>
      <w:bookmarkEnd w:id="466"/>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467" w:name="_Toc202449552"/>
      <w:r>
        <w:rPr>
          <w:rStyle w:val="CharSectno"/>
        </w:rPr>
        <w:lastRenderedPageBreak/>
        <w:t>212</w:t>
      </w:r>
      <w:r>
        <w:t>.</w:t>
      </w:r>
      <w:r>
        <w:tab/>
        <w:t>Directions may be given orally or in writing</w:t>
      </w:r>
      <w:bookmarkEnd w:id="467"/>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468" w:name="_Toc202444001"/>
      <w:bookmarkStart w:id="469" w:name="_Toc202444752"/>
      <w:bookmarkStart w:id="470" w:name="_Toc202449553"/>
      <w:r>
        <w:rPr>
          <w:rStyle w:val="CharPartNo"/>
        </w:rPr>
        <w:lastRenderedPageBreak/>
        <w:t>Part 11</w:t>
      </w:r>
      <w:r>
        <w:t> — </w:t>
      </w:r>
      <w:r>
        <w:rPr>
          <w:rStyle w:val="CharPartText"/>
        </w:rPr>
        <w:t>Repeal of regulations and transitional provisions</w:t>
      </w:r>
      <w:bookmarkEnd w:id="468"/>
      <w:bookmarkEnd w:id="469"/>
      <w:bookmarkEnd w:id="470"/>
    </w:p>
    <w:p>
      <w:pPr>
        <w:pStyle w:val="Heading3"/>
      </w:pPr>
      <w:bookmarkStart w:id="471" w:name="_Toc202444002"/>
      <w:bookmarkStart w:id="472" w:name="_Toc202444753"/>
      <w:bookmarkStart w:id="473" w:name="_Toc202449554"/>
      <w:r>
        <w:rPr>
          <w:rStyle w:val="CharDivNo"/>
        </w:rPr>
        <w:t>Division 1</w:t>
      </w:r>
      <w:r>
        <w:t> — </w:t>
      </w:r>
      <w:r>
        <w:rPr>
          <w:rStyle w:val="CharDivText"/>
        </w:rPr>
        <w:t>Repeals</w:t>
      </w:r>
      <w:bookmarkEnd w:id="471"/>
      <w:bookmarkEnd w:id="472"/>
      <w:bookmarkEnd w:id="473"/>
    </w:p>
    <w:p>
      <w:pPr>
        <w:pStyle w:val="Heading5"/>
      </w:pPr>
      <w:bookmarkStart w:id="474" w:name="_Toc202449555"/>
      <w:r>
        <w:rPr>
          <w:rStyle w:val="CharSectno"/>
        </w:rPr>
        <w:t>213</w:t>
      </w:r>
      <w:r>
        <w:t>.</w:t>
      </w:r>
      <w:r>
        <w:tab/>
        <w:t>Repeals</w:t>
      </w:r>
      <w:bookmarkEnd w:id="474"/>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475" w:name="_Toc202444004"/>
      <w:bookmarkStart w:id="476" w:name="_Toc202444755"/>
      <w:bookmarkStart w:id="477" w:name="_Toc202449556"/>
      <w:r>
        <w:rPr>
          <w:rStyle w:val="CharDivNo"/>
        </w:rPr>
        <w:t>Division 2</w:t>
      </w:r>
      <w:r>
        <w:t> — </w:t>
      </w:r>
      <w:r>
        <w:rPr>
          <w:rStyle w:val="CharDivText"/>
          <w:i/>
        </w:rPr>
        <w:t>Enzootic Diseases Regulations 1970</w:t>
      </w:r>
      <w:r>
        <w:rPr>
          <w:rStyle w:val="CharDivText"/>
        </w:rPr>
        <w:t>: transitional provisions</w:t>
      </w:r>
      <w:bookmarkEnd w:id="475"/>
      <w:bookmarkEnd w:id="476"/>
      <w:bookmarkEnd w:id="477"/>
    </w:p>
    <w:p>
      <w:pPr>
        <w:pStyle w:val="Heading5"/>
      </w:pPr>
      <w:bookmarkStart w:id="478" w:name="_Toc202449557"/>
      <w:r>
        <w:rPr>
          <w:rStyle w:val="CharSectno"/>
        </w:rPr>
        <w:t>214</w:t>
      </w:r>
      <w:r>
        <w:t>.</w:t>
      </w:r>
      <w:r>
        <w:tab/>
        <w:t>Terms used</w:t>
      </w:r>
      <w:bookmarkEnd w:id="478"/>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479" w:name="_Toc202449558"/>
      <w:r>
        <w:rPr>
          <w:rStyle w:val="CharSectno"/>
        </w:rPr>
        <w:t>215</w:t>
      </w:r>
      <w:r>
        <w:t>.</w:t>
      </w:r>
      <w:r>
        <w:tab/>
        <w:t>Identification codes</w:t>
      </w:r>
      <w:bookmarkEnd w:id="479"/>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keepLines/>
      </w:pPr>
      <w:r>
        <w:lastRenderedPageBreak/>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480" w:name="_Toc202449559"/>
      <w:r>
        <w:rPr>
          <w:rStyle w:val="CharSectno"/>
        </w:rPr>
        <w:t>216</w:t>
      </w:r>
      <w:r>
        <w:t>.</w:t>
      </w:r>
      <w:r>
        <w:tab/>
        <w:t xml:space="preserve">Notices given under </w:t>
      </w:r>
      <w:r>
        <w:rPr>
          <w:i/>
        </w:rPr>
        <w:t xml:space="preserve">Enzootic Diseases Regulations 1970 </w:t>
      </w:r>
      <w:r>
        <w:t>regulation 11(1)(a)</w:t>
      </w:r>
      <w:bookmarkEnd w:id="480"/>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481" w:name="_Toc202449560"/>
      <w:r>
        <w:rPr>
          <w:rStyle w:val="CharSectno"/>
        </w:rPr>
        <w:lastRenderedPageBreak/>
        <w:t>217</w:t>
      </w:r>
      <w:r>
        <w:t>.</w:t>
      </w:r>
      <w:r>
        <w:tab/>
        <w:t xml:space="preserve">Notices given under </w:t>
      </w:r>
      <w:r>
        <w:rPr>
          <w:i/>
        </w:rPr>
        <w:t xml:space="preserve">Enzootic Diseases Regulations 1970 </w:t>
      </w:r>
      <w:r>
        <w:t>regulation 11(1)(b)</w:t>
      </w:r>
      <w:bookmarkEnd w:id="481"/>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3"/>
      </w:pPr>
      <w:bookmarkStart w:id="482" w:name="_Toc202444009"/>
      <w:bookmarkStart w:id="483" w:name="_Toc202444760"/>
      <w:bookmarkStart w:id="484" w:name="_Toc202449561"/>
      <w:r>
        <w:rPr>
          <w:rStyle w:val="CharDivNo"/>
        </w:rPr>
        <w:t>Division 3</w:t>
      </w:r>
      <w:r>
        <w:t> —</w:t>
      </w:r>
      <w:r>
        <w:rPr>
          <w:rStyle w:val="CharDivText"/>
        </w:rPr>
        <w:t xml:space="preserve"> Transitional provisions for the </w:t>
      </w:r>
      <w:r>
        <w:rPr>
          <w:rStyle w:val="CharDivText"/>
          <w:i/>
        </w:rPr>
        <w:t>Biosecurity and Agriculture Management (Identification and Movement of Stock and Apiaries) Amendment Regulations 2024</w:t>
      </w:r>
      <w:bookmarkEnd w:id="482"/>
      <w:bookmarkEnd w:id="483"/>
      <w:bookmarkEnd w:id="484"/>
    </w:p>
    <w:p>
      <w:pPr>
        <w:pStyle w:val="Footnoteheading"/>
      </w:pPr>
      <w:r>
        <w:tab/>
        <w:t>[Heading inserted: SL 2024/264 r. 12.]</w:t>
      </w:r>
    </w:p>
    <w:p>
      <w:pPr>
        <w:pStyle w:val="Heading5"/>
      </w:pPr>
      <w:bookmarkStart w:id="485" w:name="_Toc202449562"/>
      <w:r>
        <w:rPr>
          <w:rStyle w:val="CharSectno"/>
        </w:rPr>
        <w:t>217A</w:t>
      </w:r>
      <w:r>
        <w:t>.</w:t>
      </w:r>
      <w:r>
        <w:tab/>
        <w:t>Terms used</w:t>
      </w:r>
      <w:bookmarkEnd w:id="485"/>
    </w:p>
    <w:p>
      <w:pPr>
        <w:pStyle w:val="Subsection"/>
      </w:pPr>
      <w:r>
        <w:tab/>
      </w:r>
      <w:r>
        <w:tab/>
        <w:t xml:space="preserve">In this Division — </w:t>
      </w:r>
    </w:p>
    <w:p>
      <w:pPr>
        <w:pStyle w:val="Defstart"/>
      </w:pPr>
      <w:r>
        <w:tab/>
      </w:r>
      <w:r>
        <w:rPr>
          <w:rStyle w:val="CharDefText"/>
        </w:rPr>
        <w:t>amending regulations</w:t>
      </w:r>
      <w:r>
        <w:t xml:space="preserve"> means the </w:t>
      </w:r>
      <w:r>
        <w:rPr>
          <w:i/>
        </w:rPr>
        <w:t>Biosecurity and Agriculture Management (Identification and Movement of Stock and Apiaries) Amendment Regulations 2024</w:t>
      </w:r>
      <w:r>
        <w:t>;</w:t>
      </w:r>
    </w:p>
    <w:p>
      <w:pPr>
        <w:pStyle w:val="Defstart"/>
      </w:pPr>
      <w:r>
        <w:tab/>
      </w:r>
      <w:r>
        <w:rPr>
          <w:rStyle w:val="CharDefText"/>
        </w:rPr>
        <w:t>commencement day</w:t>
      </w:r>
      <w:r>
        <w:t xml:space="preserve"> means 1 January 2025;</w:t>
      </w:r>
    </w:p>
    <w:p>
      <w:pPr>
        <w:pStyle w:val="Defstart"/>
      </w:pPr>
      <w:r>
        <w:tab/>
      </w:r>
      <w:r>
        <w:rPr>
          <w:rStyle w:val="CharDefText"/>
        </w:rPr>
        <w:t>former regulations</w:t>
      </w:r>
      <w:r>
        <w:t xml:space="preserve"> means the </w:t>
      </w:r>
      <w:r>
        <w:rPr>
          <w:i/>
          <w:iCs/>
        </w:rPr>
        <w:t>Biosecurity and Agriculture Management (Identification and Movement of Stock and Apiaries) Regulations 2013</w:t>
      </w:r>
      <w:r>
        <w:t xml:space="preserve"> as in force immediately before commencement day.</w:t>
      </w:r>
    </w:p>
    <w:p>
      <w:pPr>
        <w:pStyle w:val="Footnotesection"/>
      </w:pPr>
      <w:r>
        <w:tab/>
        <w:t>[Regulation 217A inserted: SL 2024/264 r. 12.]</w:t>
      </w:r>
    </w:p>
    <w:p>
      <w:pPr>
        <w:pStyle w:val="Heading5"/>
      </w:pPr>
      <w:bookmarkStart w:id="486" w:name="_Toc202449563"/>
      <w:r>
        <w:rPr>
          <w:rStyle w:val="CharSectno"/>
        </w:rPr>
        <w:lastRenderedPageBreak/>
        <w:t>217B</w:t>
      </w:r>
      <w:r>
        <w:t>.</w:t>
      </w:r>
      <w:r>
        <w:tab/>
        <w:t>Sheep or goats born before commencement day</w:t>
      </w:r>
      <w:bookmarkEnd w:id="486"/>
    </w:p>
    <w:p>
      <w:pPr>
        <w:pStyle w:val="Subsection"/>
        <w:keepNext/>
      </w:pPr>
      <w:r>
        <w:tab/>
        <w:t>(1)</w:t>
      </w:r>
      <w:r>
        <w:tab/>
        <w:t xml:space="preserve">In this regulation — </w:t>
      </w:r>
    </w:p>
    <w:p>
      <w:pPr>
        <w:pStyle w:val="Defstart"/>
      </w:pPr>
      <w:r>
        <w:tab/>
      </w:r>
      <w:r>
        <w:rPr>
          <w:rStyle w:val="CharDefText"/>
        </w:rPr>
        <w:t>amended regulation 48</w:t>
      </w:r>
      <w:r>
        <w:t xml:space="preserve"> means regulation 48 as amended by regulation 4 of the amending regulations.</w:t>
      </w:r>
    </w:p>
    <w:p>
      <w:pPr>
        <w:pStyle w:val="Subsection"/>
      </w:pPr>
      <w:r>
        <w:tab/>
        <w:t>(2)</w:t>
      </w:r>
      <w:r>
        <w:tab/>
        <w:t>The former regulations, other than regulation 48, continue to apply during the period commencing on commencement day and ending on 30 June 2026 in respect of a sheep, or a goat, born before commencement day.</w:t>
      </w:r>
    </w:p>
    <w:p>
      <w:pPr>
        <w:pStyle w:val="Subsection"/>
      </w:pPr>
      <w:r>
        <w:tab/>
        <w:t>(3)</w:t>
      </w:r>
      <w:r>
        <w:tab/>
        <w:t>Amended regulation 48 applies in relation to a sheep or a goat, whether born before, on, or after commencement day.</w:t>
      </w:r>
    </w:p>
    <w:p>
      <w:pPr>
        <w:pStyle w:val="Footnotesection"/>
      </w:pPr>
      <w:r>
        <w:tab/>
        <w:t>[Regulation 217B inserted: SL 2024/264 r. 12.]</w:t>
      </w:r>
    </w:p>
    <w:p>
      <w:pPr>
        <w:pStyle w:val="Heading5"/>
      </w:pPr>
      <w:bookmarkStart w:id="487" w:name="_Toc202449564"/>
      <w:r>
        <w:rPr>
          <w:rStyle w:val="CharSectno"/>
        </w:rPr>
        <w:t>217C</w:t>
      </w:r>
      <w:r>
        <w:t>.</w:t>
      </w:r>
      <w:r>
        <w:tab/>
        <w:t>Amendments related to saleyards and abattoirs</w:t>
      </w:r>
      <w:bookmarkEnd w:id="487"/>
    </w:p>
    <w:p>
      <w:pPr>
        <w:pStyle w:val="Subsection"/>
      </w:pPr>
      <w:r>
        <w:tab/>
        <w:t>(1)</w:t>
      </w:r>
      <w:r>
        <w:tab/>
        <w:t xml:space="preserve">In this regulation — </w:t>
      </w:r>
    </w:p>
    <w:p>
      <w:pPr>
        <w:pStyle w:val="Defstart"/>
      </w:pPr>
      <w:r>
        <w:tab/>
      </w:r>
      <w:r>
        <w:rPr>
          <w:rStyle w:val="CharDefText"/>
        </w:rPr>
        <w:t>transitional period</w:t>
      </w:r>
      <w:r>
        <w:t xml:space="preserve"> means the period commencing on commencement day and ending on 30 June 2025.</w:t>
      </w:r>
    </w:p>
    <w:p>
      <w:pPr>
        <w:pStyle w:val="Subsection"/>
      </w:pPr>
      <w:r>
        <w:tab/>
        <w:t>(2)</w:t>
      </w:r>
      <w:r>
        <w:tab/>
        <w:t xml:space="preserve">Despite the amendments made by regulations 11 and 13 of the amending regulations, during the transitional period — </w:t>
      </w:r>
    </w:p>
    <w:p>
      <w:pPr>
        <w:pStyle w:val="Indenta"/>
      </w:pPr>
      <w:r>
        <w:tab/>
        <w:t>(a)</w:t>
      </w:r>
      <w:r>
        <w:tab/>
        <w:t>Part 6A Division 3 Subdivisions 4 and 5 have no effect; and</w:t>
      </w:r>
    </w:p>
    <w:p>
      <w:pPr>
        <w:pStyle w:val="Indenta"/>
      </w:pPr>
      <w:r>
        <w:tab/>
        <w:t>(b)</w:t>
      </w:r>
      <w:r>
        <w:tab/>
        <w:t>Part 6 Division 3 Subdivisions 6 and 7 of the former regulations continue to apply.</w:t>
      </w:r>
    </w:p>
    <w:p>
      <w:pPr>
        <w:pStyle w:val="Subsection"/>
      </w:pPr>
      <w:r>
        <w:tab/>
        <w:t>(3)</w:t>
      </w:r>
      <w:r>
        <w:tab/>
        <w:t xml:space="preserve">For the purposes of subregulation (2)(b), during the transitional period — </w:t>
      </w:r>
    </w:p>
    <w:p>
      <w:pPr>
        <w:pStyle w:val="Indenta"/>
      </w:pPr>
      <w:r>
        <w:tab/>
        <w:t>(a)</w:t>
      </w:r>
      <w:r>
        <w:tab/>
        <w:t>the reference in regulation 147 of the former regulations to regulations 142 to 146 is taken to be a reference to regulations 142 to 146 of the former regulations; and</w:t>
      </w:r>
    </w:p>
    <w:p>
      <w:pPr>
        <w:pStyle w:val="Indenta"/>
      </w:pPr>
      <w:r>
        <w:tab/>
        <w:t>(b)</w:t>
      </w:r>
      <w:r>
        <w:tab/>
        <w:t xml:space="preserve">the reference in regulation 153(2) of the former regulations to regulation 129(1) or 129B(1) is taken to </w:t>
      </w:r>
      <w:r>
        <w:lastRenderedPageBreak/>
        <w:t>be a reference to regulation 164K(1)(b) as inserted by the amending regulations.</w:t>
      </w:r>
    </w:p>
    <w:p>
      <w:pPr>
        <w:pStyle w:val="Footnotesection"/>
      </w:pPr>
      <w:r>
        <w:tab/>
        <w:t>[Regulation 217C inserted: SL 2024/264 r. 12.]</w:t>
      </w:r>
    </w:p>
    <w:p>
      <w:pPr>
        <w:pStyle w:val="Heading2"/>
      </w:pPr>
      <w:bookmarkStart w:id="488" w:name="_Toc202444013"/>
      <w:bookmarkStart w:id="489" w:name="_Toc202444764"/>
      <w:bookmarkStart w:id="490" w:name="_Toc202449565"/>
      <w:r>
        <w:rPr>
          <w:rStyle w:val="CharPartNo"/>
        </w:rPr>
        <w:lastRenderedPageBreak/>
        <w:t>Part 12</w:t>
      </w:r>
      <w:r>
        <w:t> — </w:t>
      </w:r>
      <w:r>
        <w:rPr>
          <w:rStyle w:val="CharPartText"/>
        </w:rPr>
        <w:t>Repealed Acts: transitional provisions</w:t>
      </w:r>
      <w:bookmarkEnd w:id="488"/>
      <w:bookmarkEnd w:id="489"/>
      <w:bookmarkEnd w:id="490"/>
    </w:p>
    <w:p>
      <w:pPr>
        <w:pStyle w:val="Heading3"/>
      </w:pPr>
      <w:bookmarkStart w:id="491" w:name="_Toc202444014"/>
      <w:bookmarkStart w:id="492" w:name="_Toc202444765"/>
      <w:bookmarkStart w:id="493" w:name="_Toc202449566"/>
      <w:r>
        <w:rPr>
          <w:rStyle w:val="CharDivNo"/>
        </w:rPr>
        <w:t>Division 1</w:t>
      </w:r>
      <w:r>
        <w:t> — </w:t>
      </w:r>
      <w:r>
        <w:rPr>
          <w:rStyle w:val="CharDivText"/>
          <w:i/>
        </w:rPr>
        <w:t>Beekeepers Act 1963</w:t>
      </w:r>
      <w:bookmarkEnd w:id="491"/>
      <w:bookmarkEnd w:id="492"/>
      <w:bookmarkEnd w:id="493"/>
    </w:p>
    <w:p>
      <w:pPr>
        <w:pStyle w:val="Heading5"/>
      </w:pPr>
      <w:bookmarkStart w:id="494" w:name="_Toc202449567"/>
      <w:r>
        <w:rPr>
          <w:rStyle w:val="CharSectno"/>
        </w:rPr>
        <w:t>218</w:t>
      </w:r>
      <w:r>
        <w:t>.</w:t>
      </w:r>
      <w:r>
        <w:tab/>
        <w:t>Terms used</w:t>
      </w:r>
      <w:bookmarkEnd w:id="49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495" w:name="_Toc202449568"/>
      <w:r>
        <w:rPr>
          <w:rStyle w:val="CharSectno"/>
        </w:rPr>
        <w:t>219</w:t>
      </w:r>
      <w:r>
        <w:t>.</w:t>
      </w:r>
      <w:r>
        <w:tab/>
        <w:t>Beekeepers</w:t>
      </w:r>
      <w:bookmarkEnd w:id="495"/>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496" w:name="_Toc202449569"/>
      <w:r>
        <w:rPr>
          <w:rStyle w:val="CharSectno"/>
        </w:rPr>
        <w:t>220</w:t>
      </w:r>
      <w:r>
        <w:t>.</w:t>
      </w:r>
      <w:r>
        <w:tab/>
        <w:t>Brands</w:t>
      </w:r>
      <w:bookmarkEnd w:id="496"/>
    </w:p>
    <w:p>
      <w:pPr>
        <w:pStyle w:val="Subsection"/>
      </w:pPr>
      <w:r>
        <w:tab/>
        <w:t>(1)</w:t>
      </w:r>
      <w:r>
        <w:tab/>
        <w:t xml:space="preserve">Any hive that was, immediately before the commencement day, branded with a brand registered under the repealed Act, is, for </w:t>
      </w:r>
      <w:r>
        <w:lastRenderedPageBreak/>
        <w:t>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497" w:name="_Toc202444018"/>
      <w:bookmarkStart w:id="498" w:name="_Toc202444769"/>
      <w:bookmarkStart w:id="499" w:name="_Toc202449570"/>
      <w:r>
        <w:rPr>
          <w:rStyle w:val="CharDivNo"/>
        </w:rPr>
        <w:t>Division 2</w:t>
      </w:r>
      <w:r>
        <w:t> — </w:t>
      </w:r>
      <w:r>
        <w:rPr>
          <w:rStyle w:val="CharDivText"/>
          <w:i/>
        </w:rPr>
        <w:t>Stock (Identification and Movement) Act 1970</w:t>
      </w:r>
      <w:bookmarkEnd w:id="497"/>
      <w:bookmarkEnd w:id="498"/>
      <w:bookmarkEnd w:id="499"/>
    </w:p>
    <w:p>
      <w:pPr>
        <w:pStyle w:val="Heading5"/>
      </w:pPr>
      <w:bookmarkStart w:id="500" w:name="_Toc202449571"/>
      <w:r>
        <w:rPr>
          <w:rStyle w:val="CharSectno"/>
        </w:rPr>
        <w:t>221</w:t>
      </w:r>
      <w:r>
        <w:t>.</w:t>
      </w:r>
      <w:r>
        <w:tab/>
        <w:t>Terms used</w:t>
      </w:r>
      <w:bookmarkEnd w:id="50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501" w:name="_Toc202449572"/>
      <w:r>
        <w:rPr>
          <w:rStyle w:val="CharSectno"/>
        </w:rPr>
        <w:t>222</w:t>
      </w:r>
      <w:r>
        <w:t>.</w:t>
      </w:r>
      <w:r>
        <w:tab/>
        <w:t>Owners of brands</w:t>
      </w:r>
      <w:bookmarkEnd w:id="501"/>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lastRenderedPageBreak/>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502" w:name="_Toc202444021"/>
      <w:bookmarkStart w:id="503" w:name="_Toc202444772"/>
      <w:bookmarkStart w:id="504" w:name="_Toc202449573"/>
      <w:r>
        <w:lastRenderedPageBreak/>
        <w:t>Notes</w:t>
      </w:r>
      <w:bookmarkEnd w:id="502"/>
      <w:bookmarkEnd w:id="503"/>
      <w:bookmarkEnd w:id="504"/>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 </w:t>
      </w:r>
    </w:p>
    <w:p>
      <w:pPr>
        <w:pStyle w:val="nHeading3"/>
      </w:pPr>
      <w:bookmarkStart w:id="505" w:name="_Toc202449574"/>
      <w:r>
        <w:t>Compilation table</w:t>
      </w:r>
      <w:bookmarkEnd w:id="50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nil"/>
            </w:tcBorders>
          </w:tcPr>
          <w:p>
            <w:pPr>
              <w:pStyle w:val="nTable"/>
              <w:spacing w:after="40"/>
            </w:pPr>
            <w:r>
              <w:t>SL 2021/204 3 Dec 2021</w:t>
            </w:r>
          </w:p>
        </w:tc>
        <w:tc>
          <w:tcPr>
            <w:tcW w:w="2693" w:type="dxa"/>
            <w:tcBorders>
              <w:top w:val="nil"/>
              <w:bottom w:val="nil"/>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r>
        <w:tc>
          <w:tcPr>
            <w:tcW w:w="3118" w:type="dxa"/>
            <w:tcBorders>
              <w:top w:val="nil"/>
              <w:bottom w:val="nil"/>
            </w:tcBorders>
          </w:tcPr>
          <w:p>
            <w:pPr>
              <w:pStyle w:val="nTable"/>
              <w:spacing w:after="40"/>
            </w:pPr>
            <w:r>
              <w:rPr>
                <w:i/>
              </w:rPr>
              <w:t>Biosecurity and Agriculture Management (Identification and Movement of Stock and Apiaries) Amendment Regulations 2022</w:t>
            </w:r>
          </w:p>
        </w:tc>
        <w:tc>
          <w:tcPr>
            <w:tcW w:w="1276" w:type="dxa"/>
            <w:tcBorders>
              <w:top w:val="nil"/>
              <w:bottom w:val="nil"/>
            </w:tcBorders>
          </w:tcPr>
          <w:p>
            <w:pPr>
              <w:pStyle w:val="nTable"/>
              <w:spacing w:after="40"/>
            </w:pPr>
            <w:r>
              <w:t>SL 2022/17 25 Feb 2022</w:t>
            </w:r>
          </w:p>
        </w:tc>
        <w:tc>
          <w:tcPr>
            <w:tcW w:w="2693" w:type="dxa"/>
            <w:tcBorders>
              <w:top w:val="nil"/>
              <w:bottom w:val="nil"/>
            </w:tcBorders>
          </w:tcPr>
          <w:p>
            <w:pPr>
              <w:pStyle w:val="nTable"/>
              <w:spacing w:after="40"/>
            </w:pPr>
            <w:r>
              <w:rPr>
                <w:snapToGrid w:val="0"/>
                <w:spacing w:val="-2"/>
              </w:rPr>
              <w:t xml:space="preserve">r. 1 and 2: </w:t>
            </w:r>
            <w:r>
              <w:t>25 Feb 2022</w:t>
            </w:r>
            <w:r>
              <w:rPr>
                <w:snapToGrid w:val="0"/>
                <w:spacing w:val="-2"/>
              </w:rPr>
              <w:t xml:space="preserve"> (see r. 2(a));</w:t>
            </w:r>
            <w:r>
              <w:rPr>
                <w:snapToGrid w:val="0"/>
                <w:spacing w:val="-2"/>
              </w:rPr>
              <w:br/>
              <w:t xml:space="preserve">Regulations other than r. 1 and 2: </w:t>
            </w:r>
            <w:r>
              <w:t>1 Apr 2022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2024</w:t>
            </w:r>
          </w:p>
        </w:tc>
        <w:tc>
          <w:tcPr>
            <w:tcW w:w="1276" w:type="dxa"/>
            <w:tcBorders>
              <w:top w:val="nil"/>
              <w:bottom w:val="nil"/>
            </w:tcBorders>
          </w:tcPr>
          <w:p>
            <w:pPr>
              <w:pStyle w:val="nTable"/>
              <w:spacing w:after="40"/>
            </w:pPr>
            <w:r>
              <w:t>SL 2024/264 11 Dec 2024</w:t>
            </w:r>
          </w:p>
        </w:tc>
        <w:tc>
          <w:tcPr>
            <w:tcW w:w="2693" w:type="dxa"/>
            <w:tcBorders>
              <w:top w:val="nil"/>
              <w:bottom w:val="nil"/>
            </w:tcBorders>
          </w:tcPr>
          <w:p>
            <w:pPr>
              <w:pStyle w:val="nTable"/>
              <w:spacing w:after="40"/>
              <w:rPr>
                <w:snapToGrid w:val="0"/>
                <w:spacing w:val="-2"/>
              </w:rPr>
            </w:pPr>
            <w:r>
              <w:rPr>
                <w:snapToGrid w:val="0"/>
                <w:spacing w:val="-2"/>
              </w:rPr>
              <w:t>r. 1 and 2: 11 Dec 2024 (see r. 2(a));</w:t>
            </w:r>
            <w:r>
              <w:rPr>
                <w:snapToGrid w:val="0"/>
                <w:spacing w:val="-2"/>
              </w:rPr>
              <w:br/>
              <w:t xml:space="preserve">Regulations other than r. 1 and 2: </w:t>
            </w:r>
            <w:r>
              <w:t>1 Jan 2025 (see r. 2(b))</w:t>
            </w:r>
          </w:p>
        </w:tc>
      </w:tr>
      <w:tr>
        <w:tc>
          <w:tcPr>
            <w:tcW w:w="3118" w:type="dxa"/>
            <w:tcBorders>
              <w:top w:val="nil"/>
              <w:bottom w:val="single" w:sz="4" w:space="0" w:color="auto"/>
            </w:tcBorders>
          </w:tcPr>
          <w:p>
            <w:pPr>
              <w:pStyle w:val="nTable"/>
              <w:spacing w:after="40"/>
              <w:rPr>
                <w:i/>
              </w:rPr>
            </w:pPr>
            <w:r>
              <w:rPr>
                <w:i/>
              </w:rPr>
              <w:t>Biosecurity and Agriculture Management (Identification and Movement of Stock and Apiaries) Amendment Regulations 2025</w:t>
            </w:r>
          </w:p>
        </w:tc>
        <w:tc>
          <w:tcPr>
            <w:tcW w:w="1276" w:type="dxa"/>
            <w:tcBorders>
              <w:top w:val="nil"/>
              <w:bottom w:val="single" w:sz="4" w:space="0" w:color="auto"/>
            </w:tcBorders>
          </w:tcPr>
          <w:p>
            <w:pPr>
              <w:pStyle w:val="nTable"/>
              <w:spacing w:after="40"/>
            </w:pPr>
            <w:r>
              <w:t>SL 2025/133 9 Jul 2025</w:t>
            </w:r>
          </w:p>
        </w:tc>
        <w:tc>
          <w:tcPr>
            <w:tcW w:w="2693" w:type="dxa"/>
            <w:tcBorders>
              <w:top w:val="nil"/>
              <w:bottom w:val="single" w:sz="4" w:space="0" w:color="auto"/>
            </w:tcBorders>
          </w:tcPr>
          <w:p>
            <w:pPr>
              <w:pStyle w:val="nTable"/>
              <w:spacing w:after="40"/>
              <w:rPr>
                <w:snapToGrid w:val="0"/>
                <w:spacing w:val="-2"/>
              </w:rPr>
            </w:pPr>
            <w:r>
              <w:rPr>
                <w:snapToGrid w:val="0"/>
                <w:spacing w:val="-2"/>
              </w:rPr>
              <w:t>r. 1 and 2: 9 Jul 2025 (see r. 2(a));</w:t>
            </w:r>
            <w:r>
              <w:rPr>
                <w:snapToGrid w:val="0"/>
                <w:spacing w:val="-2"/>
              </w:rPr>
              <w:br/>
              <w:t>Regulations other than r. 1 and 2: 10 Jul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507" w:name="_Toc202444023"/>
      <w:bookmarkStart w:id="508" w:name="_Toc202444774"/>
      <w:bookmarkStart w:id="509" w:name="_Toc202449575"/>
      <w:r>
        <w:rPr>
          <w:sz w:val="28"/>
        </w:rPr>
        <w:lastRenderedPageBreak/>
        <w:t>Defined terms</w:t>
      </w:r>
      <w:bookmarkEnd w:id="507"/>
      <w:bookmarkEnd w:id="508"/>
      <w:bookmarkEnd w:id="5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 164ZH(1)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amended regulation 48</w:t>
      </w:r>
      <w:r>
        <w:tab/>
        <w:t>217B(1)</w:t>
      </w:r>
    </w:p>
    <w:p>
      <w:pPr>
        <w:pStyle w:val="DefinedTerms"/>
      </w:pPr>
      <w:r>
        <w:t>amending regulations</w:t>
      </w:r>
      <w:r>
        <w:tab/>
        <w:t>217A</w:t>
      </w:r>
    </w:p>
    <w:p>
      <w:pPr>
        <w:pStyle w:val="DefinedTerms"/>
      </w:pPr>
      <w:r>
        <w:t>animal</w:t>
      </w:r>
      <w:r>
        <w:tab/>
        <w:t>75</w:t>
      </w:r>
    </w:p>
    <w:p>
      <w:pPr>
        <w:pStyle w:val="DefinedTerms"/>
      </w:pPr>
      <w:r>
        <w:t>apiary</w:t>
      </w:r>
      <w:r>
        <w:tab/>
        <w:t>3</w:t>
      </w:r>
    </w:p>
    <w:p>
      <w:pPr>
        <w:pStyle w:val="DefinedTerms"/>
      </w:pPr>
      <w:r>
        <w:t>appropriate fee</w:t>
      </w:r>
      <w:r>
        <w:tab/>
        <w:t>3</w:t>
      </w:r>
    </w:p>
    <w:p>
      <w:pPr>
        <w:pStyle w:val="DefinedTerms"/>
      </w:pPr>
      <w:r>
        <w:t>approved</w:t>
      </w:r>
      <w:r>
        <w:tab/>
        <w:t>3</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217A, 218, 221</w:t>
      </w:r>
    </w:p>
    <w:p>
      <w:pPr>
        <w:pStyle w:val="DefinedTerms"/>
      </w:pPr>
      <w:r>
        <w:t>corresponding PIC</w:t>
      </w:r>
      <w:r>
        <w:tab/>
        <w:t>3, 16(2)</w:t>
      </w:r>
    </w:p>
    <w:p>
      <w:pPr>
        <w:pStyle w:val="DefinedTerms"/>
      </w:pPr>
      <w:r>
        <w:t>deer</w:t>
      </w:r>
      <w:r>
        <w:tab/>
        <w:t>3</w:t>
      </w:r>
    </w:p>
    <w:p>
      <w:pPr>
        <w:pStyle w:val="DefinedTerms"/>
      </w:pPr>
      <w:r>
        <w:t>designated person</w:t>
      </w:r>
      <w:r>
        <w:tab/>
        <w:t>164ZW(1)</w:t>
      </w:r>
    </w:p>
    <w:p>
      <w:pPr>
        <w:pStyle w:val="DefinedTerms"/>
      </w:pPr>
      <w:r>
        <w:t>donkey</w:t>
      </w:r>
      <w:r>
        <w:tab/>
        <w:t>3</w:t>
      </w:r>
    </w:p>
    <w:p>
      <w:pPr>
        <w:pStyle w:val="DefinedTerms"/>
      </w:pPr>
      <w:r>
        <w:t>electronic number</w:t>
      </w:r>
      <w:r>
        <w:tab/>
        <w:t>2, 47(1)</w:t>
      </w:r>
    </w:p>
    <w:p>
      <w:pPr>
        <w:pStyle w:val="DefinedTerms"/>
      </w:pPr>
      <w:r>
        <w:t>export depot</w:t>
      </w:r>
      <w:r>
        <w:tab/>
        <w:t>3</w:t>
      </w:r>
    </w:p>
    <w:p>
      <w:pPr>
        <w:pStyle w:val="DefinedTerms"/>
      </w:pPr>
      <w:r>
        <w:t>farming property</w:t>
      </w:r>
      <w:r>
        <w:tab/>
        <w:t>3</w:t>
      </w:r>
    </w:p>
    <w:p>
      <w:pPr>
        <w:pStyle w:val="DefinedTerms"/>
      </w:pPr>
      <w:r>
        <w:t>first property</w:t>
      </w:r>
      <w:r>
        <w:tab/>
        <w:t>164M(1)</w:t>
      </w:r>
    </w:p>
    <w:p>
      <w:pPr>
        <w:pStyle w:val="DefinedTerms"/>
      </w:pPr>
      <w:r>
        <w:t>former regulations</w:t>
      </w:r>
      <w:r>
        <w:tab/>
        <w:t>217A</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67(7), 187</w:t>
      </w:r>
    </w:p>
    <w:p>
      <w:pPr>
        <w:pStyle w:val="DefinedTerms"/>
      </w:pPr>
      <w:r>
        <w:lastRenderedPageBreak/>
        <w:t>impound</w:t>
      </w:r>
      <w:r>
        <w:tab/>
        <w:t>3</w:t>
      </w:r>
    </w:p>
    <w:p>
      <w:pPr>
        <w:pStyle w:val="DefinedTerms"/>
      </w:pPr>
      <w:r>
        <w:t>ISC Ltd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t>mortgage</w:t>
      </w:r>
      <w:r>
        <w:tab/>
        <w:t>3, 28(1)</w:t>
      </w:r>
    </w:p>
    <w:p>
      <w:pPr>
        <w:pStyle w:val="DefinedTerms"/>
      </w:pPr>
      <w:r>
        <w:t>movement permit</w:t>
      </w:r>
      <w:r>
        <w:tab/>
        <w:t>3</w:t>
      </w:r>
    </w:p>
    <w:p>
      <w:pPr>
        <w:pStyle w:val="DefinedTerms"/>
      </w:pPr>
      <w:r>
        <w:t>NLIS database</w:t>
      </w:r>
      <w:r>
        <w:tab/>
        <w:t>3, 58(1)</w:t>
      </w:r>
    </w:p>
    <w:p>
      <w:pPr>
        <w:pStyle w:val="DefinedTerms"/>
      </w:pPr>
      <w:r>
        <w:t>NLIS device</w:t>
      </w:r>
      <w:r>
        <w:tab/>
        <w:t>3, 142(1), 147(1), 153(1), 160(1)</w:t>
      </w:r>
    </w:p>
    <w:p>
      <w:pPr>
        <w:pStyle w:val="DefinedTerms"/>
      </w:pPr>
      <w:r>
        <w:t>NLIS identified animal</w:t>
      </w:r>
      <w:r>
        <w:tab/>
        <w:t>87(1)</w:t>
      </w:r>
    </w:p>
    <w:p>
      <w:pPr>
        <w:pStyle w:val="DefinedTerms"/>
      </w:pPr>
      <w:r>
        <w:t>NLIS identified pig</w:t>
      </w:r>
      <w:r>
        <w:tab/>
        <w:t>133(1)</w:t>
      </w:r>
    </w:p>
    <w:p>
      <w:pPr>
        <w:pStyle w:val="DefinedTerms"/>
      </w:pPr>
      <w:r>
        <w:t>NLIS identified sheep or goat</w:t>
      </w:r>
      <w:r>
        <w:tab/>
        <w:t>164A</w:t>
      </w:r>
    </w:p>
    <w:p>
      <w:pPr>
        <w:pStyle w:val="DefinedTerms"/>
      </w:pPr>
      <w:r>
        <w:t>NLIS identifier</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2</w:t>
      </w:r>
    </w:p>
    <w:p>
      <w:pPr>
        <w:pStyle w:val="DefinedTerms"/>
      </w:pPr>
      <w:r>
        <w:t>port</w:t>
      </w:r>
      <w:r>
        <w:tab/>
        <w:t>3</w:t>
      </w:r>
    </w:p>
    <w:p>
      <w:pPr>
        <w:pStyle w:val="DefinedTerms"/>
      </w:pPr>
      <w:r>
        <w:t>poultry</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receiving owner</w:t>
      </w:r>
      <w:r>
        <w:tab/>
        <w:t>164A</w:t>
      </w:r>
    </w:p>
    <w:p>
      <w:pPr>
        <w:pStyle w:val="DefinedTerms"/>
      </w:pPr>
      <w:r>
        <w:t>register</w:t>
      </w:r>
      <w:r>
        <w:tab/>
        <w:t>2</w:t>
      </w:r>
    </w:p>
    <w:p>
      <w:pPr>
        <w:pStyle w:val="DefinedTerms"/>
      </w:pPr>
      <w:r>
        <w:t>registered beekeeper</w:t>
      </w:r>
      <w:r>
        <w:tab/>
        <w:t>3</w:t>
      </w:r>
    </w:p>
    <w:p>
      <w:pPr>
        <w:pStyle w:val="DefinedTerms"/>
      </w:pPr>
      <w:r>
        <w:t>registered identifier</w:t>
      </w:r>
      <w:r>
        <w:tab/>
        <w:t>3</w:t>
      </w:r>
    </w:p>
    <w:p>
      <w:pPr>
        <w:pStyle w:val="DefinedTerms"/>
      </w:pPr>
      <w:r>
        <w:t>registered non-farming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217C(3), 221</w:t>
      </w:r>
    </w:p>
    <w:p>
      <w:pPr>
        <w:pStyle w:val="DefinedTerms"/>
      </w:pPr>
      <w:r>
        <w:t>repealed regulations</w:t>
      </w:r>
      <w:r>
        <w:tab/>
        <w:t>214</w:t>
      </w:r>
    </w:p>
    <w:p>
      <w:pPr>
        <w:pStyle w:val="DefinedTerms"/>
      </w:pPr>
      <w:r>
        <w:t>saleyard</w:t>
      </w:r>
      <w:r>
        <w:tab/>
        <w:t>3</w:t>
      </w:r>
    </w:p>
    <w:p>
      <w:pPr>
        <w:pStyle w:val="DefinedTerms"/>
      </w:pPr>
      <w:r>
        <w:t>south-west of the State</w:t>
      </w:r>
      <w:r>
        <w:tab/>
        <w:t>3</w:t>
      </w:r>
    </w:p>
    <w:p>
      <w:pPr>
        <w:pStyle w:val="DefinedTerms"/>
      </w:pPr>
      <w:r>
        <w:t>specified</w:t>
      </w:r>
      <w:r>
        <w:tab/>
        <w:t>38(1), 69(1), 70(1), 196(1)</w:t>
      </w:r>
    </w:p>
    <w:p>
      <w:pPr>
        <w:pStyle w:val="DefinedTerms"/>
      </w:pPr>
      <w:r>
        <w:t>stock</w:t>
      </w:r>
      <w:r>
        <w:tab/>
        <w:t>28(1)</w:t>
      </w:r>
    </w:p>
    <w:p>
      <w:pPr>
        <w:pStyle w:val="DefinedTerms"/>
      </w:pPr>
      <w:r>
        <w:lastRenderedPageBreak/>
        <w:t>trading name</w:t>
      </w:r>
      <w:r>
        <w:tab/>
        <w:t>187</w:t>
      </w:r>
    </w:p>
    <w:p>
      <w:pPr>
        <w:pStyle w:val="DefinedTerms"/>
      </w:pPr>
      <w:r>
        <w:t>transferee</w:t>
      </w:r>
      <w:r>
        <w:tab/>
        <w:t>27(2)</w:t>
      </w:r>
    </w:p>
    <w:p>
      <w:pPr>
        <w:pStyle w:val="DefinedTerms"/>
      </w:pPr>
      <w:r>
        <w:t>transferor</w:t>
      </w:r>
      <w:r>
        <w:tab/>
        <w:t>27(2)</w:t>
      </w:r>
    </w:p>
    <w:p>
      <w:pPr>
        <w:pStyle w:val="DefinedTerms"/>
      </w:pPr>
      <w:r>
        <w:t>transitional period</w:t>
      </w:r>
      <w:r>
        <w:tab/>
        <w:t>217C(1)</w:t>
      </w:r>
    </w:p>
    <w:p>
      <w:pPr>
        <w:pStyle w:val="DefinedTerms"/>
      </w:pPr>
      <w:r>
        <w:t>transport document</w:t>
      </w:r>
      <w:r>
        <w:tab/>
        <w:t>3</w:t>
      </w:r>
    </w:p>
    <w:p>
      <w:pPr>
        <w:pStyle w:val="DefinedTerms"/>
      </w:pPr>
      <w:r>
        <w:t>update the NLIS database</w:t>
      </w:r>
      <w:r>
        <w:tab/>
        <w:t>3</w:t>
      </w:r>
    </w:p>
    <w:p>
      <w:pPr>
        <w:pStyle w:val="DefinedTerms"/>
      </w:pPr>
      <w:r>
        <w:t>waybill</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6" w:name="Compilation"/>
    <w:bookmarkEnd w:id="5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0" w:name="DefinedTerms"/>
    <w:bookmarkEnd w:id="5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1" w:name="Coversheet"/>
    <w:bookmarkEnd w:id="5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03140009"/>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 w:name="WAFER_20220328101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8101014_GUID" w:val="9395f303-4126-49d2-8eeb-568aa4a600da"/>
    <w:docVar w:name="WAFER_2024120515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54230_GUID" w:val="2687156f-c018-44b6-ba68-7e6ea5ae0872"/>
    <w:docVar w:name="WAFER_2024122309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952_GUID" w:val="d1068b0c-38a9-490a-a4a3-71029281a93b"/>
    <w:docVar w:name="WAFER_2024122309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3091011_GUID" w:val="e5a41659-9222-4660-aece-5ebfe354cce6"/>
    <w:docVar w:name="WAFER_20250703140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03140009_GUID" w:val="21f40faa-22c9-4a5a-9697-2dc255dca2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FBBE-4A1B-4266-88F7-8F35F332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47827</Words>
  <Characters>227183</Characters>
  <Application>Microsoft Office Word</Application>
  <DocSecurity>0</DocSecurity>
  <Lines>6140</Lines>
  <Paragraphs>3928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2013 - 00-j0-00</dc:title>
  <dc:subject/>
  <dc:creator/>
  <cp:keywords/>
  <dc:description/>
  <cp:lastModifiedBy>Master Repository Process</cp:lastModifiedBy>
  <cp:revision>4</cp:revision>
  <cp:lastPrinted>2013-01-07T01:31:00Z</cp:lastPrinted>
  <dcterms:created xsi:type="dcterms:W3CDTF">2025-07-08T03:09:00Z</dcterms:created>
  <dcterms:modified xsi:type="dcterms:W3CDTF">2025-07-08T03:09:00Z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20250710</vt:lpwstr>
  </property>
  <property fmtid="{D5CDD505-2E9C-101B-9397-08002B2CF9AE}" pid="5" name="CommencementAsAt">
    <vt:filetime>2025-07-09T16:00:00Z</vt:filetime>
  </property>
  <property fmtid="{D5CDD505-2E9C-101B-9397-08002B2CF9AE}" pid="6" name="CommencementYear">
    <vt:lpwstr>2025</vt:lpwstr>
  </property>
  <property fmtid="{D5CDD505-2E9C-101B-9397-08002B2CF9AE}" pid="7" name="AsAtDate">
    <vt:lpwstr>10 Jul 2025</vt:lpwstr>
  </property>
  <property fmtid="{D5CDD505-2E9C-101B-9397-08002B2CF9AE}" pid="8" name="Suffix">
    <vt:lpwstr>00-j0-00</vt:lpwstr>
  </property>
  <property fmtid="{D5CDD505-2E9C-101B-9397-08002B2CF9AE}" pid="9" name="Official">
    <vt:lpwstr/>
  </property>
</Properties>
</file>