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_Toc202451023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_Toc202451024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_Toc202451025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_Toc202451027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_Toc202451029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_Toc202451030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_Toc202451031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_Toc202451032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_Toc202451033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_Toc202451034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_Toc202451035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_Toc202451036 \h </w:instrText>
      </w:r>
      <w:r>
        <w:fldChar w:fldCharType="separate"/>
      </w:r>
      <w:r>
        <w:t>9</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_Toc202451037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_Toc202451038 \h </w:instrText>
      </w:r>
      <w:r>
        <w:fldChar w:fldCharType="separate"/>
      </w:r>
      <w:r>
        <w:t>12</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_Toc202451039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_Toc202451041 \h </w:instrText>
      </w:r>
      <w:r>
        <w:fldChar w:fldCharType="separate"/>
      </w:r>
      <w:r>
        <w:t>20</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_Toc202451042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_Toc202451043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_Toc202451045 \h </w:instrText>
      </w:r>
      <w:r>
        <w:fldChar w:fldCharType="separate"/>
      </w:r>
      <w:r>
        <w:t>21</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_Toc202451046 \h </w:instrText>
      </w:r>
      <w:r>
        <w:fldChar w:fldCharType="separate"/>
      </w:r>
      <w:r>
        <w:t>21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_Toc202451047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_Toc202451048 \h </w:instrText>
      </w:r>
      <w:r>
        <w:fldChar w:fldCharType="separate"/>
      </w:r>
      <w:r>
        <w:t>21</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_Toc202451049 \h </w:instrText>
      </w:r>
      <w:r>
        <w:fldChar w:fldCharType="separate"/>
      </w:r>
      <w:r>
        <w:t>22</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_Toc202451050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_Toc202451053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_Toc202451055 \h </w:instrText>
      </w:r>
      <w:r>
        <w:fldChar w:fldCharType="separate"/>
      </w:r>
      <w:r>
        <w:t>24</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_Toc202451056 \h </w:instrText>
      </w:r>
      <w:r>
        <w:fldChar w:fldCharType="separate"/>
      </w:r>
      <w:r>
        <w:t>24</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_Toc202451057 \h </w:instrText>
      </w:r>
      <w:r>
        <w:fldChar w:fldCharType="separate"/>
      </w:r>
      <w:r>
        <w:t>25</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_Toc202451058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_Toc202451060 \h </w:instrText>
      </w:r>
      <w:r>
        <w:fldChar w:fldCharType="separate"/>
      </w:r>
      <w:r>
        <w:t>26</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_Toc202451061 \h </w:instrText>
      </w:r>
      <w:r>
        <w:fldChar w:fldCharType="separate"/>
      </w:r>
      <w:r>
        <w:t>27</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_Toc202451062 \h </w:instrText>
      </w:r>
      <w:r>
        <w:fldChar w:fldCharType="separate"/>
      </w:r>
      <w:r>
        <w:t>28</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_Toc202451063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_Toc202451065 \h </w:instrText>
      </w:r>
      <w:r>
        <w:fldChar w:fldCharType="separate"/>
      </w:r>
      <w:r>
        <w:t>30</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_Toc202451066 \h </w:instrText>
      </w:r>
      <w:r>
        <w:fldChar w:fldCharType="separate"/>
      </w:r>
      <w:r>
        <w:t>30</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_Toc202451067 \h </w:instrText>
      </w:r>
      <w:r>
        <w:fldChar w:fldCharType="separate"/>
      </w:r>
      <w:r>
        <w:t>30</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_Toc202451068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_Toc202451070 \h </w:instrText>
      </w:r>
      <w:r>
        <w:fldChar w:fldCharType="separate"/>
      </w:r>
      <w:r>
        <w:t>32</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_Toc202451071 \h </w:instrText>
      </w:r>
      <w:r>
        <w:fldChar w:fldCharType="separate"/>
      </w:r>
      <w:r>
        <w:t>33</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_Toc202451072 \h </w:instrText>
      </w:r>
      <w:r>
        <w:fldChar w:fldCharType="separate"/>
      </w:r>
      <w:r>
        <w:t>34</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_Toc202451073 \h </w:instrText>
      </w:r>
      <w:r>
        <w:fldChar w:fldCharType="separate"/>
      </w:r>
      <w:r>
        <w:t>34</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_Toc202451074 \h </w:instrText>
      </w:r>
      <w:r>
        <w:fldChar w:fldCharType="separate"/>
      </w:r>
      <w:r>
        <w:t>34</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_Toc202451075 \h </w:instrText>
      </w:r>
      <w:r>
        <w:fldChar w:fldCharType="separate"/>
      </w:r>
      <w:r>
        <w:t>35</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_Toc202451076 \h </w:instrText>
      </w:r>
      <w:r>
        <w:fldChar w:fldCharType="separate"/>
      </w:r>
      <w:r>
        <w:t>35</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_Toc202451077 \h </w:instrText>
      </w:r>
      <w:r>
        <w:fldChar w:fldCharType="separate"/>
      </w:r>
      <w:r>
        <w:t>36</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_Toc202451078 \h </w:instrText>
      </w:r>
      <w:r>
        <w:fldChar w:fldCharType="separate"/>
      </w:r>
      <w:r>
        <w:t>37</w:t>
      </w:r>
      <w:r>
        <w:fldChar w:fldCharType="end"/>
      </w:r>
    </w:p>
    <w:p>
      <w:pPr>
        <w:pStyle w:val="TOC8"/>
        <w:rPr>
          <w:rFonts w:asciiTheme="minorHAnsi" w:eastAsiaTheme="minorEastAsia" w:hAnsiTheme="minorHAnsi" w:cstheme="minorBidi"/>
          <w:szCs w:val="22"/>
        </w:rPr>
      </w:pPr>
      <w:r>
        <w:lastRenderedPageBreak/>
        <w:t>33O.</w:t>
      </w:r>
      <w:r>
        <w:tab/>
        <w:t>Parking offences</w:t>
      </w:r>
      <w:r>
        <w:tab/>
      </w:r>
      <w:r>
        <w:fldChar w:fldCharType="begin"/>
      </w:r>
      <w:r>
        <w:instrText xml:space="preserve"> PAGEREF _Toc202451079 \h </w:instrText>
      </w:r>
      <w:r>
        <w:fldChar w:fldCharType="separate"/>
      </w:r>
      <w:r>
        <w:t>37</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_Toc202451080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_Toc202451082 \h </w:instrText>
      </w:r>
      <w:r>
        <w:fldChar w:fldCharType="separate"/>
      </w:r>
      <w:r>
        <w:t>39</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_Toc202451083 \h </w:instrText>
      </w:r>
      <w:r>
        <w:fldChar w:fldCharType="separate"/>
      </w:r>
      <w:r>
        <w:t>40</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_Toc202451084 \h </w:instrText>
      </w:r>
      <w:r>
        <w:fldChar w:fldCharType="separate"/>
      </w:r>
      <w:r>
        <w:t>40</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_Toc202451085 \h </w:instrText>
      </w:r>
      <w:r>
        <w:fldChar w:fldCharType="separate"/>
      </w:r>
      <w:r>
        <w:t>41</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_Toc202451086 \h </w:instrText>
      </w:r>
      <w:r>
        <w:fldChar w:fldCharType="separate"/>
      </w:r>
      <w:r>
        <w:t>41</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_Toc202451087 \h </w:instrText>
      </w:r>
      <w:r>
        <w:fldChar w:fldCharType="separate"/>
      </w:r>
      <w:r>
        <w:t>42</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_Toc202451088 \h </w:instrText>
      </w:r>
      <w:r>
        <w:fldChar w:fldCharType="separate"/>
      </w:r>
      <w:r>
        <w:t>43</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_Toc202451089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_Toc202451091 \h </w:instrText>
      </w:r>
      <w:r>
        <w:fldChar w:fldCharType="separate"/>
      </w:r>
      <w:r>
        <w:t>44</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_Toc202451092 \h </w:instrText>
      </w:r>
      <w:r>
        <w:fldChar w:fldCharType="separate"/>
      </w:r>
      <w:r>
        <w:t>44</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_Toc202451093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_Toc202451095 \h </w:instrText>
      </w:r>
      <w:r>
        <w:fldChar w:fldCharType="separate"/>
      </w:r>
      <w:r>
        <w:t>45</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_Toc202451096 \h </w:instrText>
      </w:r>
      <w:r>
        <w:fldChar w:fldCharType="separate"/>
      </w:r>
      <w:r>
        <w:t>45</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_Toc202451097 \h </w:instrText>
      </w:r>
      <w:r>
        <w:fldChar w:fldCharType="separate"/>
      </w:r>
      <w:r>
        <w:t>46</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_Toc202451098 \h </w:instrText>
      </w:r>
      <w:r>
        <w:fldChar w:fldCharType="separate"/>
      </w:r>
      <w:r>
        <w:t>46</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_Toc202451099 \h </w:instrText>
      </w:r>
      <w:r>
        <w:fldChar w:fldCharType="separate"/>
      </w:r>
      <w:r>
        <w:t>47</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_Toc202451100 \h </w:instrText>
      </w:r>
      <w:r>
        <w:fldChar w:fldCharType="separate"/>
      </w:r>
      <w:r>
        <w:t>48</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_Toc202451101 \h </w:instrText>
      </w:r>
      <w:r>
        <w:fldChar w:fldCharType="separate"/>
      </w:r>
      <w:r>
        <w:t>49</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_Toc202451102 \h </w:instrText>
      </w:r>
      <w:r>
        <w:fldChar w:fldCharType="separate"/>
      </w:r>
      <w:r>
        <w:t>49</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4"/>
        <w:keepNext w:val="0"/>
        <w:tabs>
          <w:tab w:val="right" w:leader="dot" w:pos="7077"/>
        </w:tabs>
        <w:rPr>
          <w:rFonts w:asciiTheme="minorHAnsi" w:eastAsiaTheme="minorEastAsia" w:hAnsiTheme="minorHAnsi" w:cstheme="minorBidi"/>
          <w:b w:val="0"/>
          <w:szCs w:val="22"/>
        </w:rPr>
      </w:pPr>
      <w:r>
        <w:t>Part C</w:t>
      </w:r>
    </w:p>
    <w:p>
      <w:pPr>
        <w:pStyle w:val="TOC2"/>
        <w:keepNext w:val="0"/>
        <w:tabs>
          <w:tab w:val="right" w:leader="dot" w:pos="7077"/>
        </w:tabs>
        <w:rPr>
          <w:rFonts w:asciiTheme="minorHAnsi" w:eastAsiaTheme="minorEastAsia" w:hAnsiTheme="minorHAnsi" w:cstheme="minorBidi"/>
          <w:b w:val="0"/>
          <w:sz w:val="22"/>
          <w:szCs w:val="22"/>
        </w:rPr>
      </w:pPr>
      <w:r>
        <w:t>Schedule 2</w:t>
      </w:r>
    </w:p>
    <w:p>
      <w:pPr>
        <w:pStyle w:val="TOC4"/>
        <w:keepNext w:val="0"/>
        <w:tabs>
          <w:tab w:val="right" w:leader="dot" w:pos="7077"/>
        </w:tabs>
        <w:rPr>
          <w:rFonts w:asciiTheme="minorHAnsi" w:eastAsiaTheme="minorEastAsia" w:hAnsiTheme="minorHAnsi" w:cstheme="minorBidi"/>
          <w:b w:val="0"/>
          <w:szCs w:val="22"/>
        </w:rPr>
      </w:pPr>
      <w:r>
        <w:t>Part A</w:t>
      </w:r>
    </w:p>
    <w:p>
      <w:pPr>
        <w:pStyle w:val="TOC4"/>
        <w:keepNext w:val="0"/>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lastRenderedPageBreak/>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tab/>
        <w:t>Pigs</w:t>
      </w:r>
      <w:r>
        <w:tab/>
      </w:r>
      <w:r>
        <w:fldChar w:fldCharType="begin"/>
      </w:r>
      <w:r>
        <w:instrText xml:space="preserve"> PAGEREF _Toc202451116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_Toc202451117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_Toc202451118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_Toc202451119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_Toc202451125 \h </w:instrText>
      </w:r>
      <w:r>
        <w:fldChar w:fldCharType="separate"/>
      </w:r>
      <w:r>
        <w:t>78</w:t>
      </w:r>
      <w:r>
        <w:fldChar w:fldCharType="end"/>
      </w:r>
    </w:p>
    <w:p>
      <w:pPr>
        <w:pStyle w:val="TOC4"/>
        <w:keepNext w:val="0"/>
        <w:tabs>
          <w:tab w:val="right" w:leader="dot" w:pos="7077"/>
        </w:tabs>
        <w:rPr>
          <w:rFonts w:asciiTheme="minorHAnsi" w:eastAsiaTheme="minorEastAsia" w:hAnsiTheme="minorHAnsi" w:cstheme="minorBidi"/>
          <w:b w:val="0"/>
          <w:szCs w:val="22"/>
        </w:rPr>
      </w:pPr>
      <w:r>
        <w:t>Division 2 — Abattoir fees</w:t>
      </w:r>
    </w:p>
    <w:p>
      <w:pPr>
        <w:pStyle w:val="TOC4"/>
        <w:keepNext w:val="0"/>
        <w:tabs>
          <w:tab w:val="right" w:leader="dot" w:pos="7077"/>
        </w:tabs>
        <w:rPr>
          <w:rFonts w:asciiTheme="minorHAnsi" w:eastAsiaTheme="minorEastAsia" w:hAnsiTheme="minorHAnsi" w:cstheme="minorBidi"/>
          <w:b w:val="0"/>
          <w:szCs w:val="22"/>
        </w:rPr>
      </w:pPr>
      <w:r>
        <w:t>Division 3 — Fees for stock agent approvals and renewals</w:t>
      </w:r>
    </w:p>
    <w:p>
      <w:pPr>
        <w:pStyle w:val="TOC4"/>
        <w:keepNext w:val="0"/>
        <w:tabs>
          <w:tab w:val="right" w:leader="dot" w:pos="7077"/>
        </w:tabs>
        <w:rPr>
          <w:rFonts w:asciiTheme="minorHAnsi" w:eastAsiaTheme="minorEastAsia" w:hAnsiTheme="minorHAnsi" w:cstheme="minorBidi"/>
          <w:b w:val="0"/>
          <w:szCs w:val="22"/>
        </w:rPr>
      </w:pPr>
      <w:r>
        <w:t>Division 4 — Muchea Livestock Centre: parking permit fees</w:t>
      </w:r>
    </w:p>
    <w:p>
      <w:pPr>
        <w:pStyle w:val="TOC4"/>
        <w:keepNext w:val="0"/>
        <w:tabs>
          <w:tab w:val="right" w:leader="dot" w:pos="7077"/>
        </w:tabs>
        <w:rPr>
          <w:rFonts w:asciiTheme="minorHAnsi" w:eastAsiaTheme="minorEastAsia" w:hAnsiTheme="minorHAnsi" w:cstheme="minorBidi"/>
          <w:b w:val="0"/>
          <w:szCs w:val="22"/>
        </w:rPr>
      </w:pPr>
      <w:r>
        <w:t>Division 5 — Muchea Livestock Centre: yard fees</w:t>
      </w:r>
    </w:p>
    <w:p>
      <w:pPr>
        <w:pStyle w:val="TOC4"/>
        <w:keepNext w:val="0"/>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keepNext/>
        <w:rPr>
          <w:rFonts w:asciiTheme="minorHAnsi" w:eastAsiaTheme="minorEastAsia" w:hAnsiTheme="minorHAnsi" w:cstheme="minorBidi"/>
          <w:szCs w:val="22"/>
        </w:rPr>
      </w:pPr>
      <w:r>
        <w:tab/>
        <w:t>Compilation table</w:t>
      </w:r>
      <w:r>
        <w:tab/>
      </w:r>
      <w:r>
        <w:fldChar w:fldCharType="begin"/>
      </w:r>
      <w:r>
        <w:instrText xml:space="preserve"> PAGEREF _Toc202451132 \h </w:instrText>
      </w:r>
      <w:r>
        <w:fldChar w:fldCharType="separate"/>
      </w:r>
      <w:r>
        <w:t>82</w:t>
      </w:r>
      <w:r>
        <w:fldChar w:fldCharType="end"/>
      </w:r>
    </w:p>
    <w:p>
      <w:pPr>
        <w:pStyle w:val="TOC8"/>
        <w:keepNext/>
        <w:rPr>
          <w:rFonts w:asciiTheme="minorHAnsi" w:eastAsiaTheme="minorEastAsia" w:hAnsiTheme="minorHAnsi" w:cstheme="minorBidi"/>
          <w:szCs w:val="22"/>
        </w:rPr>
      </w:pPr>
      <w:r>
        <w:tab/>
        <w:t>Other notes</w:t>
      </w:r>
      <w:r>
        <w:tab/>
      </w:r>
      <w:r>
        <w:fldChar w:fldCharType="begin"/>
      </w:r>
      <w:r>
        <w:instrText xml:space="preserve"> PAGEREF _Toc202451133 \h </w:instrText>
      </w:r>
      <w:r>
        <w:fldChar w:fldCharType="separate"/>
      </w:r>
      <w:r>
        <w:t>86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keepNext/>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before="120" w:after="720"/>
        <w:rPr>
          <w:snapToGrid w:val="0"/>
        </w:rPr>
      </w:pPr>
      <w:r>
        <w:rPr>
          <w:snapToGrid w:val="0"/>
        </w:rPr>
        <w:lastRenderedPageBreak/>
        <w:t>Western Australian Meat Industry Authority Act 1976</w:t>
      </w:r>
    </w:p>
    <w:p>
      <w:pPr>
        <w:pStyle w:val="NameofActReg"/>
      </w:pPr>
      <w:r>
        <w:t>Western Australian Meat Industry Authority Regulations 1985</w:t>
      </w:r>
    </w:p>
    <w:p>
      <w:pPr>
        <w:pStyle w:val="Heading2"/>
        <w:pageBreakBefore w:val="0"/>
        <w:spacing w:before="240"/>
      </w:pPr>
      <w:bookmarkStart w:id="2" w:name="_Toc202444709"/>
      <w:bookmarkStart w:id="3" w:name="_Toc202445923"/>
      <w:bookmarkStart w:id="4" w:name="_Toc202451022"/>
      <w:r>
        <w:rPr>
          <w:rStyle w:val="CharPartNo"/>
        </w:rPr>
        <w:t>Part I</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202451023"/>
      <w:r>
        <w:rPr>
          <w:rStyle w:val="CharSectno"/>
        </w:rPr>
        <w:t>1</w:t>
      </w:r>
      <w:r>
        <w:rPr>
          <w:snapToGrid w:val="0"/>
        </w:rPr>
        <w:t>.</w:t>
      </w:r>
      <w:r>
        <w:rPr>
          <w:snapToGrid w:val="0"/>
        </w:rPr>
        <w:tab/>
        <w:t>Citation</w:t>
      </w:r>
      <w:bookmarkEnd w:id="5"/>
    </w:p>
    <w:p>
      <w:pPr>
        <w:pStyle w:val="Subsection"/>
        <w:rPr>
          <w:snapToGrid w:val="0"/>
        </w:rPr>
      </w:pPr>
      <w:r>
        <w:rPr>
          <w:snapToGrid w:val="0"/>
        </w:rPr>
        <w:tab/>
      </w:r>
      <w:r>
        <w:rPr>
          <w:snapToGrid w:val="0"/>
        </w:rPr>
        <w:tab/>
        <w:t xml:space="preserve">These regulations may be cited as the </w:t>
      </w:r>
      <w:r>
        <w:rPr>
          <w:i/>
          <w:snapToGrid w:val="0"/>
        </w:rPr>
        <w:t>Western Australian Meat Industry Authority Regulations 1985</w:t>
      </w:r>
      <w:r>
        <w:rPr>
          <w:snapToGrid w:val="0"/>
        </w:rPr>
        <w:t>.</w:t>
      </w:r>
    </w:p>
    <w:p>
      <w:pPr>
        <w:pStyle w:val="Heading5"/>
        <w:rPr>
          <w:snapToGrid w:val="0"/>
        </w:rPr>
      </w:pPr>
      <w:bookmarkStart w:id="6" w:name="_Toc202451024"/>
      <w:r>
        <w:rPr>
          <w:rStyle w:val="CharSectno"/>
        </w:rPr>
        <w:t>2</w:t>
      </w:r>
      <w:r>
        <w:rPr>
          <w:snapToGrid w:val="0"/>
        </w:rPr>
        <w:t>.</w:t>
      </w:r>
      <w:r>
        <w:rPr>
          <w:snapToGrid w:val="0"/>
        </w:rPr>
        <w:tab/>
        <w:t>Commencement</w:t>
      </w:r>
      <w:bookmarkEnd w:id="6"/>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p>
    <w:p>
      <w:pPr>
        <w:pStyle w:val="Heading5"/>
        <w:rPr>
          <w:snapToGrid w:val="0"/>
        </w:rPr>
      </w:pPr>
      <w:bookmarkStart w:id="7" w:name="_Toc202451025"/>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tab/>
      </w:r>
      <w:r>
        <w:rPr>
          <w:rStyle w:val="CharDefText"/>
        </w:rPr>
        <w:t>lamb</w:t>
      </w:r>
      <w:r>
        <w:t xml:space="preserve"> means a sheep that — </w:t>
      </w:r>
    </w:p>
    <w:p>
      <w:pPr>
        <w:pStyle w:val="Defpara"/>
      </w:pPr>
      <w:r>
        <w:tab/>
        <w:t>(a)</w:t>
      </w:r>
      <w:r>
        <w:tab/>
        <w:t>is under 12 months old; or</w:t>
      </w:r>
    </w:p>
    <w:p>
      <w:pPr>
        <w:pStyle w:val="Defpara"/>
      </w:pPr>
      <w:r>
        <w:tab/>
        <w:t>(b)</w:t>
      </w:r>
      <w:r>
        <w:tab/>
        <w:t>does not have any permanent incisor teeth in wear;</w:t>
      </w:r>
    </w:p>
    <w:p>
      <w:pPr>
        <w:pStyle w:val="Defstart"/>
      </w:pPr>
      <w:r>
        <w:rPr>
          <w:b/>
        </w:rPr>
        <w:lastRenderedPageBreak/>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Gazette 23 Aug 1985 p. 3038; 27 May 1988 p. 1793; 2 Feb 1996 p. 389; 2 Sep 1997 p. 4962; 30 Apr 2010 p. 1600; 30 Jun 2010 p. 3127; 6 Dec 2011 p. 5155; 10 Jan 2017 p. 171; 14 Jun 2019 p. 1881.]</w:t>
      </w:r>
    </w:p>
    <w:p>
      <w:pPr>
        <w:pStyle w:val="Heading2"/>
      </w:pPr>
      <w:bookmarkStart w:id="8" w:name="_Toc202444713"/>
      <w:bookmarkStart w:id="9" w:name="_Toc202445927"/>
      <w:bookmarkStart w:id="10" w:name="_Toc202451026"/>
      <w:r>
        <w:rPr>
          <w:rStyle w:val="CharPartNo"/>
        </w:rPr>
        <w:lastRenderedPageBreak/>
        <w:t>Part II</w:t>
      </w:r>
      <w:r>
        <w:rPr>
          <w:rStyle w:val="CharDivNo"/>
        </w:rPr>
        <w:t> </w:t>
      </w:r>
      <w:r>
        <w:t>—</w:t>
      </w:r>
      <w:r>
        <w:rPr>
          <w:rStyle w:val="CharDivText"/>
        </w:rPr>
        <w:t> </w:t>
      </w:r>
      <w:r>
        <w:rPr>
          <w:rStyle w:val="CharPartText"/>
        </w:rPr>
        <w:t>Inspectors</w:t>
      </w:r>
      <w:bookmarkEnd w:id="8"/>
      <w:bookmarkEnd w:id="9"/>
      <w:bookmarkEnd w:id="10"/>
    </w:p>
    <w:p>
      <w:pPr>
        <w:pStyle w:val="Heading5"/>
        <w:rPr>
          <w:snapToGrid w:val="0"/>
        </w:rPr>
      </w:pPr>
      <w:bookmarkStart w:id="11" w:name="_Toc202451027"/>
      <w:r>
        <w:rPr>
          <w:rStyle w:val="CharSectno"/>
        </w:rPr>
        <w:t>4</w:t>
      </w:r>
      <w:r>
        <w:rPr>
          <w:snapToGrid w:val="0"/>
        </w:rPr>
        <w:t>.</w:t>
      </w:r>
      <w:r>
        <w:rPr>
          <w:snapToGrid w:val="0"/>
        </w:rPr>
        <w:tab/>
        <w:t>Inspectors</w:t>
      </w:r>
      <w:bookmarkEnd w:id="11"/>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Gazette 12 Jul 1991 p. 3411 (disallowed: Gazette 25 Oct 1991 p. 5499); 6 Dec 2011 p. 5156.]</w:t>
      </w:r>
    </w:p>
    <w:p>
      <w:pPr>
        <w:pStyle w:val="Heading2"/>
      </w:pPr>
      <w:bookmarkStart w:id="12" w:name="_Toc202444715"/>
      <w:bookmarkStart w:id="13" w:name="_Toc202445929"/>
      <w:bookmarkStart w:id="14" w:name="_Toc202451028"/>
      <w:r>
        <w:rPr>
          <w:rStyle w:val="CharPartNo"/>
        </w:rPr>
        <w:lastRenderedPageBreak/>
        <w:t>Part III</w:t>
      </w:r>
      <w:r>
        <w:rPr>
          <w:rStyle w:val="CharDivNo"/>
        </w:rPr>
        <w:t> </w:t>
      </w:r>
      <w:r>
        <w:t>—</w:t>
      </w:r>
      <w:r>
        <w:rPr>
          <w:rStyle w:val="CharDivText"/>
        </w:rPr>
        <w:t> </w:t>
      </w:r>
      <w:r>
        <w:rPr>
          <w:rStyle w:val="CharPartText"/>
        </w:rPr>
        <w:t>Branding of carcases</w:t>
      </w:r>
      <w:bookmarkEnd w:id="12"/>
      <w:bookmarkEnd w:id="13"/>
      <w:bookmarkEnd w:id="14"/>
    </w:p>
    <w:p>
      <w:pPr>
        <w:pStyle w:val="Heading5"/>
        <w:spacing w:before="240"/>
        <w:rPr>
          <w:snapToGrid w:val="0"/>
        </w:rPr>
      </w:pPr>
      <w:bookmarkStart w:id="15" w:name="_Toc202451029"/>
      <w:r>
        <w:rPr>
          <w:rStyle w:val="CharSectno"/>
        </w:rPr>
        <w:t>5</w:t>
      </w:r>
      <w:r>
        <w:rPr>
          <w:snapToGrid w:val="0"/>
        </w:rPr>
        <w:t>.</w:t>
      </w:r>
      <w:r>
        <w:rPr>
          <w:snapToGrid w:val="0"/>
        </w:rPr>
        <w:tab/>
        <w:t>Recording of information</w:t>
      </w:r>
      <w:bookmarkEnd w:id="15"/>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Gazette 17 Jun 1994 p. 2504; 6 Dec 2011 p. 5156; SL 2022/21 r. 6.]</w:t>
      </w:r>
    </w:p>
    <w:p>
      <w:pPr>
        <w:pStyle w:val="Heading5"/>
        <w:spacing w:before="240"/>
        <w:rPr>
          <w:snapToGrid w:val="0"/>
        </w:rPr>
      </w:pPr>
      <w:bookmarkStart w:id="16" w:name="_Toc202451030"/>
      <w:r>
        <w:rPr>
          <w:rStyle w:val="CharSectno"/>
        </w:rPr>
        <w:t>6</w:t>
      </w:r>
      <w:r>
        <w:rPr>
          <w:snapToGrid w:val="0"/>
        </w:rPr>
        <w:t>.</w:t>
      </w:r>
      <w:r>
        <w:rPr>
          <w:snapToGrid w:val="0"/>
        </w:rPr>
        <w:tab/>
        <w:t>Branding devices</w:t>
      </w:r>
      <w:bookmarkEnd w:id="16"/>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lastRenderedPageBreak/>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6 amended: Gazette 6 Dec 2011 p. 5156; SL 2022/21 r. 6.]</w:t>
      </w:r>
    </w:p>
    <w:p>
      <w:pPr>
        <w:pStyle w:val="Heading5"/>
        <w:spacing w:before="240"/>
        <w:rPr>
          <w:snapToGrid w:val="0"/>
        </w:rPr>
      </w:pPr>
      <w:bookmarkStart w:id="17" w:name="_Toc202451031"/>
      <w:r>
        <w:rPr>
          <w:rStyle w:val="CharSectno"/>
        </w:rPr>
        <w:t>7</w:t>
      </w:r>
      <w:r>
        <w:rPr>
          <w:snapToGrid w:val="0"/>
        </w:rPr>
        <w:t>.</w:t>
      </w:r>
      <w:r>
        <w:rPr>
          <w:snapToGrid w:val="0"/>
        </w:rPr>
        <w:tab/>
        <w:t>Application of brand</w:t>
      </w:r>
      <w:bookmarkEnd w:id="17"/>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Gazette 6 Dec 2011 p. 5156.]</w:t>
      </w:r>
    </w:p>
    <w:p>
      <w:pPr>
        <w:pStyle w:val="Heading5"/>
        <w:spacing w:before="240"/>
        <w:rPr>
          <w:snapToGrid w:val="0"/>
        </w:rPr>
      </w:pPr>
      <w:bookmarkStart w:id="18" w:name="_Toc202451032"/>
      <w:r>
        <w:rPr>
          <w:rStyle w:val="CharSectno"/>
        </w:rPr>
        <w:t>8</w:t>
      </w:r>
      <w:r>
        <w:rPr>
          <w:snapToGrid w:val="0"/>
        </w:rPr>
        <w:t>.</w:t>
      </w:r>
      <w:r>
        <w:rPr>
          <w:snapToGrid w:val="0"/>
        </w:rPr>
        <w:tab/>
        <w:t>Appearance of brand</w:t>
      </w:r>
      <w:bookmarkEnd w:id="18"/>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ind w:left="890" w:hanging="890"/>
      </w:pPr>
      <w:r>
        <w:tab/>
        <w:t>[Regulation 8 amended: Gazette 6 Dec 2011 p. 5156; SL 2022/21 r. 6.]</w:t>
      </w:r>
    </w:p>
    <w:p>
      <w:pPr>
        <w:pStyle w:val="Heading5"/>
        <w:spacing w:before="240"/>
        <w:rPr>
          <w:snapToGrid w:val="0"/>
        </w:rPr>
      </w:pPr>
      <w:bookmarkStart w:id="19" w:name="_Toc202451033"/>
      <w:r>
        <w:rPr>
          <w:rStyle w:val="CharSectno"/>
        </w:rPr>
        <w:lastRenderedPageBreak/>
        <w:t>9</w:t>
      </w:r>
      <w:r>
        <w:rPr>
          <w:snapToGrid w:val="0"/>
        </w:rPr>
        <w:t>.</w:t>
      </w:r>
      <w:r>
        <w:rPr>
          <w:snapToGrid w:val="0"/>
        </w:rPr>
        <w:tab/>
        <w:t>Interference with brand</w:t>
      </w:r>
      <w:bookmarkEnd w:id="19"/>
    </w:p>
    <w:p>
      <w:pPr>
        <w:pStyle w:val="Subsection"/>
        <w:rPr>
          <w:spacing w:val="4"/>
        </w:rPr>
      </w:pPr>
      <w:r>
        <w:tab/>
      </w:r>
      <w:r>
        <w:tab/>
      </w:r>
      <w:r>
        <w:rPr>
          <w:spacing w:val="4"/>
        </w:rPr>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Gazette 6 Dec 2011 p. 5156.]</w:t>
      </w:r>
    </w:p>
    <w:p>
      <w:pPr>
        <w:pStyle w:val="Heading5"/>
        <w:rPr>
          <w:snapToGrid w:val="0"/>
        </w:rPr>
      </w:pPr>
      <w:bookmarkStart w:id="20" w:name="_Toc202451034"/>
      <w:r>
        <w:rPr>
          <w:rStyle w:val="CharSectno"/>
        </w:rPr>
        <w:t>10</w:t>
      </w:r>
      <w:r>
        <w:rPr>
          <w:snapToGrid w:val="0"/>
        </w:rPr>
        <w:t>.</w:t>
      </w:r>
      <w:r>
        <w:rPr>
          <w:snapToGrid w:val="0"/>
        </w:rPr>
        <w:tab/>
        <w:t>Inspection of imported carcases</w:t>
      </w:r>
      <w:bookmarkEnd w:id="20"/>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Gazette 6 Dec 2011 p. 5156; 10 Jan 2017 p. 171.]</w:t>
      </w:r>
    </w:p>
    <w:p>
      <w:pPr>
        <w:pStyle w:val="Heading5"/>
        <w:rPr>
          <w:snapToGrid w:val="0"/>
        </w:rPr>
      </w:pPr>
      <w:bookmarkStart w:id="21" w:name="_Toc202451035"/>
      <w:r>
        <w:rPr>
          <w:rStyle w:val="CharSectno"/>
        </w:rPr>
        <w:t>11</w:t>
      </w:r>
      <w:r>
        <w:rPr>
          <w:snapToGrid w:val="0"/>
        </w:rPr>
        <w:t>.</w:t>
      </w:r>
      <w:r>
        <w:rPr>
          <w:snapToGrid w:val="0"/>
        </w:rPr>
        <w:tab/>
        <w:t>Lamb — prescribed characteristics and brand</w:t>
      </w:r>
      <w:bookmarkEnd w:id="21"/>
    </w:p>
    <w:p>
      <w:pPr>
        <w:pStyle w:val="Subsection"/>
      </w:pPr>
      <w:r>
        <w:tab/>
        <w:t>(1)</w:t>
      </w:r>
      <w:r>
        <w:tab/>
        <w:t xml:space="preserve">The prescribed characteristics of a carcase that is to be branded as lamb are that the carcase is of a sheep that — </w:t>
      </w:r>
    </w:p>
    <w:p>
      <w:pPr>
        <w:pStyle w:val="Indenta"/>
      </w:pPr>
      <w:r>
        <w:tab/>
        <w:t>(a)</w:t>
      </w:r>
      <w:r>
        <w:tab/>
        <w:t>is under 12 months old; or</w:t>
      </w:r>
    </w:p>
    <w:p>
      <w:pPr>
        <w:pStyle w:val="Indenta"/>
      </w:pPr>
      <w:r>
        <w:tab/>
        <w:t>(b)</w:t>
      </w:r>
      <w:r>
        <w:tab/>
        <w:t>does not have any permanent incisor teeth in wear.</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lastRenderedPageBreak/>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rPr>
          <w:snapToGrid w:val="0"/>
        </w:rPr>
      </w:pPr>
      <w:r>
        <w:tab/>
        <w:t>(2A)</w:t>
      </w:r>
      <w:r>
        <w:tab/>
        <w:t xml:space="preserve">Before branding </w:t>
      </w:r>
      <w:r>
        <w:rPr>
          <w:snapToGrid w:val="0"/>
        </w:rPr>
        <w:t>any carcase as lamb under subregulation (2) the owner must ensure that the fatness of the carcase has been determined by or under the supervision of an inspector in accordance with the following tissue depths at a site over the 12</w:t>
      </w:r>
      <w:r>
        <w:rPr>
          <w:snapToGrid w:val="0"/>
          <w:vertAlign w:val="superscript"/>
        </w:rPr>
        <w:t>th</w:t>
      </w:r>
      <w:r>
        <w:rPr>
          <w:snapToGrid w:val="0"/>
        </w:rPr>
        <w:t xml:space="preserve">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noWrap/>
          </w:tcPr>
          <w:p>
            <w:pPr>
              <w:pStyle w:val="TableNAm"/>
              <w:rPr>
                <w:b/>
                <w:snapToGrid w:val="0"/>
              </w:rPr>
            </w:pPr>
            <w:r>
              <w:rPr>
                <w:b/>
                <w:snapToGrid w:val="0"/>
              </w:rPr>
              <w:t>Fat class</w:t>
            </w:r>
          </w:p>
        </w:tc>
        <w:tc>
          <w:tcPr>
            <w:tcW w:w="2552" w:type="dxa"/>
            <w:noWrap/>
          </w:tcPr>
          <w:p>
            <w:pPr>
              <w:pStyle w:val="TableNAm"/>
              <w:rPr>
                <w:b/>
                <w:snapToGrid w:val="0"/>
              </w:rPr>
            </w:pPr>
            <w:r>
              <w:rPr>
                <w:b/>
                <w:snapToGrid w:val="0"/>
              </w:rPr>
              <w:t>Tissue depth (mm)</w:t>
            </w:r>
          </w:p>
        </w:tc>
      </w:tr>
      <w:tr>
        <w:tc>
          <w:tcPr>
            <w:tcW w:w="1843" w:type="dxa"/>
            <w:noWrap/>
          </w:tcPr>
          <w:p>
            <w:pPr>
              <w:pStyle w:val="TableNAm"/>
              <w:rPr>
                <w:snapToGrid w:val="0"/>
              </w:rPr>
            </w:pPr>
            <w:r>
              <w:rPr>
                <w:snapToGrid w:val="0"/>
              </w:rPr>
              <w:t>1</w:t>
            </w:r>
          </w:p>
        </w:tc>
        <w:tc>
          <w:tcPr>
            <w:tcW w:w="2552" w:type="dxa"/>
            <w:noWrap/>
          </w:tcPr>
          <w:p>
            <w:pPr>
              <w:pStyle w:val="TableNAm"/>
              <w:rPr>
                <w:snapToGrid w:val="0"/>
              </w:rPr>
            </w:pPr>
            <w:r>
              <w:rPr>
                <w:snapToGrid w:val="0"/>
              </w:rPr>
              <w:t>up to 5</w:t>
            </w:r>
          </w:p>
        </w:tc>
      </w:tr>
      <w:tr>
        <w:tc>
          <w:tcPr>
            <w:tcW w:w="1843" w:type="dxa"/>
            <w:noWrap/>
          </w:tcPr>
          <w:p>
            <w:pPr>
              <w:pStyle w:val="TableNAm"/>
              <w:rPr>
                <w:snapToGrid w:val="0"/>
              </w:rPr>
            </w:pPr>
            <w:r>
              <w:rPr>
                <w:snapToGrid w:val="0"/>
              </w:rPr>
              <w:t>2</w:t>
            </w:r>
          </w:p>
        </w:tc>
        <w:tc>
          <w:tcPr>
            <w:tcW w:w="2552" w:type="dxa"/>
            <w:noWrap/>
          </w:tcPr>
          <w:p>
            <w:pPr>
              <w:pStyle w:val="TableNAm"/>
              <w:rPr>
                <w:snapToGrid w:val="0"/>
              </w:rPr>
            </w:pPr>
            <w:r>
              <w:rPr>
                <w:snapToGrid w:val="0"/>
              </w:rPr>
              <w:t>over 5 and up to 10</w:t>
            </w:r>
          </w:p>
        </w:tc>
      </w:tr>
      <w:tr>
        <w:tc>
          <w:tcPr>
            <w:tcW w:w="1843" w:type="dxa"/>
            <w:noWrap/>
          </w:tcPr>
          <w:p>
            <w:pPr>
              <w:pStyle w:val="TableNAm"/>
              <w:rPr>
                <w:snapToGrid w:val="0"/>
              </w:rPr>
            </w:pPr>
            <w:r>
              <w:rPr>
                <w:snapToGrid w:val="0"/>
              </w:rPr>
              <w:t>3</w:t>
            </w:r>
          </w:p>
        </w:tc>
        <w:tc>
          <w:tcPr>
            <w:tcW w:w="2552" w:type="dxa"/>
            <w:noWrap/>
          </w:tcPr>
          <w:p>
            <w:pPr>
              <w:pStyle w:val="TableNAm"/>
              <w:rPr>
                <w:snapToGrid w:val="0"/>
              </w:rPr>
            </w:pPr>
            <w:r>
              <w:rPr>
                <w:snapToGrid w:val="0"/>
              </w:rPr>
              <w:t>over 10 and up to 15</w:t>
            </w:r>
          </w:p>
        </w:tc>
      </w:tr>
      <w:tr>
        <w:tc>
          <w:tcPr>
            <w:tcW w:w="1843" w:type="dxa"/>
            <w:noWrap/>
          </w:tcPr>
          <w:p>
            <w:pPr>
              <w:pStyle w:val="TableNAm"/>
              <w:rPr>
                <w:snapToGrid w:val="0"/>
              </w:rPr>
            </w:pPr>
            <w:r>
              <w:rPr>
                <w:snapToGrid w:val="0"/>
              </w:rPr>
              <w:t>4</w:t>
            </w:r>
          </w:p>
        </w:tc>
        <w:tc>
          <w:tcPr>
            <w:tcW w:w="2552" w:type="dxa"/>
            <w:noWrap/>
          </w:tcPr>
          <w:p>
            <w:pPr>
              <w:pStyle w:val="TableNAm"/>
              <w:rPr>
                <w:snapToGrid w:val="0"/>
              </w:rPr>
            </w:pPr>
            <w:r>
              <w:rPr>
                <w:snapToGrid w:val="0"/>
              </w:rPr>
              <w:t>over 15 and up to 20</w:t>
            </w:r>
          </w:p>
        </w:tc>
      </w:tr>
      <w:tr>
        <w:tc>
          <w:tcPr>
            <w:tcW w:w="1843" w:type="dxa"/>
            <w:noWrap/>
          </w:tcPr>
          <w:p>
            <w:pPr>
              <w:pStyle w:val="TableNAm"/>
              <w:rPr>
                <w:snapToGrid w:val="0"/>
              </w:rPr>
            </w:pPr>
            <w:r>
              <w:rPr>
                <w:snapToGrid w:val="0"/>
              </w:rPr>
              <w:t>5</w:t>
            </w:r>
          </w:p>
        </w:tc>
        <w:tc>
          <w:tcPr>
            <w:tcW w:w="2552" w:type="dxa"/>
            <w:noWrap/>
          </w:tcPr>
          <w:p>
            <w:pPr>
              <w:pStyle w:val="TableNAm"/>
              <w:rPr>
                <w:snapToGrid w:val="0"/>
              </w:rPr>
            </w:pPr>
            <w:r>
              <w:rPr>
                <w:snapToGrid w:val="0"/>
              </w:rPr>
              <w:t>over 20</w:t>
            </w:r>
          </w:p>
        </w:tc>
      </w:tr>
    </w:tbl>
    <w:p>
      <w:pPr>
        <w:pStyle w:val="Penstart"/>
        <w:rPr>
          <w:snapToGrid w:val="0"/>
        </w:rPr>
      </w:pPr>
      <w:r>
        <w:rPr>
          <w:snapToGrid w:val="0"/>
        </w:rPr>
        <w:tab/>
        <w:t xml:space="preserve">Penalty for this subregulation: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pPr>
      <w:r>
        <w:tab/>
        <w:t>(a)</w:t>
      </w:r>
      <w:r>
        <w:tab/>
        <w:t xml:space="preserve">that the carcase is of a sheep that — </w:t>
      </w:r>
    </w:p>
    <w:p>
      <w:pPr>
        <w:pStyle w:val="Indenti"/>
      </w:pPr>
      <w:r>
        <w:tab/>
        <w:t>(i)</w:t>
      </w:r>
      <w:r>
        <w:tab/>
        <w:t>is under 12 months old; or</w:t>
      </w:r>
    </w:p>
    <w:p>
      <w:pPr>
        <w:pStyle w:val="Indenti"/>
      </w:pPr>
      <w:r>
        <w:lastRenderedPageBreak/>
        <w:tab/>
        <w:t>(ii)</w:t>
      </w:r>
      <w:r>
        <w:tab/>
        <w:t>does not have any permanent incisor teeth in wear;</w:t>
      </w:r>
    </w:p>
    <w:p>
      <w:pPr>
        <w:pStyle w:val="Indenta"/>
      </w:pPr>
      <w:r>
        <w:tab/>
      </w:r>
      <w:r>
        <w:tab/>
        <w:t>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keepNext/>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Gazette 27 May 1988 p. 1793; 17 Jun 1994 p. 2504</w:t>
      </w:r>
      <w:r>
        <w:noBreakHyphen/>
        <w:t>5; 17 Oct 2003 p. 4435; 6 Dec 2011 p. 5156; 14 Jun 2019 p. 1882; SL 2021/171 r. 4; SL 2022/21 r. 4 and 6.]</w:t>
      </w:r>
    </w:p>
    <w:p>
      <w:pPr>
        <w:pStyle w:val="Heading5"/>
        <w:rPr>
          <w:snapToGrid w:val="0"/>
        </w:rPr>
      </w:pPr>
      <w:bookmarkStart w:id="22" w:name="_Toc202451036"/>
      <w:r>
        <w:rPr>
          <w:rStyle w:val="CharSectno"/>
        </w:rPr>
        <w:lastRenderedPageBreak/>
        <w:t>12</w:t>
      </w:r>
      <w:r>
        <w:rPr>
          <w:snapToGrid w:val="0"/>
        </w:rPr>
        <w:t>.</w:t>
      </w:r>
      <w:r>
        <w:rPr>
          <w:snapToGrid w:val="0"/>
        </w:rPr>
        <w:tab/>
        <w:t>Lamb slaughtered for export</w:t>
      </w:r>
      <w:bookmarkEnd w:id="22"/>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Gazette 23 Aug 1985 p. 3038.]</w:t>
      </w:r>
    </w:p>
    <w:p>
      <w:pPr>
        <w:pStyle w:val="Heading5"/>
        <w:rPr>
          <w:snapToGrid w:val="0"/>
        </w:rPr>
      </w:pPr>
      <w:bookmarkStart w:id="23" w:name="_Toc202451037"/>
      <w:r>
        <w:rPr>
          <w:rStyle w:val="CharSectno"/>
        </w:rPr>
        <w:t>13</w:t>
      </w:r>
      <w:r>
        <w:rPr>
          <w:snapToGrid w:val="0"/>
        </w:rPr>
        <w:t>.</w:t>
      </w:r>
      <w:r>
        <w:rPr>
          <w:snapToGrid w:val="0"/>
        </w:rPr>
        <w:tab/>
        <w:t>Hogget — prescribed characteristics and brand</w:t>
      </w:r>
      <w:bookmarkEnd w:id="23"/>
    </w:p>
    <w:p>
      <w:pPr>
        <w:pStyle w:val="Subsection"/>
      </w:pPr>
      <w:r>
        <w:tab/>
        <w:t>(1)</w:t>
      </w:r>
      <w:r>
        <w:tab/>
        <w:t xml:space="preserve">The prescribed characteristics of a carcase that is to be branded as hogget are that the carcase — </w:t>
      </w:r>
    </w:p>
    <w:p>
      <w:pPr>
        <w:pStyle w:val="Indenta"/>
      </w:pPr>
      <w:r>
        <w:tab/>
        <w:t>(a)</w:t>
      </w:r>
      <w:r>
        <w:tab/>
        <w:t xml:space="preserve">either — </w:t>
      </w:r>
    </w:p>
    <w:p>
      <w:pPr>
        <w:pStyle w:val="Indenti"/>
      </w:pPr>
      <w:r>
        <w:tab/>
        <w:t>(i)</w:t>
      </w:r>
      <w:r>
        <w:tab/>
        <w:t>is of a female sheep that has 1 but no more than 2 permanent incisor teeth in wear; or</w:t>
      </w:r>
    </w:p>
    <w:p>
      <w:pPr>
        <w:pStyle w:val="Indenti"/>
      </w:pPr>
      <w:r>
        <w:lastRenderedPageBreak/>
        <w:tab/>
        <w:t>(ii)</w:t>
      </w:r>
      <w:r>
        <w:tab/>
        <w:t xml:space="preserve">is of a castrate male sheep that — </w:t>
      </w:r>
    </w:p>
    <w:p>
      <w:pPr>
        <w:pStyle w:val="IndentI0"/>
      </w:pPr>
      <w:r>
        <w:tab/>
        <w:t>(I)</w:t>
      </w:r>
      <w:r>
        <w:tab/>
        <w:t>has 1 but no more than 2 permanent incisor teeth in wear; and</w:t>
      </w:r>
    </w:p>
    <w:p>
      <w:pPr>
        <w:pStyle w:val="IndentI0"/>
      </w:pPr>
      <w:r>
        <w:tab/>
        <w:t>(II)</w:t>
      </w:r>
      <w:r>
        <w:tab/>
        <w:t>shows no evidence of secondary sexual characteristics;</w:t>
      </w:r>
    </w:p>
    <w:p>
      <w:pPr>
        <w:pStyle w:val="Indenta"/>
      </w:pPr>
      <w:r>
        <w:tab/>
      </w:r>
      <w:r>
        <w:tab/>
        <w:t>and</w:t>
      </w:r>
    </w:p>
    <w:p>
      <w:pPr>
        <w:pStyle w:val="Indenta"/>
      </w:pPr>
      <w:r>
        <w:tab/>
        <w:t>(b)</w:t>
      </w:r>
      <w: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pPr>
      <w:r>
        <w:tab/>
        <w:t>(a)</w:t>
      </w:r>
      <w:r>
        <w:tab/>
        <w:t xml:space="preserve">by or under the supervision of an inspector, the carcase has been — </w:t>
      </w:r>
    </w:p>
    <w:p>
      <w:pPr>
        <w:pStyle w:val="Indenti"/>
      </w:pPr>
      <w:r>
        <w:tab/>
        <w:t>(i)</w:t>
      </w:r>
      <w:r>
        <w:tab/>
        <w:t>mouthed; and</w:t>
      </w:r>
    </w:p>
    <w:p>
      <w:pPr>
        <w:pStyle w:val="Indenti"/>
      </w:pPr>
      <w:r>
        <w:tab/>
        <w:t>(ii)</w:t>
      </w:r>
      <w:r>
        <w:tab/>
        <w:t>if it is the carcase of a castrate male sheep, inspected for evidence of secondary sexual characteristics;</w:t>
      </w:r>
    </w:p>
    <w:p>
      <w:pPr>
        <w:pStyle w:val="Indenta"/>
      </w:pPr>
      <w:r>
        <w:tab/>
      </w:r>
      <w:r>
        <w:tab/>
        <w:t>and</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rPr>
          <w:tblHeader/>
        </w:trPr>
        <w:tc>
          <w:tcPr>
            <w:tcW w:w="1843" w:type="dxa"/>
          </w:tcPr>
          <w:p>
            <w:pPr>
              <w:pStyle w:val="Table"/>
              <w:rPr>
                <w:b/>
                <w:snapToGrid w:val="0"/>
              </w:rPr>
            </w:pPr>
            <w:r>
              <w:rPr>
                <w:b/>
                <w:snapToGrid w:val="0"/>
              </w:rPr>
              <w:lastRenderedPageBreak/>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lastRenderedPageBreak/>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Gazette 23 Aug 1985 p. 3038; 27 May 1988 p. 1793; 23 Aug 2005 p. 3907; 6 Dec 2011 p. 5156; 14 Jun 2019 p. 1882</w:t>
      </w:r>
      <w:r>
        <w:noBreakHyphen/>
        <w:t>3; SL 2022/21 r. 6.]</w:t>
      </w:r>
    </w:p>
    <w:p>
      <w:pPr>
        <w:pStyle w:val="Heading5"/>
        <w:rPr>
          <w:snapToGrid w:val="0"/>
        </w:rPr>
      </w:pPr>
      <w:bookmarkStart w:id="24" w:name="_Toc202451038"/>
      <w:r>
        <w:rPr>
          <w:rStyle w:val="CharSectno"/>
        </w:rPr>
        <w:t>14</w:t>
      </w:r>
      <w:r>
        <w:rPr>
          <w:snapToGrid w:val="0"/>
        </w:rPr>
        <w:t xml:space="preserve">. </w:t>
      </w:r>
      <w:r>
        <w:rPr>
          <w:snapToGrid w:val="0"/>
        </w:rPr>
        <w:tab/>
        <w:t>“Tender Gold” beef — prescribed characteristics and brand</w:t>
      </w:r>
      <w:bookmarkEnd w:id="2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lastRenderedPageBreak/>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 xml:space="preserve">the sex of the animal has been determined by or under the supervision of an inspector and in the case of castrate </w:t>
      </w:r>
      <w:r>
        <w:rPr>
          <w:snapToGrid w:val="0"/>
        </w:rPr>
        <w:lastRenderedPageBreak/>
        <w:t>or entire males the carcase does not exhibit secondary sexual characteristics.</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Subsection"/>
        <w:keepNext/>
        <w:rPr>
          <w:snapToGrid w:val="0"/>
        </w:rPr>
      </w:pPr>
      <w:r>
        <w:rPr>
          <w:snapToGrid w:val="0"/>
        </w:rPr>
        <w:tab/>
        <w:t>(4)</w:t>
      </w:r>
      <w:r>
        <w:rPr>
          <w:snapToGrid w:val="0"/>
        </w:rPr>
        <w:tab/>
      </w:r>
      <w:r>
        <w:rPr>
          <w:snapToGrid w:val="0"/>
          <w:spacing w:val="-4"/>
        </w:rPr>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lastRenderedPageBreak/>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Gazette 14 Jun 1985 p. 2172); amended: Gazette 27 May 1988 p. 1793</w:t>
      </w:r>
      <w:r>
        <w:noBreakHyphen/>
        <w:t>4; 2 Feb 1996 p. 390; 6 Dec 2011 p. 5156; SL 2022/21 r. 6.]</w:t>
      </w:r>
    </w:p>
    <w:p>
      <w:pPr>
        <w:pStyle w:val="Heading5"/>
        <w:rPr>
          <w:snapToGrid w:val="0"/>
        </w:rPr>
      </w:pPr>
      <w:bookmarkStart w:id="25" w:name="_Toc202451039"/>
      <w:r>
        <w:rPr>
          <w:rStyle w:val="CharSectno"/>
        </w:rPr>
        <w:t>14A</w:t>
      </w:r>
      <w:r>
        <w:rPr>
          <w:snapToGrid w:val="0"/>
        </w:rPr>
        <w:t>.</w:t>
      </w:r>
      <w:r>
        <w:rPr>
          <w:snapToGrid w:val="0"/>
        </w:rPr>
        <w:tab/>
        <w:t>“Lot Fed” beef — prescribed characteristics and brand</w:t>
      </w:r>
      <w:bookmarkEnd w:id="25"/>
    </w:p>
    <w:p>
      <w:pPr>
        <w:pStyle w:val="Subsection"/>
        <w:rPr>
          <w:snapToGrid w:val="0"/>
        </w:rPr>
      </w:pPr>
      <w:r>
        <w:rPr>
          <w:snapToGrid w:val="0"/>
        </w:rPr>
        <w:tab/>
        <w:t>(1)</w:t>
      </w:r>
      <w:r>
        <w:rPr>
          <w:snapToGrid w:val="0"/>
        </w:rPr>
        <w:tab/>
        <w:t>A carcase of beef has the prescribed characteristics of “Lot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lastRenderedPageBreak/>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 xml:space="preserve">the fatness of the carcase has been determined by or under the supervision of an inspector by measuring the subcutaneous fat depth at the point of intersection of a </w:t>
      </w:r>
      <w:r>
        <w:rPr>
          <w:snapToGrid w:val="0"/>
        </w:rPr>
        <w:lastRenderedPageBreak/>
        <w:t>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lastRenderedPageBreak/>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 xml:space="preserve">Where a carcase referred to in subregulation (4) and accompanied by a certificate referred to in that subregulation is </w:t>
      </w:r>
      <w:r>
        <w:rPr>
          <w:snapToGrid w:val="0"/>
        </w:rPr>
        <w:lastRenderedPageBreak/>
        <w:t>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Gazette 23 May 1986 p. 1740</w:t>
      </w:r>
      <w:r>
        <w:noBreakHyphen/>
        <w:t>1; amended: Gazette 27 May 1988 p. 1794</w:t>
      </w:r>
      <w:r>
        <w:noBreakHyphen/>
        <w:t>5; 2 Feb 1996 p. 390.]</w:t>
      </w:r>
    </w:p>
    <w:p>
      <w:pPr>
        <w:pStyle w:val="Heading2"/>
      </w:pPr>
      <w:bookmarkStart w:id="26" w:name="_Toc202444727"/>
      <w:bookmarkStart w:id="27" w:name="_Toc202445941"/>
      <w:bookmarkStart w:id="28" w:name="_Toc202451040"/>
      <w:r>
        <w:rPr>
          <w:rStyle w:val="CharPartNo"/>
        </w:rPr>
        <w:lastRenderedPageBreak/>
        <w:t>Part IV</w:t>
      </w:r>
      <w:r>
        <w:rPr>
          <w:rStyle w:val="CharDivNo"/>
        </w:rPr>
        <w:t> </w:t>
      </w:r>
      <w:r>
        <w:t>—</w:t>
      </w:r>
      <w:r>
        <w:rPr>
          <w:rStyle w:val="CharDivText"/>
        </w:rPr>
        <w:t> </w:t>
      </w:r>
      <w:r>
        <w:rPr>
          <w:rStyle w:val="CharPartText"/>
        </w:rPr>
        <w:t>Standard carcases</w:t>
      </w:r>
      <w:bookmarkEnd w:id="26"/>
      <w:bookmarkEnd w:id="27"/>
      <w:bookmarkEnd w:id="28"/>
    </w:p>
    <w:p>
      <w:pPr>
        <w:pStyle w:val="Heading5"/>
        <w:rPr>
          <w:snapToGrid w:val="0"/>
        </w:rPr>
      </w:pPr>
      <w:bookmarkStart w:id="29" w:name="_Toc202451041"/>
      <w:r>
        <w:rPr>
          <w:rStyle w:val="CharSectno"/>
        </w:rPr>
        <w:t>15</w:t>
      </w:r>
      <w:r>
        <w:rPr>
          <w:snapToGrid w:val="0"/>
        </w:rPr>
        <w:t>.</w:t>
      </w:r>
      <w:r>
        <w:rPr>
          <w:snapToGrid w:val="0"/>
        </w:rPr>
        <w:tab/>
        <w:t>Sale of standard carcases</w:t>
      </w:r>
      <w:bookmarkEnd w:id="29"/>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Gazette 27 May 1988 p. 1795; 6 Dec 2011 p. 5156.]</w:t>
      </w:r>
    </w:p>
    <w:p>
      <w:pPr>
        <w:pStyle w:val="Heading5"/>
        <w:rPr>
          <w:snapToGrid w:val="0"/>
        </w:rPr>
      </w:pPr>
      <w:bookmarkStart w:id="30" w:name="_Toc202451042"/>
      <w:r>
        <w:rPr>
          <w:rStyle w:val="CharSectno"/>
        </w:rPr>
        <w:t>16</w:t>
      </w:r>
      <w:r>
        <w:rPr>
          <w:snapToGrid w:val="0"/>
        </w:rPr>
        <w:t>.</w:t>
      </w:r>
      <w:r>
        <w:rPr>
          <w:snapToGrid w:val="0"/>
        </w:rPr>
        <w:tab/>
        <w:t>Weighing of carcases</w:t>
      </w:r>
      <w:bookmarkEnd w:id="30"/>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r>
      <w:r>
        <w:t>Penalty for this subregulation:</w:t>
      </w:r>
      <w:r>
        <w:rPr>
          <w:snapToGrid w:val="0"/>
        </w:rPr>
        <w:t xml:space="preserve"> </w:t>
      </w:r>
      <w:r>
        <w:t>a fine of $5 000</w:t>
      </w:r>
      <w:r>
        <w:rPr>
          <w:snapToGrid w:val="0"/>
        </w:rPr>
        <w:t>.</w:t>
      </w:r>
    </w:p>
    <w:p>
      <w:pPr>
        <w:pStyle w:val="Footnotesection"/>
      </w:pPr>
      <w:r>
        <w:tab/>
        <w:t>[Regulation 16 amended: Gazette 2 Sep 1988 p. 3470; 6 Dec 2011 p. 5156; SL 2022/21 r. 6.]</w:t>
      </w:r>
    </w:p>
    <w:p>
      <w:pPr>
        <w:pStyle w:val="Heading5"/>
        <w:rPr>
          <w:snapToGrid w:val="0"/>
        </w:rPr>
      </w:pPr>
      <w:bookmarkStart w:id="31" w:name="_Toc202451043"/>
      <w:r>
        <w:rPr>
          <w:rStyle w:val="CharSectno"/>
        </w:rPr>
        <w:t>17</w:t>
      </w:r>
      <w:r>
        <w:rPr>
          <w:snapToGrid w:val="0"/>
        </w:rPr>
        <w:t>.</w:t>
      </w:r>
      <w:r>
        <w:rPr>
          <w:snapToGrid w:val="0"/>
        </w:rPr>
        <w:tab/>
        <w:t>Standard carcase</w:t>
      </w:r>
      <w:bookmarkEnd w:id="31"/>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2" w:name="_Toc202444731"/>
      <w:bookmarkStart w:id="33" w:name="_Toc202445945"/>
      <w:bookmarkStart w:id="34" w:name="_Toc202451044"/>
      <w:r>
        <w:rPr>
          <w:rStyle w:val="CharPartNo"/>
        </w:rPr>
        <w:lastRenderedPageBreak/>
        <w:t>Part V</w:t>
      </w:r>
      <w:r>
        <w:rPr>
          <w:rStyle w:val="CharDivNo"/>
        </w:rPr>
        <w:t> </w:t>
      </w:r>
      <w:r>
        <w:t>—</w:t>
      </w:r>
      <w:r>
        <w:rPr>
          <w:rStyle w:val="CharDivText"/>
        </w:rPr>
        <w:t> </w:t>
      </w:r>
      <w:r>
        <w:rPr>
          <w:rStyle w:val="CharPartText"/>
        </w:rPr>
        <w:t>Abattoirs</w:t>
      </w:r>
      <w:bookmarkEnd w:id="32"/>
      <w:bookmarkEnd w:id="33"/>
      <w:bookmarkEnd w:id="34"/>
    </w:p>
    <w:p>
      <w:pPr>
        <w:pStyle w:val="Footnoteheading"/>
        <w:rPr>
          <w:snapToGrid w:val="0"/>
        </w:rPr>
      </w:pPr>
      <w:r>
        <w:rPr>
          <w:snapToGrid w:val="0"/>
        </w:rPr>
        <w:tab/>
        <w:t>[Heading inserted: Gazette 26 Oct 1990 p. 5361.]</w:t>
      </w:r>
    </w:p>
    <w:p>
      <w:pPr>
        <w:pStyle w:val="Heading5"/>
        <w:rPr>
          <w:snapToGrid w:val="0"/>
        </w:rPr>
      </w:pPr>
      <w:bookmarkStart w:id="35" w:name="_Toc202451045"/>
      <w:r>
        <w:rPr>
          <w:rStyle w:val="CharSectno"/>
        </w:rPr>
        <w:t>18</w:t>
      </w:r>
      <w:r>
        <w:rPr>
          <w:snapToGrid w:val="0"/>
        </w:rPr>
        <w:t>.</w:t>
      </w:r>
      <w:r>
        <w:rPr>
          <w:snapToGrid w:val="0"/>
        </w:rPr>
        <w:tab/>
        <w:t>References to forms</w:t>
      </w:r>
      <w:bookmarkEnd w:id="35"/>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Gazette 26 Oct 1990 p. 5361.]</w:t>
      </w:r>
    </w:p>
    <w:p>
      <w:pPr>
        <w:pStyle w:val="Heading5"/>
        <w:rPr>
          <w:snapToGrid w:val="0"/>
        </w:rPr>
      </w:pPr>
      <w:bookmarkStart w:id="36" w:name="_Toc202451046"/>
      <w:r>
        <w:rPr>
          <w:rStyle w:val="CharSectno"/>
        </w:rPr>
        <w:t>19</w:t>
      </w:r>
      <w:r>
        <w:rPr>
          <w:snapToGrid w:val="0"/>
        </w:rPr>
        <w:t>.</w:t>
      </w:r>
      <w:r>
        <w:rPr>
          <w:snapToGrid w:val="0"/>
        </w:rPr>
        <w:tab/>
        <w:t>Form of applications for approvals</w:t>
      </w:r>
      <w:bookmarkEnd w:id="3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Gazette 26 Oct 1990 p. 5362.]</w:t>
      </w:r>
    </w:p>
    <w:p>
      <w:pPr>
        <w:pStyle w:val="Heading5"/>
        <w:rPr>
          <w:snapToGrid w:val="0"/>
        </w:rPr>
      </w:pPr>
      <w:bookmarkStart w:id="37" w:name="_Toc202451047"/>
      <w:r>
        <w:rPr>
          <w:rStyle w:val="CharSectno"/>
        </w:rPr>
        <w:t>20</w:t>
      </w:r>
      <w:r>
        <w:rPr>
          <w:snapToGrid w:val="0"/>
        </w:rPr>
        <w:t>.</w:t>
      </w:r>
      <w:r>
        <w:rPr>
          <w:snapToGrid w:val="0"/>
        </w:rPr>
        <w:tab/>
        <w:t>Form of approvals</w:t>
      </w:r>
      <w:bookmarkEnd w:id="37"/>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Gazette 26 Oct 1990 p. 5362.]</w:t>
      </w:r>
    </w:p>
    <w:p>
      <w:pPr>
        <w:pStyle w:val="Heading5"/>
        <w:rPr>
          <w:snapToGrid w:val="0"/>
        </w:rPr>
      </w:pPr>
      <w:bookmarkStart w:id="38" w:name="_Toc202451048"/>
      <w:r>
        <w:rPr>
          <w:rStyle w:val="CharSectno"/>
        </w:rPr>
        <w:t>21</w:t>
      </w:r>
      <w:r>
        <w:rPr>
          <w:snapToGrid w:val="0"/>
        </w:rPr>
        <w:t>.</w:t>
      </w:r>
      <w:r>
        <w:rPr>
          <w:snapToGrid w:val="0"/>
        </w:rPr>
        <w:tab/>
        <w:t>Matter prescribed under Act s. 19(b)(vi)</w:t>
      </w:r>
      <w:bookmarkEnd w:id="38"/>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w:t>
      </w:r>
      <w:r>
        <w:rPr>
          <w:snapToGrid w:val="0"/>
        </w:rPr>
        <w:lastRenderedPageBreak/>
        <w:t xml:space="preserve">abattoir or proposed abattoir complies with the provisions of </w:t>
      </w:r>
      <w:r>
        <w:t>that Division.</w:t>
      </w:r>
    </w:p>
    <w:p>
      <w:pPr>
        <w:pStyle w:val="Footnotesection"/>
      </w:pPr>
      <w:r>
        <w:tab/>
        <w:t>[Regulation 21 inserted: Gazette 26 Oct 1990 p. 5362; amended: Gazette 6 Dec 2011 p. 5157.]</w:t>
      </w:r>
    </w:p>
    <w:p>
      <w:pPr>
        <w:pStyle w:val="Ednotesection"/>
      </w:pPr>
      <w:r>
        <w:t>[</w:t>
      </w:r>
      <w:r>
        <w:rPr>
          <w:b/>
        </w:rPr>
        <w:t>22.</w:t>
      </w:r>
      <w:r>
        <w:tab/>
        <w:t>Deleted: Gazette 30 Dec 2004 p. 6902.]</w:t>
      </w:r>
    </w:p>
    <w:p>
      <w:pPr>
        <w:pStyle w:val="Heading5"/>
        <w:rPr>
          <w:snapToGrid w:val="0"/>
        </w:rPr>
      </w:pPr>
      <w:bookmarkStart w:id="39" w:name="_Toc202451049"/>
      <w:r>
        <w:rPr>
          <w:rStyle w:val="CharSectno"/>
        </w:rPr>
        <w:t>23</w:t>
      </w:r>
      <w:r>
        <w:rPr>
          <w:snapToGrid w:val="0"/>
        </w:rPr>
        <w:t>.</w:t>
      </w:r>
      <w:r>
        <w:rPr>
          <w:snapToGrid w:val="0"/>
        </w:rPr>
        <w:tab/>
        <w:t>Notification of changes</w:t>
      </w:r>
      <w:bookmarkEnd w:id="39"/>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Gazette 26 Oct 1990 p. 5362.]</w:t>
      </w:r>
    </w:p>
    <w:p>
      <w:pPr>
        <w:pStyle w:val="Heading5"/>
        <w:rPr>
          <w:snapToGrid w:val="0"/>
        </w:rPr>
      </w:pPr>
      <w:bookmarkStart w:id="40" w:name="_Toc202451050"/>
      <w:r>
        <w:rPr>
          <w:rStyle w:val="CharSectno"/>
        </w:rPr>
        <w:t>24</w:t>
      </w:r>
      <w:r>
        <w:rPr>
          <w:snapToGrid w:val="0"/>
        </w:rPr>
        <w:t>.</w:t>
      </w:r>
      <w:r>
        <w:rPr>
          <w:snapToGrid w:val="0"/>
        </w:rPr>
        <w:tab/>
        <w:t>Monthly returns</w:t>
      </w:r>
      <w:bookmarkEnd w:id="40"/>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Gazette 26 Oct 1990 p. 5362.]</w:t>
      </w:r>
    </w:p>
    <w:p>
      <w:pPr>
        <w:pStyle w:val="Heading2"/>
      </w:pPr>
      <w:bookmarkStart w:id="41" w:name="_Toc202444738"/>
      <w:bookmarkStart w:id="42" w:name="_Toc202445952"/>
      <w:bookmarkStart w:id="43" w:name="_Toc202451051"/>
      <w:r>
        <w:rPr>
          <w:rStyle w:val="CharPartNo"/>
        </w:rPr>
        <w:lastRenderedPageBreak/>
        <w:t>Part VI</w:t>
      </w:r>
      <w:r>
        <w:rPr>
          <w:b w:val="0"/>
        </w:rPr>
        <w:t> </w:t>
      </w:r>
      <w:r>
        <w:t>—</w:t>
      </w:r>
      <w:r>
        <w:rPr>
          <w:b w:val="0"/>
        </w:rPr>
        <w:t> </w:t>
      </w:r>
      <w:r>
        <w:rPr>
          <w:rStyle w:val="CharPartText"/>
        </w:rPr>
        <w:t>Muchea Livestock Centre</w:t>
      </w:r>
      <w:bookmarkEnd w:id="41"/>
      <w:bookmarkEnd w:id="42"/>
      <w:bookmarkEnd w:id="43"/>
    </w:p>
    <w:p>
      <w:pPr>
        <w:pStyle w:val="Footnoteheading"/>
      </w:pPr>
      <w:r>
        <w:tab/>
        <w:t>[Heading inserted: Gazette 6 Dec 2011 p. 5157.]</w:t>
      </w:r>
    </w:p>
    <w:p>
      <w:pPr>
        <w:pStyle w:val="Heading3"/>
      </w:pPr>
      <w:bookmarkStart w:id="44" w:name="_Toc202444739"/>
      <w:bookmarkStart w:id="45" w:name="_Toc202445953"/>
      <w:bookmarkStart w:id="46" w:name="_Toc202451052"/>
      <w:r>
        <w:rPr>
          <w:rStyle w:val="CharDivNo"/>
        </w:rPr>
        <w:t>Division 1</w:t>
      </w:r>
      <w:r>
        <w:t> — </w:t>
      </w:r>
      <w:r>
        <w:rPr>
          <w:rStyle w:val="CharDivText"/>
        </w:rPr>
        <w:t>Preliminary</w:t>
      </w:r>
      <w:bookmarkEnd w:id="44"/>
      <w:bookmarkEnd w:id="45"/>
      <w:bookmarkEnd w:id="46"/>
    </w:p>
    <w:p>
      <w:pPr>
        <w:pStyle w:val="Footnoteheading"/>
      </w:pPr>
      <w:r>
        <w:tab/>
        <w:t>[Heading inserted: Gazette 6 Dec 2011 p. 5157.]</w:t>
      </w:r>
    </w:p>
    <w:p>
      <w:pPr>
        <w:pStyle w:val="Heading5"/>
      </w:pPr>
      <w:bookmarkStart w:id="47" w:name="_Toc202451053"/>
      <w:r>
        <w:rPr>
          <w:rStyle w:val="CharSectno"/>
        </w:rPr>
        <w:t>25</w:t>
      </w:r>
      <w:r>
        <w:t>.</w:t>
      </w:r>
      <w:r>
        <w:tab/>
        <w:t>Terms used</w:t>
      </w:r>
      <w:bookmarkEnd w:id="47"/>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lastRenderedPageBreak/>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Gazette 6 Dec 2011 p. 5157</w:t>
      </w:r>
      <w:r>
        <w:noBreakHyphen/>
        <w:t>9; amended: Gazette 8 Jan 2015 p. 75</w:t>
      </w:r>
      <w:r>
        <w:noBreakHyphen/>
        <w:t>6.]</w:t>
      </w:r>
    </w:p>
    <w:p>
      <w:pPr>
        <w:pStyle w:val="Heading3"/>
      </w:pPr>
      <w:bookmarkStart w:id="48" w:name="_Toc202444741"/>
      <w:bookmarkStart w:id="49" w:name="_Toc202445955"/>
      <w:bookmarkStart w:id="50" w:name="_Toc202451054"/>
      <w:r>
        <w:rPr>
          <w:rStyle w:val="CharDivNo"/>
        </w:rPr>
        <w:t>Division 2</w:t>
      </w:r>
      <w:r>
        <w:t> — </w:t>
      </w:r>
      <w:r>
        <w:rPr>
          <w:rStyle w:val="CharDivText"/>
        </w:rPr>
        <w:t>Stock agents</w:t>
      </w:r>
      <w:bookmarkEnd w:id="48"/>
      <w:bookmarkEnd w:id="49"/>
      <w:bookmarkEnd w:id="50"/>
    </w:p>
    <w:p>
      <w:pPr>
        <w:pStyle w:val="Footnoteheading"/>
      </w:pPr>
      <w:r>
        <w:tab/>
        <w:t>[Heading inserted: Gazette 6 Dec 2011 p. 5159.]</w:t>
      </w:r>
    </w:p>
    <w:p>
      <w:pPr>
        <w:pStyle w:val="Heading5"/>
      </w:pPr>
      <w:bookmarkStart w:id="51" w:name="_Toc202451055"/>
      <w:r>
        <w:rPr>
          <w:rStyle w:val="CharSectno"/>
        </w:rPr>
        <w:t>26</w:t>
      </w:r>
      <w:r>
        <w:t>.</w:t>
      </w:r>
      <w:r>
        <w:tab/>
        <w:t>Stock agents must have Authority approval</w:t>
      </w:r>
      <w:bookmarkEnd w:id="51"/>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Gazette 6 Dec 2011 p. 5159.]</w:t>
      </w:r>
    </w:p>
    <w:p>
      <w:pPr>
        <w:pStyle w:val="Heading5"/>
      </w:pPr>
      <w:bookmarkStart w:id="52" w:name="_Toc202451056"/>
      <w:r>
        <w:rPr>
          <w:rStyle w:val="CharSectno"/>
        </w:rPr>
        <w:t>27</w:t>
      </w:r>
      <w:r>
        <w:t>.</w:t>
      </w:r>
      <w:r>
        <w:tab/>
        <w:t>Approval of stock agents</w:t>
      </w:r>
      <w:bookmarkEnd w:id="52"/>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lastRenderedPageBreak/>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Gazette 6 Dec 2011 p. 5159</w:t>
      </w:r>
      <w:r>
        <w:noBreakHyphen/>
        <w:t>60.]</w:t>
      </w:r>
    </w:p>
    <w:p>
      <w:pPr>
        <w:pStyle w:val="Heading5"/>
      </w:pPr>
      <w:bookmarkStart w:id="53" w:name="_Toc202451057"/>
      <w:r>
        <w:rPr>
          <w:rStyle w:val="CharSectno"/>
        </w:rPr>
        <w:t>28</w:t>
      </w:r>
      <w:r>
        <w:t>.</w:t>
      </w:r>
      <w:r>
        <w:tab/>
        <w:t>Duration of approval as stock agent</w:t>
      </w:r>
      <w:bookmarkEnd w:id="53"/>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Gazette 6 Dec 2011 p. 5160.]</w:t>
      </w:r>
    </w:p>
    <w:p>
      <w:pPr>
        <w:pStyle w:val="Heading5"/>
      </w:pPr>
      <w:bookmarkStart w:id="54" w:name="_Toc202451058"/>
      <w:r>
        <w:rPr>
          <w:rStyle w:val="CharSectno"/>
        </w:rPr>
        <w:t>29</w:t>
      </w:r>
      <w:r>
        <w:t>.</w:t>
      </w:r>
      <w:r>
        <w:tab/>
        <w:t>Renewal of approval as stock agent</w:t>
      </w:r>
      <w:bookmarkEnd w:id="54"/>
    </w:p>
    <w:p>
      <w:pPr>
        <w:pStyle w:val="Subsection"/>
      </w:pPr>
      <w:r>
        <w:tab/>
        <w:t>(1)</w:t>
      </w:r>
      <w:r>
        <w:tab/>
        <w:t>The Authority may renew an approval to act as a stock agent.</w:t>
      </w:r>
    </w:p>
    <w:p>
      <w:pPr>
        <w:pStyle w:val="Subsection"/>
      </w:pPr>
      <w:r>
        <w:lastRenderedPageBreak/>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Gazette 6 Dec 2011 p. 5160</w:t>
      </w:r>
      <w:r>
        <w:noBreakHyphen/>
        <w:t>1.]</w:t>
      </w:r>
    </w:p>
    <w:p>
      <w:pPr>
        <w:pStyle w:val="Heading3"/>
      </w:pPr>
      <w:bookmarkStart w:id="55" w:name="_Toc202444746"/>
      <w:bookmarkStart w:id="56" w:name="_Toc202445960"/>
      <w:bookmarkStart w:id="57" w:name="_Toc202451059"/>
      <w:r>
        <w:rPr>
          <w:rStyle w:val="CharDivNo"/>
        </w:rPr>
        <w:t>Division 3</w:t>
      </w:r>
      <w:r>
        <w:t> — </w:t>
      </w:r>
      <w:r>
        <w:rPr>
          <w:rStyle w:val="CharDivText"/>
        </w:rPr>
        <w:t>Delivery and yarding of stock</w:t>
      </w:r>
      <w:bookmarkEnd w:id="55"/>
      <w:bookmarkEnd w:id="56"/>
      <w:bookmarkEnd w:id="57"/>
    </w:p>
    <w:p>
      <w:pPr>
        <w:pStyle w:val="Footnoteheading"/>
      </w:pPr>
      <w:r>
        <w:tab/>
        <w:t>[Heading inserted: Gazette 6 Dec 2011 p. 5161.]</w:t>
      </w:r>
    </w:p>
    <w:p>
      <w:pPr>
        <w:pStyle w:val="Heading5"/>
        <w:spacing w:before="180"/>
      </w:pPr>
      <w:bookmarkStart w:id="58" w:name="_Toc202451060"/>
      <w:r>
        <w:rPr>
          <w:rStyle w:val="CharSectno"/>
        </w:rPr>
        <w:t>30</w:t>
      </w:r>
      <w:r>
        <w:t>.</w:t>
      </w:r>
      <w:r>
        <w:tab/>
        <w:t>Times and conditions for delivery of stock</w:t>
      </w:r>
      <w:bookmarkEnd w:id="5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keepNext/>
        <w:spacing w:before="120"/>
      </w:pPr>
      <w:r>
        <w:lastRenderedPageBreak/>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r>
      <w:r>
        <w:rPr>
          <w:spacing w:val="-4"/>
        </w:rPr>
        <w:t>If the times during which stock may be delivered to the Muchea Livestock Centre are notified under this regulation, a person must not deliver stock of a particular kind to the Centre other than —</w:t>
      </w:r>
      <w:r>
        <w:t xml:space="preserve">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for this subregulation: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Gazette 6 Dec 2011 p. 5161</w:t>
      </w:r>
      <w:r>
        <w:noBreakHyphen/>
        <w:t>2; amended: SL 2022/21 r. 6.]</w:t>
      </w:r>
    </w:p>
    <w:p>
      <w:pPr>
        <w:pStyle w:val="Heading5"/>
        <w:keepLines w:val="0"/>
      </w:pPr>
      <w:bookmarkStart w:id="59" w:name="_Toc202451061"/>
      <w:r>
        <w:rPr>
          <w:rStyle w:val="CharSectno"/>
        </w:rPr>
        <w:t>31</w:t>
      </w:r>
      <w:r>
        <w:t>.</w:t>
      </w:r>
      <w:r>
        <w:tab/>
        <w:t>Yarding of stock</w:t>
      </w:r>
      <w:bookmarkEnd w:id="59"/>
    </w:p>
    <w:p>
      <w:pPr>
        <w:pStyle w:val="Subsection"/>
      </w:pPr>
      <w:r>
        <w:tab/>
      </w:r>
      <w:r>
        <w:tab/>
        <w:t>A person delivering stock to the Muchea Livestock Centre must place the stock in pens or yards as directed by the Authority.</w:t>
      </w:r>
    </w:p>
    <w:p>
      <w:pPr>
        <w:pStyle w:val="Penstart"/>
      </w:pPr>
      <w:r>
        <w:lastRenderedPageBreak/>
        <w:tab/>
        <w:t>Penalty: a fine of $5 000.</w:t>
      </w:r>
    </w:p>
    <w:p>
      <w:pPr>
        <w:pStyle w:val="Footnotesection"/>
      </w:pPr>
      <w:r>
        <w:tab/>
        <w:t>[Regulation 31 inserted: Gazette 6 Dec 2011 p. 5162.]</w:t>
      </w:r>
    </w:p>
    <w:p>
      <w:pPr>
        <w:pStyle w:val="Heading5"/>
      </w:pPr>
      <w:bookmarkStart w:id="60" w:name="_Toc202451062"/>
      <w:r>
        <w:rPr>
          <w:rStyle w:val="CharSectno"/>
        </w:rPr>
        <w:t>32</w:t>
      </w:r>
      <w:r>
        <w:t>.</w:t>
      </w:r>
      <w:r>
        <w:tab/>
        <w:t>Care of stock</w:t>
      </w:r>
      <w:bookmarkEnd w:id="60"/>
    </w:p>
    <w:p>
      <w:pPr>
        <w:pStyle w:val="Subsection"/>
        <w:keepNext/>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for this subregulation: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Gazette 6 Dec 2011 p. 5163; amended: SL 2022/21 r. 6.]</w:t>
      </w:r>
    </w:p>
    <w:p>
      <w:pPr>
        <w:pStyle w:val="Heading5"/>
      </w:pPr>
      <w:bookmarkStart w:id="61" w:name="_Toc202451063"/>
      <w:r>
        <w:rPr>
          <w:rStyle w:val="CharSectno"/>
        </w:rPr>
        <w:t>33A</w:t>
      </w:r>
      <w:r>
        <w:t>.</w:t>
      </w:r>
      <w:r>
        <w:tab/>
        <w:t>Disposal of ill, injured, disabled or dead stock</w:t>
      </w:r>
      <w:bookmarkEnd w:id="6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lastRenderedPageBreak/>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for this subregulation: a fine of $5 000.</w:t>
      </w:r>
    </w:p>
    <w:p>
      <w:pPr>
        <w:pStyle w:val="Subsection"/>
        <w:keepNext/>
        <w:keepLines/>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Gazette 6 Dec 2011 p. 5163</w:t>
      </w:r>
      <w:r>
        <w:noBreakHyphen/>
        <w:t>4; amended: SL 2022/21 r. 6.]</w:t>
      </w:r>
    </w:p>
    <w:p>
      <w:pPr>
        <w:pStyle w:val="Heading3"/>
      </w:pPr>
      <w:bookmarkStart w:id="62" w:name="_Toc202444751"/>
      <w:bookmarkStart w:id="63" w:name="_Toc202445965"/>
      <w:bookmarkStart w:id="64" w:name="_Toc202451064"/>
      <w:r>
        <w:rPr>
          <w:rStyle w:val="CharDivNo"/>
        </w:rPr>
        <w:lastRenderedPageBreak/>
        <w:t>Division 4</w:t>
      </w:r>
      <w:r>
        <w:t> — </w:t>
      </w:r>
      <w:r>
        <w:rPr>
          <w:rStyle w:val="CharDivText"/>
        </w:rPr>
        <w:t>Sale of stock and abandoned stock</w:t>
      </w:r>
      <w:bookmarkEnd w:id="62"/>
      <w:bookmarkEnd w:id="63"/>
      <w:bookmarkEnd w:id="64"/>
    </w:p>
    <w:p>
      <w:pPr>
        <w:pStyle w:val="Footnoteheading"/>
        <w:keepNext/>
      </w:pPr>
      <w:r>
        <w:tab/>
        <w:t>[Heading inserted: Gazette 6 Dec 2011 p. 5165.]</w:t>
      </w:r>
    </w:p>
    <w:p>
      <w:pPr>
        <w:pStyle w:val="Heading5"/>
        <w:keepLines w:val="0"/>
        <w:spacing w:before="180"/>
      </w:pPr>
      <w:bookmarkStart w:id="65" w:name="_Toc202451065"/>
      <w:r>
        <w:rPr>
          <w:rStyle w:val="CharSectno"/>
        </w:rPr>
        <w:t>33B</w:t>
      </w:r>
      <w:r>
        <w:t>.</w:t>
      </w:r>
      <w:r>
        <w:tab/>
        <w:t>Ill, injured or disabled stock not to be offered for sale</w:t>
      </w:r>
      <w:bookmarkEnd w:id="65"/>
    </w:p>
    <w:p>
      <w:pPr>
        <w:pStyle w:val="Subsection"/>
        <w:keepNext/>
        <w:spacing w:before="120"/>
      </w:pPr>
      <w:r>
        <w:tab/>
      </w:r>
      <w:r>
        <w:tab/>
        <w:t>A person must not offer ill, injured or disabled stock for sale at the Muchea Livestock Centre.</w:t>
      </w:r>
    </w:p>
    <w:p>
      <w:pPr>
        <w:pStyle w:val="Penstart"/>
        <w:keepNext/>
      </w:pPr>
      <w:r>
        <w:tab/>
        <w:t>Penalty: a fine of $5 000.</w:t>
      </w:r>
    </w:p>
    <w:p>
      <w:pPr>
        <w:pStyle w:val="Footnotesection"/>
        <w:keepLines w:val="0"/>
        <w:spacing w:before="80"/>
        <w:ind w:left="890" w:hanging="890"/>
      </w:pPr>
      <w:r>
        <w:tab/>
        <w:t>[Regulation 33B inserted: Gazette 6 Dec 2011 p. 5165.]</w:t>
      </w:r>
    </w:p>
    <w:p>
      <w:pPr>
        <w:pStyle w:val="Heading5"/>
        <w:spacing w:before="240"/>
      </w:pPr>
      <w:bookmarkStart w:id="66" w:name="_Toc202451066"/>
      <w:r>
        <w:rPr>
          <w:rStyle w:val="CharSectno"/>
        </w:rPr>
        <w:t>33C</w:t>
      </w:r>
      <w:r>
        <w:t>.</w:t>
      </w:r>
      <w:r>
        <w:tab/>
        <w:t>No unauthorised private sale</w:t>
      </w:r>
      <w:bookmarkEnd w:id="66"/>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Gazette 3 Sep 2014 p. 3207.]</w:t>
      </w:r>
    </w:p>
    <w:p>
      <w:pPr>
        <w:pStyle w:val="Heading5"/>
        <w:spacing w:before="180"/>
      </w:pPr>
      <w:bookmarkStart w:id="67" w:name="_Toc202451067"/>
      <w:r>
        <w:rPr>
          <w:rStyle w:val="CharSectno"/>
        </w:rPr>
        <w:t>33D</w:t>
      </w:r>
      <w:r>
        <w:t>.</w:t>
      </w:r>
      <w:r>
        <w:tab/>
        <w:t>When stock have to be removed</w:t>
      </w:r>
      <w:bookmarkEnd w:id="67"/>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 xml:space="preserve">If the Authority reasonably considers that stock moved under subregulation (2) requires watering, feeding, care (for example, assistance with giving birth) or treatment, the Authority may </w:t>
      </w:r>
      <w:r>
        <w:lastRenderedPageBreak/>
        <w:t>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spacing w:before="60"/>
      </w:pPr>
      <w:r>
        <w:tab/>
        <w:t>(a)</w:t>
      </w:r>
      <w:r>
        <w:tab/>
        <w:t>are a debt due to the Authority by the owner; and</w:t>
      </w:r>
    </w:p>
    <w:p>
      <w:pPr>
        <w:pStyle w:val="Indenta"/>
        <w:spacing w:before="60"/>
      </w:pPr>
      <w:r>
        <w:tab/>
        <w:t>(b)</w:t>
      </w:r>
      <w:r>
        <w:tab/>
        <w:t>may be sued for and recovered in a court of competent jurisdiction.</w:t>
      </w:r>
    </w:p>
    <w:p>
      <w:pPr>
        <w:pStyle w:val="Footnotesection"/>
        <w:spacing w:before="100"/>
        <w:ind w:left="890" w:hanging="890"/>
      </w:pPr>
      <w:r>
        <w:tab/>
        <w:t>[Regulation 33D inserted: Gazette 6 Dec 2011 p. 5165</w:t>
      </w:r>
      <w:r>
        <w:noBreakHyphen/>
        <w:t>6.]</w:t>
      </w:r>
    </w:p>
    <w:p>
      <w:pPr>
        <w:pStyle w:val="Heading5"/>
        <w:spacing w:before="180"/>
      </w:pPr>
      <w:bookmarkStart w:id="68" w:name="_Toc202451068"/>
      <w:r>
        <w:rPr>
          <w:rStyle w:val="CharSectno"/>
        </w:rPr>
        <w:t>33E</w:t>
      </w:r>
      <w:r>
        <w:t>.</w:t>
      </w:r>
      <w:r>
        <w:tab/>
        <w:t>Abandoned stock</w:t>
      </w:r>
      <w:bookmarkEnd w:id="68"/>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spacing w:before="60"/>
      </w:pPr>
      <w:r>
        <w:tab/>
        <w:t>(i)</w:t>
      </w:r>
      <w:r>
        <w:tab/>
        <w:t>if it was yarded for sale, after the date on which it was last offered for sale; or</w:t>
      </w:r>
    </w:p>
    <w:p>
      <w:pPr>
        <w:pStyle w:val="Indenti"/>
        <w:spacing w:before="60"/>
      </w:pPr>
      <w:r>
        <w:tab/>
        <w:t>(ii)</w:t>
      </w:r>
      <w:r>
        <w:tab/>
        <w:t>if it was yarded for transhipment, after it was delivered to the Centre;</w:t>
      </w:r>
    </w:p>
    <w:p>
      <w:pPr>
        <w:pStyle w:val="Indenta"/>
        <w:spacing w:before="60"/>
      </w:pPr>
      <w:r>
        <w:tab/>
      </w:r>
      <w:r>
        <w:tab/>
        <w:t>and</w:t>
      </w:r>
    </w:p>
    <w:p>
      <w:pPr>
        <w:pStyle w:val="Indenta"/>
        <w:spacing w:before="60"/>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w:t>
      </w:r>
      <w:r>
        <w:lastRenderedPageBreak/>
        <w:t xml:space="preserve">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Gazette 6 Dec 2011 p. 5166</w:t>
      </w:r>
      <w:r>
        <w:noBreakHyphen/>
        <w:t>7.]</w:t>
      </w:r>
    </w:p>
    <w:p>
      <w:pPr>
        <w:pStyle w:val="Heading3"/>
        <w:spacing w:before="200"/>
      </w:pPr>
      <w:bookmarkStart w:id="69" w:name="_Toc202444756"/>
      <w:bookmarkStart w:id="70" w:name="_Toc202445970"/>
      <w:bookmarkStart w:id="71" w:name="_Toc202451069"/>
      <w:r>
        <w:rPr>
          <w:rStyle w:val="CharDivNo"/>
        </w:rPr>
        <w:t>Division 5</w:t>
      </w:r>
      <w:r>
        <w:t> — </w:t>
      </w:r>
      <w:r>
        <w:rPr>
          <w:rStyle w:val="CharDivText"/>
        </w:rPr>
        <w:t>Control of vehicles</w:t>
      </w:r>
      <w:bookmarkEnd w:id="69"/>
      <w:bookmarkEnd w:id="70"/>
      <w:bookmarkEnd w:id="71"/>
    </w:p>
    <w:p>
      <w:pPr>
        <w:pStyle w:val="Footnoteheading"/>
      </w:pPr>
      <w:r>
        <w:tab/>
        <w:t>[Heading inserted: Gazette 6 Dec 2011 p. 5167.]</w:t>
      </w:r>
    </w:p>
    <w:p>
      <w:pPr>
        <w:pStyle w:val="Heading5"/>
        <w:spacing w:before="180"/>
      </w:pPr>
      <w:bookmarkStart w:id="72" w:name="_Toc202451070"/>
      <w:r>
        <w:rPr>
          <w:rStyle w:val="CharSectno"/>
        </w:rPr>
        <w:t>33F</w:t>
      </w:r>
      <w:r>
        <w:t>.</w:t>
      </w:r>
      <w:r>
        <w:tab/>
        <w:t>Safe operation of vehicles within Centre</w:t>
      </w:r>
      <w:bookmarkEnd w:id="72"/>
    </w:p>
    <w:p>
      <w:pPr>
        <w:pStyle w:val="Subsection"/>
      </w:pPr>
      <w:r>
        <w:tab/>
        <w:t>(1)</w:t>
      </w:r>
      <w:r>
        <w:tab/>
        <w:t>A person must not drive a motor vehicle in the Muchea Livestock Centre without due care and attention.</w:t>
      </w:r>
    </w:p>
    <w:p>
      <w:pPr>
        <w:pStyle w:val="Penstart"/>
      </w:pPr>
      <w:r>
        <w:tab/>
        <w:t>Penalty for this subregulation: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for this subregulation: a fine of $800.</w:t>
      </w:r>
    </w:p>
    <w:p>
      <w:pPr>
        <w:pStyle w:val="Footnotesection"/>
      </w:pPr>
      <w:r>
        <w:tab/>
        <w:t>[Regulation 33F inserted: Gazette 6 Dec 2011 p. 5167; amended: SL 2022/21 r. 6.]</w:t>
      </w:r>
    </w:p>
    <w:p>
      <w:pPr>
        <w:pStyle w:val="Heading5"/>
        <w:spacing w:before="180"/>
      </w:pPr>
      <w:bookmarkStart w:id="73" w:name="_Toc202451071"/>
      <w:r>
        <w:rPr>
          <w:rStyle w:val="CharSectno"/>
        </w:rPr>
        <w:lastRenderedPageBreak/>
        <w:t>33G</w:t>
      </w:r>
      <w:r>
        <w:t>.</w:t>
      </w:r>
      <w:r>
        <w:tab/>
        <w:t>Driving while under the influence prohibited</w:t>
      </w:r>
      <w:bookmarkEnd w:id="73"/>
    </w:p>
    <w:p>
      <w:pPr>
        <w:pStyle w:val="Subsection"/>
        <w:keepNext/>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(Western Australia)</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(Western Australia)</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(Western Australia)</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for this subregulation: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lastRenderedPageBreak/>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Gazette 6 Dec 2011 p. 5168</w:t>
      </w:r>
      <w:r>
        <w:noBreakHyphen/>
        <w:t>9; amended: Gazette 13 Nov 2018 p. 4437; SL 2022/21 r. 6.]</w:t>
      </w:r>
    </w:p>
    <w:p>
      <w:pPr>
        <w:pStyle w:val="Heading5"/>
        <w:keepNext w:val="0"/>
        <w:keepLines w:val="0"/>
        <w:spacing w:before="240"/>
      </w:pPr>
      <w:bookmarkStart w:id="74" w:name="_Toc202451072"/>
      <w:r>
        <w:rPr>
          <w:rStyle w:val="CharSectno"/>
        </w:rPr>
        <w:t>33H</w:t>
      </w:r>
      <w:r>
        <w:t>.</w:t>
      </w:r>
      <w:r>
        <w:tab/>
        <w:t>Drivers to be licensed</w:t>
      </w:r>
      <w:bookmarkEnd w:id="74"/>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Gazette 6 Dec 2011 p. 5169; amended: Gazette 8 Jan 2015 p. 76.]</w:t>
      </w:r>
    </w:p>
    <w:p>
      <w:pPr>
        <w:pStyle w:val="Heading5"/>
        <w:spacing w:before="180"/>
      </w:pPr>
      <w:bookmarkStart w:id="75" w:name="_Toc202451073"/>
      <w:r>
        <w:rPr>
          <w:rStyle w:val="CharSectno"/>
        </w:rPr>
        <w:t>33I</w:t>
      </w:r>
      <w:r>
        <w:t>.</w:t>
      </w:r>
      <w:r>
        <w:tab/>
        <w:t>Driver to produce driver’s licence for inspection</w:t>
      </w:r>
      <w:bookmarkEnd w:id="75"/>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for this subregulation: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Gazette 6 Dec 2011 p. 5169; amended: SL 2022/21 r. 6.]</w:t>
      </w:r>
    </w:p>
    <w:p>
      <w:pPr>
        <w:pStyle w:val="Heading5"/>
        <w:spacing w:before="240"/>
      </w:pPr>
      <w:bookmarkStart w:id="76" w:name="_Toc202451074"/>
      <w:r>
        <w:rPr>
          <w:rStyle w:val="CharSectno"/>
        </w:rPr>
        <w:t>33J</w:t>
      </w:r>
      <w:r>
        <w:t>.</w:t>
      </w:r>
      <w:r>
        <w:tab/>
        <w:t>Entry and exit of vehicles</w:t>
      </w:r>
      <w:bookmarkEnd w:id="76"/>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lastRenderedPageBreak/>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keepNext/>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for this subregulation: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for this subregulation: a fine of $250.</w:t>
      </w:r>
    </w:p>
    <w:p>
      <w:pPr>
        <w:pStyle w:val="Footnotesection"/>
      </w:pPr>
      <w:r>
        <w:tab/>
        <w:t>[Regulation 33J inserted: Gazette 6 Dec 2011 p. 5169</w:t>
      </w:r>
      <w:r>
        <w:noBreakHyphen/>
        <w:t>70; amended: SL 2022/21 r. 6.]</w:t>
      </w:r>
    </w:p>
    <w:p>
      <w:pPr>
        <w:pStyle w:val="Heading5"/>
        <w:spacing w:before="180"/>
      </w:pPr>
      <w:bookmarkStart w:id="77" w:name="_Toc202451075"/>
      <w:r>
        <w:rPr>
          <w:rStyle w:val="CharSectno"/>
        </w:rPr>
        <w:t>33K</w:t>
      </w:r>
      <w:r>
        <w:t>.</w:t>
      </w:r>
      <w:r>
        <w:tab/>
        <w:t>Traffic movement within Centre</w:t>
      </w:r>
      <w:bookmarkEnd w:id="77"/>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for this subregulation: a fine of $250.</w:t>
      </w:r>
    </w:p>
    <w:p>
      <w:pPr>
        <w:pStyle w:val="Footnotesection"/>
      </w:pPr>
      <w:r>
        <w:tab/>
        <w:t>[Regulation 33K inserted: Gazette 6 Dec 2011 p. 5170; amended: SL 2022/21 r. 6.]</w:t>
      </w:r>
    </w:p>
    <w:p>
      <w:pPr>
        <w:pStyle w:val="Heading5"/>
      </w:pPr>
      <w:bookmarkStart w:id="78" w:name="_Toc202451076"/>
      <w:r>
        <w:rPr>
          <w:rStyle w:val="CharSectno"/>
        </w:rPr>
        <w:t>33L</w:t>
      </w:r>
      <w:r>
        <w:t>.</w:t>
      </w:r>
      <w:r>
        <w:tab/>
        <w:t>Speed limits</w:t>
      </w:r>
      <w:bookmarkEnd w:id="78"/>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lastRenderedPageBreak/>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for this subregulation: a fine of $250.</w:t>
      </w:r>
    </w:p>
    <w:p>
      <w:pPr>
        <w:pStyle w:val="Footnotesection"/>
      </w:pPr>
      <w:r>
        <w:tab/>
        <w:t>[Regulation 33L inserted: Gazette 6 Dec 2011 p. 5170</w:t>
      </w:r>
      <w:r>
        <w:noBreakHyphen/>
        <w:t>1; amended: SL 2022/21 r. 6.]</w:t>
      </w:r>
    </w:p>
    <w:p>
      <w:pPr>
        <w:pStyle w:val="Heading5"/>
      </w:pPr>
      <w:bookmarkStart w:id="79" w:name="_Toc202451077"/>
      <w:r>
        <w:rPr>
          <w:rStyle w:val="CharSectno"/>
        </w:rPr>
        <w:t>33M</w:t>
      </w:r>
      <w:r>
        <w:t>.</w:t>
      </w:r>
      <w:r>
        <w:tab/>
        <w:t>Regulation of parking</w:t>
      </w:r>
      <w:bookmarkEnd w:id="79"/>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spacing w:before="60"/>
      </w:pPr>
      <w:r>
        <w:tab/>
        <w:t>(a)</w:t>
      </w:r>
      <w:r>
        <w:tab/>
        <w:t>determine conditions or restrictions under which parking in the area is permitted;</w:t>
      </w:r>
    </w:p>
    <w:p>
      <w:pPr>
        <w:pStyle w:val="Indenta"/>
        <w:spacing w:before="60"/>
      </w:pPr>
      <w:r>
        <w:tab/>
        <w:t>(b)</w:t>
      </w:r>
      <w:r>
        <w:tab/>
        <w:t>determine the manner in which parking in the area is permitted;</w:t>
      </w:r>
    </w:p>
    <w:p>
      <w:pPr>
        <w:pStyle w:val="Indenta"/>
        <w:spacing w:before="60"/>
      </w:pPr>
      <w:r>
        <w:tab/>
        <w:t>(c)</w:t>
      </w:r>
      <w:r>
        <w:tab/>
        <w:t>determine times at which parking or standing in the area is permitted or prohibited;</w:t>
      </w:r>
    </w:p>
    <w:p>
      <w:pPr>
        <w:pStyle w:val="Indenta"/>
        <w:spacing w:before="60"/>
      </w:pPr>
      <w:r>
        <w:tab/>
        <w:t>(d)</w:t>
      </w:r>
      <w:r>
        <w:tab/>
        <w:t>determine the maximum period for which parking in the area is permitted</w:t>
      </w:r>
      <w:r>
        <w:rPr>
          <w:rStyle w:val="DraftersNotes"/>
        </w:rPr>
        <w:t>.</w:t>
      </w:r>
    </w:p>
    <w:p>
      <w:pPr>
        <w:pStyle w:val="Subsection"/>
      </w:pPr>
      <w:r>
        <w:lastRenderedPageBreak/>
        <w:tab/>
        <w:t>(3)</w:t>
      </w:r>
      <w:r>
        <w:tab/>
        <w:t xml:space="preserve">The signs or marks used to designate an area in accordance with subregulation (1) must clearly indicate — </w:t>
      </w:r>
    </w:p>
    <w:p>
      <w:pPr>
        <w:pStyle w:val="Indenta"/>
        <w:spacing w:before="60"/>
      </w:pPr>
      <w:r>
        <w:tab/>
        <w:t>(a)</w:t>
      </w:r>
      <w:r>
        <w:tab/>
        <w:t>the particular designation given to that area; and</w:t>
      </w:r>
    </w:p>
    <w:p>
      <w:pPr>
        <w:pStyle w:val="Indenta"/>
        <w:spacing w:before="60"/>
      </w:pPr>
      <w:r>
        <w:tab/>
        <w:t>(b)</w:t>
      </w:r>
      <w:r>
        <w:tab/>
        <w:t>any conditions, restrictions and other matters determined in relation to the area in accordance with subregulation (2).</w:t>
      </w:r>
    </w:p>
    <w:p>
      <w:pPr>
        <w:pStyle w:val="Footnotesection"/>
      </w:pPr>
      <w:r>
        <w:tab/>
        <w:t>[Regulation 33M inserted: Gazette 6 Dec 2011 p. 5171</w:t>
      </w:r>
      <w:r>
        <w:noBreakHyphen/>
        <w:t>2.]</w:t>
      </w:r>
    </w:p>
    <w:p>
      <w:pPr>
        <w:pStyle w:val="Heading5"/>
      </w:pPr>
      <w:bookmarkStart w:id="80" w:name="_Toc202451078"/>
      <w:r>
        <w:rPr>
          <w:rStyle w:val="CharSectno"/>
        </w:rPr>
        <w:t>33N</w:t>
      </w:r>
      <w:r>
        <w:t>.</w:t>
      </w:r>
      <w:r>
        <w:tab/>
        <w:t>Parking permits</w:t>
      </w:r>
      <w:bookmarkEnd w:id="80"/>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Gazette 6 Dec 2011 p. 5172.]</w:t>
      </w:r>
    </w:p>
    <w:p>
      <w:pPr>
        <w:pStyle w:val="Heading5"/>
      </w:pPr>
      <w:bookmarkStart w:id="81" w:name="_Toc202451079"/>
      <w:r>
        <w:rPr>
          <w:rStyle w:val="CharSectno"/>
        </w:rPr>
        <w:t>33O</w:t>
      </w:r>
      <w:r>
        <w:t>.</w:t>
      </w:r>
      <w:r>
        <w:tab/>
        <w:t>Parking offences</w:t>
      </w:r>
      <w:bookmarkEnd w:id="81"/>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for this subregulation: a fine of $250.</w:t>
      </w:r>
    </w:p>
    <w:p>
      <w:pPr>
        <w:pStyle w:val="Subsection"/>
      </w:pPr>
      <w:r>
        <w:lastRenderedPageBreak/>
        <w:tab/>
        <w:t>(2)</w:t>
      </w:r>
      <w:r>
        <w:tab/>
        <w:t>A person must not, in the Muchea Livestock Centre, park a motor vehicle in a place that is not designated under regulation 33M as a parking area.</w:t>
      </w:r>
    </w:p>
    <w:p>
      <w:pPr>
        <w:pStyle w:val="Penstart"/>
      </w:pPr>
      <w:r>
        <w:tab/>
        <w:t>Penalty for this subregulation: a fine of $250.</w:t>
      </w:r>
    </w:p>
    <w:p>
      <w:pPr>
        <w:pStyle w:val="Subsection"/>
        <w:keepNext/>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for this subregulation: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for this subregulation: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for this subregulation: a fine of $200.</w:t>
      </w:r>
    </w:p>
    <w:p>
      <w:pPr>
        <w:pStyle w:val="Footnotesection"/>
      </w:pPr>
      <w:r>
        <w:tab/>
        <w:t>[Regulation 33O inserted: Gazette 6 Dec 2011 p. 5173; amended: SL 2022/21 r. 6.]</w:t>
      </w:r>
    </w:p>
    <w:p>
      <w:pPr>
        <w:pStyle w:val="Heading5"/>
      </w:pPr>
      <w:bookmarkStart w:id="82" w:name="_Toc202451080"/>
      <w:r>
        <w:rPr>
          <w:rStyle w:val="CharSectno"/>
        </w:rPr>
        <w:t>33P</w:t>
      </w:r>
      <w:r>
        <w:t>.</w:t>
      </w:r>
      <w:r>
        <w:tab/>
        <w:t>Directions and permissions given by inspector</w:t>
      </w:r>
      <w:bookmarkEnd w:id="8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lastRenderedPageBreak/>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for this subregulation: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Gazette 6 Dec 2011 p. 5173</w:t>
      </w:r>
      <w:r>
        <w:noBreakHyphen/>
        <w:t>4; amended: SL 2022/21 r. 6.]</w:t>
      </w:r>
    </w:p>
    <w:p>
      <w:pPr>
        <w:pStyle w:val="Heading3"/>
      </w:pPr>
      <w:bookmarkStart w:id="83" w:name="_Toc202444768"/>
      <w:bookmarkStart w:id="84" w:name="_Toc202445982"/>
      <w:bookmarkStart w:id="85" w:name="_Toc202451081"/>
      <w:r>
        <w:rPr>
          <w:rStyle w:val="CharDivNo"/>
        </w:rPr>
        <w:t>Division 6</w:t>
      </w:r>
      <w:r>
        <w:t> — </w:t>
      </w:r>
      <w:r>
        <w:rPr>
          <w:rStyle w:val="CharDivText"/>
        </w:rPr>
        <w:t>General provisions</w:t>
      </w:r>
      <w:bookmarkEnd w:id="83"/>
      <w:bookmarkEnd w:id="84"/>
      <w:bookmarkEnd w:id="85"/>
    </w:p>
    <w:p>
      <w:pPr>
        <w:pStyle w:val="Footnoteheading"/>
      </w:pPr>
      <w:r>
        <w:tab/>
        <w:t>[Heading inserted: Gazette 6 Dec 2011 p. 5174.]</w:t>
      </w:r>
    </w:p>
    <w:p>
      <w:pPr>
        <w:pStyle w:val="Heading5"/>
      </w:pPr>
      <w:bookmarkStart w:id="86" w:name="_Toc202451082"/>
      <w:r>
        <w:rPr>
          <w:rStyle w:val="CharSectno"/>
        </w:rPr>
        <w:t>33Q</w:t>
      </w:r>
      <w:r>
        <w:t>.</w:t>
      </w:r>
      <w:r>
        <w:tab/>
        <w:t>Restrictions on smoking</w:t>
      </w:r>
      <w:bookmarkEnd w:id="86"/>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for this subregulation: a fine of $500.</w:t>
      </w:r>
    </w:p>
    <w:p>
      <w:pPr>
        <w:pStyle w:val="Subsection"/>
      </w:pPr>
      <w:r>
        <w:lastRenderedPageBreak/>
        <w:tab/>
        <w:t>(3)</w:t>
      </w:r>
      <w:r>
        <w:tab/>
        <w:t xml:space="preserve">This regulation does not allow the Authority to permit smoking in contravention of the </w:t>
      </w:r>
      <w:r>
        <w:rPr>
          <w:i/>
        </w:rPr>
        <w:t>Work Health and Safety (General) Regulations 2022</w:t>
      </w:r>
      <w:r>
        <w:t xml:space="preserve"> or the </w:t>
      </w:r>
      <w:r>
        <w:rPr>
          <w:i/>
        </w:rPr>
        <w:t>Tobacco Products Control Regulations 2006</w:t>
      </w:r>
      <w:r>
        <w:t>.</w:t>
      </w:r>
    </w:p>
    <w:p>
      <w:pPr>
        <w:pStyle w:val="Footnotesection"/>
      </w:pPr>
      <w:r>
        <w:tab/>
        <w:t>[Regulation 33Q inserted: Gazette 6 Dec 2011 p. 5174</w:t>
      </w:r>
      <w:r>
        <w:noBreakHyphen/>
        <w:t>5; amended: SL 2022/21 r. 5 and 6.]</w:t>
      </w:r>
    </w:p>
    <w:p>
      <w:pPr>
        <w:pStyle w:val="Heading5"/>
      </w:pPr>
      <w:bookmarkStart w:id="87" w:name="_Toc202451083"/>
      <w:r>
        <w:rPr>
          <w:rStyle w:val="CharSectno"/>
        </w:rPr>
        <w:t>33R</w:t>
      </w:r>
      <w:r>
        <w:t>.</w:t>
      </w:r>
      <w:r>
        <w:tab/>
        <w:t>Disposal of rubbish and dead stock</w:t>
      </w:r>
      <w:bookmarkEnd w:id="87"/>
    </w:p>
    <w:p>
      <w:pPr>
        <w:pStyle w:val="Subsection"/>
        <w:keepNext/>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for this subregulation: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for this subregulation: a fine of $1 000.</w:t>
      </w:r>
    </w:p>
    <w:p>
      <w:pPr>
        <w:pStyle w:val="Footnotesection"/>
      </w:pPr>
      <w:r>
        <w:tab/>
        <w:t>[Regulation 33R inserted: Gazette 6 Dec 2011 p. 5175; amended: SL 2022/21 r. 6.]</w:t>
      </w:r>
    </w:p>
    <w:p>
      <w:pPr>
        <w:pStyle w:val="Heading5"/>
        <w:spacing w:before="180"/>
      </w:pPr>
      <w:bookmarkStart w:id="88" w:name="_Toc202451084"/>
      <w:r>
        <w:rPr>
          <w:rStyle w:val="CharSectno"/>
        </w:rPr>
        <w:t>33S</w:t>
      </w:r>
      <w:r>
        <w:t>.</w:t>
      </w:r>
      <w:r>
        <w:tab/>
        <w:t>Consumption of alcohol prohibited</w:t>
      </w:r>
      <w:bookmarkEnd w:id="88"/>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for this subregulation: a fine of $400.</w:t>
      </w:r>
    </w:p>
    <w:p>
      <w:pPr>
        <w:pStyle w:val="Footnotesection"/>
      </w:pPr>
      <w:r>
        <w:tab/>
        <w:t>[Regulation 33S inserted: Gazette 6 Dec 2011 p. 5175; amended: SL 2022/21 r. 6.]</w:t>
      </w:r>
    </w:p>
    <w:p>
      <w:pPr>
        <w:pStyle w:val="Heading5"/>
      </w:pPr>
      <w:bookmarkStart w:id="89" w:name="_Toc202451085"/>
      <w:r>
        <w:rPr>
          <w:rStyle w:val="CharSectno"/>
        </w:rPr>
        <w:lastRenderedPageBreak/>
        <w:t>33T</w:t>
      </w:r>
      <w:r>
        <w:t>.</w:t>
      </w:r>
      <w:r>
        <w:tab/>
        <w:t>Spitting, urinating etc. except in toilet prohibited</w:t>
      </w:r>
      <w:bookmarkEnd w:id="89"/>
    </w:p>
    <w:p>
      <w:pPr>
        <w:pStyle w:val="Subsection"/>
      </w:pPr>
      <w:r>
        <w:tab/>
        <w:t>(1)</w:t>
      </w:r>
      <w:r>
        <w:tab/>
        <w:t>A person must not, within the Muchea Livestock Centre, without reasonable excuse, spit except in a toilet facility provided by the Authority.</w:t>
      </w:r>
    </w:p>
    <w:p>
      <w:pPr>
        <w:pStyle w:val="Penstart"/>
      </w:pPr>
      <w:r>
        <w:tab/>
        <w:t>Penalty for this subregulation: a fine of $100.</w:t>
      </w:r>
    </w:p>
    <w:p>
      <w:pPr>
        <w:pStyle w:val="Subsection"/>
        <w:keepNext/>
      </w:pPr>
      <w:r>
        <w:tab/>
        <w:t>(2)</w:t>
      </w:r>
      <w:r>
        <w:tab/>
        <w:t>A person must not, within the Muchea Livestock Centre, urinate or defecate except in a toilet facility provided by the Authority.</w:t>
      </w:r>
    </w:p>
    <w:p>
      <w:pPr>
        <w:pStyle w:val="Penstart"/>
        <w:keepNext/>
      </w:pPr>
      <w:r>
        <w:tab/>
        <w:t>Penalty for this subregulation: a fine of $1 000.</w:t>
      </w:r>
    </w:p>
    <w:p>
      <w:pPr>
        <w:pStyle w:val="Footnotesection"/>
      </w:pPr>
      <w:r>
        <w:tab/>
        <w:t>[Regulation 33T inserted: Gazette 6 Dec 2011 p. 5176; amended: SL 2022/21 r. 6.]</w:t>
      </w:r>
    </w:p>
    <w:p>
      <w:pPr>
        <w:pStyle w:val="Heading5"/>
      </w:pPr>
      <w:bookmarkStart w:id="90" w:name="_Toc202451086"/>
      <w:r>
        <w:rPr>
          <w:rStyle w:val="CharSectno"/>
        </w:rPr>
        <w:t>33U</w:t>
      </w:r>
      <w:r>
        <w:t>.</w:t>
      </w:r>
      <w:r>
        <w:tab/>
        <w:t>Dogs restricted</w:t>
      </w:r>
      <w:bookmarkEnd w:id="90"/>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for this subregulation: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lastRenderedPageBreak/>
        <w:tab/>
        <w:t>(a)</w:t>
      </w:r>
      <w:r>
        <w:tab/>
        <w:t>muzzled; and</w:t>
      </w:r>
    </w:p>
    <w:p>
      <w:pPr>
        <w:pStyle w:val="Indenta"/>
      </w:pPr>
      <w:r>
        <w:tab/>
        <w:t>(b)</w:t>
      </w:r>
      <w:r>
        <w:tab/>
        <w:t>under the person’s effective control.</w:t>
      </w:r>
    </w:p>
    <w:p>
      <w:pPr>
        <w:pStyle w:val="Penstart"/>
      </w:pPr>
      <w:r>
        <w:tab/>
        <w:t>Penalty for this subregulation: a fine of $1 000.</w:t>
      </w:r>
    </w:p>
    <w:p>
      <w:pPr>
        <w:pStyle w:val="Footnotesection"/>
      </w:pPr>
      <w:r>
        <w:tab/>
        <w:t>[Regulation 33U inserted: Gazette 6 Dec 2011 p. 5176</w:t>
      </w:r>
      <w:r>
        <w:noBreakHyphen/>
        <w:t>7; amended: SL 2022/21 r. 6.]</w:t>
      </w:r>
    </w:p>
    <w:p>
      <w:pPr>
        <w:pStyle w:val="Heading5"/>
      </w:pPr>
      <w:bookmarkStart w:id="91" w:name="_Toc202451087"/>
      <w:r>
        <w:rPr>
          <w:rStyle w:val="CharSectno"/>
        </w:rPr>
        <w:t>33V</w:t>
      </w:r>
      <w:r>
        <w:t>.</w:t>
      </w:r>
      <w:r>
        <w:tab/>
        <w:t>Obstructing movement of vehicles, stock etc. prohibited</w:t>
      </w:r>
      <w:bookmarkEnd w:id="91"/>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for this subregulation: a fine of $300.</w:t>
      </w:r>
    </w:p>
    <w:p>
      <w:pPr>
        <w:pStyle w:val="Subsection"/>
        <w:rPr>
          <w:spacing w:val="-4"/>
        </w:rPr>
      </w:pPr>
      <w:r>
        <w:tab/>
        <w:t>(2)</w:t>
      </w:r>
      <w:r>
        <w:tab/>
      </w:r>
      <w:r>
        <w:rPr>
          <w:spacing w:val="-4"/>
        </w:rPr>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Gazette 6 Dec 2011 p. 5177; amended: SL 2022/21 r. 6.]</w:t>
      </w:r>
    </w:p>
    <w:p>
      <w:pPr>
        <w:pStyle w:val="Heading5"/>
      </w:pPr>
      <w:bookmarkStart w:id="92" w:name="_Toc202451088"/>
      <w:r>
        <w:rPr>
          <w:rStyle w:val="CharSectno"/>
        </w:rPr>
        <w:lastRenderedPageBreak/>
        <w:t>33W</w:t>
      </w:r>
      <w:r>
        <w:t>.</w:t>
      </w:r>
      <w:r>
        <w:tab/>
        <w:t>Restrictions on signs</w:t>
      </w:r>
      <w:bookmarkEnd w:id="92"/>
    </w:p>
    <w:p>
      <w:pPr>
        <w:pStyle w:val="Subsection"/>
      </w:pPr>
      <w:r>
        <w:tab/>
        <w:t>(1)</w:t>
      </w:r>
      <w:r>
        <w:tab/>
        <w:t>A person must not, without the prior written approval of the Authority, erect on, or affix to, any part of the Muchea Livestock Centre any sign.</w:t>
      </w:r>
    </w:p>
    <w:p>
      <w:pPr>
        <w:pStyle w:val="Penstart"/>
      </w:pPr>
      <w:r>
        <w:tab/>
        <w:t>Penalty for this subregulation: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Gazette 6 Dec 2011 p. 5178; amended: SL 2022/21 r. 6.]</w:t>
      </w:r>
    </w:p>
    <w:p>
      <w:pPr>
        <w:pStyle w:val="Heading5"/>
        <w:keepLines w:val="0"/>
        <w:spacing w:before="240"/>
      </w:pPr>
      <w:bookmarkStart w:id="93" w:name="_Toc202451089"/>
      <w:r>
        <w:rPr>
          <w:rStyle w:val="CharSectno"/>
        </w:rPr>
        <w:t>33X</w:t>
      </w:r>
      <w:r>
        <w:t>.</w:t>
      </w:r>
      <w:r>
        <w:tab/>
        <w:t>Inspectors may direct compliance with this Part</w:t>
      </w:r>
      <w:bookmarkEnd w:id="93"/>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for this subregulation: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lastRenderedPageBreak/>
        <w:tab/>
        <w:t>[Regulation 33X inserted: Gazette 6 Dec 2011 p. 5178</w:t>
      </w:r>
      <w:r>
        <w:noBreakHyphen/>
        <w:t>9; amended: SL 2022/21 r. 6.]</w:t>
      </w:r>
    </w:p>
    <w:p>
      <w:pPr>
        <w:pStyle w:val="Heading3"/>
      </w:pPr>
      <w:bookmarkStart w:id="94" w:name="_Toc202444777"/>
      <w:bookmarkStart w:id="95" w:name="_Toc202445991"/>
      <w:bookmarkStart w:id="96" w:name="_Toc202451090"/>
      <w:r>
        <w:rPr>
          <w:rStyle w:val="CharDivNo"/>
        </w:rPr>
        <w:t>Division 7</w:t>
      </w:r>
      <w:r>
        <w:t> — </w:t>
      </w:r>
      <w:r>
        <w:rPr>
          <w:rStyle w:val="CharDivText"/>
        </w:rPr>
        <w:t>Infringement notices</w:t>
      </w:r>
      <w:bookmarkEnd w:id="94"/>
      <w:bookmarkEnd w:id="95"/>
      <w:bookmarkEnd w:id="96"/>
    </w:p>
    <w:p>
      <w:pPr>
        <w:pStyle w:val="Footnoteheading"/>
        <w:keepNext/>
      </w:pPr>
      <w:r>
        <w:tab/>
        <w:t>[Heading inserted: Gazette 6 Dec 2011 p. 5179.]</w:t>
      </w:r>
    </w:p>
    <w:p>
      <w:pPr>
        <w:pStyle w:val="Heading5"/>
      </w:pPr>
      <w:bookmarkStart w:id="97" w:name="_Toc202451091"/>
      <w:r>
        <w:rPr>
          <w:rStyle w:val="CharSectno"/>
        </w:rPr>
        <w:t>33Y</w:t>
      </w:r>
      <w:r>
        <w:t>.</w:t>
      </w:r>
      <w:r>
        <w:tab/>
        <w:t>Prescribed offences and modified penalties</w:t>
      </w:r>
      <w:bookmarkEnd w:id="97"/>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keepNext/>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Gazette 6 Dec 2011 p. 5179.]</w:t>
      </w:r>
    </w:p>
    <w:p>
      <w:pPr>
        <w:pStyle w:val="Heading5"/>
      </w:pPr>
      <w:bookmarkStart w:id="98" w:name="_Toc202451092"/>
      <w:r>
        <w:rPr>
          <w:rStyle w:val="CharSectno"/>
        </w:rPr>
        <w:t>33ZA</w:t>
      </w:r>
      <w:r>
        <w:t>.</w:t>
      </w:r>
      <w:r>
        <w:tab/>
        <w:t>Authorised officers and approved officers</w:t>
      </w:r>
      <w:bookmarkEnd w:id="98"/>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Gazette 6 Dec 2011 p. 5179.]</w:t>
      </w:r>
    </w:p>
    <w:p>
      <w:pPr>
        <w:pStyle w:val="Heading5"/>
      </w:pPr>
      <w:bookmarkStart w:id="99" w:name="_Toc202451093"/>
      <w:r>
        <w:rPr>
          <w:rStyle w:val="CharSectno"/>
        </w:rPr>
        <w:t>33ZB</w:t>
      </w:r>
      <w:r>
        <w:t>.</w:t>
      </w:r>
      <w:r>
        <w:tab/>
        <w:t>Forms</w:t>
      </w:r>
      <w:bookmarkEnd w:id="99"/>
    </w:p>
    <w:p>
      <w:pPr>
        <w:pStyle w:val="Subsection"/>
      </w:pPr>
      <w:r>
        <w:tab/>
      </w:r>
      <w:r>
        <w:tab/>
        <w:t>The forms set out in Schedule 6B are prescribed in relation to the matters specified in those forms.</w:t>
      </w:r>
    </w:p>
    <w:p>
      <w:pPr>
        <w:pStyle w:val="Footnotesection"/>
      </w:pPr>
      <w:r>
        <w:tab/>
        <w:t>[Regulation 33ZB inserted: Gazette 6 Dec 2011 p. 5179.]</w:t>
      </w:r>
    </w:p>
    <w:p>
      <w:pPr>
        <w:pStyle w:val="Heading2"/>
      </w:pPr>
      <w:bookmarkStart w:id="100" w:name="_Toc202444781"/>
      <w:bookmarkStart w:id="101" w:name="_Toc202445995"/>
      <w:bookmarkStart w:id="102" w:name="_Toc202451094"/>
      <w:r>
        <w:rPr>
          <w:rStyle w:val="CharPartNo"/>
        </w:rPr>
        <w:lastRenderedPageBreak/>
        <w:t>Part VII</w:t>
      </w:r>
      <w:r>
        <w:rPr>
          <w:rStyle w:val="CharDivNo"/>
        </w:rPr>
        <w:t> </w:t>
      </w:r>
      <w:r>
        <w:t>—</w:t>
      </w:r>
      <w:r>
        <w:rPr>
          <w:rStyle w:val="CharDivText"/>
        </w:rPr>
        <w:t> </w:t>
      </w:r>
      <w:r>
        <w:rPr>
          <w:rStyle w:val="CharPartText"/>
        </w:rPr>
        <w:t>Fees and returns</w:t>
      </w:r>
      <w:bookmarkEnd w:id="100"/>
      <w:bookmarkEnd w:id="101"/>
      <w:bookmarkEnd w:id="102"/>
    </w:p>
    <w:p>
      <w:pPr>
        <w:pStyle w:val="Footnoteheading"/>
        <w:rPr>
          <w:snapToGrid w:val="0"/>
        </w:rPr>
      </w:pPr>
      <w:r>
        <w:rPr>
          <w:snapToGrid w:val="0"/>
        </w:rPr>
        <w:tab/>
        <w:t>[Heading inserted: Gazette 2 Feb 1996 p. 391.]</w:t>
      </w:r>
    </w:p>
    <w:p>
      <w:pPr>
        <w:pStyle w:val="Heading5"/>
        <w:rPr>
          <w:snapToGrid w:val="0"/>
        </w:rPr>
      </w:pPr>
      <w:bookmarkStart w:id="103" w:name="_Toc202451095"/>
      <w:r>
        <w:rPr>
          <w:rStyle w:val="CharSectno"/>
        </w:rPr>
        <w:t>33</w:t>
      </w:r>
      <w:r>
        <w:rPr>
          <w:snapToGrid w:val="0"/>
        </w:rPr>
        <w:t>.</w:t>
      </w:r>
      <w:r>
        <w:rPr>
          <w:snapToGrid w:val="0"/>
        </w:rPr>
        <w:tab/>
        <w:t>Abattoir fees</w:t>
      </w:r>
      <w:bookmarkEnd w:id="103"/>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Gazette 2 Feb 1996 p. 391; amended: Gazette 10 Aug 2018 p. 2859.]</w:t>
      </w:r>
    </w:p>
    <w:p>
      <w:pPr>
        <w:pStyle w:val="Heading5"/>
      </w:pPr>
      <w:bookmarkStart w:id="104" w:name="_Toc202451096"/>
      <w:r>
        <w:rPr>
          <w:rStyle w:val="CharSectno"/>
        </w:rPr>
        <w:t>34A</w:t>
      </w:r>
      <w:r>
        <w:t>.</w:t>
      </w:r>
      <w:r>
        <w:tab/>
        <w:t>Fees for approvals and renewals of approvals as stock agent</w:t>
      </w:r>
      <w:bookmarkEnd w:id="104"/>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lastRenderedPageBreak/>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30.75pt" o:ole="">
            <v:imagedata r:id="rId21" o:title=""/>
          </v:shape>
          <o:OLEObject Type="Embed" ProgID="Equation.3" ShapeID="_x0000_i1025" DrawAspect="Content" ObjectID="_1813478749"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Gazette 6 Dec 2011 p. 5180</w:t>
      </w:r>
      <w:r>
        <w:noBreakHyphen/>
        <w:t>1; amended: Gazette 10 Aug 2018 p. 2859.]</w:t>
      </w:r>
    </w:p>
    <w:p>
      <w:pPr>
        <w:pStyle w:val="Heading5"/>
      </w:pPr>
      <w:bookmarkStart w:id="105" w:name="_Toc202451097"/>
      <w:r>
        <w:rPr>
          <w:rStyle w:val="CharSectno"/>
        </w:rPr>
        <w:t>34B</w:t>
      </w:r>
      <w:r>
        <w:t>.</w:t>
      </w:r>
      <w:r>
        <w:tab/>
        <w:t>Fees for parking permits in Muchea Livestock Centre</w:t>
      </w:r>
      <w:bookmarkEnd w:id="105"/>
    </w:p>
    <w:p>
      <w:pPr>
        <w:pStyle w:val="Subsection"/>
      </w:pPr>
      <w:r>
        <w:tab/>
      </w:r>
      <w:r>
        <w:tab/>
        <w:t>The fees set out in Schedule 6 Division 4 are payable in respect of the issue of parking permits under regulation 33N.</w:t>
      </w:r>
    </w:p>
    <w:p>
      <w:pPr>
        <w:pStyle w:val="Footnotesection"/>
      </w:pPr>
      <w:r>
        <w:tab/>
        <w:t>[Regulation 34B inserted: Gazette 6 Dec 2011 p. 5181; amended: Gazette 10 Aug 2018 p. 2860.]</w:t>
      </w:r>
    </w:p>
    <w:p>
      <w:pPr>
        <w:pStyle w:val="Heading5"/>
      </w:pPr>
      <w:bookmarkStart w:id="106" w:name="_Toc202451098"/>
      <w:r>
        <w:rPr>
          <w:rStyle w:val="CharSectno"/>
        </w:rPr>
        <w:t>34</w:t>
      </w:r>
      <w:r>
        <w:t>.</w:t>
      </w:r>
      <w:r>
        <w:tab/>
        <w:t>Muchea Livestock Centre fees</w:t>
      </w:r>
      <w:bookmarkEnd w:id="106"/>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lastRenderedPageBreak/>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$0.55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Gazette 4 Apr 2003 p. 1024; amended: Gazette 31 Jul 2008 p. 3449-50; 30 Apr 2010 p. 1600</w:t>
      </w:r>
      <w:r>
        <w:noBreakHyphen/>
        <w:t>1; 30 Jun 2010 p. 3128; 30 Jun 2011 p. 2707; 6 Dec 2011 p. 5181; 24 Jul 2015 p. 3041; 16 Sep 2016 p. 3933; 27 Oct 2017 p. 5414; 10 Aug 2018 p. 2860; 28 Jun 2019 p. 2475; SL 2020/113 r. 4; SL 2021/171 r. 5; SL 2023/4 r. 4; SL 2023/185 r. 4; SL 2025/132 r. 4.]</w:t>
      </w:r>
    </w:p>
    <w:p>
      <w:pPr>
        <w:pStyle w:val="Heading5"/>
      </w:pPr>
      <w:bookmarkStart w:id="107" w:name="_Toc202451099"/>
      <w:r>
        <w:rPr>
          <w:rStyle w:val="CharSectno"/>
        </w:rPr>
        <w:t>35A</w:t>
      </w:r>
      <w:r>
        <w:t>.</w:t>
      </w:r>
      <w:r>
        <w:tab/>
        <w:t>Circumstances in which yard fees reduced or not payable</w:t>
      </w:r>
      <w:bookmarkEnd w:id="107"/>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 xml:space="preserve">If more than 500 cattle or more than 500 calves are submitted for sale at the Muchea Livestock Centre on behalf of a single vendor at the same scheduled cattle sale or calves sale, the fee </w:t>
      </w:r>
      <w:r>
        <w:lastRenderedPageBreak/>
        <w:t>payable under regulation 34(1) in respect of that stock is reduced by 50%.</w:t>
      </w:r>
    </w:p>
    <w:p>
      <w:pPr>
        <w:pStyle w:val="Subsection"/>
        <w:keepNext/>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Gazette 6 Dec 2011 p. 5182</w:t>
      </w:r>
      <w:r>
        <w:noBreakHyphen/>
        <w:t>3.]</w:t>
      </w:r>
    </w:p>
    <w:p>
      <w:pPr>
        <w:pStyle w:val="Heading5"/>
        <w:spacing w:before="200"/>
        <w:rPr>
          <w:snapToGrid w:val="0"/>
        </w:rPr>
      </w:pPr>
      <w:bookmarkStart w:id="108" w:name="_Toc202451100"/>
      <w:r>
        <w:rPr>
          <w:rStyle w:val="CharSectno"/>
        </w:rPr>
        <w:t>35</w:t>
      </w:r>
      <w:r>
        <w:rPr>
          <w:snapToGrid w:val="0"/>
        </w:rPr>
        <w:t>.</w:t>
      </w:r>
      <w:r>
        <w:rPr>
          <w:snapToGrid w:val="0"/>
        </w:rPr>
        <w:tab/>
        <w:t>Returns for yarded stock</w:t>
      </w:r>
      <w:bookmarkEnd w:id="108"/>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Gazette 2 Feb 1996 p. 392; amended: Gazette 30 Apr 2010 p. 1600</w:t>
      </w:r>
      <w:r>
        <w:noBreakHyphen/>
        <w:t>1.]</w:t>
      </w:r>
    </w:p>
    <w:p>
      <w:pPr>
        <w:pStyle w:val="Heading5"/>
      </w:pPr>
      <w:bookmarkStart w:id="109" w:name="_Toc202451101"/>
      <w:r>
        <w:rPr>
          <w:rStyle w:val="CharSectno"/>
        </w:rPr>
        <w:lastRenderedPageBreak/>
        <w:t>36A</w:t>
      </w:r>
      <w:r>
        <w:t>.</w:t>
      </w:r>
      <w:r>
        <w:tab/>
        <w:t>Stock treated as yarded for transhipment</w:t>
      </w:r>
      <w:bookmarkEnd w:id="109"/>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Gazette 6 Dec 2011 p. 5183.]</w:t>
      </w:r>
    </w:p>
    <w:p>
      <w:pPr>
        <w:pStyle w:val="Heading5"/>
        <w:spacing w:before="200"/>
      </w:pPr>
      <w:bookmarkStart w:id="110" w:name="_Toc202451102"/>
      <w:r>
        <w:rPr>
          <w:rStyle w:val="CharSectno"/>
        </w:rPr>
        <w:t>36</w:t>
      </w:r>
      <w:r>
        <w:t>.</w:t>
      </w:r>
      <w:r>
        <w:tab/>
        <w:t>Transitional provisions relating to move from Midland Saleyard to Muchea Livestock Centre</w:t>
      </w:r>
      <w:bookmarkEnd w:id="110"/>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Gazette 30 Apr 2010 p. 1602.]</w:t>
      </w:r>
    </w:p>
    <w:p>
      <w:pPr>
        <w:rPr>
          <w:rStyle w:val="CharDivText"/>
        </w:rPr>
        <w:sectPr>
          <w:headerReference w:type="even" r:id="rId23"/>
          <w:headerReference w:type="default" r:id="rId24"/>
          <w:headerReference w:type="first" r:id="rId25"/>
          <w:pgSz w:w="11907" w:h="16840" w:code="9"/>
          <w:pgMar w:top="2376" w:right="2405" w:bottom="3542" w:left="2405" w:header="706" w:footer="3544" w:gutter="0"/>
          <w:pgNumType w:start="1"/>
          <w:cols w:space="720"/>
          <w:noEndnote/>
          <w:titlePg/>
          <w:docGrid w:linePitch="326"/>
        </w:sectPr>
      </w:pPr>
    </w:p>
    <w:p>
      <w:pPr>
        <w:pStyle w:val="yScheduleHeading"/>
      </w:pPr>
      <w:bookmarkStart w:id="111" w:name="_Toc202444790"/>
      <w:bookmarkStart w:id="112" w:name="_Toc202446004"/>
      <w:bookmarkStart w:id="113" w:name="_Toc202451103"/>
      <w:r>
        <w:rPr>
          <w:rStyle w:val="CharSchNo"/>
        </w:rPr>
        <w:lastRenderedPageBreak/>
        <w:t>Schedule 1</w:t>
      </w:r>
      <w:bookmarkEnd w:id="111"/>
      <w:bookmarkEnd w:id="112"/>
      <w:bookmarkEnd w:id="113"/>
    </w:p>
    <w:p>
      <w:pPr>
        <w:pStyle w:val="yShoulderClause"/>
        <w:rPr>
          <w:snapToGrid w:val="0"/>
        </w:rPr>
      </w:pPr>
      <w:r>
        <w:rPr>
          <w:snapToGrid w:val="0"/>
        </w:rPr>
        <w:t>[regulation</w:t>
      </w:r>
      <w:r>
        <w:rPr>
          <w:rStyle w:val="CharSDivNo"/>
          <w:sz w:val="22"/>
        </w:rPr>
        <w:t> </w:t>
      </w:r>
      <w:r>
        <w:rPr>
          <w:snapToGrid w:val="0"/>
        </w:rPr>
        <w:t>11]</w:t>
      </w:r>
    </w:p>
    <w:p>
      <w:pPr>
        <w:pStyle w:val="yHeading3"/>
      </w:pPr>
      <w:bookmarkStart w:id="114" w:name="_Toc202444791"/>
      <w:bookmarkStart w:id="115" w:name="_Toc202446005"/>
      <w:bookmarkStart w:id="116" w:name="_Toc202451104"/>
      <w:r>
        <w:t>Part</w:t>
      </w:r>
      <w:r>
        <w:rPr>
          <w:rStyle w:val="CharSDivText"/>
        </w:rPr>
        <w:t xml:space="preserve"> </w:t>
      </w:r>
      <w:r>
        <w:t>A</w:t>
      </w:r>
      <w:bookmarkEnd w:id="114"/>
      <w:bookmarkEnd w:id="115"/>
      <w:bookmarkEnd w:id="116"/>
    </w:p>
    <w:p>
      <w:pPr>
        <w:pStyle w:val="Graphics"/>
        <w:jc w:val="center"/>
        <w:rPr>
          <w:snapToGrid w:val="0"/>
        </w:rPr>
      </w:pPr>
      <w: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17" w:name="_Toc202444792"/>
      <w:bookmarkStart w:id="118" w:name="_Toc202446006"/>
      <w:bookmarkStart w:id="119" w:name="_Toc202451105"/>
      <w:r>
        <w:lastRenderedPageBreak/>
        <w:t>Part B</w:t>
      </w:r>
      <w:bookmarkEnd w:id="117"/>
      <w:bookmarkEnd w:id="118"/>
      <w:bookmarkEnd w:id="119"/>
    </w:p>
    <w:p>
      <w:pPr>
        <w:pStyle w:val="Graphics"/>
        <w:jc w:val="center"/>
        <w:rPr>
          <w:snapToGrid w:val="0"/>
        </w:rPr>
      </w:pPr>
      <w: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20" w:name="_Toc202444793"/>
      <w:bookmarkStart w:id="121" w:name="_Toc202446007"/>
      <w:bookmarkStart w:id="122" w:name="_Toc202451106"/>
      <w:r>
        <w:lastRenderedPageBreak/>
        <w:t>Part C</w:t>
      </w:r>
      <w:bookmarkEnd w:id="120"/>
      <w:bookmarkEnd w:id="121"/>
      <w:bookmarkEnd w:id="122"/>
    </w:p>
    <w:p>
      <w:pPr>
        <w:pStyle w:val="Graphics"/>
        <w:jc w:val="center"/>
      </w:pPr>
      <w:r>
        <w:object w:dxaOrig="1831" w:dyaOrig="5131">
          <v:shape id="_x0000_i1026" type="#_x0000_t75" style="width:91.5pt;height:255.75pt" o:ole="" fillcolor="window">
            <v:imagedata r:id="rId28" o:title=""/>
          </v:shape>
          <o:OLEObject Type="Embed" ProgID="Word.Picture.8" ShapeID="_x0000_i1026" DrawAspect="Content" ObjectID="_1813478750" r:id="rId29"/>
        </w:object>
      </w:r>
    </w:p>
    <w:p>
      <w:pPr>
        <w:pStyle w:val="yScheduleHeading"/>
      </w:pPr>
      <w:bookmarkStart w:id="123" w:name="_Toc202444794"/>
      <w:bookmarkStart w:id="124" w:name="_Toc202446008"/>
      <w:bookmarkStart w:id="125" w:name="_Toc202451107"/>
      <w:r>
        <w:rPr>
          <w:rStyle w:val="CharSchNo"/>
        </w:rPr>
        <w:lastRenderedPageBreak/>
        <w:t>Schedule 2</w:t>
      </w:r>
      <w:bookmarkEnd w:id="123"/>
      <w:bookmarkEnd w:id="124"/>
      <w:bookmarkEnd w:id="125"/>
    </w:p>
    <w:p>
      <w:pPr>
        <w:pStyle w:val="yShoulderClause"/>
        <w:rPr>
          <w:snapToGrid w:val="0"/>
        </w:rPr>
      </w:pPr>
      <w:r>
        <w:rPr>
          <w:snapToGrid w:val="0"/>
        </w:rPr>
        <w:t>[regulation 13]</w:t>
      </w:r>
    </w:p>
    <w:p>
      <w:pPr>
        <w:pStyle w:val="yHeading3"/>
      </w:pPr>
      <w:bookmarkStart w:id="126" w:name="_Toc202444795"/>
      <w:bookmarkStart w:id="127" w:name="_Toc202446009"/>
      <w:bookmarkStart w:id="128" w:name="_Toc202451108"/>
      <w:r>
        <w:t>Part A</w:t>
      </w:r>
      <w:bookmarkEnd w:id="126"/>
      <w:bookmarkEnd w:id="127"/>
      <w:bookmarkEnd w:id="128"/>
    </w:p>
    <w:p>
      <w:pPr>
        <w:pStyle w:val="Graphics"/>
        <w:jc w:val="center"/>
        <w:rPr>
          <w:snapToGrid w:val="0"/>
        </w:rPr>
      </w:pPr>
      <w: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29" w:name="_Toc202444796"/>
      <w:bookmarkStart w:id="130" w:name="_Toc202446010"/>
      <w:bookmarkStart w:id="131" w:name="_Toc202451109"/>
      <w:r>
        <w:lastRenderedPageBreak/>
        <w:t>Part B</w:t>
      </w:r>
      <w:bookmarkEnd w:id="129"/>
      <w:bookmarkEnd w:id="130"/>
      <w:bookmarkEnd w:id="131"/>
    </w:p>
    <w:p>
      <w:pPr>
        <w:pStyle w:val="Graphics"/>
        <w:jc w:val="center"/>
        <w:rPr>
          <w:snapToGrid w:val="0"/>
        </w:rPr>
      </w:pPr>
      <w: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2" w:name="_Toc202444797"/>
      <w:bookmarkStart w:id="133" w:name="_Toc202446011"/>
      <w:bookmarkStart w:id="134" w:name="_Toc202451110"/>
      <w:r>
        <w:rPr>
          <w:rStyle w:val="CharSchNo"/>
        </w:rPr>
        <w:lastRenderedPageBreak/>
        <w:t>Schedule 3</w:t>
      </w:r>
      <w:bookmarkEnd w:id="132"/>
      <w:bookmarkEnd w:id="133"/>
      <w:bookmarkEnd w:id="134"/>
    </w:p>
    <w:p>
      <w:pPr>
        <w:pStyle w:val="yShoulderClause"/>
        <w:rPr>
          <w:snapToGrid w:val="0"/>
        </w:rPr>
      </w:pPr>
      <w:r>
        <w:rPr>
          <w:snapToGrid w:val="0"/>
        </w:rPr>
        <w:t>[regulation 14]</w:t>
      </w:r>
    </w:p>
    <w:p>
      <w:pPr>
        <w:pStyle w:val="yHeading3"/>
      </w:pPr>
      <w:bookmarkStart w:id="135" w:name="_Toc202444798"/>
      <w:bookmarkStart w:id="136" w:name="_Toc202446012"/>
      <w:bookmarkStart w:id="137" w:name="_Toc202451111"/>
      <w:r>
        <w:t>Part A</w:t>
      </w:r>
      <w:bookmarkEnd w:id="135"/>
      <w:bookmarkEnd w:id="136"/>
      <w:bookmarkEnd w:id="137"/>
    </w:p>
    <w:p>
      <w:pPr>
        <w:pStyle w:val="Graphics"/>
        <w:jc w:val="center"/>
        <w:rPr>
          <w:snapToGrid w:val="0"/>
        </w:rPr>
      </w:pPr>
      <w: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38" w:name="_Toc202444799"/>
      <w:bookmarkStart w:id="139" w:name="_Toc202446013"/>
      <w:bookmarkStart w:id="140" w:name="_Toc202451112"/>
      <w:r>
        <w:lastRenderedPageBreak/>
        <w:t>Part B</w:t>
      </w:r>
      <w:bookmarkEnd w:id="138"/>
      <w:bookmarkEnd w:id="139"/>
      <w:bookmarkEnd w:id="140"/>
    </w:p>
    <w:p>
      <w:pPr>
        <w:pStyle w:val="Graphics"/>
        <w:jc w:val="center"/>
        <w:rPr>
          <w:snapToGrid w:val="0"/>
        </w:rPr>
      </w:pPr>
      <w: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41" w:name="_Toc202444800"/>
      <w:bookmarkStart w:id="142" w:name="_Toc202446014"/>
      <w:bookmarkStart w:id="143" w:name="_Toc202451113"/>
      <w:r>
        <w:t>Part C</w:t>
      </w:r>
      <w:bookmarkEnd w:id="141"/>
      <w:bookmarkEnd w:id="142"/>
      <w:bookmarkEnd w:id="143"/>
    </w:p>
    <w:p>
      <w:pPr>
        <w:pStyle w:val="Graphics"/>
        <w:jc w:val="center"/>
        <w:rPr>
          <w:snapToGrid w:val="0"/>
        </w:rPr>
      </w:pPr>
      <w: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44" w:name="_Toc202444801"/>
      <w:bookmarkStart w:id="145" w:name="_Toc202446015"/>
      <w:bookmarkStart w:id="146" w:name="_Toc202451114"/>
      <w:r>
        <w:lastRenderedPageBreak/>
        <w:t>Part D</w:t>
      </w:r>
      <w:bookmarkEnd w:id="144"/>
      <w:bookmarkEnd w:id="145"/>
      <w:bookmarkEnd w:id="146"/>
    </w:p>
    <w:p>
      <w:pPr>
        <w:pStyle w:val="Graphics"/>
        <w:jc w:val="center"/>
        <w:rPr>
          <w:snapToGrid w:val="0"/>
        </w:rPr>
      </w:pPr>
      <w: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Gazette 23 May 1986 p. 1741; 27 May 1988 p. 1795.]</w:t>
      </w:r>
    </w:p>
    <w:p>
      <w:pPr>
        <w:outlineLvl w:val="0"/>
        <w:sectPr>
          <w:headerReference w:type="even" r:id="rId36"/>
          <w:headerReference w:type="default" r:id="rId37"/>
          <w:pgSz w:w="11907" w:h="16840" w:code="9"/>
          <w:pgMar w:top="2381" w:right="2410" w:bottom="3544" w:left="2410" w:header="720" w:footer="3544" w:gutter="0"/>
          <w:cols w:space="720"/>
        </w:sectPr>
      </w:pPr>
    </w:p>
    <w:p>
      <w:pPr>
        <w:pStyle w:val="yScheduleHeading"/>
      </w:pPr>
      <w:bookmarkStart w:id="148" w:name="_Toc202444802"/>
      <w:bookmarkStart w:id="149" w:name="_Toc202446016"/>
      <w:bookmarkStart w:id="150" w:name="_Toc202451115"/>
      <w:r>
        <w:rPr>
          <w:rStyle w:val="CharSchNo"/>
        </w:rPr>
        <w:lastRenderedPageBreak/>
        <w:t>Schedule 4</w:t>
      </w:r>
      <w:bookmarkEnd w:id="148"/>
      <w:bookmarkEnd w:id="149"/>
      <w:bookmarkEnd w:id="150"/>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pPr>
      <w:bookmarkStart w:id="151" w:name="_Toc202451116"/>
      <w:r>
        <w:rPr>
          <w:rStyle w:val="CharSClsNo"/>
        </w:rPr>
        <w:t>1</w:t>
      </w:r>
      <w:r>
        <w:t>.</w:t>
      </w:r>
      <w:r>
        <w:rPr>
          <w:rStyle w:val="CharSClsNo"/>
        </w:rPr>
        <w:tab/>
      </w:r>
      <w:r>
        <w:t>Pigs</w:t>
      </w:r>
      <w:bookmarkEnd w:id="15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Gazette 10 Jan 2017 p. 171.]</w:t>
      </w:r>
    </w:p>
    <w:p>
      <w:pPr>
        <w:pStyle w:val="yHeading5"/>
        <w:rPr>
          <w:snapToGrid w:val="0"/>
        </w:rPr>
      </w:pPr>
      <w:bookmarkStart w:id="152" w:name="_Toc202451117"/>
      <w:r>
        <w:rPr>
          <w:rStyle w:val="CharSClsNo"/>
        </w:rPr>
        <w:t>2</w:t>
      </w:r>
      <w:r>
        <w:rPr>
          <w:snapToGrid w:val="0"/>
        </w:rPr>
        <w:t>.</w:t>
      </w:r>
      <w:r>
        <w:rPr>
          <w:snapToGrid w:val="0"/>
        </w:rPr>
        <w:tab/>
        <w:t>Cattle</w:t>
      </w:r>
      <w:bookmarkEnd w:id="152"/>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lastRenderedPageBreak/>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Gazette 27 May 1988 p. 1796.]</w:t>
      </w:r>
    </w:p>
    <w:p>
      <w:pPr>
        <w:pStyle w:val="yHeading5"/>
        <w:rPr>
          <w:snapToGrid w:val="0"/>
        </w:rPr>
      </w:pPr>
      <w:bookmarkStart w:id="153" w:name="_Toc202451118"/>
      <w:r>
        <w:rPr>
          <w:rStyle w:val="CharSClsNo"/>
        </w:rPr>
        <w:t>3</w:t>
      </w:r>
      <w:r>
        <w:rPr>
          <w:snapToGrid w:val="0"/>
        </w:rPr>
        <w:t>.</w:t>
      </w:r>
      <w:r>
        <w:rPr>
          <w:snapToGrid w:val="0"/>
        </w:rPr>
        <w:tab/>
        <w:t>Sheep</w:t>
      </w:r>
      <w:bookmarkEnd w:id="15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lastRenderedPageBreak/>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Gazette 27 May 1988 p. 1796.]</w:t>
      </w:r>
    </w:p>
    <w:p>
      <w:pPr>
        <w:pStyle w:val="yHeading5"/>
        <w:rPr>
          <w:snapToGrid w:val="0"/>
        </w:rPr>
      </w:pPr>
      <w:bookmarkStart w:id="154" w:name="_Toc202451119"/>
      <w:r>
        <w:rPr>
          <w:rStyle w:val="CharSClsNo"/>
        </w:rPr>
        <w:t>4</w:t>
      </w:r>
      <w:r>
        <w:rPr>
          <w:snapToGrid w:val="0"/>
        </w:rPr>
        <w:t>.</w:t>
      </w:r>
      <w:r>
        <w:rPr>
          <w:snapToGrid w:val="0"/>
        </w:rPr>
        <w:tab/>
        <w:t>Goats</w:t>
      </w:r>
      <w:bookmarkEnd w:id="15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Gazette 27 May 1988 p. 1796.]</w:t>
      </w:r>
    </w:p>
    <w:p>
      <w:pPr>
        <w:outlineLvl w:val="0"/>
        <w:sectPr>
          <w:headerReference w:type="even" r:id="rId38"/>
          <w:headerReference w:type="default" r:id="rId39"/>
          <w:pgSz w:w="11907" w:h="16840" w:code="9"/>
          <w:pgMar w:top="2381" w:right="2410" w:bottom="3544" w:left="2410" w:header="720" w:footer="3544" w:gutter="0"/>
          <w:cols w:space="720"/>
        </w:sectPr>
      </w:pPr>
    </w:p>
    <w:p>
      <w:pPr>
        <w:pStyle w:val="yScheduleHeading"/>
      </w:pPr>
      <w:bookmarkStart w:id="155" w:name="_Toc202444807"/>
      <w:bookmarkStart w:id="156" w:name="_Toc202446021"/>
      <w:bookmarkStart w:id="157" w:name="_Toc202451120"/>
      <w:r>
        <w:rPr>
          <w:rStyle w:val="CharSchNo"/>
        </w:rPr>
        <w:lastRenderedPageBreak/>
        <w:t>Schedule 5</w:t>
      </w:r>
      <w:bookmarkEnd w:id="155"/>
      <w:bookmarkEnd w:id="156"/>
      <w:bookmarkEnd w:id="157"/>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Gazette 26 Oct 1990 p. 5362-3.]</w:t>
      </w:r>
    </w:p>
    <w:p>
      <w:pPr>
        <w:pStyle w:val="yMiscellaneousHeading"/>
        <w:rPr>
          <w:b/>
          <w:bCs/>
          <w:snapToGrid w:val="0"/>
        </w:rPr>
      </w:pPr>
      <w:r>
        <w:rPr>
          <w:b/>
          <w:bCs/>
          <w:snapToGrid w:val="0"/>
        </w:rPr>
        <w:lastRenderedPageBreak/>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Gazette 26 Oct 1990 p. 5363.]</w:t>
      </w:r>
    </w:p>
    <w:p>
      <w:pPr>
        <w:pStyle w:val="yMiscellaneousHeading"/>
        <w:pageBreakBefore/>
        <w:rPr>
          <w:b/>
          <w:bCs/>
          <w:snapToGrid w:val="0"/>
        </w:rPr>
      </w:pPr>
      <w:r>
        <w:rPr>
          <w:b/>
          <w:bCs/>
          <w:snapToGrid w:val="0"/>
        </w:rPr>
        <w:lastRenderedPageBreak/>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20"/>
        <w:rPr>
          <w:i/>
          <w:iCs/>
          <w:snapToGrid w:val="0"/>
        </w:rPr>
      </w:pPr>
      <w:r>
        <w:rPr>
          <w:i/>
          <w:iCs/>
          <w:snapToGrid w:val="0"/>
        </w:rPr>
        <w:t>Western Australian Meat Industry Authority Act 1976</w:t>
      </w:r>
    </w:p>
    <w:p>
      <w:pPr>
        <w:pStyle w:val="yMiscellaneousHeading"/>
        <w:spacing w:before="120"/>
        <w:rPr>
          <w:i/>
          <w:iCs/>
          <w:snapToGrid w:val="0"/>
        </w:rPr>
      </w:pPr>
      <w:r>
        <w:rPr>
          <w:i/>
          <w:iCs/>
          <w:snapToGrid w:val="0"/>
        </w:rPr>
        <w:t>Western Australian Meat Industry Authority Regulations 1985</w:t>
      </w:r>
    </w:p>
    <w:p>
      <w:pPr>
        <w:pStyle w:val="MiscellaneousHeading"/>
        <w:spacing w:before="140"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60"/>
        <w:rPr>
          <w:snapToGrid w:val="0"/>
        </w:rPr>
      </w:pPr>
      <w:r>
        <w:rPr>
          <w:snapToGrid w:val="0"/>
        </w:rPr>
        <w:tab/>
        <w:t>(a)</w:t>
      </w:r>
      <w:r>
        <w:rPr>
          <w:snapToGrid w:val="0"/>
        </w:rPr>
        <w:tab/>
        <w:t>Applicants Full Name(s): .................................................................</w:t>
      </w:r>
    </w:p>
    <w:p>
      <w:pPr>
        <w:pStyle w:val="yMiscellaneousBody"/>
        <w:tabs>
          <w:tab w:val="left" w:pos="600"/>
          <w:tab w:val="left" w:pos="1200"/>
        </w:tabs>
        <w:spacing w:before="60"/>
        <w:rPr>
          <w:snapToGrid w:val="0"/>
        </w:rPr>
      </w:pPr>
      <w:r>
        <w:rPr>
          <w:snapToGrid w:val="0"/>
        </w:rPr>
        <w:tab/>
        <w:t>(b)</w:t>
      </w:r>
      <w:r>
        <w:rPr>
          <w:snapToGrid w:val="0"/>
        </w:rPr>
        <w:tab/>
        <w:t>Registered Business Name: ..............................................................</w:t>
      </w:r>
    </w:p>
    <w:p>
      <w:pPr>
        <w:pStyle w:val="yMiscellaneousBody"/>
        <w:tabs>
          <w:tab w:val="left" w:pos="600"/>
          <w:tab w:val="left" w:pos="1200"/>
        </w:tabs>
        <w:spacing w:before="6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60"/>
        <w:rPr>
          <w:snapToGrid w:val="0"/>
        </w:rPr>
      </w:pPr>
      <w:r>
        <w:rPr>
          <w:snapToGrid w:val="0"/>
        </w:rPr>
        <w:tab/>
        <w:t>(d)</w:t>
      </w:r>
      <w:r>
        <w:rPr>
          <w:snapToGrid w:val="0"/>
        </w:rPr>
        <w:tab/>
        <w:t>Telephone Number: .........................................................................</w:t>
      </w:r>
    </w:p>
    <w:p>
      <w:pPr>
        <w:pStyle w:val="yMiscellaneousBody"/>
        <w:tabs>
          <w:tab w:val="left" w:pos="600"/>
          <w:tab w:val="left" w:pos="1200"/>
        </w:tabs>
        <w:spacing w:before="6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8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4670" w:type="dxa"/>
            <w:gridSpan w:val="4"/>
          </w:tcPr>
          <w:p>
            <w:pPr>
              <w:pStyle w:val="yTableNAm"/>
              <w:spacing w:before="60"/>
              <w:rPr>
                <w:snapToGrid w:val="0"/>
              </w:rPr>
            </w:pPr>
            <w:r>
              <w:rPr>
                <w:snapToGrid w:val="0"/>
              </w:rPr>
              <w:t>................................................................................</w:t>
            </w:r>
          </w:p>
        </w:tc>
      </w:tr>
      <w:tr>
        <w:tc>
          <w:tcPr>
            <w:tcW w:w="2518" w:type="dxa"/>
          </w:tcPr>
          <w:p>
            <w:pPr>
              <w:pStyle w:val="yTableNAm"/>
              <w:spacing w:before="60"/>
              <w:rPr>
                <w:snapToGrid w:val="0"/>
              </w:rPr>
            </w:pPr>
            <w:r>
              <w:rPr>
                <w:snapToGrid w:val="0"/>
              </w:rPr>
              <w:t>Chiller Capacity</w:t>
            </w:r>
          </w:p>
        </w:tc>
        <w:tc>
          <w:tcPr>
            <w:tcW w:w="4670" w:type="dxa"/>
            <w:gridSpan w:val="4"/>
          </w:tcPr>
          <w:p>
            <w:pPr>
              <w:pStyle w:val="yTableNAm"/>
              <w:spacing w:before="60"/>
              <w:rPr>
                <w:snapToGrid w:val="0"/>
              </w:rPr>
            </w:pPr>
            <w:r>
              <w:rPr>
                <w:snapToGrid w:val="0"/>
              </w:rPr>
              <w:t>................................................................................</w:t>
            </w:r>
          </w:p>
        </w:tc>
      </w:tr>
    </w:tbl>
    <w:p>
      <w:pPr>
        <w:pStyle w:val="yMiscellaneousBody"/>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Gazette 26 Oct 1990 p. 5363.]</w:t>
      </w:r>
    </w:p>
    <w:p>
      <w:pPr>
        <w:pStyle w:val="yMiscellaneousHeading"/>
        <w:pageBreakBefore/>
        <w:rPr>
          <w:b/>
          <w:bCs/>
          <w:snapToGrid w:val="0"/>
        </w:rPr>
      </w:pPr>
      <w:r>
        <w:rPr>
          <w:b/>
          <w:bCs/>
          <w:snapToGrid w:val="0"/>
        </w:rPr>
        <w:lastRenderedPageBreak/>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Gazette 26 Oct 1990 p. 5364.]</w:t>
      </w:r>
    </w:p>
    <w:p>
      <w:pPr>
        <w:pStyle w:val="yMiscellaneousHeading"/>
        <w:pageBreakBefore/>
        <w:rPr>
          <w:b/>
          <w:bCs/>
          <w:snapToGrid w:val="0"/>
        </w:rPr>
      </w:pPr>
      <w:r>
        <w:rPr>
          <w:b/>
          <w:bCs/>
          <w:snapToGrid w:val="0"/>
        </w:rPr>
        <w:lastRenderedPageBreak/>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4678" w:type="dxa"/>
            <w:gridSpan w:val="4"/>
          </w:tcPr>
          <w:p>
            <w:pPr>
              <w:pStyle w:val="yTableNAm"/>
              <w:rPr>
                <w:snapToGrid w:val="0"/>
              </w:rPr>
            </w:pPr>
            <w:r>
              <w:rPr>
                <w:snapToGrid w:val="0"/>
              </w:rPr>
              <w:br/>
              <w:t>.................................................................................</w:t>
            </w:r>
          </w:p>
        </w:tc>
      </w:tr>
      <w:tr>
        <w:tc>
          <w:tcPr>
            <w:tcW w:w="1276" w:type="dxa"/>
          </w:tcPr>
          <w:p>
            <w:pPr>
              <w:pStyle w:val="yTableNAm"/>
              <w:rPr>
                <w:snapToGrid w:val="0"/>
              </w:rPr>
            </w:pPr>
            <w:r>
              <w:rPr>
                <w:snapToGrid w:val="0"/>
              </w:rPr>
              <w:t xml:space="preserve">Chillers </w:t>
            </w:r>
          </w:p>
        </w:tc>
        <w:tc>
          <w:tcPr>
            <w:tcW w:w="4678" w:type="dxa"/>
            <w:gridSpan w:val="4"/>
          </w:tcPr>
          <w:p>
            <w:pPr>
              <w:pStyle w:val="yTableNAm"/>
              <w:rPr>
                <w:snapToGrid w:val="0"/>
              </w:rPr>
            </w:pPr>
            <w:r>
              <w:rPr>
                <w:snapToGrid w:val="0"/>
              </w:rPr>
              <w:t>.................................................................................</w:t>
            </w: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 DPIE?..................................................................................................</w:t>
      </w:r>
    </w:p>
    <w:p>
      <w:pPr>
        <w:pStyle w:val="yMiscellaneousBody"/>
        <w:keepNext/>
        <w:keepLines/>
        <w:rPr>
          <w:snapToGrid w:val="0"/>
        </w:rPr>
      </w:pPr>
      <w:r>
        <w:rPr>
          <w:snapToGrid w:val="0"/>
        </w:rPr>
        <w:lastRenderedPageBreak/>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Gazette 26 Oct 1990 p. 5364.]</w:t>
      </w:r>
    </w:p>
    <w:p>
      <w:pPr>
        <w:pStyle w:val="yMiscellaneousHeading"/>
        <w:pageBreakBefore/>
        <w:rPr>
          <w:b/>
          <w:bCs/>
          <w:snapToGrid w:val="0"/>
        </w:rPr>
      </w:pPr>
      <w:r>
        <w:rPr>
          <w:b/>
          <w:bCs/>
          <w:snapToGrid w:val="0"/>
        </w:rPr>
        <w:lastRenderedPageBreak/>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Gazette 26 Oct 1990 p. 5365.]</w:t>
      </w:r>
    </w:p>
    <w:p>
      <w:pPr>
        <w:pStyle w:val="yMiscellaneousHeading"/>
        <w:pageBreakBefore/>
        <w:rPr>
          <w:b/>
          <w:bCs/>
          <w:snapToGrid w:val="0"/>
        </w:rPr>
      </w:pPr>
      <w:r>
        <w:rPr>
          <w:b/>
          <w:bCs/>
          <w:snapToGrid w:val="0"/>
        </w:rPr>
        <w:lastRenderedPageBreak/>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Gazette 26 Oct 1990 p. 5365</w:t>
      </w:r>
      <w:r>
        <w:noBreakHyphen/>
        <w:t>6.]</w:t>
      </w:r>
    </w:p>
    <w:p>
      <w:pPr>
        <w:outlineLvl w:val="0"/>
        <w:sectPr>
          <w:headerReference w:type="even" r:id="rId40"/>
          <w:headerReference w:type="default" r:id="rId41"/>
          <w:pgSz w:w="11907" w:h="16840" w:code="9"/>
          <w:pgMar w:top="2381" w:right="2410" w:bottom="3544" w:left="2410" w:header="720" w:footer="3544" w:gutter="0"/>
          <w:cols w:space="720"/>
        </w:sectPr>
      </w:pPr>
    </w:p>
    <w:p>
      <w:pPr>
        <w:pStyle w:val="yScheduleHeading"/>
      </w:pPr>
      <w:bookmarkStart w:id="158" w:name="_Toc202444808"/>
      <w:bookmarkStart w:id="159" w:name="_Toc202446022"/>
      <w:bookmarkStart w:id="160" w:name="_Toc202451121"/>
      <w:r>
        <w:rPr>
          <w:rStyle w:val="CharSchNo"/>
        </w:rPr>
        <w:lastRenderedPageBreak/>
        <w:t>Schedule 6A</w:t>
      </w:r>
      <w:r>
        <w:t> — </w:t>
      </w:r>
      <w:r>
        <w:rPr>
          <w:rStyle w:val="CharSchText"/>
        </w:rPr>
        <w:t>Prescribed offences and modified penalties</w:t>
      </w:r>
      <w:bookmarkEnd w:id="158"/>
      <w:bookmarkEnd w:id="159"/>
      <w:bookmarkEnd w:id="160"/>
    </w:p>
    <w:p>
      <w:pPr>
        <w:pStyle w:val="yShoulderClause"/>
      </w:pPr>
      <w:r>
        <w:t>[r. 33Y]</w:t>
      </w:r>
    </w:p>
    <w:p>
      <w:pPr>
        <w:pStyle w:val="yFootnoteheading"/>
      </w:pPr>
      <w:r>
        <w:tab/>
        <w:t>[Heading inserted: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lastRenderedPageBreak/>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lastRenderedPageBreak/>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Gazette 6 Dec 2011 p. 5184</w:t>
      </w:r>
      <w:r>
        <w:noBreakHyphen/>
        <w:t>5; amended: Gazette 3 Sep 2014 p. 3208.]</w:t>
      </w:r>
    </w:p>
    <w:p>
      <w:pPr>
        <w:outlineLvl w:val="0"/>
        <w:sectPr>
          <w:headerReference w:type="even" r:id="rId42"/>
          <w:headerReference w:type="default" r:id="rId43"/>
          <w:pgSz w:w="11907" w:h="16840" w:code="9"/>
          <w:pgMar w:top="2381" w:right="2410" w:bottom="3544" w:left="2410" w:header="720" w:footer="3544" w:gutter="0"/>
          <w:cols w:space="720"/>
        </w:sectPr>
      </w:pPr>
    </w:p>
    <w:p>
      <w:pPr>
        <w:pStyle w:val="yScheduleHeading"/>
      </w:pPr>
      <w:bookmarkStart w:id="161" w:name="_Toc202444809"/>
      <w:bookmarkStart w:id="162" w:name="_Toc202446023"/>
      <w:bookmarkStart w:id="163" w:name="_Toc202451122"/>
      <w:r>
        <w:rPr>
          <w:rStyle w:val="CharSchNo"/>
        </w:rPr>
        <w:lastRenderedPageBreak/>
        <w:t>Schedule 6B</w:t>
      </w:r>
      <w:r>
        <w:t> — </w:t>
      </w:r>
      <w:r>
        <w:rPr>
          <w:rStyle w:val="CharSchText"/>
        </w:rPr>
        <w:t>Forms: infringement notices</w:t>
      </w:r>
      <w:bookmarkEnd w:id="161"/>
      <w:bookmarkEnd w:id="162"/>
      <w:bookmarkEnd w:id="163"/>
    </w:p>
    <w:p>
      <w:pPr>
        <w:pStyle w:val="yShoulderClause"/>
      </w:pPr>
      <w:r>
        <w:t>[r. 33ZB]</w:t>
      </w:r>
    </w:p>
    <w:p>
      <w:pPr>
        <w:pStyle w:val="yFootnoteheading"/>
      </w:pPr>
      <w:r>
        <w:tab/>
        <w:t>[Heading inserted: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lastRenderedPageBreak/>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tc>
      </w:tr>
      <w:tr>
        <w:tc>
          <w:tcPr>
            <w:tcW w:w="1559" w:type="dxa"/>
            <w:tcBorders>
              <w:bottom w:val="single" w:sz="4" w:space="0" w:color="auto"/>
            </w:tcBorders>
          </w:tcPr>
          <w:p>
            <w:pPr>
              <w:pStyle w:val="yTableNAm"/>
              <w:rPr>
                <w:b/>
                <w:bCs/>
              </w:rPr>
            </w:pPr>
          </w:p>
        </w:tc>
        <w:tc>
          <w:tcPr>
            <w:tcW w:w="5529" w:type="dxa"/>
            <w:gridSpan w:val="7"/>
            <w:tcBorders>
              <w:bottom w:val="single" w:sz="4" w:space="0" w:color="auto"/>
            </w:tcBorders>
          </w:tcPr>
          <w:p>
            <w:pPr>
              <w:pStyle w:val="yTableNAm"/>
              <w:keepNext/>
              <w:keepLines/>
              <w:pageBreakBefore/>
              <w:tabs>
                <w:tab w:val="left" w:pos="1249"/>
              </w:tabs>
              <w:spacing w:before="80"/>
              <w:ind w:left="1247" w:hanging="1247"/>
              <w:rPr>
                <w:i/>
              </w:rPr>
            </w:pPr>
            <w:r>
              <w:tab/>
              <w:t>(b)</w:t>
            </w:r>
            <w:r>
              <w:tab/>
              <w:t xml:space="preserve">you inform the officer who issued this notice that you were not the driver or person in charge of the vehicle at the time of the offence and you supply that officer — </w:t>
            </w:r>
          </w:p>
          <w:p>
            <w:pPr>
              <w:pStyle w:val="yTableNAm"/>
              <w:keepNext/>
              <w:keepLines/>
              <w:pageBreakBefore/>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b/>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t>PO Box 1434</w:t>
            </w:r>
            <w:r>
              <w:br/>
              <w:t>Midland WA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 xml:space="preserve">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Gazette 6 Dec 2011 p. 5185</w:t>
      </w:r>
      <w:r>
        <w:noBreakHyphen/>
        <w:t>8; amended: Gazette 20 Aug 2013 p. 3854; SL 2020/160 r. 6.]</w:t>
      </w:r>
    </w:p>
    <w:p>
      <w:pPr>
        <w:pStyle w:val="yMiscellaneousBody"/>
        <w:keepNext/>
        <w:pageBreakBefore/>
        <w:spacing w:before="0" w:after="120"/>
        <w:ind w:left="238"/>
        <w:rPr>
          <w:b/>
          <w:bCs/>
        </w:rPr>
      </w:pPr>
      <w:r>
        <w:rPr>
          <w:b/>
          <w:bCs/>
        </w:rPr>
        <w:lastRenderedPageBreak/>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nil"/>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nil"/>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nil"/>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nil"/>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t>PO Box 1434</w:t>
            </w:r>
            <w:r>
              <w:br/>
              <w:t>Midland WA 6936</w:t>
            </w:r>
          </w:p>
          <w:p>
            <w:pPr>
              <w:pStyle w:val="zyTableNAm"/>
              <w:tabs>
                <w:tab w:val="left" w:pos="4195"/>
                <w:tab w:val="left" w:pos="4620"/>
              </w:tabs>
              <w:spacing w:before="60"/>
            </w:pPr>
            <w:r>
              <w:t>Signature: ……………………………….</w:t>
            </w:r>
            <w:r>
              <w:tab/>
              <w:t>/</w:t>
            </w:r>
            <w:r>
              <w:tab/>
              <w:t>/20</w:t>
            </w:r>
          </w:p>
        </w:tc>
      </w:tr>
    </w:tbl>
    <w:p>
      <w:pPr>
        <w:pStyle w:val="yFootnotesection"/>
      </w:pPr>
      <w:r>
        <w:tab/>
        <w:t>[Form 8.2 inserted: Gazette 6 Dec 2011 p. 5189; amended: Gazette 20 Aug 2013 p. 3854.]</w:t>
      </w:r>
    </w:p>
    <w:p>
      <w:pPr>
        <w:outlineLvl w:val="0"/>
        <w:sectPr>
          <w:headerReference w:type="even" r:id="rId44"/>
          <w:headerReference w:type="default" r:id="rId45"/>
          <w:pgSz w:w="11907" w:h="16840" w:code="9"/>
          <w:pgMar w:top="2381" w:right="2410" w:bottom="3544" w:left="2410" w:header="720" w:footer="3544" w:gutter="0"/>
          <w:cols w:space="720"/>
        </w:sectPr>
      </w:pPr>
    </w:p>
    <w:p>
      <w:pPr>
        <w:pStyle w:val="yScheduleHeading"/>
      </w:pPr>
      <w:bookmarkStart w:id="164" w:name="_Toc202440602"/>
      <w:bookmarkStart w:id="165" w:name="_Toc202440681"/>
      <w:bookmarkStart w:id="166" w:name="_Toc202440718"/>
      <w:bookmarkStart w:id="167" w:name="_Toc202440850"/>
      <w:bookmarkStart w:id="168" w:name="_Toc202440863"/>
      <w:bookmarkStart w:id="169" w:name="_Toc202446024"/>
      <w:bookmarkStart w:id="170" w:name="_Toc202451123"/>
      <w:bookmarkStart w:id="171" w:name="_Toc202444810"/>
      <w:r>
        <w:rPr>
          <w:rStyle w:val="CharSchNo"/>
        </w:rPr>
        <w:lastRenderedPageBreak/>
        <w:t>Schedule 6</w:t>
      </w:r>
      <w:r>
        <w:t> — </w:t>
      </w:r>
      <w:r>
        <w:rPr>
          <w:rStyle w:val="CharSchText"/>
        </w:rPr>
        <w:t>Fees</w:t>
      </w:r>
      <w:bookmarkEnd w:id="164"/>
      <w:bookmarkEnd w:id="165"/>
      <w:bookmarkEnd w:id="166"/>
      <w:bookmarkEnd w:id="167"/>
      <w:bookmarkEnd w:id="168"/>
      <w:bookmarkEnd w:id="169"/>
      <w:bookmarkEnd w:id="170"/>
    </w:p>
    <w:p>
      <w:pPr>
        <w:pStyle w:val="yShoulderClause"/>
      </w:pPr>
      <w:r>
        <w:t>[r. 33, 34A, 34B and 34]</w:t>
      </w:r>
    </w:p>
    <w:p>
      <w:pPr>
        <w:pStyle w:val="yFootnoteheading"/>
      </w:pPr>
      <w:r>
        <w:tab/>
        <w:t>[Heading inserted: SL 2025/132 r. 5.]</w:t>
      </w:r>
    </w:p>
    <w:p>
      <w:pPr>
        <w:pStyle w:val="yHeading3"/>
      </w:pPr>
      <w:bookmarkStart w:id="172" w:name="_Toc202440603"/>
      <w:bookmarkStart w:id="173" w:name="_Toc202440682"/>
      <w:bookmarkStart w:id="174" w:name="_Toc202440719"/>
      <w:bookmarkStart w:id="175" w:name="_Toc202440851"/>
      <w:bookmarkStart w:id="176" w:name="_Toc202440864"/>
      <w:bookmarkStart w:id="177" w:name="_Toc202446025"/>
      <w:bookmarkStart w:id="178" w:name="_Toc202451124"/>
      <w:r>
        <w:rPr>
          <w:rStyle w:val="CharSDivNo"/>
        </w:rPr>
        <w:t>Division 1</w:t>
      </w:r>
      <w:r>
        <w:t> — </w:t>
      </w:r>
      <w:r>
        <w:rPr>
          <w:rStyle w:val="CharSDivText"/>
        </w:rPr>
        <w:t>Interpretation</w:t>
      </w:r>
      <w:bookmarkEnd w:id="172"/>
      <w:bookmarkEnd w:id="173"/>
      <w:bookmarkEnd w:id="174"/>
      <w:bookmarkEnd w:id="175"/>
      <w:bookmarkEnd w:id="176"/>
      <w:bookmarkEnd w:id="177"/>
      <w:bookmarkEnd w:id="178"/>
    </w:p>
    <w:p>
      <w:pPr>
        <w:pStyle w:val="yFootnoteheading"/>
      </w:pPr>
      <w:r>
        <w:tab/>
        <w:t>[Heading inserted: SL 2025/132 r. 5.]</w:t>
      </w:r>
    </w:p>
    <w:p>
      <w:pPr>
        <w:pStyle w:val="yHeading5"/>
      </w:pPr>
      <w:bookmarkStart w:id="179" w:name="_Toc202440604"/>
      <w:bookmarkStart w:id="180" w:name="_Toc202440865"/>
      <w:bookmarkStart w:id="181" w:name="_Toc202451125"/>
      <w:r>
        <w:rPr>
          <w:rStyle w:val="CharSClsNo"/>
        </w:rPr>
        <w:t>1</w:t>
      </w:r>
      <w:r>
        <w:t>.</w:t>
      </w:r>
      <w:r>
        <w:tab/>
        <w:t>Term used: throughput fee</w:t>
      </w:r>
      <w:bookmarkEnd w:id="179"/>
      <w:bookmarkEnd w:id="180"/>
      <w:bookmarkEnd w:id="181"/>
    </w:p>
    <w:p>
      <w:pPr>
        <w:pStyle w:val="ySubsection"/>
      </w:pPr>
      <w:r>
        <w:tab/>
      </w:r>
      <w:r>
        <w:tab/>
        <w:t>In this Schedule</w:t>
      </w:r>
      <w:r>
        <w:rPr>
          <w:snapToGrid w:val="0"/>
        </w:rPr>
        <w:t> —</w:t>
      </w:r>
      <w:r>
        <w:t> </w:t>
      </w:r>
    </w:p>
    <w:p>
      <w:pPr>
        <w:pStyle w:val="yDefstart"/>
      </w:pPr>
      <w:r>
        <w:tab/>
      </w:r>
      <w:r>
        <w:rPr>
          <w:rStyle w:val="CharDefText"/>
        </w:rPr>
        <w:t>throughput fee</w:t>
      </w:r>
      <w:r>
        <w:t xml:space="preserve"> means an amount equal to $0.0132</w:t>
      </w:r>
      <w:r>
        <w:rPr>
          <w:szCs w:val="22"/>
        </w:rPr>
        <w:t xml:space="preserve"> </w:t>
      </w:r>
      <w:r>
        <w:t>per unit based on the number of units processed by the abattoir in the 12</w:t>
      </w:r>
      <w:r>
        <w:noBreakHyphen/>
        <w:t>month period immediately before the period to which the fee relates, calculated using the unit equivalents per head set out in the Table.</w:t>
      </w:r>
    </w:p>
    <w:p>
      <w:pPr>
        <w:pStyle w:val="yTHeadingNAm"/>
        <w:ind w:left="993"/>
      </w:pPr>
      <w:r>
        <w:t>Table</w:t>
      </w:r>
    </w:p>
    <w:tbl>
      <w:tblPr>
        <w:tblW w:w="0" w:type="auto"/>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08"/>
        <w:gridCol w:w="2608"/>
      </w:tblGrid>
      <w:tr>
        <w:trPr>
          <w:cantSplit/>
          <w:tblHeader/>
        </w:trPr>
        <w:tc>
          <w:tcPr>
            <w:tcW w:w="2608" w:type="dxa"/>
            <w:noWrap/>
          </w:tcPr>
          <w:p>
            <w:pPr>
              <w:pStyle w:val="yTableNAm"/>
              <w:rPr>
                <w:b/>
                <w:bCs/>
              </w:rPr>
            </w:pPr>
            <w:r>
              <w:rPr>
                <w:b/>
              </w:rPr>
              <w:t>Animal</w:t>
            </w:r>
          </w:p>
        </w:tc>
        <w:tc>
          <w:tcPr>
            <w:tcW w:w="2608" w:type="dxa"/>
            <w:noWrap/>
          </w:tcPr>
          <w:p>
            <w:pPr>
              <w:pStyle w:val="yTableNAm"/>
              <w:rPr>
                <w:b/>
                <w:bCs/>
              </w:rPr>
            </w:pPr>
            <w:r>
              <w:rPr>
                <w:b/>
              </w:rPr>
              <w:t>Unit equivalent per head</w:t>
            </w:r>
          </w:p>
        </w:tc>
      </w:tr>
      <w:tr>
        <w:trPr>
          <w:cantSplit/>
        </w:trPr>
        <w:tc>
          <w:tcPr>
            <w:tcW w:w="2608" w:type="dxa"/>
            <w:noWrap/>
          </w:tcPr>
          <w:p>
            <w:pPr>
              <w:pStyle w:val="yTableNAm"/>
            </w:pPr>
            <w:r>
              <w:t>Buffalo</w:t>
            </w:r>
          </w:p>
        </w:tc>
        <w:tc>
          <w:tcPr>
            <w:tcW w:w="2608" w:type="dxa"/>
            <w:noWrap/>
          </w:tcPr>
          <w:p>
            <w:pPr>
              <w:pStyle w:val="yTableNAm"/>
            </w:pPr>
            <w:r>
              <w:t>7</w:t>
            </w:r>
          </w:p>
        </w:tc>
      </w:tr>
      <w:tr>
        <w:trPr>
          <w:cantSplit/>
        </w:trPr>
        <w:tc>
          <w:tcPr>
            <w:tcW w:w="2608" w:type="dxa"/>
            <w:noWrap/>
          </w:tcPr>
          <w:p>
            <w:pPr>
              <w:pStyle w:val="yTableNAm"/>
            </w:pPr>
            <w:r>
              <w:t>Calves</w:t>
            </w:r>
          </w:p>
        </w:tc>
        <w:tc>
          <w:tcPr>
            <w:tcW w:w="2608" w:type="dxa"/>
            <w:noWrap/>
          </w:tcPr>
          <w:p>
            <w:pPr>
              <w:pStyle w:val="yTableNAm"/>
            </w:pPr>
            <w:r>
              <w:t>2</w:t>
            </w:r>
          </w:p>
        </w:tc>
      </w:tr>
      <w:tr>
        <w:trPr>
          <w:cantSplit/>
        </w:trPr>
        <w:tc>
          <w:tcPr>
            <w:tcW w:w="2608" w:type="dxa"/>
            <w:noWrap/>
          </w:tcPr>
          <w:p>
            <w:pPr>
              <w:pStyle w:val="yTableNAm"/>
            </w:pPr>
            <w:r>
              <w:t>Cattle</w:t>
            </w:r>
          </w:p>
        </w:tc>
        <w:tc>
          <w:tcPr>
            <w:tcW w:w="2608" w:type="dxa"/>
            <w:noWrap/>
          </w:tcPr>
          <w:p>
            <w:pPr>
              <w:pStyle w:val="yTableNAm"/>
            </w:pPr>
            <w:r>
              <w:t>7</w:t>
            </w:r>
          </w:p>
        </w:tc>
      </w:tr>
      <w:tr>
        <w:trPr>
          <w:cantSplit/>
        </w:trPr>
        <w:tc>
          <w:tcPr>
            <w:tcW w:w="2608" w:type="dxa"/>
            <w:noWrap/>
          </w:tcPr>
          <w:p>
            <w:pPr>
              <w:pStyle w:val="yTableNAm"/>
            </w:pPr>
            <w:r>
              <w:t>Deer</w:t>
            </w:r>
          </w:p>
        </w:tc>
        <w:tc>
          <w:tcPr>
            <w:tcW w:w="2608" w:type="dxa"/>
            <w:noWrap/>
          </w:tcPr>
          <w:p>
            <w:pPr>
              <w:pStyle w:val="yTableNAm"/>
            </w:pPr>
            <w:r>
              <w:t>5</w:t>
            </w:r>
          </w:p>
        </w:tc>
      </w:tr>
      <w:tr>
        <w:trPr>
          <w:cantSplit/>
        </w:trPr>
        <w:tc>
          <w:tcPr>
            <w:tcW w:w="2608" w:type="dxa"/>
            <w:noWrap/>
          </w:tcPr>
          <w:p>
            <w:pPr>
              <w:pStyle w:val="yTableNAm"/>
            </w:pPr>
            <w:r>
              <w:t>Emus</w:t>
            </w:r>
          </w:p>
        </w:tc>
        <w:tc>
          <w:tcPr>
            <w:tcW w:w="2608" w:type="dxa"/>
            <w:noWrap/>
          </w:tcPr>
          <w:p>
            <w:pPr>
              <w:pStyle w:val="yTableNAm"/>
            </w:pPr>
            <w:r>
              <w:t>2</w:t>
            </w:r>
          </w:p>
        </w:tc>
      </w:tr>
      <w:tr>
        <w:trPr>
          <w:cantSplit/>
        </w:trPr>
        <w:tc>
          <w:tcPr>
            <w:tcW w:w="2608" w:type="dxa"/>
            <w:noWrap/>
          </w:tcPr>
          <w:p>
            <w:pPr>
              <w:pStyle w:val="yTableNAm"/>
            </w:pPr>
            <w:r>
              <w:t>Goats</w:t>
            </w:r>
          </w:p>
        </w:tc>
        <w:tc>
          <w:tcPr>
            <w:tcW w:w="2608" w:type="dxa"/>
            <w:noWrap/>
          </w:tcPr>
          <w:p>
            <w:pPr>
              <w:pStyle w:val="yTableNAm"/>
            </w:pPr>
            <w:r>
              <w:t>1</w:t>
            </w:r>
          </w:p>
        </w:tc>
      </w:tr>
      <w:tr>
        <w:trPr>
          <w:cantSplit/>
        </w:trPr>
        <w:tc>
          <w:tcPr>
            <w:tcW w:w="2608" w:type="dxa"/>
            <w:noWrap/>
          </w:tcPr>
          <w:p>
            <w:pPr>
              <w:pStyle w:val="yTableNAm"/>
            </w:pPr>
            <w:r>
              <w:t>Lambs</w:t>
            </w:r>
          </w:p>
        </w:tc>
        <w:tc>
          <w:tcPr>
            <w:tcW w:w="2608" w:type="dxa"/>
            <w:noWrap/>
          </w:tcPr>
          <w:p>
            <w:pPr>
              <w:pStyle w:val="yTableNAm"/>
            </w:pPr>
            <w:r>
              <w:t>1</w:t>
            </w:r>
          </w:p>
        </w:tc>
      </w:tr>
      <w:tr>
        <w:trPr>
          <w:cantSplit/>
        </w:trPr>
        <w:tc>
          <w:tcPr>
            <w:tcW w:w="2608" w:type="dxa"/>
            <w:noWrap/>
          </w:tcPr>
          <w:p>
            <w:pPr>
              <w:pStyle w:val="yTableNAm"/>
              <w:keepNext/>
            </w:pPr>
            <w:r>
              <w:t>Ostriches</w:t>
            </w:r>
          </w:p>
        </w:tc>
        <w:tc>
          <w:tcPr>
            <w:tcW w:w="2608" w:type="dxa"/>
            <w:noWrap/>
          </w:tcPr>
          <w:p>
            <w:pPr>
              <w:pStyle w:val="yTableNAm"/>
              <w:keepNext/>
            </w:pPr>
            <w:r>
              <w:t>2</w:t>
            </w:r>
          </w:p>
        </w:tc>
      </w:tr>
      <w:tr>
        <w:trPr>
          <w:cantSplit/>
        </w:trPr>
        <w:tc>
          <w:tcPr>
            <w:tcW w:w="2608" w:type="dxa"/>
            <w:noWrap/>
          </w:tcPr>
          <w:p>
            <w:pPr>
              <w:pStyle w:val="yTableNAm"/>
              <w:keepNext/>
            </w:pPr>
            <w:r>
              <w:t>Pigs</w:t>
            </w:r>
          </w:p>
        </w:tc>
        <w:tc>
          <w:tcPr>
            <w:tcW w:w="2608" w:type="dxa"/>
            <w:noWrap/>
          </w:tcPr>
          <w:p>
            <w:pPr>
              <w:pStyle w:val="yTableNAm"/>
              <w:keepNext/>
            </w:pPr>
            <w:r>
              <w:t>3</w:t>
            </w:r>
          </w:p>
        </w:tc>
      </w:tr>
      <w:tr>
        <w:trPr>
          <w:cantSplit/>
        </w:trPr>
        <w:tc>
          <w:tcPr>
            <w:tcW w:w="2608" w:type="dxa"/>
            <w:noWrap/>
          </w:tcPr>
          <w:p>
            <w:pPr>
              <w:pStyle w:val="yTableNAm"/>
            </w:pPr>
            <w:r>
              <w:t>Rabbits</w:t>
            </w:r>
          </w:p>
        </w:tc>
        <w:tc>
          <w:tcPr>
            <w:tcW w:w="2608" w:type="dxa"/>
            <w:noWrap/>
          </w:tcPr>
          <w:p>
            <w:pPr>
              <w:pStyle w:val="yTableNAm"/>
            </w:pPr>
            <w:r>
              <w:t>0.1</w:t>
            </w:r>
          </w:p>
        </w:tc>
      </w:tr>
      <w:tr>
        <w:trPr>
          <w:cantSplit/>
        </w:trPr>
        <w:tc>
          <w:tcPr>
            <w:tcW w:w="2608" w:type="dxa"/>
            <w:noWrap/>
          </w:tcPr>
          <w:p>
            <w:pPr>
              <w:pStyle w:val="yTableNAm"/>
            </w:pPr>
            <w:r>
              <w:lastRenderedPageBreak/>
              <w:t>Sheep</w:t>
            </w:r>
          </w:p>
        </w:tc>
        <w:tc>
          <w:tcPr>
            <w:tcW w:w="2608" w:type="dxa"/>
            <w:noWrap/>
          </w:tcPr>
          <w:p>
            <w:pPr>
              <w:pStyle w:val="yTableNAm"/>
            </w:pPr>
            <w:r>
              <w:t>1</w:t>
            </w:r>
          </w:p>
        </w:tc>
      </w:tr>
    </w:tbl>
    <w:p>
      <w:pPr>
        <w:pStyle w:val="yFootnotesection"/>
      </w:pPr>
      <w:bookmarkStart w:id="182" w:name="_Toc202440605"/>
      <w:bookmarkStart w:id="183" w:name="_Toc202440684"/>
      <w:bookmarkStart w:id="184" w:name="_Toc202440721"/>
      <w:bookmarkStart w:id="185" w:name="_Toc202440853"/>
      <w:bookmarkStart w:id="186" w:name="_Toc202440866"/>
      <w:r>
        <w:tab/>
        <w:t>[Division 1 inserted: SL 2025/132 r. 5.]</w:t>
      </w:r>
    </w:p>
    <w:p>
      <w:pPr>
        <w:pStyle w:val="yHeading3"/>
      </w:pPr>
      <w:bookmarkStart w:id="187" w:name="_Toc202446027"/>
      <w:bookmarkStart w:id="188" w:name="_Toc202451126"/>
      <w:r>
        <w:rPr>
          <w:rStyle w:val="CharSDivNo"/>
        </w:rPr>
        <w:t>Division 2</w:t>
      </w:r>
      <w:r>
        <w:rPr>
          <w:rStyle w:val="CharSClsNo"/>
        </w:rPr>
        <w:t> </w:t>
      </w:r>
      <w:r>
        <w:t>— </w:t>
      </w:r>
      <w:r>
        <w:rPr>
          <w:rStyle w:val="CharSDivText"/>
        </w:rPr>
        <w:t>Abattoir fees</w:t>
      </w:r>
      <w:bookmarkEnd w:id="182"/>
      <w:bookmarkEnd w:id="183"/>
      <w:bookmarkEnd w:id="184"/>
      <w:bookmarkEnd w:id="185"/>
      <w:bookmarkEnd w:id="186"/>
      <w:bookmarkEnd w:id="187"/>
      <w:bookmarkEnd w:id="188"/>
    </w:p>
    <w:p>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keepNext/>
            </w:pPr>
            <w:r>
              <w:t>1.</w:t>
            </w:r>
            <w:r>
              <w:tab/>
              <w:t xml:space="preserve">Application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1" w:hanging="1168"/>
            </w:pPr>
            <w:r>
              <w:tab/>
              <w:t>(a)</w:t>
            </w:r>
            <w:r>
              <w:tab/>
              <w:t>an abattoir that is accredited by Aus</w:t>
            </w:r>
            <w:r>
              <w:noBreakHyphen/>
              <w:t>Meat</w:t>
            </w:r>
            <w:r>
              <w:tab/>
            </w:r>
          </w:p>
        </w:tc>
        <w:tc>
          <w:tcPr>
            <w:tcW w:w="1417" w:type="dxa"/>
            <w:noWrap/>
            <w:vAlign w:val="bottom"/>
          </w:tcPr>
          <w:p>
            <w:pPr>
              <w:pStyle w:val="yTableNAm"/>
              <w:tabs>
                <w:tab w:val="clear" w:pos="567"/>
              </w:tabs>
              <w:jc w:val="right"/>
            </w:pPr>
            <w:r>
              <w:t>$1 035.94</w:t>
            </w:r>
          </w:p>
        </w:tc>
      </w:tr>
      <w:tr>
        <w:trPr>
          <w:cantSplit/>
        </w:trPr>
        <w:tc>
          <w:tcPr>
            <w:tcW w:w="5387" w:type="dxa"/>
            <w:noWrap/>
          </w:tcPr>
          <w:p>
            <w:pPr>
              <w:pStyle w:val="yTableNAm"/>
              <w:tabs>
                <w:tab w:val="clear" w:pos="567"/>
                <w:tab w:val="left" w:pos="601"/>
                <w:tab w:val="right" w:leader="dot" w:pos="5460"/>
              </w:tabs>
              <w:ind w:left="1168" w:right="-111" w:hanging="1168"/>
            </w:pPr>
            <w:r>
              <w:tab/>
              <w:t>(b)</w:t>
            </w:r>
            <w:r>
              <w:tab/>
              <w:t xml:space="preserve">an abattoir that is not accredited by </w:t>
            </w:r>
            <w:r>
              <w:br/>
              <w:t>Aus</w:t>
            </w:r>
            <w:r>
              <w:noBreakHyphen/>
              <w:t>Meat</w:t>
            </w:r>
            <w:r>
              <w:tab/>
            </w:r>
          </w:p>
        </w:tc>
        <w:tc>
          <w:tcPr>
            <w:tcW w:w="1417" w:type="dxa"/>
            <w:noWrap/>
            <w:vAlign w:val="bottom"/>
          </w:tcPr>
          <w:p>
            <w:pPr>
              <w:pStyle w:val="yTableNAm"/>
              <w:tabs>
                <w:tab w:val="clear" w:pos="567"/>
              </w:tabs>
              <w:jc w:val="right"/>
            </w:pPr>
            <w:r>
              <w:t>$1 380.37</w:t>
            </w:r>
          </w:p>
        </w:tc>
      </w:tr>
      <w:tr>
        <w:trPr>
          <w:cantSplit/>
        </w:trPr>
        <w:tc>
          <w:tcPr>
            <w:tcW w:w="5387" w:type="dxa"/>
            <w:noWrap/>
          </w:tcPr>
          <w:p>
            <w:pPr>
              <w:pStyle w:val="yTableNAm"/>
              <w:keepNext/>
            </w:pPr>
            <w:r>
              <w:t>2.</w:t>
            </w:r>
            <w:r>
              <w:tab/>
              <w:t xml:space="preserve">Annual fee for approval to operate — </w:t>
            </w:r>
          </w:p>
        </w:tc>
        <w:tc>
          <w:tcPr>
            <w:tcW w:w="1417" w:type="dxa"/>
            <w:noWrap/>
            <w:vAlign w:val="bottom"/>
          </w:tcPr>
          <w:p>
            <w:pPr>
              <w:pStyle w:val="yTableNAm"/>
              <w:tabs>
                <w:tab w:val="clear" w:pos="567"/>
              </w:tabs>
              <w:ind w:left="-108" w:right="242"/>
              <w:jc w:val="right"/>
            </w:pPr>
          </w:p>
        </w:tc>
      </w:tr>
      <w:tr>
        <w:trPr>
          <w:cantSplit/>
        </w:trPr>
        <w:tc>
          <w:tcPr>
            <w:tcW w:w="5387" w:type="dxa"/>
            <w:noWrap/>
          </w:tcPr>
          <w:p>
            <w:pPr>
              <w:pStyle w:val="yTableNAm"/>
              <w:tabs>
                <w:tab w:val="clear" w:pos="567"/>
                <w:tab w:val="left" w:pos="601"/>
                <w:tab w:val="right" w:leader="dot" w:pos="5460"/>
              </w:tabs>
              <w:ind w:left="1168" w:right="-113" w:hanging="1168"/>
            </w:pPr>
            <w:r>
              <w:tab/>
              <w:t>(a)</w:t>
            </w:r>
            <w:r>
              <w:tab/>
              <w:t>an abattoir that is accredited by Aus</w:t>
            </w:r>
            <w:r>
              <w:noBreakHyphen/>
              <w:t>Meat</w:t>
            </w:r>
            <w:r>
              <w:tab/>
            </w:r>
          </w:p>
        </w:tc>
        <w:tc>
          <w:tcPr>
            <w:tcW w:w="1417" w:type="dxa"/>
            <w:noWrap/>
            <w:vAlign w:val="bottom"/>
          </w:tcPr>
          <w:p>
            <w:pPr>
              <w:pStyle w:val="yTableNAm"/>
              <w:tabs>
                <w:tab w:val="clear" w:pos="567"/>
              </w:tabs>
              <w:ind w:left="-108"/>
              <w:jc w:val="right"/>
            </w:pPr>
            <w:r>
              <w:rPr>
                <w:szCs w:val="22"/>
              </w:rPr>
              <w:t>$1 105.73 plus throughput fee</w:t>
            </w:r>
          </w:p>
        </w:tc>
      </w:tr>
      <w:tr>
        <w:trPr>
          <w:cantSplit/>
        </w:trPr>
        <w:tc>
          <w:tcPr>
            <w:tcW w:w="5387" w:type="dxa"/>
            <w:noWrap/>
          </w:tcPr>
          <w:p>
            <w:pPr>
              <w:pStyle w:val="yTableNAm"/>
              <w:tabs>
                <w:tab w:val="clear" w:pos="567"/>
                <w:tab w:val="left" w:pos="601"/>
                <w:tab w:val="right" w:leader="dot" w:pos="5460"/>
              </w:tabs>
              <w:ind w:left="1168" w:right="-113" w:hanging="1168"/>
            </w:pPr>
            <w:r>
              <w:tab/>
              <w:t>(b)</w:t>
            </w:r>
            <w:r>
              <w:tab/>
              <w:t xml:space="preserve">an abattoir that is not accredited by </w:t>
            </w:r>
            <w:r>
              <w:br/>
              <w:t>Aus</w:t>
            </w:r>
            <w:r>
              <w:noBreakHyphen/>
              <w:t>Meat</w:t>
            </w:r>
            <w:r>
              <w:tab/>
            </w:r>
          </w:p>
        </w:tc>
        <w:tc>
          <w:tcPr>
            <w:tcW w:w="1417" w:type="dxa"/>
            <w:noWrap/>
            <w:vAlign w:val="bottom"/>
          </w:tcPr>
          <w:p>
            <w:pPr>
              <w:pStyle w:val="yTableNAm"/>
              <w:tabs>
                <w:tab w:val="clear" w:pos="567"/>
              </w:tabs>
              <w:ind w:left="-188"/>
              <w:jc w:val="right"/>
            </w:pPr>
            <w:r>
              <w:rPr>
                <w:szCs w:val="22"/>
              </w:rPr>
              <w:br/>
              <w:t>$1 391.13 plus throughput fee</w:t>
            </w:r>
          </w:p>
        </w:tc>
      </w:tr>
      <w:tr>
        <w:trPr>
          <w:cantSplit/>
        </w:trPr>
        <w:tc>
          <w:tcPr>
            <w:tcW w:w="5387" w:type="dxa"/>
            <w:noWrap/>
          </w:tcPr>
          <w:p>
            <w:pPr>
              <w:pStyle w:val="yTableNAm"/>
              <w:tabs>
                <w:tab w:val="clear" w:pos="567"/>
                <w:tab w:val="right" w:leader="dot" w:pos="5599"/>
              </w:tabs>
              <w:ind w:left="601" w:right="-111" w:hanging="601"/>
            </w:pPr>
            <w:r>
              <w:t>3.</w:t>
            </w:r>
            <w:r>
              <w:tab/>
              <w:t>Application to construct an abattoir</w:t>
            </w:r>
            <w:r>
              <w:tab/>
            </w:r>
          </w:p>
        </w:tc>
        <w:tc>
          <w:tcPr>
            <w:tcW w:w="1417" w:type="dxa"/>
            <w:noWrap/>
            <w:vAlign w:val="bottom"/>
          </w:tcPr>
          <w:p>
            <w:pPr>
              <w:pStyle w:val="yTableNAm"/>
              <w:tabs>
                <w:tab w:val="clear" w:pos="567"/>
              </w:tabs>
              <w:ind w:left="-108"/>
              <w:jc w:val="right"/>
              <w:rPr>
                <w:highlight w:val="yellow"/>
              </w:rPr>
            </w:pPr>
            <w:r>
              <w:t>$368.47</w:t>
            </w:r>
          </w:p>
        </w:tc>
      </w:tr>
      <w:tr>
        <w:trPr>
          <w:cantSplit/>
        </w:trPr>
        <w:tc>
          <w:tcPr>
            <w:tcW w:w="5387" w:type="dxa"/>
            <w:noWrap/>
          </w:tcPr>
          <w:p>
            <w:pPr>
              <w:pStyle w:val="yTableNAm"/>
              <w:tabs>
                <w:tab w:val="clear" w:pos="567"/>
                <w:tab w:val="right" w:leader="dot" w:pos="5599"/>
              </w:tabs>
              <w:ind w:left="601" w:right="-111" w:hanging="601"/>
            </w:pPr>
            <w:r>
              <w:t>4.</w:t>
            </w:r>
            <w:r>
              <w:tab/>
              <w:t>Notification of a change of ownership</w:t>
            </w:r>
            <w:r>
              <w:tab/>
            </w:r>
          </w:p>
        </w:tc>
        <w:tc>
          <w:tcPr>
            <w:tcW w:w="1417" w:type="dxa"/>
            <w:noWrap/>
            <w:vAlign w:val="bottom"/>
          </w:tcPr>
          <w:p>
            <w:pPr>
              <w:pStyle w:val="yTableNAm"/>
              <w:tabs>
                <w:tab w:val="clear" w:pos="567"/>
              </w:tabs>
              <w:ind w:left="-108"/>
              <w:jc w:val="right"/>
              <w:rPr>
                <w:highlight w:val="yellow"/>
              </w:rPr>
            </w:pPr>
            <w:r>
              <w:t>$391.42</w:t>
            </w:r>
          </w:p>
        </w:tc>
      </w:tr>
      <w:tr>
        <w:trPr>
          <w:cantSplit/>
        </w:trPr>
        <w:tc>
          <w:tcPr>
            <w:tcW w:w="5387" w:type="dxa"/>
            <w:noWrap/>
          </w:tcPr>
          <w:p>
            <w:pPr>
              <w:pStyle w:val="yTableNAm"/>
              <w:tabs>
                <w:tab w:val="clear" w:pos="567"/>
                <w:tab w:val="right" w:leader="dot" w:pos="5599"/>
              </w:tabs>
              <w:ind w:left="601" w:right="-111" w:hanging="601"/>
            </w:pPr>
            <w:r>
              <w:t>5.</w:t>
            </w:r>
            <w:r>
              <w:tab/>
              <w:t>Any other notification under regulation 23</w:t>
            </w:r>
            <w:r>
              <w:tab/>
            </w:r>
          </w:p>
        </w:tc>
        <w:tc>
          <w:tcPr>
            <w:tcW w:w="1417" w:type="dxa"/>
            <w:noWrap/>
            <w:vAlign w:val="bottom"/>
          </w:tcPr>
          <w:p>
            <w:pPr>
              <w:pStyle w:val="yTableNAm"/>
              <w:tabs>
                <w:tab w:val="clear" w:pos="567"/>
              </w:tabs>
              <w:ind w:left="-108"/>
              <w:jc w:val="right"/>
              <w:rPr>
                <w:highlight w:val="yellow"/>
              </w:rPr>
            </w:pPr>
            <w:r>
              <w:t>$69.16</w:t>
            </w:r>
          </w:p>
        </w:tc>
      </w:tr>
      <w:tr>
        <w:trPr>
          <w:cantSplit/>
        </w:trPr>
        <w:tc>
          <w:tcPr>
            <w:tcW w:w="5387" w:type="dxa"/>
            <w:noWrap/>
          </w:tcPr>
          <w:p>
            <w:pPr>
              <w:pStyle w:val="yTableNAm"/>
              <w:tabs>
                <w:tab w:val="clear" w:pos="567"/>
                <w:tab w:val="right" w:leader="dot" w:pos="5599"/>
              </w:tabs>
              <w:ind w:left="601" w:right="-111" w:hanging="601"/>
            </w:pPr>
            <w:r>
              <w:t>6.</w:t>
            </w:r>
            <w:r>
              <w:tab/>
              <w:t>Application for variation of approval of conditions</w:t>
            </w:r>
            <w:r>
              <w:tab/>
            </w:r>
          </w:p>
        </w:tc>
        <w:tc>
          <w:tcPr>
            <w:tcW w:w="1417" w:type="dxa"/>
            <w:noWrap/>
            <w:vAlign w:val="bottom"/>
          </w:tcPr>
          <w:p>
            <w:pPr>
              <w:pStyle w:val="yTableNAm"/>
              <w:tabs>
                <w:tab w:val="clear" w:pos="567"/>
              </w:tabs>
              <w:ind w:left="-108"/>
              <w:jc w:val="right"/>
              <w:rPr>
                <w:highlight w:val="yellow"/>
              </w:rPr>
            </w:pPr>
            <w:r>
              <w:t>$69.16</w:t>
            </w:r>
          </w:p>
        </w:tc>
      </w:tr>
    </w:tbl>
    <w:p>
      <w:pPr>
        <w:pStyle w:val="yFootnotesection"/>
      </w:pPr>
      <w:bookmarkStart w:id="189" w:name="_Toc202440606"/>
      <w:bookmarkStart w:id="190" w:name="_Toc202440685"/>
      <w:bookmarkStart w:id="191" w:name="_Toc202440722"/>
      <w:bookmarkStart w:id="192" w:name="_Toc202440854"/>
      <w:bookmarkStart w:id="193" w:name="_Toc202440867"/>
      <w:r>
        <w:tab/>
        <w:t>[Division 2 inserted: SL 2025/132 r. 5.]</w:t>
      </w:r>
    </w:p>
    <w:p>
      <w:pPr>
        <w:pStyle w:val="yHeading3"/>
      </w:pPr>
      <w:bookmarkStart w:id="194" w:name="_Toc202446028"/>
      <w:bookmarkStart w:id="195" w:name="_Toc202451127"/>
      <w:r>
        <w:rPr>
          <w:rStyle w:val="CharSDivNo"/>
        </w:rPr>
        <w:t>Division 3</w:t>
      </w:r>
      <w:r>
        <w:rPr>
          <w:rStyle w:val="CharSClsNo"/>
        </w:rPr>
        <w:t> </w:t>
      </w:r>
      <w:r>
        <w:t>— </w:t>
      </w:r>
      <w:r>
        <w:rPr>
          <w:rStyle w:val="CharSDivText"/>
        </w:rPr>
        <w:t>Fees for stock agent approvals and renewals</w:t>
      </w:r>
      <w:bookmarkEnd w:id="189"/>
      <w:bookmarkEnd w:id="190"/>
      <w:bookmarkEnd w:id="191"/>
      <w:bookmarkEnd w:id="192"/>
      <w:bookmarkEnd w:id="193"/>
      <w:bookmarkEnd w:id="194"/>
      <w:bookmarkEnd w:id="195"/>
    </w:p>
    <w:p>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right="-111" w:hanging="601"/>
            </w:pPr>
            <w:r>
              <w:t>1.</w:t>
            </w:r>
            <w:r>
              <w:tab/>
              <w:t>Application for approval to act as stock agent</w:t>
            </w:r>
            <w:r>
              <w:tab/>
            </w:r>
          </w:p>
        </w:tc>
        <w:tc>
          <w:tcPr>
            <w:tcW w:w="1417" w:type="dxa"/>
            <w:noWrap/>
          </w:tcPr>
          <w:p>
            <w:pPr>
              <w:pStyle w:val="yTableNAm"/>
              <w:tabs>
                <w:tab w:val="clear" w:pos="567"/>
              </w:tabs>
              <w:jc w:val="right"/>
              <w:rPr>
                <w:highlight w:val="yellow"/>
              </w:rPr>
            </w:pPr>
            <w:r>
              <w:t>$260.93</w:t>
            </w:r>
          </w:p>
        </w:tc>
      </w:tr>
      <w:tr>
        <w:trPr>
          <w:cantSplit/>
        </w:trPr>
        <w:tc>
          <w:tcPr>
            <w:tcW w:w="5387" w:type="dxa"/>
            <w:noWrap/>
          </w:tcPr>
          <w:p>
            <w:pPr>
              <w:pStyle w:val="yTableNAm"/>
              <w:tabs>
                <w:tab w:val="clear" w:pos="567"/>
                <w:tab w:val="right" w:leader="dot" w:pos="5599"/>
              </w:tabs>
              <w:ind w:left="601" w:right="-111" w:hanging="601"/>
            </w:pPr>
            <w:r>
              <w:t>2.</w:t>
            </w:r>
            <w:r>
              <w:tab/>
              <w:t xml:space="preserve">Annual fee for renewal of approval to act as stock </w:t>
            </w:r>
            <w:r>
              <w:br/>
              <w:t>agent</w:t>
            </w:r>
            <w:r>
              <w:tab/>
            </w:r>
          </w:p>
        </w:tc>
        <w:tc>
          <w:tcPr>
            <w:tcW w:w="1417" w:type="dxa"/>
            <w:noWrap/>
            <w:vAlign w:val="bottom"/>
          </w:tcPr>
          <w:p>
            <w:pPr>
              <w:pStyle w:val="yTableNAm"/>
              <w:tabs>
                <w:tab w:val="clear" w:pos="567"/>
              </w:tabs>
              <w:jc w:val="right"/>
              <w:rPr>
                <w:highlight w:val="yellow"/>
              </w:rPr>
            </w:pPr>
            <w:r>
              <w:t>$288.74</w:t>
            </w:r>
          </w:p>
        </w:tc>
      </w:tr>
      <w:tr>
        <w:trPr>
          <w:cantSplit/>
        </w:trPr>
        <w:tc>
          <w:tcPr>
            <w:tcW w:w="5387" w:type="dxa"/>
            <w:noWrap/>
          </w:tcPr>
          <w:p>
            <w:pPr>
              <w:pStyle w:val="yTableNAm"/>
              <w:keepNext/>
              <w:tabs>
                <w:tab w:val="clear" w:pos="567"/>
                <w:tab w:val="right" w:leader="dot" w:pos="5599"/>
              </w:tabs>
              <w:ind w:left="601" w:right="-111" w:hanging="601"/>
            </w:pPr>
            <w:r>
              <w:lastRenderedPageBreak/>
              <w:t>3.</w:t>
            </w:r>
            <w:r>
              <w:tab/>
              <w:t>Late application fee for renewal of approval to act as stock agent</w:t>
            </w:r>
            <w:r>
              <w:tab/>
            </w:r>
          </w:p>
        </w:tc>
        <w:tc>
          <w:tcPr>
            <w:tcW w:w="1417" w:type="dxa"/>
            <w:noWrap/>
            <w:vAlign w:val="bottom"/>
          </w:tcPr>
          <w:p>
            <w:pPr>
              <w:pStyle w:val="yTableNAm"/>
              <w:tabs>
                <w:tab w:val="clear" w:pos="567"/>
              </w:tabs>
              <w:jc w:val="right"/>
              <w:rPr>
                <w:highlight w:val="yellow"/>
              </w:rPr>
            </w:pPr>
            <w:r>
              <w:t>$26.10</w:t>
            </w:r>
          </w:p>
        </w:tc>
      </w:tr>
      <w:tr>
        <w:trPr>
          <w:cantSplit/>
        </w:trPr>
        <w:tc>
          <w:tcPr>
            <w:tcW w:w="5387" w:type="dxa"/>
            <w:noWrap/>
          </w:tcPr>
          <w:p>
            <w:pPr>
              <w:pStyle w:val="yTableNAm"/>
              <w:tabs>
                <w:tab w:val="clear" w:pos="567"/>
                <w:tab w:val="right" w:leader="dot" w:pos="5599"/>
              </w:tabs>
              <w:ind w:left="601" w:right="-111" w:hanging="601"/>
            </w:pPr>
            <w:r>
              <w:t>4.</w:t>
            </w:r>
            <w:r>
              <w:tab/>
              <w:t>Application for approval to act as stock agent, if duration of approval is less than 1 month</w:t>
            </w:r>
            <w:r>
              <w:tab/>
            </w:r>
          </w:p>
        </w:tc>
        <w:tc>
          <w:tcPr>
            <w:tcW w:w="1417" w:type="dxa"/>
            <w:noWrap/>
            <w:vAlign w:val="bottom"/>
          </w:tcPr>
          <w:p>
            <w:pPr>
              <w:pStyle w:val="yTableNAm"/>
              <w:tabs>
                <w:tab w:val="clear" w:pos="567"/>
              </w:tabs>
              <w:jc w:val="right"/>
              <w:rPr>
                <w:highlight w:val="yellow"/>
              </w:rPr>
            </w:pPr>
            <w:r>
              <w:t xml:space="preserve">$19.58 </w:t>
            </w:r>
          </w:p>
        </w:tc>
      </w:tr>
    </w:tbl>
    <w:p>
      <w:pPr>
        <w:pStyle w:val="yFootnotesection"/>
      </w:pPr>
      <w:bookmarkStart w:id="196" w:name="_Toc202440607"/>
      <w:bookmarkStart w:id="197" w:name="_Toc202440686"/>
      <w:bookmarkStart w:id="198" w:name="_Toc202440723"/>
      <w:bookmarkStart w:id="199" w:name="_Toc202440855"/>
      <w:bookmarkStart w:id="200" w:name="_Toc202440868"/>
      <w:r>
        <w:tab/>
        <w:t>[Division 3 inserted: SL 2025/132 r. 5.]</w:t>
      </w:r>
    </w:p>
    <w:p>
      <w:pPr>
        <w:pStyle w:val="yHeading3"/>
      </w:pPr>
      <w:bookmarkStart w:id="201" w:name="_Toc202446029"/>
      <w:bookmarkStart w:id="202" w:name="_Toc202451128"/>
      <w:r>
        <w:rPr>
          <w:rStyle w:val="CharSDivNo"/>
        </w:rPr>
        <w:t>Division 4</w:t>
      </w:r>
      <w:r>
        <w:rPr>
          <w:rStyle w:val="CharSClsNo"/>
        </w:rPr>
        <w:t> </w:t>
      </w:r>
      <w:r>
        <w:t>— </w:t>
      </w:r>
      <w:r>
        <w:rPr>
          <w:rStyle w:val="CharSDivText"/>
        </w:rPr>
        <w:t>Muchea Livestock Centre: parking permit fees</w:t>
      </w:r>
      <w:bookmarkEnd w:id="196"/>
      <w:bookmarkEnd w:id="197"/>
      <w:bookmarkEnd w:id="198"/>
      <w:bookmarkEnd w:id="199"/>
      <w:bookmarkEnd w:id="200"/>
      <w:bookmarkEnd w:id="201"/>
      <w:bookmarkEnd w:id="202"/>
    </w:p>
    <w:p>
      <w:pPr>
        <w:pStyle w:val="yFootnoteheading"/>
      </w:pPr>
      <w:r>
        <w:tab/>
        <w:t>[Heading inserted: SL 2025/132 r. 5.]</w:t>
      </w:r>
    </w:p>
    <w:tbl>
      <w:tblPr>
        <w:tblW w:w="6804" w:type="dxa"/>
        <w:tblInd w:w="142" w:type="dxa"/>
        <w:tblLayout w:type="fixed"/>
        <w:tblLook w:val="0000" w:firstRow="0" w:lastRow="0" w:firstColumn="0" w:lastColumn="0" w:noHBand="0" w:noVBand="0"/>
      </w:tblPr>
      <w:tblGrid>
        <w:gridCol w:w="5387"/>
        <w:gridCol w:w="1417"/>
      </w:tblGrid>
      <w:tr>
        <w:trPr>
          <w:cantSplit/>
        </w:trPr>
        <w:tc>
          <w:tcPr>
            <w:tcW w:w="5387" w:type="dxa"/>
            <w:noWrap/>
          </w:tcPr>
          <w:p>
            <w:pPr>
              <w:pStyle w:val="yTableNAm"/>
              <w:tabs>
                <w:tab w:val="clear" w:pos="567"/>
                <w:tab w:val="right" w:leader="dot" w:pos="5599"/>
              </w:tabs>
              <w:ind w:left="601" w:right="-111" w:hanging="601"/>
            </w:pPr>
            <w:r>
              <w:t>1.</w:t>
            </w:r>
            <w:r>
              <w:tab/>
              <w:t>Monthly fee for parking permit for heavy vehicle</w:t>
            </w:r>
            <w:r>
              <w:tab/>
            </w:r>
          </w:p>
        </w:tc>
        <w:tc>
          <w:tcPr>
            <w:tcW w:w="1417" w:type="dxa"/>
            <w:noWrap/>
          </w:tcPr>
          <w:p>
            <w:pPr>
              <w:pStyle w:val="yTableNAm"/>
              <w:tabs>
                <w:tab w:val="clear" w:pos="567"/>
              </w:tabs>
              <w:ind w:left="9"/>
              <w:jc w:val="right"/>
              <w:rPr>
                <w:highlight w:val="yellow"/>
              </w:rPr>
            </w:pPr>
            <w:r>
              <w:t>$334.81</w:t>
            </w:r>
          </w:p>
        </w:tc>
      </w:tr>
      <w:tr>
        <w:trPr>
          <w:cantSplit/>
        </w:trPr>
        <w:tc>
          <w:tcPr>
            <w:tcW w:w="5387" w:type="dxa"/>
            <w:noWrap/>
          </w:tcPr>
          <w:p>
            <w:pPr>
              <w:pStyle w:val="yTableNAm"/>
              <w:tabs>
                <w:tab w:val="clear" w:pos="567"/>
                <w:tab w:val="right" w:leader="dot" w:pos="5599"/>
              </w:tabs>
              <w:ind w:left="601" w:right="-111" w:hanging="601"/>
            </w:pPr>
            <w:r>
              <w:t>2.</w:t>
            </w:r>
            <w:r>
              <w:tab/>
              <w:t>Annual fee for parking permit for any other type of motor vehicle</w:t>
            </w:r>
            <w:r>
              <w:tab/>
            </w:r>
          </w:p>
        </w:tc>
        <w:tc>
          <w:tcPr>
            <w:tcW w:w="1417" w:type="dxa"/>
            <w:noWrap/>
            <w:vAlign w:val="bottom"/>
          </w:tcPr>
          <w:p>
            <w:pPr>
              <w:pStyle w:val="yTableNAm"/>
              <w:tabs>
                <w:tab w:val="clear" w:pos="567"/>
              </w:tabs>
              <w:ind w:left="9"/>
              <w:jc w:val="right"/>
              <w:rPr>
                <w:highlight w:val="yellow"/>
              </w:rPr>
            </w:pPr>
            <w:r>
              <w:t>$271.09</w:t>
            </w:r>
          </w:p>
        </w:tc>
      </w:tr>
    </w:tbl>
    <w:p>
      <w:pPr>
        <w:pStyle w:val="yFootnotesection"/>
      </w:pPr>
      <w:bookmarkStart w:id="203" w:name="_Toc202440608"/>
      <w:bookmarkStart w:id="204" w:name="_Toc202440687"/>
      <w:bookmarkStart w:id="205" w:name="_Toc202440724"/>
      <w:bookmarkStart w:id="206" w:name="_Toc202440856"/>
      <w:bookmarkStart w:id="207" w:name="_Toc202440869"/>
      <w:r>
        <w:tab/>
        <w:t>[Division 4 inserted: SL 2025/132 r. 5.]</w:t>
      </w:r>
    </w:p>
    <w:p>
      <w:pPr>
        <w:pStyle w:val="yHeading3"/>
      </w:pPr>
      <w:bookmarkStart w:id="208" w:name="_Toc202446030"/>
      <w:bookmarkStart w:id="209" w:name="_Toc202451129"/>
      <w:r>
        <w:rPr>
          <w:rStyle w:val="CharSDivNo"/>
        </w:rPr>
        <w:t>Division 5</w:t>
      </w:r>
      <w:r>
        <w:rPr>
          <w:rStyle w:val="CharSClsNo"/>
        </w:rPr>
        <w:t> </w:t>
      </w:r>
      <w:r>
        <w:t>— </w:t>
      </w:r>
      <w:r>
        <w:rPr>
          <w:rStyle w:val="CharSDivText"/>
        </w:rPr>
        <w:t>Muchea Livestock Centre: yard fees</w:t>
      </w:r>
      <w:bookmarkEnd w:id="203"/>
      <w:bookmarkEnd w:id="204"/>
      <w:bookmarkEnd w:id="205"/>
      <w:bookmarkEnd w:id="206"/>
      <w:bookmarkEnd w:id="207"/>
      <w:bookmarkEnd w:id="208"/>
      <w:bookmarkEnd w:id="209"/>
    </w:p>
    <w:p>
      <w:pPr>
        <w:pStyle w:val="yFootnoteheading"/>
      </w:pPr>
      <w:r>
        <w:tab/>
        <w:t>[Heading inserted: SL 2025/132 r.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jc w:val="cent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rPr>
          <w:cantSplit/>
          <w:jc w:val="center"/>
        </w:trPr>
        <w:tc>
          <w:tcPr>
            <w:tcW w:w="3033" w:type="dxa"/>
            <w:noWrap/>
          </w:tcPr>
          <w:p>
            <w:pPr>
              <w:pStyle w:val="yTableNAm"/>
            </w:pPr>
            <w:r>
              <w:t>Calves</w:t>
            </w:r>
          </w:p>
        </w:tc>
        <w:tc>
          <w:tcPr>
            <w:tcW w:w="3034" w:type="dxa"/>
            <w:noWrap/>
          </w:tcPr>
          <w:p>
            <w:pPr>
              <w:pStyle w:val="yTableNAm"/>
              <w:rPr>
                <w:highlight w:val="yellow"/>
              </w:rPr>
            </w:pPr>
            <w:r>
              <w:t>$5.66</w:t>
            </w:r>
          </w:p>
        </w:tc>
      </w:tr>
      <w:tr>
        <w:trPr>
          <w:cantSplit/>
          <w:jc w:val="center"/>
        </w:trPr>
        <w:tc>
          <w:tcPr>
            <w:tcW w:w="3033" w:type="dxa"/>
            <w:noWrap/>
          </w:tcPr>
          <w:p>
            <w:pPr>
              <w:pStyle w:val="yTableNAm"/>
            </w:pPr>
            <w:r>
              <w:t>Cattle</w:t>
            </w:r>
          </w:p>
        </w:tc>
        <w:tc>
          <w:tcPr>
            <w:tcW w:w="3034" w:type="dxa"/>
            <w:noWrap/>
          </w:tcPr>
          <w:p>
            <w:pPr>
              <w:pStyle w:val="yTableNAm"/>
              <w:rPr>
                <w:highlight w:val="yellow"/>
              </w:rPr>
            </w:pPr>
            <w:r>
              <w:t>$9.92</w:t>
            </w:r>
          </w:p>
        </w:tc>
      </w:tr>
      <w:tr>
        <w:trPr>
          <w:cantSplit/>
          <w:jc w:val="center"/>
        </w:trPr>
        <w:tc>
          <w:tcPr>
            <w:tcW w:w="3033" w:type="dxa"/>
            <w:noWrap/>
          </w:tcPr>
          <w:p>
            <w:pPr>
              <w:pStyle w:val="yTableNAm"/>
            </w:pPr>
            <w:r>
              <w:t>Goats</w:t>
            </w:r>
          </w:p>
        </w:tc>
        <w:tc>
          <w:tcPr>
            <w:tcW w:w="3034" w:type="dxa"/>
            <w:noWrap/>
          </w:tcPr>
          <w:p>
            <w:pPr>
              <w:pStyle w:val="yTableNAm"/>
              <w:rPr>
                <w:highlight w:val="yellow"/>
              </w:rPr>
            </w:pPr>
            <w:r>
              <w:t>$1.07</w:t>
            </w:r>
          </w:p>
        </w:tc>
      </w:tr>
      <w:tr>
        <w:trPr>
          <w:cantSplit/>
          <w:jc w:val="center"/>
        </w:trPr>
        <w:tc>
          <w:tcPr>
            <w:tcW w:w="3033" w:type="dxa"/>
            <w:noWrap/>
          </w:tcPr>
          <w:p>
            <w:pPr>
              <w:pStyle w:val="yTableNAm"/>
            </w:pPr>
            <w:r>
              <w:t>Horses</w:t>
            </w:r>
          </w:p>
        </w:tc>
        <w:tc>
          <w:tcPr>
            <w:tcW w:w="3034" w:type="dxa"/>
            <w:noWrap/>
          </w:tcPr>
          <w:p>
            <w:pPr>
              <w:pStyle w:val="yTableNAm"/>
              <w:rPr>
                <w:highlight w:val="yellow"/>
              </w:rPr>
            </w:pPr>
            <w:r>
              <w:t>$9.92</w:t>
            </w:r>
          </w:p>
        </w:tc>
      </w:tr>
      <w:tr>
        <w:trPr>
          <w:cantSplit/>
          <w:jc w:val="center"/>
        </w:trPr>
        <w:tc>
          <w:tcPr>
            <w:tcW w:w="3033" w:type="dxa"/>
            <w:noWrap/>
          </w:tcPr>
          <w:p>
            <w:pPr>
              <w:pStyle w:val="yTableNAm"/>
            </w:pPr>
            <w:r>
              <w:t>Lambs</w:t>
            </w:r>
          </w:p>
        </w:tc>
        <w:tc>
          <w:tcPr>
            <w:tcW w:w="3034" w:type="dxa"/>
            <w:noWrap/>
          </w:tcPr>
          <w:p>
            <w:pPr>
              <w:pStyle w:val="yTableNAm"/>
              <w:rPr>
                <w:highlight w:val="yellow"/>
              </w:rPr>
            </w:pPr>
            <w:r>
              <w:t>$1.07</w:t>
            </w:r>
          </w:p>
        </w:tc>
      </w:tr>
      <w:tr>
        <w:trPr>
          <w:cantSplit/>
          <w:jc w:val="center"/>
        </w:trPr>
        <w:tc>
          <w:tcPr>
            <w:tcW w:w="3033" w:type="dxa"/>
            <w:noWrap/>
          </w:tcPr>
          <w:p>
            <w:pPr>
              <w:pStyle w:val="yTableNAm"/>
            </w:pPr>
            <w:r>
              <w:t>Sheep</w:t>
            </w:r>
          </w:p>
        </w:tc>
        <w:tc>
          <w:tcPr>
            <w:tcW w:w="3034" w:type="dxa"/>
            <w:noWrap/>
          </w:tcPr>
          <w:p>
            <w:pPr>
              <w:pStyle w:val="yTableNAm"/>
              <w:rPr>
                <w:highlight w:val="yellow"/>
              </w:rPr>
            </w:pPr>
            <w:r>
              <w:t>$1.07</w:t>
            </w:r>
          </w:p>
        </w:tc>
      </w:tr>
    </w:tbl>
    <w:p>
      <w:pPr>
        <w:pStyle w:val="yFootnotesection"/>
      </w:pPr>
      <w:bookmarkStart w:id="210" w:name="_Toc202440609"/>
      <w:bookmarkStart w:id="211" w:name="_Toc202440688"/>
      <w:bookmarkStart w:id="212" w:name="_Toc202440725"/>
      <w:bookmarkStart w:id="213" w:name="_Toc202440857"/>
      <w:bookmarkStart w:id="214" w:name="_Toc202440870"/>
      <w:r>
        <w:tab/>
        <w:t>[Division 5 inserted: SL 2025/132 r. 5.]</w:t>
      </w:r>
    </w:p>
    <w:p>
      <w:pPr>
        <w:pStyle w:val="yHeading3"/>
      </w:pPr>
      <w:bookmarkStart w:id="215" w:name="_Toc202446031"/>
      <w:bookmarkStart w:id="216" w:name="_Toc202451130"/>
      <w:r>
        <w:rPr>
          <w:rStyle w:val="CharSDivNo"/>
        </w:rPr>
        <w:lastRenderedPageBreak/>
        <w:t>Division 6</w:t>
      </w:r>
      <w:r>
        <w:rPr>
          <w:rStyle w:val="CharSClsNo"/>
        </w:rPr>
        <w:t> </w:t>
      </w:r>
      <w:r>
        <w:t>— </w:t>
      </w:r>
      <w:r>
        <w:rPr>
          <w:rStyle w:val="CharSDivText"/>
        </w:rPr>
        <w:t>Muchea Livestock Centre: transhipment fees</w:t>
      </w:r>
      <w:bookmarkEnd w:id="210"/>
      <w:bookmarkEnd w:id="211"/>
      <w:bookmarkEnd w:id="212"/>
      <w:bookmarkEnd w:id="213"/>
      <w:bookmarkEnd w:id="214"/>
      <w:bookmarkEnd w:id="215"/>
      <w:bookmarkEnd w:id="216"/>
    </w:p>
    <w:p>
      <w:pPr>
        <w:pStyle w:val="yFootnoteheading"/>
        <w:keepNext/>
      </w:pPr>
      <w:r>
        <w:tab/>
        <w:t>[Heading inserted: SL 2025/132 r. 5.]</w:t>
      </w:r>
    </w:p>
    <w:tbl>
      <w:tblPr>
        <w:tblW w:w="0" w:type="auto"/>
        <w:tblInd w:w="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yTableNAm"/>
              <w:rPr>
                <w:b/>
                <w:bCs/>
              </w:rPr>
            </w:pPr>
            <w:r>
              <w:rPr>
                <w:b/>
                <w:bCs/>
              </w:rPr>
              <w:t>Animal</w:t>
            </w:r>
          </w:p>
        </w:tc>
        <w:tc>
          <w:tcPr>
            <w:tcW w:w="3034" w:type="dxa"/>
            <w:noWrap/>
          </w:tcPr>
          <w:p>
            <w:pPr>
              <w:pStyle w:val="yTableNAm"/>
              <w:rPr>
                <w:b/>
                <w:bCs/>
              </w:rPr>
            </w:pPr>
            <w:r>
              <w:rPr>
                <w:b/>
                <w:bCs/>
              </w:rPr>
              <w:t>Fee per head</w:t>
            </w:r>
          </w:p>
        </w:tc>
      </w:tr>
      <w:tr>
        <w:tc>
          <w:tcPr>
            <w:tcW w:w="3033" w:type="dxa"/>
            <w:noWrap/>
          </w:tcPr>
          <w:p>
            <w:pPr>
              <w:pStyle w:val="yTableNAm"/>
            </w:pPr>
            <w:r>
              <w:t>Calves</w:t>
            </w:r>
          </w:p>
        </w:tc>
        <w:tc>
          <w:tcPr>
            <w:tcW w:w="3034" w:type="dxa"/>
            <w:noWrap/>
          </w:tcPr>
          <w:p>
            <w:pPr>
              <w:pStyle w:val="yTableNAm"/>
              <w:rPr>
                <w:highlight w:val="yellow"/>
              </w:rPr>
            </w:pPr>
            <w:r>
              <w:t>$1.60</w:t>
            </w:r>
          </w:p>
        </w:tc>
      </w:tr>
      <w:tr>
        <w:tc>
          <w:tcPr>
            <w:tcW w:w="3033" w:type="dxa"/>
            <w:noWrap/>
          </w:tcPr>
          <w:p>
            <w:pPr>
              <w:pStyle w:val="yTableNAm"/>
            </w:pPr>
            <w:r>
              <w:t>Cattle</w:t>
            </w:r>
          </w:p>
        </w:tc>
        <w:tc>
          <w:tcPr>
            <w:tcW w:w="3034" w:type="dxa"/>
            <w:noWrap/>
          </w:tcPr>
          <w:p>
            <w:pPr>
              <w:pStyle w:val="yTableNAm"/>
              <w:rPr>
                <w:highlight w:val="yellow"/>
              </w:rPr>
            </w:pPr>
            <w:r>
              <w:t>$1.60</w:t>
            </w:r>
          </w:p>
        </w:tc>
      </w:tr>
      <w:tr>
        <w:tc>
          <w:tcPr>
            <w:tcW w:w="3033" w:type="dxa"/>
            <w:noWrap/>
          </w:tcPr>
          <w:p>
            <w:pPr>
              <w:pStyle w:val="yTableNAm"/>
            </w:pPr>
            <w:r>
              <w:t>Goats</w:t>
            </w:r>
          </w:p>
        </w:tc>
        <w:tc>
          <w:tcPr>
            <w:tcW w:w="3034" w:type="dxa"/>
            <w:noWrap/>
          </w:tcPr>
          <w:p>
            <w:pPr>
              <w:pStyle w:val="yTableNAm"/>
              <w:rPr>
                <w:highlight w:val="yellow"/>
              </w:rPr>
            </w:pPr>
            <w:r>
              <w:t>$0.19</w:t>
            </w:r>
          </w:p>
        </w:tc>
      </w:tr>
      <w:tr>
        <w:tc>
          <w:tcPr>
            <w:tcW w:w="3033" w:type="dxa"/>
            <w:noWrap/>
          </w:tcPr>
          <w:p>
            <w:pPr>
              <w:pStyle w:val="yTableNAm"/>
            </w:pPr>
            <w:r>
              <w:t>Horses</w:t>
            </w:r>
          </w:p>
        </w:tc>
        <w:tc>
          <w:tcPr>
            <w:tcW w:w="3034" w:type="dxa"/>
            <w:noWrap/>
          </w:tcPr>
          <w:p>
            <w:pPr>
              <w:pStyle w:val="yTableNAm"/>
              <w:rPr>
                <w:highlight w:val="yellow"/>
              </w:rPr>
            </w:pPr>
            <w:r>
              <w:t>$1.60</w:t>
            </w:r>
          </w:p>
        </w:tc>
      </w:tr>
      <w:tr>
        <w:tc>
          <w:tcPr>
            <w:tcW w:w="3033" w:type="dxa"/>
            <w:noWrap/>
          </w:tcPr>
          <w:p>
            <w:pPr>
              <w:pStyle w:val="yTableNAm"/>
            </w:pPr>
            <w:r>
              <w:t>Lambs</w:t>
            </w:r>
          </w:p>
        </w:tc>
        <w:tc>
          <w:tcPr>
            <w:tcW w:w="3034" w:type="dxa"/>
            <w:noWrap/>
          </w:tcPr>
          <w:p>
            <w:pPr>
              <w:pStyle w:val="yTableNAm"/>
              <w:rPr>
                <w:highlight w:val="yellow"/>
              </w:rPr>
            </w:pPr>
            <w:r>
              <w:t>$0.19</w:t>
            </w:r>
          </w:p>
        </w:tc>
      </w:tr>
      <w:tr>
        <w:tc>
          <w:tcPr>
            <w:tcW w:w="3033" w:type="dxa"/>
            <w:noWrap/>
          </w:tcPr>
          <w:p>
            <w:pPr>
              <w:pStyle w:val="yTableNAm"/>
            </w:pPr>
            <w:r>
              <w:t>Sheep</w:t>
            </w:r>
          </w:p>
        </w:tc>
        <w:tc>
          <w:tcPr>
            <w:tcW w:w="3034" w:type="dxa"/>
            <w:noWrap/>
          </w:tcPr>
          <w:p>
            <w:pPr>
              <w:pStyle w:val="yTableNAm"/>
              <w:rPr>
                <w:highlight w:val="yellow"/>
              </w:rPr>
            </w:pPr>
            <w:r>
              <w:t>$0.19</w:t>
            </w:r>
          </w:p>
        </w:tc>
      </w:tr>
    </w:tbl>
    <w:p>
      <w:pPr>
        <w:pStyle w:val="yFootnotesection"/>
      </w:pPr>
      <w:r>
        <w:tab/>
        <w:t>[Division 6 inserted: SL 2025/132 r. 5.]</w:t>
      </w:r>
    </w:p>
    <w:bookmarkEnd w:id="171"/>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7"/>
          <w:headerReference w:type="default" r:id="rId48"/>
          <w:headerReference w:type="first" r:id="rId49"/>
          <w:pgSz w:w="11907" w:h="16840" w:code="9"/>
          <w:pgMar w:top="2381" w:right="2410" w:bottom="3544" w:left="2410" w:header="720" w:footer="3544" w:gutter="0"/>
          <w:cols w:space="720"/>
          <w:titlePg/>
          <w:docGrid w:linePitch="326"/>
        </w:sectPr>
      </w:pPr>
    </w:p>
    <w:p>
      <w:pPr>
        <w:pStyle w:val="nHeading2"/>
      </w:pPr>
      <w:bookmarkStart w:id="217" w:name="_Toc202444818"/>
      <w:bookmarkStart w:id="218" w:name="_Toc202446032"/>
      <w:bookmarkStart w:id="219" w:name="_Toc202451131"/>
      <w:r>
        <w:lastRenderedPageBreak/>
        <w:t>Notes</w:t>
      </w:r>
      <w:bookmarkEnd w:id="217"/>
      <w:bookmarkEnd w:id="218"/>
      <w:bookmarkEnd w:id="219"/>
    </w:p>
    <w:p>
      <w:pPr>
        <w:pStyle w:val="nStatement"/>
      </w:pPr>
      <w:r>
        <w:t xml:space="preserve">This is a compilation of the </w:t>
      </w:r>
      <w:r>
        <w:rPr>
          <w:i/>
          <w:noProof/>
        </w:rPr>
        <w:t>Western Australian Meat Industry Authority Regulations 1985</w:t>
      </w:r>
      <w:r>
        <w:t xml:space="preserve"> and includes amendments made by other written laws. For provisions that have come into operation, and for information about any reprints, see the compilation table.</w:t>
      </w:r>
    </w:p>
    <w:p>
      <w:pPr>
        <w:pStyle w:val="nHeading3"/>
      </w:pPr>
      <w:bookmarkStart w:id="220" w:name="_Toc202451132"/>
      <w:r>
        <w:t>Compilation table</w:t>
      </w:r>
      <w:bookmarkEnd w:id="22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1</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lastRenderedPageBreak/>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2006</w:t>
            </w:r>
          </w:p>
        </w:tc>
        <w:tc>
          <w:tcPr>
            <w:tcW w:w="1276" w:type="dxa"/>
          </w:tcPr>
          <w:p>
            <w:pPr>
              <w:pStyle w:val="nTable"/>
              <w:spacing w:after="40"/>
            </w:pPr>
            <w:r>
              <w:t>3 Nov 2006 p. 4657-8</w:t>
            </w:r>
          </w:p>
        </w:tc>
        <w:tc>
          <w:tcPr>
            <w:tcW w:w="2693" w:type="dxa"/>
          </w:tcPr>
          <w:p>
            <w:pPr>
              <w:pStyle w:val="nTable"/>
              <w:spacing w:after="40"/>
            </w:pPr>
            <w:r>
              <w:t>3 Nov 2006</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2008</w:t>
            </w:r>
          </w:p>
        </w:tc>
        <w:tc>
          <w:tcPr>
            <w:tcW w:w="1276" w:type="dxa"/>
          </w:tcPr>
          <w:p>
            <w:pPr>
              <w:pStyle w:val="nTable"/>
              <w:spacing w:after="40"/>
            </w:pPr>
            <w:r>
              <w:t>31 Jul 2008 p. 3449-51</w:t>
            </w:r>
          </w:p>
        </w:tc>
        <w:tc>
          <w:tcPr>
            <w:tcW w:w="2693" w:type="dxa"/>
          </w:tcPr>
          <w:p>
            <w:pPr>
              <w:pStyle w:val="nTable"/>
              <w:spacing w:after="40"/>
            </w:pPr>
            <w:r>
              <w:t>r. 1 and 2: 31 Jul 2008 (see r. 2(a));</w:t>
            </w:r>
            <w:r>
              <w:br/>
              <w:t>Regulations other than r. 1 and 2: 1 Aug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lastRenderedPageBreak/>
              <w:t>Western Australian Meat Industry Authority Amendment Regulations 2010</w:t>
            </w:r>
          </w:p>
        </w:tc>
        <w:tc>
          <w:tcPr>
            <w:tcW w:w="1276" w:type="dxa"/>
          </w:tcPr>
          <w:p>
            <w:pPr>
              <w:pStyle w:val="nTable"/>
              <w:spacing w:after="40"/>
            </w:pPr>
            <w:r>
              <w:t>30 Apr 2010 p. 1600</w:t>
            </w:r>
            <w:r>
              <w:noBreakHyphen/>
              <w:t>2</w:t>
            </w:r>
          </w:p>
        </w:tc>
        <w:tc>
          <w:tcPr>
            <w:tcW w:w="2693" w:type="dxa"/>
          </w:tcPr>
          <w:p>
            <w:pPr>
              <w:pStyle w:val="nTable"/>
              <w:spacing w:after="40"/>
            </w:pPr>
            <w:r>
              <w:rPr>
                <w:snapToGrid w:val="0"/>
              </w:rPr>
              <w:t>r. 1 and 2: 30 Apr 2010 (see r. 2(a));</w:t>
            </w:r>
            <w:r>
              <w:rPr>
                <w:snapToGrid w:val="0"/>
              </w:rPr>
              <w:br/>
              <w:t>Regulations other than r. 1 and 2: 2 May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2010</w:t>
            </w:r>
          </w:p>
        </w:tc>
        <w:tc>
          <w:tcPr>
            <w:tcW w:w="1276" w:type="dxa"/>
          </w:tcPr>
          <w:p>
            <w:pPr>
              <w:pStyle w:val="nTable"/>
              <w:spacing w:after="40"/>
              <w:rPr>
                <w:u w:val="words"/>
              </w:rPr>
            </w:pPr>
            <w:r>
              <w:t>30 Jun 2010 p. 3127-9</w:t>
            </w:r>
          </w:p>
        </w:tc>
        <w:tc>
          <w:tcPr>
            <w:tcW w:w="2693" w:type="dxa"/>
          </w:tcPr>
          <w:p>
            <w:pPr>
              <w:pStyle w:val="nTable"/>
              <w:spacing w:after="40"/>
              <w:rPr>
                <w:snapToGrid w:val="0"/>
              </w:rPr>
            </w:pPr>
            <w:r>
              <w:rPr>
                <w:snapToGrid w:val="0"/>
              </w:rPr>
              <w:t>r. 1 and 2: 30 Jun 2010 (see r. 2(a));</w:t>
            </w:r>
            <w:r>
              <w:rPr>
                <w:snapToGrid w:val="0"/>
              </w:rPr>
              <w:br/>
              <w:t>Regulations other than r. 1 and 2: 1 Jul 2010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(No. 2) 2011</w:t>
            </w:r>
          </w:p>
        </w:tc>
        <w:tc>
          <w:tcPr>
            <w:tcW w:w="1276" w:type="dxa"/>
          </w:tcPr>
          <w:p>
            <w:pPr>
              <w:pStyle w:val="nTable"/>
              <w:spacing w:after="40"/>
              <w:rPr>
                <w:u w:val="words"/>
              </w:rPr>
            </w:pPr>
            <w:r>
              <w:t>30 Jun 2011 p. 2707</w:t>
            </w:r>
            <w:r>
              <w:noBreakHyphen/>
              <w:t>9</w:t>
            </w:r>
          </w:p>
        </w:tc>
        <w:tc>
          <w:tcPr>
            <w:tcW w:w="2693" w:type="dxa"/>
          </w:tcPr>
          <w:p>
            <w:pPr>
              <w:pStyle w:val="nTable"/>
              <w:spacing w:after="40"/>
              <w:rPr>
                <w:snapToGrid w:val="0"/>
              </w:rPr>
            </w:pPr>
            <w:r>
              <w:rPr>
                <w:snapToGrid w:val="0"/>
              </w:rPr>
              <w:t>r. 1 and 2: 30 Jun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bCs/>
                <w:snapToGrid w:val="0"/>
                <w:spacing w:val="-2"/>
              </w:rPr>
              <w:t>r. 1 and 2: 1 Jul 2014 (see r. 2(a));</w:t>
            </w:r>
            <w:r>
              <w:rPr>
                <w:bCs/>
                <w:snapToGrid w:val="0"/>
                <w:spacing w:val="-2"/>
              </w:rPr>
              <w:br/>
              <w:t>Regulations other than r. 1 and 2: 2 Jul 2014 (see r. 2(b)(ii))</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lastRenderedPageBreak/>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bCs/>
                <w:snapToGrid w:val="0"/>
                <w:spacing w:val="-2"/>
              </w:rPr>
            </w:pPr>
            <w:r>
              <w:rPr>
                <w:bCs/>
                <w:snapToGrid w:val="0"/>
                <w:spacing w:val="-2"/>
              </w:rPr>
              <w:t>r. 1 and 2: 3 Sep 2014 (see r. 2(a));</w:t>
            </w:r>
            <w:r>
              <w:rPr>
                <w:bCs/>
                <w:snapToGrid w:val="0"/>
                <w:spacing w:val="-2"/>
              </w:rPr>
              <w:br/>
              <w:t>Regulations other than r. 1 and 2: 4 Sep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bCs/>
                <w:snapToGrid w:val="0"/>
                <w:spacing w:val="-2"/>
              </w:rPr>
            </w:pPr>
            <w:r>
              <w:rPr>
                <w:bCs/>
                <w:snapToGrid w:val="0"/>
                <w:spacing w:val="-2"/>
              </w:rPr>
              <w:t>r. 1 and 2: 8 Jan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bCs/>
                <w:snapToGrid w:val="0"/>
                <w:spacing w:val="-2"/>
              </w:rPr>
            </w:pPr>
            <w:r>
              <w:rPr>
                <w:bCs/>
                <w:snapToGrid w:val="0"/>
                <w:spacing w:val="-2"/>
              </w:rPr>
              <w:t xml:space="preserve">r. 1 and 2: </w:t>
            </w:r>
            <w:r>
              <w:t>24 Jul 2015</w:t>
            </w:r>
            <w:r>
              <w:rPr>
                <w:bCs/>
                <w:snapToGrid w:val="0"/>
                <w:spacing w:val="-2"/>
              </w:rPr>
              <w:t xml:space="preserve"> (see r. 2(a));</w:t>
            </w:r>
            <w:r>
              <w:rPr>
                <w:bCs/>
                <w:snapToGrid w:val="0"/>
                <w:spacing w:val="-2"/>
              </w:rPr>
              <w:br/>
              <w:t xml:space="preserve">Regulations other than r. 1 and 2: </w:t>
            </w:r>
            <w:r>
              <w:t>25 Jul 2015</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bCs/>
                <w:snapToGrid w:val="0"/>
                <w:spacing w:val="-2"/>
              </w:rPr>
            </w:pPr>
            <w:r>
              <w:rPr>
                <w:bCs/>
                <w:snapToGrid w:val="0"/>
                <w:spacing w:val="-2"/>
              </w:rPr>
              <w:t xml:space="preserve">r. 1 and 2: </w:t>
            </w:r>
            <w:r>
              <w:t>16 Sep 2016</w:t>
            </w:r>
            <w:r>
              <w:rPr>
                <w:bCs/>
                <w:snapToGrid w:val="0"/>
                <w:spacing w:val="-2"/>
              </w:rPr>
              <w:t xml:space="preserve"> (see r. 2(a));</w:t>
            </w:r>
            <w:r>
              <w:rPr>
                <w:bCs/>
                <w:snapToGrid w:val="0"/>
                <w:spacing w:val="-2"/>
              </w:rPr>
              <w:br/>
              <w:t xml:space="preserve">Regulations other than r. 1 and 2: </w:t>
            </w:r>
            <w:r>
              <w:t>17 Sep 2016</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bCs/>
                <w:snapToGrid w:val="0"/>
                <w:spacing w:val="-2"/>
              </w:rPr>
            </w:pPr>
            <w:r>
              <w:t xml:space="preserve">24 Jan 2017 (see r. 2(b) and </w:t>
            </w:r>
            <w:r>
              <w:rPr>
                <w:i/>
              </w:rPr>
              <w:t>Gazette</w:t>
            </w:r>
            <w:r>
              <w:t xml:space="preserve"> 10 Jan 2017 p. 165)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2018</w:t>
            </w:r>
          </w:p>
        </w:tc>
        <w:tc>
          <w:tcPr>
            <w:tcW w:w="1276" w:type="dxa"/>
            <w:shd w:val="clear" w:color="auto" w:fill="auto"/>
          </w:tcPr>
          <w:p>
            <w:pPr>
              <w:pStyle w:val="nTable"/>
              <w:spacing w:after="40"/>
            </w:pPr>
            <w:r>
              <w:t>13 Nov 2018 p. 4436</w:t>
            </w:r>
            <w:r>
              <w:noBreakHyphen/>
              <w:t>7</w:t>
            </w:r>
          </w:p>
        </w:tc>
        <w:tc>
          <w:tcPr>
            <w:tcW w:w="2693" w:type="dxa"/>
            <w:shd w:val="clear" w:color="auto" w:fill="auto"/>
          </w:tcPr>
          <w:p>
            <w:pPr>
              <w:pStyle w:val="nTable"/>
              <w:spacing w:after="40"/>
              <w:rPr>
                <w:bCs/>
                <w:snapToGrid w:val="0"/>
                <w:spacing w:val="-2"/>
              </w:rPr>
            </w:pPr>
            <w:r>
              <w:rPr>
                <w:bCs/>
                <w:snapToGrid w:val="0"/>
                <w:spacing w:val="-2"/>
              </w:rPr>
              <w:t>r. 1 and 2: 13 Nov 2018 (see r. 2(a));</w:t>
            </w:r>
            <w:r>
              <w:rPr>
                <w:bCs/>
                <w:snapToGrid w:val="0"/>
                <w:spacing w:val="-2"/>
              </w:rPr>
              <w:br/>
              <w:t>Regulations other than r. 1 and 2: 1 Dec 2018 (see r. 2(b))</w:t>
            </w:r>
          </w:p>
        </w:tc>
      </w:tr>
      <w:tr>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pPr>
              <w:pStyle w:val="nTable"/>
              <w:spacing w:after="40"/>
              <w:rPr>
                <w:bCs/>
                <w:snapToGrid w:val="0"/>
                <w:spacing w:val="-2"/>
              </w:rPr>
            </w:pPr>
            <w:r>
              <w:rPr>
                <w:b/>
                <w:bCs/>
                <w:snapToGrid w:val="0"/>
                <w:spacing w:val="-2"/>
              </w:rPr>
              <w:t xml:space="preserve">Reprint 5: The </w:t>
            </w:r>
            <w:r>
              <w:rPr>
                <w:b/>
                <w:bCs/>
                <w:i/>
                <w:noProof/>
                <w:snapToGrid w:val="0"/>
                <w:spacing w:val="-2"/>
              </w:rPr>
              <w:t>Western Australian Meat Industry Authority Regulations 1985</w:t>
            </w:r>
            <w:r>
              <w:rPr>
                <w:b/>
                <w:bCs/>
                <w:snapToGrid w:val="0"/>
                <w:spacing w:val="-2"/>
              </w:rPr>
              <w:t xml:space="preserve"> as at</w:t>
            </w:r>
            <w:r>
              <w:rPr>
                <w:b/>
                <w:bCs/>
                <w:snapToGrid w:val="0"/>
                <w:spacing w:val="-2"/>
              </w:rPr>
              <w:br/>
              <w:t>18 Jan 2019</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rPr>
                <w:i/>
              </w:rPr>
            </w:pPr>
            <w:r>
              <w:rPr>
                <w:i/>
              </w:rPr>
              <w:t>Western Australian Meat Industry Authority Amendment Regulations 2019</w:t>
            </w:r>
          </w:p>
        </w:tc>
        <w:tc>
          <w:tcPr>
            <w:tcW w:w="1276" w:type="dxa"/>
            <w:shd w:val="clear" w:color="auto" w:fill="auto"/>
          </w:tcPr>
          <w:p>
            <w:pPr>
              <w:pStyle w:val="nTable"/>
              <w:spacing w:after="40"/>
            </w:pPr>
            <w:r>
              <w:t>14 Jun 2019 p. 1881</w:t>
            </w:r>
            <w:r>
              <w:noBreakHyphen/>
              <w:t>3</w:t>
            </w:r>
          </w:p>
        </w:tc>
        <w:tc>
          <w:tcPr>
            <w:tcW w:w="2693" w:type="dxa"/>
            <w:shd w:val="clear" w:color="auto" w:fill="auto"/>
          </w:tcPr>
          <w:p>
            <w:pPr>
              <w:pStyle w:val="nTable"/>
              <w:spacing w:after="40"/>
              <w:rPr>
                <w:bCs/>
                <w:snapToGrid w:val="0"/>
                <w:spacing w:val="-2"/>
              </w:rPr>
            </w:pPr>
            <w:r>
              <w:rPr>
                <w:bCs/>
                <w:snapToGrid w:val="0"/>
                <w:spacing w:val="-2"/>
              </w:rPr>
              <w:t>r. 1 and 2: 14 Jun 2019 (see r. 2(a));</w:t>
            </w:r>
            <w:r>
              <w:rPr>
                <w:bCs/>
                <w:snapToGrid w:val="0"/>
                <w:spacing w:val="-2"/>
              </w:rPr>
              <w:br/>
              <w:t>Regulations other than r. 1 and 2: 1 Jul 2019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2019</w:t>
            </w:r>
          </w:p>
        </w:tc>
        <w:tc>
          <w:tcPr>
            <w:tcW w:w="1276" w:type="dxa"/>
            <w:tcBorders>
              <w:top w:val="nil"/>
              <w:bottom w:val="nil"/>
            </w:tcBorders>
            <w:shd w:val="clear" w:color="auto" w:fill="auto"/>
          </w:tcPr>
          <w:p>
            <w:pPr>
              <w:pStyle w:val="nTable"/>
              <w:spacing w:after="40"/>
            </w:pPr>
            <w:r>
              <w:t>28 Jun 2019 p. 2474</w:t>
            </w:r>
            <w:r>
              <w:noBreakHyphen/>
              <w:t>7</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28 Jun 2019 (see r. 2(a));</w:t>
            </w:r>
            <w:r>
              <w:rPr>
                <w:bCs/>
                <w:snapToGrid w:val="0"/>
                <w:spacing w:val="-2"/>
              </w:rPr>
              <w:br/>
              <w:t>Regulations other than r. 1 and 2: 1 Jul 2019 (see r. 2(b)(i))</w:t>
            </w:r>
          </w:p>
        </w:tc>
      </w:tr>
      <w:tr>
        <w:trPr>
          <w:cantSplit/>
        </w:trPr>
        <w:tc>
          <w:tcPr>
            <w:tcW w:w="3119" w:type="dxa"/>
            <w:tcBorders>
              <w:top w:val="nil"/>
              <w:bottom w:val="nil"/>
            </w:tcBorders>
            <w:shd w:val="clear" w:color="auto" w:fill="auto"/>
          </w:tcPr>
          <w:p>
            <w:pPr>
              <w:pStyle w:val="nTable"/>
              <w:spacing w:after="40"/>
              <w:ind w:right="170"/>
              <w:rPr>
                <w:i/>
              </w:rPr>
            </w:pPr>
            <w:r>
              <w:rPr>
                <w:i/>
              </w:rPr>
              <w:lastRenderedPageBreak/>
              <w:t>Western Australian Meat Industry Authority Amendment Regulations 2020</w:t>
            </w:r>
          </w:p>
        </w:tc>
        <w:tc>
          <w:tcPr>
            <w:tcW w:w="1276" w:type="dxa"/>
            <w:tcBorders>
              <w:top w:val="nil"/>
              <w:bottom w:val="nil"/>
            </w:tcBorders>
            <w:shd w:val="clear" w:color="auto" w:fill="auto"/>
          </w:tcPr>
          <w:p>
            <w:pPr>
              <w:pStyle w:val="nTable"/>
              <w:spacing w:after="40"/>
            </w:pPr>
            <w:r>
              <w:t>SL 2020/113 7 Jul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7 Jul 2020 (see r. 2(a));</w:t>
            </w:r>
            <w:r>
              <w:rPr>
                <w:bCs/>
                <w:snapToGrid w:val="0"/>
                <w:spacing w:val="-2"/>
              </w:rPr>
              <w:br/>
              <w:t>Regulations other than r. 1 and 2: 8 Jul 2020 (see r. 2(b))</w:t>
            </w:r>
          </w:p>
        </w:tc>
      </w:tr>
      <w:tr>
        <w:trPr>
          <w:cantSplit/>
        </w:trPr>
        <w:tc>
          <w:tcPr>
            <w:tcW w:w="3119" w:type="dxa"/>
            <w:tcBorders>
              <w:top w:val="nil"/>
              <w:bottom w:val="nil"/>
            </w:tcBorders>
            <w:shd w:val="clear" w:color="auto" w:fill="auto"/>
          </w:tcPr>
          <w:p>
            <w:pPr>
              <w:pStyle w:val="nTable"/>
              <w:spacing w:after="40"/>
              <w:ind w:right="170"/>
              <w:rPr>
                <w:i/>
              </w:rPr>
            </w:pPr>
            <w:r>
              <w:rPr>
                <w:i/>
              </w:rPr>
              <w:t>Agriculture and Food Regulations Amendment (Infringement Notices) Regulations 2020</w:t>
            </w:r>
            <w:r>
              <w:t xml:space="preserve"> Pt. 3</w:t>
            </w:r>
          </w:p>
        </w:tc>
        <w:tc>
          <w:tcPr>
            <w:tcW w:w="1276" w:type="dxa"/>
            <w:tcBorders>
              <w:top w:val="nil"/>
              <w:bottom w:val="nil"/>
            </w:tcBorders>
            <w:shd w:val="clear" w:color="auto" w:fill="auto"/>
          </w:tcPr>
          <w:p>
            <w:pPr>
              <w:pStyle w:val="nTable"/>
              <w:spacing w:after="40"/>
            </w:pPr>
            <w:r>
              <w:t>SL 2020/160 25 Sep 2020</w:t>
            </w:r>
          </w:p>
        </w:tc>
        <w:tc>
          <w:tcPr>
            <w:tcW w:w="2693" w:type="dxa"/>
            <w:tcBorders>
              <w:top w:val="nil"/>
              <w:bottom w:val="nil"/>
            </w:tcBorders>
            <w:shd w:val="clear" w:color="auto" w:fill="auto"/>
          </w:tcPr>
          <w:p>
            <w:pPr>
              <w:pStyle w:val="nTable"/>
              <w:spacing w:after="40"/>
              <w:rPr>
                <w:bCs/>
                <w:snapToGrid w:val="0"/>
                <w:spacing w:val="-2"/>
              </w:rPr>
            </w:pPr>
            <w:r>
              <w:t>29 Sep 2020 (see r. 2(b) and SL 2020/159 cl. 2(a))</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2021</w:t>
            </w:r>
          </w:p>
        </w:tc>
        <w:tc>
          <w:tcPr>
            <w:tcW w:w="1276" w:type="dxa"/>
            <w:tcBorders>
              <w:top w:val="nil"/>
              <w:bottom w:val="nil"/>
            </w:tcBorders>
            <w:shd w:val="clear" w:color="auto" w:fill="auto"/>
          </w:tcPr>
          <w:p>
            <w:pPr>
              <w:pStyle w:val="nTable"/>
              <w:spacing w:after="40"/>
            </w:pPr>
            <w:r>
              <w:t>SL 2021/171 8 Oct 2021</w:t>
            </w:r>
          </w:p>
        </w:tc>
        <w:tc>
          <w:tcPr>
            <w:tcW w:w="2693" w:type="dxa"/>
            <w:tcBorders>
              <w:top w:val="nil"/>
              <w:bottom w:val="nil"/>
            </w:tcBorders>
            <w:shd w:val="clear" w:color="auto" w:fill="auto"/>
          </w:tcPr>
          <w:p>
            <w:pPr>
              <w:pStyle w:val="nTable"/>
              <w:spacing w:after="40"/>
            </w:pPr>
            <w:r>
              <w:t>r. 1 and 2: 8 Oct 2021 (see r. 2(a));</w:t>
            </w:r>
            <w:r>
              <w:br/>
              <w:t>Regulations other than r. 1 and 2: 9 Oct 2021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70"/>
            </w:pPr>
            <w:r>
              <w:rPr>
                <w:i/>
              </w:rPr>
              <w:t>Western Australian Meat Industry Authority Amendment Regulations 2022</w:t>
            </w:r>
          </w:p>
        </w:tc>
        <w:tc>
          <w:tcPr>
            <w:tcW w:w="1276" w:type="dxa"/>
            <w:shd w:val="clear" w:color="auto" w:fill="auto"/>
          </w:tcPr>
          <w:p>
            <w:pPr>
              <w:pStyle w:val="nTable"/>
              <w:spacing w:after="40"/>
            </w:pPr>
            <w:r>
              <w:t>SL 2022/21 11 Mar 2022</w:t>
            </w:r>
          </w:p>
        </w:tc>
        <w:tc>
          <w:tcPr>
            <w:tcW w:w="2693" w:type="dxa"/>
            <w:shd w:val="clear" w:color="auto" w:fill="auto"/>
          </w:tcPr>
          <w:p>
            <w:pPr>
              <w:pStyle w:val="nTable"/>
              <w:spacing w:after="40"/>
            </w:pPr>
            <w:r>
              <w:t>r. 1 and 2: 11 Mar 2022 (see r. 2(a));</w:t>
            </w:r>
            <w:r>
              <w:br/>
              <w:t>Regulations other than r. 1 and 2: 31 Mar 2022 (see r. 2(b) and SL 2022/18 cl. 2)</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2023</w:t>
            </w:r>
          </w:p>
        </w:tc>
        <w:tc>
          <w:tcPr>
            <w:tcW w:w="1276" w:type="dxa"/>
            <w:tcBorders>
              <w:top w:val="nil"/>
              <w:bottom w:val="nil"/>
            </w:tcBorders>
            <w:shd w:val="clear" w:color="auto" w:fill="auto"/>
          </w:tcPr>
          <w:p>
            <w:pPr>
              <w:pStyle w:val="nTable"/>
              <w:spacing w:after="40"/>
            </w:pPr>
            <w:r>
              <w:t>SL 2023/4 27 Jan 2023</w:t>
            </w:r>
          </w:p>
        </w:tc>
        <w:tc>
          <w:tcPr>
            <w:tcW w:w="2693" w:type="dxa"/>
            <w:tcBorders>
              <w:top w:val="nil"/>
              <w:bottom w:val="nil"/>
            </w:tcBorders>
            <w:shd w:val="clear" w:color="auto" w:fill="auto"/>
          </w:tcPr>
          <w:p>
            <w:pPr>
              <w:pStyle w:val="nTable"/>
              <w:spacing w:after="40"/>
            </w:pPr>
            <w:r>
              <w:t>r. 1 and 2: 27 Jan 2023 (see r. 2(a));</w:t>
            </w:r>
            <w:r>
              <w:br/>
              <w:t>Regulations other than r. 1 and 2: 28 Jan 2023 (see r. 2(b))</w:t>
            </w:r>
          </w:p>
        </w:tc>
      </w:tr>
      <w:tr>
        <w:trPr>
          <w:cantSplit/>
        </w:trPr>
        <w:tc>
          <w:tcPr>
            <w:tcW w:w="3119" w:type="dxa"/>
            <w:tcBorders>
              <w:top w:val="nil"/>
              <w:bottom w:val="nil"/>
            </w:tcBorders>
            <w:shd w:val="clear" w:color="auto" w:fill="auto"/>
          </w:tcPr>
          <w:p>
            <w:pPr>
              <w:pStyle w:val="nTable"/>
              <w:spacing w:after="40"/>
              <w:ind w:right="170"/>
              <w:rPr>
                <w:i/>
              </w:rPr>
            </w:pPr>
            <w:r>
              <w:rPr>
                <w:i/>
              </w:rPr>
              <w:t>Western Australian Meat Industry Authority Amendment Regulations (No. 2) 2023</w:t>
            </w:r>
          </w:p>
        </w:tc>
        <w:tc>
          <w:tcPr>
            <w:tcW w:w="1276" w:type="dxa"/>
            <w:tcBorders>
              <w:top w:val="nil"/>
              <w:bottom w:val="nil"/>
            </w:tcBorders>
            <w:shd w:val="clear" w:color="auto" w:fill="auto"/>
          </w:tcPr>
          <w:p>
            <w:pPr>
              <w:pStyle w:val="nTable"/>
              <w:spacing w:after="40"/>
            </w:pPr>
            <w:r>
              <w:t>SL 2023/185 29 Nov 2023</w:t>
            </w:r>
          </w:p>
        </w:tc>
        <w:tc>
          <w:tcPr>
            <w:tcW w:w="2693" w:type="dxa"/>
            <w:tcBorders>
              <w:top w:val="nil"/>
              <w:bottom w:val="nil"/>
            </w:tcBorders>
            <w:shd w:val="clear" w:color="auto" w:fill="auto"/>
          </w:tcPr>
          <w:p>
            <w:pPr>
              <w:pStyle w:val="nTable"/>
              <w:spacing w:after="40"/>
            </w:pPr>
            <w:r>
              <w:t>r. 1 and 2: 29 Nov 2023 (see r. 2(a));</w:t>
            </w:r>
            <w:r>
              <w:br/>
              <w:t>Regulations other than r. 1 and 2: 30 Nov 2023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2025</w:t>
            </w:r>
          </w:p>
        </w:tc>
        <w:tc>
          <w:tcPr>
            <w:tcW w:w="1276" w:type="dxa"/>
            <w:tcBorders>
              <w:bottom w:val="single" w:sz="4" w:space="0" w:color="auto"/>
            </w:tcBorders>
            <w:shd w:val="clear" w:color="auto" w:fill="auto"/>
          </w:tcPr>
          <w:p>
            <w:pPr>
              <w:pStyle w:val="nTable"/>
              <w:spacing w:after="40"/>
            </w:pPr>
            <w:r>
              <w:t>SL 2025/132 9 Jul 2025</w:t>
            </w:r>
          </w:p>
        </w:tc>
        <w:tc>
          <w:tcPr>
            <w:tcW w:w="2693" w:type="dxa"/>
            <w:tcBorders>
              <w:bottom w:val="single" w:sz="4" w:space="0" w:color="auto"/>
            </w:tcBorders>
            <w:shd w:val="clear" w:color="auto" w:fill="auto"/>
          </w:tcPr>
          <w:p>
            <w:pPr>
              <w:pStyle w:val="nTable"/>
              <w:spacing w:after="40"/>
            </w:pPr>
            <w:r>
              <w:t>r. 1 and 2: 9 Jul 2025 (see r. 2(a));</w:t>
            </w:r>
            <w:r>
              <w:br/>
              <w:t>Regulations other than r. 1 and 2: 10 Jul 2025 (see r. 2(b))</w:t>
            </w:r>
          </w:p>
        </w:tc>
      </w:tr>
    </w:tbl>
    <w:p>
      <w:pPr>
        <w:pStyle w:val="nHeading3"/>
      </w:pPr>
      <w:bookmarkStart w:id="221" w:name="_Toc202451133"/>
      <w:r>
        <w:t>Other notes</w:t>
      </w:r>
      <w:bookmarkEnd w:id="221"/>
    </w:p>
    <w:p>
      <w:pPr>
        <w:pStyle w:val="nNote"/>
      </w:pPr>
      <w:r>
        <w:rPr>
          <w:vertAlign w:val="superscript"/>
        </w:rPr>
        <w:t>1</w:t>
      </w:r>
      <w:r>
        <w:tab/>
        <w:t xml:space="preserve">Disallowed on 22 Oct 1991, see </w:t>
      </w:r>
      <w:r>
        <w:rPr>
          <w:i/>
          <w:iCs/>
        </w:rPr>
        <w:t xml:space="preserve">Gazette </w:t>
      </w:r>
      <w:r>
        <w:t>25 Oct 1991 p. 5499.</w:t>
      </w:r>
    </w:p>
    <w:p/>
    <w:p>
      <w:pPr>
        <w:sectPr>
          <w:headerReference w:type="even" r:id="rId50"/>
          <w:headerReference w:type="default" r:id="rId51"/>
          <w:pgSz w:w="11907" w:h="16840" w:code="9"/>
          <w:pgMar w:top="2376" w:right="2404" w:bottom="3544" w:left="2404" w:header="720" w:footer="3544" w:gutter="0"/>
          <w:cols w:space="720"/>
          <w:noEndnote/>
          <w:docGrid w:linePitch="326"/>
        </w:sectPr>
      </w:pPr>
    </w:p>
    <w:p>
      <w:pPr>
        <w:pStyle w:val="nHeading2"/>
        <w:rPr>
          <w:sz w:val="28"/>
        </w:rPr>
      </w:pPr>
      <w:bookmarkStart w:id="223" w:name="_Toc202444821"/>
      <w:bookmarkStart w:id="224" w:name="_Toc202446035"/>
      <w:bookmarkStart w:id="225" w:name="_Toc202451134"/>
      <w:r>
        <w:rPr>
          <w:sz w:val="28"/>
        </w:rPr>
        <w:lastRenderedPageBreak/>
        <w:t>Defined terms</w:t>
      </w:r>
      <w:bookmarkEnd w:id="223"/>
      <w:bookmarkEnd w:id="224"/>
      <w:bookmarkEnd w:id="22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2"/>
          <w:headerReference w:type="default" r:id="rId5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9A945B0"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867CC36" w14:textId="1E25E310" w:rsidR="007D7104" w:rsidRDefault="00EE42A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348AD">
                        <w:rPr>
                          <w:sz w:val="16"/>
                        </w:rPr>
                        <w:t>2025</w:t>
                      </w:r>
                      <w:r>
                        <w:rPr>
                          <w:sz w:val="16"/>
                        </w:rPr>
                        <w:fldChar w:fldCharType="end"/>
                      </w:r>
                      <w:r>
                        <w:rPr>
                          <w:sz w:val="16"/>
                        </w:rPr>
                        <w:t>.</w:t>
                      </w:r>
                    </w:p>
                    <w:p w14:paraId="6111FB52" w14:textId="77777777" w:rsidR="007D7104" w:rsidRDefault="00EE42A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9E3727A" w14:textId="14EC21AE" w:rsidR="007D7104" w:rsidRDefault="00EE42A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348AD">
                        <w:rPr>
                          <w:sz w:val="16"/>
                        </w:rPr>
                        <w:t>2025</w:t>
                      </w:r>
                      <w:r>
                        <w:rPr>
                          <w:sz w:val="16"/>
                        </w:rPr>
                        <w:fldChar w:fldCharType="end"/>
                      </w:r>
                      <w:r>
                        <w:rPr>
                          <w:sz w:val="16"/>
                        </w:rPr>
                        <w:t>.</w:t>
                      </w:r>
                    </w:p>
                    <w:p w14:paraId="75AB6532" w14:textId="77777777" w:rsidR="007D7104" w:rsidRDefault="00EE42A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54"/>
      <w:headerReference w:type="default" r:id="rId55"/>
      <w:footerReference w:type="even" r:id="rId56"/>
      <w:footerReference w:type="default" r:id="rId57"/>
      <w:headerReference w:type="first" r:id="rId58"/>
      <w:footerReference w:type="first" r:id="rId59"/>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xc</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Jul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xci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Jul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lxxviii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47" w:name="Schedule"/>
    <w:bookmarkEnd w:id="1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STYLEREF CharSClsNo</w:instrText>
          </w:r>
          <w:r>
            <w:rPr>
              <w:b/>
            </w:rPr>
            <w:fldChar w:fldCharType="separate"/>
          </w:r>
          <w:r>
            <w:rPr>
              <w:b/>
            </w:rPr>
            <w:t>8.2</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blPrEx>
        <w:tblBorders>
          <w:bottom w:val="single" w:sz="4" w:space="0" w:color="auto"/>
        </w:tblBorders>
      </w:tblPrEx>
      <w:trPr>
        <w:jc w:val="center"/>
      </w:trPr>
      <w:tc>
        <w:tcPr>
          <w:tcW w:w="7263" w:type="dxa"/>
          <w:gridSpan w:val="2"/>
        </w:tcPr>
        <w:p>
          <w:pPr>
            <w:pStyle w:val="Header"/>
            <w:spacing w:before="40"/>
            <w:ind w:right="17"/>
          </w:pPr>
          <w:r>
            <w:rPr>
              <w:b/>
              <w:bCs/>
            </w:rPr>
            <w:t>cl</w:t>
          </w:r>
          <w:r>
            <w:t>. </w:t>
          </w:r>
          <w:r>
            <w:rPr>
              <w:b/>
            </w:rPr>
            <w:fldChar w:fldCharType="begin"/>
          </w:r>
          <w:r>
            <w:rPr>
              <w:b/>
            </w:rPr>
            <w:instrText>STYLEREF CharSClsNo</w:instrText>
          </w:r>
          <w:r>
            <w:rPr>
              <w:b/>
            </w:rPr>
            <w:fldChar w:fldCharType="separate"/>
          </w:r>
          <w:r>
            <w:rPr>
              <w:b/>
            </w:rPr>
            <w:t>8.2</w:t>
          </w:r>
          <w:r>
            <w:rPr>
              <w:b/>
            </w:rPr>
            <w:fldChar w:fldCharType="end"/>
          </w:r>
        </w:p>
      </w:tc>
    </w:tr>
  </w:tbl>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22" w:name="Compilation"/>
    <w:bookmarkEnd w:id="222"/>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26" w:name="DefinedTerms"/>
    <w:bookmarkEnd w:id="226"/>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7" w:name="Coversheet"/>
    <w:bookmarkEnd w:id="22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72" w:type="dxa"/>
      <w:jc w:val="center"/>
      <w:tblLayout w:type="fixed"/>
      <w:tblCellMar>
        <w:left w:w="72" w:type="dxa"/>
        <w:right w:w="72" w:type="dxa"/>
      </w:tblCellMar>
      <w:tblLook w:val="0000" w:firstRow="0" w:lastRow="0" w:firstColumn="0" w:lastColumn="0" w:noHBand="0" w:noVBand="0"/>
    </w:tblPr>
    <w:tblGrid>
      <w:gridCol w:w="5985"/>
      <w:gridCol w:w="1287"/>
    </w:tblGrid>
    <w:tr>
      <w:trPr>
        <w:cantSplit/>
        <w:jc w:val="center"/>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703141717"/>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0314142216" w:val="RemoveTocBookmarks,RemoveUnusedBookmarks,RemoveLanguageTags,UsedStyles,RemoveTrackChanges"/>
    <w:docVar w:name="WAFER_20180314142216_GUID" w:val="3b008192-bbf6-460c-ad1e-2f224478445e"/>
    <w:docVar w:name="WAFER_20180314142405" w:val="RemoveTocBookmarks,RemoveLanguageTags,RemoveTrackChanges,RunningHeaders"/>
    <w:docVar w:name="WAFER_20180314142405_GUID" w:val="dd610dd3-8749-4c98-a531-72a69e630279"/>
    <w:docVar w:name="WAFER_20190627161318" w:val="RemoveTocBookmarks,RemoveUnusedBookmarks,RemoveLanguageTags,ResetPageSize,RunningHeaders,UpdateStyles,UsedStyles"/>
    <w:docVar w:name="WAFER_20190627161318_GUID" w:val="4e5f78f7-ffe1-4fa2-81c2-3c53ce1cd314"/>
    <w:docVar w:name="WAFER_20200706111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06111248_GUID" w:val="5193d93e-0fef-44ad-88b6-74472513f1e9"/>
    <w:docVar w:name="WAFER_202009220920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092046_GUID" w:val="04d11334-2793-41e6-9375-3885f14d872a"/>
    <w:docVar w:name="WAFER_202110051534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53415_GUID" w:val="bb957911-0dc2-4306-8357-27c280ba7f08"/>
    <w:docVar w:name="WAFER_202203081228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2817_GUID" w:val="262cb370-d460-41a4-9558-5315399f8060"/>
    <w:docVar w:name="WAFER_20220318153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53841_GUID" w:val="e07b0f2a-a386-463b-8668-b7b981db1147"/>
    <w:docVar w:name="WAFER_20230124093626" w:val="RemoveAutoUpdateStyles.CheckForAutoUpdateStyles,RemoveDocumentProtection.CheckForDocumentProtection,RemoveCustomizations.CheckForCustomization,RemoveBackground.CheckForBackground,ChangeTrackAuthors.CountDifferentAuthors,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4093626_GUID" w:val="ade909e9-9f38-422d-ab75-9f8622893656"/>
    <w:docVar w:name="WAFER_20231124115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124115722_GUID" w:val="5fb42968-8d34-4600-a340-d203edd3ad2e"/>
    <w:docVar w:name="WAFER_20231229094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39_GUID" w:val="7b333440-1009-4752-9848-2a10c3ba9b50"/>
    <w:docVar w:name="WAFER_202507031417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703141717_GUID" w:val="c7309df2-012f-45e3-95b2-9443ce2318d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5:docId w15:val="{C270AC5D-442D-4E6B-8491-55445AB5D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png"/><Relationship Id="rId39" Type="http://schemas.openxmlformats.org/officeDocument/2006/relationships/header" Target="header13.xml"/><Relationship Id="rId21" Type="http://schemas.openxmlformats.org/officeDocument/2006/relationships/image" Target="media/image2.wmf"/><Relationship Id="rId34" Type="http://schemas.openxmlformats.org/officeDocument/2006/relationships/image" Target="media/image10.png"/><Relationship Id="rId42" Type="http://schemas.openxmlformats.org/officeDocument/2006/relationships/header" Target="header16.xml"/><Relationship Id="rId47" Type="http://schemas.openxmlformats.org/officeDocument/2006/relationships/header" Target="header20.xml"/><Relationship Id="rId50" Type="http://schemas.openxmlformats.org/officeDocument/2006/relationships/header" Target="header23.xml"/><Relationship Id="rId55"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image" Target="media/image8.png"/><Relationship Id="rId37" Type="http://schemas.openxmlformats.org/officeDocument/2006/relationships/header" Target="header11.xml"/><Relationship Id="rId40" Type="http://schemas.openxmlformats.org/officeDocument/2006/relationships/header" Target="header14.xml"/><Relationship Id="rId45" Type="http://schemas.openxmlformats.org/officeDocument/2006/relationships/header" Target="header19.xml"/><Relationship Id="rId53" Type="http://schemas.openxmlformats.org/officeDocument/2006/relationships/header" Target="header26.xml"/><Relationship Id="rId58" Type="http://schemas.openxmlformats.org/officeDocument/2006/relationships/header" Target="header29.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eader" Target="header17.xml"/><Relationship Id="rId48" Type="http://schemas.openxmlformats.org/officeDocument/2006/relationships/header" Target="header21.xml"/><Relationship Id="rId56"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9.png"/><Relationship Id="rId38" Type="http://schemas.openxmlformats.org/officeDocument/2006/relationships/header" Target="header12.xml"/><Relationship Id="rId46" Type="http://schemas.openxmlformats.org/officeDocument/2006/relationships/image" Target="media/image12.png"/><Relationship Id="rId59" Type="http://schemas.openxmlformats.org/officeDocument/2006/relationships/footer" Target="footer9.xml"/><Relationship Id="rId20" Type="http://schemas.openxmlformats.org/officeDocument/2006/relationships/footer" Target="footer6.xml"/><Relationship Id="rId41" Type="http://schemas.openxmlformats.org/officeDocument/2006/relationships/header" Target="header15.xml"/><Relationship Id="rId54"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5.png"/><Relationship Id="rId36" Type="http://schemas.openxmlformats.org/officeDocument/2006/relationships/header" Target="header10.xml"/><Relationship Id="rId49" Type="http://schemas.openxmlformats.org/officeDocument/2006/relationships/header" Target="header22.xml"/><Relationship Id="rId57" Type="http://schemas.openxmlformats.org/officeDocument/2006/relationships/footer" Target="footer8.xml"/><Relationship Id="rId10" Type="http://schemas.openxmlformats.org/officeDocument/2006/relationships/header" Target="header2.xml"/><Relationship Id="rId31" Type="http://schemas.openxmlformats.org/officeDocument/2006/relationships/image" Target="media/image7.png"/><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16501-67E0-435F-80AF-F6ED9A0B4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18124</Words>
  <Characters>92978</Characters>
  <Application>Microsoft Office Word</Application>
  <DocSecurity>0</DocSecurity>
  <Lines>2905</Lines>
  <Paragraphs>1791</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1985 - 05-k0-00</dc:title>
  <dc:subject/>
  <dc:creator/>
  <cp:keywords/>
  <dc:description/>
  <cp:lastModifiedBy>Master Repository Process</cp:lastModifiedBy>
  <cp:revision>4</cp:revision>
  <cp:lastPrinted>2019-06-28T01:28:00Z</cp:lastPrinted>
  <dcterms:created xsi:type="dcterms:W3CDTF">2025-07-08T03:18:00Z</dcterms:created>
  <dcterms:modified xsi:type="dcterms:W3CDTF">2025-07-08T03:19:00Z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edAsAt">
    <vt:filetime>2019-01-17T16:00:00Z</vt:filetime>
  </property>
  <property fmtid="{D5CDD505-2E9C-101B-9397-08002B2CF9AE}" pid="6" name="ReprintNo">
    <vt:lpwstr>5</vt:lpwstr>
  </property>
  <property fmtid="{D5CDD505-2E9C-101B-9397-08002B2CF9AE}" pid="7" name="CommencementDate">
    <vt:lpwstr>20250710</vt:lpwstr>
  </property>
  <property fmtid="{D5CDD505-2E9C-101B-9397-08002B2CF9AE}" pid="8" name="CommencementAsAt">
    <vt:filetime>2025-07-09T16:00:00Z</vt:filetime>
  </property>
  <property fmtid="{D5CDD505-2E9C-101B-9397-08002B2CF9AE}" pid="9" name="CommencementYear">
    <vt:lpwstr>2025</vt:lpwstr>
  </property>
  <property fmtid="{D5CDD505-2E9C-101B-9397-08002B2CF9AE}" pid="10" name="AsAtDate">
    <vt:lpwstr>10 Jul 2025</vt:lpwstr>
  </property>
  <property fmtid="{D5CDD505-2E9C-101B-9397-08002B2CF9AE}" pid="11" name="Suffix">
    <vt:lpwstr>05-k0-00</vt:lpwstr>
  </property>
  <property fmtid="{D5CDD505-2E9C-101B-9397-08002B2CF9AE}" pid="12" name="Official">
    <vt:lpwstr/>
  </property>
</Properties>
</file>