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2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66" name="Picture 66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PrincipalActRegPage1"/>
      </w:pPr>
      <w:r>
        <w:fldChar w:fldCharType="begin"/>
      </w:r>
      <w:r>
        <w:instrText xml:space="preserve"> STYLEREF "PrincipalAct_Reg"</w:instrText>
      </w:r>
      <w:r>
        <w:fldChar w:fldCharType="separate"/>
      </w:r>
      <w:r>
        <w:rPr>
          <w:noProof/>
        </w:rPr>
        <w:t>Cat Act 2011</w:t>
      </w:r>
      <w:r>
        <w:rPr>
          <w:noProof/>
        </w:rPr>
        <w:br/>
        <w:t>Dog Act 1976</w:t>
      </w:r>
      <w:r>
        <w:fldChar w:fldCharType="end"/>
      </w:r>
    </w:p>
    <w:p>
      <w:pPr>
        <w:pStyle w:val="NameofActRegPage1"/>
        <w:spacing w:before="1800" w:after="20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Local Government Regulations Amendment (Cat and Dog) Regulations (No. 2) 2025</w:t>
      </w:r>
      <w:r>
        <w:fldChar w:fldCharType="end"/>
      </w:r>
    </w:p>
    <w:p/>
    <w:p>
      <w:pPr>
        <w:jc w:val="center"/>
        <w:sectPr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  <w:outlineLvl w:val="0"/>
      </w:pPr>
      <w:r>
        <w:lastRenderedPageBreak/>
        <w:t>Western Australia</w:t>
      </w:r>
    </w:p>
    <w:p>
      <w:pPr>
        <w:pStyle w:val="NameofActRegPage1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Local Government Regulations Amendment (Cat and Dog) Regulations (No. 2) 2025</w:t>
      </w:r>
      <w:r>
        <w:fldChar w:fldCharType="end"/>
      </w:r>
    </w:p>
    <w:p>
      <w:pPr>
        <w:pStyle w:val="Arrangement"/>
      </w:pPr>
      <w:r>
        <w:t>Contents</w:t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fldChar w:fldCharType="begin"/>
      </w:r>
      <w:r>
        <w:instrText xml:space="preserve"> TOC \t "Heading 2,2,yScheduleHeading,2,yHeading 2,2,zHeading 2,3,zyScheduleHeading,3,zyHeading 2,3,Heading 3,4,yHeading 3,4,zHeading 3,5,zyHeading 3,5,Heading 4,6,yHeading 4,6,zHeading 4,7,zyHeading 4,7,Heading 5,8,yHeading 5,8,zHeading 5,9,zyHeading 5,9" \t "nHeading 2,2,nHeading 3,8" \n "2-7" \w \* MERGEFORMAT </w:instrText>
      </w:r>
      <w:r>
        <w:fldChar w:fldCharType="separate"/>
      </w:r>
      <w:r>
        <w:t>Part 1 — Preliminary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1.</w:t>
      </w:r>
      <w:r>
        <w:tab/>
        <w:t>Citation</w:t>
      </w:r>
      <w:r>
        <w:tab/>
      </w:r>
      <w:r>
        <w:fldChar w:fldCharType="begin"/>
      </w:r>
      <w:r>
        <w:instrText xml:space="preserve"> PAGEREF _Toc204074211 \h </w:instrText>
      </w:r>
      <w:r>
        <w:fldChar w:fldCharType="separate"/>
      </w:r>
      <w:r>
        <w:t>1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r>
        <w:tab/>
      </w:r>
      <w:r>
        <w:fldChar w:fldCharType="begin"/>
      </w:r>
      <w:r>
        <w:instrText xml:space="preserve"> PAGEREF _Toc204074212 \h </w:instrText>
      </w:r>
      <w:r>
        <w:fldChar w:fldCharType="separate"/>
      </w:r>
      <w:r>
        <w:t>1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2 — </w:t>
      </w:r>
      <w:r>
        <w:rPr>
          <w:i/>
          <w:iCs/>
        </w:rPr>
        <w:t>Cat Regulations 2012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3.</w:t>
      </w:r>
      <w:r>
        <w:tab/>
        <w:t>Regulations amended</w:t>
      </w:r>
      <w:r>
        <w:tab/>
      </w:r>
      <w:r>
        <w:fldChar w:fldCharType="begin"/>
      </w:r>
      <w:r>
        <w:instrText xml:space="preserve"> PAGEREF _Toc204074214 \h </w:instrText>
      </w:r>
      <w:r>
        <w:fldChar w:fldCharType="separate"/>
      </w:r>
      <w:r>
        <w:t>2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4.</w:t>
      </w:r>
      <w:r>
        <w:tab/>
        <w:t>Regulation 6 amended</w:t>
      </w:r>
      <w:r>
        <w:tab/>
      </w:r>
      <w:r>
        <w:fldChar w:fldCharType="begin"/>
      </w:r>
      <w:r>
        <w:instrText xml:space="preserve"> PAGEREF _Toc204074215 \h </w:instrText>
      </w:r>
      <w:r>
        <w:fldChar w:fldCharType="separate"/>
      </w:r>
      <w:r>
        <w:t>2</w:t>
      </w:r>
      <w:r>
        <w:fldChar w:fldCharType="end"/>
      </w:r>
    </w:p>
    <w:p>
      <w:pPr>
        <w:pStyle w:val="TOC2"/>
        <w:tabs>
          <w:tab w:val="right" w:leader="dot" w:pos="7077"/>
        </w:tabs>
        <w:rPr>
          <w:rFonts w:asciiTheme="minorHAnsi" w:eastAsiaTheme="minorEastAsia" w:hAnsiTheme="minorHAnsi" w:cstheme="minorBidi"/>
          <w:b w:val="0"/>
          <w:sz w:val="22"/>
          <w:szCs w:val="22"/>
        </w:rPr>
      </w:pPr>
      <w:r>
        <w:t>Part 3 — </w:t>
      </w:r>
      <w:r>
        <w:rPr>
          <w:i/>
          <w:iCs/>
        </w:rPr>
        <w:t>Dog Regulations 2013</w:t>
      </w:r>
      <w:r>
        <w:t xml:space="preserve"> amended</w:t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5.</w:t>
      </w:r>
      <w:r>
        <w:tab/>
        <w:t>Regulations amended</w:t>
      </w:r>
      <w:r>
        <w:tab/>
      </w:r>
      <w:r>
        <w:fldChar w:fldCharType="begin"/>
      </w:r>
      <w:r>
        <w:instrText xml:space="preserve"> PAGEREF _Toc204074217 \h </w:instrText>
      </w:r>
      <w:r>
        <w:fldChar w:fldCharType="separate"/>
      </w:r>
      <w:r>
        <w:t>3</w:t>
      </w:r>
      <w:r>
        <w:fldChar w:fldCharType="end"/>
      </w:r>
    </w:p>
    <w:p>
      <w:pPr>
        <w:pStyle w:val="TOC8"/>
        <w:rPr>
          <w:rFonts w:asciiTheme="minorHAnsi" w:eastAsiaTheme="minorEastAsia" w:hAnsiTheme="minorHAnsi" w:cstheme="minorBidi"/>
          <w:szCs w:val="22"/>
        </w:rPr>
      </w:pPr>
      <w:r>
        <w:t>6.</w:t>
      </w:r>
      <w:r>
        <w:tab/>
        <w:t>Regulation 7 amended</w:t>
      </w:r>
      <w:r>
        <w:tab/>
      </w:r>
      <w:r>
        <w:fldChar w:fldCharType="begin"/>
      </w:r>
      <w:r>
        <w:instrText xml:space="preserve"> PAGEREF _Toc204074218 \h </w:instrText>
      </w:r>
      <w:r>
        <w:fldChar w:fldCharType="separate"/>
      </w:r>
      <w:r>
        <w:t>3</w:t>
      </w:r>
      <w:r>
        <w:fldChar w:fldCharType="end"/>
      </w:r>
    </w:p>
    <w:p>
      <w:pPr>
        <w:pStyle w:val="NoteHeading"/>
      </w:pPr>
      <w:r>
        <w:fldChar w:fldCharType="end"/>
      </w: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>
      <w:pPr>
        <w:pStyle w:val="NoteHeading"/>
        <w:sectPr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oddPage"/>
          <w:pgSz w:w="11907" w:h="16840" w:code="9"/>
          <w:pgMar w:top="2381" w:right="2410" w:bottom="3544" w:left="2410" w:header="720" w:footer="3544" w:gutter="0"/>
          <w:pgNumType w:fmt="lowerRoman" w:start="1"/>
          <w:cols w:space="720"/>
          <w:noEndnote/>
          <w:titlePg/>
        </w:sectPr>
      </w:pPr>
    </w:p>
    <w:p>
      <w:pPr>
        <w:pStyle w:val="PrincipalActReg"/>
      </w:pPr>
      <w:r>
        <w:lastRenderedPageBreak/>
        <w:t>Cat Act 2011</w:t>
      </w:r>
      <w:r>
        <w:br/>
        <w:t>Dog Act 1976</w:t>
      </w:r>
    </w:p>
    <w:p>
      <w:pPr>
        <w:pStyle w:val="NameofActReg"/>
      </w:pPr>
      <w:r>
        <w:t>Local Government Regulations Amendment (Cat and Dog) Regulations (No. 2) 2025</w:t>
      </w:r>
    </w:p>
    <w:p>
      <w:pPr>
        <w:pStyle w:val="MadeBy"/>
      </w:pPr>
      <w:r>
        <w:t>Made by the Governor in Executive Council.</w:t>
      </w:r>
    </w:p>
    <w:p>
      <w:pPr>
        <w:pStyle w:val="Heading2"/>
        <w:pageBreakBefore w:val="0"/>
        <w:spacing w:before="220"/>
        <w:rPr>
          <w:rStyle w:val="CharPartText"/>
        </w:rPr>
      </w:pPr>
      <w:bookmarkStart w:id="2" w:name="_Toc203645215"/>
      <w:bookmarkStart w:id="3" w:name="_Toc203645305"/>
      <w:bookmarkStart w:id="4" w:name="_Toc203645420"/>
      <w:bookmarkStart w:id="5" w:name="_Toc203645484"/>
      <w:bookmarkStart w:id="6" w:name="_Toc204074210"/>
      <w:r>
        <w:rPr>
          <w:rStyle w:val="CharPartNo"/>
        </w:rPr>
        <w:t>Part 1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</w:rPr>
        <w:t>Preliminary</w:t>
      </w:r>
      <w:bookmarkEnd w:id="2"/>
      <w:bookmarkEnd w:id="3"/>
      <w:bookmarkEnd w:id="4"/>
      <w:bookmarkEnd w:id="5"/>
      <w:bookmarkEnd w:id="6"/>
    </w:p>
    <w:p>
      <w:pPr>
        <w:pStyle w:val="Heading5"/>
      </w:pPr>
      <w:bookmarkStart w:id="7" w:name="_Toc203645216"/>
      <w:bookmarkStart w:id="8" w:name="_Toc204074211"/>
      <w:r>
        <w:rPr>
          <w:rStyle w:val="CharSectno"/>
        </w:rPr>
        <w:t>1</w:t>
      </w:r>
      <w:r>
        <w:t>.</w:t>
      </w:r>
      <w:r>
        <w:tab/>
        <w:t>Citation</w:t>
      </w:r>
      <w:bookmarkEnd w:id="7"/>
      <w:bookmarkEnd w:id="8"/>
    </w:p>
    <w:p>
      <w:pPr>
        <w:pStyle w:val="Subsection"/>
      </w:pPr>
      <w:r>
        <w:tab/>
      </w:r>
      <w:r>
        <w:tab/>
      </w:r>
      <w:bookmarkStart w:id="9" w:name="Start_Cursor"/>
      <w:bookmarkEnd w:id="9"/>
      <w:r>
        <w:t xml:space="preserve">These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Local Government Regulations Amendment (Cat and Dog) Regulations (No. 2) 2025</w:t>
      </w:r>
      <w:r>
        <w:t>.</w:t>
      </w:r>
    </w:p>
    <w:p>
      <w:pPr>
        <w:pStyle w:val="Heading5"/>
        <w:rPr>
          <w:spacing w:val="-2"/>
        </w:rPr>
      </w:pPr>
      <w:bookmarkStart w:id="10" w:name="_Toc203645217"/>
      <w:bookmarkStart w:id="11" w:name="_Toc204074212"/>
      <w:r>
        <w:rPr>
          <w:rStyle w:val="CharSectno"/>
        </w:rPr>
        <w:t>2</w:t>
      </w:r>
      <w:r>
        <w:rPr>
          <w:spacing w:val="-2"/>
        </w:rPr>
        <w:t>.</w:t>
      </w:r>
      <w:r>
        <w:rPr>
          <w:spacing w:val="-2"/>
        </w:rPr>
        <w:tab/>
        <w:t>Commencement</w:t>
      </w:r>
      <w:bookmarkEnd w:id="10"/>
      <w:bookmarkEnd w:id="11"/>
    </w:p>
    <w:p>
      <w:pPr>
        <w:pStyle w:val="Subsection"/>
        <w:rPr>
          <w:spacing w:val="-2"/>
        </w:rPr>
      </w:pPr>
      <w:r>
        <w:rPr>
          <w:spacing w:val="-2"/>
        </w:rPr>
        <w:tab/>
      </w:r>
      <w:r>
        <w:rPr>
          <w:spacing w:val="-2"/>
        </w:rPr>
        <w:tab/>
      </w:r>
      <w:r>
        <w:t xml:space="preserve">These </w:t>
      </w:r>
      <w:r>
        <w:rPr>
          <w:spacing w:val="-2"/>
        </w:rPr>
        <w:t>regulations come into operation as follows</w:t>
      </w:r>
      <w:r>
        <w:t> —</w:t>
      </w:r>
    </w:p>
    <w:p>
      <w:pPr>
        <w:pStyle w:val="Indenta"/>
      </w:pPr>
      <w:r>
        <w:tab/>
        <w:t>(a)</w:t>
      </w:r>
      <w:r>
        <w:tab/>
      </w:r>
      <w:r>
        <w:rPr>
          <w:spacing w:val="-2"/>
        </w:rPr>
        <w:t>Part 1</w:t>
      </w:r>
      <w:r>
        <w:t xml:space="preserve"> — on the day on which these </w:t>
      </w:r>
      <w:r>
        <w:rPr>
          <w:spacing w:val="-2"/>
        </w:rPr>
        <w:t>regulations</w:t>
      </w:r>
      <w:r>
        <w:t xml:space="preserve"> are published on the WA legislation website;</w:t>
      </w:r>
    </w:p>
    <w:p>
      <w:pPr>
        <w:pStyle w:val="Indenta"/>
      </w:pPr>
      <w:r>
        <w:tab/>
        <w:t>(b)</w:t>
      </w:r>
      <w:r>
        <w:tab/>
        <w:t xml:space="preserve">the rest of the </w:t>
      </w:r>
      <w:r>
        <w:rPr>
          <w:spacing w:val="-2"/>
        </w:rPr>
        <w:t>regulations</w:t>
      </w:r>
      <w:r>
        <w:t> — on the day after that day.</w:t>
      </w:r>
    </w:p>
    <w:p>
      <w:pPr>
        <w:pStyle w:val="Heading2"/>
      </w:pPr>
      <w:bookmarkStart w:id="12" w:name="_Toc203645218"/>
      <w:bookmarkStart w:id="13" w:name="_Toc203645308"/>
      <w:bookmarkStart w:id="14" w:name="_Toc203645423"/>
      <w:bookmarkStart w:id="15" w:name="_Toc203645487"/>
      <w:bookmarkStart w:id="16" w:name="_Toc204074213"/>
      <w:r>
        <w:rPr>
          <w:rStyle w:val="CharPartNo"/>
        </w:rPr>
        <w:lastRenderedPageBreak/>
        <w:t>Part 2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Cat Regulations 2012</w:t>
      </w:r>
      <w:r>
        <w:rPr>
          <w:rStyle w:val="CharPartText"/>
        </w:rPr>
        <w:t xml:space="preserve"> amended</w:t>
      </w:r>
      <w:bookmarkEnd w:id="12"/>
      <w:bookmarkEnd w:id="13"/>
      <w:bookmarkEnd w:id="14"/>
      <w:bookmarkEnd w:id="15"/>
      <w:bookmarkEnd w:id="16"/>
    </w:p>
    <w:p>
      <w:pPr>
        <w:pStyle w:val="Heading5"/>
      </w:pPr>
      <w:bookmarkStart w:id="17" w:name="_Toc203645219"/>
      <w:bookmarkStart w:id="18" w:name="_Toc204074214"/>
      <w:r>
        <w:rPr>
          <w:rStyle w:val="CharSectno"/>
        </w:rPr>
        <w:t>3</w:t>
      </w:r>
      <w:r>
        <w:t>.</w:t>
      </w:r>
      <w:r>
        <w:tab/>
        <w:t>Regulations amended</w:t>
      </w:r>
      <w:bookmarkEnd w:id="17"/>
      <w:bookmarkEnd w:id="18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Cat Regulations 2012</w:t>
      </w:r>
      <w:r>
        <w:t>.</w:t>
      </w:r>
    </w:p>
    <w:p>
      <w:pPr>
        <w:pStyle w:val="Heading5"/>
      </w:pPr>
      <w:bookmarkStart w:id="19" w:name="_Toc203645220"/>
      <w:bookmarkStart w:id="20" w:name="_Toc204074215"/>
      <w:r>
        <w:rPr>
          <w:rStyle w:val="CharSectno"/>
        </w:rPr>
        <w:t>4</w:t>
      </w:r>
      <w:r>
        <w:t>.</w:t>
      </w:r>
      <w:r>
        <w:tab/>
        <w:t>Regulation 6 amended</w:t>
      </w:r>
      <w:bookmarkEnd w:id="19"/>
      <w:bookmarkEnd w:id="20"/>
    </w:p>
    <w:p>
      <w:pPr>
        <w:pStyle w:val="Subsection"/>
      </w:pPr>
      <w:r>
        <w:tab/>
      </w:r>
      <w:r>
        <w:tab/>
        <w:t xml:space="preserve">Delete regulation 6(b). </w:t>
      </w:r>
    </w:p>
    <w:p>
      <w:pPr>
        <w:pStyle w:val="Heading2"/>
      </w:pPr>
      <w:bookmarkStart w:id="21" w:name="_Toc203645221"/>
      <w:bookmarkStart w:id="22" w:name="_Toc203645311"/>
      <w:bookmarkStart w:id="23" w:name="_Toc203645426"/>
      <w:bookmarkStart w:id="24" w:name="_Toc203645490"/>
      <w:bookmarkStart w:id="25" w:name="_Toc204074216"/>
      <w:r>
        <w:rPr>
          <w:rStyle w:val="CharPartNo"/>
        </w:rPr>
        <w:lastRenderedPageBreak/>
        <w:t>Part 3</w:t>
      </w:r>
      <w:r>
        <w:rPr>
          <w:rStyle w:val="CharDivNo"/>
        </w:rPr>
        <w:t> </w:t>
      </w:r>
      <w:r>
        <w:t>—</w:t>
      </w:r>
      <w:r>
        <w:rPr>
          <w:rStyle w:val="CharDivText"/>
        </w:rPr>
        <w:t> </w:t>
      </w:r>
      <w:r>
        <w:rPr>
          <w:rStyle w:val="CharPartText"/>
          <w:i/>
          <w:iCs/>
        </w:rPr>
        <w:t>Dog Regulations 2013</w:t>
      </w:r>
      <w:r>
        <w:rPr>
          <w:rStyle w:val="CharPartText"/>
        </w:rPr>
        <w:t xml:space="preserve"> amended</w:t>
      </w:r>
      <w:bookmarkEnd w:id="21"/>
      <w:bookmarkEnd w:id="22"/>
      <w:bookmarkEnd w:id="23"/>
      <w:bookmarkEnd w:id="24"/>
      <w:bookmarkEnd w:id="25"/>
    </w:p>
    <w:p>
      <w:pPr>
        <w:pStyle w:val="Heading5"/>
      </w:pPr>
      <w:bookmarkStart w:id="26" w:name="_Toc203645222"/>
      <w:bookmarkStart w:id="27" w:name="_Toc204074217"/>
      <w:r>
        <w:rPr>
          <w:rStyle w:val="CharSectno"/>
        </w:rPr>
        <w:t>5</w:t>
      </w:r>
      <w:r>
        <w:t>.</w:t>
      </w:r>
      <w:r>
        <w:tab/>
        <w:t>Regulations amended</w:t>
      </w:r>
      <w:bookmarkEnd w:id="26"/>
      <w:bookmarkEnd w:id="27"/>
    </w:p>
    <w:p>
      <w:pPr>
        <w:pStyle w:val="Subsection"/>
      </w:pPr>
      <w:r>
        <w:tab/>
      </w:r>
      <w:r>
        <w:tab/>
        <w:t xml:space="preserve">This Part amends the </w:t>
      </w:r>
      <w:r>
        <w:rPr>
          <w:i/>
        </w:rPr>
        <w:t>Dog Regulations 2013</w:t>
      </w:r>
      <w:r>
        <w:t>.</w:t>
      </w:r>
    </w:p>
    <w:p>
      <w:pPr>
        <w:pStyle w:val="Heading5"/>
      </w:pPr>
      <w:bookmarkStart w:id="28" w:name="_Toc203645223"/>
      <w:bookmarkStart w:id="29" w:name="_Toc204074218"/>
      <w:r>
        <w:rPr>
          <w:rStyle w:val="CharSectno"/>
        </w:rPr>
        <w:t>6</w:t>
      </w:r>
      <w:r>
        <w:t>.</w:t>
      </w:r>
      <w:r>
        <w:tab/>
        <w:t>Regulation 7 amended</w:t>
      </w:r>
      <w:bookmarkEnd w:id="28"/>
      <w:bookmarkEnd w:id="29"/>
    </w:p>
    <w:p>
      <w:pPr>
        <w:pStyle w:val="Subsection"/>
      </w:pPr>
      <w:r>
        <w:tab/>
      </w:r>
      <w:r>
        <w:tab/>
        <w:t xml:space="preserve">Delete regulation 7(d). </w:t>
      </w:r>
    </w:p>
    <w:p>
      <w:pPr>
        <w:pStyle w:val="ByCommand"/>
        <w:sectPr>
          <w:headerReference w:type="even" r:id="rId21"/>
          <w:headerReference w:type="default" r:id="rId22"/>
          <w:headerReference w:type="first" r:id="rId23"/>
          <w:endnotePr>
            <w:numFmt w:val="decimal"/>
          </w:endnotePr>
          <w:pgSz w:w="11907" w:h="16840" w:code="9"/>
          <w:pgMar w:top="2381" w:right="2410" w:bottom="3544" w:left="2410" w:header="720" w:footer="3544" w:gutter="0"/>
          <w:pgNumType w:start="1"/>
          <w:cols w:space="720"/>
          <w:noEndnote/>
          <w:titlePg/>
        </w:sectPr>
      </w:pPr>
      <w:r>
        <w:t>K. COLLERAN, Clerk of the Executive Council</w:t>
      </w: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2025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A5373C"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 w14:paraId="23B7BBE1" w14:textId="676FBCFA" w:rsidR="0096798E" w:rsidRDefault="0096798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34BE3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AAF6F58" w14:textId="77777777" w:rsidR="0096798E" w:rsidRDefault="0096798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174F5D2F" w14:textId="2EE3A5CA" w:rsidR="0096798E" w:rsidRDefault="0096798E"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 w:rsidR="00034BE3">
                        <w:rPr>
                          <w:sz w:val="16"/>
                        </w:rPr>
                        <w:t>2025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 w14:paraId="5AB6A239" w14:textId="77777777" w:rsidR="0096798E" w:rsidRDefault="0096798E"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endnotePr>
        <w:numFmt w:val="decimal"/>
      </w:endnotePr>
      <w:type w:val="continuous"/>
      <w:pgSz w:w="11907" w:h="16840" w:code="9"/>
      <w:pgMar w:top="567" w:right="1701" w:bottom="567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2025/138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Jul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2025/138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Jul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2025/138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Jul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2025/138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Jul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2025/138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Jul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center" w:pos="3600"/>
        <w:tab w:val="right" w:pos="7080"/>
      </w:tabs>
      <w:rPr>
        <w:sz w:val="20"/>
      </w:rPr>
    </w:pPr>
    <w:r>
      <w:rPr>
        <w:sz w:val="20"/>
      </w:rPr>
      <w:t xml:space="preserve">SL </w:t>
    </w:r>
    <w:r>
      <w:rPr>
        <w:sz w:val="20"/>
      </w:rPr>
      <w:fldChar w:fldCharType="begin"/>
    </w:r>
    <w:r>
      <w:rPr>
        <w:sz w:val="20"/>
      </w:rPr>
      <w:instrText xml:space="preserve"> DOCPROPERTY "SLAPId" </w:instrText>
    </w:r>
    <w:r>
      <w:rPr>
        <w:sz w:val="20"/>
      </w:rPr>
      <w:fldChar w:fldCharType="separate"/>
    </w:r>
    <w:r>
      <w:rPr>
        <w:sz w:val="20"/>
      </w:rPr>
      <w:t>2025/138</w:t>
    </w:r>
    <w:r>
      <w:rPr>
        <w:sz w:val="20"/>
      </w:rPr>
      <w:fldChar w:fldCharType="end"/>
    </w:r>
    <w:r>
      <w:rPr>
        <w:sz w:val="20"/>
      </w:rPr>
      <w:tab/>
    </w:r>
    <w:r>
      <w:rPr>
        <w:sz w:val="20"/>
      </w:rPr>
      <w:fldChar w:fldCharType="begin"/>
    </w:r>
    <w:r>
      <w:rPr>
        <w:sz w:val="20"/>
      </w:rPr>
      <w:instrText xml:space="preserve"> DOCPROPERTY "Official" </w:instrText>
    </w:r>
    <w:r>
      <w:rPr>
        <w:sz w:val="20"/>
      </w:rPr>
      <w:fldChar w:fldCharType="end"/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i</w:t>
    </w:r>
    <w:r>
      <w:rPr>
        <w:sz w:val="20"/>
      </w:rPr>
      <w:fldChar w:fldCharType="end"/>
    </w:r>
  </w:p>
  <w:p>
    <w:pPr>
      <w:pStyle w:val="Footer"/>
      <w:tabs>
        <w:tab w:val="center" w:pos="3600"/>
        <w:tab w:val="right" w:pos="7080"/>
      </w:tabs>
      <w:rPr>
        <w:sz w:val="16"/>
      </w:rPr>
    </w:pPr>
    <w:r>
      <w:rPr>
        <w:sz w:val="16"/>
      </w:rPr>
      <w:tab/>
      <w:t xml:space="preserve">Published </w:t>
    </w:r>
    <w:r>
      <w:rPr>
        <w:sz w:val="16"/>
      </w:rPr>
      <w:fldChar w:fldCharType="begin"/>
    </w:r>
    <w:r>
      <w:rPr>
        <w:sz w:val="16"/>
      </w:rPr>
      <w:instrText xml:space="preserve"> DOCPROPERTY "AsAtDate" </w:instrText>
    </w:r>
    <w:r>
      <w:rPr>
        <w:sz w:val="16"/>
      </w:rPr>
      <w:fldChar w:fldCharType="separate"/>
    </w:r>
    <w:r>
      <w:rPr>
        <w:sz w:val="16"/>
      </w:rPr>
      <w:t>23 Jul 2025</w:t>
    </w:r>
    <w:r>
      <w:rPr>
        <w:sz w:val="16"/>
      </w:rPr>
      <w:fldChar w:fldCharType="end"/>
    </w:r>
    <w:r>
      <w:rPr>
        <w:sz w:val="16"/>
      </w:rPr>
      <w:t xml:space="preserve">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0" w:name="Coversheet"/>
    <w:bookmarkEnd w:id="3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Local Government Regulations Amendment (Cat and Dog)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Local Government Regulations Amendment (Cat and Dog)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t>Contents</w:t>
          </w:r>
        </w:p>
      </w:tc>
    </w:tr>
  </w:tbl>
  <w:p>
    <w:pPr>
      <w:pStyle w:val="Header"/>
      <w:pBdr>
        <w:top w:val="single" w:sz="4" w:space="1" w:color="auto"/>
      </w:pBdr>
    </w:pPr>
    <w:bookmarkStart w:id="1" w:name="TOC"/>
    <w:bookmarkEnd w:id="1"/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Local Government Regulations Amendment (Cat and Dog)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Local Government Regulations Amendment (Cat and Dog) Regulations (No. 2) 2025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CharPartNo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  <w:vAlign w:val="bottom"/>
        </w:tcPr>
        <w:p>
          <w:pPr>
            <w:pStyle w:val="Header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>STYLEREF CharDivNo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63" w:type="dxa"/>
          <w:gridSpan w:val="2"/>
        </w:tcPr>
        <w:p>
          <w:pPr>
            <w:pStyle w:val="Header"/>
            <w:spacing w:before="40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>STYLEREF CharSectNo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F066C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88F7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44E0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5A2A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4AD3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84C5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6E670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06F5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E2D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1499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9071E2"/>
    <w:multiLevelType w:val="singleLevel"/>
    <w:tmpl w:val="6686A91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1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6" w15:restartNumberingAfterBreak="0">
    <w:nsid w:val="3BBA1437"/>
    <w:multiLevelType w:val="singleLevel"/>
    <w:tmpl w:val="0C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7" w15:restartNumberingAfterBreak="0">
    <w:nsid w:val="3C2808C0"/>
    <w:multiLevelType w:val="singleLevel"/>
    <w:tmpl w:val="58E827E4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8" w15:restartNumberingAfterBreak="0">
    <w:nsid w:val="41B90854"/>
    <w:multiLevelType w:val="singleLevel"/>
    <w:tmpl w:val="0C090001"/>
    <w:lvl w:ilvl="0">
      <w:start w:val="1"/>
      <w:numFmt w:val="bullet"/>
      <w:lvlText w:val=""/>
      <w:lvlJc w:val="left"/>
      <w:rPr>
        <w:rFonts w:ascii="Symbol" w:hAnsi="Symbol" w:hint="default"/>
      </w:rPr>
    </w:lvl>
  </w:abstractNum>
  <w:abstractNum w:abstractNumId="19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4CC03303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2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3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4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11"/>
  </w:num>
  <w:num w:numId="2">
    <w:abstractNumId w:val="12"/>
  </w:num>
  <w:num w:numId="3">
    <w:abstractNumId w:val="18"/>
  </w:num>
  <w:num w:numId="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formatting="0"/>
  <w:defaultTabStop w:val="114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uleResults" w:val="&lt;AllLaws&gt;&lt;/AllLaws&gt;"/>
    <w:docVar w:name="WAFER" w:val="20250717113504"/>
    <w:docVar w:name="WAFER_20150206084300" w:val="b265764f-9cc9-4051-b597-28966bcc0033"/>
    <w:docVar w:name="WAFER_20150206084300_GUID" w:val="UsedStyles"/>
    <w:docVar w:name="WAFER_20151016170500" w:val="65b8bf31-20ff-4e33-a7f5-3e8a982d38e1"/>
    <w:docVar w:name="WAFER_20151016170500_GUID" w:val="UpdateStyles"/>
    <w:docVar w:name="WAFER_20151016171156" w:val="6c2db7ef-daac-4b3e-9dc6-438f5d0ef0de"/>
    <w:docVar w:name="WAFER_20151016171156_GUID" w:val="UpdateStyles,UsedStyles"/>
    <w:docVar w:name="WAFER_20151016171216" w:val="94d94bff-48d8-4137-a72c-5fd727eea17c"/>
    <w:docVar w:name="WAFER_20151016171216_GUID" w:val="UpdateStyles,UsedStyles"/>
    <w:docVar w:name="WAFER_20151019113755" w:val="2391df09-cb41-4aa3-adeb-85763481adf4"/>
    <w:docVar w:name="WAFER_20151019113755_GUID" w:val="UpdateStyles"/>
    <w:docVar w:name="WAFER_20151102150240" w:val="b5d22a23-aebe-4a72-ade9-c7eb5fe3ff91"/>
    <w:docVar w:name="WAFER_20151102150240_GUID" w:val="UpdateStyles"/>
    <w:docVar w:name="WAFER_20190125160029" w:val="5f5bd124-b00b-412a-a7b5-01fcf0a689e4"/>
    <w:docVar w:name="WAFER_20190125160029_GUID" w:val="UpdateStyles"/>
    <w:docVar w:name="WAFER_20190213151332" w:val="ba422db1-9a36-4369-9917-270567d09a43"/>
    <w:docVar w:name="WAFER_20190213151332_GUID" w:val="UpdateStyles"/>
    <w:docVar w:name="WAFER_20190214104147" w:val="462c59b5-9a0c-4a8b-a415-d2eeb9a467c9"/>
    <w:docVar w:name="WAFER_20190214104147_GUID" w:val="UpdateStyles"/>
    <w:docVar w:name="WAFER_20190227114746" w:val="b6cf0004-89c3-4ce4-92f2-c7ba61597248"/>
    <w:docVar w:name="WAFER_20190227114746_GUID" w:val="UpdateStyles.ProcessFixes,UpdateStyles.ProcessFixes,RemoveIncorrectStyles.ProcessStyles,RemoveIncorrectStyles.ProcessStyles"/>
    <w:docVar w:name="WAFER_20191031134536" w:val="22d86058-aa5d-4625-8196-006bb3c08a21"/>
    <w:docVar w:name="WAFER_20191031134536_GUID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setPageSize.ResetPageSize,ResetPageFooter.ResetPageFooter"/>
    <w:docVar w:name="WAFER_20200207102504" w:val="6a1c105a-3450-41aa-9a46-e934e904a723"/>
    <w:docVar w:name="WAFER_20200207102504_GUID" w:val="6a1c105a-3450-41aa-9a46-e934e904a723"/>
    <w:docVar w:name="WAFER_20230403110444" w:val="6a1c105a-3450-41aa-9a46-e934e904a723"/>
    <w:docVar w:name="WAFER_20230403110444_GUID" w:val="6a1c105a-3450-41aa-9a46-e934e904a723"/>
    <w:docVar w:name="WAFER_2025070813562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,RemoveIncorrectStyles.ProcessStyles"/>
    <w:docVar w:name="WAFER_20250708135624_GUID" w:val="02a4f21e-e937-476b-8926-824f4429f833"/>
    <w:docVar w:name="WAFER_2025071711350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"/>
    <w:docVar w:name="WAFER_20250717113504_GUID" w:val="4c19c379-6076-4e7a-b2e8-79cab33ebc06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."/>
  <w:listSeparator w:val=","/>
  <w15:docId w15:val="{EEFED6DC-AB08-4839-8D1F-B10FE55B4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iPriority="39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eteClose">
    <w:name w:val="DeleteClose"/>
    <w:basedOn w:val="Normal"/>
    <w:pPr>
      <w:keepLines/>
      <w:jc w:val="center"/>
    </w:pPr>
    <w:rPr>
      <w:szCs w:val="24"/>
    </w:rPr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8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80" w:line="260" w:lineRule="atLeast"/>
      <w:ind w:left="3050" w:hanging="3050"/>
    </w:pPr>
    <w:rPr>
      <w:i/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80" w:line="260" w:lineRule="atLeast"/>
      <w:ind w:left="2330" w:hanging="2330"/>
    </w:pPr>
    <w:rPr>
      <w:i/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left" w:pos="893"/>
      </w:tabs>
      <w:spacing w:before="220" w:line="260" w:lineRule="atLeast"/>
      <w:ind w:left="893" w:hanging="893"/>
      <w:outlineLvl w:val="4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80" w:line="260" w:lineRule="atLeast"/>
      <w:ind w:left="3771" w:hanging="3771"/>
    </w:pPr>
    <w:rPr>
      <w:i/>
      <w:sz w:val="24"/>
    </w:rPr>
  </w:style>
  <w:style w:type="paragraph" w:customStyle="1" w:styleId="Ednotesubsection">
    <w:name w:val="Ednote(subsection)"/>
    <w:basedOn w:val="Ednotesection"/>
    <w:pPr>
      <w:tabs>
        <w:tab w:val="clear" w:pos="893"/>
        <w:tab w:val="right" w:pos="595"/>
        <w:tab w:val="left" w:pos="879"/>
      </w:tabs>
      <w:spacing w:before="160"/>
      <w:ind w:left="890" w:hanging="890"/>
      <w:outlineLvl w:val="9"/>
    </w:pPr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spacing w:after="40"/>
      <w:ind w:left="397" w:hanging="397"/>
    </w:p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tabs>
        <w:tab w:val="left" w:pos="879"/>
      </w:tabs>
      <w:spacing w:before="120" w:line="260" w:lineRule="atLeast"/>
      <w:ind w:left="879" w:hanging="879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rPr>
      <w:rFonts w:ascii="Times" w:hAnsi="Times"/>
      <w:sz w:val="18"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autoRedefine/>
    <w:pPr>
      <w:tabs>
        <w:tab w:val="num" w:pos="360"/>
      </w:tabs>
    </w:pPr>
  </w:style>
  <w:style w:type="paragraph" w:styleId="ListBullet2">
    <w:name w:val="List Bullet 2"/>
    <w:basedOn w:val="Normal"/>
    <w:autoRedefine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pPr>
      <w:tabs>
        <w:tab w:val="num" w:pos="360"/>
      </w:tabs>
    </w:pPr>
  </w:style>
  <w:style w:type="paragraph" w:styleId="ListNumber2">
    <w:name w:val="List Number 2"/>
    <w:basedOn w:val="Normal"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439" w:right="284" w:hanging="2070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rFonts w:ascii="Times" w:hAnsi="Times"/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uiPriority w:val="39"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</w:pPr>
    <w:rPr>
      <w:sz w:val="22"/>
    </w:rPr>
  </w:style>
  <w:style w:type="paragraph" w:customStyle="1" w:styleId="yEdnotepara">
    <w:name w:val="yEdnote(para)"/>
    <w:basedOn w:val="Ednotepara"/>
    <w:pPr>
      <w:spacing w:before="80"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</w:pPr>
    <w:rPr>
      <w:sz w:val="22"/>
    </w:rPr>
  </w:style>
  <w:style w:type="paragraph" w:customStyle="1" w:styleId="yEdnotesubpara">
    <w:name w:val="yEdnote(subpara)"/>
    <w:basedOn w:val="Ednotesubpara"/>
    <w:pPr>
      <w:spacing w:line="240" w:lineRule="auto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right" w:pos="7088"/>
      </w:tabs>
      <w:spacing w:before="108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Ednotepart">
    <w:name w:val="Ednote(part)"/>
    <w:basedOn w:val="Ednotesection"/>
    <w:pPr>
      <w:tabs>
        <w:tab w:val="clear" w:pos="893"/>
      </w:tabs>
      <w:ind w:left="0" w:firstLine="0"/>
    </w:pPr>
  </w:style>
  <w:style w:type="paragraph" w:customStyle="1" w:styleId="Ednotedivision">
    <w:name w:val="Ednote(division)"/>
    <w:basedOn w:val="Ednotepart"/>
  </w:style>
  <w:style w:type="paragraph" w:customStyle="1" w:styleId="Ednotesubdivision">
    <w:name w:val="Ednote(subdivision)"/>
    <w:basedOn w:val="Ednotepart"/>
  </w:style>
  <w:style w:type="paragraph" w:customStyle="1" w:styleId="Footnotelongtitle">
    <w:name w:val="Footnote(longtitle)"/>
    <w:basedOn w:val="Footnotesection"/>
  </w:style>
  <w:style w:type="paragraph" w:customStyle="1" w:styleId="Footnotepreamble">
    <w:name w:val="Footnote(preamble)"/>
    <w:basedOn w:val="Footnotesection"/>
  </w:style>
  <w:style w:type="paragraph" w:customStyle="1" w:styleId="LongTitle2">
    <w:name w:val="Long Title2"/>
    <w:basedOn w:val="LongTitle"/>
    <w:pPr>
      <w:tabs>
        <w:tab w:val="right" w:pos="170"/>
        <w:tab w:val="left" w:pos="397"/>
      </w:tabs>
      <w:ind w:left="397" w:hanging="397"/>
    </w:pPr>
  </w:style>
  <w:style w:type="paragraph" w:customStyle="1" w:styleId="LongTitle3">
    <w:name w:val="Long Title3"/>
    <w:basedOn w:val="LongTitle"/>
    <w:pPr>
      <w:tabs>
        <w:tab w:val="right" w:pos="567"/>
        <w:tab w:val="left" w:pos="794"/>
      </w:tabs>
      <w:ind w:left="794" w:hanging="794"/>
    </w:pPr>
  </w:style>
  <w:style w:type="paragraph" w:customStyle="1" w:styleId="Preamble2">
    <w:name w:val="Preamble2"/>
    <w:basedOn w:val="Preamble"/>
    <w:pPr>
      <w:tabs>
        <w:tab w:val="clear" w:pos="567"/>
      </w:tabs>
      <w:spacing w:before="80"/>
      <w:ind w:left="0" w:firstLine="0"/>
    </w:pPr>
  </w:style>
  <w:style w:type="paragraph" w:customStyle="1" w:styleId="Preamble1">
    <w:name w:val="Preamble1"/>
    <w:basedOn w:val="Preamble2"/>
    <w:pPr>
      <w:spacing w:before="120"/>
    </w:pPr>
    <w:rPr>
      <w:b/>
    </w:rPr>
  </w:style>
  <w:style w:type="paragraph" w:customStyle="1" w:styleId="Preamble3">
    <w:name w:val="Preamble3"/>
    <w:basedOn w:val="Preamble2"/>
    <w:pPr>
      <w:tabs>
        <w:tab w:val="right" w:pos="595"/>
        <w:tab w:val="left" w:pos="879"/>
      </w:tabs>
      <w:ind w:left="879" w:hanging="879"/>
    </w:pPr>
  </w:style>
  <w:style w:type="paragraph" w:customStyle="1" w:styleId="Preamble4">
    <w:name w:val="Preamble4"/>
    <w:basedOn w:val="Preamble2"/>
    <w:pPr>
      <w:tabs>
        <w:tab w:val="right" w:pos="1332"/>
        <w:tab w:val="left" w:pos="1616"/>
      </w:tabs>
      <w:ind w:left="1616" w:hanging="1616"/>
    </w:pPr>
  </w:style>
  <w:style w:type="paragraph" w:customStyle="1" w:styleId="ReprintNo">
    <w:name w:val="ReprintNo"/>
    <w:rPr>
      <w:b/>
      <w:noProof/>
      <w:sz w:val="28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schedule">
    <w:name w:val="yEdnote(schedule)"/>
    <w:basedOn w:val="yEdnotesection"/>
    <w:pPr>
      <w:tabs>
        <w:tab w:val="clear" w:pos="893"/>
      </w:tabs>
      <w:ind w:left="0" w:firstLine="0"/>
    </w:pPr>
  </w:style>
  <w:style w:type="paragraph" w:customStyle="1" w:styleId="yEdnotedivision">
    <w:name w:val="yEdnote(division)"/>
    <w:basedOn w:val="yEdnoteschedule"/>
  </w:style>
  <w:style w:type="paragraph" w:customStyle="1" w:styleId="yEdnotesubdivision">
    <w:name w:val="yEdnote(subdivision)"/>
    <w:basedOn w:val="yEdnoteschedule"/>
  </w:style>
  <w:style w:type="paragraph" w:customStyle="1" w:styleId="yEdnotesubsection">
    <w:name w:val="yEdnote(subsection)"/>
    <w:basedOn w:val="Ednotesubsection"/>
    <w:rPr>
      <w:sz w:val="22"/>
    </w:rPr>
  </w:style>
  <w:style w:type="paragraph" w:customStyle="1" w:styleId="DeleteListSub">
    <w:name w:val="DeleteListSub"/>
    <w:basedOn w:val="Normal"/>
    <w:pPr>
      <w:widowControl w:val="0"/>
      <w:spacing w:before="80" w:line="260" w:lineRule="atLeast"/>
      <w:ind w:left="879"/>
    </w:pPr>
  </w:style>
  <w:style w:type="paragraph" w:customStyle="1" w:styleId="DeleteListPara">
    <w:name w:val="DeleteListPara"/>
    <w:basedOn w:val="DeleteListSub"/>
    <w:pPr>
      <w:ind w:left="1616"/>
    </w:pPr>
  </w:style>
  <w:style w:type="paragraph" w:customStyle="1" w:styleId="DeleteOpen">
    <w:name w:val="DeleteOpen"/>
    <w:basedOn w:val="Normal"/>
    <w:pPr>
      <w:keepNext/>
      <w:keepLines/>
      <w:jc w:val="center"/>
    </w:pPr>
    <w:rPr>
      <w:szCs w:val="24"/>
    </w:rPr>
  </w:style>
  <w:style w:type="paragraph" w:customStyle="1" w:styleId="yDeleteListPara">
    <w:name w:val="yDeleteListPara"/>
    <w:basedOn w:val="DeleteListPara"/>
    <w:rPr>
      <w:sz w:val="22"/>
    </w:rPr>
  </w:style>
  <w:style w:type="paragraph" w:customStyle="1" w:styleId="yDeleteListSub">
    <w:name w:val="yDeleteListSub"/>
    <w:basedOn w:val="DeleteListSub"/>
    <w:rPr>
      <w:sz w:val="22"/>
    </w:rPr>
  </w:style>
  <w:style w:type="paragraph" w:customStyle="1" w:styleId="zDeleteListPara">
    <w:name w:val="zDeleteListPara"/>
    <w:basedOn w:val="DeleteListPara"/>
    <w:pPr>
      <w:ind w:left="2183"/>
    </w:pPr>
  </w:style>
  <w:style w:type="paragraph" w:customStyle="1" w:styleId="zDeleteListSub">
    <w:name w:val="zDeleteListSub"/>
    <w:basedOn w:val="DeleteListSub"/>
    <w:pPr>
      <w:ind w:left="1446"/>
    </w:pPr>
  </w:style>
  <w:style w:type="paragraph" w:customStyle="1" w:styleId="zyDeleteListPara">
    <w:name w:val="zyDeleteListPara"/>
    <w:basedOn w:val="DeleteListPara"/>
    <w:rPr>
      <w:sz w:val="22"/>
    </w:rPr>
  </w:style>
  <w:style w:type="paragraph" w:customStyle="1" w:styleId="zyDeleteListSub">
    <w:name w:val="zyDeleteListSub"/>
    <w:basedOn w:val="DeleteListSub"/>
    <w:rPr>
      <w:sz w:val="22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yTableNAm">
    <w:name w:val="yTableNAm"/>
    <w:basedOn w:val="TableNAm"/>
    <w:rPr>
      <w:sz w:val="22"/>
    </w:rPr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TableNAm">
    <w:name w:val="zTableNAm"/>
    <w:basedOn w:val="TableNAm"/>
  </w:style>
  <w:style w:type="paragraph" w:customStyle="1" w:styleId="zTHeadingNAm">
    <w:name w:val="zTHeadingNAm"/>
    <w:basedOn w:val="THeadingNAm"/>
  </w:style>
  <w:style w:type="paragraph" w:customStyle="1" w:styleId="zyTableNAm">
    <w:name w:val="zyTableNAm"/>
    <w:basedOn w:val="yTableNAm"/>
  </w:style>
  <w:style w:type="paragraph" w:customStyle="1" w:styleId="zyTHeadingNAm">
    <w:name w:val="zyTHeadingNAm"/>
    <w:basedOn w:val="yTHeadingNAm"/>
  </w:style>
  <w:style w:type="paragraph" w:customStyle="1" w:styleId="SignatureText">
    <w:name w:val="SignatureText"/>
    <w:basedOn w:val="Normal"/>
  </w:style>
  <w:style w:type="paragraph" w:customStyle="1" w:styleId="ExCo">
    <w:name w:val="ExCo"/>
    <w:qFormat/>
    <w:rPr>
      <w:sz w:val="24"/>
    </w:rPr>
  </w:style>
  <w:style w:type="paragraph" w:customStyle="1" w:styleId="Certificate">
    <w:name w:val="Certificate"/>
    <w:qFormat/>
    <w:rPr>
      <w:sz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table" w:styleId="TableGrid">
    <w:name w:val="Table Grid"/>
    <w:basedOn w:val="TableNormal"/>
    <w:uiPriority w:val="5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1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eader" Target="header10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9.xml"/><Relationship Id="rId28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3AD0A-1845-4554-BCAE-54384942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1629</Characters>
  <Application>Microsoft Office Word</Application>
  <DocSecurity>0</DocSecurity>
  <Lines>77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Drafting Template (Regs)</vt:lpstr>
    </vt:vector>
  </TitlesOfParts>
  <Manager/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Regulations Amendment (Cat and Dog) Regulations (No. 2) 2025 - 00-00-00</dc:title>
  <dc:subject/>
  <dc:creator/>
  <cp:keywords/>
  <dc:description/>
  <cp:lastModifiedBy>Master Repository Process</cp:lastModifiedBy>
  <cp:revision>4</cp:revision>
  <cp:lastPrinted>2021-03-14T07:59:00Z</cp:lastPrinted>
  <dcterms:created xsi:type="dcterms:W3CDTF">2025-07-22T03:57:00Z</dcterms:created>
  <dcterms:modified xsi:type="dcterms:W3CDTF">2025-07-22T03:57:00Z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fidentiality">
    <vt:lpwstr/>
  </property>
  <property fmtid="{D5CDD505-2E9C-101B-9397-08002B2CF9AE}" pid="3" name="HeaderType">
    <vt:lpwstr>r</vt:lpwstr>
  </property>
  <property fmtid="{D5CDD505-2E9C-101B-9397-08002B2CF9AE}" pid="4" name="TemplateVersion">
    <vt:lpwstr>3.0</vt:lpwstr>
  </property>
  <property fmtid="{D5CDD505-2E9C-101B-9397-08002B2CF9AE}" pid="5" name="SubsidiaryType">
    <vt:lpwstr>Regulations</vt:lpwstr>
  </property>
  <property fmtid="{D5CDD505-2E9C-101B-9397-08002B2CF9AE}" pid="6" name="FinalId">
    <vt:lpwstr>PCO5550955a</vt:lpwstr>
  </property>
  <property fmtid="{D5CDD505-2E9C-101B-9397-08002B2CF9AE}" pid="7" name="RegID">
    <vt:lpwstr>55509</vt:lpwstr>
  </property>
  <property fmtid="{D5CDD505-2E9C-101B-9397-08002B2CF9AE}" pid="8" name="ShortTitle">
    <vt:lpwstr>Local Government Regulations Amendment (Cat and Dog) Regulations (No. 2) 2025</vt:lpwstr>
  </property>
  <property fmtid="{D5CDD505-2E9C-101B-9397-08002B2CF9AE}" pid="9" name="Citation">
    <vt:lpwstr>Local Government Regulations Amendment (Cat and Dog) Regulations (No. 2) 2025</vt:lpwstr>
  </property>
  <property fmtid="{D5CDD505-2E9C-101B-9397-08002B2CF9AE}" pid="10" name="PrincipalReg">
    <vt:lpwstr>Dog Regulations 2013</vt:lpwstr>
  </property>
  <property fmtid="{D5CDD505-2E9C-101B-9397-08002B2CF9AE}" pid="11" name="PrincipalAct">
    <vt:lpwstr>Dog Act 1976</vt:lpwstr>
  </property>
  <property fmtid="{D5CDD505-2E9C-101B-9397-08002B2CF9AE}" pid="12" name="DraftNo">
    <vt:lpwstr>Final</vt:lpwstr>
  </property>
  <property fmtid="{D5CDD505-2E9C-101B-9397-08002B2CF9AE}" pid="13" name="InstructionsReceived">
    <vt:filetime>2025-06-19T16:00:00Z</vt:filetime>
  </property>
  <property fmtid="{D5CDD505-2E9C-101B-9397-08002B2CF9AE}" pid="14" name="OurFileNo">
    <vt:lpwstr>25/33937-00</vt:lpwstr>
  </property>
  <property fmtid="{D5CDD505-2E9C-101B-9397-08002B2CF9AE}" pid="15" name="Date">
    <vt:filetime>2025-07-07T16:00:00Z</vt:filetime>
  </property>
  <property fmtid="{D5CDD505-2E9C-101B-9397-08002B2CF9AE}" pid="16" name="Counsel">
    <vt:lpwstr>Di Raeburn</vt:lpwstr>
  </property>
  <property fmtid="{D5CDD505-2E9C-101B-9397-08002B2CF9AE}" pid="17" name="CounselPosition">
    <vt:lpwstr>Senior Parliamentary Counsel</vt:lpwstr>
  </property>
  <property fmtid="{D5CDD505-2E9C-101B-9397-08002B2CF9AE}" pid="18" name="PhoneNo">
    <vt:lpwstr>(08) 9264 1444</vt:lpwstr>
  </property>
  <property fmtid="{D5CDD505-2E9C-101B-9397-08002B2CF9AE}" pid="19" name="CounselEmail">
    <vt:lpwstr>Di.Raeburn@pco.wa.gov.au</vt:lpwstr>
  </property>
  <property fmtid="{D5CDD505-2E9C-101B-9397-08002B2CF9AE}" pid="20" name="Minister">
    <vt:lpwstr>Minister for Local Government</vt:lpwstr>
  </property>
  <property fmtid="{D5CDD505-2E9C-101B-9397-08002B2CF9AE}" pid="21" name="Type">
    <vt:lpwstr>Regulations</vt:lpwstr>
  </property>
  <property fmtid="{D5CDD505-2E9C-101B-9397-08002B2CF9AE}" pid="22" name="Executor">
    <vt:lpwstr>Governor</vt:lpwstr>
  </property>
  <property fmtid="{D5CDD505-2E9C-101B-9397-08002B2CF9AE}" pid="23" name="InstructingDepartment">
    <vt:lpwstr>Department of Creative Industries, Tourism and Sport</vt:lpwstr>
  </property>
  <property fmtid="{D5CDD505-2E9C-101B-9397-08002B2CF9AE}" pid="24" name="InstructingOfficer">
    <vt:lpwstr>Clare Grosser</vt:lpwstr>
  </property>
  <property fmtid="{D5CDD505-2E9C-101B-9397-08002B2CF9AE}" pid="25" name="InstructingPhoneNo">
    <vt:lpwstr>6551 4838</vt:lpwstr>
  </property>
  <property fmtid="{D5CDD505-2E9C-101B-9397-08002B2CF9AE}" pid="26" name="InstructingFax">
    <vt:lpwstr/>
  </property>
  <property fmtid="{D5CDD505-2E9C-101B-9397-08002B2CF9AE}" pid="27" name="InstructingEmail">
    <vt:lpwstr>clare.grosser@dlgsc.wa.gov.au</vt:lpwstr>
  </property>
  <property fmtid="{D5CDD505-2E9C-101B-9397-08002B2CF9AE}" pid="28" name="DepartmentReference">
    <vt:lpwstr>25/1175</vt:lpwstr>
  </property>
  <property fmtid="{D5CDD505-2E9C-101B-9397-08002B2CF9AE}" pid="29" name="Prelim1">
    <vt:lpwstr>These</vt:lpwstr>
  </property>
  <property fmtid="{D5CDD505-2E9C-101B-9397-08002B2CF9AE}" pid="30" name="Prelim2">
    <vt:lpwstr>regulations</vt:lpwstr>
  </property>
  <property fmtid="{D5CDD505-2E9C-101B-9397-08002B2CF9AE}" pid="31" name="Prelim3">
    <vt:lpwstr>are</vt:lpwstr>
  </property>
  <property fmtid="{D5CDD505-2E9C-101B-9397-08002B2CF9AE}" pid="32" name="Prelim4">
    <vt:lpwstr>come</vt:lpwstr>
  </property>
  <property fmtid="{D5CDD505-2E9C-101B-9397-08002B2CF9AE}" pid="33" name="Prelim5">
    <vt:lpwstr>regulations</vt:lpwstr>
  </property>
  <property fmtid="{D5CDD505-2E9C-101B-9397-08002B2CF9AE}" pid="34" name="Prelim6">
    <vt:lpwstr>these</vt:lpwstr>
  </property>
  <property fmtid="{D5CDD505-2E9C-101B-9397-08002B2CF9AE}" pid="35" name="Prelim7">
    <vt:lpwstr>Regulations</vt:lpwstr>
  </property>
  <property fmtid="{D5CDD505-2E9C-101B-9397-08002B2CF9AE}" pid="36" name="Prelim8">
    <vt:lpwstr>amend</vt:lpwstr>
  </property>
  <property fmtid="{D5CDD505-2E9C-101B-9397-08002B2CF9AE}" pid="37" name="DocumentType">
    <vt:lpwstr>Reg</vt:lpwstr>
  </property>
  <property fmtid="{D5CDD505-2E9C-101B-9397-08002B2CF9AE}" pid="38" name="AsAtDate">
    <vt:lpwstr>23 Jul 2025</vt:lpwstr>
  </property>
  <property fmtid="{D5CDD505-2E9C-101B-9397-08002B2CF9AE}" pid="39" name="Suffix">
    <vt:lpwstr>00-00-00</vt:lpwstr>
  </property>
  <property fmtid="{D5CDD505-2E9C-101B-9397-08002B2CF9AE}" pid="40" name="Official">
    <vt:lpwstr/>
  </property>
  <property fmtid="{D5CDD505-2E9C-101B-9397-08002B2CF9AE}" pid="41" name="SLAPId">
    <vt:lpwstr>2025/138</vt:lpwstr>
  </property>
  <property fmtid="{D5CDD505-2E9C-101B-9397-08002B2CF9AE}" pid="42" name="PublishDate">
    <vt:lpwstr>23 Jul 2025</vt:lpwstr>
  </property>
  <property fmtid="{D5CDD505-2E9C-101B-9397-08002B2CF9AE}" pid="43" name="CommencementDate">
    <vt:lpwstr>20250723</vt:lpwstr>
  </property>
  <property fmtid="{D5CDD505-2E9C-101B-9397-08002B2CF9AE}" pid="44" name="CommencementAsAt">
    <vt:filetime>2025-07-22T16:00:00Z</vt:filetime>
  </property>
  <property fmtid="{D5CDD505-2E9C-101B-9397-08002B2CF9AE}" pid="45" name="CommencementYear">
    <vt:lpwstr>2025</vt:lpwstr>
  </property>
</Properties>
</file>