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(Elections)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(Elections)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_Toc204074273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_Toc204074274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_Toc204074275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_Toc204074276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18 amended</w:t>
      </w:r>
      <w:r>
        <w:tab/>
      </w:r>
      <w:r>
        <w:fldChar w:fldCharType="begin"/>
      </w:r>
      <w:r>
        <w:instrText xml:space="preserve"> PAGEREF _Toc204074277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22 replaced</w:t>
      </w:r>
      <w:r>
        <w:tab/>
      </w:r>
      <w:r>
        <w:fldChar w:fldCharType="begin"/>
      </w:r>
      <w:r>
        <w:instrText xml:space="preserve"> PAGEREF _Toc204074278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21A.</w:t>
      </w:r>
      <w:r>
        <w:rPr>
          <w:noProof/>
        </w:rPr>
        <w:tab/>
        <w:t>Supply of rolls to members of council — s. 4.42(2)</w:t>
      </w:r>
      <w:r>
        <w:rPr>
          <w:noProof/>
        </w:rPr>
        <w:tab/>
      </w:r>
      <w:r>
        <w:rPr>
          <w:noProof/>
        </w:rPr>
        <w:fldChar w:fldCharType="begin"/>
      </w:r>
      <w:r>
        <w:rPr>
          <w:noProof/>
        </w:rPr>
        <w:instrText xml:space="preserve"> PAGEREF _Toc204074279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Supply of rolls to candidates — s. 4.42(2)</w:t>
      </w:r>
      <w:r>
        <w:rPr>
          <w:noProof/>
        </w:rPr>
        <w:tab/>
      </w:r>
      <w:r>
        <w:rPr>
          <w:noProof/>
        </w:rPr>
        <w:fldChar w:fldCharType="begin"/>
      </w:r>
      <w:r>
        <w:rPr>
          <w:noProof/>
        </w:rPr>
        <w:instrText xml:space="preserve"> PAGEREF _Toc204074280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7.</w:t>
      </w:r>
      <w:r>
        <w:tab/>
        <w:t>Regulation 30BA amended</w:t>
      </w:r>
      <w:r>
        <w:tab/>
      </w:r>
      <w:r>
        <w:fldChar w:fldCharType="begin"/>
      </w:r>
      <w:r>
        <w:instrText xml:space="preserve"> PAGEREF _Toc204074281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30B amended</w:t>
      </w:r>
      <w:r>
        <w:tab/>
      </w:r>
      <w:r>
        <w:fldChar w:fldCharType="begin"/>
      </w:r>
      <w:r>
        <w:instrText xml:space="preserve"> PAGEREF _Toc204074282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30CA deleted</w:t>
      </w:r>
      <w:r>
        <w:tab/>
      </w:r>
      <w:r>
        <w:fldChar w:fldCharType="begin"/>
      </w:r>
      <w:r>
        <w:instrText xml:space="preserve"> PAGEREF _Toc204074283 \h </w:instrText>
      </w:r>
      <w:r>
        <w:fldChar w:fldCharType="separate"/>
      </w:r>
      <w:r>
        <w:t>4</w:t>
      </w:r>
      <w:r>
        <w:fldChar w:fldCharType="end"/>
      </w:r>
    </w:p>
    <w:p>
      <w:pPr>
        <w:pStyle w:val="TOC8"/>
        <w:rPr>
          <w:rFonts w:asciiTheme="minorHAnsi" w:eastAsiaTheme="minorEastAsia" w:hAnsiTheme="minorHAnsi" w:cstheme="minorBidi"/>
          <w:szCs w:val="22"/>
        </w:rPr>
      </w:pPr>
      <w:r>
        <w:t>10.</w:t>
      </w:r>
      <w:r>
        <w:tab/>
        <w:t>Regulation 30C amended</w:t>
      </w:r>
      <w:r>
        <w:tab/>
      </w:r>
      <w:r>
        <w:fldChar w:fldCharType="begin"/>
      </w:r>
      <w:r>
        <w:instrText xml:space="preserve"> PAGEREF _Toc204074284 \h </w:instrText>
      </w:r>
      <w:r>
        <w:fldChar w:fldCharType="separate"/>
      </w:r>
      <w:r>
        <w:t>4</w:t>
      </w:r>
      <w:r>
        <w:fldChar w:fldCharType="end"/>
      </w:r>
    </w:p>
    <w:p>
      <w:pPr>
        <w:pStyle w:val="TOC8"/>
        <w:rPr>
          <w:rFonts w:asciiTheme="minorHAnsi" w:eastAsiaTheme="minorEastAsia" w:hAnsiTheme="minorHAnsi" w:cstheme="minorBidi"/>
          <w:szCs w:val="22"/>
        </w:rPr>
      </w:pPr>
      <w:r>
        <w:t>11.</w:t>
      </w:r>
      <w:r>
        <w:tab/>
        <w:t>Regulation 30D amended</w:t>
      </w:r>
      <w:r>
        <w:tab/>
      </w:r>
      <w:r>
        <w:fldChar w:fldCharType="begin"/>
      </w:r>
      <w:r>
        <w:instrText xml:space="preserve"> PAGEREF _Toc204074285 \h </w:instrText>
      </w:r>
      <w:r>
        <w:fldChar w:fldCharType="separate"/>
      </w:r>
      <w:r>
        <w:t>4</w:t>
      </w:r>
      <w:r>
        <w:fldChar w:fldCharType="end"/>
      </w:r>
    </w:p>
    <w:p>
      <w:pPr>
        <w:pStyle w:val="TOC8"/>
        <w:rPr>
          <w:rFonts w:asciiTheme="minorHAnsi" w:eastAsiaTheme="minorEastAsia" w:hAnsiTheme="minorHAnsi" w:cstheme="minorBidi"/>
          <w:szCs w:val="22"/>
        </w:rPr>
      </w:pPr>
      <w:r>
        <w:t>12.</w:t>
      </w:r>
      <w:r>
        <w:tab/>
        <w:t>Regulation 30F amended</w:t>
      </w:r>
      <w:r>
        <w:tab/>
      </w:r>
      <w:r>
        <w:fldChar w:fldCharType="begin"/>
      </w:r>
      <w:r>
        <w:instrText xml:space="preserve"> PAGEREF _Toc204074286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30G amended</w:t>
      </w:r>
      <w:r>
        <w:tab/>
      </w:r>
      <w:r>
        <w:fldChar w:fldCharType="begin"/>
      </w:r>
      <w:r>
        <w:instrText xml:space="preserve"> PAGEREF _Toc204074287 \h </w:instrText>
      </w:r>
      <w:r>
        <w:fldChar w:fldCharType="separate"/>
      </w:r>
      <w:r>
        <w:t>6</w:t>
      </w:r>
      <w:r>
        <w:fldChar w:fldCharType="end"/>
      </w:r>
    </w:p>
    <w:p>
      <w:pPr>
        <w:pStyle w:val="TOC8"/>
        <w:rPr>
          <w:rFonts w:asciiTheme="minorHAnsi" w:eastAsiaTheme="minorEastAsia" w:hAnsiTheme="minorHAnsi" w:cstheme="minorBidi"/>
          <w:szCs w:val="22"/>
        </w:rPr>
      </w:pPr>
      <w:r>
        <w:t>14.</w:t>
      </w:r>
      <w:r>
        <w:tab/>
        <w:t>Regulation 30I amended</w:t>
      </w:r>
      <w:r>
        <w:tab/>
      </w:r>
      <w:r>
        <w:fldChar w:fldCharType="begin"/>
      </w:r>
      <w:r>
        <w:instrText xml:space="preserve"> PAGEREF _Toc204074288 \h </w:instrText>
      </w:r>
      <w:r>
        <w:fldChar w:fldCharType="separate"/>
      </w:r>
      <w:r>
        <w:t>6</w:t>
      </w:r>
      <w:r>
        <w:fldChar w:fldCharType="end"/>
      </w:r>
    </w:p>
    <w:p>
      <w:pPr>
        <w:pStyle w:val="TOC8"/>
        <w:rPr>
          <w:rFonts w:asciiTheme="minorHAnsi" w:eastAsiaTheme="minorEastAsia" w:hAnsiTheme="minorHAnsi" w:cstheme="minorBidi"/>
          <w:szCs w:val="22"/>
        </w:rPr>
      </w:pPr>
      <w:r>
        <w:t>15.</w:t>
      </w:r>
      <w:r>
        <w:tab/>
        <w:t>Regulation 31 amended</w:t>
      </w:r>
      <w:r>
        <w:tab/>
      </w:r>
      <w:r>
        <w:fldChar w:fldCharType="begin"/>
      </w:r>
      <w:r>
        <w:instrText xml:space="preserve"> PAGEREF _Toc204074289 \h </w:instrText>
      </w:r>
      <w:r>
        <w:fldChar w:fldCharType="separate"/>
      </w:r>
      <w:r>
        <w:t>7</w:t>
      </w:r>
      <w:r>
        <w:fldChar w:fldCharType="end"/>
      </w:r>
    </w:p>
    <w:p>
      <w:pPr>
        <w:pStyle w:val="TOC8"/>
        <w:rPr>
          <w:rFonts w:asciiTheme="minorHAnsi" w:eastAsiaTheme="minorEastAsia" w:hAnsiTheme="minorHAnsi" w:cstheme="minorBidi"/>
          <w:szCs w:val="22"/>
        </w:rPr>
      </w:pPr>
      <w:r>
        <w:t>16.</w:t>
      </w:r>
      <w:r>
        <w:tab/>
        <w:t>Regulation 50 amended</w:t>
      </w:r>
      <w:r>
        <w:tab/>
      </w:r>
      <w:r>
        <w:fldChar w:fldCharType="begin"/>
      </w:r>
      <w:r>
        <w:instrText xml:space="preserve"> PAGEREF _Toc204074290 \h </w:instrText>
      </w:r>
      <w:r>
        <w:fldChar w:fldCharType="separate"/>
      </w:r>
      <w:r>
        <w:t>7</w:t>
      </w:r>
      <w:r>
        <w:fldChar w:fldCharType="end"/>
      </w:r>
    </w:p>
    <w:p>
      <w:pPr>
        <w:pStyle w:val="TOC8"/>
        <w:rPr>
          <w:rFonts w:asciiTheme="minorHAnsi" w:eastAsiaTheme="minorEastAsia" w:hAnsiTheme="minorHAnsi" w:cstheme="minorBidi"/>
          <w:szCs w:val="22"/>
        </w:rPr>
      </w:pPr>
      <w:r>
        <w:t>17.</w:t>
      </w:r>
      <w:r>
        <w:tab/>
        <w:t>Regulation 52 amended</w:t>
      </w:r>
      <w:r>
        <w:tab/>
      </w:r>
      <w:r>
        <w:fldChar w:fldCharType="begin"/>
      </w:r>
      <w:r>
        <w:instrText xml:space="preserve"> PAGEREF _Toc204074291 \h </w:instrText>
      </w:r>
      <w:r>
        <w:fldChar w:fldCharType="separate"/>
      </w:r>
      <w:r>
        <w:t>7</w:t>
      </w:r>
      <w:r>
        <w:fldChar w:fldCharType="end"/>
      </w:r>
    </w:p>
    <w:p>
      <w:pPr>
        <w:pStyle w:val="TOC8"/>
        <w:rPr>
          <w:rFonts w:asciiTheme="minorHAnsi" w:eastAsiaTheme="minorEastAsia" w:hAnsiTheme="minorHAnsi" w:cstheme="minorBidi"/>
          <w:szCs w:val="22"/>
        </w:rPr>
      </w:pPr>
      <w:r>
        <w:t>18.</w:t>
      </w:r>
      <w:r>
        <w:tab/>
        <w:t>Part 12D inserted</w:t>
      </w:r>
      <w:r>
        <w:tab/>
      </w:r>
      <w:r>
        <w:fldChar w:fldCharType="begin"/>
      </w:r>
      <w:r>
        <w:instrText xml:space="preserve"> PAGEREF _Toc204074292 \h </w:instrText>
      </w:r>
      <w:r>
        <w:fldChar w:fldCharType="separate"/>
      </w:r>
      <w:r>
        <w:t>8</w:t>
      </w:r>
      <w:r>
        <w:fldChar w:fldCharType="end"/>
      </w:r>
    </w:p>
    <w:p>
      <w:pPr>
        <w:pStyle w:val="TOC3"/>
        <w:tabs>
          <w:tab w:val="right" w:leader="dot" w:pos="7077"/>
        </w:tabs>
        <w:rPr>
          <w:rFonts w:asciiTheme="minorHAnsi" w:eastAsiaTheme="minorEastAsia" w:hAnsiTheme="minorHAnsi" w:cstheme="minorBidi"/>
          <w:b w:val="0"/>
          <w:sz w:val="22"/>
          <w:szCs w:val="22"/>
        </w:rPr>
      </w:pPr>
      <w:r>
        <w:t>Part 12D — Mandatory re</w:t>
      </w:r>
      <w:r>
        <w:noBreakHyphen/>
        <w:t>counts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75U.</w:t>
      </w:r>
      <w:r>
        <w:rPr>
          <w:noProof/>
        </w:rPr>
        <w:tab/>
        <w:t>Terms used</w:t>
      </w:r>
      <w:r>
        <w:rPr>
          <w:noProof/>
        </w:rPr>
        <w:tab/>
      </w:r>
      <w:r>
        <w:rPr>
          <w:noProof/>
        </w:rPr>
        <w:fldChar w:fldCharType="begin"/>
      </w:r>
      <w:r>
        <w:rPr>
          <w:noProof/>
        </w:rPr>
        <w:instrText xml:space="preserve"> PAGEREF _Toc204074295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75V.</w:t>
      </w:r>
      <w:r>
        <w:rPr>
          <w:noProof/>
        </w:rPr>
        <w:tab/>
        <w:t>Application of Part</w:t>
      </w:r>
      <w:r>
        <w:rPr>
          <w:noProof/>
        </w:rPr>
        <w:tab/>
      </w:r>
      <w:r>
        <w:rPr>
          <w:noProof/>
        </w:rPr>
        <w:fldChar w:fldCharType="begin"/>
      </w:r>
      <w:r>
        <w:rPr>
          <w:noProof/>
        </w:rPr>
        <w:instrText xml:space="preserve"> PAGEREF _Toc204074296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Circumstances in which RO must arrange full re</w:t>
      </w:r>
      <w:r>
        <w:noBreakHyphen/>
        <w:t>count</w:t>
      </w:r>
    </w:p>
    <w:p>
      <w:pPr>
        <w:pStyle w:val="TOC9"/>
        <w:rPr>
          <w:rFonts w:asciiTheme="minorHAnsi" w:eastAsiaTheme="minorEastAsia" w:hAnsiTheme="minorHAnsi" w:cstheme="minorBidi"/>
          <w:noProof/>
          <w:sz w:val="22"/>
          <w:szCs w:val="22"/>
        </w:rPr>
      </w:pPr>
      <w:r>
        <w:rPr>
          <w:noProof/>
        </w:rPr>
        <w:t>75W.</w:t>
      </w:r>
      <w:r>
        <w:rPr>
          <w:noProof/>
        </w:rPr>
        <w:tab/>
        <w:t>One office election: 2 candidates</w:t>
      </w:r>
      <w:r>
        <w:rPr>
          <w:noProof/>
        </w:rPr>
        <w:tab/>
      </w:r>
      <w:r>
        <w:rPr>
          <w:noProof/>
        </w:rPr>
        <w:fldChar w:fldCharType="begin"/>
      </w:r>
      <w:r>
        <w:rPr>
          <w:noProof/>
        </w:rPr>
        <w:instrText xml:space="preserve"> PAGEREF _Toc204074298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lastRenderedPageBreak/>
        <w:t>75X.</w:t>
      </w:r>
      <w:r>
        <w:rPr>
          <w:noProof/>
        </w:rPr>
        <w:tab/>
        <w:t>One office election: 3 or more candidates</w:t>
      </w:r>
      <w:r>
        <w:rPr>
          <w:noProof/>
        </w:rPr>
        <w:tab/>
      </w:r>
      <w:r>
        <w:rPr>
          <w:noProof/>
        </w:rPr>
        <w:fldChar w:fldCharType="begin"/>
      </w:r>
      <w:r>
        <w:rPr>
          <w:noProof/>
        </w:rPr>
        <w:instrText xml:space="preserve"> PAGEREF _Toc204074299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75Y.</w:t>
      </w:r>
      <w:r>
        <w:rPr>
          <w:noProof/>
        </w:rPr>
        <w:tab/>
        <w:t>Election for 2 or more councillors</w:t>
      </w:r>
      <w:r>
        <w:rPr>
          <w:noProof/>
        </w:rPr>
        <w:tab/>
      </w:r>
      <w:r>
        <w:rPr>
          <w:noProof/>
        </w:rPr>
        <w:fldChar w:fldCharType="begin"/>
      </w:r>
      <w:r>
        <w:rPr>
          <w:noProof/>
        </w:rPr>
        <w:instrText xml:space="preserve"> PAGEREF _Toc204074300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19.</w:t>
      </w:r>
      <w:r>
        <w:tab/>
        <w:t>Regulation 89A inserted</w:t>
      </w:r>
      <w:r>
        <w:tab/>
      </w:r>
      <w:r>
        <w:fldChar w:fldCharType="begin"/>
      </w:r>
      <w:r>
        <w:instrText xml:space="preserve"> PAGEREF _Toc204074301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89A.</w:t>
      </w:r>
      <w:r>
        <w:rPr>
          <w:noProof/>
        </w:rPr>
        <w:tab/>
        <w:t>Local government specified in order under s. 4.1C or 4.1D — s. 4.99(2) and (3)</w:t>
      </w:r>
      <w:r>
        <w:rPr>
          <w:noProof/>
        </w:rPr>
        <w:tab/>
      </w:r>
      <w:r>
        <w:rPr>
          <w:noProof/>
        </w:rPr>
        <w:fldChar w:fldCharType="begin"/>
      </w:r>
      <w:r>
        <w:rPr>
          <w:noProof/>
        </w:rPr>
        <w:instrText xml:space="preserve"> PAGEREF _Toc204074302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t>Part 16A Division 3 inserted</w:t>
      </w:r>
      <w:r>
        <w:tab/>
      </w:r>
      <w:r>
        <w:fldChar w:fldCharType="begin"/>
      </w:r>
      <w:r>
        <w:instrText xml:space="preserve"> PAGEREF _Toc204074303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Provisions for </w:t>
      </w:r>
      <w:r>
        <w:rPr>
          <w:i/>
        </w:rPr>
        <w:t>Local Government (Elections) Amendment Regulations 2025</w:t>
      </w:r>
    </w:p>
    <w:p>
      <w:pPr>
        <w:pStyle w:val="TOC9"/>
        <w:rPr>
          <w:rFonts w:asciiTheme="minorHAnsi" w:eastAsiaTheme="minorEastAsia" w:hAnsiTheme="minorHAnsi" w:cstheme="minorBidi"/>
          <w:noProof/>
          <w:sz w:val="22"/>
          <w:szCs w:val="22"/>
        </w:rPr>
      </w:pPr>
      <w:r>
        <w:rPr>
          <w:noProof/>
        </w:rPr>
        <w:t>92I.</w:t>
      </w:r>
      <w:r>
        <w:rPr>
          <w:noProof/>
        </w:rPr>
        <w:tab/>
        <w:t>Pre</w:t>
      </w:r>
      <w:r>
        <w:rPr>
          <w:noProof/>
        </w:rPr>
        <w:noBreakHyphen/>
        <w:t>18 October 2025 elections</w:t>
      </w:r>
      <w:r>
        <w:rPr>
          <w:noProof/>
        </w:rPr>
        <w:tab/>
      </w:r>
      <w:r>
        <w:rPr>
          <w:noProof/>
        </w:rPr>
        <w:fldChar w:fldCharType="begin"/>
      </w:r>
      <w:r>
        <w:rPr>
          <w:noProof/>
        </w:rPr>
        <w:instrText xml:space="preserve"> PAGEREF _Toc204074305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21.</w:t>
      </w:r>
      <w:r>
        <w:tab/>
        <w:t>Schedule 1 Form 9A replaced</w:t>
      </w:r>
      <w:r>
        <w:tab/>
      </w:r>
      <w:r>
        <w:fldChar w:fldCharType="begin"/>
      </w:r>
      <w:r>
        <w:instrText xml:space="preserve"> PAGEREF _Toc204074306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(Elections) Amendment Regulations 2025</w:t>
      </w:r>
    </w:p>
    <w:p>
      <w:pPr>
        <w:pStyle w:val="MadeBy"/>
      </w:pPr>
      <w:r>
        <w:t>Made by the Governor in Executive Council.</w:t>
      </w:r>
    </w:p>
    <w:p>
      <w:pPr>
        <w:pStyle w:val="Heading5"/>
      </w:pPr>
      <w:bookmarkStart w:id="2" w:name="_Toc203646077"/>
      <w:bookmarkStart w:id="3" w:name="_Toc20407427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Local Government (Elections) Amendment Regulations 2025</w:t>
      </w:r>
      <w:r>
        <w:t>.</w:t>
      </w:r>
    </w:p>
    <w:p>
      <w:pPr>
        <w:pStyle w:val="Heading5"/>
        <w:rPr>
          <w:spacing w:val="-2"/>
        </w:rPr>
      </w:pPr>
      <w:bookmarkStart w:id="5" w:name="_Toc203646078"/>
      <w:bookmarkStart w:id="6" w:name="_Toc20407427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03646079"/>
      <w:bookmarkStart w:id="8" w:name="_Toc20407427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Local Government (Elections) Regulations 1997</w:t>
      </w:r>
      <w:r>
        <w:t>.</w:t>
      </w:r>
    </w:p>
    <w:p>
      <w:pPr>
        <w:pStyle w:val="Heading5"/>
      </w:pPr>
      <w:bookmarkStart w:id="9" w:name="_Toc203646080"/>
      <w:bookmarkStart w:id="10" w:name="_Toc204074276"/>
      <w:r>
        <w:rPr>
          <w:rStyle w:val="CharSectno"/>
        </w:rPr>
        <w:t>4</w:t>
      </w:r>
      <w:r>
        <w:t>.</w:t>
      </w:r>
      <w:r>
        <w:tab/>
        <w:t>Regulation 3 amended</w:t>
      </w:r>
      <w:bookmarkEnd w:id="9"/>
      <w:bookmarkEnd w:id="10"/>
    </w:p>
    <w:p>
      <w:pPr>
        <w:pStyle w:val="Subsection"/>
      </w:pPr>
      <w:r>
        <w:tab/>
      </w:r>
      <w:r>
        <w:tab/>
        <w:t>In regulation 3 insert in alphabetical order:</w:t>
      </w:r>
    </w:p>
    <w:p>
      <w:pPr>
        <w:pStyle w:val="BlankOpen"/>
      </w:pPr>
    </w:p>
    <w:p>
      <w:pPr>
        <w:pStyle w:val="zDefstart"/>
      </w:pPr>
      <w:r>
        <w:tab/>
      </w:r>
      <w:r>
        <w:rPr>
          <w:rStyle w:val="CharDefText"/>
        </w:rPr>
        <w:t>postal election</w:t>
      </w:r>
      <w:r>
        <w:t xml:space="preserve"> has the meaning given in section 4.61(1);</w:t>
      </w:r>
    </w:p>
    <w:p>
      <w:pPr>
        <w:pStyle w:val="zDefstart"/>
      </w:pPr>
      <w:r>
        <w:tab/>
      </w:r>
      <w:r>
        <w:rPr>
          <w:rStyle w:val="CharDefText"/>
        </w:rPr>
        <w:t>voting in person election</w:t>
      </w:r>
      <w:r>
        <w:t xml:space="preserve"> has the meaning given in section 4.61(1);</w:t>
      </w:r>
    </w:p>
    <w:p>
      <w:pPr>
        <w:pStyle w:val="BlankClose"/>
      </w:pPr>
    </w:p>
    <w:p>
      <w:pPr>
        <w:pStyle w:val="Heading5"/>
      </w:pPr>
      <w:bookmarkStart w:id="11" w:name="_Toc203646081"/>
      <w:bookmarkStart w:id="12" w:name="_Toc204074277"/>
      <w:r>
        <w:rPr>
          <w:rStyle w:val="CharSectno"/>
        </w:rPr>
        <w:lastRenderedPageBreak/>
        <w:t>5</w:t>
      </w:r>
      <w:r>
        <w:t>.</w:t>
      </w:r>
      <w:r>
        <w:tab/>
        <w:t>Regulation 18 amended</w:t>
      </w:r>
      <w:bookmarkEnd w:id="11"/>
      <w:bookmarkEnd w:id="12"/>
    </w:p>
    <w:p>
      <w:pPr>
        <w:pStyle w:val="Subsection"/>
      </w:pPr>
      <w:r>
        <w:tab/>
      </w:r>
      <w:r>
        <w:tab/>
        <w:t>In regulation 18(2) delete “22nd” and insert:</w:t>
      </w:r>
    </w:p>
    <w:p>
      <w:pPr>
        <w:pStyle w:val="BlankOpen"/>
      </w:pPr>
    </w:p>
    <w:p>
      <w:pPr>
        <w:pStyle w:val="Subsection"/>
        <w:rPr>
          <w:vertAlign w:val="superscript"/>
        </w:rPr>
      </w:pPr>
      <w:r>
        <w:tab/>
      </w:r>
      <w:r>
        <w:tab/>
        <w:t>29</w:t>
      </w:r>
      <w:r>
        <w:rPr>
          <w:vertAlign w:val="superscript"/>
        </w:rPr>
        <w:t>th</w:t>
      </w:r>
    </w:p>
    <w:p>
      <w:pPr>
        <w:pStyle w:val="BlankClose"/>
      </w:pPr>
    </w:p>
    <w:p>
      <w:pPr>
        <w:pStyle w:val="Heading5"/>
      </w:pPr>
      <w:bookmarkStart w:id="13" w:name="_Toc203646082"/>
      <w:bookmarkStart w:id="14" w:name="_Toc204074278"/>
      <w:r>
        <w:rPr>
          <w:rStyle w:val="CharSectno"/>
        </w:rPr>
        <w:t>6</w:t>
      </w:r>
      <w:r>
        <w:t>.</w:t>
      </w:r>
      <w:r>
        <w:tab/>
        <w:t>Regulation 22 replaced</w:t>
      </w:r>
      <w:bookmarkEnd w:id="13"/>
      <w:bookmarkEnd w:id="14"/>
    </w:p>
    <w:p>
      <w:pPr>
        <w:pStyle w:val="Subsection"/>
      </w:pPr>
      <w:r>
        <w:tab/>
      </w:r>
      <w:r>
        <w:tab/>
        <w:t>Delete regulation 22 and insert:</w:t>
      </w:r>
    </w:p>
    <w:p>
      <w:pPr>
        <w:pStyle w:val="BlankOpen"/>
      </w:pPr>
    </w:p>
    <w:p>
      <w:pPr>
        <w:pStyle w:val="zHeading5"/>
        <w:rPr>
          <w:sz w:val="28"/>
          <w:szCs w:val="22"/>
        </w:rPr>
      </w:pPr>
      <w:bookmarkStart w:id="15" w:name="_Toc203646083"/>
      <w:bookmarkStart w:id="16" w:name="_Toc204074279"/>
      <w:r>
        <w:t>21A.</w:t>
      </w:r>
      <w:r>
        <w:tab/>
        <w:t>Supply of rolls to members of council — s. 4.42(2)</w:t>
      </w:r>
      <w:bookmarkEnd w:id="15"/>
      <w:bookmarkEnd w:id="16"/>
    </w:p>
    <w:p>
      <w:pPr>
        <w:pStyle w:val="zSubsection"/>
      </w:pPr>
      <w:r>
        <w:tab/>
        <w:t>(1)</w:t>
      </w:r>
      <w:r>
        <w:tab/>
        <w:t>The CEO must supply a copy of a roll for any election, free of charge, to any member of the council who asks for a copy, unless the member has already been supplied with a copy of the roll under regulation 22.</w:t>
      </w:r>
    </w:p>
    <w:p>
      <w:pPr>
        <w:pStyle w:val="zSubsection"/>
      </w:pPr>
      <w:r>
        <w:tab/>
        <w:t>(2)</w:t>
      </w:r>
      <w:r>
        <w:tab/>
        <w:t>If a member asks for more than 1 copy of a roll, the CEO may, at their discretion, supply the additional copy or copies free of charge but, in exercising that discretion, the CEO must deal with different members in a consistent manner.</w:t>
      </w:r>
    </w:p>
    <w:p>
      <w:pPr>
        <w:pStyle w:val="zHeading5"/>
        <w:rPr>
          <w:sz w:val="28"/>
          <w:szCs w:val="22"/>
        </w:rPr>
      </w:pPr>
      <w:bookmarkStart w:id="17" w:name="_Toc203646084"/>
      <w:bookmarkStart w:id="18" w:name="_Toc204074280"/>
      <w:r>
        <w:t>22.</w:t>
      </w:r>
      <w:r>
        <w:tab/>
        <w:t>Supply of rolls to candidates — s. 4.42(2)</w:t>
      </w:r>
      <w:bookmarkEnd w:id="17"/>
      <w:bookmarkEnd w:id="18"/>
    </w:p>
    <w:p>
      <w:pPr>
        <w:pStyle w:val="zSubsection"/>
      </w:pPr>
      <w:r>
        <w:tab/>
        <w:t>(1)</w:t>
      </w:r>
      <w:r>
        <w:tab/>
        <w:t>The responsible person must supply a copy of a roll for any election, free of charge, to each candidate in the election, unless the candidate has already been supplied with a copy of the roll under regulation 21A.</w:t>
      </w:r>
    </w:p>
    <w:p>
      <w:pPr>
        <w:pStyle w:val="zSubsection"/>
      </w:pPr>
      <w:r>
        <w:tab/>
        <w:t>(2)</w:t>
      </w:r>
      <w:r>
        <w:tab/>
        <w:t>If a candidate asks for more than 1 copy of a roll, the responsible person may, at their discretion, supply the additional copy or copies free of charge but, in exercising that discretion, the responsible person must deal with different candidates in a consistent manner.</w:t>
      </w:r>
    </w:p>
    <w:p>
      <w:pPr>
        <w:pStyle w:val="zSubsection"/>
        <w:keepNext/>
      </w:pPr>
      <w:r>
        <w:tab/>
        <w:t>(3)</w:t>
      </w:r>
      <w:r>
        <w:tab/>
        <w:t xml:space="preserve">If the Electoral Commissioner is responsible for the conduct of the election, the functions of the responsible </w:t>
      </w:r>
      <w:r>
        <w:lastRenderedPageBreak/>
        <w:t>person under this regulation are to be performed by the RO.</w:t>
      </w:r>
    </w:p>
    <w:p>
      <w:pPr>
        <w:pStyle w:val="zSubsection"/>
      </w:pPr>
      <w:r>
        <w:tab/>
        <w:t>(4)</w:t>
      </w:r>
      <w:r>
        <w:tab/>
        <w:t>If the Electoral Commissioner is not responsible for the conduct of the election, the functions of the responsible person under this regulation are to be performed by the CEO unless the CEO and RO agree that the functions will be performed by the RO, in which event the RO is to perform the functions.</w:t>
      </w:r>
    </w:p>
    <w:p>
      <w:pPr>
        <w:pStyle w:val="BlankClose"/>
      </w:pPr>
    </w:p>
    <w:p>
      <w:pPr>
        <w:pStyle w:val="Heading5"/>
      </w:pPr>
      <w:bookmarkStart w:id="19" w:name="_Toc203646085"/>
      <w:bookmarkStart w:id="20" w:name="_Toc204074281"/>
      <w:r>
        <w:rPr>
          <w:rStyle w:val="CharSectno"/>
        </w:rPr>
        <w:t>7</w:t>
      </w:r>
      <w:r>
        <w:t>.</w:t>
      </w:r>
      <w:r>
        <w:tab/>
        <w:t>Regulation 30BA amended</w:t>
      </w:r>
      <w:bookmarkEnd w:id="19"/>
      <w:bookmarkEnd w:id="20"/>
    </w:p>
    <w:p>
      <w:pPr>
        <w:pStyle w:val="Subsection"/>
      </w:pPr>
      <w:r>
        <w:tab/>
      </w:r>
      <w:r>
        <w:tab/>
        <w:t>In regulation 30BA(1) delete the Penalty and insert:</w:t>
      </w:r>
    </w:p>
    <w:p>
      <w:pPr>
        <w:pStyle w:val="BlankOpen"/>
      </w:pPr>
    </w:p>
    <w:p>
      <w:pPr>
        <w:pStyle w:val="zPenstart"/>
      </w:pPr>
      <w:r>
        <w:tab/>
        <w:t>Penalty for this subregulation: a fine of $10 000.</w:t>
      </w:r>
    </w:p>
    <w:p>
      <w:pPr>
        <w:pStyle w:val="BlankClose"/>
      </w:pPr>
    </w:p>
    <w:p>
      <w:pPr>
        <w:pStyle w:val="Heading5"/>
      </w:pPr>
      <w:bookmarkStart w:id="21" w:name="_Toc203646086"/>
      <w:bookmarkStart w:id="22" w:name="_Toc204074282"/>
      <w:r>
        <w:rPr>
          <w:rStyle w:val="CharSectno"/>
        </w:rPr>
        <w:t>8</w:t>
      </w:r>
      <w:r>
        <w:t>.</w:t>
      </w:r>
      <w:r>
        <w:tab/>
        <w:t>Regulation 30B amended</w:t>
      </w:r>
      <w:bookmarkEnd w:id="21"/>
      <w:bookmarkEnd w:id="22"/>
    </w:p>
    <w:p>
      <w:pPr>
        <w:pStyle w:val="Subsection"/>
      </w:pPr>
      <w:r>
        <w:tab/>
        <w:t>(1)</w:t>
      </w:r>
      <w:r>
        <w:tab/>
        <w:t>In regulation 30B(1) delete the Penalty and insert:</w:t>
      </w:r>
    </w:p>
    <w:p>
      <w:pPr>
        <w:pStyle w:val="BlankOpen"/>
      </w:pPr>
    </w:p>
    <w:p>
      <w:pPr>
        <w:pStyle w:val="zPenstart"/>
      </w:pPr>
      <w:r>
        <w:tab/>
        <w:t>Penalty for this subregulation: a fine of $10 000.</w:t>
      </w:r>
    </w:p>
    <w:p>
      <w:pPr>
        <w:pStyle w:val="BlankClose"/>
      </w:pPr>
    </w:p>
    <w:p>
      <w:pPr>
        <w:pStyle w:val="Subsection"/>
      </w:pPr>
      <w:r>
        <w:tab/>
        <w:t>(2)</w:t>
      </w:r>
      <w:r>
        <w:tab/>
        <w:t>In regulation 30B(2) delete “30D(2).” and insert:</w:t>
      </w:r>
    </w:p>
    <w:p>
      <w:pPr>
        <w:pStyle w:val="BlankOpen"/>
      </w:pPr>
    </w:p>
    <w:p>
      <w:pPr>
        <w:pStyle w:val="Subsection"/>
      </w:pPr>
      <w:r>
        <w:tab/>
      </w:r>
      <w:r>
        <w:tab/>
        <w:t>30D(2), subject to regulation 30D(3).</w:t>
      </w:r>
    </w:p>
    <w:p>
      <w:pPr>
        <w:pStyle w:val="BlankClose"/>
      </w:pPr>
    </w:p>
    <w:p>
      <w:pPr>
        <w:pStyle w:val="Subsection"/>
        <w:keepNext/>
      </w:pPr>
      <w:r>
        <w:lastRenderedPageBreak/>
        <w:tab/>
        <w:t>(3)</w:t>
      </w:r>
      <w:r>
        <w:tab/>
        <w:t>In regulation 30B(2) delete the Penalty and insert:</w:t>
      </w:r>
    </w:p>
    <w:p>
      <w:pPr>
        <w:pStyle w:val="BlankOpen"/>
      </w:pPr>
    </w:p>
    <w:p>
      <w:pPr>
        <w:pStyle w:val="zPenstart"/>
        <w:keepNext/>
      </w:pPr>
      <w:r>
        <w:tab/>
        <w:t>Penalty for this subregulation:</w:t>
      </w:r>
    </w:p>
    <w:p>
      <w:pPr>
        <w:pStyle w:val="zPenpara"/>
        <w:keepNext/>
      </w:pPr>
      <w:r>
        <w:tab/>
        <w:t>(a)</w:t>
      </w:r>
      <w:r>
        <w:tab/>
        <w:t>a fine of $10 000;</w:t>
      </w:r>
    </w:p>
    <w:p>
      <w:pPr>
        <w:pStyle w:val="zPenpara"/>
        <w:keepNext/>
      </w:pPr>
      <w:r>
        <w:tab/>
        <w:t>(b)</w:t>
      </w:r>
      <w:r>
        <w:tab/>
        <w:t>a daily penalty of a fine of $500 for each day or part of a day during which the offence continues.</w:t>
      </w:r>
    </w:p>
    <w:p>
      <w:pPr>
        <w:pStyle w:val="BlankClose"/>
      </w:pPr>
    </w:p>
    <w:p>
      <w:pPr>
        <w:pStyle w:val="Subsection"/>
      </w:pPr>
      <w:r>
        <w:tab/>
        <w:t>(4)</w:t>
      </w:r>
      <w:r>
        <w:tab/>
        <w:t>In regulation 30B(4) delete the Penalty and insert:</w:t>
      </w:r>
    </w:p>
    <w:p>
      <w:pPr>
        <w:pStyle w:val="BlankOpen"/>
      </w:pPr>
    </w:p>
    <w:p>
      <w:pPr>
        <w:pStyle w:val="zPenstart"/>
      </w:pPr>
      <w:r>
        <w:tab/>
        <w:t>Penalty for this subregulation: a fine of $10 000.</w:t>
      </w:r>
    </w:p>
    <w:p>
      <w:pPr>
        <w:pStyle w:val="BlankClose"/>
      </w:pPr>
    </w:p>
    <w:p>
      <w:pPr>
        <w:pStyle w:val="Heading5"/>
      </w:pPr>
      <w:bookmarkStart w:id="23" w:name="_Toc203646087"/>
      <w:bookmarkStart w:id="24" w:name="_Toc204074283"/>
      <w:r>
        <w:rPr>
          <w:rStyle w:val="CharSectno"/>
        </w:rPr>
        <w:t>9</w:t>
      </w:r>
      <w:r>
        <w:t>.</w:t>
      </w:r>
      <w:r>
        <w:tab/>
        <w:t>Regulation 30CA deleted</w:t>
      </w:r>
      <w:bookmarkEnd w:id="23"/>
      <w:bookmarkEnd w:id="24"/>
    </w:p>
    <w:p>
      <w:pPr>
        <w:pStyle w:val="Subsection"/>
      </w:pPr>
      <w:r>
        <w:tab/>
      </w:r>
      <w:r>
        <w:tab/>
        <w:t>Delete regulation 30CA.</w:t>
      </w:r>
    </w:p>
    <w:p>
      <w:pPr>
        <w:pStyle w:val="Heading5"/>
      </w:pPr>
      <w:bookmarkStart w:id="25" w:name="_Toc203646088"/>
      <w:bookmarkStart w:id="26" w:name="_Toc204074284"/>
      <w:r>
        <w:rPr>
          <w:rStyle w:val="CharSectno"/>
        </w:rPr>
        <w:t>10</w:t>
      </w:r>
      <w:r>
        <w:t>.</w:t>
      </w:r>
      <w:r>
        <w:tab/>
        <w:t>Regulation 30C amended</w:t>
      </w:r>
      <w:bookmarkEnd w:id="25"/>
      <w:bookmarkEnd w:id="26"/>
    </w:p>
    <w:p>
      <w:pPr>
        <w:pStyle w:val="Subsection"/>
      </w:pPr>
      <w:r>
        <w:tab/>
      </w:r>
      <w:r>
        <w:tab/>
        <w:t>In regulation 30C(1) delete “30B(1) and 30CA(1),” and insert:</w:t>
      </w:r>
    </w:p>
    <w:p>
      <w:pPr>
        <w:pStyle w:val="BlankOpen"/>
      </w:pPr>
    </w:p>
    <w:p>
      <w:pPr>
        <w:pStyle w:val="Subsection"/>
      </w:pPr>
      <w:r>
        <w:tab/>
      </w:r>
      <w:r>
        <w:tab/>
        <w:t>30B(1),</w:t>
      </w:r>
    </w:p>
    <w:p>
      <w:pPr>
        <w:pStyle w:val="BlankClose"/>
      </w:pPr>
    </w:p>
    <w:p>
      <w:pPr>
        <w:pStyle w:val="Heading5"/>
      </w:pPr>
      <w:bookmarkStart w:id="27" w:name="_Toc203646089"/>
      <w:bookmarkStart w:id="28" w:name="_Toc204074285"/>
      <w:r>
        <w:rPr>
          <w:rStyle w:val="CharSectno"/>
        </w:rPr>
        <w:t>11</w:t>
      </w:r>
      <w:r>
        <w:t>.</w:t>
      </w:r>
      <w:r>
        <w:tab/>
        <w:t>Regulation 30D amended</w:t>
      </w:r>
      <w:bookmarkEnd w:id="27"/>
      <w:bookmarkEnd w:id="28"/>
    </w:p>
    <w:p>
      <w:pPr>
        <w:pStyle w:val="Subsection"/>
      </w:pPr>
      <w:r>
        <w:tab/>
        <w:t>(1)</w:t>
      </w:r>
      <w:r>
        <w:tab/>
        <w:t>In regulation 30D(1) delete “30B(2) or 30CA(2),” and insert:</w:t>
      </w:r>
    </w:p>
    <w:p>
      <w:pPr>
        <w:pStyle w:val="BlankOpen"/>
      </w:pPr>
    </w:p>
    <w:p>
      <w:pPr>
        <w:pStyle w:val="Subsection"/>
      </w:pPr>
      <w:r>
        <w:tab/>
      </w:r>
      <w:r>
        <w:tab/>
        <w:t>30B(2),</w:t>
      </w:r>
    </w:p>
    <w:p>
      <w:pPr>
        <w:pStyle w:val="BlankClose"/>
      </w:pPr>
    </w:p>
    <w:p>
      <w:pPr>
        <w:pStyle w:val="Subsection"/>
        <w:keepNext/>
      </w:pPr>
      <w:r>
        <w:lastRenderedPageBreak/>
        <w:tab/>
        <w:t>(2)</w:t>
      </w:r>
      <w:r>
        <w:tab/>
        <w:t>In regulation 30D(2):</w:t>
      </w:r>
    </w:p>
    <w:p>
      <w:pPr>
        <w:pStyle w:val="Indenta"/>
        <w:keepNext/>
      </w:pPr>
      <w:r>
        <w:tab/>
        <w:t>(a)</w:t>
      </w:r>
      <w:r>
        <w:tab/>
        <w:t>delete “30B(2) or 30CA(2),” and insert:</w:t>
      </w:r>
    </w:p>
    <w:p>
      <w:pPr>
        <w:pStyle w:val="BlankOpen"/>
      </w:pPr>
    </w:p>
    <w:p>
      <w:pPr>
        <w:pStyle w:val="Indenta"/>
        <w:keepNext/>
      </w:pPr>
      <w:r>
        <w:tab/>
      </w:r>
      <w:r>
        <w:tab/>
        <w:t>30B(2),</w:t>
      </w:r>
    </w:p>
    <w:p>
      <w:pPr>
        <w:pStyle w:val="BlankClose"/>
      </w:pPr>
    </w:p>
    <w:p>
      <w:pPr>
        <w:pStyle w:val="Indenta"/>
      </w:pPr>
      <w:r>
        <w:tab/>
        <w:t>(b)</w:t>
      </w:r>
      <w:r>
        <w:tab/>
        <w:t>in paragraph (a) delete “making,”;</w:t>
      </w:r>
    </w:p>
    <w:p>
      <w:pPr>
        <w:pStyle w:val="Indenta"/>
      </w:pPr>
      <w:r>
        <w:tab/>
        <w:t>(c)</w:t>
      </w:r>
      <w:r>
        <w:tab/>
        <w:t>in paragraph (b) delete “made,”;</w:t>
      </w:r>
    </w:p>
    <w:p>
      <w:pPr>
        <w:pStyle w:val="Indenta"/>
        <w:keepNext/>
      </w:pPr>
      <w:r>
        <w:tab/>
        <w:t>(d)</w:t>
      </w:r>
      <w:r>
        <w:tab/>
        <w:t>in paragraph (b) delete “day of nomination,” and insert:</w:t>
      </w:r>
    </w:p>
    <w:p>
      <w:pPr>
        <w:pStyle w:val="BlankOpen"/>
      </w:pPr>
    </w:p>
    <w:p>
      <w:pPr>
        <w:pStyle w:val="Indenta"/>
      </w:pPr>
      <w:r>
        <w:tab/>
      </w:r>
      <w:r>
        <w:tab/>
        <w:t>day of nomination.</w:t>
      </w:r>
    </w:p>
    <w:p>
      <w:pPr>
        <w:pStyle w:val="BlankClose"/>
      </w:pPr>
    </w:p>
    <w:p>
      <w:pPr>
        <w:pStyle w:val="Indenta"/>
      </w:pPr>
      <w:r>
        <w:tab/>
        <w:t>(e)</w:t>
      </w:r>
      <w:r>
        <w:tab/>
        <w:t>delete the passage that begins with “unless the CEO” and continues to the end of the subregulation.</w:t>
      </w:r>
    </w:p>
    <w:p>
      <w:pPr>
        <w:pStyle w:val="Subsection"/>
      </w:pPr>
      <w:r>
        <w:tab/>
        <w:t>(3)</w:t>
      </w:r>
      <w:r>
        <w:tab/>
        <w:t>After regulation 30D(2) insert:</w:t>
      </w:r>
    </w:p>
    <w:p>
      <w:pPr>
        <w:pStyle w:val="BlankOpen"/>
      </w:pPr>
    </w:p>
    <w:p>
      <w:pPr>
        <w:pStyle w:val="zSubsection"/>
      </w:pPr>
      <w:r>
        <w:tab/>
        <w:t>(3)</w:t>
      </w:r>
      <w:r>
        <w:tab/>
        <w:t>A disclosure may be made outside the time period in subregulation (2)(a) or (b) if —</w:t>
      </w:r>
    </w:p>
    <w:p>
      <w:pPr>
        <w:pStyle w:val="zIndenta"/>
      </w:pPr>
      <w:r>
        <w:tab/>
        <w:t>(a)</w:t>
      </w:r>
      <w:r>
        <w:tab/>
        <w:t>the candidate is unable to make the disclosure within the time period due to circumstances beyond the candidate’s control; and</w:t>
      </w:r>
    </w:p>
    <w:p>
      <w:pPr>
        <w:pStyle w:val="zIndenta"/>
      </w:pPr>
      <w:r>
        <w:tab/>
        <w:t>(b)</w:t>
      </w:r>
      <w:r>
        <w:tab/>
        <w:t>the candidate makes the disclosure as soon as possible; and</w:t>
      </w:r>
    </w:p>
    <w:p>
      <w:pPr>
        <w:pStyle w:val="zIndenta"/>
      </w:pPr>
      <w:r>
        <w:tab/>
        <w:t>(c)</w:t>
      </w:r>
      <w:r>
        <w:tab/>
        <w:t xml:space="preserve">at the same time as the candidate makes the disclosure, the candidate lodges with the CEO a statutory declaration made by the candidate that — </w:t>
      </w:r>
    </w:p>
    <w:p>
      <w:pPr>
        <w:pStyle w:val="zIndenti"/>
      </w:pPr>
      <w:r>
        <w:tab/>
        <w:t>(i)</w:t>
      </w:r>
      <w:r>
        <w:tab/>
        <w:t>sets out the circumstances referred to in paragraph (a); and</w:t>
      </w:r>
    </w:p>
    <w:p>
      <w:pPr>
        <w:pStyle w:val="zIndenti"/>
      </w:pPr>
      <w:r>
        <w:tab/>
        <w:t>(ii)</w:t>
      </w:r>
      <w:r>
        <w:tab/>
        <w:t xml:space="preserve">explains why the circumstances were beyond the candidate’s control and how they prevented the candidate from </w:t>
      </w:r>
      <w:r>
        <w:lastRenderedPageBreak/>
        <w:t>making the disclosure within the time period.</w:t>
      </w:r>
    </w:p>
    <w:p>
      <w:pPr>
        <w:pStyle w:val="BlankClose"/>
      </w:pPr>
    </w:p>
    <w:p>
      <w:pPr>
        <w:pStyle w:val="Heading5"/>
      </w:pPr>
      <w:bookmarkStart w:id="29" w:name="_Toc203646090"/>
      <w:bookmarkStart w:id="30" w:name="_Toc204074286"/>
      <w:r>
        <w:rPr>
          <w:rStyle w:val="CharSectno"/>
        </w:rPr>
        <w:t>12</w:t>
      </w:r>
      <w:r>
        <w:t>.</w:t>
      </w:r>
      <w:r>
        <w:tab/>
        <w:t>Regulation 30F amended</w:t>
      </w:r>
      <w:bookmarkEnd w:id="29"/>
      <w:bookmarkEnd w:id="30"/>
    </w:p>
    <w:p>
      <w:pPr>
        <w:pStyle w:val="Subsection"/>
        <w:keepNext/>
      </w:pPr>
      <w:r>
        <w:tab/>
        <w:t>(1)</w:t>
      </w:r>
      <w:r>
        <w:tab/>
        <w:t>In regulation 30F(1):</w:t>
      </w:r>
    </w:p>
    <w:p>
      <w:pPr>
        <w:pStyle w:val="Indenta"/>
        <w:keepNext/>
      </w:pPr>
      <w:r>
        <w:tab/>
        <w:t>(a)</w:t>
      </w:r>
      <w:r>
        <w:tab/>
        <w:t>delete “30B(4) and 30CA(3),” and insert:</w:t>
      </w:r>
    </w:p>
    <w:p>
      <w:pPr>
        <w:pStyle w:val="BlankOpen"/>
      </w:pPr>
    </w:p>
    <w:p>
      <w:pPr>
        <w:pStyle w:val="Indenta"/>
      </w:pPr>
      <w:r>
        <w:tab/>
      </w:r>
      <w:r>
        <w:tab/>
        <w:t>30B(4),</w:t>
      </w:r>
    </w:p>
    <w:p>
      <w:pPr>
        <w:pStyle w:val="BlankClose"/>
      </w:pPr>
    </w:p>
    <w:p>
      <w:pPr>
        <w:pStyle w:val="Indenta"/>
      </w:pPr>
      <w:r>
        <w:tab/>
        <w:t>(b)</w:t>
      </w:r>
      <w:r>
        <w:tab/>
        <w:t>in paragraph (b) delete “made,”.</w:t>
      </w:r>
    </w:p>
    <w:p>
      <w:pPr>
        <w:pStyle w:val="Subsection"/>
      </w:pPr>
      <w:r>
        <w:tab/>
        <w:t>(2)</w:t>
      </w:r>
      <w:r>
        <w:tab/>
        <w:t>Delete regulation 30F(3) and insert:</w:t>
      </w:r>
    </w:p>
    <w:p>
      <w:pPr>
        <w:pStyle w:val="BlankOpen"/>
      </w:pPr>
    </w:p>
    <w:p>
      <w:pPr>
        <w:pStyle w:val="zSubsection"/>
      </w:pPr>
      <w:r>
        <w:tab/>
        <w:t>(3)</w:t>
      </w:r>
      <w:r>
        <w:tab/>
        <w:t>For the purposes of subregulation (2)(c), the reasons must constitute a reasonable excuse for the candidate not being able to provide the information.</w:t>
      </w:r>
    </w:p>
    <w:p>
      <w:pPr>
        <w:pStyle w:val="BlankClose"/>
      </w:pPr>
    </w:p>
    <w:p>
      <w:pPr>
        <w:pStyle w:val="Heading5"/>
      </w:pPr>
      <w:bookmarkStart w:id="31" w:name="_Toc203646091"/>
      <w:bookmarkStart w:id="32" w:name="_Toc204074287"/>
      <w:r>
        <w:rPr>
          <w:rStyle w:val="CharSectno"/>
        </w:rPr>
        <w:t>13</w:t>
      </w:r>
      <w:r>
        <w:t>.</w:t>
      </w:r>
      <w:r>
        <w:tab/>
        <w:t>Regulation 30G amended</w:t>
      </w:r>
      <w:bookmarkEnd w:id="31"/>
      <w:bookmarkEnd w:id="32"/>
    </w:p>
    <w:p>
      <w:pPr>
        <w:pStyle w:val="Subsection"/>
      </w:pPr>
      <w:r>
        <w:tab/>
        <w:t>(1)</w:t>
      </w:r>
      <w:r>
        <w:tab/>
        <w:t>In regulation 30G(2) delete “and donors”.</w:t>
      </w:r>
    </w:p>
    <w:p>
      <w:pPr>
        <w:pStyle w:val="Subsection"/>
      </w:pPr>
      <w:r>
        <w:tab/>
        <w:t>(2)</w:t>
      </w:r>
      <w:r>
        <w:tab/>
        <w:t>After regulation 30G(6) insert:</w:t>
      </w:r>
    </w:p>
    <w:p>
      <w:pPr>
        <w:pStyle w:val="BlankOpen"/>
      </w:pPr>
    </w:p>
    <w:p>
      <w:pPr>
        <w:pStyle w:val="zSubsection"/>
      </w:pPr>
      <w:r>
        <w:tab/>
        <w:t>(7)</w:t>
      </w:r>
      <w:r>
        <w:tab/>
        <w:t>In this regulation, references to a ‘disclosure of gifts’ form include a statutory declaration lodged under regulation 30D(3)(c).</w:t>
      </w:r>
    </w:p>
    <w:p>
      <w:pPr>
        <w:pStyle w:val="BlankClose"/>
      </w:pPr>
    </w:p>
    <w:p>
      <w:pPr>
        <w:pStyle w:val="Heading5"/>
      </w:pPr>
      <w:bookmarkStart w:id="33" w:name="_Toc203646092"/>
      <w:bookmarkStart w:id="34" w:name="_Toc204074288"/>
      <w:r>
        <w:rPr>
          <w:rStyle w:val="CharSectno"/>
        </w:rPr>
        <w:t>14</w:t>
      </w:r>
      <w:r>
        <w:t>.</w:t>
      </w:r>
      <w:r>
        <w:tab/>
        <w:t>Regulation 30I amended</w:t>
      </w:r>
      <w:bookmarkEnd w:id="33"/>
      <w:bookmarkEnd w:id="34"/>
    </w:p>
    <w:p>
      <w:pPr>
        <w:pStyle w:val="Subsection"/>
      </w:pPr>
      <w:r>
        <w:tab/>
      </w:r>
      <w:r>
        <w:tab/>
        <w:t>In regulation 30I(1) delete the Penalty and insert:</w:t>
      </w:r>
    </w:p>
    <w:p>
      <w:pPr>
        <w:pStyle w:val="BlankOpen"/>
      </w:pPr>
    </w:p>
    <w:p>
      <w:pPr>
        <w:pStyle w:val="zPenstart"/>
      </w:pPr>
      <w:r>
        <w:tab/>
        <w:t>Penalty for this subregulation: a fine of $5 000.</w:t>
      </w:r>
    </w:p>
    <w:p>
      <w:pPr>
        <w:pStyle w:val="BlankClose"/>
      </w:pPr>
    </w:p>
    <w:p>
      <w:pPr>
        <w:pStyle w:val="Heading5"/>
      </w:pPr>
      <w:bookmarkStart w:id="35" w:name="_Toc203646093"/>
      <w:bookmarkStart w:id="36" w:name="_Toc204074289"/>
      <w:r>
        <w:rPr>
          <w:rStyle w:val="CharSectno"/>
        </w:rPr>
        <w:lastRenderedPageBreak/>
        <w:t>15</w:t>
      </w:r>
      <w:r>
        <w:t>.</w:t>
      </w:r>
      <w:r>
        <w:tab/>
        <w:t>Regulation 31 amended</w:t>
      </w:r>
      <w:bookmarkEnd w:id="35"/>
      <w:bookmarkEnd w:id="36"/>
    </w:p>
    <w:p>
      <w:pPr>
        <w:pStyle w:val="Subsection"/>
        <w:keepNext/>
      </w:pPr>
      <w:r>
        <w:tab/>
      </w:r>
      <w:r>
        <w:tab/>
        <w:t>Delete regulation 31(1)(d) and insert:</w:t>
      </w:r>
    </w:p>
    <w:p>
      <w:pPr>
        <w:pStyle w:val="BlankOpen"/>
      </w:pPr>
    </w:p>
    <w:p>
      <w:pPr>
        <w:pStyle w:val="zIndenta"/>
      </w:pPr>
      <w:r>
        <w:tab/>
        <w:t>(d)</w:t>
      </w:r>
      <w:r>
        <w:tab/>
        <w:t>whether the election will be conducted as a postal election or as a voting in person election;</w:t>
      </w:r>
    </w:p>
    <w:p>
      <w:pPr>
        <w:pStyle w:val="BlankClose"/>
      </w:pPr>
    </w:p>
    <w:p>
      <w:pPr>
        <w:pStyle w:val="Heading5"/>
      </w:pPr>
      <w:bookmarkStart w:id="37" w:name="_Toc203646094"/>
      <w:bookmarkStart w:id="38" w:name="_Toc204074290"/>
      <w:r>
        <w:rPr>
          <w:rStyle w:val="CharSectno"/>
        </w:rPr>
        <w:t>16</w:t>
      </w:r>
      <w:r>
        <w:t>.</w:t>
      </w:r>
      <w:r>
        <w:tab/>
        <w:t>Regulation 50 amended</w:t>
      </w:r>
      <w:bookmarkEnd w:id="37"/>
      <w:bookmarkEnd w:id="38"/>
    </w:p>
    <w:p>
      <w:pPr>
        <w:pStyle w:val="Subsection"/>
      </w:pPr>
      <w:r>
        <w:tab/>
      </w:r>
      <w:r>
        <w:tab/>
        <w:t>In regulation 50 delete the Penalty and insert:</w:t>
      </w:r>
    </w:p>
    <w:p>
      <w:pPr>
        <w:pStyle w:val="BlankOpen"/>
      </w:pPr>
    </w:p>
    <w:p>
      <w:pPr>
        <w:pStyle w:val="zPenstart"/>
      </w:pPr>
      <w:r>
        <w:tab/>
        <w:t>Penalty: a fine of $10 000.</w:t>
      </w:r>
    </w:p>
    <w:p>
      <w:pPr>
        <w:pStyle w:val="BlankClose"/>
      </w:pPr>
    </w:p>
    <w:p>
      <w:pPr>
        <w:pStyle w:val="Heading5"/>
      </w:pPr>
      <w:bookmarkStart w:id="39" w:name="_Toc203646095"/>
      <w:bookmarkStart w:id="40" w:name="_Toc204074291"/>
      <w:r>
        <w:rPr>
          <w:rStyle w:val="CharSectno"/>
        </w:rPr>
        <w:t>17</w:t>
      </w:r>
      <w:r>
        <w:t>.</w:t>
      </w:r>
      <w:r>
        <w:tab/>
        <w:t>Regulation 52 amended</w:t>
      </w:r>
      <w:bookmarkEnd w:id="39"/>
      <w:bookmarkEnd w:id="40"/>
    </w:p>
    <w:p>
      <w:pPr>
        <w:pStyle w:val="Subsection"/>
        <w:keepNext/>
      </w:pPr>
      <w:r>
        <w:tab/>
      </w:r>
      <w:r>
        <w:tab/>
        <w:t>After regulation 52(3) insert:</w:t>
      </w:r>
    </w:p>
    <w:p>
      <w:pPr>
        <w:pStyle w:val="BlankOpen"/>
      </w:pPr>
    </w:p>
    <w:p>
      <w:pPr>
        <w:pStyle w:val="zSubsection"/>
      </w:pPr>
      <w:r>
        <w:tab/>
        <w:t>(4)</w:t>
      </w:r>
      <w:r>
        <w:tab/>
        <w:t xml:space="preserve">For the purposes of subregulation (1)(b), if the RO believes that the elector’s certificate might be enclosed in the ballot paper envelope, the RO may — </w:t>
      </w:r>
    </w:p>
    <w:p>
      <w:pPr>
        <w:pStyle w:val="zIndenta"/>
      </w:pPr>
      <w:r>
        <w:tab/>
        <w:t>(a)</w:t>
      </w:r>
      <w:r>
        <w:tab/>
        <w:t>open the ballot paper envelope and look for the elector’s certificate, without examining the ballot paper; and</w:t>
      </w:r>
    </w:p>
    <w:p>
      <w:pPr>
        <w:pStyle w:val="zIndenta"/>
      </w:pPr>
      <w:r>
        <w:tab/>
        <w:t>(b)</w:t>
      </w:r>
      <w:r>
        <w:tab/>
        <w:t>if the elector’s certificate is in the ballot paper envelope — extract the elector’s certificate.</w:t>
      </w:r>
    </w:p>
    <w:p>
      <w:pPr>
        <w:pStyle w:val="zSubsection"/>
        <w:keepNext/>
      </w:pPr>
      <w:r>
        <w:tab/>
        <w:t>(5)</w:t>
      </w:r>
      <w:r>
        <w:tab/>
        <w:t xml:space="preserve">If the RO opens a ballot paper envelope under subregulation (4) — </w:t>
      </w:r>
    </w:p>
    <w:p>
      <w:pPr>
        <w:pStyle w:val="zIndenta"/>
      </w:pPr>
      <w:r>
        <w:tab/>
        <w:t>(a)</w:t>
      </w:r>
      <w:r>
        <w:tab/>
        <w:t>the RO must close and reseal the ballot paper envelope (with the ballot paper inside); and</w:t>
      </w:r>
    </w:p>
    <w:p>
      <w:pPr>
        <w:pStyle w:val="zIndenta"/>
      </w:pPr>
      <w:r>
        <w:tab/>
        <w:t>(b)</w:t>
      </w:r>
      <w:r>
        <w:tab/>
        <w:t>the ballot paper envelope must then be dealt with as if it had not been opened under subregulation (4).</w:t>
      </w:r>
    </w:p>
    <w:p>
      <w:pPr>
        <w:pStyle w:val="BlankClose"/>
      </w:pPr>
    </w:p>
    <w:p>
      <w:pPr>
        <w:pStyle w:val="Heading5"/>
      </w:pPr>
      <w:bookmarkStart w:id="41" w:name="_Toc203646096"/>
      <w:bookmarkStart w:id="42" w:name="_Toc204074292"/>
      <w:r>
        <w:rPr>
          <w:rStyle w:val="CharSectno"/>
        </w:rPr>
        <w:lastRenderedPageBreak/>
        <w:t>18</w:t>
      </w:r>
      <w:r>
        <w:t>.</w:t>
      </w:r>
      <w:r>
        <w:tab/>
        <w:t>Part 12D inserted</w:t>
      </w:r>
      <w:bookmarkEnd w:id="41"/>
      <w:bookmarkEnd w:id="42"/>
    </w:p>
    <w:p>
      <w:pPr>
        <w:pStyle w:val="Subsection"/>
      </w:pPr>
      <w:r>
        <w:tab/>
      </w:r>
      <w:r>
        <w:tab/>
        <w:t>After regulation 75T insert:</w:t>
      </w:r>
    </w:p>
    <w:p>
      <w:pPr>
        <w:pStyle w:val="BlankOpen"/>
      </w:pPr>
    </w:p>
    <w:p>
      <w:pPr>
        <w:pStyle w:val="zHeading2"/>
      </w:pPr>
      <w:bookmarkStart w:id="43" w:name="_Toc203646097"/>
      <w:bookmarkStart w:id="44" w:name="_Toc203646161"/>
      <w:bookmarkStart w:id="45" w:name="_Toc203646197"/>
      <w:bookmarkStart w:id="46" w:name="_Toc204074293"/>
      <w:r>
        <w:t>Part 12D — Mandatory re</w:t>
      </w:r>
      <w:r>
        <w:noBreakHyphen/>
        <w:t>counts</w:t>
      </w:r>
      <w:bookmarkEnd w:id="43"/>
      <w:bookmarkEnd w:id="44"/>
      <w:bookmarkEnd w:id="45"/>
      <w:bookmarkEnd w:id="46"/>
    </w:p>
    <w:p>
      <w:pPr>
        <w:pStyle w:val="zHeading3"/>
      </w:pPr>
      <w:bookmarkStart w:id="47" w:name="_Toc203646098"/>
      <w:bookmarkStart w:id="48" w:name="_Toc203646162"/>
      <w:bookmarkStart w:id="49" w:name="_Toc203646198"/>
      <w:bookmarkStart w:id="50" w:name="_Toc204074294"/>
      <w:r>
        <w:t>Division 1 — Preliminary</w:t>
      </w:r>
      <w:bookmarkEnd w:id="47"/>
      <w:bookmarkEnd w:id="48"/>
      <w:bookmarkEnd w:id="49"/>
      <w:bookmarkEnd w:id="50"/>
    </w:p>
    <w:p>
      <w:pPr>
        <w:pStyle w:val="zHeading5"/>
      </w:pPr>
      <w:bookmarkStart w:id="51" w:name="_Toc203646099"/>
      <w:bookmarkStart w:id="52" w:name="_Toc204074295"/>
      <w:r>
        <w:t>75U.</w:t>
      </w:r>
      <w:r>
        <w:tab/>
        <w:t>Terms used</w:t>
      </w:r>
      <w:bookmarkEnd w:id="51"/>
      <w:bookmarkEnd w:id="52"/>
    </w:p>
    <w:p>
      <w:pPr>
        <w:pStyle w:val="zSubsection"/>
      </w:pPr>
      <w:r>
        <w:tab/>
        <w:t>(1)</w:t>
      </w:r>
      <w:r>
        <w:tab/>
        <w:t xml:space="preserve">In this Part — </w:t>
      </w:r>
    </w:p>
    <w:p>
      <w:pPr>
        <w:pStyle w:val="zDefstart"/>
      </w:pPr>
      <w:r>
        <w:tab/>
      </w:r>
      <w:r>
        <w:rPr>
          <w:rStyle w:val="CharDefText"/>
        </w:rPr>
        <w:t>full re</w:t>
      </w:r>
      <w:r>
        <w:rPr>
          <w:rStyle w:val="CharDefText"/>
        </w:rPr>
        <w:noBreakHyphen/>
        <w:t>count</w:t>
      </w:r>
      <w:r>
        <w:t> — see regulation 75V(1);</w:t>
      </w:r>
    </w:p>
    <w:p>
      <w:pPr>
        <w:pStyle w:val="zDefstart"/>
      </w:pPr>
      <w:r>
        <w:tab/>
      </w:r>
      <w:r>
        <w:rPr>
          <w:rStyle w:val="CharDefText"/>
        </w:rPr>
        <w:t>one office election</w:t>
      </w:r>
      <w:r>
        <w:t xml:space="preserve"> means an election to fill the office of mayor or president or to fill 1 office of councillor;</w:t>
      </w:r>
    </w:p>
    <w:p>
      <w:pPr>
        <w:pStyle w:val="zDefstart"/>
      </w:pPr>
      <w:r>
        <w:tab/>
      </w:r>
      <w:r>
        <w:rPr>
          <w:rStyle w:val="CharDefText"/>
        </w:rPr>
        <w:t>original count</w:t>
      </w:r>
      <w:r>
        <w:t> — see regulation 75V(2).</w:t>
      </w:r>
    </w:p>
    <w:p>
      <w:pPr>
        <w:pStyle w:val="zSubsection"/>
      </w:pPr>
      <w:r>
        <w:tab/>
        <w:t>(2)</w:t>
      </w:r>
      <w:r>
        <w:tab/>
        <w:t>In this Part, references to Schedule 4.1 are to Schedule 4.1 of the Act.</w:t>
      </w:r>
    </w:p>
    <w:p>
      <w:pPr>
        <w:pStyle w:val="zHeading5"/>
      </w:pPr>
      <w:bookmarkStart w:id="53" w:name="_Toc203646100"/>
      <w:bookmarkStart w:id="54" w:name="_Toc204074296"/>
      <w:r>
        <w:t>75V.</w:t>
      </w:r>
      <w:r>
        <w:tab/>
        <w:t>Application of Part</w:t>
      </w:r>
      <w:bookmarkEnd w:id="53"/>
      <w:bookmarkEnd w:id="54"/>
    </w:p>
    <w:p>
      <w:pPr>
        <w:pStyle w:val="zSubsection"/>
      </w:pPr>
      <w:r>
        <w:tab/>
        <w:t>(1)</w:t>
      </w:r>
      <w:r>
        <w:tab/>
        <w:t>This Part prescribes, for the purposes of section 4.72A(3), the circumstances in which the RO must arrange for a full re</w:t>
      </w:r>
      <w:r>
        <w:noBreakHyphen/>
        <w:t xml:space="preserve">count of the votes cast in the election (a </w:t>
      </w:r>
      <w:r>
        <w:rPr>
          <w:rStyle w:val="CharDefText"/>
        </w:rPr>
        <w:t>full re</w:t>
      </w:r>
      <w:r>
        <w:rPr>
          <w:rStyle w:val="CharDefText"/>
        </w:rPr>
        <w:noBreakHyphen/>
        <w:t>count</w:t>
      </w:r>
      <w:r>
        <w:t>).</w:t>
      </w:r>
    </w:p>
    <w:p>
      <w:pPr>
        <w:pStyle w:val="zSubsection"/>
        <w:keepNext/>
      </w:pPr>
      <w:r>
        <w:tab/>
        <w:t>(2)</w:t>
      </w:r>
      <w:r>
        <w:tab/>
        <w:t>This Part applies, before any re</w:t>
      </w:r>
      <w:r>
        <w:noBreakHyphen/>
        <w:t xml:space="preserve">count under section 4.72A(1), once the count (the </w:t>
      </w:r>
      <w:r>
        <w:rPr>
          <w:rStyle w:val="CharDefText"/>
        </w:rPr>
        <w:t>original count</w:t>
      </w:r>
      <w:r>
        <w:t>) of the votes cast in the election has been completed (except for, if applicable, any drawing of lots required under Schedule 4.1 clause 2(2), 5(6)(b) or 13(3)).</w:t>
      </w:r>
    </w:p>
    <w:p>
      <w:pPr>
        <w:pStyle w:val="zSubsection"/>
      </w:pPr>
      <w:r>
        <w:tab/>
        <w:t>(3)</w:t>
      </w:r>
      <w:r>
        <w:tab/>
        <w:t xml:space="preserve">However, this Part does not apply if — </w:t>
      </w:r>
    </w:p>
    <w:p>
      <w:pPr>
        <w:pStyle w:val="zIndenta"/>
      </w:pPr>
      <w:r>
        <w:tab/>
        <w:t>(a)</w:t>
      </w:r>
      <w:r>
        <w:tab/>
        <w:t>the RO uses an electronic counting system for the election; and</w:t>
      </w:r>
    </w:p>
    <w:p>
      <w:pPr>
        <w:pStyle w:val="zIndenta"/>
      </w:pPr>
      <w:r>
        <w:tab/>
        <w:t>(b)</w:t>
      </w:r>
      <w:r>
        <w:tab/>
        <w:t xml:space="preserve">the electronic counting system is an electronic system, or an electronic system of a type, that </w:t>
      </w:r>
      <w:r>
        <w:lastRenderedPageBreak/>
        <w:t>the Electoral Commissioner has approved for use in the election or in elections for local governments; and</w:t>
      </w:r>
    </w:p>
    <w:p>
      <w:pPr>
        <w:pStyle w:val="zIndenta"/>
      </w:pPr>
      <w:r>
        <w:tab/>
        <w:t>(c)</w:t>
      </w:r>
      <w:r>
        <w:tab/>
        <w:t xml:space="preserve">the RO is satisfied — </w:t>
      </w:r>
    </w:p>
    <w:p>
      <w:pPr>
        <w:pStyle w:val="zIndenti"/>
      </w:pPr>
      <w:r>
        <w:tab/>
        <w:t>(i)</w:t>
      </w:r>
      <w:r>
        <w:tab/>
        <w:t>that all ballot papers (other than rejected ballot papers) have been entered in the electronic counting system; and</w:t>
      </w:r>
    </w:p>
    <w:p>
      <w:pPr>
        <w:pStyle w:val="zIndenti"/>
      </w:pPr>
      <w:r>
        <w:tab/>
        <w:t>(ii)</w:t>
      </w:r>
      <w:r>
        <w:tab/>
        <w:t>each entry of a ballot paper was made by an electoral officer and then verified, by way of re</w:t>
      </w:r>
      <w:r>
        <w:noBreakHyphen/>
        <w:t>entry, by another electoral officer.</w:t>
      </w:r>
    </w:p>
    <w:p>
      <w:pPr>
        <w:pStyle w:val="zSubsection"/>
      </w:pPr>
      <w:r>
        <w:tab/>
        <w:t>(4)</w:t>
      </w:r>
      <w:r>
        <w:tab/>
        <w:t>This Part does not require the RO to arrange for a full re</w:t>
      </w:r>
      <w:r>
        <w:noBreakHyphen/>
        <w:t>count more than once.</w:t>
      </w:r>
    </w:p>
    <w:p>
      <w:pPr>
        <w:pStyle w:val="zSubsection"/>
      </w:pPr>
      <w:r>
        <w:tab/>
        <w:t>(5)</w:t>
      </w:r>
      <w:r>
        <w:tab/>
        <w:t>This Part does not prevent the RO arranging for a re</w:t>
      </w:r>
      <w:r>
        <w:noBreakHyphen/>
        <w:t>count under section 4.72A(1) after the completion of a full re</w:t>
      </w:r>
      <w:r>
        <w:noBreakHyphen/>
        <w:t>count required under this Part or if a full re</w:t>
      </w:r>
      <w:r>
        <w:noBreakHyphen/>
        <w:t>count is not required under this Part.</w:t>
      </w:r>
    </w:p>
    <w:p>
      <w:pPr>
        <w:pStyle w:val="zHeading3"/>
      </w:pPr>
      <w:bookmarkStart w:id="55" w:name="_Toc203646101"/>
      <w:bookmarkStart w:id="56" w:name="_Toc203646165"/>
      <w:bookmarkStart w:id="57" w:name="_Toc203646201"/>
      <w:bookmarkStart w:id="58" w:name="_Toc204074297"/>
      <w:r>
        <w:t>Division 2 — Circumstances in which RO must arrange full re</w:t>
      </w:r>
      <w:r>
        <w:noBreakHyphen/>
        <w:t>count</w:t>
      </w:r>
      <w:bookmarkEnd w:id="55"/>
      <w:bookmarkEnd w:id="56"/>
      <w:bookmarkEnd w:id="57"/>
      <w:bookmarkEnd w:id="58"/>
    </w:p>
    <w:p>
      <w:pPr>
        <w:pStyle w:val="zHeading5"/>
      </w:pPr>
      <w:bookmarkStart w:id="59" w:name="_Toc203646102"/>
      <w:bookmarkStart w:id="60" w:name="_Toc204074298"/>
      <w:r>
        <w:t>75W.</w:t>
      </w:r>
      <w:r>
        <w:tab/>
        <w:t>One office election: 2 candidates</w:t>
      </w:r>
      <w:bookmarkEnd w:id="59"/>
      <w:bookmarkEnd w:id="60"/>
    </w:p>
    <w:p>
      <w:pPr>
        <w:pStyle w:val="zSubsection"/>
      </w:pPr>
      <w:r>
        <w:tab/>
        <w:t>(1)</w:t>
      </w:r>
      <w:r>
        <w:tab/>
        <w:t>If the election is a one office election with 2 candidates, the RO must arrange for a full re</w:t>
      </w:r>
      <w:r>
        <w:noBreakHyphen/>
        <w:t xml:space="preserve">count if, on the completion of the original count — </w:t>
      </w:r>
    </w:p>
    <w:p>
      <w:pPr>
        <w:pStyle w:val="zIndenta"/>
      </w:pPr>
      <w:r>
        <w:tab/>
        <w:t>(a)</w:t>
      </w:r>
      <w:r>
        <w:tab/>
        <w:t>the 2 candidates have the same number of first</w:t>
      </w:r>
      <w:r>
        <w:noBreakHyphen/>
        <w:t>preference votes; or</w:t>
      </w:r>
    </w:p>
    <w:p>
      <w:pPr>
        <w:pStyle w:val="zIndenta"/>
      </w:pPr>
      <w:r>
        <w:tab/>
        <w:t>(b)</w:t>
      </w:r>
      <w:r>
        <w:tab/>
        <w:t>the difference between the number of first</w:t>
      </w:r>
      <w:r>
        <w:noBreakHyphen/>
        <w:t>preference votes for the first</w:t>
      </w:r>
      <w:r>
        <w:noBreakHyphen/>
        <w:t>placed candidate, and the number of first</w:t>
      </w:r>
      <w:r>
        <w:noBreakHyphen/>
        <w:t>preference votes for the other candidate, is less than the re</w:t>
      </w:r>
      <w:r>
        <w:noBreakHyphen/>
        <w:t>count threshold.</w:t>
      </w:r>
    </w:p>
    <w:p>
      <w:pPr>
        <w:pStyle w:val="zSubsection"/>
        <w:keepNext/>
      </w:pPr>
      <w:r>
        <w:lastRenderedPageBreak/>
        <w:tab/>
        <w:t>(2)</w:t>
      </w:r>
      <w:r>
        <w:tab/>
        <w:t xml:space="preserve">For the purposes of subregulation (1)(b), the </w:t>
      </w:r>
      <w:r>
        <w:rPr>
          <w:rStyle w:val="CharDefText"/>
        </w:rPr>
        <w:t>re</w:t>
      </w:r>
      <w:r>
        <w:rPr>
          <w:rStyle w:val="CharDefText"/>
        </w:rPr>
        <w:noBreakHyphen/>
        <w:t>count threshold</w:t>
      </w:r>
      <w:r>
        <w:t xml:space="preserve"> is — </w:t>
      </w:r>
    </w:p>
    <w:p>
      <w:pPr>
        <w:pStyle w:val="zIndenta"/>
      </w:pPr>
      <w:r>
        <w:tab/>
        <w:t>(a)</w:t>
      </w:r>
      <w:r>
        <w:tab/>
        <w:t>11; or</w:t>
      </w:r>
    </w:p>
    <w:p>
      <w:pPr>
        <w:pStyle w:val="zIndenta"/>
      </w:pPr>
      <w:r>
        <w:tab/>
        <w:t>(b)</w:t>
      </w:r>
      <w:r>
        <w:tab/>
        <w:t>if greater than 11, 1% of the total number of first</w:t>
      </w:r>
      <w:r>
        <w:noBreakHyphen/>
        <w:t>preference votes.</w:t>
      </w:r>
    </w:p>
    <w:p>
      <w:pPr>
        <w:pStyle w:val="zHeading5"/>
      </w:pPr>
      <w:bookmarkStart w:id="61" w:name="_Toc203646103"/>
      <w:bookmarkStart w:id="62" w:name="_Toc204074299"/>
      <w:r>
        <w:t>75X.</w:t>
      </w:r>
      <w:r>
        <w:tab/>
        <w:t>One office election: 3 or more candidates</w:t>
      </w:r>
      <w:bookmarkEnd w:id="61"/>
      <w:bookmarkEnd w:id="62"/>
    </w:p>
    <w:p>
      <w:pPr>
        <w:pStyle w:val="zSubsection"/>
      </w:pPr>
      <w:r>
        <w:tab/>
        <w:t>(1)</w:t>
      </w:r>
      <w:r>
        <w:tab/>
        <w:t>If the election is a one office election with 3 or more candidates, the RO must arrange for a full re</w:t>
      </w:r>
      <w:r>
        <w:noBreakHyphen/>
        <w:t>count if subregulation (2), (4) or (6) applies.</w:t>
      </w:r>
    </w:p>
    <w:p>
      <w:pPr>
        <w:pStyle w:val="zSubsection"/>
      </w:pPr>
      <w:r>
        <w:tab/>
        <w:t>(2)</w:t>
      </w:r>
      <w:r>
        <w:tab/>
        <w:t xml:space="preserve">This subregulation applies if — </w:t>
      </w:r>
    </w:p>
    <w:p>
      <w:pPr>
        <w:pStyle w:val="zIndenta"/>
      </w:pPr>
      <w:r>
        <w:tab/>
        <w:t>(a)</w:t>
      </w:r>
      <w:r>
        <w:tab/>
        <w:t>Schedule 4.1 clause 4(2) applies on the completion of the original count; and</w:t>
      </w:r>
    </w:p>
    <w:p>
      <w:pPr>
        <w:pStyle w:val="zIndenta"/>
      </w:pPr>
      <w:r>
        <w:tab/>
        <w:t>(b)</w:t>
      </w:r>
      <w:r>
        <w:tab/>
        <w:t>the difference between the number of first</w:t>
      </w:r>
      <w:r>
        <w:noBreakHyphen/>
        <w:t>preference votes for the first</w:t>
      </w:r>
      <w:r>
        <w:noBreakHyphen/>
        <w:t>placed candidate, and the number of first</w:t>
      </w:r>
      <w:r>
        <w:noBreakHyphen/>
        <w:t>preference votes for another candidate, is less than the re</w:t>
      </w:r>
      <w:r>
        <w:noBreakHyphen/>
        <w:t>count threshold.</w:t>
      </w:r>
    </w:p>
    <w:p>
      <w:pPr>
        <w:pStyle w:val="zSubsection"/>
      </w:pPr>
      <w:r>
        <w:tab/>
        <w:t>(3)</w:t>
      </w:r>
      <w:r>
        <w:tab/>
        <w:t xml:space="preserve">For the purposes of subregulation (2)(b), the </w:t>
      </w:r>
      <w:r>
        <w:rPr>
          <w:rStyle w:val="CharDefText"/>
        </w:rPr>
        <w:t>re</w:t>
      </w:r>
      <w:r>
        <w:rPr>
          <w:rStyle w:val="CharDefText"/>
        </w:rPr>
        <w:noBreakHyphen/>
        <w:t>count threshold</w:t>
      </w:r>
      <w:r>
        <w:t xml:space="preserve"> is — </w:t>
      </w:r>
    </w:p>
    <w:p>
      <w:pPr>
        <w:pStyle w:val="zIndenta"/>
      </w:pPr>
      <w:r>
        <w:tab/>
        <w:t>(a)</w:t>
      </w:r>
      <w:r>
        <w:tab/>
        <w:t>11; or</w:t>
      </w:r>
    </w:p>
    <w:p>
      <w:pPr>
        <w:pStyle w:val="zIndenta"/>
      </w:pPr>
      <w:r>
        <w:tab/>
        <w:t>(b)</w:t>
      </w:r>
      <w:r>
        <w:tab/>
        <w:t>if greater than 11, 1% of the total number of first</w:t>
      </w:r>
      <w:r>
        <w:noBreakHyphen/>
        <w:t>preference votes.</w:t>
      </w:r>
    </w:p>
    <w:p>
      <w:pPr>
        <w:pStyle w:val="zSubsection"/>
      </w:pPr>
      <w:r>
        <w:tab/>
        <w:t>(4)</w:t>
      </w:r>
      <w:r>
        <w:tab/>
        <w:t xml:space="preserve">This subregulation applies if — </w:t>
      </w:r>
    </w:p>
    <w:p>
      <w:pPr>
        <w:pStyle w:val="zIndenta"/>
      </w:pPr>
      <w:r>
        <w:tab/>
        <w:t>(a)</w:t>
      </w:r>
      <w:r>
        <w:tab/>
        <w:t>Schedule 4.1 clause 5(3) applies on the completion of the original count; and</w:t>
      </w:r>
    </w:p>
    <w:p>
      <w:pPr>
        <w:pStyle w:val="zIndenta"/>
      </w:pPr>
      <w:r>
        <w:tab/>
        <w:t>(b)</w:t>
      </w:r>
      <w:r>
        <w:tab/>
        <w:t>the difference between the number of votes for the first</w:t>
      </w:r>
      <w:r>
        <w:noBreakHyphen/>
        <w:t>placed continuing candidate on the last count under Schedule 4.1 clause 5(2)(d), and the number of votes for another continuing candidate on that count, is less than the re</w:t>
      </w:r>
      <w:r>
        <w:noBreakHyphen/>
        <w:t>count threshold.</w:t>
      </w:r>
    </w:p>
    <w:p>
      <w:pPr>
        <w:pStyle w:val="zSubsection"/>
      </w:pPr>
      <w:r>
        <w:lastRenderedPageBreak/>
        <w:tab/>
        <w:t>(5)</w:t>
      </w:r>
      <w:r>
        <w:tab/>
        <w:t xml:space="preserve">For the purposes of subregulation (4)(b), the </w:t>
      </w:r>
      <w:r>
        <w:rPr>
          <w:rStyle w:val="CharDefText"/>
        </w:rPr>
        <w:t>re</w:t>
      </w:r>
      <w:r>
        <w:rPr>
          <w:rStyle w:val="CharDefText"/>
        </w:rPr>
        <w:noBreakHyphen/>
        <w:t>count threshold</w:t>
      </w:r>
      <w:r>
        <w:t xml:space="preserve"> is — </w:t>
      </w:r>
    </w:p>
    <w:p>
      <w:pPr>
        <w:pStyle w:val="zIndenta"/>
      </w:pPr>
      <w:r>
        <w:tab/>
        <w:t>(a)</w:t>
      </w:r>
      <w:r>
        <w:tab/>
        <w:t>11; or</w:t>
      </w:r>
    </w:p>
    <w:p>
      <w:pPr>
        <w:pStyle w:val="zIndenta"/>
      </w:pPr>
      <w:r>
        <w:tab/>
        <w:t>(b)</w:t>
      </w:r>
      <w:r>
        <w:tab/>
        <w:t>if greater than 11, 1% of the total number of all votes for continuing candidates on the last count under Schedule 4.1 clause 5(2)(d).</w:t>
      </w:r>
    </w:p>
    <w:p>
      <w:pPr>
        <w:pStyle w:val="zSubsection"/>
      </w:pPr>
      <w:r>
        <w:tab/>
        <w:t>(6)</w:t>
      </w:r>
      <w:r>
        <w:tab/>
        <w:t>This subregulation applies if Schedule 4.1 clause 5(6)(b) applies on the completion of the original count.</w:t>
      </w:r>
    </w:p>
    <w:p>
      <w:pPr>
        <w:pStyle w:val="zHeading5"/>
      </w:pPr>
      <w:bookmarkStart w:id="63" w:name="_Toc203646104"/>
      <w:bookmarkStart w:id="64" w:name="_Toc204074300"/>
      <w:r>
        <w:t>75Y.</w:t>
      </w:r>
      <w:r>
        <w:tab/>
        <w:t>Election for 2 or more councillors</w:t>
      </w:r>
      <w:bookmarkEnd w:id="63"/>
      <w:bookmarkEnd w:id="64"/>
    </w:p>
    <w:p>
      <w:pPr>
        <w:pStyle w:val="zSubsection"/>
      </w:pPr>
      <w:r>
        <w:tab/>
        <w:t>(1)</w:t>
      </w:r>
      <w:r>
        <w:tab/>
        <w:t xml:space="preserve">In this regulation — </w:t>
      </w:r>
    </w:p>
    <w:p>
      <w:pPr>
        <w:pStyle w:val="zDefstart"/>
      </w:pPr>
      <w:r>
        <w:tab/>
      </w:r>
      <w:r>
        <w:rPr>
          <w:rStyle w:val="CharDefText"/>
        </w:rPr>
        <w:t>re</w:t>
      </w:r>
      <w:r>
        <w:rPr>
          <w:rStyle w:val="CharDefText"/>
        </w:rPr>
        <w:noBreakHyphen/>
        <w:t>count threshold</w:t>
      </w:r>
      <w:r>
        <w:t xml:space="preserve"> means — </w:t>
      </w:r>
    </w:p>
    <w:p>
      <w:pPr>
        <w:pStyle w:val="zDefpara"/>
      </w:pPr>
      <w:r>
        <w:tab/>
        <w:t>(a)</w:t>
      </w:r>
      <w:r>
        <w:tab/>
        <w:t>11; or</w:t>
      </w:r>
    </w:p>
    <w:p>
      <w:pPr>
        <w:pStyle w:val="zDefpara"/>
      </w:pPr>
      <w:r>
        <w:tab/>
        <w:t>(b)</w:t>
      </w:r>
      <w:r>
        <w:tab/>
        <w:t>if greater than 11, 1% of the quota for the election (as determined under Schedule 4.1 clause 8).</w:t>
      </w:r>
    </w:p>
    <w:p>
      <w:pPr>
        <w:pStyle w:val="zSubsection"/>
      </w:pPr>
      <w:r>
        <w:tab/>
        <w:t>(2)</w:t>
      </w:r>
      <w:r>
        <w:tab/>
        <w:t>If the result of the election is to be ascertained under Schedule 4.1 Division 3, the RO must arrange for a full re</w:t>
      </w:r>
      <w:r>
        <w:noBreakHyphen/>
        <w:t>count if subregulation (3), (4), (5) or (6) applies.</w:t>
      </w:r>
    </w:p>
    <w:p>
      <w:pPr>
        <w:pStyle w:val="zSubsection"/>
      </w:pPr>
      <w:r>
        <w:tab/>
        <w:t>(3)</w:t>
      </w:r>
      <w:r>
        <w:tab/>
        <w:t xml:space="preserve">This subregulation applies if — </w:t>
      </w:r>
    </w:p>
    <w:p>
      <w:pPr>
        <w:pStyle w:val="zIndenta"/>
      </w:pPr>
      <w:r>
        <w:tab/>
        <w:t>(a)</w:t>
      </w:r>
      <w:r>
        <w:tab/>
        <w:t>on the original count, all the offices to be filled are filled under Schedule 4.1 clause 8(5); and</w:t>
      </w:r>
    </w:p>
    <w:p>
      <w:pPr>
        <w:pStyle w:val="zIndenta"/>
      </w:pPr>
      <w:r>
        <w:tab/>
        <w:t>(b)</w:t>
      </w:r>
      <w:r>
        <w:tab/>
        <w:t>the difference between the number of first</w:t>
      </w:r>
      <w:r>
        <w:noBreakHyphen/>
        <w:t>preference votes for a candidate who is elected, and the number of first</w:t>
      </w:r>
      <w:r>
        <w:noBreakHyphen/>
        <w:t>preference votes for a candidate who is not elected, is less than the re</w:t>
      </w:r>
      <w:r>
        <w:noBreakHyphen/>
        <w:t>count threshold.</w:t>
      </w:r>
    </w:p>
    <w:p>
      <w:pPr>
        <w:pStyle w:val="zSubsection"/>
      </w:pPr>
      <w:r>
        <w:tab/>
        <w:t>(4)</w:t>
      </w:r>
      <w:r>
        <w:tab/>
        <w:t xml:space="preserve">This subregulation applies if — </w:t>
      </w:r>
    </w:p>
    <w:p>
      <w:pPr>
        <w:pStyle w:val="zIndenta"/>
      </w:pPr>
      <w:r>
        <w:tab/>
        <w:t>(a)</w:t>
      </w:r>
      <w:r>
        <w:tab/>
        <w:t xml:space="preserve">on the original count, the last office to be filled is filled under Schedule 4.1 clause 9(4), 10(4) </w:t>
      </w:r>
      <w:r>
        <w:lastRenderedPageBreak/>
        <w:t>or 11(6) on the completion of a transfer of votes (see Schedule 4.1 clause 18); and</w:t>
      </w:r>
    </w:p>
    <w:p>
      <w:pPr>
        <w:pStyle w:val="zIndenta"/>
      </w:pPr>
      <w:r>
        <w:tab/>
        <w:t>(b)</w:t>
      </w:r>
      <w:r>
        <w:tab/>
        <w:t>the difference between the number of votes for a continuing candidate who is elected on the completion of that transfer, and the number of votes for a continuing candidate who is not elected on the completion of that transfer, is less than the re</w:t>
      </w:r>
      <w:r>
        <w:noBreakHyphen/>
        <w:t>count threshold.</w:t>
      </w:r>
    </w:p>
    <w:p>
      <w:pPr>
        <w:pStyle w:val="zSubsection"/>
      </w:pPr>
      <w:r>
        <w:tab/>
        <w:t>(5)</w:t>
      </w:r>
      <w:r>
        <w:tab/>
        <w:t xml:space="preserve">This subregulation applies if Schedule 4.1 clause 13 applies on the original count and — </w:t>
      </w:r>
    </w:p>
    <w:p>
      <w:pPr>
        <w:pStyle w:val="zIndenta"/>
      </w:pPr>
      <w:r>
        <w:tab/>
        <w:t>(a)</w:t>
      </w:r>
      <w:r>
        <w:tab/>
        <w:t>the 2 continuing candidates have the same number of votes; or</w:t>
      </w:r>
    </w:p>
    <w:p>
      <w:pPr>
        <w:pStyle w:val="zIndenta"/>
      </w:pPr>
      <w:r>
        <w:tab/>
        <w:t>(b)</w:t>
      </w:r>
      <w:r>
        <w:tab/>
        <w:t>the difference between the number of votes for the continuing candidate who is elected, and the number of votes for the other continuing candidate, is less than the re</w:t>
      </w:r>
      <w:r>
        <w:noBreakHyphen/>
        <w:t>count threshold.</w:t>
      </w:r>
    </w:p>
    <w:p>
      <w:pPr>
        <w:pStyle w:val="zSubsection"/>
        <w:keepNext/>
      </w:pPr>
      <w:r>
        <w:tab/>
        <w:t>(6)</w:t>
      </w:r>
      <w:r>
        <w:tab/>
        <w:t xml:space="preserve">This subregulation applies if Schedule 4.1 clause 14 applies on the original count and — </w:t>
      </w:r>
    </w:p>
    <w:p>
      <w:pPr>
        <w:pStyle w:val="zIndenta"/>
      </w:pPr>
      <w:r>
        <w:tab/>
        <w:t>(a)</w:t>
      </w:r>
      <w:r>
        <w:tab/>
        <w:t>the last candidate to be excluded was excluded under Schedule 4.1 clause 16; or</w:t>
      </w:r>
    </w:p>
    <w:p>
      <w:pPr>
        <w:pStyle w:val="zIndenta"/>
      </w:pPr>
      <w:r>
        <w:tab/>
        <w:t>(b)</w:t>
      </w:r>
      <w:r>
        <w:tab/>
        <w:t>the difference between the number of votes for a continuing candidate who is elected under Schedule 4.1 clause 14, and the number of votes for the last candidate to be excluded, is less than the re</w:t>
      </w:r>
      <w:r>
        <w:noBreakHyphen/>
        <w:t>count threshold.</w:t>
      </w:r>
    </w:p>
    <w:p>
      <w:pPr>
        <w:pStyle w:val="BlankClose"/>
      </w:pPr>
    </w:p>
    <w:p>
      <w:pPr>
        <w:pStyle w:val="Heading5"/>
      </w:pPr>
      <w:bookmarkStart w:id="65" w:name="_Toc203646105"/>
      <w:bookmarkStart w:id="66" w:name="_Toc204074301"/>
      <w:r>
        <w:rPr>
          <w:rStyle w:val="CharSectno"/>
        </w:rPr>
        <w:lastRenderedPageBreak/>
        <w:t>19</w:t>
      </w:r>
      <w:r>
        <w:t>.</w:t>
      </w:r>
      <w:r>
        <w:tab/>
        <w:t>Regulation 89A inserted</w:t>
      </w:r>
      <w:bookmarkEnd w:id="65"/>
      <w:bookmarkEnd w:id="66"/>
    </w:p>
    <w:p>
      <w:pPr>
        <w:pStyle w:val="Subsection"/>
        <w:keepNext/>
      </w:pPr>
      <w:r>
        <w:tab/>
      </w:r>
      <w:r>
        <w:tab/>
        <w:t>After regulation 89 insert:</w:t>
      </w:r>
    </w:p>
    <w:p>
      <w:pPr>
        <w:pStyle w:val="BlankOpen"/>
      </w:pPr>
    </w:p>
    <w:p>
      <w:pPr>
        <w:pStyle w:val="zHeading5"/>
      </w:pPr>
      <w:bookmarkStart w:id="67" w:name="_Toc203646106"/>
      <w:bookmarkStart w:id="68" w:name="_Toc204074302"/>
      <w:r>
        <w:t>89A.</w:t>
      </w:r>
      <w:r>
        <w:tab/>
        <w:t>Local government specified in order under s. 4.1C or 4.1D — s. 4.99(2) and (3)</w:t>
      </w:r>
      <w:bookmarkEnd w:id="67"/>
      <w:bookmarkEnd w:id="68"/>
    </w:p>
    <w:p>
      <w:pPr>
        <w:pStyle w:val="zSubsection"/>
      </w:pPr>
      <w:r>
        <w:tab/>
        <w:t>(1)</w:t>
      </w:r>
      <w:r>
        <w:tab/>
        <w:t>This regulation applies to a local government if the local government is specified in an order under section 4.1C or 4.1D that is in force.</w:t>
      </w:r>
    </w:p>
    <w:p>
      <w:pPr>
        <w:pStyle w:val="zSubsection"/>
      </w:pPr>
      <w:r>
        <w:tab/>
        <w:t>(2)</w:t>
      </w:r>
      <w:r>
        <w:tab/>
        <w:t>In applying section 4.99(1) or regulation 88 in relation to the local government, the provisions of the order are taken to be provisions of Part 4 of the Act.</w:t>
      </w:r>
    </w:p>
    <w:p>
      <w:pPr>
        <w:pStyle w:val="BlankClose"/>
      </w:pPr>
    </w:p>
    <w:p>
      <w:pPr>
        <w:pStyle w:val="Heading5"/>
      </w:pPr>
      <w:bookmarkStart w:id="69" w:name="_Toc203646107"/>
      <w:bookmarkStart w:id="70" w:name="_Toc204074303"/>
      <w:r>
        <w:rPr>
          <w:rStyle w:val="CharSectno"/>
        </w:rPr>
        <w:t>20</w:t>
      </w:r>
      <w:r>
        <w:t>.</w:t>
      </w:r>
      <w:r>
        <w:tab/>
        <w:t>Part 16A Division 3 inserted</w:t>
      </w:r>
      <w:bookmarkEnd w:id="69"/>
      <w:bookmarkEnd w:id="70"/>
    </w:p>
    <w:p>
      <w:pPr>
        <w:pStyle w:val="Subsection"/>
        <w:keepNext/>
      </w:pPr>
      <w:r>
        <w:tab/>
      </w:r>
      <w:r>
        <w:tab/>
        <w:t>At the end of Part 16A insert:</w:t>
      </w:r>
    </w:p>
    <w:p>
      <w:pPr>
        <w:pStyle w:val="BlankOpen"/>
      </w:pPr>
    </w:p>
    <w:p>
      <w:pPr>
        <w:pStyle w:val="zHeading3"/>
      </w:pPr>
      <w:bookmarkStart w:id="71" w:name="_Toc203646108"/>
      <w:bookmarkStart w:id="72" w:name="_Toc203646172"/>
      <w:bookmarkStart w:id="73" w:name="_Toc203646208"/>
      <w:bookmarkStart w:id="74" w:name="_Toc204074304"/>
      <w:r>
        <w:t xml:space="preserve">Division 3 — Provisions for </w:t>
      </w:r>
      <w:r>
        <w:rPr>
          <w:i/>
        </w:rPr>
        <w:t>Local Government (Elections) Amendment Regulations 2025</w:t>
      </w:r>
      <w:bookmarkEnd w:id="71"/>
      <w:bookmarkEnd w:id="72"/>
      <w:bookmarkEnd w:id="73"/>
      <w:bookmarkEnd w:id="74"/>
    </w:p>
    <w:p>
      <w:pPr>
        <w:pStyle w:val="zHeading5"/>
      </w:pPr>
      <w:bookmarkStart w:id="75" w:name="_Toc203646109"/>
      <w:bookmarkStart w:id="76" w:name="_Toc204074305"/>
      <w:r>
        <w:t>92I.</w:t>
      </w:r>
      <w:r>
        <w:tab/>
        <w:t>Pre</w:t>
      </w:r>
      <w:r>
        <w:noBreakHyphen/>
        <w:t>18 October 2025 elections</w:t>
      </w:r>
      <w:bookmarkEnd w:id="75"/>
      <w:bookmarkEnd w:id="76"/>
    </w:p>
    <w:p>
      <w:pPr>
        <w:pStyle w:val="zSubsection"/>
      </w:pPr>
      <w:r>
        <w:tab/>
        <w:t>(1)</w:t>
      </w:r>
      <w:r>
        <w:tab/>
        <w:t xml:space="preserve">In this regulation — </w:t>
      </w:r>
    </w:p>
    <w:p>
      <w:pPr>
        <w:pStyle w:val="zDefstart"/>
      </w:pPr>
      <w:r>
        <w:tab/>
      </w:r>
      <w:r>
        <w:rPr>
          <w:rStyle w:val="CharDefText"/>
        </w:rPr>
        <w:t>election</w:t>
      </w:r>
      <w:r>
        <w:t xml:space="preserve"> has the meaning given in section 4.1;</w:t>
      </w:r>
    </w:p>
    <w:p>
      <w:pPr>
        <w:pStyle w:val="zDefstart"/>
      </w:pPr>
      <w:r>
        <w:tab/>
      </w:r>
      <w:r>
        <w:rPr>
          <w:rStyle w:val="CharDefText"/>
        </w:rPr>
        <w:t>election day</w:t>
      </w:r>
      <w:r>
        <w:t xml:space="preserve"> has the meaning given in section 4.1;</w:t>
      </w:r>
    </w:p>
    <w:p>
      <w:pPr>
        <w:pStyle w:val="zDefstart"/>
      </w:pPr>
      <w:r>
        <w:tab/>
      </w:r>
      <w:r>
        <w:rPr>
          <w:rStyle w:val="CharDefText"/>
        </w:rPr>
        <w:t>pre</w:t>
      </w:r>
      <w:r>
        <w:rPr>
          <w:rStyle w:val="CharDefText"/>
        </w:rPr>
        <w:noBreakHyphen/>
        <w:t>18 October 2025 election</w:t>
      </w:r>
      <w:r>
        <w:t xml:space="preserve"> means an election for which election day is before 18 October 2025.</w:t>
      </w:r>
    </w:p>
    <w:p>
      <w:pPr>
        <w:pStyle w:val="zSubsection"/>
      </w:pPr>
      <w:r>
        <w:tab/>
        <w:t>(2)</w:t>
      </w:r>
      <w:r>
        <w:tab/>
        <w:t xml:space="preserve">The amendments made by the </w:t>
      </w:r>
      <w:r>
        <w:rPr>
          <w:i/>
        </w:rPr>
        <w:t>Local Government (Elections) Amendment Regulations 2025</w:t>
      </w:r>
      <w:r>
        <w:t xml:space="preserve"> regulations 4 to 13, 15 to 18 and 21 do not apply in relation to a pre</w:t>
      </w:r>
      <w:r>
        <w:noBreakHyphen/>
        <w:t xml:space="preserve">18 October 2025 election and, accordingly, these regulations apply in relation to the </w:t>
      </w:r>
      <w:r>
        <w:lastRenderedPageBreak/>
        <w:t>pre</w:t>
      </w:r>
      <w:r>
        <w:noBreakHyphen/>
        <w:t>18 October 2025 election as if those amendments had not been made.</w:t>
      </w:r>
    </w:p>
    <w:p>
      <w:pPr>
        <w:pStyle w:val="zSubsection"/>
      </w:pPr>
      <w:r>
        <w:tab/>
        <w:t>(3)</w:t>
      </w:r>
      <w:r>
        <w:tab/>
        <w:t xml:space="preserve">Without limiting subregulation (2), the amendment made by the </w:t>
      </w:r>
      <w:r>
        <w:rPr>
          <w:i/>
        </w:rPr>
        <w:t>Local Government (Elections) Amendment Regulations 2025</w:t>
      </w:r>
      <w:r>
        <w:t xml:space="preserve"> regulation 13(1) does not affect the application of regulation 30G in relation to a ‘disclosure of gifts’ form completed by a donor in relation to a pre</w:t>
      </w:r>
      <w:r>
        <w:noBreakHyphen/>
        <w:t>18 October 2025 election.</w:t>
      </w:r>
    </w:p>
    <w:p>
      <w:pPr>
        <w:pStyle w:val="BlankClose"/>
      </w:pPr>
    </w:p>
    <w:p>
      <w:pPr>
        <w:pStyle w:val="Heading5"/>
      </w:pPr>
      <w:bookmarkStart w:id="77" w:name="_Toc203646110"/>
      <w:bookmarkStart w:id="78" w:name="_Toc204074306"/>
      <w:r>
        <w:rPr>
          <w:rStyle w:val="CharSectno"/>
        </w:rPr>
        <w:t>21</w:t>
      </w:r>
      <w:r>
        <w:t>.</w:t>
      </w:r>
      <w:r>
        <w:tab/>
        <w:t>Schedule 1 Form 9A replaced</w:t>
      </w:r>
      <w:bookmarkEnd w:id="77"/>
      <w:bookmarkEnd w:id="78"/>
    </w:p>
    <w:p>
      <w:pPr>
        <w:pStyle w:val="Subsection"/>
      </w:pPr>
      <w:r>
        <w:tab/>
      </w:r>
      <w:r>
        <w:tab/>
        <w:t>Delete Schedule 1 Form 9A and insert:</w:t>
      </w:r>
    </w:p>
    <w:p>
      <w:pPr>
        <w:pStyle w:val="BlankOpen"/>
      </w:pPr>
    </w:p>
    <w:p>
      <w:pPr>
        <w:pStyle w:val="zyMiscellaneousBody"/>
        <w:jc w:val="center"/>
        <w:rPr>
          <w:i/>
          <w:iCs/>
          <w:snapToGrid w:val="0"/>
        </w:rPr>
      </w:pPr>
      <w:r>
        <w:rPr>
          <w:i/>
          <w:iCs/>
          <w:snapToGrid w:val="0"/>
        </w:rPr>
        <w:t>Local Government Act 1995</w:t>
      </w:r>
    </w:p>
    <w:p>
      <w:pPr>
        <w:pStyle w:val="zyMiscellaneousBody"/>
        <w:jc w:val="center"/>
        <w:rPr>
          <w:b/>
          <w:bCs/>
          <w:i/>
          <w:iCs/>
          <w:snapToGrid w:val="0"/>
        </w:rPr>
      </w:pPr>
      <w:r>
        <w:rPr>
          <w:b/>
          <w:bCs/>
          <w:i/>
          <w:iCs/>
          <w:snapToGrid w:val="0"/>
        </w:rPr>
        <w:t>Local Government (Elections) Regulations 1997</w:t>
      </w:r>
    </w:p>
    <w:p>
      <w:pPr>
        <w:pStyle w:val="zyShoulderClause"/>
        <w:rPr>
          <w:snapToGrid w:val="0"/>
        </w:rPr>
      </w:pPr>
      <w:r>
        <w:rPr>
          <w:snapToGrid w:val="0"/>
        </w:rPr>
        <w:t>[s. 4.59 and r. 30D]</w:t>
      </w:r>
    </w:p>
    <w:p>
      <w:pPr>
        <w:pStyle w:val="zyMiscellaneousHeading"/>
        <w:jc w:val="left"/>
        <w:rPr>
          <w:b/>
          <w:bCs/>
        </w:rPr>
      </w:pPr>
      <w:r>
        <w:rPr>
          <w:b/>
          <w:bCs/>
        </w:rPr>
        <w:t>Form 9A.</w:t>
      </w:r>
      <w:r>
        <w:rPr>
          <w:b/>
          <w:bCs/>
        </w:rPr>
        <w:tab/>
        <w:t>Disclosure of Gifts</w:t>
      </w:r>
    </w:p>
    <w:p>
      <w:pPr>
        <w:pStyle w:val="zyMiscellaneousBody"/>
        <w:rPr>
          <w:snapToGrid w:val="0"/>
          <w:u w:val="single"/>
        </w:rPr>
      </w:pPr>
      <w:r>
        <w:rPr>
          <w:snapToGrid w:val="0"/>
          <w:u w:val="single"/>
        </w:rPr>
        <w:t>Details of candidate making disclosure</w:t>
      </w:r>
    </w:p>
    <w:p>
      <w:pPr>
        <w:pStyle w:val="zyMiscellaneousBody"/>
        <w:rPr>
          <w:snapToGrid w:val="0"/>
        </w:rPr>
      </w:pPr>
      <w:r>
        <w:rPr>
          <w:snapToGrid w:val="0"/>
        </w:rPr>
        <w:t xml:space="preserve">Surname . . . . . . . . . . . . . . . . . . . . Other names . . . . . . . . . . . . . . . . . . </w:t>
      </w:r>
    </w:p>
    <w:p>
      <w:pPr>
        <w:pStyle w:val="zyMiscellaneousBody"/>
        <w:keepNext/>
        <w:rPr>
          <w:snapToGrid w:val="0"/>
          <w:u w:val="single"/>
        </w:rPr>
      </w:pPr>
      <w:r>
        <w:rPr>
          <w:snapToGrid w:val="0"/>
          <w:u w:val="single"/>
        </w:rPr>
        <w:t>Details of person making or promising the gift</w:t>
      </w:r>
    </w:p>
    <w:p>
      <w:pPr>
        <w:pStyle w:val="zyMiscellaneousBody"/>
        <w:rPr>
          <w:snapToGrid w:val="0"/>
        </w:rPr>
      </w:pPr>
      <w:r>
        <w:rPr>
          <w:snapToGrid w:val="0"/>
        </w:rPr>
        <w:t>Name . . . . . . . . . . . . . . . . . . . . . . . . . . . . . . . . . . . . . . . . . . . . . . . . . . .</w:t>
      </w:r>
    </w:p>
    <w:p>
      <w:pPr>
        <w:pStyle w:val="zyMiscellaneousBody"/>
        <w:rPr>
          <w:snapToGrid w:val="0"/>
        </w:rPr>
      </w:pPr>
      <w:r>
        <w:rPr>
          <w:snapToGrid w:val="0"/>
        </w:rPr>
        <w:t>Address . . . . . . . . . . . . . . . . . . . . . .  . . . . . . . . . . . . . . . . . . . . . . . . . . .</w:t>
      </w:r>
    </w:p>
    <w:p>
      <w:pPr>
        <w:pStyle w:val="zyMiscellaneousBody"/>
        <w:rPr>
          <w:snapToGrid w:val="0"/>
        </w:rPr>
      </w:pPr>
      <w:r>
        <w:rPr>
          <w:snapToGrid w:val="0"/>
        </w:rPr>
        <w:t xml:space="preserve"> . . . . . . . . . . . . . . . . . . . . . . . . . . . . . . . . . . . . . . . . . . . . . . . . . . . . . . . .</w:t>
      </w:r>
    </w:p>
    <w:p>
      <w:pPr>
        <w:pStyle w:val="zyMiscellaneousBody"/>
        <w:rPr>
          <w:snapToGrid w:val="0"/>
          <w:u w:val="single"/>
        </w:rPr>
      </w:pPr>
      <w:r>
        <w:rPr>
          <w:snapToGrid w:val="0"/>
          <w:u w:val="single"/>
        </w:rPr>
        <w:t>Details of person on whose behalf the gift is made or promised</w:t>
      </w:r>
      <w:r>
        <w:rPr>
          <w:snapToGrid w:val="0"/>
        </w:rPr>
        <w:t xml:space="preserve"> (if other than the person making or promising the gift)</w:t>
      </w:r>
    </w:p>
    <w:p>
      <w:pPr>
        <w:pStyle w:val="zyMiscellaneousBody"/>
        <w:rPr>
          <w:snapToGrid w:val="0"/>
        </w:rPr>
      </w:pPr>
      <w:r>
        <w:rPr>
          <w:snapToGrid w:val="0"/>
        </w:rPr>
        <w:t>Name . . . . . . . . . . . . . . . . . . . . . . . . . . . . . . . . . . . . . . . . . . . . . . . . . . .</w:t>
      </w:r>
    </w:p>
    <w:p>
      <w:pPr>
        <w:pStyle w:val="zyMiscellaneousBody"/>
        <w:rPr>
          <w:snapToGrid w:val="0"/>
        </w:rPr>
      </w:pPr>
      <w:r>
        <w:rPr>
          <w:snapToGrid w:val="0"/>
        </w:rPr>
        <w:t>Address . . . . . . . . . . . . . . . . . . . . . .  . . . . . . . . . . . . . . . . . . . . . . . . . . .</w:t>
      </w:r>
    </w:p>
    <w:p>
      <w:pPr>
        <w:pStyle w:val="zyMiscellaneousBody"/>
        <w:rPr>
          <w:snapToGrid w:val="0"/>
        </w:rPr>
      </w:pPr>
      <w:r>
        <w:rPr>
          <w:snapToGrid w:val="0"/>
        </w:rPr>
        <w:t xml:space="preserve"> . . . . . . . . . . . . . . . . . . . . . . . . . . . . . . . . . . . . . . . . . . . . . . . . . . . . . . . .</w:t>
      </w:r>
    </w:p>
    <w:p>
      <w:pPr>
        <w:pStyle w:val="zyMiscellaneousBody"/>
        <w:rPr>
          <w:snapToGrid w:val="0"/>
        </w:rPr>
      </w:pPr>
      <w:r>
        <w:rPr>
          <w:snapToGrid w:val="0"/>
          <w:u w:val="single"/>
        </w:rPr>
        <w:lastRenderedPageBreak/>
        <w:t>Details of the gift</w:t>
      </w:r>
      <w:r>
        <w:rPr>
          <w:snapToGrid w:val="0"/>
        </w:rPr>
        <w:t xml:space="preserve"> (value of which is </w:t>
      </w:r>
      <w:r>
        <w:rPr>
          <w:szCs w:val="18"/>
        </w:rPr>
        <w:t xml:space="preserve">$300 </w:t>
      </w:r>
      <w:r>
        <w:rPr>
          <w:snapToGrid w:val="0"/>
        </w:rPr>
        <w:t xml:space="preserve">or more, or which is one of 2 or more gifts with a total value of </w:t>
      </w:r>
      <w:r>
        <w:rPr>
          <w:szCs w:val="18"/>
        </w:rPr>
        <w:t xml:space="preserve">$300 </w:t>
      </w:r>
      <w:r>
        <w:rPr>
          <w:snapToGrid w:val="0"/>
        </w:rPr>
        <w:t>or more)</w:t>
      </w:r>
    </w:p>
    <w:p>
      <w:pPr>
        <w:pStyle w:val="zyMiscellaneousBody"/>
        <w:rPr>
          <w:snapToGrid w:val="0"/>
        </w:rPr>
      </w:pPr>
      <w:r>
        <w:rPr>
          <w:snapToGrid w:val="0"/>
        </w:rPr>
        <w:t>Date gift promised or received . . . . . . . . . . . . . . . . . . . . . . . . . . . . . . . .</w:t>
      </w:r>
    </w:p>
    <w:p>
      <w:pPr>
        <w:pStyle w:val="zyMiscellaneousBody"/>
        <w:rPr>
          <w:snapToGrid w:val="0"/>
        </w:rPr>
      </w:pPr>
      <w:r>
        <w:rPr>
          <w:snapToGrid w:val="0"/>
        </w:rPr>
        <w:t xml:space="preserve">Value of gift . . . . . . . . . . . . . . . . . . . . . . . . . . . . . . . . . . . . . . . . . . . . . . </w:t>
      </w:r>
    </w:p>
    <w:p>
      <w:pPr>
        <w:pStyle w:val="zyMiscellaneousBody"/>
        <w:rPr>
          <w:snapToGrid w:val="0"/>
        </w:rPr>
      </w:pPr>
      <w:r>
        <w:rPr>
          <w:snapToGrid w:val="0"/>
        </w:rPr>
        <w:t>Description of gift . . . . . . . . . . . . . . . . . . . . . . . . . . . . . . . . . . . . . . . . .</w:t>
      </w:r>
    </w:p>
    <w:p>
      <w:pPr>
        <w:pStyle w:val="zyMiscellaneousBody"/>
        <w:rPr>
          <w:snapToGrid w:val="0"/>
        </w:rPr>
      </w:pPr>
      <w:r>
        <w:rPr>
          <w:snapToGrid w:val="0"/>
        </w:rPr>
        <w:t>. . . . . . . . . . . . . . . . . . . . . . . . . . . . . . . . . . . . . . . . . . . . . . . . . . . . . . . . .</w:t>
      </w:r>
    </w:p>
    <w:p>
      <w:pPr>
        <w:pStyle w:val="zyMiscellaneousBody"/>
        <w:rPr>
          <w:snapToGrid w:val="0"/>
        </w:rPr>
      </w:pPr>
      <w:r>
        <w:rPr>
          <w:snapToGrid w:val="0"/>
        </w:rPr>
        <w:t>. . . . . . . . . . . . . . . . . . . . . . . . . . . . . . . . . . . . . . . . . . . . . . . . . . . . . . . . .</w:t>
      </w:r>
    </w:p>
    <w:p>
      <w:pPr>
        <w:pStyle w:val="yMiscellaneousBody"/>
        <w:ind w:left="567"/>
        <w:rPr>
          <w:snapToGrid w:val="0"/>
        </w:rPr>
      </w:pPr>
      <w:bookmarkStart w:id="79" w:name="RuleErr_0001"/>
      <w:r>
        <w:rPr>
          <w:i/>
          <w:iCs/>
          <w:snapToGrid w:val="0"/>
          <w:sz w:val="20"/>
        </w:rPr>
        <w:t>I</w:t>
      </w:r>
      <w:r>
        <w:rPr>
          <w:i/>
          <w:iCs/>
          <w:snapToGrid w:val="0"/>
          <w:sz w:val="16"/>
        </w:rPr>
        <w:t>F YOU ARE UNABLE TO PROVIDE THE INFORMATION REQUIRED BY THIS FORM, SET OUT THE REASONS FOR NOT PROVIDING IT IN THE SPACE BELOW.</w:t>
      </w:r>
      <w:bookmarkEnd w:id="79"/>
    </w:p>
    <w:p>
      <w:pPr>
        <w:pStyle w:val="zyMiscellaneousBody"/>
        <w:rPr>
          <w:snapToGrid w:val="0"/>
        </w:rPr>
      </w:pPr>
      <w:r>
        <w:rPr>
          <w:snapToGrid w:val="0"/>
        </w:rPr>
        <w:t>. . . . . . . . . . . . . . . . . . . . . . . . . . . . . . . . . . . . . . . . . . . . . . . . . . . . . . . . .</w:t>
      </w:r>
    </w:p>
    <w:p>
      <w:pPr>
        <w:pStyle w:val="zyMiscellaneousBody"/>
        <w:rPr>
          <w:snapToGrid w:val="0"/>
        </w:rPr>
      </w:pPr>
      <w:r>
        <w:rPr>
          <w:snapToGrid w:val="0"/>
        </w:rPr>
        <w:t>. . . . . . . . . . . . . . . . . . . . . . . . . . . . . . . . . . . . . . . . . . . . . . . . . . . . . . . . .</w:t>
      </w:r>
    </w:p>
    <w:p>
      <w:pPr>
        <w:pStyle w:val="zyMiscellaneousBody"/>
        <w:rPr>
          <w:b/>
          <w:bCs/>
          <w:snapToGrid w:val="0"/>
          <w:u w:val="single"/>
        </w:rPr>
      </w:pPr>
      <w:r>
        <w:rPr>
          <w:b/>
          <w:bCs/>
          <w:snapToGrid w:val="0"/>
          <w:u w:val="single"/>
        </w:rPr>
        <w:t>Candidate making disclosure to complete and sign the declaration below</w:t>
      </w:r>
    </w:p>
    <w:p>
      <w:pPr>
        <w:pStyle w:val="zyMiscellaneousBody"/>
        <w:rPr>
          <w:snapToGrid w:val="0"/>
        </w:rPr>
      </w:pPr>
      <w:r>
        <w:rPr>
          <w:snapToGrid w:val="0"/>
        </w:rPr>
        <w:t>I . . . . . . . . . . . . . . . . . . . . . . . . .  declare that all information and details provided are true and correct, and no known, relevant information is omitted.</w:t>
      </w:r>
    </w:p>
    <w:p>
      <w:pPr>
        <w:pStyle w:val="zyMiscellaneousBody"/>
        <w:rPr>
          <w:snapToGrid w:val="0"/>
        </w:rPr>
      </w:pPr>
    </w:p>
    <w:p>
      <w:pPr>
        <w:pStyle w:val="zyMiscellaneousBody"/>
        <w:rPr>
          <w:snapToGrid w:val="0"/>
        </w:rPr>
      </w:pPr>
      <w:r>
        <w:rPr>
          <w:snapToGrid w:val="0"/>
        </w:rPr>
        <w:t>Signature . . . . . . . . . . . . . . . . . . . . . . .  Date . . . . . . . . . . . . . . . . . . . . .</w:t>
      </w:r>
    </w:p>
    <w:p>
      <w:pPr>
        <w:pStyle w:val="BlankClose"/>
        <w:rPr>
          <w:snapToGrid w:val="0"/>
        </w:rPr>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2025/141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23 Jul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(Elections)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(Elections)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(Elections)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71711344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61109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1090406_GUID" w:val="6037eea1-459b-4463-8da9-7da4cfa92e8d"/>
    <w:docVar w:name="WAFER_20250626100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6100818_GUID" w:val="704a6ddf-c650-4cf9-8e1c-cc207a53d184"/>
    <w:docVar w:name="WAFER_20250707135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7135916_GUID" w:val="4a8d2276-f580-4e04-9678-435c015df237"/>
    <w:docVar w:name="WAFER_20250709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9105022_GUID" w:val="af7dcae9-0a4d-4110-98de-01ba9ca08012"/>
    <w:docVar w:name="WAFER_2025071711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717113440_GUID" w:val="f6e60540-d4d1-446e-abe2-67d41c9a0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525B379C-C26A-4F7B-AD59-E70A2FC01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3702</Words>
  <Characters>15105</Characters>
  <Application>Microsoft Office Word</Application>
  <DocSecurity>0</DocSecurity>
  <Lines>520</Lines>
  <Paragraphs>324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(Elections) Amendment Regulations 2025 - 00-00-00</dc:title>
  <dc:subject/>
  <dc:creator/>
  <cp:keywords/>
  <dc:description/>
  <cp:lastModifiedBy>Master Repository Process</cp:lastModifiedBy>
  <cp:revision>4</cp:revision>
  <cp:lastPrinted>2025-07-09T01:20:00Z</cp:lastPrinted>
  <dcterms:created xsi:type="dcterms:W3CDTF">2025-07-22T04:00:00Z</dcterms:created>
  <dcterms:modified xsi:type="dcterms:W3CDTF">2025-07-22T04:00:00Z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55481</vt:lpwstr>
  </property>
  <property fmtid="{D5CDD505-2E9C-101B-9397-08002B2CF9AE}" pid="3" name="DocumentType">
    <vt:lpwstr>Reg</vt:lpwstr>
  </property>
  <property fmtid="{D5CDD505-2E9C-101B-9397-08002B2CF9AE}" pid="4" name="AsAtDate">
    <vt:lpwstr>23 Jul 2025</vt:lpwstr>
  </property>
  <property fmtid="{D5CDD505-2E9C-101B-9397-08002B2CF9AE}" pid="5" name="Suffix">
    <vt:lpwstr>00-00-00</vt:lpwstr>
  </property>
  <property fmtid="{D5CDD505-2E9C-101B-9397-08002B2CF9AE}" pid="6" name="Official">
    <vt:lpwstr/>
  </property>
  <property fmtid="{D5CDD505-2E9C-101B-9397-08002B2CF9AE}" pid="7" name="SLAPId">
    <vt:lpwstr>2025/141</vt:lpwstr>
  </property>
  <property fmtid="{D5CDD505-2E9C-101B-9397-08002B2CF9AE}" pid="8" name="PublishDate">
    <vt:lpwstr>23 Jul 2025</vt:lpwstr>
  </property>
  <property fmtid="{D5CDD505-2E9C-101B-9397-08002B2CF9AE}" pid="9" name="CommencementDate">
    <vt:lpwstr>20250723</vt:lpwstr>
  </property>
  <property fmtid="{D5CDD505-2E9C-101B-9397-08002B2CF9AE}" pid="10" name="CommencementAsAt">
    <vt:filetime>2025-07-22T16:00:00Z</vt:filetime>
  </property>
  <property fmtid="{D5CDD505-2E9C-101B-9397-08002B2CF9AE}" pid="11" name="CommencementYear">
    <vt:lpwstr>2025</vt:lpwstr>
  </property>
</Properties>
</file>