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Community Protection (Offender Reporting) Act 2004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Protection (Offender Reporting) Amendment Regulations (No. 2)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Community Protection (Offender Reporting) Amendment Regulations (No. 2)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_Toc204073630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_Toc204073631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_Toc204073632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_Toc204073633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_Toc204073634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_Toc204073635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7A inserted</w:t>
      </w:r>
      <w:r>
        <w:tab/>
      </w:r>
      <w:r>
        <w:fldChar w:fldCharType="begin"/>
      </w:r>
      <w:r>
        <w:instrText xml:space="preserve"> PAGEREF _Toc204073636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7A.</w:t>
      </w:r>
      <w:r>
        <w:rPr>
          <w:noProof/>
        </w:rPr>
        <w:tab/>
        <w:t>Reportable contact details (s. 4B)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_Toc204073637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_Toc204073638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11A amended</w:t>
      </w:r>
      <w:r>
        <w:tab/>
      </w:r>
      <w:r>
        <w:fldChar w:fldCharType="begin"/>
      </w:r>
      <w:r>
        <w:instrText xml:space="preserve"> PAGEREF _Toc204073639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_Toc204073640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_Toc204073641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14A inserted</w:t>
      </w:r>
      <w:r>
        <w:tab/>
      </w:r>
      <w:r>
        <w:fldChar w:fldCharType="begin"/>
      </w:r>
      <w:r>
        <w:instrText xml:space="preserve"> PAGEREF _Toc204073642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14A.</w:t>
      </w:r>
      <w:r>
        <w:rPr>
          <w:noProof/>
        </w:rPr>
        <w:tab/>
        <w:t>Manner in which unique reference number or acknowledgment may be given (s. 37)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_Toc204073643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Regulations 17 and 18 deleted</w:t>
      </w:r>
      <w:r>
        <w:tab/>
      </w:r>
      <w:r>
        <w:fldChar w:fldCharType="begin"/>
      </w:r>
      <w:r>
        <w:instrText xml:space="preserve"> PAGEREF _Toc204073644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19 amended</w:t>
      </w:r>
      <w:r>
        <w:tab/>
      </w:r>
      <w:r>
        <w:fldChar w:fldCharType="begin"/>
      </w:r>
      <w:r>
        <w:instrText xml:space="preserve"> PAGEREF _Toc204073645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Regulations 20A and 20B inserted</w:t>
      </w:r>
      <w:r>
        <w:tab/>
      </w:r>
      <w:r>
        <w:fldChar w:fldCharType="begin"/>
      </w:r>
      <w:r>
        <w:instrText xml:space="preserve"> PAGEREF _Toc204073646 \h </w:instrText>
      </w:r>
      <w:r>
        <w:fldChar w:fldCharType="separate"/>
      </w:r>
      <w:r>
        <w:t>7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20A.</w:t>
      </w:r>
      <w:r>
        <w:rPr>
          <w:noProof/>
        </w:rPr>
        <w:tab/>
        <w:t>Agency officials to whom and circumstances in which disclosure can be made (s. 82)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_Toc204073647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20B.</w:t>
      </w:r>
      <w:r>
        <w:rPr>
          <w:noProof/>
        </w:rPr>
        <w:tab/>
        <w:t>Delegation by Commissioner (s. 82A)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_Toc204073648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21 amended</w:t>
      </w:r>
      <w:r>
        <w:tab/>
      </w:r>
      <w:r>
        <w:fldChar w:fldCharType="begin"/>
      </w:r>
      <w:r>
        <w:instrText xml:space="preserve"> PAGEREF _Toc204073649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</w:t>
      </w:r>
      <w:r>
        <w:rPr>
          <w:snapToGrid w:val="0"/>
        </w:rPr>
        <w:t>.</w:t>
      </w:r>
      <w:r>
        <w:rPr>
          <w:snapToGrid w:val="0"/>
        </w:rPr>
        <w:tab/>
        <w:t>Regulation 26A amended</w:t>
      </w:r>
      <w:r>
        <w:tab/>
      </w:r>
      <w:r>
        <w:fldChar w:fldCharType="begin"/>
      </w:r>
      <w:r>
        <w:instrText xml:space="preserve"> PAGEREF _Toc204073650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26C amended</w:t>
      </w:r>
      <w:r>
        <w:tab/>
      </w:r>
      <w:r>
        <w:fldChar w:fldCharType="begin"/>
      </w:r>
      <w:r>
        <w:instrText xml:space="preserve"> PAGEREF _Toc204073651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26E amended</w:t>
      </w:r>
      <w:r>
        <w:tab/>
      </w:r>
      <w:r>
        <w:fldChar w:fldCharType="begin"/>
      </w:r>
      <w:r>
        <w:instrText xml:space="preserve"> PAGEREF _Toc204073652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keepNext/>
        <w:rPr>
          <w:rFonts w:asciiTheme="minorHAnsi" w:eastAsiaTheme="minorEastAsia" w:hAnsiTheme="minorHAnsi" w:cstheme="minorBidi"/>
          <w:szCs w:val="22"/>
        </w:rPr>
      </w:pPr>
      <w:r>
        <w:lastRenderedPageBreak/>
        <w:t>20.</w:t>
      </w:r>
      <w:r>
        <w:tab/>
        <w:t>Regulation 26L inserted</w:t>
      </w:r>
      <w:r>
        <w:tab/>
      </w:r>
      <w:r>
        <w:fldChar w:fldCharType="begin"/>
      </w:r>
      <w:r>
        <w:instrText xml:space="preserve"> PAGEREF _Toc204073653 \h </w:instrText>
      </w:r>
      <w:r>
        <w:fldChar w:fldCharType="separate"/>
      </w:r>
      <w:r>
        <w:t>11</w:t>
      </w:r>
      <w:r>
        <w:fldChar w:fldCharType="end"/>
      </w:r>
    </w:p>
    <w:p>
      <w:pPr>
        <w:pStyle w:val="TOC9"/>
        <w:keepNext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26L.</w:t>
      </w:r>
      <w:r>
        <w:rPr>
          <w:noProof/>
        </w:rPr>
        <w:tab/>
        <w:t>Prescribed offences under law of foreign jurisdiction (s. 108A)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_Toc204073654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>
      <w:pPr>
        <w:pStyle w:val="TOC9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Community Protection (Offender Reporting) Act 2004</w:t>
      </w:r>
    </w:p>
    <w:p>
      <w:pPr>
        <w:pStyle w:val="NameofActReg"/>
      </w:pPr>
      <w:r>
        <w:t>Community Protection (Offender Reporting) Amendment Regulations (No. 2)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3646240"/>
      <w:bookmarkStart w:id="3" w:name="_Toc20407363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Community Protection (Offender Reporting) Amendment Regulations (No. 2) 2025</w:t>
      </w:r>
      <w:r>
        <w:t>.</w:t>
      </w:r>
    </w:p>
    <w:p>
      <w:pPr>
        <w:pStyle w:val="Heading5"/>
        <w:rPr>
          <w:spacing w:val="-2"/>
        </w:rPr>
      </w:pPr>
      <w:bookmarkStart w:id="5" w:name="_Toc203646241"/>
      <w:bookmarkStart w:id="6" w:name="_Toc20407363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 1 and 2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>the rest of the regulations — on 28 July 2025.</w:t>
      </w:r>
    </w:p>
    <w:p>
      <w:pPr>
        <w:pStyle w:val="Heading5"/>
        <w:rPr>
          <w:snapToGrid w:val="0"/>
        </w:rPr>
      </w:pPr>
      <w:bookmarkStart w:id="7" w:name="_Toc203646242"/>
      <w:bookmarkStart w:id="8" w:name="_Toc20407363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Community Protection (Offender Reporting) Regulations 2004</w:t>
      </w:r>
      <w:r>
        <w:t>.</w:t>
      </w:r>
    </w:p>
    <w:p>
      <w:pPr>
        <w:pStyle w:val="Heading5"/>
      </w:pPr>
      <w:bookmarkStart w:id="9" w:name="_Toc203646243"/>
      <w:bookmarkStart w:id="10" w:name="_Toc204073633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In regulation 3 delete the definition of </w:t>
      </w:r>
      <w:r>
        <w:rPr>
          <w:b/>
          <w:i/>
        </w:rPr>
        <w:t>Department of Corrective Services</w:t>
      </w:r>
      <w:r>
        <w:t>.</w:t>
      </w:r>
    </w:p>
    <w:p>
      <w:pPr>
        <w:pStyle w:val="Subsection"/>
        <w:keepNext/>
      </w:pPr>
      <w:r>
        <w:tab/>
        <w:t>(2)</w:t>
      </w:r>
      <w:r>
        <w:tab/>
        <w:t>In regulation 3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Department of Justice</w:t>
      </w:r>
      <w:r>
        <w:t xml:space="preserve"> means the department of the Public Service principally assisting in the administration of the </w:t>
      </w:r>
      <w:r>
        <w:rPr>
          <w:i/>
          <w:iCs/>
        </w:rPr>
        <w:t>Prisons Act 1981</w:t>
      </w:r>
      <w:r>
        <w:t>;</w:t>
      </w:r>
    </w:p>
    <w:p>
      <w:pPr>
        <w:pStyle w:val="BlankClose"/>
      </w:pPr>
    </w:p>
    <w:p>
      <w:pPr>
        <w:pStyle w:val="Heading5"/>
      </w:pPr>
      <w:bookmarkStart w:id="11" w:name="_Toc203646244"/>
      <w:bookmarkStart w:id="12" w:name="_Toc204073634"/>
      <w:r>
        <w:rPr>
          <w:rStyle w:val="CharSectno"/>
        </w:rPr>
        <w:lastRenderedPageBreak/>
        <w:t>5</w:t>
      </w:r>
      <w:r>
        <w:t>.</w:t>
      </w:r>
      <w:r>
        <w:tab/>
        <w:t>Regulation 4 amended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4(a)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employed in the department of the Public Service principally assisting in the administration of the Act; and</w:t>
      </w:r>
    </w:p>
    <w:p>
      <w:pPr>
        <w:pStyle w:val="BlankClose"/>
      </w:pPr>
    </w:p>
    <w:p>
      <w:pPr>
        <w:pStyle w:val="Heading5"/>
      </w:pPr>
      <w:bookmarkStart w:id="13" w:name="_Toc203646245"/>
      <w:bookmarkStart w:id="14" w:name="_Toc204073635"/>
      <w:r>
        <w:rPr>
          <w:rStyle w:val="CharSectno"/>
        </w:rPr>
        <w:t>6</w:t>
      </w:r>
      <w:r>
        <w:t>.</w:t>
      </w:r>
      <w:r>
        <w:tab/>
        <w:t>Regulation 7 amended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>In regulation 7(1):</w:t>
      </w:r>
    </w:p>
    <w:p>
      <w:pPr>
        <w:pStyle w:val="Indenta"/>
      </w:pPr>
      <w:r>
        <w:tab/>
        <w:t>(a)</w:t>
      </w:r>
      <w:r>
        <w:tab/>
        <w:t>delete “Corrective Services”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Justice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paragraphs (a) and (b) delete “custody;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custody (other than a reportable offender who is in immigration detention); or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7(2)(b) delete “Corrective Services.”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Justice.</w:t>
      </w:r>
    </w:p>
    <w:p>
      <w:pPr>
        <w:pStyle w:val="BlankClose"/>
      </w:pPr>
    </w:p>
    <w:p>
      <w:pPr>
        <w:pStyle w:val="Heading5"/>
      </w:pPr>
      <w:bookmarkStart w:id="15" w:name="_Toc203646246"/>
      <w:bookmarkStart w:id="16" w:name="_Toc204073636"/>
      <w:r>
        <w:rPr>
          <w:rStyle w:val="CharSectno"/>
        </w:rPr>
        <w:t>7</w:t>
      </w:r>
      <w:r>
        <w:t>.</w:t>
      </w:r>
      <w:r>
        <w:tab/>
        <w:t>Regulation 7A inserted</w:t>
      </w:r>
      <w:bookmarkEnd w:id="15"/>
      <w:bookmarkEnd w:id="16"/>
    </w:p>
    <w:p>
      <w:pPr>
        <w:pStyle w:val="Subsection"/>
        <w:keepNext/>
      </w:pPr>
      <w:r>
        <w:tab/>
      </w:r>
      <w:r>
        <w:tab/>
        <w:t>After regulation 7 insert:</w:t>
      </w:r>
    </w:p>
    <w:p>
      <w:pPr>
        <w:pStyle w:val="BlankOpen"/>
      </w:pPr>
    </w:p>
    <w:p>
      <w:pPr>
        <w:pStyle w:val="zHeading5"/>
      </w:pPr>
      <w:bookmarkStart w:id="17" w:name="_Toc203646247"/>
      <w:bookmarkStart w:id="18" w:name="_Toc204073637"/>
      <w:r>
        <w:t>7A.</w:t>
      </w:r>
      <w:r>
        <w:tab/>
        <w:t>Reportable contact details (s. 4B)</w:t>
      </w:r>
      <w:bookmarkEnd w:id="17"/>
      <w:bookmarkEnd w:id="18"/>
    </w:p>
    <w:p>
      <w:pPr>
        <w:pStyle w:val="zSubsection"/>
      </w:pPr>
      <w:r>
        <w:tab/>
      </w:r>
      <w:r>
        <w:tab/>
        <w:t xml:space="preserve">For the purposes of section 4B(2)(c) of the Act, the frequency of the contact or likely contact with the child </w:t>
      </w:r>
      <w:r>
        <w:lastRenderedPageBreak/>
        <w:t>is a detail related to reportable contact or likely reportable contact with a child by a reportable offender.</w:t>
      </w:r>
    </w:p>
    <w:p>
      <w:pPr>
        <w:pStyle w:val="BlankClose"/>
      </w:pPr>
    </w:p>
    <w:p>
      <w:pPr>
        <w:pStyle w:val="Heading5"/>
      </w:pPr>
      <w:bookmarkStart w:id="19" w:name="_Toc203646248"/>
      <w:bookmarkStart w:id="20" w:name="_Toc204073638"/>
      <w:r>
        <w:rPr>
          <w:rStyle w:val="CharSectno"/>
        </w:rPr>
        <w:t>8</w:t>
      </w:r>
      <w:r>
        <w:t>.</w:t>
      </w:r>
      <w:r>
        <w:tab/>
        <w:t>Regulation 9 amended</w:t>
      </w:r>
      <w:bookmarkEnd w:id="19"/>
      <w:bookmarkEnd w:id="20"/>
    </w:p>
    <w:p>
      <w:pPr>
        <w:pStyle w:val="Subsection"/>
      </w:pPr>
      <w:r>
        <w:tab/>
      </w:r>
      <w:r>
        <w:tab/>
        <w:t>In regulation 9(g) delete “of the Northern Territory;”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>2002</w:t>
      </w:r>
      <w:r>
        <w:t xml:space="preserve"> (Northern Territory);</w:t>
      </w:r>
    </w:p>
    <w:p>
      <w:pPr>
        <w:pStyle w:val="BlankClose"/>
      </w:pPr>
    </w:p>
    <w:p>
      <w:pPr>
        <w:pStyle w:val="Heading5"/>
      </w:pPr>
      <w:bookmarkStart w:id="21" w:name="_Toc203646249"/>
      <w:bookmarkStart w:id="22" w:name="_Toc204073639"/>
      <w:r>
        <w:rPr>
          <w:rStyle w:val="CharSectno"/>
        </w:rPr>
        <w:t>9</w:t>
      </w:r>
      <w:r>
        <w:t>.</w:t>
      </w:r>
      <w:r>
        <w:tab/>
        <w:t>Regulation 11A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In regulation 11A delete “For the purposes”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 xml:space="preserve">For the purposes 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11A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For the purposes of section 10(c) of the Act, the offences under the </w:t>
      </w:r>
      <w:r>
        <w:rPr>
          <w:i/>
          <w:iCs/>
        </w:rPr>
        <w:t>Crimes Act 1914</w:t>
      </w:r>
      <w:r>
        <w:t xml:space="preserve"> (Commonwealth) sections 50BA and 50BB are Class 1 offences.</w:t>
      </w:r>
    </w:p>
    <w:p>
      <w:pPr>
        <w:pStyle w:val="zSubsection"/>
      </w:pPr>
      <w:r>
        <w:tab/>
        <w:t>(3)</w:t>
      </w:r>
      <w:r>
        <w:tab/>
        <w:t>If a provision referred to in this regulation is a repealed provision, the reference is taken to be a reference to the provision as in force from time to time before its repeal.</w:t>
      </w:r>
    </w:p>
    <w:p>
      <w:pPr>
        <w:pStyle w:val="BlankClose"/>
      </w:pPr>
    </w:p>
    <w:p>
      <w:pPr>
        <w:pStyle w:val="Heading5"/>
      </w:pPr>
      <w:bookmarkStart w:id="23" w:name="_Toc203646250"/>
      <w:bookmarkStart w:id="24" w:name="_Toc204073640"/>
      <w:r>
        <w:rPr>
          <w:rStyle w:val="CharSectno"/>
        </w:rPr>
        <w:t>10</w:t>
      </w:r>
      <w:r>
        <w:t>.</w:t>
      </w:r>
      <w:r>
        <w:tab/>
        <w:t>Regulation 11 amended</w:t>
      </w:r>
      <w:bookmarkEnd w:id="23"/>
      <w:bookmarkEnd w:id="24"/>
    </w:p>
    <w:p>
      <w:pPr>
        <w:pStyle w:val="Subsection"/>
      </w:pPr>
      <w:r>
        <w:tab/>
        <w:t>(1)</w:t>
      </w:r>
      <w:r>
        <w:tab/>
        <w:t>In regulation 11:</w:t>
      </w:r>
    </w:p>
    <w:p>
      <w:pPr>
        <w:pStyle w:val="Indenta"/>
      </w:pPr>
      <w:r>
        <w:tab/>
        <w:t>(a)</w:t>
      </w:r>
      <w:r>
        <w:tab/>
        <w:t>delete “For the purposes”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For the purposes</w:t>
      </w:r>
    </w:p>
    <w:p>
      <w:pPr>
        <w:pStyle w:val="BlankClose"/>
      </w:pPr>
    </w:p>
    <w:p>
      <w:pPr>
        <w:pStyle w:val="Indenta"/>
      </w:pPr>
      <w:r>
        <w:lastRenderedPageBreak/>
        <w:tab/>
        <w:t>(b)</w:t>
      </w:r>
      <w:r>
        <w:tab/>
        <w:t>in the Table insert in numerical order: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s. 474.25C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11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For the purposes of section 11(c) of the Act, the offences under the provisions of the </w:t>
      </w:r>
      <w:r>
        <w:rPr>
          <w:i/>
          <w:iCs/>
        </w:rPr>
        <w:t>Crimes Act 1914</w:t>
      </w:r>
      <w:r>
        <w:t xml:space="preserve"> (Commonwealth) listed in the Table are Class 2 offences.</w:t>
      </w:r>
    </w:p>
    <w:p>
      <w:pPr>
        <w:pStyle w:val="zTHeadingNAm"/>
      </w:pPr>
      <w:r>
        <w:t>Table</w:t>
      </w:r>
    </w:p>
    <w:tbl>
      <w:tblPr>
        <w:tblW w:w="0" w:type="auto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033"/>
        <w:gridCol w:w="3034"/>
      </w:tblGrid>
      <w:tr>
        <w:tc>
          <w:tcPr>
            <w:tcW w:w="3033" w:type="dxa"/>
          </w:tcPr>
          <w:p>
            <w:pPr>
              <w:pStyle w:val="zTableNAm"/>
            </w:pPr>
            <w:r>
              <w:t>s. 50BC</w:t>
            </w:r>
          </w:p>
        </w:tc>
        <w:tc>
          <w:tcPr>
            <w:tcW w:w="3034" w:type="dxa"/>
          </w:tcPr>
          <w:p>
            <w:pPr>
              <w:pStyle w:val="zTableNAm"/>
            </w:pPr>
            <w:r>
              <w:t>s. 50BD</w:t>
            </w:r>
          </w:p>
        </w:tc>
      </w:tr>
      <w:tr>
        <w:tc>
          <w:tcPr>
            <w:tcW w:w="3033" w:type="dxa"/>
          </w:tcPr>
          <w:p>
            <w:pPr>
              <w:pStyle w:val="zTableNAm"/>
            </w:pPr>
            <w:r>
              <w:t>s. 50DA</w:t>
            </w:r>
          </w:p>
        </w:tc>
        <w:tc>
          <w:tcPr>
            <w:tcW w:w="3034" w:type="dxa"/>
          </w:tcPr>
          <w:p>
            <w:pPr>
              <w:pStyle w:val="zTableNAm"/>
            </w:pPr>
            <w:r>
              <w:t>s. 50DB</w:t>
            </w:r>
          </w:p>
        </w:tc>
      </w:tr>
    </w:tbl>
    <w:p>
      <w:pPr>
        <w:pStyle w:val="zSubsection"/>
      </w:pPr>
      <w:r>
        <w:tab/>
        <w:t>(3)</w:t>
      </w:r>
      <w:r>
        <w:tab/>
        <w:t xml:space="preserve">For the purposes of section 11(c) of the Act, the following are Class 2 offences — </w:t>
      </w:r>
    </w:p>
    <w:p>
      <w:pPr>
        <w:pStyle w:val="zIndenta"/>
      </w:pPr>
      <w:r>
        <w:tab/>
        <w:t>(a)</w:t>
      </w:r>
      <w:r>
        <w:tab/>
        <w:t xml:space="preserve">an offence under the </w:t>
      </w:r>
      <w:r>
        <w:rPr>
          <w:i/>
          <w:iCs/>
        </w:rPr>
        <w:t>Customs Act 1901</w:t>
      </w:r>
      <w:r>
        <w:t xml:space="preserve"> (Commonwealth) section 233BAB if it involves items of child abuse material;</w:t>
      </w:r>
    </w:p>
    <w:p>
      <w:pPr>
        <w:pStyle w:val="zIndenta"/>
      </w:pPr>
      <w:r>
        <w:tab/>
        <w:t>(b)</w:t>
      </w:r>
      <w:r>
        <w:tab/>
        <w:t xml:space="preserve">an offence under the </w:t>
      </w:r>
      <w:r>
        <w:rPr>
          <w:i/>
          <w:iCs/>
        </w:rPr>
        <w:t>Customs Act 1901</w:t>
      </w:r>
      <w:r>
        <w:t xml:space="preserve"> (Commonwealth) section 233BAB as in force from time to time before 21 September 2019 if it involves items of child pornography or child abuse material.</w:t>
      </w:r>
    </w:p>
    <w:p>
      <w:pPr>
        <w:pStyle w:val="zSubsection"/>
      </w:pPr>
      <w:r>
        <w:tab/>
        <w:t>(4)</w:t>
      </w:r>
      <w:r>
        <w:tab/>
        <w:t>If a provision referred to in this regulation is a repealed provision, the reference is taken to be a reference to the provision as in force from time to time before its repeal.</w:t>
      </w:r>
    </w:p>
    <w:p>
      <w:pPr>
        <w:pStyle w:val="BlankClose"/>
      </w:pPr>
    </w:p>
    <w:p>
      <w:pPr>
        <w:pStyle w:val="Heading5"/>
      </w:pPr>
      <w:bookmarkStart w:id="25" w:name="_Toc203646251"/>
      <w:bookmarkStart w:id="26" w:name="_Toc204073641"/>
      <w:r>
        <w:rPr>
          <w:rStyle w:val="CharSectno"/>
        </w:rPr>
        <w:lastRenderedPageBreak/>
        <w:t>11</w:t>
      </w:r>
      <w:r>
        <w:t>.</w:t>
      </w:r>
      <w:r>
        <w:tab/>
        <w:t>Regulation 12 amended</w:t>
      </w:r>
      <w:bookmarkEnd w:id="25"/>
      <w:bookmarkEnd w:id="26"/>
    </w:p>
    <w:p>
      <w:pPr>
        <w:pStyle w:val="Subsection"/>
      </w:pPr>
      <w:r>
        <w:tab/>
        <w:t>(1)</w:t>
      </w:r>
      <w:r>
        <w:tab/>
        <w:t>In regulation 12(1):</w:t>
      </w:r>
    </w:p>
    <w:p>
      <w:pPr>
        <w:pStyle w:val="Indenta"/>
      </w:pPr>
      <w:r>
        <w:tab/>
        <w:t>(a)</w:t>
      </w:r>
      <w:r>
        <w:tab/>
        <w:t>delete paragraph (a);</w:t>
      </w:r>
    </w:p>
    <w:p>
      <w:pPr>
        <w:pStyle w:val="Indenta"/>
      </w:pPr>
      <w:r>
        <w:tab/>
        <w:t>(b)</w:t>
      </w:r>
      <w:r>
        <w:tab/>
        <w:t>delete paragraph (c) and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>if it is not possible for the person to contact the authorised person by telephone or email — by mail.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12(2) delete “facsimile number,”. </w:t>
      </w:r>
    </w:p>
    <w:p>
      <w:pPr>
        <w:pStyle w:val="Heading5"/>
      </w:pPr>
      <w:bookmarkStart w:id="27" w:name="_Toc203646252"/>
      <w:bookmarkStart w:id="28" w:name="_Toc204073642"/>
      <w:r>
        <w:rPr>
          <w:rStyle w:val="CharSectno"/>
        </w:rPr>
        <w:t>12</w:t>
      </w:r>
      <w:r>
        <w:t>.</w:t>
      </w:r>
      <w:r>
        <w:tab/>
        <w:t>Regulation 14A inserted</w:t>
      </w:r>
      <w:bookmarkEnd w:id="27"/>
      <w:bookmarkEnd w:id="28"/>
    </w:p>
    <w:p>
      <w:pPr>
        <w:pStyle w:val="Subsection"/>
      </w:pPr>
      <w:r>
        <w:tab/>
      </w:r>
      <w:r>
        <w:tab/>
        <w:t>After regulation 14 insert:</w:t>
      </w:r>
    </w:p>
    <w:p>
      <w:pPr>
        <w:pStyle w:val="BlankOpen"/>
      </w:pPr>
    </w:p>
    <w:p>
      <w:pPr>
        <w:pStyle w:val="zHeading5"/>
      </w:pPr>
      <w:bookmarkStart w:id="29" w:name="_Toc203646253"/>
      <w:bookmarkStart w:id="30" w:name="_Toc204073643"/>
      <w:r>
        <w:t>14A.</w:t>
      </w:r>
      <w:r>
        <w:tab/>
        <w:t>Manner in which unique reference number or acknowledgment may be given (s. 37)</w:t>
      </w:r>
      <w:bookmarkEnd w:id="29"/>
      <w:bookmarkEnd w:id="30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</w:pPr>
      <w:r>
        <w:tab/>
      </w:r>
      <w:r>
        <w:rPr>
          <w:rStyle w:val="CharDefText"/>
        </w:rPr>
        <w:t>online reporting tool</w:t>
      </w:r>
      <w:r>
        <w:t xml:space="preserve"> means a website or mobile application maintained by, or on behalf of, the Commissioner for the purposes of receiving a report under Part 3 of the Act;</w:t>
      </w:r>
    </w:p>
    <w:p>
      <w:pPr>
        <w:pStyle w:val="zDefstart"/>
      </w:pPr>
      <w:r>
        <w:tab/>
      </w:r>
      <w:r>
        <w:rPr>
          <w:rStyle w:val="CharDefText"/>
        </w:rPr>
        <w:t>online reporting tool report</w:t>
      </w:r>
      <w:r>
        <w:t xml:space="preserve"> means a report under Part 3 of the Act that is made using the online reporting tool.</w:t>
      </w:r>
    </w:p>
    <w:p>
      <w:pPr>
        <w:pStyle w:val="zSubsection"/>
      </w:pPr>
      <w:r>
        <w:tab/>
        <w:t>(2)</w:t>
      </w:r>
      <w:r>
        <w:tab/>
        <w:t xml:space="preserve">For the purposes of section 37(3B) of the Act, the following are manners in which a unique reference number or acknowledgment may be given — </w:t>
      </w:r>
    </w:p>
    <w:p>
      <w:pPr>
        <w:pStyle w:val="zIndenta"/>
      </w:pPr>
      <w:r>
        <w:tab/>
        <w:t>(a)</w:t>
      </w:r>
      <w:r>
        <w:tab/>
        <w:t xml:space="preserve">in the case of a unique reference number or acknowledgment required to be given in relation to an online reporting tool report — by sending the unique reference number or </w:t>
      </w:r>
      <w:r>
        <w:lastRenderedPageBreak/>
        <w:t>acknowledgment to an email address provided, in the online reporting tool report or otherwise by the person making the report, for the purpose of receiving the number or acknowledgment;</w:t>
      </w:r>
    </w:p>
    <w:p>
      <w:pPr>
        <w:pStyle w:val="zIndenta"/>
      </w:pPr>
      <w:r>
        <w:tab/>
        <w:t>(b)</w:t>
      </w:r>
      <w:r>
        <w:tab/>
        <w:t>in the case of a unique reference number or acknowledgment required to be given in relation to a report made by email — by sending the unique reference number or acknowledgment to the email address from which the report was made.</w:t>
      </w:r>
    </w:p>
    <w:p>
      <w:pPr>
        <w:pStyle w:val="BlankClose"/>
      </w:pPr>
    </w:p>
    <w:p>
      <w:pPr>
        <w:pStyle w:val="Heading5"/>
      </w:pPr>
      <w:bookmarkStart w:id="31" w:name="_Toc203646254"/>
      <w:bookmarkStart w:id="32" w:name="_Toc204073644"/>
      <w:r>
        <w:rPr>
          <w:rStyle w:val="CharSectno"/>
        </w:rPr>
        <w:t>13</w:t>
      </w:r>
      <w:r>
        <w:t>.</w:t>
      </w:r>
      <w:r>
        <w:tab/>
        <w:t>Regulations 17 and 18 deleted</w:t>
      </w:r>
      <w:bookmarkEnd w:id="31"/>
      <w:bookmarkEnd w:id="32"/>
    </w:p>
    <w:p>
      <w:pPr>
        <w:pStyle w:val="Subsection"/>
      </w:pPr>
      <w:r>
        <w:tab/>
      </w:r>
      <w:r>
        <w:tab/>
        <w:t>Delete regulations 17 and 18.</w:t>
      </w:r>
    </w:p>
    <w:p>
      <w:pPr>
        <w:pStyle w:val="Heading5"/>
      </w:pPr>
      <w:bookmarkStart w:id="33" w:name="_Toc203646255"/>
      <w:bookmarkStart w:id="34" w:name="_Toc204073645"/>
      <w:r>
        <w:rPr>
          <w:rStyle w:val="CharSectno"/>
        </w:rPr>
        <w:t>14</w:t>
      </w:r>
      <w:r>
        <w:t>.</w:t>
      </w:r>
      <w:r>
        <w:tab/>
        <w:t>Regulation 19 amended</w:t>
      </w:r>
      <w:bookmarkEnd w:id="33"/>
      <w:bookmarkEnd w:id="34"/>
    </w:p>
    <w:p>
      <w:pPr>
        <w:pStyle w:val="Subsection"/>
      </w:pPr>
      <w:r>
        <w:tab/>
        <w:t>(1)</w:t>
      </w:r>
      <w:r>
        <w:tab/>
        <w:t>In regulation 19(a) delete “Corrective Services,”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Justice,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19(e):</w:t>
      </w:r>
    </w:p>
    <w:p>
      <w:pPr>
        <w:pStyle w:val="Indenta"/>
      </w:pPr>
      <w:r>
        <w:tab/>
        <w:t>(a)</w:t>
      </w:r>
      <w:r>
        <w:tab/>
        <w:t>after “from government custody”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other than immigration detention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subparagraph (i) delete “his or 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their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(c)</w:t>
      </w:r>
      <w:r>
        <w:tab/>
        <w:t>in subparagraph (ii) delete “Corrective Services,”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Justice,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After regulation 19(e) insert:</w:t>
      </w:r>
    </w:p>
    <w:p>
      <w:pPr>
        <w:pStyle w:val="BlankOpen"/>
      </w:pPr>
    </w:p>
    <w:p>
      <w:pPr>
        <w:pStyle w:val="zIndenta"/>
      </w:pPr>
      <w:r>
        <w:tab/>
        <w:t>(ea)</w:t>
      </w:r>
      <w:r>
        <w:tab/>
        <w:t>for a reportable offender who is released from government custody consisting of immigration detention — the Commissioner;</w:t>
      </w:r>
    </w:p>
    <w:p>
      <w:pPr>
        <w:pStyle w:val="BlankClose"/>
      </w:pPr>
    </w:p>
    <w:p>
      <w:pPr>
        <w:pStyle w:val="Subsection"/>
      </w:pPr>
      <w:r>
        <w:tab/>
        <w:t>(4)</w:t>
      </w:r>
      <w:r>
        <w:tab/>
        <w:t>In regulation 19(f) delete “he or she has not previously been given notice of his or her”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they have not previously been given notice of their</w:t>
      </w:r>
    </w:p>
    <w:p>
      <w:pPr>
        <w:pStyle w:val="BlankClose"/>
      </w:pPr>
    </w:p>
    <w:p>
      <w:pPr>
        <w:pStyle w:val="Subsection"/>
      </w:pPr>
      <w:r>
        <w:tab/>
        <w:t>(5)</w:t>
      </w:r>
      <w:r>
        <w:tab/>
        <w:t>In regulation 19(g) delete “he or she is”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they are</w:t>
      </w:r>
    </w:p>
    <w:p>
      <w:pPr>
        <w:pStyle w:val="BlankClose"/>
      </w:pPr>
    </w:p>
    <w:p>
      <w:pPr>
        <w:pStyle w:val="Heading5"/>
      </w:pPr>
      <w:bookmarkStart w:id="35" w:name="_Toc203646256"/>
      <w:bookmarkStart w:id="36" w:name="_Toc204073646"/>
      <w:r>
        <w:rPr>
          <w:rStyle w:val="CharSectno"/>
        </w:rPr>
        <w:t>15</w:t>
      </w:r>
      <w:r>
        <w:t>.</w:t>
      </w:r>
      <w:r>
        <w:tab/>
        <w:t>Regulations 20A and 20B inserted</w:t>
      </w:r>
      <w:bookmarkEnd w:id="35"/>
      <w:bookmarkEnd w:id="36"/>
    </w:p>
    <w:p>
      <w:pPr>
        <w:pStyle w:val="Subsection"/>
        <w:keepNext/>
      </w:pPr>
      <w:r>
        <w:tab/>
      </w:r>
      <w:r>
        <w:tab/>
        <w:t>After regulation 20 insert:</w:t>
      </w:r>
    </w:p>
    <w:p>
      <w:pPr>
        <w:pStyle w:val="BlankOpen"/>
      </w:pPr>
    </w:p>
    <w:p>
      <w:pPr>
        <w:pStyle w:val="zHeading5"/>
      </w:pPr>
      <w:bookmarkStart w:id="37" w:name="_Toc203646257"/>
      <w:bookmarkStart w:id="38" w:name="_Toc204073647"/>
      <w:r>
        <w:t>20A.</w:t>
      </w:r>
      <w:r>
        <w:tab/>
        <w:t>Agency officials to whom and circumstances in which disclosure can be made (s. 82)</w:t>
      </w:r>
      <w:bookmarkEnd w:id="37"/>
      <w:bookmarkEnd w:id="38"/>
    </w:p>
    <w:p>
      <w:pPr>
        <w:pStyle w:val="zSubsection"/>
      </w:pPr>
      <w:r>
        <w:tab/>
        <w:t>(1)</w:t>
      </w:r>
      <w:r>
        <w:tab/>
        <w:t xml:space="preserve">For the purposes of section 82(1)(cb) of the Act, the following agency officials are prescribed — </w:t>
      </w:r>
    </w:p>
    <w:p>
      <w:pPr>
        <w:pStyle w:val="zIndenta"/>
      </w:pPr>
      <w:r>
        <w:tab/>
        <w:t>(a)</w:t>
      </w:r>
      <w:r>
        <w:tab/>
        <w:t>a police officer;</w:t>
      </w:r>
    </w:p>
    <w:p>
      <w:pPr>
        <w:pStyle w:val="zIndenta"/>
      </w:pPr>
      <w:r>
        <w:lastRenderedPageBreak/>
        <w:tab/>
        <w:t>(b)</w:t>
      </w:r>
      <w:r>
        <w:tab/>
        <w:t>a person employed in the department of the Public Service principally assisting in the administration of the Act;</w:t>
      </w:r>
    </w:p>
    <w:p>
      <w:pPr>
        <w:pStyle w:val="zIndenta"/>
      </w:pPr>
      <w:r>
        <w:tab/>
        <w:t>(c)</w:t>
      </w:r>
      <w:r>
        <w:tab/>
        <w:t xml:space="preserve">an agency official who is a member of, police officer of, or a person employed in — </w:t>
      </w:r>
    </w:p>
    <w:p>
      <w:pPr>
        <w:pStyle w:val="zIndenti"/>
      </w:pPr>
      <w:r>
        <w:tab/>
        <w:t>(i)</w:t>
      </w:r>
      <w:r>
        <w:tab/>
        <w:t xml:space="preserve">the Australian Federal Police; or </w:t>
      </w:r>
    </w:p>
    <w:p>
      <w:pPr>
        <w:pStyle w:val="zIndenti"/>
      </w:pPr>
      <w:r>
        <w:tab/>
        <w:t>(ii)</w:t>
      </w:r>
      <w:r>
        <w:tab/>
        <w:t>the police force of another State or Territory; or</w:t>
      </w:r>
    </w:p>
    <w:p>
      <w:pPr>
        <w:pStyle w:val="zIndenti"/>
      </w:pPr>
      <w:r>
        <w:tab/>
        <w:t>(iii)</w:t>
      </w:r>
      <w:r>
        <w:tab/>
        <w:t>an entity of another State or Territory that has functions similar to the functions of the department of the Public Service principally assisting in the administration of the Act;</w:t>
      </w:r>
    </w:p>
    <w:p>
      <w:pPr>
        <w:pStyle w:val="zIndenta"/>
      </w:pPr>
      <w:r>
        <w:tab/>
        <w:t>(d)</w:t>
      </w:r>
      <w:r>
        <w:tab/>
        <w:t xml:space="preserve">the Public Advocate as defined in the </w:t>
      </w:r>
      <w:r>
        <w:rPr>
          <w:i/>
        </w:rPr>
        <w:t xml:space="preserve">Guardianship and Administration Act 1990 </w:t>
      </w:r>
      <w:r>
        <w:rPr>
          <w:iCs/>
        </w:rPr>
        <w:t>section 3(1)</w:t>
      </w:r>
      <w:r>
        <w:t>;</w:t>
      </w:r>
    </w:p>
    <w:p>
      <w:pPr>
        <w:pStyle w:val="zIndenta"/>
      </w:pPr>
      <w:r>
        <w:tab/>
        <w:t>(e)</w:t>
      </w:r>
      <w:r>
        <w:tab/>
        <w:t xml:space="preserve">a person employed in the department or departments of the Public Service that principally assist in the administration of the </w:t>
      </w:r>
      <w:r>
        <w:rPr>
          <w:i/>
        </w:rPr>
        <w:t xml:space="preserve">Children and Community Services Act 2004 </w:t>
      </w:r>
      <w:r>
        <w:rPr>
          <w:iCs/>
        </w:rPr>
        <w:t xml:space="preserve">and the </w:t>
      </w:r>
      <w:r>
        <w:rPr>
          <w:i/>
          <w:iCs/>
        </w:rPr>
        <w:t>Working with Children (Screening) Act 2004</w:t>
      </w:r>
      <w:r>
        <w:t>;</w:t>
      </w:r>
    </w:p>
    <w:p>
      <w:pPr>
        <w:pStyle w:val="zIndenta"/>
      </w:pPr>
      <w:r>
        <w:tab/>
        <w:t>(f)</w:t>
      </w:r>
      <w:r>
        <w:tab/>
        <w:t xml:space="preserve">a person employed in the department of the Public Service principally assisting in the administration of the </w:t>
      </w:r>
      <w:r>
        <w:rPr>
          <w:i/>
        </w:rPr>
        <w:t>School Education Act 1999</w:t>
      </w:r>
      <w:r>
        <w:t>;</w:t>
      </w:r>
    </w:p>
    <w:p>
      <w:pPr>
        <w:pStyle w:val="zIndenta"/>
      </w:pPr>
      <w:r>
        <w:tab/>
        <w:t>(g)</w:t>
      </w:r>
      <w:r>
        <w:tab/>
        <w:t xml:space="preserve">a person employed in the </w:t>
      </w:r>
      <w:r>
        <w:rPr>
          <w:iCs/>
        </w:rPr>
        <w:t>Department of Justice</w:t>
      </w:r>
      <w:r>
        <w:t>;</w:t>
      </w:r>
    </w:p>
    <w:p>
      <w:pPr>
        <w:pStyle w:val="zIndenta"/>
      </w:pPr>
      <w:r>
        <w:tab/>
        <w:t>(h)</w:t>
      </w:r>
      <w:r>
        <w:tab/>
        <w:t xml:space="preserve">an agency official employed in the Department of State of the Commonwealth assisting in the administration of the </w:t>
      </w:r>
      <w:r>
        <w:rPr>
          <w:i/>
          <w:iCs/>
        </w:rPr>
        <w:t>Australian Border Force Act 2015</w:t>
      </w:r>
      <w:r>
        <w:t xml:space="preserve"> (Commonwealth);</w:t>
      </w:r>
    </w:p>
    <w:p>
      <w:pPr>
        <w:pStyle w:val="zIndenta"/>
        <w:keepLines/>
      </w:pPr>
      <w:r>
        <w:lastRenderedPageBreak/>
        <w:tab/>
        <w:t>(i)</w:t>
      </w:r>
      <w:r>
        <w:tab/>
        <w:t xml:space="preserve">an agency official employed in the Department of State of the Commonwealth assisting in the administration of the </w:t>
      </w:r>
      <w:r>
        <w:rPr>
          <w:i/>
          <w:iCs/>
        </w:rPr>
        <w:t>Australian Passports Act 2005</w:t>
      </w:r>
      <w:r>
        <w:t xml:space="preserve"> (Commonwealth).</w:t>
      </w:r>
    </w:p>
    <w:p>
      <w:pPr>
        <w:pStyle w:val="zSubsection"/>
      </w:pPr>
      <w:r>
        <w:tab/>
        <w:t>(2)</w:t>
      </w:r>
      <w:r>
        <w:tab/>
        <w:t xml:space="preserve">For the purposes of section 82(1)(e) of the Act, a circumstance is disclosure for the purpose of law enforcement to a member of, police officer of, or a person employed in — </w:t>
      </w:r>
    </w:p>
    <w:p>
      <w:pPr>
        <w:pStyle w:val="zIndenta"/>
      </w:pPr>
      <w:r>
        <w:tab/>
        <w:t>(a)</w:t>
      </w:r>
      <w:r>
        <w:tab/>
        <w:t>a police force of another country; or</w:t>
      </w:r>
    </w:p>
    <w:p>
      <w:pPr>
        <w:pStyle w:val="zIndenta"/>
      </w:pPr>
      <w:r>
        <w:tab/>
        <w:t>(b)</w:t>
      </w:r>
      <w:r>
        <w:tab/>
        <w:t>an entity of another country that has functions similar to the functions of the department of the Public Service principally assisting in the administration of the Act.</w:t>
      </w:r>
    </w:p>
    <w:p>
      <w:pPr>
        <w:pStyle w:val="zHeading5"/>
      </w:pPr>
      <w:bookmarkStart w:id="39" w:name="_Toc203646258"/>
      <w:bookmarkStart w:id="40" w:name="_Toc204073648"/>
      <w:r>
        <w:t>20B.</w:t>
      </w:r>
      <w:r>
        <w:tab/>
        <w:t>Delegation by Commissioner (s. 82A)</w:t>
      </w:r>
      <w:bookmarkEnd w:id="39"/>
      <w:bookmarkEnd w:id="40"/>
    </w:p>
    <w:p>
      <w:pPr>
        <w:pStyle w:val="zSubsection"/>
      </w:pPr>
      <w:r>
        <w:tab/>
      </w:r>
      <w:r>
        <w:tab/>
        <w:t>For the purposes of section 82A(b) of the Act, the position of Executive Manager, Serious Offender Registry is prescribed.</w:t>
      </w:r>
    </w:p>
    <w:p>
      <w:pPr>
        <w:pStyle w:val="BlankClose"/>
      </w:pPr>
    </w:p>
    <w:p>
      <w:pPr>
        <w:pStyle w:val="Heading5"/>
      </w:pPr>
      <w:bookmarkStart w:id="41" w:name="_Toc203646259"/>
      <w:bookmarkStart w:id="42" w:name="_Toc204073649"/>
      <w:r>
        <w:rPr>
          <w:rStyle w:val="CharSectno"/>
        </w:rPr>
        <w:t>16</w:t>
      </w:r>
      <w:r>
        <w:t>.</w:t>
      </w:r>
      <w:r>
        <w:tab/>
        <w:t>Regulation 21 amended</w:t>
      </w:r>
      <w:bookmarkEnd w:id="41"/>
      <w:bookmarkEnd w:id="42"/>
    </w:p>
    <w:p>
      <w:pPr>
        <w:pStyle w:val="Subsection"/>
        <w:keepNext/>
      </w:pPr>
      <w:r>
        <w:tab/>
        <w:t>(1)</w:t>
      </w:r>
      <w:r>
        <w:tab/>
        <w:t>In regulation 21:</w:t>
      </w:r>
    </w:p>
    <w:p>
      <w:pPr>
        <w:pStyle w:val="Indenta"/>
        <w:keepNext/>
      </w:pPr>
      <w:r>
        <w:tab/>
        <w:t>(a)</w:t>
      </w:r>
      <w:r>
        <w:tab/>
        <w:t>delete “Each o</w:t>
      </w:r>
      <w:r>
        <w:rPr>
          <w:spacing w:val="40"/>
        </w:rPr>
        <w:t>f</w:t>
      </w:r>
      <w:r>
        <w:t>”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Each of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(ca) insert:</w:t>
      </w:r>
    </w:p>
    <w:p>
      <w:pPr>
        <w:pStyle w:val="BlankOpen"/>
      </w:pPr>
    </w:p>
    <w:p>
      <w:pPr>
        <w:pStyle w:val="zIndenta"/>
      </w:pPr>
      <w:r>
        <w:tab/>
        <w:t>(cb)</w:t>
      </w:r>
      <w:r>
        <w:tab/>
        <w:t xml:space="preserve">a sexual harm prevention order made under the </w:t>
      </w:r>
      <w:r>
        <w:rPr>
          <w:i/>
          <w:iCs/>
        </w:rPr>
        <w:t>Sexual Offences Act 2003</w:t>
      </w:r>
      <w:r>
        <w:t xml:space="preserve"> (United Kingdom) section 103A;</w:t>
      </w:r>
    </w:p>
    <w:p>
      <w:pPr>
        <w:pStyle w:val="BlankClose"/>
      </w:pPr>
    </w:p>
    <w:p>
      <w:pPr>
        <w:pStyle w:val="Indenta"/>
        <w:keepNext/>
      </w:pPr>
      <w:r>
        <w:lastRenderedPageBreak/>
        <w:tab/>
        <w:t>(c)</w:t>
      </w:r>
      <w:r>
        <w:tab/>
        <w:t>after paragraph (d) insert:</w:t>
      </w:r>
    </w:p>
    <w:p>
      <w:pPr>
        <w:pStyle w:val="BlankOpen"/>
      </w:pPr>
    </w:p>
    <w:p>
      <w:pPr>
        <w:pStyle w:val="zIndenta"/>
      </w:pPr>
      <w:r>
        <w:tab/>
        <w:t>(da)</w:t>
      </w:r>
      <w:r>
        <w:tab/>
        <w:t xml:space="preserve">a sexual harm prevention order made under the </w:t>
      </w:r>
      <w:r>
        <w:rPr>
          <w:i/>
          <w:iCs/>
        </w:rPr>
        <w:t>Abusive Behaviour and Sexual Harm (Scotland) Act 2016</w:t>
      </w:r>
      <w:r>
        <w:t xml:space="preserve"> (Scotland) section 11 or 12;</w:t>
      </w:r>
    </w:p>
    <w:p>
      <w:pPr>
        <w:pStyle w:val="BlankClose"/>
      </w:pPr>
    </w:p>
    <w:p>
      <w:pPr>
        <w:pStyle w:val="Indenta"/>
      </w:pPr>
      <w:r>
        <w:tab/>
        <w:t>(d)</w:t>
      </w:r>
      <w:r>
        <w:tab/>
        <w:t>in paragraph (f) delete “</w:t>
      </w:r>
      <w:r>
        <w:rPr>
          <w:i/>
          <w:iCs/>
        </w:rPr>
        <w:t>Summary</w:t>
      </w:r>
      <w:r>
        <w:t>” and insert:</w:t>
      </w:r>
    </w:p>
    <w:p>
      <w:pPr>
        <w:pStyle w:val="BlankOpen"/>
      </w:pPr>
    </w:p>
    <w:p>
      <w:pPr>
        <w:pStyle w:val="Indenta"/>
        <w:rPr>
          <w:i/>
          <w:iCs/>
        </w:rPr>
      </w:pPr>
      <w:r>
        <w:tab/>
      </w:r>
      <w:r>
        <w:tab/>
      </w:r>
      <w:r>
        <w:rPr>
          <w:i/>
          <w:iCs/>
        </w:rPr>
        <w:t>Criminal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At the end of regulation 21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>If a provision referred to in this regulation is a repealed provision, the reference is taken to be a reference to the provision as in force from time to time before its repeal.</w:t>
      </w:r>
    </w:p>
    <w:p>
      <w:pPr>
        <w:pStyle w:val="BlankClose"/>
      </w:pPr>
    </w:p>
    <w:p>
      <w:pPr>
        <w:pStyle w:val="Heading5"/>
        <w:rPr>
          <w:snapToGrid w:val="0"/>
        </w:rPr>
      </w:pPr>
      <w:bookmarkStart w:id="43" w:name="_Toc203646260"/>
      <w:bookmarkStart w:id="44" w:name="_Toc204073650"/>
      <w:r>
        <w:rPr>
          <w:rStyle w:val="CharSectno"/>
        </w:rPr>
        <w:t>17</w:t>
      </w:r>
      <w:r>
        <w:rPr>
          <w:snapToGrid w:val="0"/>
        </w:rPr>
        <w:t>.</w:t>
      </w:r>
      <w:r>
        <w:rPr>
          <w:snapToGrid w:val="0"/>
        </w:rPr>
        <w:tab/>
        <w:t>Regulation 26A amended</w:t>
      </w:r>
      <w:bookmarkEnd w:id="43"/>
      <w:bookmarkEnd w:id="44"/>
    </w:p>
    <w:p>
      <w:pPr>
        <w:pStyle w:val="Subsection"/>
        <w:keepNext/>
      </w:pPr>
      <w:r>
        <w:tab/>
      </w:r>
      <w:r>
        <w:tab/>
        <w:t>In regulation 26A(1):</w:t>
      </w:r>
    </w:p>
    <w:p>
      <w:pPr>
        <w:pStyle w:val="Indenta"/>
      </w:pPr>
      <w:r>
        <w:tab/>
        <w:t>(a)</w:t>
      </w:r>
      <w:r>
        <w:tab/>
        <w:t>delete “his or 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 reportable offender’s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(a) delete “him or her”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them</w:t>
      </w:r>
    </w:p>
    <w:p>
      <w:pPr>
        <w:pStyle w:val="BlankClose"/>
      </w:pPr>
    </w:p>
    <w:p>
      <w:pPr>
        <w:pStyle w:val="Heading5"/>
      </w:pPr>
      <w:bookmarkStart w:id="45" w:name="_Toc203646261"/>
      <w:bookmarkStart w:id="46" w:name="_Toc204073651"/>
      <w:r>
        <w:rPr>
          <w:rStyle w:val="CharSectno"/>
        </w:rPr>
        <w:lastRenderedPageBreak/>
        <w:t>18</w:t>
      </w:r>
      <w:r>
        <w:t>.</w:t>
      </w:r>
      <w:r>
        <w:tab/>
        <w:t>Regulation 26C amended</w:t>
      </w:r>
      <w:bookmarkEnd w:id="45"/>
      <w:bookmarkEnd w:id="46"/>
    </w:p>
    <w:p>
      <w:pPr>
        <w:pStyle w:val="Subsection"/>
        <w:keepNext/>
      </w:pPr>
      <w:r>
        <w:tab/>
      </w:r>
      <w:r>
        <w:tab/>
        <w:t>In regulation 26C(2) and (3)(a) delete “his or her”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 reportable offender’s</w:t>
      </w:r>
    </w:p>
    <w:p>
      <w:pPr>
        <w:pStyle w:val="BlankClose"/>
      </w:pPr>
    </w:p>
    <w:p>
      <w:pPr>
        <w:pStyle w:val="Heading5"/>
      </w:pPr>
      <w:bookmarkStart w:id="47" w:name="_Toc203646262"/>
      <w:bookmarkStart w:id="48" w:name="_Toc204073652"/>
      <w:r>
        <w:rPr>
          <w:rStyle w:val="CharSectno"/>
        </w:rPr>
        <w:t>19</w:t>
      </w:r>
      <w:r>
        <w:t>.</w:t>
      </w:r>
      <w:r>
        <w:tab/>
        <w:t>Regulation 26E amended</w:t>
      </w:r>
      <w:bookmarkEnd w:id="47"/>
      <w:bookmarkEnd w:id="48"/>
    </w:p>
    <w:p>
      <w:pPr>
        <w:pStyle w:val="Subsection"/>
      </w:pPr>
      <w:r>
        <w:tab/>
      </w:r>
      <w:r>
        <w:tab/>
        <w:t>In regulation 26E(1) delete “his or her”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their</w:t>
      </w:r>
    </w:p>
    <w:p>
      <w:pPr>
        <w:pStyle w:val="BlankClose"/>
      </w:pPr>
    </w:p>
    <w:p>
      <w:pPr>
        <w:pStyle w:val="Heading5"/>
      </w:pPr>
      <w:bookmarkStart w:id="49" w:name="_Toc203646263"/>
      <w:bookmarkStart w:id="50" w:name="_Toc204073653"/>
      <w:r>
        <w:rPr>
          <w:rStyle w:val="CharSectno"/>
        </w:rPr>
        <w:t>20</w:t>
      </w:r>
      <w:r>
        <w:t>.</w:t>
      </w:r>
      <w:r>
        <w:tab/>
        <w:t>Regulation 26L inserted</w:t>
      </w:r>
      <w:bookmarkEnd w:id="49"/>
      <w:bookmarkEnd w:id="50"/>
    </w:p>
    <w:p>
      <w:pPr>
        <w:pStyle w:val="Subsection"/>
        <w:keepNext/>
      </w:pPr>
      <w:r>
        <w:tab/>
      </w:r>
      <w:r>
        <w:tab/>
        <w:t>After regulation 26K insert:</w:t>
      </w:r>
    </w:p>
    <w:p>
      <w:pPr>
        <w:pStyle w:val="BlankOpen"/>
      </w:pPr>
    </w:p>
    <w:p>
      <w:pPr>
        <w:pStyle w:val="zHeading5"/>
      </w:pPr>
      <w:bookmarkStart w:id="51" w:name="_Toc203646264"/>
      <w:bookmarkStart w:id="52" w:name="_Toc204073654"/>
      <w:r>
        <w:t>26L.</w:t>
      </w:r>
      <w:r>
        <w:tab/>
        <w:t>Prescribed offences under law of foreign jurisdiction (s. 108A)</w:t>
      </w:r>
      <w:bookmarkEnd w:id="51"/>
      <w:bookmarkEnd w:id="52"/>
    </w:p>
    <w:p>
      <w:pPr>
        <w:pStyle w:val="zSubsection"/>
        <w:keepNext/>
      </w:pPr>
      <w:r>
        <w:tab/>
        <w:t>(1)</w:t>
      </w:r>
      <w:r>
        <w:tab/>
        <w:t xml:space="preserve">For the purposes of section 108A(1)(c)(iv) of the Act, the following offences are prescribed — </w:t>
      </w:r>
    </w:p>
    <w:p>
      <w:pPr>
        <w:pStyle w:val="zIndenta"/>
      </w:pPr>
      <w:r>
        <w:tab/>
        <w:t>(a)</w:t>
      </w:r>
      <w:r>
        <w:tab/>
        <w:t xml:space="preserve">an offence against the </w:t>
      </w:r>
      <w:r>
        <w:rPr>
          <w:i/>
          <w:iCs/>
        </w:rPr>
        <w:t xml:space="preserve">Criminal Code </w:t>
      </w:r>
      <w:r>
        <w:t>(Commonwealth) section 474.19;</w:t>
      </w:r>
    </w:p>
    <w:p>
      <w:pPr>
        <w:pStyle w:val="zIndenta"/>
      </w:pPr>
      <w:r>
        <w:tab/>
        <w:t>(b)</w:t>
      </w:r>
      <w:r>
        <w:tab/>
        <w:t xml:space="preserve">an offence against the </w:t>
      </w:r>
      <w:r>
        <w:rPr>
          <w:i/>
          <w:iCs/>
        </w:rPr>
        <w:t xml:space="preserve">Criminal Code </w:t>
      </w:r>
      <w:r>
        <w:t>(Commonwealth) section 474.22.</w:t>
      </w:r>
    </w:p>
    <w:p>
      <w:pPr>
        <w:pStyle w:val="zSubsection"/>
        <w:keepNext/>
      </w:pPr>
      <w:r>
        <w:tab/>
        <w:t>(2)</w:t>
      </w:r>
      <w:r>
        <w:tab/>
        <w:t>If a provision referred to in this regulation is a repealed provision, the reference is taken to be a reference to the provision as in force from time to time before its repeal.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2025/142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23 Jul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Community Protection (Offender Reporting) Amendment Regulations (No. 2)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3" w:name="Coversheet"/>
    <w:bookmarkEnd w:id="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80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71711342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19091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19091923_GUID" w:val="13bd4d65-83d6-4f8c-acd2-7eb65d6a6f8f"/>
    <w:docVar w:name="WAFER_202506050925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605092555_GUID" w:val="31a7a040-9529-4197-9e4c-ab28e90dd341"/>
    <w:docVar w:name="WAFER_202507171134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717113429_GUID" w:val="89a73303-e606-45bf-8514-f2480ff42b5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."/>
  <w:listSeparator w:val=","/>
  <w15:docId w15:val="{FFD8081A-F7D1-45DD-BEB0-4B9B537B3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7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1947</Words>
  <Characters>9952</Characters>
  <Application>Microsoft Office Word</Application>
  <DocSecurity>0</DocSecurity>
  <Lines>414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Protection (Offender Reporting) Amendment Regulations (No. 2) 2025 - 00-00-00</dc:title>
  <dc:subject/>
  <dc:creator/>
  <cp:keywords/>
  <dc:description/>
  <cp:lastModifiedBy>Master Repository Process</cp:lastModifiedBy>
  <cp:revision>4</cp:revision>
  <cp:lastPrinted>2025-05-28T08:02:00Z</cp:lastPrinted>
  <dcterms:created xsi:type="dcterms:W3CDTF">2025-07-22T04:01:00Z</dcterms:created>
  <dcterms:modified xsi:type="dcterms:W3CDTF">2025-07-22T04:01:00Z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55301</vt:lpwstr>
  </property>
  <property fmtid="{D5CDD505-2E9C-101B-9397-08002B2CF9AE}" pid="3" name="DocumentType">
    <vt:lpwstr>Reg</vt:lpwstr>
  </property>
  <property fmtid="{D5CDD505-2E9C-101B-9397-08002B2CF9AE}" pid="4" name="CommencementAsAt">
    <vt:filetime>2025-07-22T16:00:00Z</vt:filetime>
  </property>
  <property fmtid="{D5CDD505-2E9C-101B-9397-08002B2CF9AE}" pid="5" name="CommencementYear">
    <vt:lpwstr>2025</vt:lpwstr>
  </property>
  <property fmtid="{D5CDD505-2E9C-101B-9397-08002B2CF9AE}" pid="6" name="SLAPId">
    <vt:lpwstr>2025/142</vt:lpwstr>
  </property>
  <property fmtid="{D5CDD505-2E9C-101B-9397-08002B2CF9AE}" pid="7" name="PublishDate">
    <vt:lpwstr>23 Jul 2025</vt:lpwstr>
  </property>
  <property fmtid="{D5CDD505-2E9C-101B-9397-08002B2CF9AE}" pid="8" name="CommencementDate">
    <vt:lpwstr>20250723</vt:lpwstr>
  </property>
  <property fmtid="{D5CDD505-2E9C-101B-9397-08002B2CF9AE}" pid="9" name="AsAtDate">
    <vt:lpwstr>23 Jul 2025</vt:lpwstr>
  </property>
  <property fmtid="{D5CDD505-2E9C-101B-9397-08002B2CF9AE}" pid="10" name="Suffix">
    <vt:lpwstr>00-00-00</vt:lpwstr>
  </property>
  <property fmtid="{D5CDD505-2E9C-101B-9397-08002B2CF9AE}" pid="11" name="Official">
    <vt:lpwstr/>
  </property>
</Properties>
</file>