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_Toc203745034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_Toc203745035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_Toc203745036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_Toc203745037 \h </w:instrText>
      </w:r>
      <w:r>
        <w:fldChar w:fldCharType="separate"/>
      </w:r>
      <w:r>
        <w:t>8</w:t>
      </w:r>
      <w:r>
        <w:fldChar w:fldCharType="end"/>
      </w:r>
    </w:p>
    <w:p>
      <w:pPr>
        <w:pStyle w:val="TOC8"/>
        <w:rPr>
          <w:rFonts w:asciiTheme="minorHAnsi" w:eastAsiaTheme="minorEastAsia" w:hAnsiTheme="minorHAnsi" w:cstheme="minorBidi"/>
          <w:szCs w:val="22"/>
        </w:rPr>
      </w:pPr>
      <w:r>
        <w:t>4A.</w:t>
      </w:r>
      <w:r>
        <w:tab/>
        <w:t>Meaning of reportable contact</w:t>
      </w:r>
      <w:r>
        <w:tab/>
      </w:r>
      <w:r>
        <w:fldChar w:fldCharType="begin"/>
      </w:r>
      <w:r>
        <w:instrText xml:space="preserve"> PAGEREF _Toc203745038 \h </w:instrText>
      </w:r>
      <w:r>
        <w:fldChar w:fldCharType="separate"/>
      </w:r>
      <w:r>
        <w:t>9</w:t>
      </w:r>
      <w:r>
        <w:fldChar w:fldCharType="end"/>
      </w:r>
    </w:p>
    <w:p>
      <w:pPr>
        <w:pStyle w:val="TOC8"/>
        <w:rPr>
          <w:rFonts w:asciiTheme="minorHAnsi" w:eastAsiaTheme="minorEastAsia" w:hAnsiTheme="minorHAnsi" w:cstheme="minorBidi"/>
          <w:szCs w:val="22"/>
        </w:rPr>
      </w:pPr>
      <w:r>
        <w:t>4B.</w:t>
      </w:r>
      <w:r>
        <w:tab/>
        <w:t>Meaning of reportable contact details</w:t>
      </w:r>
      <w:r>
        <w:tab/>
      </w:r>
      <w:r>
        <w:fldChar w:fldCharType="begin"/>
      </w:r>
      <w:r>
        <w:instrText xml:space="preserve"> PAGEREF _Toc203745039 \h </w:instrText>
      </w:r>
      <w:r>
        <w:fldChar w:fldCharType="separate"/>
      </w:r>
      <w:r>
        <w:t>10</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_Toc203745040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_Toc203745043 \h </w:instrText>
      </w:r>
      <w:r>
        <w:fldChar w:fldCharType="separate"/>
      </w:r>
      <w:r>
        <w:t>12</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_Toc203745044 \h </w:instrText>
      </w:r>
      <w:r>
        <w:fldChar w:fldCharType="separate"/>
      </w:r>
      <w:r>
        <w:t>13</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_Toc203745045 \h </w:instrText>
      </w:r>
      <w:r>
        <w:fldChar w:fldCharType="separate"/>
      </w:r>
      <w:r>
        <w:t>14</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_Toc203745046 \h </w:instrText>
      </w:r>
      <w:r>
        <w:fldChar w:fldCharType="separate"/>
      </w:r>
      <w:r>
        <w:t>14</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_Toc203745047 \h </w:instrText>
      </w:r>
      <w:r>
        <w:fldChar w:fldCharType="separate"/>
      </w:r>
      <w:r>
        <w:t>14</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_Toc203745048 \h </w:instrText>
      </w:r>
      <w:r>
        <w:fldChar w:fldCharType="separate"/>
      </w:r>
      <w:r>
        <w:t>15</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_Toc203745049 \h </w:instrText>
      </w:r>
      <w:r>
        <w:fldChar w:fldCharType="separate"/>
      </w:r>
      <w:r>
        <w:t>16</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_Toc203745050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_Toc203745052 \h </w:instrText>
      </w:r>
      <w:r>
        <w:fldChar w:fldCharType="separate"/>
      </w:r>
      <w:r>
        <w:t>18</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_Toc203745053 \h </w:instrText>
      </w:r>
      <w:r>
        <w:fldChar w:fldCharType="separate"/>
      </w:r>
      <w:r>
        <w:t>19</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_Toc203745054 \h </w:instrText>
      </w:r>
      <w:r>
        <w:fldChar w:fldCharType="separate"/>
      </w:r>
      <w:r>
        <w:t>19</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_Toc203745055 \h </w:instrText>
      </w:r>
      <w:r>
        <w:fldChar w:fldCharType="separate"/>
      </w:r>
      <w:r>
        <w:t>19</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_Toc203745056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Court may make past offender reporting orders</w:t>
      </w:r>
      <w:r>
        <w:tab/>
      </w:r>
      <w:r>
        <w:fldChar w:fldCharType="begin"/>
      </w:r>
      <w:r>
        <w:instrText xml:space="preserve"> PAGEREF _Toc203745057 \h </w:instrText>
      </w:r>
      <w:r>
        <w:fldChar w:fldCharType="separate"/>
      </w:r>
      <w:r>
        <w:t>20</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_Toc203745058 \h </w:instrText>
      </w:r>
      <w:r>
        <w:fldChar w:fldCharType="separate"/>
      </w:r>
      <w:r>
        <w:t>21</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_Toc203745059 \h </w:instrText>
      </w:r>
      <w:r>
        <w:fldChar w:fldCharType="separate"/>
      </w:r>
      <w:r>
        <w:t>22</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_Toc203745060 \h </w:instrText>
      </w:r>
      <w:r>
        <w:fldChar w:fldCharType="separate"/>
      </w:r>
      <w:r>
        <w:t>22</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_Toc203745061 \h </w:instrText>
      </w:r>
      <w:r>
        <w:fldChar w:fldCharType="separate"/>
      </w:r>
      <w:r>
        <w:t>22</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_Toc203745062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_Toc203745065 \h </w:instrText>
      </w:r>
      <w:r>
        <w:fldChar w:fldCharType="separate"/>
      </w:r>
      <w:r>
        <w:t>24</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_Toc203745066 \h </w:instrText>
      </w:r>
      <w:r>
        <w:fldChar w:fldCharType="separate"/>
      </w:r>
      <w:r>
        <w:t>26</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_Toc203745067 \h </w:instrText>
      </w:r>
      <w:r>
        <w:fldChar w:fldCharType="separate"/>
      </w:r>
      <w:r>
        <w:t>28</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_Toc203745068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_Toc203745071 \h </w:instrText>
      </w:r>
      <w:r>
        <w:fldChar w:fldCharType="separate"/>
      </w:r>
      <w:r>
        <w:t>35</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_Toc203745072 \h </w:instrText>
      </w:r>
      <w:r>
        <w:fldChar w:fldCharType="separate"/>
      </w:r>
      <w:r>
        <w:t>36</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_Toc203745073 \h </w:instrText>
      </w:r>
      <w:r>
        <w:fldChar w:fldCharType="separate"/>
      </w:r>
      <w:r>
        <w:t>37</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_Toc203745074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_Toc203745075 \h </w:instrText>
      </w:r>
      <w:r>
        <w:fldChar w:fldCharType="separate"/>
      </w:r>
      <w:r>
        <w:t>40</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_Toc203745076 \h </w:instrText>
      </w:r>
      <w:r>
        <w:fldChar w:fldCharType="separate"/>
      </w:r>
      <w:r>
        <w:t>41</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_Toc203745077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Reportable contact with child</w:t>
      </w:r>
    </w:p>
    <w:p>
      <w:pPr>
        <w:pStyle w:val="TOC8"/>
        <w:rPr>
          <w:rFonts w:asciiTheme="minorHAnsi" w:eastAsiaTheme="minorEastAsia" w:hAnsiTheme="minorHAnsi" w:cstheme="minorBidi"/>
          <w:szCs w:val="22"/>
        </w:rPr>
      </w:pPr>
      <w:r>
        <w:t>33A.</w:t>
      </w:r>
      <w:r>
        <w:tab/>
        <w:t>Ongoing reporting of reportable contact with child</w:t>
      </w:r>
      <w:r>
        <w:tab/>
      </w:r>
      <w:r>
        <w:fldChar w:fldCharType="begin"/>
      </w:r>
      <w:r>
        <w:instrText xml:space="preserve"> PAGEREF _Toc203745079 \h </w:instrText>
      </w:r>
      <w:r>
        <w:fldChar w:fldCharType="separate"/>
      </w:r>
      <w:r>
        <w:t>42</w:t>
      </w:r>
      <w:r>
        <w:fldChar w:fldCharType="end"/>
      </w:r>
    </w:p>
    <w:p>
      <w:pPr>
        <w:pStyle w:val="TOC8"/>
        <w:rPr>
          <w:rFonts w:asciiTheme="minorHAnsi" w:eastAsiaTheme="minorEastAsia" w:hAnsiTheme="minorHAnsi" w:cstheme="minorBidi"/>
          <w:szCs w:val="22"/>
        </w:rPr>
      </w:pPr>
      <w:r>
        <w:t>33B.</w:t>
      </w:r>
      <w:r>
        <w:tab/>
        <w:t>Exemption from ongoing reporting of reportable contact with child</w:t>
      </w:r>
      <w:r>
        <w:tab/>
      </w:r>
      <w:r>
        <w:fldChar w:fldCharType="begin"/>
      </w:r>
      <w:r>
        <w:instrText xml:space="preserve"> PAGEREF _Toc203745080 \h </w:instrText>
      </w:r>
      <w:r>
        <w:fldChar w:fldCharType="separate"/>
      </w:r>
      <w:r>
        <w:t>42</w:t>
      </w:r>
      <w:r>
        <w:fldChar w:fldCharType="end"/>
      </w:r>
    </w:p>
    <w:p>
      <w:pPr>
        <w:pStyle w:val="TOC8"/>
        <w:rPr>
          <w:rFonts w:asciiTheme="minorHAnsi" w:eastAsiaTheme="minorEastAsia" w:hAnsiTheme="minorHAnsi" w:cstheme="minorBidi"/>
          <w:szCs w:val="22"/>
        </w:rPr>
      </w:pPr>
      <w:r>
        <w:t>33C.</w:t>
      </w:r>
      <w:r>
        <w:tab/>
        <w:t>When exemptions end</w:t>
      </w:r>
      <w:r>
        <w:tab/>
      </w:r>
      <w:r>
        <w:fldChar w:fldCharType="begin"/>
      </w:r>
      <w:r>
        <w:instrText xml:space="preserve"> PAGEREF _Toc203745081 \h </w:instrText>
      </w:r>
      <w:r>
        <w:fldChar w:fldCharType="separate"/>
      </w:r>
      <w:r>
        <w:t>43</w:t>
      </w:r>
      <w:r>
        <w:fldChar w:fldCharType="end"/>
      </w:r>
    </w:p>
    <w:p>
      <w:pPr>
        <w:pStyle w:val="TOC8"/>
        <w:rPr>
          <w:rFonts w:asciiTheme="minorHAnsi" w:eastAsiaTheme="minorEastAsia" w:hAnsiTheme="minorHAnsi" w:cstheme="minorBidi"/>
          <w:szCs w:val="22"/>
        </w:rPr>
      </w:pPr>
      <w:r>
        <w:t>33D.</w:t>
      </w:r>
      <w:r>
        <w:tab/>
        <w:t>Reporting of reportable contact with child ceasing for 60 days</w:t>
      </w:r>
      <w:r>
        <w:tab/>
      </w:r>
      <w:r>
        <w:fldChar w:fldCharType="begin"/>
      </w:r>
      <w:r>
        <w:instrText xml:space="preserve"> PAGEREF _Toc203745082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_Toc203745084 \h </w:instrText>
      </w:r>
      <w:r>
        <w:fldChar w:fldCharType="separate"/>
      </w:r>
      <w:r>
        <w:t>45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_Toc203745085 \h </w:instrText>
      </w:r>
      <w:r>
        <w:fldChar w:fldCharType="separate"/>
      </w:r>
      <w:r>
        <w:t>46</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_Toc203745086 \h </w:instrText>
      </w:r>
      <w:r>
        <w:fldChar w:fldCharType="separate"/>
      </w:r>
      <w:r>
        <w:t>47</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_Toc203745087 \h </w:instrText>
      </w:r>
      <w:r>
        <w:fldChar w:fldCharType="separate"/>
      </w:r>
      <w:r>
        <w:t>47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_Toc203745088 \h </w:instrText>
      </w:r>
      <w:r>
        <w:fldChar w:fldCharType="separate"/>
      </w:r>
      <w:r>
        <w:t>49</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_Toc203745089 \h </w:instrText>
      </w:r>
      <w:r>
        <w:fldChar w:fldCharType="separate"/>
      </w:r>
      <w:r>
        <w:t>52</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_Toc203745090 \h </w:instrText>
      </w:r>
      <w:r>
        <w:fldChar w:fldCharType="separate"/>
      </w:r>
      <w:r>
        <w:t>52</w:t>
      </w:r>
      <w:r>
        <w:fldChar w:fldCharType="end"/>
      </w:r>
    </w:p>
    <w:p>
      <w:pPr>
        <w:pStyle w:val="TOC8"/>
        <w:rPr>
          <w:rFonts w:asciiTheme="minorHAnsi" w:eastAsiaTheme="minorEastAsia" w:hAnsiTheme="minorHAnsi" w:cstheme="minorBidi"/>
          <w:szCs w:val="22"/>
        </w:rPr>
      </w:pPr>
      <w:r>
        <w:t>40A.</w:t>
      </w:r>
      <w:r>
        <w:tab/>
        <w:t>Power to obtain DNA profiles</w:t>
      </w:r>
      <w:r>
        <w:tab/>
      </w:r>
      <w:r>
        <w:fldChar w:fldCharType="begin"/>
      </w:r>
      <w:r>
        <w:instrText xml:space="preserve"> PAGEREF _Toc203745091 \h </w:instrText>
      </w:r>
      <w:r>
        <w:fldChar w:fldCharType="separate"/>
      </w:r>
      <w:r>
        <w:t>53</w:t>
      </w:r>
      <w:r>
        <w:fldChar w:fldCharType="end"/>
      </w:r>
    </w:p>
    <w:p>
      <w:pPr>
        <w:pStyle w:val="TOC8"/>
        <w:rPr>
          <w:rFonts w:asciiTheme="minorHAnsi" w:eastAsiaTheme="minorEastAsia" w:hAnsiTheme="minorHAnsi" w:cstheme="minorBidi"/>
          <w:szCs w:val="22"/>
        </w:rPr>
      </w:pPr>
      <w:r>
        <w:t>41.</w:t>
      </w:r>
      <w:r>
        <w:tab/>
        <w:t>Reasonable force may be used to obtain DNA profiles, fingerprints and photographs</w:t>
      </w:r>
      <w:r>
        <w:tab/>
      </w:r>
      <w:r>
        <w:fldChar w:fldCharType="begin"/>
      </w:r>
      <w:r>
        <w:instrText xml:space="preserve"> PAGEREF _Toc203745092 \h </w:instrText>
      </w:r>
      <w:r>
        <w:fldChar w:fldCharType="separate"/>
      </w:r>
      <w:r>
        <w:t>54</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_Toc203745093 \h </w:instrText>
      </w:r>
      <w:r>
        <w:fldChar w:fldCharType="separate"/>
      </w:r>
      <w:r>
        <w:t>55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_Toc203745094 \h </w:instrText>
      </w:r>
      <w:r>
        <w:fldChar w:fldCharType="separate"/>
      </w:r>
      <w:r>
        <w:t>56</w:t>
      </w:r>
      <w:r>
        <w:fldChar w:fldCharType="end"/>
      </w:r>
    </w:p>
    <w:p>
      <w:pPr>
        <w:pStyle w:val="TOC8"/>
        <w:rPr>
          <w:rFonts w:asciiTheme="minorHAnsi" w:eastAsiaTheme="minorEastAsia" w:hAnsiTheme="minorHAnsi" w:cstheme="minorBidi"/>
          <w:szCs w:val="22"/>
        </w:rPr>
      </w:pPr>
      <w:r>
        <w:t>43A.</w:t>
      </w:r>
      <w:r>
        <w:tab/>
        <w:t>Time for reporting</w:t>
      </w:r>
      <w:r>
        <w:tab/>
      </w:r>
      <w:r>
        <w:fldChar w:fldCharType="begin"/>
      </w:r>
      <w:r>
        <w:instrText xml:space="preserve"> PAGEREF _Toc203745095 \h </w:instrText>
      </w:r>
      <w:r>
        <w:fldChar w:fldCharType="separate"/>
      </w:r>
      <w:r>
        <w:t>57</w:t>
      </w:r>
      <w:r>
        <w:fldChar w:fldCharType="end"/>
      </w:r>
    </w:p>
    <w:p>
      <w:pPr>
        <w:pStyle w:val="TOC8"/>
        <w:rPr>
          <w:rFonts w:asciiTheme="minorHAnsi" w:eastAsiaTheme="minorEastAsia" w:hAnsiTheme="minorHAnsi" w:cstheme="minorBidi"/>
          <w:szCs w:val="22"/>
        </w:rPr>
      </w:pPr>
      <w:r>
        <w:t>43B.</w:t>
      </w:r>
      <w:r>
        <w:tab/>
        <w:t>Powers additional</w:t>
      </w:r>
      <w:r>
        <w:tab/>
      </w:r>
      <w:r>
        <w:fldChar w:fldCharType="begin"/>
      </w:r>
      <w:r>
        <w:instrText xml:space="preserve"> PAGEREF _Toc203745096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_Toc203745098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_Toc203745100 \h </w:instrText>
      </w:r>
      <w:r>
        <w:fldChar w:fldCharType="separate"/>
      </w:r>
      <w:r>
        <w:t>58</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_Toc203745101 \h </w:instrText>
      </w:r>
      <w:r>
        <w:fldChar w:fldCharType="separate"/>
      </w:r>
      <w:r>
        <w:t>59</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_Toc203745102 \h </w:instrText>
      </w:r>
      <w:r>
        <w:fldChar w:fldCharType="separate"/>
      </w:r>
      <w:r>
        <w:t>60</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_Toc203745103 \h </w:instrText>
      </w:r>
      <w:r>
        <w:fldChar w:fldCharType="separate"/>
      </w:r>
      <w:r>
        <w:t>61</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_Toc203745104 \h </w:instrText>
      </w:r>
      <w:r>
        <w:fldChar w:fldCharType="separate"/>
      </w:r>
      <w:r>
        <w:t>61</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_Toc203745105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_Toc203745107 \h </w:instrText>
      </w:r>
      <w:r>
        <w:fldChar w:fldCharType="separate"/>
      </w:r>
      <w:r>
        <w:t>62</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_Toc203745108 \h </w:instrText>
      </w:r>
      <w:r>
        <w:fldChar w:fldCharType="separate"/>
      </w:r>
      <w:r>
        <w:t>63</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_Toc203745109 \h </w:instrText>
      </w:r>
      <w:r>
        <w:fldChar w:fldCharType="separate"/>
      </w:r>
      <w:r>
        <w:t>63</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_Toc203745110 \h </w:instrText>
      </w:r>
      <w:r>
        <w:fldChar w:fldCharType="separate"/>
      </w:r>
      <w:r>
        <w:t>64</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_Toc203745111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56.</w:t>
      </w:r>
      <w:r>
        <w:tab/>
        <w:t>No costs to be awarded</w:t>
      </w:r>
      <w:r>
        <w:tab/>
      </w:r>
      <w:r>
        <w:fldChar w:fldCharType="begin"/>
      </w:r>
      <w:r>
        <w:instrText xml:space="preserve"> PAGEREF _Toc203745112 \h </w:instrText>
      </w:r>
      <w:r>
        <w:fldChar w:fldCharType="separate"/>
      </w:r>
      <w:r>
        <w:t>65</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_Toc203745113 \h </w:instrText>
      </w:r>
      <w:r>
        <w:fldChar w:fldCharType="separate"/>
      </w:r>
      <w:r>
        <w:t>65</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_Toc203745114 \h </w:instrText>
      </w:r>
      <w:r>
        <w:fldChar w:fldCharType="separate"/>
      </w:r>
      <w:r>
        <w:t>66</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_Toc203745115 \h </w:instrText>
      </w:r>
      <w:r>
        <w:fldChar w:fldCharType="separate"/>
      </w:r>
      <w:r>
        <w:t>66</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_Toc203745116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_Toc203745118 \h </w:instrText>
      </w:r>
      <w:r>
        <w:fldChar w:fldCharType="separate"/>
      </w:r>
      <w:r>
        <w:t>67</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_Toc203745119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_Toc203745121 \h </w:instrText>
      </w:r>
      <w:r>
        <w:fldChar w:fldCharType="separate"/>
      </w:r>
      <w:r>
        <w:t>70</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_Toc203745122 \h </w:instrText>
      </w:r>
      <w:r>
        <w:fldChar w:fldCharType="separate"/>
      </w:r>
      <w:r>
        <w:t>71</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_Toc203745123 \h </w:instrText>
      </w:r>
      <w:r>
        <w:fldChar w:fldCharType="separate"/>
      </w:r>
      <w:r>
        <w:t>71</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_Toc203745124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_Toc203745126 \h </w:instrText>
      </w:r>
      <w:r>
        <w:fldChar w:fldCharType="separate"/>
      </w:r>
      <w:r>
        <w:t>71</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_Toc203745127 \h </w:instrText>
      </w:r>
      <w:r>
        <w:fldChar w:fldCharType="separate"/>
      </w:r>
      <w:r>
        <w:t>73</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_Toc203745128 \h </w:instrText>
      </w:r>
      <w:r>
        <w:fldChar w:fldCharType="separate"/>
      </w:r>
      <w:r>
        <w:t>73</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_Toc203745129 \h </w:instrText>
      </w:r>
      <w:r>
        <w:fldChar w:fldCharType="separate"/>
      </w:r>
      <w:r>
        <w:t>73</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_Toc203745130 \h </w:instrText>
      </w:r>
      <w:r>
        <w:fldChar w:fldCharType="separate"/>
      </w:r>
      <w:r>
        <w:t>74</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_Toc203745131 \h </w:instrText>
      </w:r>
      <w:r>
        <w:fldChar w:fldCharType="separate"/>
      </w:r>
      <w:r>
        <w:t>75</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_Toc203745132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_Toc203745134 \h </w:instrText>
      </w:r>
      <w:r>
        <w:fldChar w:fldCharType="separate"/>
      </w:r>
      <w:r>
        <w:t>76</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_Toc203745135 \h </w:instrText>
      </w:r>
      <w:r>
        <w:fldChar w:fldCharType="separate"/>
      </w:r>
      <w:r>
        <w:t>76</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_Toc203745136 \h </w:instrText>
      </w:r>
      <w:r>
        <w:fldChar w:fldCharType="separate"/>
      </w:r>
      <w:r>
        <w:t>77</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_Toc203745137 \h </w:instrText>
      </w:r>
      <w:r>
        <w:fldChar w:fldCharType="separate"/>
      </w:r>
      <w:r>
        <w:t>77</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_Toc203745138 \h </w:instrText>
      </w:r>
      <w:r>
        <w:fldChar w:fldCharType="separate"/>
      </w:r>
      <w:r>
        <w:t>78</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_Toc203745139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_Toc203745141 \h </w:instrText>
      </w:r>
      <w:r>
        <w:fldChar w:fldCharType="separate"/>
      </w:r>
      <w:r>
        <w:t>80</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_Toc203745142 \h </w:instrText>
      </w:r>
      <w:r>
        <w:fldChar w:fldCharType="separate"/>
      </w:r>
      <w:r>
        <w:t>80</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_Toc203745143 \h </w:instrText>
      </w:r>
      <w:r>
        <w:fldChar w:fldCharType="separate"/>
      </w:r>
      <w:r>
        <w:t>80</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_Toc203745144 \h </w:instrText>
      </w:r>
      <w:r>
        <w:fldChar w:fldCharType="separate"/>
      </w:r>
      <w:r>
        <w:t>81</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_Toc203745145 \h </w:instrText>
      </w:r>
      <w:r>
        <w:fldChar w:fldCharType="separate"/>
      </w:r>
      <w:r>
        <w:t>82</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_Toc203745146 \h </w:instrText>
      </w:r>
      <w:r>
        <w:fldChar w:fldCharType="separate"/>
      </w:r>
      <w:r>
        <w:t>83</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_Toc203745147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_Toc203745149 \h </w:instrText>
      </w:r>
      <w:r>
        <w:fldChar w:fldCharType="separate"/>
      </w:r>
      <w:r>
        <w:t>85</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_Toc203745150 \h </w:instrText>
      </w:r>
      <w:r>
        <w:fldChar w:fldCharType="separate"/>
      </w:r>
      <w:r>
        <w:t>86</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_Toc203745151 \h </w:instrText>
      </w:r>
      <w:r>
        <w:fldChar w:fldCharType="separate"/>
      </w:r>
      <w:r>
        <w:t>86</w:t>
      </w:r>
      <w:r>
        <w:fldChar w:fldCharType="end"/>
      </w:r>
    </w:p>
    <w:p>
      <w:pPr>
        <w:pStyle w:val="TOC8"/>
        <w:rPr>
          <w:rFonts w:asciiTheme="minorHAnsi" w:eastAsiaTheme="minorEastAsia" w:hAnsiTheme="minorHAnsi" w:cstheme="minorBidi"/>
          <w:szCs w:val="22"/>
        </w:rPr>
      </w:pPr>
      <w:r>
        <w:t>82A.</w:t>
      </w:r>
      <w:r>
        <w:tab/>
        <w:t>Delegation by Commissioner</w:t>
      </w:r>
      <w:r>
        <w:tab/>
      </w:r>
      <w:r>
        <w:fldChar w:fldCharType="begin"/>
      </w:r>
      <w:r>
        <w:instrText xml:space="preserve"> PAGEREF _Toc203745152 \h </w:instrText>
      </w:r>
      <w:r>
        <w:fldChar w:fldCharType="separate"/>
      </w:r>
      <w:r>
        <w:t>88</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_Toc203745153 \h </w:instrText>
      </w:r>
      <w:r>
        <w:fldChar w:fldCharType="separate"/>
      </w:r>
      <w:r>
        <w:t>89</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_Toc203745154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_Toc203745157 \h </w:instrText>
      </w:r>
      <w:r>
        <w:fldChar w:fldCharType="separate"/>
      </w:r>
      <w:r>
        <w:t>90</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_Toc203745158 \h </w:instrText>
      </w:r>
      <w:r>
        <w:fldChar w:fldCharType="separate"/>
      </w:r>
      <w:r>
        <w:t>91</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_Toc203745159 \h </w:instrText>
      </w:r>
      <w:r>
        <w:fldChar w:fldCharType="separate"/>
      </w:r>
      <w:r>
        <w:t>92</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_Toc203745160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_Toc203745162 \h </w:instrText>
      </w:r>
      <w:r>
        <w:fldChar w:fldCharType="separate"/>
      </w:r>
      <w:r>
        <w:t>92</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_Toc203745163 \h </w:instrText>
      </w:r>
      <w:r>
        <w:fldChar w:fldCharType="separate"/>
      </w:r>
      <w:r>
        <w:t>92</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_Toc203745164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85GA.</w:t>
      </w:r>
      <w:r>
        <w:tab/>
        <w:t>Notice to give address and photograph to Commissioner</w:t>
      </w:r>
      <w:r>
        <w:tab/>
      </w:r>
      <w:r>
        <w:fldChar w:fldCharType="begin"/>
      </w:r>
      <w:r>
        <w:instrText xml:space="preserve"> PAGEREF _Toc203745165 \h </w:instrText>
      </w:r>
      <w:r>
        <w:fldChar w:fldCharType="separate"/>
      </w:r>
      <w:r>
        <w:t>96</w:t>
      </w:r>
      <w:r>
        <w:fldChar w:fldCharType="end"/>
      </w:r>
    </w:p>
    <w:p>
      <w:pPr>
        <w:pStyle w:val="TOC8"/>
        <w:rPr>
          <w:rFonts w:asciiTheme="minorHAnsi" w:eastAsiaTheme="minorEastAsia" w:hAnsiTheme="minorHAnsi" w:cstheme="minorBidi"/>
          <w:szCs w:val="22"/>
        </w:rPr>
      </w:pPr>
      <w:r>
        <w:t>85GB.</w:t>
      </w:r>
      <w:r>
        <w:tab/>
        <w:t>Authorisation by Minister to publish photograph and locality in relation to certain offences</w:t>
      </w:r>
      <w:r>
        <w:tab/>
      </w:r>
      <w:r>
        <w:fldChar w:fldCharType="begin"/>
      </w:r>
      <w:r>
        <w:instrText xml:space="preserve"> PAGEREF _Toc203745166 \h </w:instrText>
      </w:r>
      <w:r>
        <w:fldChar w:fldCharType="separate"/>
      </w:r>
      <w:r>
        <w:t>97</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_Toc203745167 \h </w:instrText>
      </w:r>
      <w:r>
        <w:fldChar w:fldCharType="separate"/>
      </w:r>
      <w:r>
        <w:t>98</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_Toc203745168 \h </w:instrText>
      </w:r>
      <w:r>
        <w:fldChar w:fldCharType="separate"/>
      </w:r>
      <w:r>
        <w:t>99</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reportable offender</w:t>
      </w:r>
      <w:r>
        <w:tab/>
      </w:r>
      <w:r>
        <w:fldChar w:fldCharType="begin"/>
      </w:r>
      <w:r>
        <w:instrText xml:space="preserve"> PAGEREF _Toc203745169 \h </w:instrText>
      </w:r>
      <w:r>
        <w:fldChar w:fldCharType="separate"/>
      </w:r>
      <w:r>
        <w:t>101</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_Toc203745170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_Toc203745172 \h </w:instrText>
      </w:r>
      <w:r>
        <w:fldChar w:fldCharType="separate"/>
      </w:r>
      <w:r>
        <w:t>103</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_Toc203745173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_Toc203745176 \h </w:instrText>
      </w:r>
      <w:r>
        <w:fldChar w:fldCharType="separate"/>
      </w:r>
      <w:r>
        <w:t>106</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_Toc203745177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_Toc203745179 \h </w:instrText>
      </w:r>
      <w:r>
        <w:fldChar w:fldCharType="separate"/>
      </w:r>
      <w:r>
        <w:t>108</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_Toc203745180 \h </w:instrText>
      </w:r>
      <w:r>
        <w:fldChar w:fldCharType="separate"/>
      </w:r>
      <w:r>
        <w:t>108</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_Toc203745181 \h </w:instrText>
      </w:r>
      <w:r>
        <w:fldChar w:fldCharType="separate"/>
      </w:r>
      <w:r>
        <w:t>108</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_Toc203745182 \h </w:instrText>
      </w:r>
      <w:r>
        <w:fldChar w:fldCharType="separate"/>
      </w:r>
      <w:r>
        <w:t>109</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_Toc203745183 \h </w:instrText>
      </w:r>
      <w:r>
        <w:fldChar w:fldCharType="separate"/>
      </w:r>
      <w:r>
        <w:t>110</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_Toc203745184 \h </w:instrText>
      </w:r>
      <w:r>
        <w:fldChar w:fldCharType="separate"/>
      </w:r>
      <w:r>
        <w:t>111</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_Toc203745185 \h </w:instrText>
      </w:r>
      <w:r>
        <w:fldChar w:fldCharType="separate"/>
      </w:r>
      <w:r>
        <w:t>112</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_Toc203745186 \h </w:instrText>
      </w:r>
      <w:r>
        <w:fldChar w:fldCharType="separate"/>
      </w:r>
      <w:r>
        <w:t>114</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_Toc203745187 \h </w:instrText>
      </w:r>
      <w:r>
        <w:fldChar w:fldCharType="separate"/>
      </w:r>
      <w:r>
        <w:t>115</w:t>
      </w:r>
      <w:r>
        <w:fldChar w:fldCharType="end"/>
      </w:r>
    </w:p>
    <w:p>
      <w:pPr>
        <w:pStyle w:val="TOC8"/>
        <w:rPr>
          <w:rFonts w:asciiTheme="minorHAnsi" w:eastAsiaTheme="minorEastAsia" w:hAnsiTheme="minorHAnsi" w:cstheme="minorBidi"/>
          <w:szCs w:val="22"/>
        </w:rPr>
      </w:pPr>
      <w:r>
        <w:t>94C.</w:t>
      </w:r>
      <w:r>
        <w:tab/>
        <w:t>Authorised police officers may enter premises to inspect electronic devices</w:t>
      </w:r>
      <w:r>
        <w:tab/>
      </w:r>
      <w:r>
        <w:fldChar w:fldCharType="begin"/>
      </w:r>
      <w:r>
        <w:instrText xml:space="preserve"> PAGEREF _Toc203745188 \h </w:instrText>
      </w:r>
      <w:r>
        <w:fldChar w:fldCharType="separate"/>
      </w:r>
      <w:r>
        <w:t>118</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_Toc203745189 \h </w:instrText>
      </w:r>
      <w:r>
        <w:fldChar w:fldCharType="separate"/>
      </w:r>
      <w:r>
        <w:t>119</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_Toc203745190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_Toc203745192 \h </w:instrText>
      </w:r>
      <w:r>
        <w:fldChar w:fldCharType="separate"/>
      </w:r>
      <w:r>
        <w:t>120</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_Toc203745193 \h </w:instrText>
      </w:r>
      <w:r>
        <w:fldChar w:fldCharType="separate"/>
      </w:r>
      <w:r>
        <w:t>121</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_Toc203745194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_Toc203745196 \h </w:instrText>
      </w:r>
      <w:r>
        <w:fldChar w:fldCharType="separate"/>
      </w:r>
      <w:r>
        <w:t>122</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_Toc203745197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_Toc203745199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_Toc203745201 \h </w:instrText>
      </w:r>
      <w:r>
        <w:fldChar w:fldCharType="separate"/>
      </w:r>
      <w:r>
        <w:t>123</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_Toc203745202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_Toc203745204 \h </w:instrText>
      </w:r>
      <w:r>
        <w:fldChar w:fldCharType="separate"/>
      </w:r>
      <w:r>
        <w:t>124</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_Toc203745205 \h </w:instrText>
      </w:r>
      <w:r>
        <w:fldChar w:fldCharType="separate"/>
      </w:r>
      <w:r>
        <w:t>125</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_Toc203745206 \h </w:instrText>
      </w:r>
      <w:r>
        <w:fldChar w:fldCharType="separate"/>
      </w:r>
      <w:r>
        <w:t>126</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_Toc203745207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5B — Power to enter and search premises and vehicles in relation to serious reportable offenders</w:t>
      </w:r>
    </w:p>
    <w:p>
      <w:pPr>
        <w:pStyle w:val="TOC8"/>
        <w:rPr>
          <w:rFonts w:asciiTheme="minorHAnsi" w:eastAsiaTheme="minorEastAsia" w:hAnsiTheme="minorHAnsi" w:cstheme="minorBidi"/>
          <w:szCs w:val="22"/>
        </w:rPr>
      </w:pPr>
      <w:r>
        <w:t>108A.</w:t>
      </w:r>
      <w:r>
        <w:tab/>
        <w:t>Serious reportable offenders</w:t>
      </w:r>
      <w:r>
        <w:tab/>
      </w:r>
      <w:r>
        <w:fldChar w:fldCharType="begin"/>
      </w:r>
      <w:r>
        <w:instrText xml:space="preserve"> PAGEREF _Toc203745209 \h </w:instrText>
      </w:r>
      <w:r>
        <w:fldChar w:fldCharType="separate"/>
      </w:r>
      <w:r>
        <w:t>128</w:t>
      </w:r>
      <w:r>
        <w:fldChar w:fldCharType="end"/>
      </w:r>
    </w:p>
    <w:p>
      <w:pPr>
        <w:pStyle w:val="TOC8"/>
        <w:rPr>
          <w:rFonts w:asciiTheme="minorHAnsi" w:eastAsiaTheme="minorEastAsia" w:hAnsiTheme="minorHAnsi" w:cstheme="minorBidi"/>
          <w:szCs w:val="22"/>
        </w:rPr>
      </w:pPr>
      <w:r>
        <w:t>108B.</w:t>
      </w:r>
      <w:r>
        <w:tab/>
        <w:t>Restriction on exercise of powers under Part</w:t>
      </w:r>
      <w:r>
        <w:tab/>
      </w:r>
      <w:r>
        <w:fldChar w:fldCharType="begin"/>
      </w:r>
      <w:r>
        <w:instrText xml:space="preserve"> PAGEREF _Toc203745210 \h </w:instrText>
      </w:r>
      <w:r>
        <w:fldChar w:fldCharType="separate"/>
      </w:r>
      <w:r>
        <w:t>129</w:t>
      </w:r>
      <w:r>
        <w:fldChar w:fldCharType="end"/>
      </w:r>
    </w:p>
    <w:p>
      <w:pPr>
        <w:pStyle w:val="TOC8"/>
        <w:rPr>
          <w:rFonts w:asciiTheme="minorHAnsi" w:eastAsiaTheme="minorEastAsia" w:hAnsiTheme="minorHAnsi" w:cstheme="minorBidi"/>
          <w:szCs w:val="22"/>
        </w:rPr>
      </w:pPr>
      <w:r>
        <w:t>108C.</w:t>
      </w:r>
      <w:r>
        <w:tab/>
        <w:t>Additional police powers in relation to serious reportable offenders may be exercised without warrant</w:t>
      </w:r>
      <w:r>
        <w:tab/>
      </w:r>
      <w:r>
        <w:fldChar w:fldCharType="begin"/>
      </w:r>
      <w:r>
        <w:instrText xml:space="preserve"> PAGEREF _Toc203745211 \h </w:instrText>
      </w:r>
      <w:r>
        <w:fldChar w:fldCharType="separate"/>
      </w:r>
      <w:r>
        <w:t>129</w:t>
      </w:r>
      <w:r>
        <w:fldChar w:fldCharType="end"/>
      </w:r>
    </w:p>
    <w:p>
      <w:pPr>
        <w:pStyle w:val="TOC8"/>
        <w:rPr>
          <w:rFonts w:asciiTheme="minorHAnsi" w:eastAsiaTheme="minorEastAsia" w:hAnsiTheme="minorHAnsi" w:cstheme="minorBidi"/>
          <w:szCs w:val="22"/>
        </w:rPr>
      </w:pPr>
      <w:r>
        <w:t>108D.</w:t>
      </w:r>
      <w:r>
        <w:tab/>
        <w:t>Use of force when exercising powers under this Part</w:t>
      </w:r>
      <w:r>
        <w:tab/>
      </w:r>
      <w:r>
        <w:fldChar w:fldCharType="begin"/>
      </w:r>
      <w:r>
        <w:instrText xml:space="preserve"> PAGEREF _Toc203745212 \h </w:instrText>
      </w:r>
      <w:r>
        <w:fldChar w:fldCharType="separate"/>
      </w:r>
      <w:r>
        <w:t>129</w:t>
      </w:r>
      <w:r>
        <w:fldChar w:fldCharType="end"/>
      </w:r>
    </w:p>
    <w:p>
      <w:pPr>
        <w:pStyle w:val="TOC8"/>
        <w:rPr>
          <w:rFonts w:asciiTheme="minorHAnsi" w:eastAsiaTheme="minorEastAsia" w:hAnsiTheme="minorHAnsi" w:cstheme="minorBidi"/>
          <w:szCs w:val="22"/>
        </w:rPr>
      </w:pPr>
      <w:r>
        <w:t>108E.</w:t>
      </w:r>
      <w:r>
        <w:tab/>
        <w:t>Entry to and search of premises and vehicles in relation to serious reportable offenders</w:t>
      </w:r>
      <w:r>
        <w:tab/>
      </w:r>
      <w:r>
        <w:fldChar w:fldCharType="begin"/>
      </w:r>
      <w:r>
        <w:instrText xml:space="preserve"> PAGEREF _Toc203745213 \h </w:instrText>
      </w:r>
      <w:r>
        <w:fldChar w:fldCharType="separate"/>
      </w:r>
      <w:r>
        <w:t>130</w:t>
      </w:r>
      <w:r>
        <w:fldChar w:fldCharType="end"/>
      </w:r>
    </w:p>
    <w:p>
      <w:pPr>
        <w:pStyle w:val="TOC8"/>
        <w:rPr>
          <w:rFonts w:asciiTheme="minorHAnsi" w:eastAsiaTheme="minorEastAsia" w:hAnsiTheme="minorHAnsi" w:cstheme="minorBidi"/>
          <w:szCs w:val="22"/>
        </w:rPr>
      </w:pPr>
      <w:r>
        <w:t>108F.</w:t>
      </w:r>
      <w:r>
        <w:tab/>
        <w:t>Power to seize things relevant to offences</w:t>
      </w:r>
      <w:r>
        <w:tab/>
      </w:r>
      <w:r>
        <w:fldChar w:fldCharType="begin"/>
      </w:r>
      <w:r>
        <w:instrText xml:space="preserve"> PAGEREF _Toc203745214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_Toc203745216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109A.</w:t>
      </w:r>
      <w:r>
        <w:tab/>
        <w:t>Assistance when exercising powers</w:t>
      </w:r>
      <w:r>
        <w:tab/>
      </w:r>
      <w:r>
        <w:fldChar w:fldCharType="begin"/>
      </w:r>
      <w:r>
        <w:instrText xml:space="preserve"> PAGEREF _Toc203745217 \h </w:instrText>
      </w:r>
      <w:r>
        <w:fldChar w:fldCharType="separate"/>
      </w:r>
      <w:r>
        <w:t>133</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_Toc203745218 \h </w:instrText>
      </w:r>
      <w:r>
        <w:fldChar w:fldCharType="separate"/>
      </w:r>
      <w:r>
        <w:t>133</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_Toc203745219 \h </w:instrText>
      </w:r>
      <w:r>
        <w:fldChar w:fldCharType="separate"/>
      </w:r>
      <w:r>
        <w:t>134</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_Toc203745220 \h </w:instrText>
      </w:r>
      <w:r>
        <w:fldChar w:fldCharType="separate"/>
      </w:r>
      <w:r>
        <w:t>135</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_Toc203745221 \h </w:instrText>
      </w:r>
      <w:r>
        <w:fldChar w:fldCharType="separate"/>
      </w:r>
      <w:r>
        <w:t>136</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_Toc203745222 \h </w:instrText>
      </w:r>
      <w:r>
        <w:fldChar w:fldCharType="separate"/>
      </w:r>
      <w:r>
        <w:t>136</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_Toc203745223 \h </w:instrText>
      </w:r>
      <w:r>
        <w:fldChar w:fldCharType="separate"/>
      </w:r>
      <w:r>
        <w:t>137</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_Toc203745224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 and consequential amendment</w:t>
      </w:r>
    </w:p>
    <w:p>
      <w:pPr>
        <w:pStyle w:val="TOC4"/>
        <w:tabs>
          <w:tab w:val="right" w:leader="dot" w:pos="7077"/>
        </w:tabs>
        <w:rPr>
          <w:rFonts w:asciiTheme="minorHAnsi" w:eastAsiaTheme="minorEastAsia" w:hAnsiTheme="minorHAnsi" w:cstheme="minorBidi"/>
          <w:b w:val="0"/>
          <w:szCs w:val="22"/>
        </w:rPr>
      </w:pPr>
      <w:r>
        <w:t xml:space="preserve">Division 1 — Transitional matters relating to </w:t>
      </w:r>
      <w:r>
        <w:rPr>
          <w:i/>
          <w:iCs/>
        </w:rPr>
        <w:t>Community Protection (Offender Reporting) Amendment Act 2008</w:t>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_Toc203745227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relating to </w:t>
      </w:r>
      <w:r>
        <w:rPr>
          <w:i/>
          <w:iCs/>
        </w:rPr>
        <w:t>Community Protection (Offender Reporting) Amendment Act (No. 2) 2012</w:t>
      </w:r>
      <w:r>
        <w:t xml:space="preserve"> and consequential amendment</w:t>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_Toc203745229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matters relating to </w:t>
      </w:r>
      <w:r>
        <w:rPr>
          <w:i/>
          <w:iCs/>
        </w:rPr>
        <w:t>Community Protection (Offender Reporting) Amendment Act 2024</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117.</w:t>
      </w:r>
      <w:r>
        <w:tab/>
      </w:r>
      <w:r>
        <w:rPr>
          <w:i/>
        </w:rPr>
        <w:t>Interpretation Act 1984</w:t>
      </w:r>
      <w:r>
        <w:t xml:space="preserve"> not affected</w:t>
      </w:r>
      <w:r>
        <w:tab/>
      </w:r>
      <w:r>
        <w:fldChar w:fldCharType="begin"/>
      </w:r>
      <w:r>
        <w:instrText xml:space="preserve"> PAGEREF _Toc203745232 \h </w:instrText>
      </w:r>
      <w:r>
        <w:fldChar w:fldCharType="separate"/>
      </w:r>
      <w:r>
        <w:t>143</w:t>
      </w:r>
      <w:r>
        <w:fldChar w:fldCharType="end"/>
      </w:r>
    </w:p>
    <w:p>
      <w:pPr>
        <w:pStyle w:val="TOC8"/>
        <w:rPr>
          <w:rFonts w:asciiTheme="minorHAnsi" w:eastAsiaTheme="minorEastAsia" w:hAnsiTheme="minorHAnsi" w:cstheme="minorBidi"/>
          <w:szCs w:val="22"/>
        </w:rPr>
      </w:pPr>
      <w:r>
        <w:t>118.</w:t>
      </w:r>
      <w:r>
        <w:tab/>
        <w:t>Transitional regulations</w:t>
      </w:r>
      <w:r>
        <w:tab/>
      </w:r>
      <w:r>
        <w:fldChar w:fldCharType="begin"/>
      </w:r>
      <w:r>
        <w:instrText xml:space="preserve"> PAGEREF _Toc203745233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transitional provisions</w:t>
      </w:r>
    </w:p>
    <w:p>
      <w:pPr>
        <w:pStyle w:val="TOC8"/>
        <w:rPr>
          <w:rFonts w:asciiTheme="minorHAnsi" w:eastAsiaTheme="minorEastAsia" w:hAnsiTheme="minorHAnsi" w:cstheme="minorBidi"/>
          <w:szCs w:val="22"/>
        </w:rPr>
      </w:pPr>
      <w:r>
        <w:t>119.</w:t>
      </w:r>
      <w:r>
        <w:tab/>
        <w:t>Term used: commencement day</w:t>
      </w:r>
      <w:r>
        <w:tab/>
      </w:r>
      <w:r>
        <w:fldChar w:fldCharType="begin"/>
      </w:r>
      <w:r>
        <w:instrText xml:space="preserve"> PAGEREF _Toc203745235 \h </w:instrText>
      </w:r>
      <w:r>
        <w:fldChar w:fldCharType="separate"/>
      </w:r>
      <w:r>
        <w:t>145</w:t>
      </w:r>
      <w:r>
        <w:fldChar w:fldCharType="end"/>
      </w:r>
    </w:p>
    <w:p>
      <w:pPr>
        <w:pStyle w:val="TOC8"/>
        <w:rPr>
          <w:rFonts w:asciiTheme="minorHAnsi" w:eastAsiaTheme="minorEastAsia" w:hAnsiTheme="minorHAnsi" w:cstheme="minorBidi"/>
          <w:szCs w:val="22"/>
        </w:rPr>
      </w:pPr>
      <w:r>
        <w:t>120.</w:t>
      </w:r>
      <w:r>
        <w:tab/>
        <w:t>Notifying reporting obligations and reporting periods before commencement day</w:t>
      </w:r>
      <w:r>
        <w:tab/>
      </w:r>
      <w:r>
        <w:fldChar w:fldCharType="begin"/>
      </w:r>
      <w:r>
        <w:instrText xml:space="preserve"> PAGEREF _Toc203745236 \h </w:instrText>
      </w:r>
      <w:r>
        <w:fldChar w:fldCharType="separate"/>
      </w:r>
      <w:r>
        <w:t>145</w:t>
      </w:r>
      <w:r>
        <w:fldChar w:fldCharType="end"/>
      </w:r>
    </w:p>
    <w:p>
      <w:pPr>
        <w:pStyle w:val="TOC8"/>
        <w:rPr>
          <w:rFonts w:asciiTheme="minorHAnsi" w:eastAsiaTheme="minorEastAsia" w:hAnsiTheme="minorHAnsi" w:cstheme="minorBidi"/>
          <w:szCs w:val="22"/>
        </w:rPr>
      </w:pPr>
      <w:r>
        <w:t>121.</w:t>
      </w:r>
      <w:r>
        <w:tab/>
        <w:t>Reporting period and reporting obligations in relation to person who was reportable offender or committed offence before commencement day</w:t>
      </w:r>
      <w:r>
        <w:tab/>
      </w:r>
      <w:r>
        <w:fldChar w:fldCharType="begin"/>
      </w:r>
      <w:r>
        <w:instrText xml:space="preserve"> PAGEREF _Toc203745237 \h </w:instrText>
      </w:r>
      <w:r>
        <w:fldChar w:fldCharType="separate"/>
      </w:r>
      <w:r>
        <w:t>146</w:t>
      </w:r>
      <w:r>
        <w:fldChar w:fldCharType="end"/>
      </w:r>
    </w:p>
    <w:p>
      <w:pPr>
        <w:pStyle w:val="TOC8"/>
        <w:rPr>
          <w:rFonts w:asciiTheme="minorHAnsi" w:eastAsiaTheme="minorEastAsia" w:hAnsiTheme="minorHAnsi" w:cstheme="minorBidi"/>
          <w:szCs w:val="22"/>
        </w:rPr>
      </w:pPr>
      <w:r>
        <w:t>122.</w:t>
      </w:r>
      <w:r>
        <w:tab/>
        <w:t>Reporting period in relation to reportable offender in immigration detention before commencement day</w:t>
      </w:r>
      <w:r>
        <w:tab/>
      </w:r>
      <w:r>
        <w:fldChar w:fldCharType="begin"/>
      </w:r>
      <w:r>
        <w:instrText xml:space="preserve"> PAGEREF _Toc203745238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123.</w:t>
      </w:r>
      <w:r>
        <w:tab/>
        <w:t>References to personal details of reportable offenders before commencement day</w:t>
      </w:r>
      <w:r>
        <w:tab/>
      </w:r>
      <w:r>
        <w:fldChar w:fldCharType="begin"/>
      </w:r>
      <w:r>
        <w:instrText xml:space="preserve"> PAGEREF _Toc203745239 \h </w:instrText>
      </w:r>
      <w:r>
        <w:fldChar w:fldCharType="separate"/>
      </w:r>
      <w:r>
        <w:t>148</w:t>
      </w:r>
      <w:r>
        <w:fldChar w:fldCharType="end"/>
      </w:r>
    </w:p>
    <w:p>
      <w:pPr>
        <w:pStyle w:val="TOC8"/>
        <w:rPr>
          <w:rFonts w:asciiTheme="minorHAnsi" w:eastAsiaTheme="minorEastAsia" w:hAnsiTheme="minorHAnsi" w:cstheme="minorBidi"/>
          <w:szCs w:val="22"/>
        </w:rPr>
      </w:pPr>
      <w:r>
        <w:t>124.</w:t>
      </w:r>
      <w:r>
        <w:tab/>
        <w:t>Application to person not sentenced before commencement day</w:t>
      </w:r>
      <w:r>
        <w:tab/>
      </w:r>
      <w:r>
        <w:fldChar w:fldCharType="begin"/>
      </w:r>
      <w:r>
        <w:instrText xml:space="preserve"> PAGEREF _Toc203745240 \h </w:instrText>
      </w:r>
      <w:r>
        <w:fldChar w:fldCharType="separate"/>
      </w:r>
      <w:r>
        <w:t>149</w:t>
      </w:r>
      <w:r>
        <w:fldChar w:fldCharType="end"/>
      </w:r>
    </w:p>
    <w:p>
      <w:pPr>
        <w:pStyle w:val="TOC8"/>
        <w:rPr>
          <w:rFonts w:asciiTheme="minorHAnsi" w:eastAsiaTheme="minorEastAsia" w:hAnsiTheme="minorHAnsi" w:cstheme="minorBidi"/>
          <w:szCs w:val="22"/>
        </w:rPr>
      </w:pPr>
      <w:r>
        <w:t>125.</w:t>
      </w:r>
      <w:r>
        <w:tab/>
        <w:t>Application of powers in relation to person who was reportable offender, or in relation to offence committed, before commencement day</w:t>
      </w:r>
      <w:r>
        <w:tab/>
      </w:r>
      <w:r>
        <w:fldChar w:fldCharType="begin"/>
      </w:r>
      <w:r>
        <w:instrText xml:space="preserve"> PAGEREF _Toc203745241 \h </w:instrText>
      </w:r>
      <w:r>
        <w:fldChar w:fldCharType="separate"/>
      </w:r>
      <w:r>
        <w:t>149</w:t>
      </w:r>
      <w:r>
        <w:fldChar w:fldCharType="end"/>
      </w:r>
    </w:p>
    <w:p>
      <w:pPr>
        <w:pStyle w:val="TOC8"/>
        <w:rPr>
          <w:rFonts w:asciiTheme="minorHAnsi" w:eastAsiaTheme="minorEastAsia" w:hAnsiTheme="minorHAnsi" w:cstheme="minorBidi"/>
          <w:szCs w:val="22"/>
        </w:rPr>
      </w:pPr>
      <w:r>
        <w:t>126.</w:t>
      </w:r>
      <w:r>
        <w:tab/>
        <w:t>Minister may revoke authorisations to publish photograph and locality given before commencement day</w:t>
      </w:r>
      <w:r>
        <w:tab/>
      </w:r>
      <w:r>
        <w:fldChar w:fldCharType="begin"/>
      </w:r>
      <w:r>
        <w:instrText xml:space="preserve"> PAGEREF _Toc203745242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_Toc203745246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_Toc203745247 \h </w:instrText>
      </w:r>
      <w:r>
        <w:fldChar w:fldCharType="separate"/>
      </w:r>
      <w:r>
        <w:t>157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_Toc203745248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203658131"/>
      <w:bookmarkStart w:id="3" w:name="_Toc203745033"/>
      <w:r>
        <w:rPr>
          <w:rStyle w:val="CharPartNo"/>
        </w:rPr>
        <w:lastRenderedPageBreak/>
        <w:t>Part 1</w:t>
      </w:r>
      <w:r>
        <w:rPr>
          <w:rStyle w:val="CharDivNo"/>
        </w:rPr>
        <w:t> </w:t>
      </w:r>
      <w:r>
        <w:t>—</w:t>
      </w:r>
      <w:r>
        <w:rPr>
          <w:rStyle w:val="CharDivText"/>
        </w:rPr>
        <w:t> </w:t>
      </w:r>
      <w:r>
        <w:rPr>
          <w:rStyle w:val="CharPartText"/>
        </w:rPr>
        <w:t>Preliminary matters</w:t>
      </w:r>
      <w:bookmarkEnd w:id="2"/>
      <w:bookmarkEnd w:id="3"/>
    </w:p>
    <w:p>
      <w:pPr>
        <w:pStyle w:val="Heading5"/>
      </w:pPr>
      <w:bookmarkStart w:id="4" w:name="_Toc203745034"/>
      <w:r>
        <w:rPr>
          <w:rStyle w:val="CharSectno"/>
        </w:rPr>
        <w:t>1</w:t>
      </w:r>
      <w:r>
        <w:t>.</w:t>
      </w:r>
      <w:r>
        <w:tab/>
        <w:t>Short title</w:t>
      </w:r>
      <w:bookmarkEnd w:id="4"/>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5" w:name="_Toc203745035"/>
      <w:r>
        <w:rPr>
          <w:rStyle w:val="CharSectno"/>
        </w:rPr>
        <w:t>2</w:t>
      </w:r>
      <w:r>
        <w:t>.</w:t>
      </w:r>
      <w:r>
        <w:tab/>
        <w:t>Commencement</w:t>
      </w:r>
      <w:bookmarkEnd w:id="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6" w:name="_Toc203745036"/>
      <w:r>
        <w:rPr>
          <w:rStyle w:val="CharSectno"/>
        </w:rPr>
        <w:t>3</w:t>
      </w:r>
      <w:r>
        <w:t>.</w:t>
      </w:r>
      <w:r>
        <w:tab/>
        <w:t>Terms used</w:t>
      </w:r>
      <w:bookmarkEnd w:id="6"/>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lastRenderedPageBreak/>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electronic device</w:t>
      </w:r>
      <w:r>
        <w:t xml:space="preserve"> means any device capable of storing or accessing electronic data;</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lastRenderedPageBreak/>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 or</w:t>
      </w:r>
    </w:p>
    <w:p>
      <w:pPr>
        <w:pStyle w:val="Defpara"/>
      </w:pPr>
      <w:r>
        <w:tab/>
        <w:t>(c)</w:t>
      </w:r>
      <w:r>
        <w:tab/>
        <w:t>immigration detention under a law of a foreign jurisdiction;</w:t>
      </w:r>
    </w:p>
    <w:p>
      <w:pPr>
        <w:pStyle w:val="Defstart"/>
      </w:pPr>
      <w:r>
        <w:tab/>
      </w:r>
      <w:r>
        <w:rPr>
          <w:rStyle w:val="CharDefText"/>
        </w:rPr>
        <w:t>immigration detention</w:t>
      </w:r>
      <w:r>
        <w:t> —</w:t>
      </w:r>
    </w:p>
    <w:p>
      <w:pPr>
        <w:pStyle w:val="Defpara"/>
      </w:pPr>
      <w:r>
        <w:tab/>
        <w:t>(a)</w:t>
      </w:r>
      <w:r>
        <w:tab/>
        <w:t xml:space="preserve">includes immigration detention as defined in the </w:t>
      </w:r>
      <w:r>
        <w:rPr>
          <w:i/>
        </w:rPr>
        <w:t>Migration Act 1958</w:t>
      </w:r>
      <w:r>
        <w:t xml:space="preserve"> (Commonwealth) section 5(1); but </w:t>
      </w:r>
    </w:p>
    <w:p>
      <w:pPr>
        <w:pStyle w:val="Defpara"/>
      </w:pPr>
      <w:r>
        <w:tab/>
        <w:t>(b)</w:t>
      </w:r>
      <w:r>
        <w:tab/>
        <w:t xml:space="preserve">does not include detention during a period when a person undertakes the detention in the community; </w:t>
      </w:r>
    </w:p>
    <w:p>
      <w:pPr>
        <w:pStyle w:val="PermNoteHeading"/>
      </w:pPr>
      <w:r>
        <w:tab/>
        <w:t xml:space="preserve">Example for this definition: </w:t>
      </w:r>
    </w:p>
    <w:p>
      <w:pPr>
        <w:pStyle w:val="PermNoteText"/>
      </w:pPr>
      <w:r>
        <w:tab/>
      </w:r>
      <w:r>
        <w:tab/>
        <w:t xml:space="preserve">For the purposes of paragraph (b) — detention of a person subject to a residence determination under the </w:t>
      </w:r>
      <w:r>
        <w:rPr>
          <w:i/>
        </w:rPr>
        <w:t>Migration Act 1958</w:t>
      </w:r>
      <w:r>
        <w:t xml:space="preserve"> (Commonwealth) section 197AB(1).</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pPr>
      <w:r>
        <w:tab/>
      </w:r>
      <w:r>
        <w:rPr>
          <w:rStyle w:val="CharDefText"/>
        </w:rPr>
        <w:t>non</w:t>
      </w:r>
      <w:r>
        <w:rPr>
          <w:rStyle w:val="CharDefText"/>
        </w:rPr>
        <w:noBreakHyphen/>
        <w:t>intimate identifying procedure</w:t>
      </w:r>
      <w:r>
        <w:t xml:space="preserve"> has the meaning given in the </w:t>
      </w:r>
      <w:r>
        <w:rPr>
          <w:i/>
          <w:iCs/>
        </w:rPr>
        <w:t>Criminal Investigation (Identifying People) Act 2002</w:t>
      </w:r>
      <w:r>
        <w:t xml:space="preserve"> section 3(1);</w:t>
      </w:r>
    </w:p>
    <w:p>
      <w:pPr>
        <w:pStyle w:val="Defstart"/>
        <w:rPr>
          <w:b/>
          <w:i/>
        </w:rPr>
      </w:pPr>
      <w:r>
        <w:rPr>
          <w:b/>
        </w:rPr>
        <w:tab/>
      </w:r>
      <w:r>
        <w:rPr>
          <w:rStyle w:val="CharDefText"/>
        </w:rPr>
        <w:t>offender reporting order</w:t>
      </w:r>
      <w:r>
        <w:t xml:space="preserve"> means an order made under section 13 or 14A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lastRenderedPageBreak/>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tab/>
      </w:r>
      <w:r>
        <w:rPr>
          <w:rStyle w:val="CharDefText"/>
        </w:rPr>
        <w:t>reportable contact</w:t>
      </w:r>
      <w:r>
        <w:t xml:space="preserve"> has the meaning given in section 4A;</w:t>
      </w:r>
    </w:p>
    <w:p>
      <w:pPr>
        <w:pStyle w:val="Defstart"/>
      </w:pPr>
      <w:r>
        <w:tab/>
      </w:r>
      <w:r>
        <w:rPr>
          <w:rStyle w:val="CharDefText"/>
        </w:rPr>
        <w:t>reportable contact details</w:t>
      </w:r>
      <w:r>
        <w:t xml:space="preserve"> has the meaning given in section 4B;</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the offender by Part 3;</w:t>
      </w:r>
    </w:p>
    <w:p>
      <w:pPr>
        <w:pStyle w:val="Defstart"/>
      </w:pPr>
      <w:r>
        <w:tab/>
      </w:r>
      <w:r>
        <w:rPr>
          <w:rStyle w:val="CharDefText"/>
        </w:rPr>
        <w:t>reporting order</w:t>
      </w:r>
      <w:r>
        <w:t xml:space="preserve"> means any of the following — </w:t>
      </w:r>
    </w:p>
    <w:p>
      <w:pPr>
        <w:pStyle w:val="Defpara"/>
      </w:pPr>
      <w:r>
        <w:tab/>
        <w:t>(a)</w:t>
      </w:r>
      <w:r>
        <w:tab/>
        <w:t xml:space="preserve">an offender reporting order; </w:t>
      </w:r>
    </w:p>
    <w:p>
      <w:pPr>
        <w:pStyle w:val="Defpara"/>
      </w:pPr>
      <w:r>
        <w:tab/>
        <w:t>(b)</w:t>
      </w:r>
      <w:r>
        <w:tab/>
        <w:t>a past offender reporting order;</w:t>
      </w:r>
    </w:p>
    <w:p>
      <w:pPr>
        <w:pStyle w:val="PermNoteHeading"/>
      </w:pPr>
      <w:r>
        <w:lastRenderedPageBreak/>
        <w:tab/>
        <w:t xml:space="preserve">Note for this definition: </w:t>
      </w:r>
    </w:p>
    <w:p>
      <w:pPr>
        <w:pStyle w:val="PermNoteText"/>
      </w:pPr>
      <w:r>
        <w:tab/>
      </w:r>
      <w:r>
        <w:tab/>
        <w:t>For the purposes of paragraph (a) — an offender reporting order includes a corresponding offender reporting order.</w:t>
      </w:r>
    </w:p>
    <w:p>
      <w:pPr>
        <w:pStyle w:val="Defstart"/>
      </w:pPr>
      <w:r>
        <w:rPr>
          <w:b/>
        </w:rPr>
        <w:tab/>
      </w:r>
      <w:r>
        <w:rPr>
          <w:rStyle w:val="CharDefText"/>
        </w:rPr>
        <w:t>reporting period</w:t>
      </w:r>
      <w:r>
        <w:t xml:space="preserve"> means the period, as determined under Part 3 Division 5, during which a reportable offender must comply with the offender’s reporting obligations;</w:t>
      </w:r>
    </w:p>
    <w:p>
      <w:pPr>
        <w:pStyle w:val="Defstart"/>
      </w:pPr>
      <w:r>
        <w:tab/>
      </w:r>
      <w:r>
        <w:rPr>
          <w:rStyle w:val="CharDefText"/>
        </w:rPr>
        <w:t>senior police officer</w:t>
      </w:r>
      <w:r>
        <w:t xml:space="preserve"> means a police officer of, or acting in, the rank of sergeant or a higher rank;</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person in immigration detention, as a 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lastRenderedPageBreak/>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as the supervising authority of that class of reportable offenders;</w:t>
      </w:r>
    </w:p>
    <w:p>
      <w:pPr>
        <w:pStyle w:val="Defstart"/>
      </w:pPr>
      <w:r>
        <w:tab/>
      </w:r>
      <w:r>
        <w:rPr>
          <w:rStyle w:val="CharDefText"/>
        </w:rPr>
        <w:t>WA Police</w:t>
      </w:r>
      <w:r>
        <w:t xml:space="preserve"> has the meaning given in the </w:t>
      </w:r>
      <w:r>
        <w:rPr>
          <w:i/>
        </w:rPr>
        <w:t xml:space="preserve">Criminal Investigation (Identifying People) Act 2002 </w:t>
      </w:r>
      <w:r>
        <w:rPr>
          <w:iCs/>
        </w:rPr>
        <w:t>section 3(1)</w:t>
      </w:r>
      <w:r>
        <w:t>;</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 No. 31 of 2024 s. 28; No. 35 of 2024 s. 4 and 59.]</w:t>
      </w:r>
    </w:p>
    <w:p>
      <w:pPr>
        <w:pStyle w:val="Heading5"/>
      </w:pPr>
      <w:bookmarkStart w:id="7" w:name="_Toc203745037"/>
      <w:r>
        <w:rPr>
          <w:rStyle w:val="CharSectno"/>
        </w:rPr>
        <w:t>4</w:t>
      </w:r>
      <w:r>
        <w:t>.</w:t>
      </w:r>
      <w:r>
        <w:tab/>
        <w:t>Meaning of finding of guilt</w:t>
      </w:r>
      <w:bookmarkEnd w:id="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lastRenderedPageBreak/>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8" w:name="_Toc180506966"/>
      <w:bookmarkStart w:id="9" w:name="_Toc203745038"/>
      <w:r>
        <w:rPr>
          <w:rStyle w:val="CharSectno"/>
        </w:rPr>
        <w:t>4A</w:t>
      </w:r>
      <w:r>
        <w:t>.</w:t>
      </w:r>
      <w:r>
        <w:tab/>
        <w:t>Meaning of reportable contact</w:t>
      </w:r>
      <w:bookmarkEnd w:id="8"/>
      <w:bookmarkEnd w:id="9"/>
    </w:p>
    <w:p>
      <w:pPr>
        <w:pStyle w:val="Subsection"/>
      </w:pPr>
      <w:r>
        <w:tab/>
        <w:t>(1)</w:t>
      </w:r>
      <w:r>
        <w:tab/>
        <w:t xml:space="preserve">A reportable offender has </w:t>
      </w:r>
      <w:r>
        <w:rPr>
          <w:rStyle w:val="CharDefText"/>
        </w:rPr>
        <w:t>reportable contact</w:t>
      </w:r>
      <w:r>
        <w:t xml:space="preserve"> with a child if the offender has contact with the child when the offender — </w:t>
      </w:r>
    </w:p>
    <w:p>
      <w:pPr>
        <w:pStyle w:val="Indenta"/>
      </w:pPr>
      <w:r>
        <w:tab/>
        <w:t>(a)</w:t>
      </w:r>
      <w:r>
        <w:tab/>
        <w:t>supervises or cares for the child; or</w:t>
      </w:r>
    </w:p>
    <w:p>
      <w:pPr>
        <w:pStyle w:val="Indenta"/>
      </w:pPr>
      <w:r>
        <w:tab/>
        <w:t>(b)</w:t>
      </w:r>
      <w:r>
        <w:tab/>
        <w:t>visits or stays at a household where the child is present; or</w:t>
      </w:r>
    </w:p>
    <w:p>
      <w:pPr>
        <w:pStyle w:val="Indenta"/>
      </w:pPr>
      <w:r>
        <w:tab/>
        <w:t>(c)</w:t>
      </w:r>
      <w:r>
        <w:tab/>
        <w:t>gives their contact details to the child or receives the child’s contact details; or</w:t>
      </w:r>
    </w:p>
    <w:p>
      <w:pPr>
        <w:pStyle w:val="Indenta"/>
      </w:pPr>
      <w:r>
        <w:tab/>
        <w:t>(d)</w:t>
      </w:r>
      <w:r>
        <w:tab/>
        <w:t>befriends or attempts to befriend the child.</w:t>
      </w:r>
    </w:p>
    <w:p>
      <w:pPr>
        <w:pStyle w:val="Subsection"/>
      </w:pPr>
      <w:r>
        <w:tab/>
        <w:t>(2)</w:t>
      </w:r>
      <w:r>
        <w:tab/>
        <w:t xml:space="preserve">For the purposes of this section, contact with a child by a reportable offender includes any of the following — </w:t>
      </w:r>
    </w:p>
    <w:p>
      <w:pPr>
        <w:pStyle w:val="Indenta"/>
      </w:pPr>
      <w:r>
        <w:tab/>
        <w:t>(a)</w:t>
      </w:r>
      <w:r>
        <w:tab/>
        <w:t xml:space="preserve">the offender having physical contact with the child; </w:t>
      </w:r>
    </w:p>
    <w:p>
      <w:pPr>
        <w:pStyle w:val="Indenta"/>
      </w:pPr>
      <w:r>
        <w:tab/>
        <w:t>(b)</w:t>
      </w:r>
      <w:r>
        <w:tab/>
        <w:t xml:space="preserve">the offender being in very close physical proximity to the child; </w:t>
      </w:r>
    </w:p>
    <w:p>
      <w:pPr>
        <w:pStyle w:val="Indenta"/>
      </w:pPr>
      <w:r>
        <w:tab/>
        <w:t>(c)</w:t>
      </w:r>
      <w:r>
        <w:tab/>
        <w:t>the offender communicating with the child (including oral or written communication or communication that takes place by mail, in person, by telephone or by electronic means).</w:t>
      </w:r>
    </w:p>
    <w:p>
      <w:pPr>
        <w:pStyle w:val="PermNoteHeading"/>
      </w:pPr>
      <w:r>
        <w:tab/>
        <w:t xml:space="preserve">Examples for this subsection: </w:t>
      </w:r>
    </w:p>
    <w:p>
      <w:pPr>
        <w:pStyle w:val="PermNoteText"/>
      </w:pPr>
      <w:r>
        <w:tab/>
      </w:r>
      <w:r>
        <w:tab/>
        <w:t>For the purposes of paragraph (c), electronic means includes internet, email, messaging service, chat room, social networking site, message board.</w:t>
      </w:r>
    </w:p>
    <w:p>
      <w:pPr>
        <w:pStyle w:val="Footnotesection"/>
      </w:pPr>
      <w:bookmarkStart w:id="10" w:name="_Toc180506967"/>
      <w:r>
        <w:tab/>
        <w:t>[Section 4A inserted: No. 35 of 2024 s. 5.]</w:t>
      </w:r>
    </w:p>
    <w:p>
      <w:pPr>
        <w:pStyle w:val="Heading5"/>
      </w:pPr>
      <w:bookmarkStart w:id="11" w:name="_Toc203745039"/>
      <w:r>
        <w:rPr>
          <w:rStyle w:val="CharSectno"/>
        </w:rPr>
        <w:lastRenderedPageBreak/>
        <w:t>4B</w:t>
      </w:r>
      <w:r>
        <w:t>.</w:t>
      </w:r>
      <w:r>
        <w:tab/>
        <w:t>Meaning of reportable contact details</w:t>
      </w:r>
      <w:bookmarkEnd w:id="10"/>
      <w:bookmarkEnd w:id="11"/>
    </w:p>
    <w:p>
      <w:pPr>
        <w:pStyle w:val="Subsection"/>
        <w:keepNext/>
      </w:pPr>
      <w:r>
        <w:tab/>
        <w:t>(1)</w:t>
      </w:r>
      <w:r>
        <w:tab/>
        <w:t xml:space="preserve">For the purposes of this Act, </w:t>
      </w:r>
      <w:r>
        <w:rPr>
          <w:rStyle w:val="CharDefText"/>
        </w:rPr>
        <w:t>reportable contact details</w:t>
      </w:r>
      <w:r>
        <w:t xml:space="preserve">, in relation to a reportable offender’s reportable contact or likely reportable contact with a child, are — </w:t>
      </w:r>
    </w:p>
    <w:p>
      <w:pPr>
        <w:pStyle w:val="Indenta"/>
      </w:pPr>
      <w:r>
        <w:tab/>
        <w:t>(a)</w:t>
      </w:r>
      <w:r>
        <w:tab/>
        <w:t>the name, age and residential address (if known) and any other known contact details of each child with whom the offender has reportable contact or is likely to have reportable contact; and</w:t>
      </w:r>
    </w:p>
    <w:p>
      <w:pPr>
        <w:pStyle w:val="Indenta"/>
      </w:pPr>
      <w:r>
        <w:tab/>
        <w:t>(b)</w:t>
      </w:r>
      <w:r>
        <w:tab/>
        <w:t>the name and residential address (if known) and any other known contact details of each parent or guardian of each child referred to in paragraph (a); and</w:t>
      </w:r>
    </w:p>
    <w:p>
      <w:pPr>
        <w:pStyle w:val="Indenta"/>
      </w:pPr>
      <w:r>
        <w:tab/>
        <w:t>(c)</w:t>
      </w:r>
      <w:r>
        <w:tab/>
        <w:t>details related to the reportable contact or likely reportable contact with the child referred to in paragraph (a).</w:t>
      </w:r>
    </w:p>
    <w:p>
      <w:pPr>
        <w:pStyle w:val="Subsection"/>
      </w:pPr>
      <w:r>
        <w:tab/>
        <w:t>(2)</w:t>
      </w:r>
      <w:r>
        <w:tab/>
        <w:t>For the purposes of this section, details related to reportable contact or likely reportable contact with a child by a reportable offender are —</w:t>
      </w:r>
    </w:p>
    <w:p>
      <w:pPr>
        <w:pStyle w:val="Indenta"/>
      </w:pPr>
      <w:r>
        <w:tab/>
        <w:t>(a)</w:t>
      </w:r>
      <w:r>
        <w:tab/>
        <w:t>a description of the type of contact the offender has with the child or is likely to have with the child; and</w:t>
      </w:r>
    </w:p>
    <w:p>
      <w:pPr>
        <w:pStyle w:val="Indenta"/>
      </w:pPr>
      <w:r>
        <w:tab/>
        <w:t>(b)</w:t>
      </w:r>
      <w:r>
        <w:tab/>
        <w:t xml:space="preserve">whether the contact occurs or is likely to occur when the offender — </w:t>
      </w:r>
    </w:p>
    <w:p>
      <w:pPr>
        <w:pStyle w:val="Indenti"/>
      </w:pPr>
      <w:r>
        <w:tab/>
        <w:t>(i)</w:t>
      </w:r>
      <w:r>
        <w:tab/>
        <w:t>supervises or cares for the child; or</w:t>
      </w:r>
    </w:p>
    <w:p>
      <w:pPr>
        <w:pStyle w:val="Indenti"/>
      </w:pPr>
      <w:r>
        <w:tab/>
        <w:t>(ii)</w:t>
      </w:r>
      <w:r>
        <w:tab/>
        <w:t>visits or stays at a household where the child is present; or</w:t>
      </w:r>
    </w:p>
    <w:p>
      <w:pPr>
        <w:pStyle w:val="Indenti"/>
      </w:pPr>
      <w:r>
        <w:tab/>
        <w:t>(iii)</w:t>
      </w:r>
      <w:r>
        <w:tab/>
        <w:t>gives their contact details to the child or receives the child’s contact details; or</w:t>
      </w:r>
    </w:p>
    <w:p>
      <w:pPr>
        <w:pStyle w:val="Indenti"/>
      </w:pPr>
      <w:r>
        <w:tab/>
        <w:t>(iv)</w:t>
      </w:r>
      <w:r>
        <w:tab/>
        <w:t>befriends or attempts to befriend the child;</w:t>
      </w:r>
    </w:p>
    <w:p>
      <w:pPr>
        <w:pStyle w:val="Indenta"/>
      </w:pPr>
      <w:r>
        <w:tab/>
      </w:r>
      <w:r>
        <w:tab/>
        <w:t>and</w:t>
      </w:r>
    </w:p>
    <w:p>
      <w:pPr>
        <w:pStyle w:val="Indenta"/>
      </w:pPr>
      <w:r>
        <w:tab/>
        <w:t>(c)</w:t>
      </w:r>
      <w:r>
        <w:tab/>
        <w:t xml:space="preserve">any other prescribed details relating to the contact or likely contact. </w:t>
      </w:r>
    </w:p>
    <w:p>
      <w:pPr>
        <w:pStyle w:val="PermNoteHeading"/>
      </w:pPr>
      <w:r>
        <w:lastRenderedPageBreak/>
        <w:tab/>
        <w:t>Examples for this subsection:</w:t>
      </w:r>
    </w:p>
    <w:p>
      <w:pPr>
        <w:pStyle w:val="PermNoteText"/>
      </w:pPr>
      <w:r>
        <w:tab/>
      </w:r>
      <w:r>
        <w:tab/>
        <w:t>For the purposes of paragraph (a) — whether the contact involves or is likely to involve physical contact with the child, being in very close proximity to the child, or communication with the child (including communication by mail, in person, by telephone or by electronic means).</w:t>
      </w:r>
    </w:p>
    <w:p>
      <w:pPr>
        <w:pStyle w:val="PermNoteText"/>
      </w:pPr>
      <w:r>
        <w:tab/>
      </w:r>
      <w:r>
        <w:tab/>
        <w:t>For the purposes of paragraph (c) — frequency of contact.</w:t>
      </w:r>
    </w:p>
    <w:p>
      <w:pPr>
        <w:pStyle w:val="Footnotesection"/>
      </w:pPr>
      <w:r>
        <w:tab/>
        <w:t>[Section 4B inserted: No. 35 of 2024 s. 5.]</w:t>
      </w:r>
    </w:p>
    <w:p>
      <w:pPr>
        <w:pStyle w:val="Heading5"/>
      </w:pPr>
      <w:bookmarkStart w:id="12" w:name="_Toc203745040"/>
      <w:r>
        <w:rPr>
          <w:rStyle w:val="CharSectno"/>
        </w:rPr>
        <w:t>5</w:t>
      </w:r>
      <w:r>
        <w:t>.</w:t>
      </w:r>
      <w:r>
        <w:tab/>
        <w:t>Other reference provisions</w:t>
      </w:r>
      <w:bookmarkEnd w:id="12"/>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3" w:name="_Toc203658137"/>
      <w:bookmarkStart w:id="14" w:name="_Toc203745041"/>
      <w:r>
        <w:rPr>
          <w:rStyle w:val="CharPartNo"/>
        </w:rPr>
        <w:lastRenderedPageBreak/>
        <w:t>Part 2</w:t>
      </w:r>
      <w:r>
        <w:t> — </w:t>
      </w:r>
      <w:r>
        <w:rPr>
          <w:rStyle w:val="CharPartText"/>
        </w:rPr>
        <w:t>Offenders to whom Act applies</w:t>
      </w:r>
      <w:bookmarkEnd w:id="13"/>
      <w:bookmarkEnd w:id="14"/>
    </w:p>
    <w:p>
      <w:pPr>
        <w:pStyle w:val="Heading3"/>
      </w:pPr>
      <w:bookmarkStart w:id="15" w:name="_Toc203658138"/>
      <w:bookmarkStart w:id="16" w:name="_Toc203745042"/>
      <w:r>
        <w:rPr>
          <w:rStyle w:val="CharDivNo"/>
        </w:rPr>
        <w:t>Division 1</w:t>
      </w:r>
      <w:r>
        <w:t> — </w:t>
      </w:r>
      <w:r>
        <w:rPr>
          <w:rStyle w:val="CharDivText"/>
        </w:rPr>
        <w:t>General</w:t>
      </w:r>
      <w:bookmarkEnd w:id="15"/>
      <w:bookmarkEnd w:id="16"/>
    </w:p>
    <w:p>
      <w:pPr>
        <w:pStyle w:val="Heading5"/>
      </w:pPr>
      <w:bookmarkStart w:id="17" w:name="_Toc203745043"/>
      <w:r>
        <w:rPr>
          <w:rStyle w:val="CharSectno"/>
        </w:rPr>
        <w:t>6</w:t>
      </w:r>
      <w:r>
        <w:t>.</w:t>
      </w:r>
      <w:r>
        <w:tab/>
        <w:t>Reportable offenders</w:t>
      </w:r>
      <w:bookmarkEnd w:id="17"/>
    </w:p>
    <w:p>
      <w:pPr>
        <w:pStyle w:val="Subsection"/>
      </w:pPr>
      <w:r>
        <w:tab/>
        <w:t>(1)</w:t>
      </w:r>
      <w:r>
        <w:tab/>
        <w:t>Subject to subsections (4), (5) and (5A),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a person is a reportable offender because of subsection (3), a person is not a reportable offender merely because the person as a child committed a single offence (including an offence under the laws of a foreign jurisdiction) that falls within a class of offences that are prescribed to be offences for the purposes of this subsection.</w:t>
      </w:r>
    </w:p>
    <w:p>
      <w:pPr>
        <w:pStyle w:val="Subsection"/>
      </w:pPr>
      <w:r>
        <w:tab/>
        <w:t>(5)</w:t>
      </w:r>
      <w:r>
        <w:tab/>
        <w:t xml:space="preserve">A person is also not a reportable offender if the person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(5A)</w:t>
      </w:r>
      <w:r>
        <w:tab/>
        <w:t>If a reporting order is made in relation to an offence committed by a person after the person is sentenced for the offence, the person is taken to be a reportable offender when the order is made rather than when the person is sentenced for the offence.</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the person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reporting order.</w:t>
      </w:r>
    </w:p>
    <w:p>
      <w:pPr>
        <w:pStyle w:val="Subsection"/>
      </w:pPr>
      <w:r>
        <w:tab/>
        <w:t>(8)</w:t>
      </w:r>
      <w:r>
        <w:tab/>
        <w:t>A reference to a single offence in subsection (4) includes a reference to more than one offence of the same kind arising from the same incident.</w:t>
      </w:r>
    </w:p>
    <w:p>
      <w:pPr>
        <w:pStyle w:val="Footnotesection"/>
      </w:pPr>
      <w:r>
        <w:tab/>
        <w:t>[Section 6 amended: No. 31 of 2024 s. 28; No. 35 of 2024 s. 6 and 59.]</w:t>
      </w:r>
    </w:p>
    <w:p>
      <w:pPr>
        <w:pStyle w:val="Heading5"/>
      </w:pPr>
      <w:bookmarkStart w:id="18" w:name="_Toc203745044"/>
      <w:r>
        <w:rPr>
          <w:rStyle w:val="CharSectno"/>
        </w:rPr>
        <w:t>7</w:t>
      </w:r>
      <w:r>
        <w:t>.</w:t>
      </w:r>
      <w:r>
        <w:tab/>
        <w:t>Corresponding reportable offenders</w:t>
      </w:r>
      <w:bookmarkEnd w:id="1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the person were currently in that foreign jurisdiction, be required to report to the </w:t>
      </w:r>
      <w:r>
        <w:lastRenderedPageBreak/>
        <w:t>corresponding registrar in that jurisdiction for a particular period; or</w:t>
      </w:r>
    </w:p>
    <w:p>
      <w:pPr>
        <w:pStyle w:val="Indenti"/>
      </w:pPr>
      <w:r>
        <w:tab/>
        <w:t>(ii)</w:t>
      </w:r>
      <w:r>
        <w:tab/>
        <w:t>falls within a class of persons who are prescribed to be corresponding reportable offenders for the purposes of this Act.</w:t>
      </w:r>
    </w:p>
    <w:p>
      <w:pPr>
        <w:pStyle w:val="Footnotesection"/>
      </w:pPr>
      <w:r>
        <w:tab/>
        <w:t>[Section 7 amended: No. 54 of 2012 s. 5; No. 31 of 2024 s. 28; No. 35 of 2024 s. 59.]</w:t>
      </w:r>
    </w:p>
    <w:p>
      <w:pPr>
        <w:pStyle w:val="Heading5"/>
      </w:pPr>
      <w:bookmarkStart w:id="19" w:name="_Toc203745045"/>
      <w:r>
        <w:rPr>
          <w:rStyle w:val="CharSectno"/>
        </w:rPr>
        <w:t>8</w:t>
      </w:r>
      <w:r>
        <w:t>.</w:t>
      </w:r>
      <w:r>
        <w:tab/>
        <w:t>New South Wales reportable offenders</w:t>
      </w:r>
      <w:bookmarkEnd w:id="1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not to be a New South Wales reportable offender for the purposes of this Act.</w:t>
      </w:r>
    </w:p>
    <w:p>
      <w:pPr>
        <w:pStyle w:val="Footnotesection"/>
      </w:pPr>
      <w:r>
        <w:tab/>
        <w:t>[Section 8 amended: No. 35 of 2024 s. 59.]</w:t>
      </w:r>
    </w:p>
    <w:p>
      <w:pPr>
        <w:pStyle w:val="Heading5"/>
      </w:pPr>
      <w:bookmarkStart w:id="20" w:name="_Toc203745046"/>
      <w:r>
        <w:rPr>
          <w:rStyle w:val="CharSectno"/>
        </w:rPr>
        <w:t>9</w:t>
      </w:r>
      <w:r>
        <w:t>.</w:t>
      </w:r>
      <w:r>
        <w:tab/>
        <w:t>Reportable offences</w:t>
      </w:r>
      <w:bookmarkEnd w:id="20"/>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 w:name="_Toc203745047"/>
      <w:r>
        <w:rPr>
          <w:rStyle w:val="CharSectno"/>
        </w:rPr>
        <w:t>10</w:t>
      </w:r>
      <w:r>
        <w:t>.</w:t>
      </w:r>
      <w:r>
        <w:tab/>
        <w:t>Class 1 offences</w:t>
      </w:r>
      <w:bookmarkEnd w:id="21"/>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Western </w:t>
      </w:r>
      <w:r>
        <w:lastRenderedPageBreak/>
        <w:t>Australia, would have constituted an offence of a kind referred to in this section; or</w:t>
      </w:r>
    </w:p>
    <w:p>
      <w:pPr>
        <w:pStyle w:val="Indenta"/>
      </w:pPr>
      <w:r>
        <w:tab/>
        <w:t>(c)</w:t>
      </w:r>
      <w:r>
        <w:tab/>
        <w:t>an offence under a law of a foreign jurisdiction that is prescribed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pPr>
      <w:r>
        <w:tab/>
        <w:t>[Section 10 amended: No. 35 of 2024 s. 59.]</w:t>
      </w:r>
    </w:p>
    <w:p>
      <w:pPr>
        <w:pStyle w:val="Heading5"/>
      </w:pPr>
      <w:bookmarkStart w:id="22" w:name="_Toc203745048"/>
      <w:r>
        <w:rPr>
          <w:rStyle w:val="CharSectno"/>
        </w:rPr>
        <w:t>11</w:t>
      </w:r>
      <w:r>
        <w:t>.</w:t>
      </w:r>
      <w:r>
        <w:tab/>
        <w:t>Class 2 offences</w:t>
      </w:r>
      <w:bookmarkEnd w:id="2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keepNext/>
        <w:spacing w:before="70"/>
      </w:pPr>
      <w:r>
        <w:lastRenderedPageBreak/>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Footnotesection"/>
      </w:pPr>
      <w:r>
        <w:tab/>
        <w:t>[Section 11 amended: No. 35 of 2024 s. 59.]</w:t>
      </w:r>
    </w:p>
    <w:p>
      <w:pPr>
        <w:pStyle w:val="Ednotesection"/>
      </w:pPr>
      <w:r>
        <w:t>[</w:t>
      </w:r>
      <w:r>
        <w:rPr>
          <w:b/>
          <w:bCs/>
        </w:rPr>
        <w:t>12.</w:t>
      </w:r>
      <w:r>
        <w:tab/>
        <w:t>Has not come into operation.]</w:t>
      </w:r>
    </w:p>
    <w:p>
      <w:pPr>
        <w:pStyle w:val="Heading5"/>
      </w:pPr>
      <w:bookmarkStart w:id="23" w:name="_Toc203745049"/>
      <w:r>
        <w:rPr>
          <w:rStyle w:val="CharSectno"/>
        </w:rPr>
        <w:t>13</w:t>
      </w:r>
      <w:r>
        <w:t>.</w:t>
      </w:r>
      <w:r>
        <w:tab/>
        <w:t>Offender reporting orders</w:t>
      </w:r>
      <w:bookmarkEnd w:id="2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lastRenderedPageBreak/>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lastRenderedPageBreak/>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keepNext/>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4" w:name="_Toc203745050"/>
      <w:r>
        <w:rPr>
          <w:rStyle w:val="CharSectno"/>
        </w:rPr>
        <w:t>14A</w:t>
      </w:r>
      <w:r>
        <w:t>.</w:t>
      </w:r>
      <w:r>
        <w:tab/>
        <w:t>Consent orders</w:t>
      </w:r>
      <w:bookmarkEnd w:id="24"/>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5" w:name="_Toc203658147"/>
      <w:bookmarkStart w:id="26" w:name="_Toc203745051"/>
      <w:r>
        <w:rPr>
          <w:rStyle w:val="CharDivNo"/>
        </w:rPr>
        <w:t>Division 2</w:t>
      </w:r>
      <w:r>
        <w:t> — </w:t>
      </w:r>
      <w:r>
        <w:rPr>
          <w:rStyle w:val="CharDivText"/>
        </w:rPr>
        <w:t>Past offender reporting orders</w:t>
      </w:r>
      <w:bookmarkEnd w:id="25"/>
      <w:bookmarkEnd w:id="26"/>
    </w:p>
    <w:p>
      <w:pPr>
        <w:pStyle w:val="Heading5"/>
      </w:pPr>
      <w:bookmarkStart w:id="27" w:name="_Toc203745052"/>
      <w:r>
        <w:rPr>
          <w:rStyle w:val="CharSectno"/>
        </w:rPr>
        <w:t>14</w:t>
      </w:r>
      <w:r>
        <w:t>.</w:t>
      </w:r>
      <w:r>
        <w:tab/>
        <w:t>Terms used</w:t>
      </w:r>
      <w:bookmarkEnd w:id="27"/>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past offender reporting order is made;</w:t>
      </w:r>
    </w:p>
    <w:p>
      <w:pPr>
        <w:pStyle w:val="Defstart"/>
      </w:pPr>
      <w:r>
        <w:rPr>
          <w:b/>
        </w:rPr>
        <w:tab/>
      </w:r>
      <w:r>
        <w:rPr>
          <w:rStyle w:val="CharDefText"/>
        </w:rPr>
        <w:t>respondent</w:t>
      </w:r>
      <w:r>
        <w:t xml:space="preserve"> means the person who is subject to a past offender reporting order or in respect of whom a past offender reporting order is sought.</w:t>
      </w:r>
    </w:p>
    <w:p>
      <w:pPr>
        <w:pStyle w:val="Footnotesection"/>
      </w:pPr>
      <w:r>
        <w:tab/>
        <w:t>[Section 14 amended: No. 35 of 2024 s. 7.]</w:t>
      </w:r>
    </w:p>
    <w:p>
      <w:pPr>
        <w:pStyle w:val="Heading5"/>
      </w:pPr>
      <w:bookmarkStart w:id="28" w:name="_Toc203745053"/>
      <w:r>
        <w:rPr>
          <w:rStyle w:val="CharSectno"/>
        </w:rPr>
        <w:lastRenderedPageBreak/>
        <w:t>15</w:t>
      </w:r>
      <w:r>
        <w:t>.</w:t>
      </w:r>
      <w:r>
        <w:tab/>
        <w:t>Commissioner may apply for reporting orders</w:t>
      </w:r>
      <w:bookmarkEnd w:id="28"/>
    </w:p>
    <w:p>
      <w:pPr>
        <w:pStyle w:val="Subsection"/>
        <w:keepNext/>
      </w:pPr>
      <w:r>
        <w:tab/>
      </w:r>
      <w:r>
        <w:tab/>
        <w:t xml:space="preserve">If — </w:t>
      </w:r>
    </w:p>
    <w:p>
      <w:pPr>
        <w:pStyle w:val="Indenta"/>
      </w:pPr>
      <w:r>
        <w:tab/>
        <w:t>(a)</w:t>
      </w:r>
      <w:r>
        <w:tab/>
        <w:t>a person has been sentenced before the commencement day for an offence; and</w:t>
      </w:r>
    </w:p>
    <w:p>
      <w:pPr>
        <w:pStyle w:val="Indenta"/>
        <w:keepNext/>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9" w:name="_Toc203745054"/>
      <w:r>
        <w:rPr>
          <w:rStyle w:val="CharSectno"/>
        </w:rPr>
        <w:t>16</w:t>
      </w:r>
      <w:r>
        <w:t>.</w:t>
      </w:r>
      <w:r>
        <w:tab/>
        <w:t>Fixing a hearing</w:t>
      </w:r>
      <w:bookmarkEnd w:id="29"/>
    </w:p>
    <w:p>
      <w:pPr>
        <w:pStyle w:val="Subsection"/>
        <w:keepNext/>
        <w:keepLines/>
      </w:pPr>
      <w:r>
        <w:tab/>
      </w:r>
      <w:r>
        <w:tab/>
        <w:t xml:space="preserve">When an application for a past offender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Footnotesection"/>
      </w:pPr>
      <w:r>
        <w:tab/>
        <w:t>[Section 16 amended: No. 35 of 2024 s. 8.]</w:t>
      </w:r>
    </w:p>
    <w:p>
      <w:pPr>
        <w:pStyle w:val="Heading5"/>
      </w:pPr>
      <w:bookmarkStart w:id="30" w:name="_Toc203745055"/>
      <w:r>
        <w:rPr>
          <w:rStyle w:val="CharSectno"/>
        </w:rPr>
        <w:t>17</w:t>
      </w:r>
      <w:r>
        <w:t>.</w:t>
      </w:r>
      <w:r>
        <w:tab/>
        <w:t>Evidence</w:t>
      </w:r>
      <w:bookmarkEnd w:id="30"/>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keepNext/>
      </w:pPr>
      <w:r>
        <w:lastRenderedPageBreak/>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keepNext/>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1" w:name="_Toc203745056"/>
      <w:r>
        <w:rPr>
          <w:rStyle w:val="CharSectno"/>
        </w:rPr>
        <w:t>18</w:t>
      </w:r>
      <w:r>
        <w:t>.</w:t>
      </w:r>
      <w:r>
        <w:tab/>
        <w:t>How application to be disposed of</w:t>
      </w:r>
      <w:bookmarkEnd w:id="31"/>
    </w:p>
    <w:p>
      <w:pPr>
        <w:pStyle w:val="Subsection"/>
        <w:keepNext/>
      </w:pPr>
      <w:r>
        <w:tab/>
      </w:r>
      <w:r>
        <w:tab/>
        <w:t xml:space="preserve">The court may dispose of the application — </w:t>
      </w:r>
    </w:p>
    <w:p>
      <w:pPr>
        <w:pStyle w:val="Indenta"/>
      </w:pPr>
      <w:r>
        <w:tab/>
        <w:t>(a)</w:t>
      </w:r>
      <w:r>
        <w:tab/>
        <w:t>by making a past offender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18 amended: No. 35 of 2024 s. 9.]</w:t>
      </w:r>
    </w:p>
    <w:p>
      <w:pPr>
        <w:pStyle w:val="Heading5"/>
        <w:spacing w:before="180"/>
      </w:pPr>
      <w:bookmarkStart w:id="32" w:name="_Toc203745057"/>
      <w:r>
        <w:rPr>
          <w:rStyle w:val="CharSectno"/>
        </w:rPr>
        <w:t>19</w:t>
      </w:r>
      <w:r>
        <w:t>.</w:t>
      </w:r>
      <w:r>
        <w:tab/>
        <w:t>Court may make past offender reporting orders</w:t>
      </w:r>
      <w:bookmarkEnd w:id="32"/>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lastRenderedPageBreak/>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3" w:name="_Toc203745058"/>
      <w:r>
        <w:rPr>
          <w:rStyle w:val="CharSectno"/>
        </w:rPr>
        <w:t>20A</w:t>
      </w:r>
      <w:r>
        <w:t>.</w:t>
      </w:r>
      <w:r>
        <w:tab/>
        <w:t>Consent orders</w:t>
      </w:r>
      <w:bookmarkEnd w:id="33"/>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 xml:space="preserve">On an application under section 15, a court may make a </w:t>
      </w:r>
      <w:r>
        <w:t>past offender reporting order</w:t>
      </w:r>
      <w:r>
        <w:rPr>
          <w:color w:val="000000"/>
        </w:rPr>
        <w:t xml:space="preserve"> without being subject to section 19 if the applicant and the past offender consent to the making of the order.</w:t>
      </w:r>
    </w:p>
    <w:p>
      <w:pPr>
        <w:pStyle w:val="Footnotesection"/>
      </w:pPr>
      <w:r>
        <w:tab/>
        <w:t>[Section 20A inserted: No. 54 of 2012 s. 10; amended: No. 35 of 2024 s. 10.]</w:t>
      </w:r>
    </w:p>
    <w:p>
      <w:pPr>
        <w:pStyle w:val="Heading5"/>
        <w:spacing w:before="180"/>
      </w:pPr>
      <w:bookmarkStart w:id="34" w:name="_Toc203745059"/>
      <w:r>
        <w:rPr>
          <w:rStyle w:val="CharSectno"/>
        </w:rPr>
        <w:lastRenderedPageBreak/>
        <w:t>20</w:t>
      </w:r>
      <w:r>
        <w:t>.</w:t>
      </w:r>
      <w:r>
        <w:tab/>
        <w:t>Attendance at hearings</w:t>
      </w:r>
      <w:bookmarkEnd w:id="34"/>
    </w:p>
    <w:p>
      <w:pPr>
        <w:pStyle w:val="Subsection"/>
        <w:keepNext/>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5" w:name="_Toc203745060"/>
      <w:r>
        <w:rPr>
          <w:rStyle w:val="CharSectno"/>
        </w:rPr>
        <w:t>21</w:t>
      </w:r>
      <w:r>
        <w:t>.</w:t>
      </w:r>
      <w:r>
        <w:tab/>
        <w:t>Notification of orders made in absence of respondent</w:t>
      </w:r>
      <w:bookmarkEnd w:id="35"/>
    </w:p>
    <w:p>
      <w:pPr>
        <w:pStyle w:val="Subsection"/>
      </w:pPr>
      <w:r>
        <w:tab/>
      </w:r>
      <w:r>
        <w:tab/>
        <w:t>The registrar of a court that makes a past offender reporting order in the absence of the respondent must cause a copy of the order to be served on the respondent.</w:t>
      </w:r>
    </w:p>
    <w:p>
      <w:pPr>
        <w:pStyle w:val="Footnotesection"/>
      </w:pPr>
      <w:r>
        <w:tab/>
        <w:t>[Section 21 amended: No. 35 of 2024 s. 11.]</w:t>
      </w:r>
    </w:p>
    <w:p>
      <w:pPr>
        <w:pStyle w:val="Heading5"/>
      </w:pPr>
      <w:bookmarkStart w:id="36" w:name="_Toc203745061"/>
      <w:r>
        <w:rPr>
          <w:rStyle w:val="CharSectno"/>
        </w:rPr>
        <w:t>22</w:t>
      </w:r>
      <w:r>
        <w:t>.</w:t>
      </w:r>
      <w:r>
        <w:tab/>
        <w:t>Appeals</w:t>
      </w:r>
      <w:bookmarkEnd w:id="3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past offender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 No. 35 of 2024 s. 12.]</w:t>
      </w:r>
    </w:p>
    <w:p>
      <w:pPr>
        <w:pStyle w:val="Heading5"/>
      </w:pPr>
      <w:bookmarkStart w:id="37" w:name="_Toc203745062"/>
      <w:r>
        <w:rPr>
          <w:rStyle w:val="CharSectno"/>
        </w:rPr>
        <w:t>23</w:t>
      </w:r>
      <w:r>
        <w:t>.</w:t>
      </w:r>
      <w:r>
        <w:tab/>
        <w:t>Appeal does not stay order</w:t>
      </w:r>
      <w:bookmarkEnd w:id="37"/>
    </w:p>
    <w:p>
      <w:pPr>
        <w:pStyle w:val="Subsection"/>
      </w:pPr>
      <w:r>
        <w:tab/>
      </w:r>
      <w:r>
        <w:tab/>
        <w:t>An appeal against an order made under this Part does not operate to stay the operation of the order unless the court to which the appeal is made so orders.</w:t>
      </w:r>
    </w:p>
    <w:p>
      <w:pPr>
        <w:pStyle w:val="Heading2"/>
      </w:pPr>
      <w:bookmarkStart w:id="38" w:name="_Toc203658159"/>
      <w:bookmarkStart w:id="39" w:name="_Toc203745063"/>
      <w:r>
        <w:rPr>
          <w:rStyle w:val="CharPartNo"/>
        </w:rPr>
        <w:lastRenderedPageBreak/>
        <w:t>Part 3</w:t>
      </w:r>
      <w:r>
        <w:t> — </w:t>
      </w:r>
      <w:r>
        <w:rPr>
          <w:rStyle w:val="CharPartText"/>
        </w:rPr>
        <w:t>Reporting obligations</w:t>
      </w:r>
      <w:bookmarkEnd w:id="38"/>
      <w:bookmarkEnd w:id="39"/>
    </w:p>
    <w:p>
      <w:pPr>
        <w:pStyle w:val="Heading3"/>
      </w:pPr>
      <w:bookmarkStart w:id="40" w:name="_Toc203658160"/>
      <w:bookmarkStart w:id="41" w:name="_Toc203745064"/>
      <w:r>
        <w:rPr>
          <w:rStyle w:val="CharDivNo"/>
        </w:rPr>
        <w:t>Division 1</w:t>
      </w:r>
      <w:r>
        <w:t> — </w:t>
      </w:r>
      <w:r>
        <w:rPr>
          <w:rStyle w:val="CharDivText"/>
        </w:rPr>
        <w:t>Initial report</w:t>
      </w:r>
      <w:bookmarkEnd w:id="40"/>
      <w:bookmarkEnd w:id="41"/>
    </w:p>
    <w:p>
      <w:pPr>
        <w:pStyle w:val="Heading5"/>
      </w:pPr>
      <w:bookmarkStart w:id="42" w:name="_Toc203745065"/>
      <w:r>
        <w:rPr>
          <w:rStyle w:val="CharSectno"/>
        </w:rPr>
        <w:t>24</w:t>
      </w:r>
      <w:r>
        <w:t>.</w:t>
      </w:r>
      <w:r>
        <w:tab/>
        <w:t>When report must be made</w:t>
      </w:r>
      <w:bookmarkEnd w:id="42"/>
    </w:p>
    <w:p>
      <w:pPr>
        <w:pStyle w:val="Subsection"/>
      </w:pPr>
      <w:r>
        <w:tab/>
        <w:t>(1)</w:t>
      </w:r>
      <w:r>
        <w:tab/>
        <w:t>Subject to subsection (2A), a reportable offender of a kind referred to in column 1 of the Table to this subsection must report the offender’s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the offender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the offender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the offender is given written notice of the offender’s reporting obligations within 53 days after that day, within 7 days after the offender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the offender is sentenced</w:t>
            </w:r>
          </w:p>
        </w:tc>
      </w:tr>
      <w:tr>
        <w:tc>
          <w:tcPr>
            <w:tcW w:w="2976" w:type="dxa"/>
          </w:tcPr>
          <w:p>
            <w:pPr>
              <w:pStyle w:val="Table"/>
              <w:spacing w:before="120"/>
            </w:pPr>
            <w:r>
              <w:t>A reportable offender who enters Western Australia from a foreign jurisdiction and who has not previously been required under this section to report the offender’s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the offender’s personal details to the Commissioner and who is in Western Australia on the date on which the offender becomes a corresponding reportable offender</w:t>
            </w:r>
          </w:p>
        </w:tc>
        <w:tc>
          <w:tcPr>
            <w:tcW w:w="3545" w:type="dxa"/>
            <w:tcBorders>
              <w:bottom w:val="single" w:sz="4" w:space="0" w:color="auto"/>
            </w:tcBorders>
          </w:tcPr>
          <w:p>
            <w:pPr>
              <w:pStyle w:val="Table"/>
              <w:spacing w:before="120"/>
            </w:pPr>
            <w:r>
              <w:t>Within 7 days after the offender becomes a corresponding reportable offender or 7 days after the offender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w:t>
      </w:r>
      <w:r>
        <w:t>a reporting order</w:t>
      </w:r>
      <w:r>
        <w:rPr>
          <w:color w:val="000000"/>
        </w:rPr>
        <w:t xml:space="preserve"> must report </w:t>
      </w:r>
      <w:r>
        <w:t>the offender’s</w:t>
      </w:r>
      <w:r>
        <w:rPr>
          <w:color w:val="000000"/>
        </w:rPr>
        <w:t xml:space="preserve"> personal details to the Commissioner — </w:t>
      </w:r>
    </w:p>
    <w:p>
      <w:pPr>
        <w:pStyle w:val="Indenta"/>
      </w:pPr>
      <w:r>
        <w:tab/>
        <w:t>(a)</w:t>
      </w:r>
      <w:r>
        <w:tab/>
        <w:t>within 7 days after the order is made; or</w:t>
      </w:r>
    </w:p>
    <w:p>
      <w:pPr>
        <w:pStyle w:val="Indenta"/>
      </w:pPr>
      <w:r>
        <w:tab/>
        <w:t>(b)</w:t>
      </w:r>
      <w:r>
        <w:tab/>
        <w:t>if the offender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the offender’s personal details to the Commissioner 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24 amended: No. 54 of 2012 s. 12; No. 31 of 2024 s. 28; No. 35 of 2024 s. 13.]</w:t>
      </w:r>
    </w:p>
    <w:p>
      <w:pPr>
        <w:pStyle w:val="Heading5"/>
      </w:pPr>
      <w:bookmarkStart w:id="43" w:name="_Toc203745066"/>
      <w:r>
        <w:rPr>
          <w:rStyle w:val="CharSectno"/>
        </w:rPr>
        <w:t>25</w:t>
      </w:r>
      <w:r>
        <w:t>.</w:t>
      </w:r>
      <w:r>
        <w:tab/>
        <w:t>When new initial report must be made by offender whose previous reporting obligations have ceased</w:t>
      </w:r>
      <w:bookmarkEnd w:id="43"/>
    </w:p>
    <w:p>
      <w:pPr>
        <w:pStyle w:val="Subsection"/>
      </w:pPr>
      <w:r>
        <w:tab/>
        <w:t>(1)</w:t>
      </w:r>
      <w:r>
        <w:tab/>
        <w:t xml:space="preserve">If a reportable offender’s reporting period expires but the offender is then sentenced for a reportable offence, the offender must report the offender’s personal details to the Commissioner — </w:t>
      </w:r>
    </w:p>
    <w:p>
      <w:pPr>
        <w:pStyle w:val="Indenta"/>
      </w:pPr>
      <w:r>
        <w:tab/>
        <w:t>(a)</w:t>
      </w:r>
      <w:r>
        <w:tab/>
        <w:t>within 7 days after being sentenced for the reportable offence; or</w:t>
      </w:r>
    </w:p>
    <w:p>
      <w:pPr>
        <w:pStyle w:val="Indenta"/>
      </w:pPr>
      <w:r>
        <w:tab/>
        <w:t>(aa)</w:t>
      </w:r>
      <w:r>
        <w:tab/>
        <w:t>if the offence results in the making of a reporting order that is not made at the time of sentencing for the offence – within 7 days after the order is made;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the offender then becomes a corresponding reportable offender who must under section 49 continue to comply with the reporting obligations imposed by this Part for any period, the offender must report the offender’s personal details to the Commissioner — </w:t>
      </w:r>
    </w:p>
    <w:p>
      <w:pPr>
        <w:pStyle w:val="Indenta"/>
      </w:pPr>
      <w:r>
        <w:tab/>
        <w:t>(a)</w:t>
      </w:r>
      <w:r>
        <w:tab/>
        <w:t>within 7 days after becoming a corresponding reportable offender; or</w:t>
      </w:r>
    </w:p>
    <w:p>
      <w:pPr>
        <w:pStyle w:val="Indenta"/>
      </w:pPr>
      <w:r>
        <w:tab/>
        <w:t>(b)</w:t>
      </w:r>
      <w:r>
        <w:tab/>
        <w:t>if the offender is in government custody — within 7 days after ceasing to be in government custody,</w:t>
      </w:r>
    </w:p>
    <w:p>
      <w:pPr>
        <w:pStyle w:val="Subsection"/>
      </w:pPr>
      <w:r>
        <w:lastRenderedPageBreak/>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the offender’s personal details to the Commissioner — </w:t>
      </w:r>
    </w:p>
    <w:p>
      <w:pPr>
        <w:pStyle w:val="Indenta"/>
      </w:pPr>
      <w:r>
        <w:tab/>
        <w:t>(a)</w:t>
      </w:r>
      <w:r>
        <w:tab/>
        <w:t>within 7 days after the order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the offender’s personal details to the Commissioner — </w:t>
      </w:r>
    </w:p>
    <w:p>
      <w:pPr>
        <w:pStyle w:val="Indenta"/>
      </w:pPr>
      <w:r>
        <w:tab/>
        <w:t>(a)</w:t>
      </w:r>
      <w:r>
        <w:tab/>
        <w:t>within 7 days after the approval ceases to have effect; or</w:t>
      </w:r>
    </w:p>
    <w:p>
      <w:pPr>
        <w:pStyle w:val="Indenta"/>
      </w:pPr>
      <w:r>
        <w:tab/>
        <w:t>(b)</w:t>
      </w:r>
      <w:r>
        <w:tab/>
        <w:t>if the offender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the offender would be required under subsection (1), (2), (3) or (4) to report the offender’s personal details to the Commissioner, then the offender must report the offender’s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the person does not remain in Western Australia for 14 or more consecutive days, not counting any days spent in government custody.</w:t>
      </w:r>
    </w:p>
    <w:p>
      <w:pPr>
        <w:pStyle w:val="Subsection"/>
      </w:pPr>
      <w:r>
        <w:tab/>
        <w:t>(7)</w:t>
      </w:r>
      <w:r>
        <w:tab/>
        <w:t xml:space="preserve">Despite subsections (1), (2), (3) and (4), a reportable offender must report the offender’s personal details to the Commissioner </w:t>
      </w:r>
      <w:r>
        <w:lastRenderedPageBreak/>
        <w:t>before leaving Western Australia unless the offender entered Western Australia from a foreign jurisdiction and remained in Western Australia for less than 14 consecutive days, not counting any days spent in government custody.</w:t>
      </w:r>
    </w:p>
    <w:p>
      <w:pPr>
        <w:pStyle w:val="Footnotesection"/>
      </w:pPr>
      <w:r>
        <w:tab/>
        <w:t>[Section 25 amended: No. 31 of 2024 s. 28; No. 35 of 2024 s. 14.]</w:t>
      </w:r>
    </w:p>
    <w:p>
      <w:pPr>
        <w:pStyle w:val="Heading5"/>
      </w:pPr>
      <w:bookmarkStart w:id="44" w:name="_Toc203745067"/>
      <w:r>
        <w:rPr>
          <w:rStyle w:val="CharSectno"/>
        </w:rPr>
        <w:t>26</w:t>
      </w:r>
      <w:r>
        <w:t>.</w:t>
      </w:r>
      <w:r>
        <w:tab/>
        <w:t>Initial report by reportable offender of personal details</w:t>
      </w:r>
      <w:bookmarkEnd w:id="44"/>
    </w:p>
    <w:p>
      <w:pPr>
        <w:pStyle w:val="Subsection"/>
      </w:pPr>
      <w:r>
        <w:tab/>
        <w:t>(1)</w:t>
      </w:r>
      <w:r>
        <w:tab/>
        <w:t xml:space="preserve">The details the reportable offender must report are — </w:t>
      </w:r>
    </w:p>
    <w:p>
      <w:pPr>
        <w:pStyle w:val="Indenta"/>
        <w:spacing w:before="100"/>
      </w:pPr>
      <w:r>
        <w:tab/>
        <w:t>(a)</w:t>
      </w:r>
      <w:r>
        <w:tab/>
        <w:t>the offender’s name, together with any other name by which the offender is, or has previously been, known; and</w:t>
      </w:r>
    </w:p>
    <w:p>
      <w:pPr>
        <w:pStyle w:val="Indenta"/>
        <w:spacing w:before="100"/>
      </w:pPr>
      <w:r>
        <w:tab/>
        <w:t>(b)</w:t>
      </w:r>
      <w:r>
        <w:tab/>
        <w:t>in respect of each name other than the offender’s current name, the period during which the offender was known by that other name; and</w:t>
      </w:r>
    </w:p>
    <w:p>
      <w:pPr>
        <w:pStyle w:val="Indenta"/>
        <w:keepNext/>
        <w:spacing w:before="100"/>
      </w:pPr>
      <w:r>
        <w:tab/>
        <w:t>(c)</w:t>
      </w:r>
      <w:r>
        <w:tab/>
        <w:t>the offender’s date of birth; and</w:t>
      </w:r>
    </w:p>
    <w:p>
      <w:pPr>
        <w:pStyle w:val="Indenta"/>
      </w:pPr>
      <w:r>
        <w:tab/>
        <w:t>(ca)</w:t>
      </w:r>
      <w:r>
        <w:tab/>
        <w:t xml:space="preserve">the offender’s sex or gender — </w:t>
      </w:r>
    </w:p>
    <w:p>
      <w:pPr>
        <w:pStyle w:val="Indenti"/>
      </w:pPr>
      <w:r>
        <w:tab/>
        <w:t>(i)</w:t>
      </w:r>
      <w:r>
        <w:tab/>
        <w:t xml:space="preserve">as registered under the </w:t>
      </w:r>
      <w:r>
        <w:rPr>
          <w:i/>
        </w:rPr>
        <w:t>Births, Deaths and Marriages Registration Act 1998</w:t>
      </w:r>
      <w:r>
        <w:t xml:space="preserve"> or a corresponding law (as defined in section 4 of that Act); or</w:t>
      </w:r>
    </w:p>
    <w:p>
      <w:pPr>
        <w:pStyle w:val="Indenti"/>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pPr>
        <w:pStyle w:val="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pPr>
        <w:pStyle w:val="Indenta"/>
      </w:pPr>
      <w:r>
        <w:lastRenderedPageBreak/>
        <w:tab/>
      </w:r>
      <w:r>
        <w:tab/>
        <w:t>and</w:t>
      </w:r>
    </w:p>
    <w:p>
      <w:pPr>
        <w:pStyle w:val="Indenta"/>
      </w:pPr>
      <w:r>
        <w:tab/>
        <w:t>(cb)</w:t>
      </w:r>
      <w:r>
        <w:tab/>
        <w:t>details of each foreign citizenship that the offender holds (if any), including the name of the country for which it is held; and</w:t>
      </w:r>
    </w:p>
    <w:p>
      <w:pPr>
        <w:pStyle w:val="Indenta"/>
        <w:spacing w:before="100"/>
      </w:pPr>
      <w:r>
        <w:tab/>
        <w:t>(daa)</w:t>
      </w:r>
      <w:r>
        <w:tab/>
        <w:t>details of each passport that the offender holds (if any), including its number and expiry date and the name of the country that issued it; and</w:t>
      </w:r>
    </w:p>
    <w:p>
      <w:pPr>
        <w:pStyle w:val="Indenta"/>
      </w:pPr>
      <w:r>
        <w:tab/>
        <w:t>(d)</w:t>
      </w:r>
      <w:r>
        <w:tab/>
        <w:t xml:space="preserve">the address of each of the following — </w:t>
      </w:r>
    </w:p>
    <w:p>
      <w:pPr>
        <w:pStyle w:val="Indenti"/>
      </w:pPr>
      <w:r>
        <w:tab/>
        <w:t>(i)</w:t>
      </w:r>
      <w:r>
        <w:tab/>
        <w:t>each premises at which the offender generally resides or, if they do not generally reside at any particular premises, the name of each of the localities in which they can generally be found;</w:t>
      </w:r>
    </w:p>
    <w:p>
      <w:pPr>
        <w:pStyle w:val="Indenti"/>
      </w:pPr>
      <w:r>
        <w:tab/>
        <w:t>(ii)</w:t>
      </w:r>
      <w:r>
        <w:tab/>
        <w:t>each other premises (including a storage facility), if any, owned or rented by the offender or of which the offender has control or management;</w:t>
      </w:r>
    </w:p>
    <w:p>
      <w:pPr>
        <w:pStyle w:val="Indenta"/>
      </w:pPr>
      <w:r>
        <w:tab/>
      </w:r>
      <w:r>
        <w:tab/>
        <w:t>and</w:t>
      </w:r>
    </w:p>
    <w:p>
      <w:pPr>
        <w:pStyle w:val="Indenta"/>
        <w:spacing w:before="100"/>
      </w:pPr>
      <w:r>
        <w:tab/>
        <w:t>(da)</w:t>
      </w:r>
      <w:r>
        <w:tab/>
        <w:t>each telephone number that the offender has or that the offender regularly uses; and</w:t>
      </w:r>
    </w:p>
    <w:p>
      <w:pPr>
        <w:pStyle w:val="Indenta"/>
        <w:spacing w:before="100"/>
      </w:pPr>
      <w:r>
        <w:tab/>
        <w:t>(db)</w:t>
      </w:r>
      <w:r>
        <w:tab/>
        <w:t>each email address (if any) that the offender has or that the offender regularly uses; and</w:t>
      </w:r>
    </w:p>
    <w:p>
      <w:pPr>
        <w:pStyle w:val="Indenta"/>
        <w:spacing w:before="100"/>
      </w:pPr>
      <w:r>
        <w:tab/>
        <w:t>(dc)</w:t>
      </w:r>
      <w:r>
        <w:tab/>
        <w:t xml:space="preserve">the name of each Internet service provider whose Internet carriage service — </w:t>
      </w:r>
    </w:p>
    <w:p>
      <w:pPr>
        <w:pStyle w:val="Indenti"/>
        <w:spacing w:before="100"/>
      </w:pPr>
      <w:r>
        <w:tab/>
        <w:t>(i)</w:t>
      </w:r>
      <w:r>
        <w:tab/>
        <w:t>the offender is supplied with; or</w:t>
      </w:r>
    </w:p>
    <w:p>
      <w:pPr>
        <w:pStyle w:val="Indenti"/>
        <w:spacing w:before="100"/>
      </w:pPr>
      <w:r>
        <w:tab/>
        <w:t>(ii)</w:t>
      </w:r>
      <w:r>
        <w:tab/>
        <w:t>the offender regularly uses;</w:t>
      </w:r>
    </w:p>
    <w:p>
      <w:pPr>
        <w:pStyle w:val="Indenta"/>
        <w:spacing w:before="100"/>
      </w:pPr>
      <w:r>
        <w:tab/>
      </w:r>
      <w:r>
        <w:tab/>
        <w:t>and</w:t>
      </w:r>
    </w:p>
    <w:p>
      <w:pPr>
        <w:pStyle w:val="Indenta"/>
      </w:pPr>
      <w:r>
        <w:tab/>
        <w:t>(dd)</w:t>
      </w:r>
      <w:r>
        <w:tab/>
        <w:t xml:space="preserve">each name (other than a name reported under paragraph (a)), if any, that the offender uses, or by which the offender is known, when using each of the following (if any) — </w:t>
      </w:r>
    </w:p>
    <w:p>
      <w:pPr>
        <w:pStyle w:val="Indenti"/>
      </w:pPr>
      <w:r>
        <w:tab/>
        <w:t>(i)</w:t>
      </w:r>
      <w:r>
        <w:tab/>
        <w:t>the internet for the purposes of communication;</w:t>
      </w:r>
    </w:p>
    <w:p>
      <w:pPr>
        <w:pStyle w:val="Indenti"/>
      </w:pPr>
      <w:r>
        <w:tab/>
        <w:t>(ii)</w:t>
      </w:r>
      <w:r>
        <w:tab/>
        <w:t>an electronic communication service;</w:t>
      </w:r>
    </w:p>
    <w:p>
      <w:pPr>
        <w:pStyle w:val="Indenti"/>
      </w:pPr>
      <w:r>
        <w:lastRenderedPageBreak/>
        <w:tab/>
        <w:t>(iii)</w:t>
      </w:r>
      <w:r>
        <w:tab/>
        <w:t xml:space="preserve">an incidental communication application; </w:t>
      </w:r>
    </w:p>
    <w:p>
      <w:pPr>
        <w:pStyle w:val="Indenta"/>
      </w:pPr>
      <w:r>
        <w:tab/>
      </w:r>
      <w:r>
        <w:tab/>
        <w:t>and</w:t>
      </w:r>
    </w:p>
    <w:p>
      <w:pPr>
        <w:pStyle w:val="Indenta"/>
      </w:pPr>
      <w:r>
        <w:tab/>
        <w:t>(de)</w:t>
      </w:r>
      <w:r>
        <w:tab/>
        <w:t xml:space="preserve">the name or URL of each of the following (if any) in connection with which the offender uses a name referred to in paragraph (a) or (dd) or an email address referred to in paragraph (db) — </w:t>
      </w:r>
    </w:p>
    <w:p>
      <w:pPr>
        <w:pStyle w:val="Indenti"/>
      </w:pPr>
      <w:r>
        <w:tab/>
        <w:t>(i)</w:t>
      </w:r>
      <w:r>
        <w:tab/>
        <w:t xml:space="preserve">a website; </w:t>
      </w:r>
    </w:p>
    <w:p>
      <w:pPr>
        <w:pStyle w:val="Indenti"/>
      </w:pPr>
      <w:r>
        <w:tab/>
        <w:t>(ii)</w:t>
      </w:r>
      <w:r>
        <w:tab/>
        <w:t>an electronic communication service;</w:t>
      </w:r>
    </w:p>
    <w:p>
      <w:pPr>
        <w:pStyle w:val="Indenti"/>
      </w:pPr>
      <w:r>
        <w:tab/>
        <w:t>(iii)</w:t>
      </w:r>
      <w:r>
        <w:tab/>
        <w:t>an incidental communication application;</w:t>
      </w:r>
    </w:p>
    <w:p>
      <w:pPr>
        <w:pStyle w:val="Indenta"/>
      </w:pPr>
      <w:r>
        <w:tab/>
      </w:r>
      <w:r>
        <w:tab/>
        <w:t>and</w:t>
      </w:r>
    </w:p>
    <w:p>
      <w:pPr>
        <w:pStyle w:val="Indenta"/>
        <w:spacing w:before="64"/>
      </w:pPr>
      <w:r>
        <w:tab/>
        <w:t>(df)</w:t>
      </w:r>
      <w:r>
        <w:tab/>
        <w:t xml:space="preserve">each user name, code, password or other information (if any) that the offender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an electronic communication service referred to in paragraph (de); or</w:t>
      </w:r>
    </w:p>
    <w:p>
      <w:pPr>
        <w:pStyle w:val="Indenti"/>
      </w:pPr>
      <w:r>
        <w:tab/>
        <w:t>(iii)</w:t>
      </w:r>
      <w:r>
        <w:tab/>
        <w:t>an incidental communication application referred to in paragraph (de);</w:t>
      </w:r>
    </w:p>
    <w:p>
      <w:pPr>
        <w:pStyle w:val="Indenta"/>
        <w:spacing w:before="64"/>
      </w:pPr>
      <w:r>
        <w:tab/>
      </w:r>
      <w:r>
        <w:tab/>
        <w:t>and</w:t>
      </w:r>
    </w:p>
    <w:p>
      <w:pPr>
        <w:pStyle w:val="Indenta"/>
      </w:pPr>
      <w:r>
        <w:tab/>
        <w:t>(e)</w:t>
      </w:r>
      <w:r>
        <w:tab/>
        <w:t xml:space="preserve">reportable contact details of each reportable contact (if any) the offender — </w:t>
      </w:r>
    </w:p>
    <w:p>
      <w:pPr>
        <w:pStyle w:val="Indenti"/>
      </w:pPr>
      <w:r>
        <w:tab/>
        <w:t>(i)</w:t>
      </w:r>
      <w:r>
        <w:tab/>
        <w:t xml:space="preserve">has with a child; or </w:t>
      </w:r>
    </w:p>
    <w:p>
      <w:pPr>
        <w:pStyle w:val="Indenti"/>
      </w:pPr>
      <w:r>
        <w:tab/>
        <w:t>(ii)</w:t>
      </w:r>
      <w:r>
        <w:tab/>
        <w:t>is likely to have with a child within the period of 12 months after the day on which the report is made;</w:t>
      </w:r>
    </w:p>
    <w:p>
      <w:pPr>
        <w:pStyle w:val="Indenta"/>
      </w:pPr>
      <w:r>
        <w:tab/>
      </w:r>
      <w:r>
        <w:tab/>
        <w:t>and</w:t>
      </w:r>
    </w:p>
    <w:p>
      <w:pPr>
        <w:pStyle w:val="Ednotepara"/>
      </w:pPr>
      <w:r>
        <w:tab/>
        <w:t>[(fa)</w:t>
      </w:r>
      <w:r>
        <w:tab/>
        <w:t>deleted]</w:t>
      </w:r>
    </w:p>
    <w:p>
      <w:pPr>
        <w:pStyle w:val="Indenta"/>
        <w:spacing w:before="64"/>
      </w:pPr>
      <w:r>
        <w:lastRenderedPageBreak/>
        <w:tab/>
        <w:t>(f)</w:t>
      </w:r>
      <w:r>
        <w:tab/>
        <w:t xml:space="preserve">if the offender is employed — </w:t>
      </w:r>
    </w:p>
    <w:p>
      <w:pPr>
        <w:pStyle w:val="Indenti"/>
        <w:spacing w:before="64"/>
      </w:pPr>
      <w:r>
        <w:tab/>
        <w:t>(i)</w:t>
      </w:r>
      <w:r>
        <w:tab/>
        <w:t>the nature of the offender’s employment; and</w:t>
      </w:r>
    </w:p>
    <w:p>
      <w:pPr>
        <w:pStyle w:val="Indenti"/>
        <w:spacing w:before="64"/>
      </w:pPr>
      <w:r>
        <w:tab/>
        <w:t>(ii)</w:t>
      </w:r>
      <w:r>
        <w:tab/>
        <w:t>the name of the offender’s employer (if any); and</w:t>
      </w:r>
    </w:p>
    <w:p>
      <w:pPr>
        <w:pStyle w:val="Indenti"/>
        <w:spacing w:before="64"/>
      </w:pPr>
      <w:r>
        <w:tab/>
        <w:t>(iii)</w:t>
      </w:r>
      <w:r>
        <w:tab/>
        <w:t>the address of each of the premises at which the offender is generally employed or, if the offender is not generally employed at any particular premises, the name of each of the localities in which the offender is generally employed;</w:t>
      </w:r>
    </w:p>
    <w:p>
      <w:pPr>
        <w:pStyle w:val="Indenta"/>
        <w:spacing w:before="64"/>
      </w:pPr>
      <w:r>
        <w:tab/>
      </w:r>
      <w:r>
        <w:tab/>
        <w:t>and</w:t>
      </w:r>
    </w:p>
    <w:p>
      <w:pPr>
        <w:pStyle w:val="Indenta"/>
      </w:pPr>
      <w:r>
        <w:tab/>
        <w:t>(g)</w:t>
      </w:r>
      <w:r>
        <w:tab/>
        <w:t>details of the offender’s affiliation with each club or organisation (if any) that has members who are children or that conducts activities in which children participate; and</w:t>
      </w:r>
    </w:p>
    <w:p>
      <w:pPr>
        <w:pStyle w:val="Indenta"/>
      </w:pPr>
      <w:r>
        <w:tab/>
        <w:t>(h)</w:t>
      </w:r>
      <w:r>
        <w:tab/>
        <w:t>the make, model, colour and registration number of each motor vehicle (if any) owned by, or generally driven by, the offender; and</w:t>
      </w:r>
    </w:p>
    <w:p>
      <w:pPr>
        <w:pStyle w:val="Indenta"/>
      </w:pPr>
      <w:r>
        <w:tab/>
        <w:t>(i)</w:t>
      </w:r>
      <w:r>
        <w:tab/>
        <w:t>details of each tattoo or permanent distinguishing mark that the offender has (including details of each tattoo or mark that has been removed) if any; and</w:t>
      </w:r>
    </w:p>
    <w:p>
      <w:pPr>
        <w:pStyle w:val="Indenta"/>
      </w:pPr>
      <w:r>
        <w:tab/>
        <w:t>(j)</w:t>
      </w:r>
      <w:r>
        <w:tab/>
        <w:t>whether the offender has ever been found guilty in any foreign jurisdiction of a reportable offence or of an offence that required the offender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the offender has been in government custody since the offender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the offender leaves, or intends to leave, Western Australia to </w:t>
      </w:r>
      <w:r>
        <w:lastRenderedPageBreak/>
        <w:t xml:space="preserve">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Indenta"/>
      </w:pPr>
      <w:r>
        <w:tab/>
      </w:r>
      <w:r>
        <w:tab/>
        <w:t>and</w:t>
      </w:r>
    </w:p>
    <w:p>
      <w:pPr>
        <w:pStyle w:val="Indenta"/>
      </w:pPr>
      <w:r>
        <w:tab/>
        <w:t>(m)</w:t>
      </w:r>
      <w:r>
        <w:tab/>
        <w:t>the name of each authorised deposit</w:t>
      </w:r>
      <w:r>
        <w:noBreakHyphen/>
        <w:t xml:space="preserve">taking institution, as defined in the </w:t>
      </w:r>
      <w:r>
        <w:rPr>
          <w:i/>
        </w:rPr>
        <w:t>Banking Act 1959</w:t>
      </w:r>
      <w:r>
        <w:t xml:space="preserve"> (Commonwealth) section 5(1), or other prescribed financial service provider, with which the offender has an account or dealings; and</w:t>
      </w:r>
    </w:p>
    <w:p>
      <w:pPr>
        <w:pStyle w:val="Indenta"/>
      </w:pPr>
      <w:r>
        <w:tab/>
        <w:t>(n)</w:t>
      </w:r>
      <w:r>
        <w:tab/>
        <w:t>any other prescribed information.</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own, rent, control or manage any particular premises unless the offender (as the case requires) resides at, owns, rents, controls or manages those premises for at least 3 days (whether consecutive or not) in any period of 12 months; and</w:t>
      </w:r>
    </w:p>
    <w:p>
      <w:pPr>
        <w:pStyle w:val="Ednotepara"/>
      </w:pPr>
      <w:r>
        <w:tab/>
        <w:t>[(b)</w:t>
      </w:r>
      <w:r>
        <w:noBreakHyphen/>
        <w:t>(db)</w:t>
      </w:r>
      <w:r>
        <w:tab/>
        <w:t>deleted]</w:t>
      </w:r>
    </w:p>
    <w:p>
      <w:pPr>
        <w:pStyle w:val="Indenta"/>
        <w:spacing w:before="70"/>
      </w:pPr>
      <w:r>
        <w:lastRenderedPageBreak/>
        <w:tab/>
        <w:t>(d)</w:t>
      </w:r>
      <w:r>
        <w:tab/>
        <w:t>a reportable offender is not generally employed at any particular premises unless the offender is employed at those premises for at least 3 days (whether consecutive or not) in any period of 12 months; and</w:t>
      </w:r>
    </w:p>
    <w:p>
      <w:pPr>
        <w:pStyle w:val="Indenta"/>
        <w:spacing w:before="70"/>
      </w:pPr>
      <w:r>
        <w:tab/>
        <w:t>(e)</w:t>
      </w:r>
      <w:r>
        <w:tab/>
        <w:t>a reportable offender does not generally drive a particular motor vehicle unless the person drives that vehicle for at least 3 days (whether consecutive or not) in any period of 12 months.</w:t>
      </w:r>
    </w:p>
    <w:p>
      <w:pPr>
        <w:pStyle w:val="Subsection"/>
      </w:pPr>
      <w:r>
        <w:tab/>
        <w:t>(3)</w:t>
      </w:r>
      <w:r>
        <w:tab/>
        <w:t xml:space="preserve">For the purposes of this section, a person is taken to be employed if the person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Subsection"/>
      </w:pPr>
      <w:r>
        <w:tab/>
        <w:t>(5)</w:t>
      </w:r>
      <w:r>
        <w:tab/>
        <w:t xml:space="preserve">For the purposes of subsection (1)(dd), (de) or (df), an </w:t>
      </w:r>
      <w:r>
        <w:rPr>
          <w:rStyle w:val="CharDefText"/>
        </w:rPr>
        <w:t>incidental communication application</w:t>
      </w:r>
      <w:r>
        <w:t xml:space="preserve"> includes software, an application or an electronic device that may be used for communication or that has communication as an incidental function.</w:t>
      </w:r>
    </w:p>
    <w:p>
      <w:pPr>
        <w:pStyle w:val="PermNoteHeading"/>
      </w:pPr>
      <w:r>
        <w:tab/>
        <w:t>Example for this subsection:</w:t>
      </w:r>
    </w:p>
    <w:p>
      <w:pPr>
        <w:pStyle w:val="PermNoteText"/>
      </w:pPr>
      <w:r>
        <w:tab/>
      </w:r>
      <w:r>
        <w:tab/>
        <w:t>Computer games or consoles.</w:t>
      </w:r>
    </w:p>
    <w:p>
      <w:pPr>
        <w:pStyle w:val="Footnotesection"/>
      </w:pPr>
      <w:r>
        <w:lastRenderedPageBreak/>
        <w:tab/>
        <w:t>[Section 26 amended: No. 27 of 2008 s. 4; No. 54 of 2012 s. 13 and 42(2); No. 31 of 2024 s. 24 and 28; No. 35 of 2024 s. 15.]</w:t>
      </w:r>
    </w:p>
    <w:p>
      <w:pPr>
        <w:pStyle w:val="Heading5"/>
      </w:pPr>
      <w:bookmarkStart w:id="45" w:name="_Toc203745068"/>
      <w:r>
        <w:rPr>
          <w:rStyle w:val="CharSectno"/>
        </w:rPr>
        <w:t>27</w:t>
      </w:r>
      <w:r>
        <w:t>.</w:t>
      </w:r>
      <w:r>
        <w:tab/>
        <w:t>Persons required to report under corresponding Act</w:t>
      </w:r>
      <w:bookmarkEnd w:id="45"/>
    </w:p>
    <w:p>
      <w:pPr>
        <w:pStyle w:val="Subsection"/>
      </w:pPr>
      <w:r>
        <w:tab/>
        <w:t>(1)</w:t>
      </w:r>
      <w:r>
        <w:tab/>
        <w:t>This section applies to a person (other than a person to whom Division 10 applies) who has been required to report to a corresponding registrar, whether or not the person is a reportable offender for the purposes of this Act.</w:t>
      </w:r>
    </w:p>
    <w:p>
      <w:pPr>
        <w:pStyle w:val="Subsection"/>
      </w:pPr>
      <w:r>
        <w:tab/>
        <w:t>(2)</w:t>
      </w:r>
      <w:r>
        <w:tab/>
        <w:t>Unless the person has previously complied with the obligation imposed by this section, the person must, within 7 days after entering Western Australia, contact (by telephone or another means prescribed) an authorised person nominated by the Commissioner for the purposes of this section.</w:t>
      </w:r>
    </w:p>
    <w:p>
      <w:pPr>
        <w:pStyle w:val="Subsection"/>
        <w:spacing w:before="120"/>
      </w:pPr>
      <w:r>
        <w:tab/>
        <w:t>(3)</w:t>
      </w:r>
      <w:r>
        <w:tab/>
        <w:t>The contacted authorised person must advise the person whether the person is a reportable offender for the purposes of this Act and any reporting obligations that the person has under this Act.</w:t>
      </w:r>
    </w:p>
    <w:p>
      <w:pPr>
        <w:pStyle w:val="Subsection"/>
      </w:pPr>
      <w:r>
        <w:tab/>
        <w:t>(4)</w:t>
      </w:r>
      <w:r>
        <w:tab/>
        <w:t xml:space="preserve">A person does not commit an offence against section 63 because of a failure to comply with the reporting obligation imposed by subsection (2) if the person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Footnotesection"/>
      </w:pPr>
      <w:r>
        <w:tab/>
        <w:t>[Section 27 amended: No. 31 of 2024 s. 28; No. 35 of 2024 s. 59.]</w:t>
      </w:r>
    </w:p>
    <w:p>
      <w:pPr>
        <w:pStyle w:val="Heading3"/>
      </w:pPr>
      <w:bookmarkStart w:id="46" w:name="_Toc203658165"/>
      <w:bookmarkStart w:id="47" w:name="_Toc203745069"/>
      <w:r>
        <w:rPr>
          <w:rStyle w:val="CharDivNo"/>
        </w:rPr>
        <w:lastRenderedPageBreak/>
        <w:t>Division 2</w:t>
      </w:r>
      <w:r>
        <w:t> — </w:t>
      </w:r>
      <w:r>
        <w:rPr>
          <w:rStyle w:val="CharDivText"/>
        </w:rPr>
        <w:t>Ongoing reporting obligations</w:t>
      </w:r>
      <w:bookmarkEnd w:id="46"/>
      <w:bookmarkEnd w:id="47"/>
    </w:p>
    <w:p>
      <w:pPr>
        <w:pStyle w:val="Heading4"/>
      </w:pPr>
      <w:bookmarkStart w:id="48" w:name="_Toc180506595"/>
      <w:bookmarkStart w:id="49" w:name="_Toc180506787"/>
      <w:bookmarkStart w:id="50" w:name="_Toc180506979"/>
      <w:bookmarkStart w:id="51" w:name="_Toc203745070"/>
      <w:r>
        <w:rPr>
          <w:rStyle w:val="CharSDivNo"/>
        </w:rPr>
        <w:t>Subdivision 1</w:t>
      </w:r>
      <w:r>
        <w:t> —</w:t>
      </w:r>
      <w:r>
        <w:rPr>
          <w:rStyle w:val="CharSDivText"/>
        </w:rPr>
        <w:t> General</w:t>
      </w:r>
      <w:bookmarkEnd w:id="48"/>
      <w:bookmarkEnd w:id="49"/>
      <w:bookmarkEnd w:id="50"/>
      <w:bookmarkEnd w:id="51"/>
    </w:p>
    <w:p>
      <w:pPr>
        <w:pStyle w:val="Footnoteheading"/>
        <w:keepNext/>
      </w:pPr>
      <w:r>
        <w:tab/>
        <w:t>[Heading inserted: No. 35 of 2024 s. 16.]</w:t>
      </w:r>
    </w:p>
    <w:p>
      <w:pPr>
        <w:pStyle w:val="Heading5"/>
      </w:pPr>
      <w:bookmarkStart w:id="52" w:name="_Toc203745071"/>
      <w:r>
        <w:rPr>
          <w:rStyle w:val="CharSectno"/>
        </w:rPr>
        <w:t>28</w:t>
      </w:r>
      <w:r>
        <w:t>.</w:t>
      </w:r>
      <w:r>
        <w:tab/>
        <w:t>Reportable offender to report annually and as required by Commissioner</w:t>
      </w:r>
      <w:bookmarkEnd w:id="52"/>
    </w:p>
    <w:p>
      <w:pPr>
        <w:pStyle w:val="Subsection"/>
      </w:pPr>
      <w:r>
        <w:tab/>
        <w:t>(1)</w:t>
      </w:r>
      <w:r>
        <w:tab/>
        <w:t>A reportable offender must report the offender’s personal details to the Commissioner each year.</w:t>
      </w:r>
    </w:p>
    <w:p>
      <w:pPr>
        <w:pStyle w:val="Subsection"/>
      </w:pPr>
      <w:r>
        <w:tab/>
        <w:t>(2)</w:t>
      </w:r>
      <w:r>
        <w:tab/>
        <w:t>The reportable offender must make the report in each year during the calendar month in which the offender first reported in accordance with this Act or a corresponding Act.</w:t>
      </w:r>
    </w:p>
    <w:p>
      <w:pPr>
        <w:pStyle w:val="Subsection"/>
      </w:pPr>
      <w:r>
        <w:tab/>
        <w:t>(3)</w:t>
      </w:r>
      <w:r>
        <w:tab/>
        <w:t>The Commissioner may, at any time, cause written notice to be given to a reportable offender requiring the reportable offender to report the offender’s personal details to the Commissioner at the time or times stated in the notice.</w:t>
      </w:r>
    </w:p>
    <w:p>
      <w:pPr>
        <w:pStyle w:val="Subsection"/>
      </w:pPr>
      <w:r>
        <w:tab/>
        <w:t>(4)</w:t>
      </w:r>
      <w:r>
        <w:tab/>
        <w:t>A reportable offender must report the offender’s personal details to the Commissioner in accordance with a notice under subsection (3).</w:t>
      </w:r>
    </w:p>
    <w:p>
      <w:pPr>
        <w:pStyle w:val="Subsection"/>
      </w:pPr>
      <w:r>
        <w:tab/>
        <w:t>(5)</w:t>
      </w:r>
      <w:r>
        <w:tab/>
        <w:t>If the reportable offender has been in government custody for any period since the offender last reported the offender’s personal details under this section, the details the offender must report include details of when and where that custody occurred.</w:t>
      </w:r>
    </w:p>
    <w:p>
      <w:pPr>
        <w:pStyle w:val="Subsection"/>
      </w:pPr>
      <w:r>
        <w:tab/>
        <w:t>(6)</w:t>
      </w:r>
      <w:r>
        <w:tab/>
        <w:t>If a reportable offender’s reporting period expires but the offender is then required to report again under section 25, the reference in subsection (2) to the month during which the offender first reported is to be read as a reference to the month during which the offender first reported in respect of the current reporting period.</w:t>
      </w:r>
    </w:p>
    <w:p>
      <w:pPr>
        <w:pStyle w:val="Footnotesection"/>
      </w:pPr>
      <w:r>
        <w:tab/>
        <w:t>[Section 28 amended: No. 31 of 2024 s. 28.]</w:t>
      </w:r>
    </w:p>
    <w:p>
      <w:pPr>
        <w:pStyle w:val="Heading5"/>
      </w:pPr>
      <w:bookmarkStart w:id="53" w:name="_Toc203745072"/>
      <w:r>
        <w:rPr>
          <w:rStyle w:val="CharSectno"/>
        </w:rPr>
        <w:lastRenderedPageBreak/>
        <w:t>29</w:t>
      </w:r>
      <w:r>
        <w:t>.</w:t>
      </w:r>
      <w:r>
        <w:tab/>
        <w:t>Reportable offender to report changes to relevant personal details</w:t>
      </w:r>
      <w:bookmarkEnd w:id="53"/>
    </w:p>
    <w:p>
      <w:pPr>
        <w:pStyle w:val="Subsection"/>
      </w:pPr>
      <w:r>
        <w:rPr>
          <w:color w:val="000000"/>
        </w:rPr>
        <w:tab/>
        <w:t>(1)</w:t>
      </w:r>
      <w:r>
        <w:rPr>
          <w:color w:val="000000"/>
        </w:rPr>
        <w:tab/>
        <w:t xml:space="preserve">A reportable offender must report to the Commissioner any change in </w:t>
      </w:r>
      <w:r>
        <w:t>the offender’s</w:t>
      </w:r>
      <w:r>
        <w:rPr>
          <w:color w:val="000000"/>
        </w:rPr>
        <w:t xml:space="preserve"> personal details — </w:t>
      </w:r>
    </w:p>
    <w:p>
      <w:pPr>
        <w:pStyle w:val="Indenta"/>
      </w:pPr>
      <w:r>
        <w:tab/>
        <w:t>(a)</w:t>
      </w:r>
      <w:r>
        <w:tab/>
        <w:t xml:space="preserve">if the change relates to any of the details referred to in section 26(1)(d), within 24 hours after the change occurs; or </w:t>
      </w:r>
    </w:p>
    <w:p>
      <w:pPr>
        <w:pStyle w:val="Indenta"/>
      </w:pPr>
      <w:r>
        <w:tab/>
        <w:t>(b)</w:t>
      </w:r>
      <w:r>
        <w:tab/>
        <w:t>if the change relates to any of the details referred to in section 26(1)(f) or (h), within 3 days after the change occurs; or</w:t>
      </w:r>
    </w:p>
    <w:p>
      <w:pPr>
        <w:pStyle w:val="Indenta"/>
      </w:pPr>
      <w:r>
        <w:tab/>
        <w:t>(c)</w:t>
      </w:r>
      <w:r>
        <w:tab/>
        <w:t>otherwise, within 7 days after the change occurs.</w:t>
      </w:r>
    </w:p>
    <w:p>
      <w:pPr>
        <w:pStyle w:val="Subsection"/>
      </w:pPr>
      <w:r>
        <w:tab/>
        <w:t>(2)</w:t>
      </w:r>
      <w:r>
        <w:tab/>
        <w:t xml:space="preserve">For the purposes of subsection (1), a change occurs on the expiry of the 3 day period referred to in section 26(2)(a), (d) or (e) in relation to — </w:t>
      </w:r>
    </w:p>
    <w:p>
      <w:pPr>
        <w:pStyle w:val="Indenta"/>
      </w:pPr>
      <w:r>
        <w:tab/>
        <w:t>(a)</w:t>
      </w:r>
      <w:r>
        <w:tab/>
        <w:t xml:space="preserve">the premises that the reportable offender resides at, owns, rents, controls or manages; or </w:t>
      </w:r>
    </w:p>
    <w:p>
      <w:pPr>
        <w:pStyle w:val="Indenta"/>
      </w:pPr>
      <w:r>
        <w:tab/>
        <w:t>(b)</w:t>
      </w:r>
      <w:r>
        <w:tab/>
        <w:t>the premises where the reportable offender is generally employed; or</w:t>
      </w:r>
    </w:p>
    <w:p>
      <w:pPr>
        <w:pStyle w:val="Indenta"/>
      </w:pPr>
      <w:r>
        <w:tab/>
        <w:t>(c)</w:t>
      </w:r>
      <w:r>
        <w:tab/>
        <w:t>the motor vehicle that the reportable offender generally drives.</w:t>
      </w:r>
    </w:p>
    <w:p>
      <w:pPr>
        <w:pStyle w:val="Subsection"/>
      </w:pPr>
      <w:r>
        <w:tab/>
        <w:t>(2A)</w:t>
      </w:r>
      <w:r>
        <w:tab/>
        <w:t xml:space="preserve">For the purposes of subsection (1), a change occurs in a reportable offender’s personal details relating to sex or gender only if — </w:t>
      </w:r>
    </w:p>
    <w:p>
      <w:pPr>
        <w:pStyle w:val="Indenta"/>
      </w:pPr>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pPr>
        <w:pStyle w:val="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pPr>
        <w:pStyle w:val="Subsection"/>
      </w:pPr>
      <w:r>
        <w:lastRenderedPageBreak/>
        <w:tab/>
        <w:t>(3)</w:t>
      </w:r>
      <w:r>
        <w:tab/>
        <w:t>If the personal details of a reportable offender (other than one to whom Division 10 applies) change while the offender is not in Western Australia, the offender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the person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the offender’s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the offender leaves within that 7 day period.</w:t>
      </w:r>
    </w:p>
    <w:p>
      <w:pPr>
        <w:pStyle w:val="Subsection"/>
      </w:pPr>
      <w:r>
        <w:tab/>
        <w:t>(6)</w:t>
      </w:r>
      <w:r>
        <w:tab/>
        <w:t>Despite a reporting obligation in this section, a reportable offender is not required to report a change under this section that relates to reportable contact with a child referred to in section 26(1)(e).</w:t>
      </w:r>
    </w:p>
    <w:p>
      <w:pPr>
        <w:pStyle w:val="PermNoteHeading"/>
      </w:pPr>
      <w:r>
        <w:tab/>
        <w:t xml:space="preserve">Note for this subsection: </w:t>
      </w:r>
    </w:p>
    <w:p>
      <w:pPr>
        <w:pStyle w:val="PermNoteText"/>
      </w:pPr>
      <w:r>
        <w:tab/>
      </w:r>
      <w:r>
        <w:tab/>
        <w:t>A reportable offender’s ongoing obligations in relation to reportable contact with a child are provided under section 33A.</w:t>
      </w:r>
    </w:p>
    <w:p>
      <w:pPr>
        <w:pStyle w:val="Footnotesection"/>
      </w:pPr>
      <w:r>
        <w:tab/>
        <w:t>[Section 29 amended: No. 54 of 2012 s. 14; No. 31 of 2024 s. 25 and 28; No. 35 of 2024 s. 17.]</w:t>
      </w:r>
    </w:p>
    <w:p>
      <w:pPr>
        <w:pStyle w:val="Heading5"/>
        <w:spacing w:before="240"/>
      </w:pPr>
      <w:bookmarkStart w:id="54" w:name="_Toc203745073"/>
      <w:r>
        <w:rPr>
          <w:rStyle w:val="CharSectno"/>
        </w:rPr>
        <w:t>29A</w:t>
      </w:r>
      <w:r>
        <w:t>.</w:t>
      </w:r>
      <w:r>
        <w:tab/>
        <w:t>Intended absence from place of residence to be reported</w:t>
      </w:r>
      <w:bookmarkEnd w:id="5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the offender generally resides, as determined in accordance with section 26(2)(a); or</w:t>
      </w:r>
    </w:p>
    <w:p>
      <w:pPr>
        <w:pStyle w:val="Indenta"/>
      </w:pPr>
      <w:r>
        <w:lastRenderedPageBreak/>
        <w:tab/>
        <w:t>(b)</w:t>
      </w:r>
      <w:r>
        <w:tab/>
        <w:t>if the offender does not generally reside at any particular premises, the localities in which the offender can generally be found.</w:t>
      </w:r>
    </w:p>
    <w:p>
      <w:pPr>
        <w:pStyle w:val="Subsection"/>
        <w:keepNext/>
      </w:pPr>
      <w:r>
        <w:tab/>
        <w:t>(2)</w:t>
      </w:r>
      <w:r>
        <w:tab/>
        <w:t xml:space="preserve">This section applies to a reportable offender who — </w:t>
      </w:r>
    </w:p>
    <w:p>
      <w:pPr>
        <w:pStyle w:val="Indenta"/>
      </w:pPr>
      <w:r>
        <w:tab/>
        <w:t>(a)</w:t>
      </w:r>
      <w:r>
        <w:tab/>
        <w:t>intends to leave the place where the offender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the offender generally resides, the reportable offender must report the intended absence to the Commissioner and must provide details of — </w:t>
      </w:r>
    </w:p>
    <w:p>
      <w:pPr>
        <w:pStyle w:val="Indenta"/>
      </w:pPr>
      <w:r>
        <w:tab/>
        <w:t>(a)</w:t>
      </w:r>
      <w:r>
        <w:tab/>
        <w:t>the dates, or approximate dates, of the period during which the offender intends to be absent from the place where the offender generally resides; and</w:t>
      </w:r>
    </w:p>
    <w:p>
      <w:pPr>
        <w:pStyle w:val="Indenta"/>
      </w:pPr>
      <w:r>
        <w:tab/>
        <w:t>(b)</w:t>
      </w:r>
      <w:r>
        <w:tab/>
        <w:t>each address or location within Western Australia at which the offender intends to reside (to the extent that they are known) and the dates, or approximate dates, of the periods during which the offender intends to reside at those addresses or locations.</w:t>
      </w:r>
    </w:p>
    <w:p>
      <w:pPr>
        <w:pStyle w:val="Subsection"/>
        <w:spacing w:before="150"/>
      </w:pPr>
      <w:r>
        <w:tab/>
        <w:t>(4)</w:t>
      </w:r>
      <w:r>
        <w:tab/>
        <w:t>If circumstances arise making it impracticable for a reportable offender to make the report at least 7 days before the offender leaves, it is sufficient compliance with subsection (3) if the reportable offender reports the required information to the Commissioner no later than 24 hours after leaving the place where the offender generally resides.</w:t>
      </w:r>
    </w:p>
    <w:p>
      <w:pPr>
        <w:pStyle w:val="Subsection"/>
        <w:spacing w:before="150"/>
      </w:pPr>
      <w:r>
        <w:tab/>
        <w:t>(5)</w:t>
      </w:r>
      <w:r>
        <w:tab/>
        <w:t>If the reportable offender decides not to leave the place where the offender generally resides, the offender must report the offender’s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the offender generally resides.</w:t>
      </w:r>
    </w:p>
    <w:p>
      <w:pPr>
        <w:pStyle w:val="Footnotesection"/>
        <w:spacing w:before="100"/>
      </w:pPr>
      <w:r>
        <w:lastRenderedPageBreak/>
        <w:tab/>
        <w:t>[Section 29A inserted: No. 27 of 2008 s. 5; amended: No. 31 of 2024 s. 28.]</w:t>
      </w:r>
    </w:p>
    <w:p>
      <w:pPr>
        <w:pStyle w:val="Heading5"/>
      </w:pPr>
      <w:bookmarkStart w:id="55" w:name="_Toc203745074"/>
      <w:r>
        <w:rPr>
          <w:rStyle w:val="CharSectno"/>
        </w:rPr>
        <w:t>30</w:t>
      </w:r>
      <w:r>
        <w:t>.</w:t>
      </w:r>
      <w:r>
        <w:tab/>
        <w:t>Intended absence from Western Australia to be reported</w:t>
      </w:r>
      <w:bookmarkEnd w:id="5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the offender intends to go while out of Western Australia; and</w:t>
      </w:r>
    </w:p>
    <w:p>
      <w:pPr>
        <w:pStyle w:val="Indenta"/>
        <w:spacing w:before="60"/>
      </w:pPr>
      <w:r>
        <w:tab/>
        <w:t>(b)</w:t>
      </w:r>
      <w:r>
        <w:tab/>
        <w:t>the approximate dates of the periods during which the offender intends to be in each of those States, Territories or countries; and</w:t>
      </w:r>
    </w:p>
    <w:p>
      <w:pPr>
        <w:pStyle w:val="Indenta"/>
        <w:spacing w:before="60"/>
      </w:pPr>
      <w:r>
        <w:tab/>
        <w:t>(c)</w:t>
      </w:r>
      <w:r>
        <w:tab/>
        <w:t>each address or location within each State, Territory or country at which the offender intends to reside (to the extent that they are known) and the approximate dates of the periods during which the offender intends to reside at those addresses or locations; and</w:t>
      </w:r>
    </w:p>
    <w:p>
      <w:pPr>
        <w:pStyle w:val="Indenta"/>
      </w:pPr>
      <w:r>
        <w:tab/>
        <w:t>(d)</w:t>
      </w:r>
      <w:r>
        <w:tab/>
        <w:t>if the offender intends to return to Western Australia, the approximate date on which the offender intends to return; and</w:t>
      </w:r>
    </w:p>
    <w:p>
      <w:pPr>
        <w:pStyle w:val="Indenta"/>
      </w:pPr>
      <w:r>
        <w:tab/>
        <w:t>(e)</w:t>
      </w:r>
      <w:r>
        <w:tab/>
        <w:t>if the offender does not intend to return to Western Australia, a statement of that intention.</w:t>
      </w:r>
    </w:p>
    <w:p>
      <w:pPr>
        <w:pStyle w:val="Subsection"/>
      </w:pPr>
      <w:r>
        <w:tab/>
        <w:t>(3)</w:t>
      </w:r>
      <w:r>
        <w:tab/>
        <w:t>If circumstances arise making it impracticable for a reportable offender to make the report at least 7 days before the offender leaves, it is sufficient compliance with subsection (2) if the reportable offender reports the required information to the Commissioner no later than 24 hours after leaving Western Australia.</w:t>
      </w:r>
    </w:p>
    <w:p>
      <w:pPr>
        <w:pStyle w:val="Subsection"/>
        <w:keepNext/>
      </w:pPr>
      <w:r>
        <w:lastRenderedPageBreak/>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 No. 31 of 2024 s. 28.]</w:t>
      </w:r>
    </w:p>
    <w:p>
      <w:pPr>
        <w:pStyle w:val="Heading5"/>
        <w:spacing w:before="180"/>
      </w:pPr>
      <w:bookmarkStart w:id="56" w:name="_Toc203745075"/>
      <w:r>
        <w:rPr>
          <w:rStyle w:val="CharSectno"/>
        </w:rPr>
        <w:t>31</w:t>
      </w:r>
      <w:r>
        <w:t>.</w:t>
      </w:r>
      <w:r>
        <w:tab/>
        <w:t>Change of travel plans while out of Western Australia to be reported</w:t>
      </w:r>
      <w:bookmarkEnd w:id="5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the offender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 No. 31 of 2024 s. 28.]</w:t>
      </w:r>
    </w:p>
    <w:p>
      <w:pPr>
        <w:pStyle w:val="Heading5"/>
        <w:keepLines w:val="0"/>
      </w:pPr>
      <w:bookmarkStart w:id="57" w:name="_Toc203745076"/>
      <w:r>
        <w:rPr>
          <w:rStyle w:val="CharSectno"/>
        </w:rPr>
        <w:lastRenderedPageBreak/>
        <w:t>32</w:t>
      </w:r>
      <w:r>
        <w:t>.</w:t>
      </w:r>
      <w:r>
        <w:tab/>
        <w:t>Reportable offender to report return to Western Australia or decision not to leave</w:t>
      </w:r>
      <w:bookmarkEnd w:id="57"/>
    </w:p>
    <w:p>
      <w:pPr>
        <w:pStyle w:val="Subsection"/>
      </w:pPr>
      <w:r>
        <w:tab/>
        <w:t>(1)</w:t>
      </w:r>
      <w:r>
        <w:tab/>
        <w:t>This section applies to a reportable offender who was required to report under section 30 that the offender intended to leave Western Australia.</w:t>
      </w:r>
    </w:p>
    <w:p>
      <w:pPr>
        <w:pStyle w:val="Subsection"/>
      </w:pPr>
      <w:r>
        <w:tab/>
        <w:t>(2)</w:t>
      </w:r>
      <w:r>
        <w:tab/>
        <w:t>If the reportable offender left Western Australia, the offender must report the offender’s return to Western Australia to the Commissioner within 7 days after entering Western Australia.</w:t>
      </w:r>
    </w:p>
    <w:p>
      <w:pPr>
        <w:pStyle w:val="Subsection"/>
      </w:pPr>
      <w:r>
        <w:tab/>
        <w:t>(2a)</w:t>
      </w:r>
      <w:r>
        <w:tab/>
        <w:t xml:space="preserve">If the reportable offender left Western Australia to travel out of Australia, the offender must, in addition to reporting under subsection (2), produce to the Commissioner within 7 days after entering Western Australia — </w:t>
      </w:r>
    </w:p>
    <w:p>
      <w:pPr>
        <w:pStyle w:val="Indenta"/>
      </w:pPr>
      <w:r>
        <w:tab/>
        <w:t>(a)</w:t>
      </w:r>
      <w:r>
        <w:tab/>
        <w:t>the offender’s passport; and</w:t>
      </w:r>
    </w:p>
    <w:p>
      <w:pPr>
        <w:pStyle w:val="Indenta"/>
      </w:pPr>
      <w:r>
        <w:tab/>
        <w:t>(b)</w:t>
      </w:r>
      <w:r>
        <w:tab/>
        <w:t>any other document in the offender’s possession that contains information indicating where the offender travelled while out of Australia.</w:t>
      </w:r>
    </w:p>
    <w:p>
      <w:pPr>
        <w:pStyle w:val="Subsection"/>
      </w:pPr>
      <w:r>
        <w:tab/>
        <w:t>(3)</w:t>
      </w:r>
      <w:r>
        <w:tab/>
        <w:t>A person does not commit an offence against section 63 because of a failure to comply with the reporting obligation imposed by subsection (2) or (2a) if the person does not remain in Western Australia for 14 or more consecutive days, not counting any days spent in government custody.</w:t>
      </w:r>
    </w:p>
    <w:p>
      <w:pPr>
        <w:pStyle w:val="Subsection"/>
      </w:pPr>
      <w:r>
        <w:tab/>
        <w:t>(4)</w:t>
      </w:r>
      <w:r>
        <w:tab/>
        <w:t>If the reportable offender decides not to leave Western Australia, the offender must report the offender’s change of intention to the Commissioner within 7 days after deciding not to leave.</w:t>
      </w:r>
    </w:p>
    <w:p>
      <w:pPr>
        <w:pStyle w:val="Footnotesection"/>
      </w:pPr>
      <w:r>
        <w:tab/>
        <w:t>[Section 32 amended: No. 27 of 2008 s. 8; No. 31 of 2024 s. 28.]</w:t>
      </w:r>
    </w:p>
    <w:p>
      <w:pPr>
        <w:pStyle w:val="Heading5"/>
      </w:pPr>
      <w:bookmarkStart w:id="58" w:name="_Toc203745077"/>
      <w:r>
        <w:rPr>
          <w:rStyle w:val="CharSectno"/>
        </w:rPr>
        <w:t>33</w:t>
      </w:r>
      <w:r>
        <w:t>.</w:t>
      </w:r>
      <w:r>
        <w:tab/>
        <w:t>Report of other absences from Western Australia</w:t>
      </w:r>
      <w:bookmarkEnd w:id="58"/>
    </w:p>
    <w:p>
      <w:pPr>
        <w:pStyle w:val="Subsection"/>
        <w:spacing w:before="140"/>
      </w:pPr>
      <w:r>
        <w:tab/>
        <w:t>(1)</w:t>
      </w:r>
      <w:r>
        <w:tab/>
        <w:t xml:space="preserve">This section applies to a reportable offender who, at the time of making a report under this Division, leaves or intends to leave Western Australia to travel elsewhere in Australia on an average </w:t>
      </w:r>
      <w:r>
        <w:lastRenderedPageBreak/>
        <w:t>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4"/>
      </w:pPr>
      <w:bookmarkStart w:id="59" w:name="_Toc180506598"/>
      <w:bookmarkStart w:id="60" w:name="_Toc180506790"/>
      <w:bookmarkStart w:id="61" w:name="_Toc180506982"/>
      <w:bookmarkStart w:id="62" w:name="_Toc203745078"/>
      <w:bookmarkStart w:id="63" w:name="_Toc203658173"/>
      <w:r>
        <w:rPr>
          <w:rStyle w:val="CharSDivNo"/>
        </w:rPr>
        <w:t>Subdivision 2</w:t>
      </w:r>
      <w:r>
        <w:t> —</w:t>
      </w:r>
      <w:r>
        <w:rPr>
          <w:rStyle w:val="CharSDivText"/>
        </w:rPr>
        <w:t> Reportable contact with child</w:t>
      </w:r>
      <w:bookmarkEnd w:id="59"/>
      <w:bookmarkEnd w:id="60"/>
      <w:bookmarkEnd w:id="61"/>
      <w:bookmarkEnd w:id="62"/>
    </w:p>
    <w:p>
      <w:pPr>
        <w:pStyle w:val="Footnoteheading"/>
      </w:pPr>
      <w:bookmarkStart w:id="64" w:name="_Toc180506983"/>
      <w:r>
        <w:tab/>
        <w:t>[Heading inserted: No. 35 of 2024 s. 18.]</w:t>
      </w:r>
    </w:p>
    <w:p>
      <w:pPr>
        <w:pStyle w:val="Heading5"/>
      </w:pPr>
      <w:bookmarkStart w:id="65" w:name="_Toc203745079"/>
      <w:r>
        <w:rPr>
          <w:rStyle w:val="CharSectno"/>
        </w:rPr>
        <w:t>33A</w:t>
      </w:r>
      <w:r>
        <w:t>.</w:t>
      </w:r>
      <w:r>
        <w:tab/>
        <w:t>Ongoing reporting of reportable contact with child</w:t>
      </w:r>
      <w:bookmarkEnd w:id="64"/>
      <w:bookmarkEnd w:id="65"/>
      <w:r>
        <w:t xml:space="preserve"> </w:t>
      </w:r>
    </w:p>
    <w:p>
      <w:pPr>
        <w:pStyle w:val="Subsection"/>
      </w:pPr>
      <w:r>
        <w:tab/>
      </w:r>
      <w:r>
        <w:tab/>
        <w:t xml:space="preserve">If a reportable offender has reportable contact with a child, the reportable offender must report to the Commissioner the following details within 24 hours after each reportable contact with the child occurs unless the offender is exempt from reporting reportable contact with the child — </w:t>
      </w:r>
    </w:p>
    <w:p>
      <w:pPr>
        <w:pStyle w:val="Indenta"/>
      </w:pPr>
      <w:r>
        <w:tab/>
        <w:t>(a)</w:t>
      </w:r>
      <w:r>
        <w:tab/>
        <w:t>reportable contact details of the reportable contact;</w:t>
      </w:r>
    </w:p>
    <w:p>
      <w:pPr>
        <w:pStyle w:val="Indenta"/>
      </w:pPr>
      <w:r>
        <w:tab/>
        <w:t>(b)</w:t>
      </w:r>
      <w:r>
        <w:tab/>
        <w:t>reportable contact details of any likely reportable contact with the child within the period of 12 months after the day on which the report is given.</w:t>
      </w:r>
    </w:p>
    <w:p>
      <w:pPr>
        <w:pStyle w:val="Footnotesection"/>
      </w:pPr>
      <w:bookmarkStart w:id="66" w:name="_Toc180506984"/>
      <w:r>
        <w:tab/>
        <w:t>[Section 33A inserted: No. 35 of 2024 s. 18.]</w:t>
      </w:r>
    </w:p>
    <w:p>
      <w:pPr>
        <w:pStyle w:val="Heading5"/>
      </w:pPr>
      <w:bookmarkStart w:id="67" w:name="_Toc203745080"/>
      <w:r>
        <w:rPr>
          <w:rStyle w:val="CharSectno"/>
        </w:rPr>
        <w:t>33B</w:t>
      </w:r>
      <w:r>
        <w:t>.</w:t>
      </w:r>
      <w:r>
        <w:tab/>
        <w:t>Exemption from ongoing reporting of reportable contact with child</w:t>
      </w:r>
      <w:bookmarkEnd w:id="66"/>
      <w:bookmarkEnd w:id="67"/>
      <w:r>
        <w:t xml:space="preserve"> </w:t>
      </w:r>
    </w:p>
    <w:p>
      <w:pPr>
        <w:pStyle w:val="Subsection"/>
      </w:pPr>
      <w:r>
        <w:rPr>
          <w:color w:val="000000"/>
        </w:rPr>
        <w:tab/>
        <w:t>(1)</w:t>
      </w:r>
      <w:r>
        <w:rPr>
          <w:color w:val="000000"/>
        </w:rPr>
        <w:tab/>
      </w:r>
      <w:r>
        <w:t xml:space="preserve">The Commissioner may, by written notice, exempt a reportable offender from the requirement to report reportable contact with a child under section 33A if the offender has given reportable contact details in relation to reportable contact and likely reportable contact with the child to the Commissioner. </w:t>
      </w:r>
    </w:p>
    <w:p>
      <w:pPr>
        <w:pStyle w:val="Subsection"/>
      </w:pPr>
      <w:r>
        <w:tab/>
        <w:t>(2)</w:t>
      </w:r>
      <w:r>
        <w:tab/>
        <w:t xml:space="preserve">In deciding whether to grant an exemption, the Commissioner must take into account the following — </w:t>
      </w:r>
    </w:p>
    <w:p>
      <w:pPr>
        <w:pStyle w:val="Indenta"/>
      </w:pPr>
      <w:r>
        <w:tab/>
        <w:t>(a)</w:t>
      </w:r>
      <w:r>
        <w:tab/>
        <w:t>whether the reportable offender normally lives with the child;</w:t>
      </w:r>
    </w:p>
    <w:p>
      <w:pPr>
        <w:pStyle w:val="Indenta"/>
      </w:pPr>
      <w:r>
        <w:lastRenderedPageBreak/>
        <w:tab/>
        <w:t>(b)</w:t>
      </w:r>
      <w:r>
        <w:tab/>
        <w:t>how frequently the reportable offender has reportable contact, or is likely to have reportable contact, with the child;</w:t>
      </w:r>
    </w:p>
    <w:p>
      <w:pPr>
        <w:pStyle w:val="Indenta"/>
      </w:pPr>
      <w:r>
        <w:tab/>
        <w:t>(c)</w:t>
      </w:r>
      <w:r>
        <w:tab/>
        <w:t>the nature of the reportable contact with the child;</w:t>
      </w:r>
    </w:p>
    <w:p>
      <w:pPr>
        <w:pStyle w:val="Indenta"/>
      </w:pPr>
      <w:r>
        <w:tab/>
        <w:t>(d)</w:t>
      </w:r>
      <w:r>
        <w:tab/>
        <w:t>any other matter the Commissioner considers relevant.</w:t>
      </w:r>
    </w:p>
    <w:p>
      <w:pPr>
        <w:pStyle w:val="Subsection"/>
      </w:pPr>
      <w:r>
        <w:tab/>
        <w:t>(3)</w:t>
      </w:r>
      <w:r>
        <w:tab/>
        <w:t>The exemption has effect from the time the notice under subsection (1) is given to the offender or from any later date specified in the notice.</w:t>
      </w:r>
    </w:p>
    <w:p>
      <w:pPr>
        <w:pStyle w:val="Subsection"/>
      </w:pPr>
      <w:r>
        <w:tab/>
        <w:t>(4)</w:t>
      </w:r>
      <w:r>
        <w:tab/>
        <w:t>The Commissioner may revoke a reportable offender’s exemption at any time by giving written notice to the offender.</w:t>
      </w:r>
    </w:p>
    <w:p>
      <w:pPr>
        <w:pStyle w:val="Subsection"/>
      </w:pPr>
      <w:r>
        <w:tab/>
        <w:t>(5)</w:t>
      </w:r>
      <w:r>
        <w:tab/>
        <w:t>The revocation has effect from the time the notice is given to the offender under subsection (4).</w:t>
      </w:r>
    </w:p>
    <w:p>
      <w:pPr>
        <w:pStyle w:val="Subsection"/>
      </w:pPr>
      <w:r>
        <w:tab/>
        <w:t>(6)</w:t>
      </w:r>
      <w:r>
        <w:tab/>
        <w:t>This section is in addition to, and does not limit, any other provision which provides for an exemption or suspension of a reporting obligation.</w:t>
      </w:r>
    </w:p>
    <w:p>
      <w:pPr>
        <w:pStyle w:val="Footnotesection"/>
      </w:pPr>
      <w:bookmarkStart w:id="68" w:name="_Toc180506985"/>
      <w:r>
        <w:tab/>
        <w:t>[Section 33B inserted: No. 35 of 2024 s. 18.]</w:t>
      </w:r>
    </w:p>
    <w:p>
      <w:pPr>
        <w:pStyle w:val="Heading5"/>
      </w:pPr>
      <w:bookmarkStart w:id="69" w:name="_Toc203745081"/>
      <w:r>
        <w:rPr>
          <w:rStyle w:val="CharSectno"/>
        </w:rPr>
        <w:t>33C</w:t>
      </w:r>
      <w:r>
        <w:t>.</w:t>
      </w:r>
      <w:r>
        <w:tab/>
        <w:t>When exemptions end</w:t>
      </w:r>
      <w:bookmarkEnd w:id="68"/>
      <w:bookmarkEnd w:id="69"/>
    </w:p>
    <w:p>
      <w:pPr>
        <w:pStyle w:val="Subsection"/>
      </w:pPr>
      <w:r>
        <w:rPr>
          <w:color w:val="000000"/>
        </w:rPr>
        <w:tab/>
        <w:t>(1)</w:t>
      </w:r>
      <w:r>
        <w:rPr>
          <w:color w:val="000000"/>
        </w:rPr>
        <w:tab/>
        <w:t xml:space="preserve">A reportable offender’s exemption under section 33B ceases to have effect when — </w:t>
      </w:r>
    </w:p>
    <w:p>
      <w:pPr>
        <w:pStyle w:val="Indenta"/>
      </w:pPr>
      <w:r>
        <w:tab/>
        <w:t>(a)</w:t>
      </w:r>
      <w:r>
        <w:tab/>
        <w:t xml:space="preserve">at any time after the exemption is granted, the offender — </w:t>
      </w:r>
    </w:p>
    <w:p>
      <w:pPr>
        <w:pStyle w:val="Indenti"/>
      </w:pPr>
      <w:r>
        <w:tab/>
        <w:t>(i)</w:t>
      </w:r>
      <w:r>
        <w:tab/>
        <w:t>is made subject to a reporting order or a protection order; or</w:t>
      </w:r>
    </w:p>
    <w:p>
      <w:pPr>
        <w:pStyle w:val="Indenti"/>
      </w:pPr>
      <w:r>
        <w:tab/>
        <w:t>(ii)</w:t>
      </w:r>
      <w:r>
        <w:tab/>
        <w:t>is found guilty of a reportable offence; or</w:t>
      </w:r>
    </w:p>
    <w:p>
      <w:pPr>
        <w:pStyle w:val="Indenti"/>
      </w:pPr>
      <w:r>
        <w:tab/>
        <w:t>(iii)</w:t>
      </w:r>
      <w:r>
        <w:tab/>
        <w:t>becomes a corresponding reportable offender who must under section 49 continue to comply with the reporting obligations imposed by this Part for any period; or</w:t>
      </w:r>
    </w:p>
    <w:p>
      <w:pPr>
        <w:pStyle w:val="Indenti"/>
      </w:pPr>
      <w:r>
        <w:tab/>
        <w:t>(iv)</w:t>
      </w:r>
      <w:r>
        <w:tab/>
        <w:t>is given a notice under section 33B(4);</w:t>
      </w:r>
    </w:p>
    <w:p>
      <w:pPr>
        <w:pStyle w:val="Indenta"/>
      </w:pPr>
      <w:r>
        <w:tab/>
      </w:r>
      <w:r>
        <w:tab/>
        <w:t>or</w:t>
      </w:r>
    </w:p>
    <w:p>
      <w:pPr>
        <w:pStyle w:val="Indenta"/>
      </w:pPr>
      <w:r>
        <w:lastRenderedPageBreak/>
        <w:tab/>
        <w:t>(b)</w:t>
      </w:r>
      <w:r>
        <w:tab/>
        <w:t>the reportable contact details given by the offender to the Commissioner for the exemption have changed since they were given or are not accurate.</w:t>
      </w:r>
    </w:p>
    <w:p>
      <w:pPr>
        <w:pStyle w:val="Subsection"/>
      </w:pPr>
      <w:r>
        <w:tab/>
        <w:t>(2)</w:t>
      </w:r>
      <w:r>
        <w:tab/>
        <w:t xml:space="preserve">An exemption that ceases to have effect in accordance with subsection (1) is revived if — </w:t>
      </w:r>
    </w:p>
    <w:p>
      <w:pPr>
        <w:pStyle w:val="Indenta"/>
      </w:pPr>
      <w:r>
        <w:tab/>
        <w:t>(a)</w:t>
      </w:r>
      <w:r>
        <w:tab/>
        <w:t>the finding of guilt that caused the approval to cease to have effect is quashed or set aside by a court; or</w:t>
      </w:r>
    </w:p>
    <w:p>
      <w:pPr>
        <w:pStyle w:val="Indenta"/>
      </w:pPr>
      <w:r>
        <w:tab/>
        <w:t>(b)</w:t>
      </w:r>
      <w:r>
        <w:tab/>
        <w:t xml:space="preserve">the approval ceased to have effect in accordance with subsection (1)(a)(i) and — </w:t>
      </w:r>
    </w:p>
    <w:p>
      <w:pPr>
        <w:pStyle w:val="Indenti"/>
      </w:pPr>
      <w:r>
        <w:tab/>
        <w:t>(i)</w:t>
      </w:r>
      <w:r>
        <w:tab/>
        <w:t>the reporting order or protection order is quashed on appeal; or</w:t>
      </w:r>
    </w:p>
    <w:p>
      <w:pPr>
        <w:pStyle w:val="Indenti"/>
      </w:pPr>
      <w:r>
        <w:tab/>
        <w:t>(ii)</w:t>
      </w:r>
      <w:r>
        <w:tab/>
        <w:t>in the case of a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 reporting order or protection order.</w:t>
      </w:r>
    </w:p>
    <w:p>
      <w:pPr>
        <w:pStyle w:val="Footnotesection"/>
      </w:pPr>
      <w:bookmarkStart w:id="70" w:name="_Toc180506986"/>
      <w:r>
        <w:tab/>
        <w:t>[Section 33C inserted: No. 35 of 2024 s. 18.]</w:t>
      </w:r>
    </w:p>
    <w:p>
      <w:pPr>
        <w:pStyle w:val="Heading5"/>
      </w:pPr>
      <w:bookmarkStart w:id="71" w:name="_Toc203745082"/>
      <w:r>
        <w:rPr>
          <w:rStyle w:val="CharSectno"/>
        </w:rPr>
        <w:t>33D</w:t>
      </w:r>
      <w:r>
        <w:t>.</w:t>
      </w:r>
      <w:r>
        <w:tab/>
        <w:t>Reporting of reportable contact with child ceasing for 60 days</w:t>
      </w:r>
      <w:bookmarkEnd w:id="70"/>
      <w:bookmarkEnd w:id="71"/>
    </w:p>
    <w:p>
      <w:pPr>
        <w:pStyle w:val="Subsection"/>
      </w:pPr>
      <w:r>
        <w:tab/>
        <w:t>(1)</w:t>
      </w:r>
      <w:r>
        <w:tab/>
        <w:t xml:space="preserve">This section applies if — </w:t>
      </w:r>
    </w:p>
    <w:p>
      <w:pPr>
        <w:pStyle w:val="Indenta"/>
      </w:pPr>
      <w:r>
        <w:tab/>
        <w:t>(a)</w:t>
      </w:r>
      <w:r>
        <w:tab/>
        <w:t>a reportable offender has an exemption under section 33B from reporting reportable contact with a child under section 33A; and</w:t>
      </w:r>
    </w:p>
    <w:p>
      <w:pPr>
        <w:pStyle w:val="Indenta"/>
      </w:pPr>
      <w:r>
        <w:tab/>
        <w:t>(b)</w:t>
      </w:r>
      <w:r>
        <w:tab/>
        <w:t xml:space="preserve">the offender does not have reportable contact with the child for a period (the </w:t>
      </w:r>
      <w:r>
        <w:rPr>
          <w:rStyle w:val="CharDefText"/>
        </w:rPr>
        <w:t>non</w:t>
      </w:r>
      <w:r>
        <w:rPr>
          <w:rStyle w:val="CharDefText"/>
        </w:rPr>
        <w:noBreakHyphen/>
        <w:t>contact period</w:t>
      </w:r>
      <w:r>
        <w:t xml:space="preserve">) of 60 consecutive days beginning on the day after the day on which the offender’s last reportable contact with the child occurred. </w:t>
      </w:r>
    </w:p>
    <w:p>
      <w:pPr>
        <w:pStyle w:val="Subsection"/>
      </w:pPr>
      <w:r>
        <w:rPr>
          <w:color w:val="000000"/>
        </w:rPr>
        <w:lastRenderedPageBreak/>
        <w:tab/>
      </w:r>
      <w:r>
        <w:t>(2)</w:t>
      </w:r>
      <w:r>
        <w:tab/>
        <w:t>The reportable offender must report the following to the Commissioner within 1 day after the end of the non</w:t>
      </w:r>
      <w:r>
        <w:noBreakHyphen/>
        <w:t xml:space="preserve">contact period — </w:t>
      </w:r>
    </w:p>
    <w:p>
      <w:pPr>
        <w:pStyle w:val="Indenta"/>
      </w:pPr>
      <w:r>
        <w:tab/>
        <w:t>(a)</w:t>
      </w:r>
      <w:r>
        <w:tab/>
        <w:t xml:space="preserve">the name of the child; </w:t>
      </w:r>
    </w:p>
    <w:p>
      <w:pPr>
        <w:pStyle w:val="Indenta"/>
        <w:keepNext/>
      </w:pPr>
      <w:r>
        <w:tab/>
        <w:t>(b)</w:t>
      </w:r>
      <w:r>
        <w:tab/>
        <w:t>details about why the reportable contact has stopped for the non</w:t>
      </w:r>
      <w:r>
        <w:noBreakHyphen/>
        <w:t xml:space="preserve">contact period. </w:t>
      </w:r>
    </w:p>
    <w:p>
      <w:pPr>
        <w:pStyle w:val="Footnotesection"/>
      </w:pPr>
      <w:r>
        <w:tab/>
        <w:t>[Section 33D inserted: No. 35 of 2024 s. 18.]</w:t>
      </w:r>
    </w:p>
    <w:p>
      <w:pPr>
        <w:pStyle w:val="Heading3"/>
        <w:spacing w:before="220"/>
      </w:pPr>
      <w:bookmarkStart w:id="72" w:name="_Toc203745083"/>
      <w:r>
        <w:rPr>
          <w:rStyle w:val="CharDivNo"/>
        </w:rPr>
        <w:t>Division 3</w:t>
      </w:r>
      <w:r>
        <w:t> — </w:t>
      </w:r>
      <w:r>
        <w:rPr>
          <w:rStyle w:val="CharDivText"/>
        </w:rPr>
        <w:t>Provisions applying to all reporting obligations</w:t>
      </w:r>
      <w:bookmarkEnd w:id="63"/>
      <w:bookmarkEnd w:id="72"/>
    </w:p>
    <w:p>
      <w:pPr>
        <w:pStyle w:val="Heading5"/>
        <w:spacing w:before="200"/>
      </w:pPr>
      <w:bookmarkStart w:id="73" w:name="_Toc203745084"/>
      <w:r>
        <w:rPr>
          <w:rStyle w:val="CharSectno"/>
        </w:rPr>
        <w:t>34</w:t>
      </w:r>
      <w:r>
        <w:t>.</w:t>
      </w:r>
      <w:r>
        <w:tab/>
        <w:t>Where reports must be made</w:t>
      </w:r>
      <w:bookmarkEnd w:id="73"/>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or required to be made in a way that is inconsistent with this section.</w:t>
      </w:r>
    </w:p>
    <w:p>
      <w:pPr>
        <w:pStyle w:val="Footnotesection"/>
      </w:pPr>
      <w:r>
        <w:tab/>
        <w:t>[Section 34 amended: No. 35 of 2024 s. 19.]</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74" w:name="_Toc203745085"/>
      <w:r>
        <w:rPr>
          <w:rStyle w:val="CharSectno"/>
        </w:rPr>
        <w:lastRenderedPageBreak/>
        <w:t>35</w:t>
      </w:r>
      <w:r>
        <w:t>.</w:t>
      </w:r>
      <w:r>
        <w:tab/>
        <w:t>How reports must be made</w:t>
      </w:r>
      <w:bookmarkEnd w:id="74"/>
    </w:p>
    <w:p>
      <w:pPr>
        <w:pStyle w:val="Ednotesubsection"/>
        <w:keepNext/>
      </w:pPr>
      <w:r>
        <w:tab/>
        <w:t>[(1)</w:t>
      </w:r>
      <w:r>
        <w:tab/>
        <w:t>deleted]</w:t>
      </w:r>
    </w:p>
    <w:p>
      <w:pPr>
        <w:pStyle w:val="Subsection"/>
        <w:keepNext/>
      </w:pPr>
      <w:r>
        <w:tab/>
        <w:t>(2)</w:t>
      </w:r>
      <w:r>
        <w:tab/>
        <w:t xml:space="preserve">A reportable offender must make a report — </w:t>
      </w:r>
    </w:p>
    <w:p>
      <w:pPr>
        <w:pStyle w:val="Indenta"/>
      </w:pPr>
      <w:r>
        <w:tab/>
        <w:t>(a)</w:t>
      </w:r>
      <w:r>
        <w:tab/>
        <w:t>if the report is required under this Part to be made in a certain manner — in the manner required under this Part; or</w:t>
      </w:r>
    </w:p>
    <w:p>
      <w:pPr>
        <w:pStyle w:val="Indenta"/>
      </w:pPr>
      <w:r>
        <w:tab/>
        <w:t>(b)</w:t>
      </w:r>
      <w:r>
        <w:tab/>
        <w:t>if the report is not required under this Part to be made in a certain manner — in any of the following ways —</w:t>
      </w:r>
    </w:p>
    <w:p>
      <w:pPr>
        <w:pStyle w:val="Indenti"/>
      </w:pPr>
      <w:r>
        <w:tab/>
        <w:t>(i)</w:t>
      </w:r>
      <w:r>
        <w:tab/>
        <w:t>in person;</w:t>
      </w:r>
    </w:p>
    <w:p>
      <w:pPr>
        <w:pStyle w:val="Indenti"/>
      </w:pPr>
      <w:r>
        <w:tab/>
        <w:t>(ii)</w:t>
      </w:r>
      <w:r>
        <w:tab/>
        <w:t>in any way prescribed;</w:t>
      </w:r>
    </w:p>
    <w:p>
      <w:pPr>
        <w:pStyle w:val="Indenti"/>
      </w:pPr>
      <w:r>
        <w:tab/>
        <w:t>(iii)</w:t>
      </w:r>
      <w:r>
        <w:tab/>
        <w:t>in any way permitted by the Commissioner in a particular case, for a class of cases or for all cases.</w:t>
      </w:r>
    </w:p>
    <w:p>
      <w:pPr>
        <w:pStyle w:val="Subsection"/>
      </w:pPr>
      <w:r>
        <w:tab/>
        <w:t>(3)</w:t>
      </w:r>
      <w:r>
        <w:tab/>
        <w:t xml:space="preserve">Only an authorised person may receive a report made under this Part unless the report is made electronically — </w:t>
      </w:r>
    </w:p>
    <w:p>
      <w:pPr>
        <w:pStyle w:val="Indenta"/>
      </w:pPr>
      <w:r>
        <w:tab/>
        <w:t>(a)</w:t>
      </w:r>
      <w:r>
        <w:tab/>
        <w:t xml:space="preserve">in accordance with the regulations; or </w:t>
      </w:r>
    </w:p>
    <w:p>
      <w:pPr>
        <w:pStyle w:val="Indenta"/>
      </w:pPr>
      <w:r>
        <w:tab/>
        <w:t>(b)</w:t>
      </w:r>
      <w:r>
        <w:tab/>
        <w:t>in a way permitted by the Commissioner under subsection (2)(b)(iii).</w:t>
      </w:r>
    </w:p>
    <w:p>
      <w:pPr>
        <w:pStyle w:val="Subsection"/>
      </w:pPr>
      <w:r>
        <w:tab/>
        <w:t>(4)</w:t>
      </w:r>
      <w:r>
        <w:tab/>
        <w:t>If a reportable offender attending in person is a child, or has a disability that makes it impossible or impracticable for the offender to make a report, any parent, guardian, carer or other person nominated by the reportable offender who is accompanying the reportable offender may make the report on the reportable offender’s behalf.</w:t>
      </w:r>
    </w:p>
    <w:p>
      <w:pPr>
        <w:pStyle w:val="Subsection"/>
      </w:pPr>
      <w:r>
        <w:tab/>
        <w:t>(5)</w:t>
      </w:r>
      <w:r>
        <w:tab/>
        <w:t xml:space="preserve">If a reportable offender is permitted or required to make a report otherwise than in person in accordance with subsection (2), any of the following may make a report on the offender’s behalf — </w:t>
      </w:r>
    </w:p>
    <w:p>
      <w:pPr>
        <w:pStyle w:val="Indenta"/>
      </w:pPr>
      <w:r>
        <w:tab/>
        <w:t>(a)</w:t>
      </w:r>
      <w:r>
        <w:tab/>
        <w:t xml:space="preserve">if the offender has a disability that makes it impossible or impracticable for them to make the report — a parent, guardian, carer or other person nominated by the offender; </w:t>
      </w:r>
    </w:p>
    <w:p>
      <w:pPr>
        <w:pStyle w:val="Indenta"/>
      </w:pPr>
      <w:r>
        <w:lastRenderedPageBreak/>
        <w:tab/>
        <w:t>(b)</w:t>
      </w:r>
      <w:r>
        <w:tab/>
        <w:t xml:space="preserve">if the offender has a guardian under the </w:t>
      </w:r>
      <w:r>
        <w:rPr>
          <w:i/>
          <w:iCs/>
        </w:rPr>
        <w:t>Guardianship and Administration Act 1990</w:t>
      </w:r>
      <w:r>
        <w:t> — the guardian.</w:t>
      </w:r>
    </w:p>
    <w:p>
      <w:pPr>
        <w:pStyle w:val="Footnotesection"/>
      </w:pPr>
      <w:r>
        <w:tab/>
        <w:t>[Section 35 amended: No. 31 of 2024 s. 28; No</w:t>
      </w:r>
      <w:r>
        <w:rPr>
          <w:sz w:val="28"/>
          <w:szCs w:val="22"/>
        </w:rPr>
        <w:t>.</w:t>
      </w:r>
      <w:r>
        <w:rPr>
          <w:szCs w:val="24"/>
        </w:rPr>
        <w:t> 35 of 2024 s. 20</w:t>
      </w:r>
      <w:r>
        <w:t>.]</w:t>
      </w:r>
    </w:p>
    <w:p>
      <w:pPr>
        <w:pStyle w:val="Heading5"/>
      </w:pPr>
      <w:bookmarkStart w:id="75" w:name="_Toc203745086"/>
      <w:r>
        <w:rPr>
          <w:rStyle w:val="CharSectno"/>
        </w:rPr>
        <w:t>36</w:t>
      </w:r>
      <w:r>
        <w:t>.</w:t>
      </w:r>
      <w:r>
        <w:tab/>
        <w:t>Right to privacy and support when reporting</w:t>
      </w:r>
      <w:bookmarkEnd w:id="7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the person’s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Footnotesection"/>
      </w:pPr>
      <w:r>
        <w:tab/>
        <w:t>[Section 36 amended: No. 31 of 2024 s. 28.]</w:t>
      </w:r>
    </w:p>
    <w:p>
      <w:pPr>
        <w:pStyle w:val="Heading5"/>
        <w:keepLines w:val="0"/>
      </w:pPr>
      <w:bookmarkStart w:id="76" w:name="_Toc203745087"/>
      <w:r>
        <w:rPr>
          <w:rStyle w:val="CharSectno"/>
        </w:rPr>
        <w:t>37</w:t>
      </w:r>
      <w:r>
        <w:t>.</w:t>
      </w:r>
      <w:r>
        <w:tab/>
        <w:t>Receipt of information to be acknowledged</w:t>
      </w:r>
      <w:bookmarkEnd w:id="76"/>
    </w:p>
    <w:p>
      <w:pPr>
        <w:pStyle w:val="Subsection"/>
      </w:pPr>
      <w:r>
        <w:tab/>
        <w:t>(1)</w:t>
      </w:r>
      <w:r>
        <w:tab/>
        <w:t>Subject to subsection (3C), as soon as is practicable after receiving a report under this Part, an authorised person must acknowledge the making of the report.</w:t>
      </w:r>
    </w:p>
    <w:p>
      <w:pPr>
        <w:pStyle w:val="Subsection"/>
        <w:keepNext/>
      </w:pPr>
      <w:r>
        <w:tab/>
        <w:t>(2)</w:t>
      </w:r>
      <w:r>
        <w:tab/>
        <w:t xml:space="preserve">If a report under this Part is made in person, 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lastRenderedPageBreak/>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Subject to subsection (3C), if a report under this Part is made otherwise than in person, an authorised person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(3A)</w:t>
      </w:r>
      <w:r>
        <w:tab/>
        <w:t>If a report under this Part is made electronically, any unique reference number or acknowledgment required to be given by this section may be given electronically.</w:t>
      </w:r>
    </w:p>
    <w:p>
      <w:pPr>
        <w:pStyle w:val="Subsection"/>
      </w:pPr>
      <w:r>
        <w:tab/>
        <w:t>(3B)</w:t>
      </w:r>
      <w:r>
        <w:tab/>
        <w:t>The regulations may prescribe the manner in which a unique reference number or acknowledgment may be given electronically under subsection (3A).</w:t>
      </w:r>
    </w:p>
    <w:p>
      <w:pPr>
        <w:pStyle w:val="Subsection"/>
      </w:pPr>
      <w:r>
        <w:tab/>
        <w:t>(3C)</w:t>
      </w:r>
      <w:r>
        <w:tab/>
        <w:t>If a report is made electronically by a person, it may be received by an automated system and an automated system may give an acknowledgement including a unique reference number to the person.</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lastRenderedPageBreak/>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 No. 35 of 2024 s. 21.]</w:t>
      </w:r>
    </w:p>
    <w:p>
      <w:pPr>
        <w:pStyle w:val="Heading5"/>
      </w:pPr>
      <w:bookmarkStart w:id="77" w:name="_Toc203745088"/>
      <w:r>
        <w:rPr>
          <w:rStyle w:val="CharSectno"/>
        </w:rPr>
        <w:t>38</w:t>
      </w:r>
      <w:r>
        <w:t>.</w:t>
      </w:r>
      <w:r>
        <w:tab/>
        <w:t>Additional matters to be provided</w:t>
      </w:r>
      <w:bookmarkEnd w:id="77"/>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lastRenderedPageBreak/>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lastRenderedPageBreak/>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the offender’s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the authorised person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lastRenderedPageBreak/>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 No. 31 of 2024 s. 28.]</w:t>
      </w:r>
    </w:p>
    <w:p>
      <w:pPr>
        <w:pStyle w:val="Heading5"/>
      </w:pPr>
      <w:bookmarkStart w:id="78" w:name="_Toc203745089"/>
      <w:r>
        <w:rPr>
          <w:rStyle w:val="CharSectno"/>
        </w:rPr>
        <w:t>39</w:t>
      </w:r>
      <w:r>
        <w:t>.</w:t>
      </w:r>
      <w:r>
        <w:tab/>
        <w:t>Power to take fingerprints</w:t>
      </w:r>
      <w:bookmarkEnd w:id="7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the authorised person by, or on behalf of, the reportable offender.</w:t>
      </w:r>
    </w:p>
    <w:p>
      <w:pPr>
        <w:pStyle w:val="Subsection"/>
      </w:pPr>
      <w:r>
        <w:tab/>
        <w:t>(2)</w:t>
      </w:r>
      <w:r>
        <w:tab/>
        <w:t>The authorised person may take, or may cause to be taken by a person authorised by the authorised person, the fingerprints of the reportable offender.</w:t>
      </w:r>
    </w:p>
    <w:p>
      <w:pPr>
        <w:pStyle w:val="Footnotesection"/>
      </w:pPr>
      <w:r>
        <w:tab/>
        <w:t>[Section 39 amended: No. 31 of 2024 s. 28.]</w:t>
      </w:r>
    </w:p>
    <w:p>
      <w:pPr>
        <w:pStyle w:val="Heading5"/>
      </w:pPr>
      <w:bookmarkStart w:id="79" w:name="_Toc203745090"/>
      <w:r>
        <w:rPr>
          <w:rStyle w:val="CharSectno"/>
        </w:rPr>
        <w:t>40</w:t>
      </w:r>
      <w:r>
        <w:t>.</w:t>
      </w:r>
      <w:r>
        <w:tab/>
        <w:t>Power to take photographs</w:t>
      </w:r>
      <w:bookmarkEnd w:id="79"/>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lastRenderedPageBreak/>
        <w:tab/>
        <w:t>(b)</w:t>
      </w:r>
      <w:r>
        <w:tab/>
        <w:t>to expose any part of the reportable offender’s body to enable that part of the body to be photographed by the authorised person or a person authorised by the authorised person.</w:t>
      </w:r>
    </w:p>
    <w:p>
      <w:pPr>
        <w:pStyle w:val="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 No. 31 of 2024 s. 26.]</w:t>
      </w:r>
    </w:p>
    <w:p>
      <w:pPr>
        <w:pStyle w:val="Heading5"/>
      </w:pPr>
      <w:bookmarkStart w:id="80" w:name="_Toc180506991"/>
      <w:bookmarkStart w:id="81" w:name="_Toc203745091"/>
      <w:r>
        <w:rPr>
          <w:rStyle w:val="CharSectno"/>
        </w:rPr>
        <w:t>40A</w:t>
      </w:r>
      <w:r>
        <w:t>.</w:t>
      </w:r>
      <w:r>
        <w:tab/>
        <w:t>Power to obtain DNA profiles</w:t>
      </w:r>
      <w:bookmarkEnd w:id="80"/>
      <w:bookmarkEnd w:id="81"/>
    </w:p>
    <w:p>
      <w:pPr>
        <w:pStyle w:val="Subsection"/>
      </w:pPr>
      <w:r>
        <w:tab/>
        <w:t>(1)</w:t>
      </w:r>
      <w:r>
        <w:tab/>
        <w:t xml:space="preserve">In this section — </w:t>
      </w:r>
    </w:p>
    <w:p>
      <w:pPr>
        <w:pStyle w:val="Defstart"/>
      </w:pPr>
      <w:r>
        <w:tab/>
      </w:r>
      <w:r>
        <w:rPr>
          <w:rStyle w:val="CharDefText"/>
        </w:rPr>
        <w:t>forensic database</w:t>
      </w:r>
      <w:r>
        <w:t xml:space="preserve"> has the meaning given in the </w:t>
      </w:r>
      <w:r>
        <w:rPr>
          <w:i/>
        </w:rPr>
        <w:t>Criminal Investigation (Identifying People) Act 2002</w:t>
      </w:r>
      <w:r>
        <w:t xml:space="preserve"> section 61.</w:t>
      </w:r>
    </w:p>
    <w:p>
      <w:pPr>
        <w:pStyle w:val="Subsection"/>
      </w:pPr>
      <w:r>
        <w:tab/>
        <w:t>(2)</w:t>
      </w:r>
      <w:r>
        <w:tab/>
        <w:t>This section applies if an authorised person reasonably suspects a reportable offender’s DNA profile is not held, or may not be held, by the WA Police or in a forensic database.</w:t>
      </w:r>
    </w:p>
    <w:p>
      <w:pPr>
        <w:pStyle w:val="Subsection"/>
      </w:pPr>
      <w:r>
        <w:tab/>
        <w:t>(3)</w:t>
      </w:r>
      <w:r>
        <w:tab/>
        <w:t>An authorised person receiving a report made in person under this Part may require the reportable offender to submit to a non</w:t>
      </w:r>
      <w:r>
        <w:noBreakHyphen/>
        <w:t>intimate identifying procedure for the purpose of obtaining the offender’s DNA profile.</w:t>
      </w:r>
    </w:p>
    <w:p>
      <w:pPr>
        <w:pStyle w:val="Subsection"/>
      </w:pPr>
      <w:r>
        <w:tab/>
        <w:t>(4)</w:t>
      </w:r>
      <w:r>
        <w:tab/>
        <w:t>The non</w:t>
      </w:r>
      <w:r>
        <w:noBreakHyphen/>
        <w:t xml:space="preserve">intimate identifying procedure for the purpose of obtaining the reportable offender’s DNA profile must be done in accordance with the </w:t>
      </w:r>
      <w:r>
        <w:rPr>
          <w:i/>
          <w:iCs/>
        </w:rPr>
        <w:t>Criminal Investigation (Identifying People) Act 2002</w:t>
      </w:r>
      <w:r>
        <w:t xml:space="preserve"> Part 8 (other than section 54(1)).</w:t>
      </w:r>
    </w:p>
    <w:p>
      <w:pPr>
        <w:pStyle w:val="Subsection"/>
      </w:pPr>
      <w:r>
        <w:lastRenderedPageBreak/>
        <w:tab/>
        <w:t>(5)</w:t>
      </w:r>
      <w:r>
        <w:tab/>
        <w:t xml:space="preserve">This section applies despite the </w:t>
      </w:r>
      <w:r>
        <w:rPr>
          <w:i/>
          <w:iCs/>
        </w:rPr>
        <w:t>Criminal Investigation (Identifying People) Act 2002</w:t>
      </w:r>
      <w:r>
        <w:t xml:space="preserve"> section 11(3).</w:t>
      </w:r>
    </w:p>
    <w:p>
      <w:pPr>
        <w:pStyle w:val="Footnotesection"/>
      </w:pPr>
      <w:r>
        <w:tab/>
        <w:t>[Section 40A inserted: No. 35 of 2024 s. 22.]</w:t>
      </w:r>
    </w:p>
    <w:p>
      <w:pPr>
        <w:pStyle w:val="Heading5"/>
      </w:pPr>
      <w:bookmarkStart w:id="82" w:name="_Toc203745092"/>
      <w:r>
        <w:rPr>
          <w:rStyle w:val="CharSectno"/>
        </w:rPr>
        <w:t>41</w:t>
      </w:r>
      <w:r>
        <w:t>.</w:t>
      </w:r>
      <w:r>
        <w:tab/>
        <w:t>Reasonable force may be used to obtain DNA profiles, fingerprints and photographs</w:t>
      </w:r>
      <w:bookmarkEnd w:id="82"/>
    </w:p>
    <w:p>
      <w:pPr>
        <w:pStyle w:val="Subsection"/>
      </w:pPr>
      <w:r>
        <w:tab/>
        <w:t>(1)</w:t>
      </w:r>
      <w:r>
        <w:tab/>
        <w:t>Before attempting to exercise a power under section 39, 40 or 40A,</w:t>
      </w:r>
      <w:r>
        <w:rPr>
          <w:color w:val="000000"/>
        </w:rPr>
        <w:t xml:space="preserve"> </w:t>
      </w:r>
      <w:r>
        <w:t xml:space="preserve">the authorised person must inform the reportable offender in language likely to be understood by the offender — </w:t>
      </w:r>
    </w:p>
    <w:p>
      <w:pPr>
        <w:pStyle w:val="Indenta"/>
      </w:pPr>
      <w:r>
        <w:tab/>
        <w:t>(a)</w:t>
      </w:r>
      <w:r>
        <w:tab/>
        <w:t xml:space="preserve">of the purpose for which the power is to be exercised and — </w:t>
      </w:r>
    </w:p>
    <w:p>
      <w:pPr>
        <w:pStyle w:val="Indenti"/>
      </w:pPr>
      <w:r>
        <w:tab/>
        <w:t>(i)</w:t>
      </w:r>
      <w:r>
        <w:tab/>
        <w:t>in the case of section 39, why the authorised person is not satisfied as to the identity of the offender; or</w:t>
      </w:r>
    </w:p>
    <w:p>
      <w:pPr>
        <w:pStyle w:val="Indenti"/>
      </w:pPr>
      <w:r>
        <w:tab/>
        <w:t>(ii)</w:t>
      </w:r>
      <w:r>
        <w:tab/>
        <w:t>in the case of section 40A, why the authorised person reasonably suspects the offender’s DNA profile is not held, or may not be held, by the WA Police or in a forensic database;</w:t>
      </w:r>
    </w:p>
    <w:p>
      <w:pPr>
        <w:pStyle w:val="Indenta"/>
      </w:pPr>
      <w:r>
        <w:tab/>
      </w:r>
      <w:r>
        <w:tab/>
        <w:t>and</w:t>
      </w:r>
    </w:p>
    <w:p>
      <w:pPr>
        <w:pStyle w:val="Indenta"/>
        <w:spacing w:before="70"/>
      </w:pPr>
      <w:r>
        <w:tab/>
        <w:t>(b)</w:t>
      </w:r>
      <w:r>
        <w:tab/>
        <w:t>that reasonable force may be used if the reportable offender does not voluntarily give the offender’s fingerprints, expose part of the offender’s body or submit to a non</w:t>
      </w:r>
      <w:r>
        <w:noBreakHyphen/>
        <w:t>intimate identifying procedure being done on the offender (as the case may be); and</w:t>
      </w:r>
    </w:p>
    <w:p>
      <w:pPr>
        <w:pStyle w:val="Indenta"/>
        <w:spacing w:before="70"/>
      </w:pPr>
      <w:r>
        <w:tab/>
        <w:t>(c)</w:t>
      </w:r>
      <w:r>
        <w:tab/>
        <w:t>that the fingerprints or photographs will be retained by the Commissioner or the DNA profile will be retained in accordance with the law.</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senior police officer, a police officer may use reasonable force — </w:t>
      </w:r>
    </w:p>
    <w:p>
      <w:pPr>
        <w:pStyle w:val="Indenta"/>
      </w:pPr>
      <w:r>
        <w:tab/>
        <w:t>(a)</w:t>
      </w:r>
      <w:r>
        <w:tab/>
        <w:t>to take the fingerprints of the reportable offender; or</w:t>
      </w:r>
    </w:p>
    <w:p>
      <w:pPr>
        <w:pStyle w:val="Indenta"/>
      </w:pPr>
      <w:r>
        <w:lastRenderedPageBreak/>
        <w:tab/>
        <w:t>(b)</w:t>
      </w:r>
      <w:r>
        <w:tab/>
        <w:t>to expose a part of the body of the reportable offender that an authorised person is authorised under section 40(1) to require the reportable offender to expose to enable that part of the body to be photographed; or</w:t>
      </w:r>
    </w:p>
    <w:p>
      <w:pPr>
        <w:pStyle w:val="Indenta"/>
      </w:pPr>
      <w:r>
        <w:tab/>
        <w:t>(c)</w:t>
      </w:r>
      <w:r>
        <w:tab/>
        <w:t>to carry out a non</w:t>
      </w:r>
      <w:r>
        <w:noBreakHyphen/>
        <w:t>intimate identifying procedure on the reportable offender for the purpose of obtaining the offender’s DNA profile.</w:t>
      </w:r>
    </w:p>
    <w:p>
      <w:pPr>
        <w:pStyle w:val="Subsection"/>
      </w:pPr>
      <w:r>
        <w:tab/>
        <w:t>(3)</w:t>
      </w:r>
      <w:r>
        <w:tab/>
        <w:t>If reasonable force is to be used in relation to section 39, 40 or 40A, a person of the same sex as the reportable offender must, if practicable, be the person who uses the reasonable force.</w:t>
      </w:r>
    </w:p>
    <w:p>
      <w:pPr>
        <w:pStyle w:val="Subsection"/>
      </w:pPr>
      <w:r>
        <w:tab/>
        <w:t>(4)</w:t>
      </w:r>
      <w:r>
        <w:tab/>
        <w:t xml:space="preserve">This section applies despite the </w:t>
      </w:r>
      <w:r>
        <w:rPr>
          <w:i/>
          <w:iCs/>
        </w:rPr>
        <w:t>Criminal Investigation (Identifying People) Act 2002</w:t>
      </w:r>
      <w:r>
        <w:t xml:space="preserve"> section 11(3).</w:t>
      </w:r>
    </w:p>
    <w:p>
      <w:pPr>
        <w:pStyle w:val="PermNoteHeading"/>
      </w:pPr>
      <w:r>
        <w:tab/>
        <w:t>Note for this section</w:t>
      </w:r>
      <w:r>
        <w:tab/>
      </w:r>
    </w:p>
    <w:p>
      <w:pPr>
        <w:pStyle w:val="PermNoteText"/>
      </w:pPr>
      <w:r>
        <w:tab/>
      </w:r>
      <w:r>
        <w:tab/>
        <w:t>A police officer may authorise as many other persons to assist in the exercise of the police officer’s powers under this Act as are reasonably necessary in the circumstances (see section 109A).</w:t>
      </w:r>
    </w:p>
    <w:p>
      <w:pPr>
        <w:pStyle w:val="Footnotesection"/>
      </w:pPr>
      <w:r>
        <w:tab/>
        <w:t>[Section 41 amended: No. 54 of 2012 s. 18; No. 31 of 2024 s. 28; No. 35 of 2024 s. 23.]</w:t>
      </w:r>
    </w:p>
    <w:p>
      <w:pPr>
        <w:pStyle w:val="Heading5"/>
      </w:pPr>
      <w:bookmarkStart w:id="83" w:name="_Toc203745093"/>
      <w:r>
        <w:rPr>
          <w:rStyle w:val="CharSectno"/>
        </w:rPr>
        <w:t>42</w:t>
      </w:r>
      <w:r>
        <w:t>.</w:t>
      </w:r>
      <w:r>
        <w:tab/>
        <w:t>Retention of material for certain purposes</w:t>
      </w:r>
      <w:bookmarkEnd w:id="83"/>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PermNoteHeading"/>
      </w:pPr>
      <w:r>
        <w:tab/>
        <w:t xml:space="preserve">Note for this section: </w:t>
      </w:r>
    </w:p>
    <w:p>
      <w:pPr>
        <w:pStyle w:val="PermNoteText"/>
      </w:pPr>
      <w:r>
        <w:tab/>
      </w:r>
      <w:r>
        <w:tab/>
        <w:t xml:space="preserve">A reportable offender’s DNA profile obtained under this Division may be dealt with under the </w:t>
      </w:r>
      <w:r>
        <w:rPr>
          <w:i/>
          <w:iCs/>
        </w:rPr>
        <w:t>Criminal Investigation (Identifying People) Act 2002</w:t>
      </w:r>
      <w:r>
        <w:t xml:space="preserve"> section 68B.</w:t>
      </w:r>
    </w:p>
    <w:p>
      <w:pPr>
        <w:pStyle w:val="Footnotesection"/>
      </w:pPr>
      <w:r>
        <w:tab/>
        <w:t>[Section 42 amended: No. 35 of 2024 s. 24.]</w:t>
      </w:r>
    </w:p>
    <w:p>
      <w:pPr>
        <w:pStyle w:val="Heading5"/>
      </w:pPr>
      <w:bookmarkStart w:id="84" w:name="_Toc203745094"/>
      <w:r>
        <w:rPr>
          <w:rStyle w:val="CharSectno"/>
        </w:rPr>
        <w:lastRenderedPageBreak/>
        <w:t>43</w:t>
      </w:r>
      <w:r>
        <w:t>.</w:t>
      </w:r>
      <w:r>
        <w:tab/>
        <w:t>Reporting by remote offenders</w:t>
      </w:r>
      <w:bookmarkEnd w:id="84"/>
    </w:p>
    <w:p>
      <w:pPr>
        <w:pStyle w:val="Subsection"/>
        <w:spacing w:before="200"/>
      </w:pPr>
      <w:r>
        <w:tab/>
        <w:t>(1)</w:t>
      </w:r>
      <w:r>
        <w:tab/>
        <w:t>This section applies to a reportable offender who resides more than the distance prescribed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keepNext/>
        <w:spacing w:before="200"/>
      </w:pPr>
      <w:r>
        <w:tab/>
        <w:t>(3)</w:t>
      </w:r>
      <w:r>
        <w:tab/>
        <w:t xml:space="preserve">The reportable offender need not comply with a time limit concerning the making of a report in person under this Part if — </w:t>
      </w:r>
    </w:p>
    <w:p>
      <w:pPr>
        <w:pStyle w:val="Indenta"/>
      </w:pPr>
      <w:r>
        <w:tab/>
        <w:t>(a)</w:t>
      </w:r>
      <w:r>
        <w:tab/>
        <w:t>the offender, or a person entitled to make the report on the offender’s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the offender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lastRenderedPageBreak/>
        <w:tab/>
        <w:t>(6)</w:t>
      </w:r>
      <w:r>
        <w:tab/>
        <w:t>If an agreement is made under this section, the Commissioner must ensure that the reportable offender is provided with the reference number required by subsection (5)(a).</w:t>
      </w:r>
    </w:p>
    <w:p>
      <w:pPr>
        <w:pStyle w:val="Footnotesection"/>
      </w:pPr>
      <w:r>
        <w:tab/>
        <w:t>[Section 43 amended: No. 31 of 2024 s. 28; No. 35 of 2024 s. 59.]</w:t>
      </w:r>
    </w:p>
    <w:p>
      <w:pPr>
        <w:pStyle w:val="Heading5"/>
      </w:pPr>
      <w:bookmarkStart w:id="85" w:name="_Toc180506995"/>
      <w:bookmarkStart w:id="86" w:name="_Toc203745095"/>
      <w:bookmarkStart w:id="87" w:name="_Toc203658184"/>
      <w:r>
        <w:rPr>
          <w:rStyle w:val="CharSectno"/>
        </w:rPr>
        <w:t>43A</w:t>
      </w:r>
      <w:r>
        <w:t>.</w:t>
      </w:r>
      <w:r>
        <w:tab/>
        <w:t>Time for reporting</w:t>
      </w:r>
      <w:bookmarkEnd w:id="85"/>
      <w:bookmarkEnd w:id="86"/>
      <w:r>
        <w:t xml:space="preserve"> </w:t>
      </w:r>
    </w:p>
    <w:p>
      <w:pPr>
        <w:pStyle w:val="Subsection"/>
      </w:pPr>
      <w:r>
        <w:tab/>
      </w:r>
      <w:r>
        <w:tab/>
        <w:t xml:space="preserve">If a reportable offender is required to report to the Commissioner under this Part, the </w:t>
      </w:r>
      <w:r>
        <w:rPr>
          <w:i/>
          <w:iCs/>
        </w:rPr>
        <w:t>Interpretation Act 1984</w:t>
      </w:r>
      <w:r>
        <w:t xml:space="preserve"> section 61(e) and (h) do not apply to extend the time by which the report must be made.</w:t>
      </w:r>
    </w:p>
    <w:p>
      <w:pPr>
        <w:pStyle w:val="Footnotesection"/>
      </w:pPr>
      <w:bookmarkStart w:id="88" w:name="_Toc180506996"/>
      <w:r>
        <w:tab/>
        <w:t>[Section 43A inserted: No. 35 of 2024 s. 25.]</w:t>
      </w:r>
    </w:p>
    <w:p>
      <w:pPr>
        <w:pStyle w:val="Heading5"/>
      </w:pPr>
      <w:bookmarkStart w:id="89" w:name="_Toc203745096"/>
      <w:r>
        <w:rPr>
          <w:rStyle w:val="CharSectno"/>
        </w:rPr>
        <w:t>43B</w:t>
      </w:r>
      <w:r>
        <w:t>.</w:t>
      </w:r>
      <w:r>
        <w:tab/>
        <w:t>Powers additional</w:t>
      </w:r>
      <w:bookmarkEnd w:id="88"/>
      <w:bookmarkEnd w:id="89"/>
      <w:r>
        <w:t xml:space="preserve"> </w:t>
      </w:r>
    </w:p>
    <w:p>
      <w:pPr>
        <w:pStyle w:val="Subsection"/>
      </w:pPr>
      <w:r>
        <w:tab/>
      </w:r>
      <w:r>
        <w:tab/>
        <w:t>The powers that a police officer may exercise under this Division are in addition to, and do not limit, the powers that a police officer has under this Act or any other law.</w:t>
      </w:r>
    </w:p>
    <w:p>
      <w:pPr>
        <w:pStyle w:val="Footnotesection"/>
      </w:pPr>
      <w:r>
        <w:tab/>
        <w:t>[Section 43B inserted: No. 35 of 2024 s. 25.]</w:t>
      </w:r>
    </w:p>
    <w:p>
      <w:pPr>
        <w:pStyle w:val="Heading3"/>
      </w:pPr>
      <w:bookmarkStart w:id="90" w:name="_Toc203745097"/>
      <w:r>
        <w:rPr>
          <w:rStyle w:val="CharDivNo"/>
        </w:rPr>
        <w:t>Division 4</w:t>
      </w:r>
      <w:r>
        <w:t> — </w:t>
      </w:r>
      <w:r>
        <w:rPr>
          <w:rStyle w:val="CharDivText"/>
        </w:rPr>
        <w:t>Suspension and extension of reporting obligations</w:t>
      </w:r>
      <w:bookmarkEnd w:id="87"/>
      <w:bookmarkEnd w:id="90"/>
    </w:p>
    <w:p>
      <w:pPr>
        <w:pStyle w:val="Heading5"/>
      </w:pPr>
      <w:bookmarkStart w:id="91" w:name="_Toc203745098"/>
      <w:r>
        <w:rPr>
          <w:rStyle w:val="CharSectno"/>
        </w:rPr>
        <w:t>44</w:t>
      </w:r>
      <w:r>
        <w:t>.</w:t>
      </w:r>
      <w:r>
        <w:tab/>
        <w:t>Suspension and extension of reporting obligations</w:t>
      </w:r>
      <w:bookmarkEnd w:id="91"/>
    </w:p>
    <w:p>
      <w:pPr>
        <w:pStyle w:val="Subsection"/>
      </w:pPr>
      <w:r>
        <w:tab/>
        <w:t>(1)</w:t>
      </w:r>
      <w:r>
        <w:tab/>
        <w:t xml:space="preserve">Any obligation imposed on a reportable offender by this Part is suspended for any period during which the offender — </w:t>
      </w:r>
    </w:p>
    <w:p>
      <w:pPr>
        <w:pStyle w:val="Indenta"/>
      </w:pPr>
      <w:r>
        <w:tab/>
        <w:t>(a)</w:t>
      </w:r>
      <w:r>
        <w:tab/>
        <w:t>is in government custody; or</w:t>
      </w:r>
    </w:p>
    <w:p>
      <w:pPr>
        <w:pStyle w:val="Indenta"/>
      </w:pPr>
      <w:r>
        <w:tab/>
        <w:t>(b)</w:t>
      </w:r>
      <w:r>
        <w:tab/>
        <w:t>is outside Western Australia, unless the offender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lastRenderedPageBreak/>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keepNext/>
      </w:pPr>
      <w:r>
        <w:tab/>
        <w:t>(b)</w:t>
      </w:r>
      <w:r>
        <w:tab/>
        <w:t>the reportable offender must continue to comply with the reporting obligations imposed by this Part until the expiry of the period during which the offender is subject to the order.</w:t>
      </w:r>
    </w:p>
    <w:p>
      <w:pPr>
        <w:pStyle w:val="Footnotesection"/>
      </w:pPr>
      <w:r>
        <w:tab/>
        <w:t>[Section 44 amended: No. 54 of 2012 s. 42(3); No. 31 of 2024 s. 28.]</w:t>
      </w:r>
    </w:p>
    <w:p>
      <w:pPr>
        <w:pStyle w:val="Heading3"/>
      </w:pPr>
      <w:bookmarkStart w:id="92" w:name="_Toc203658186"/>
      <w:bookmarkStart w:id="93" w:name="_Toc203745099"/>
      <w:r>
        <w:rPr>
          <w:rStyle w:val="CharDivNo"/>
        </w:rPr>
        <w:t>Division 5</w:t>
      </w:r>
      <w:r>
        <w:t> — </w:t>
      </w:r>
      <w:r>
        <w:rPr>
          <w:rStyle w:val="CharDivText"/>
        </w:rPr>
        <w:t>Reporting period</w:t>
      </w:r>
      <w:bookmarkEnd w:id="92"/>
      <w:bookmarkEnd w:id="93"/>
    </w:p>
    <w:p>
      <w:pPr>
        <w:pStyle w:val="Heading5"/>
      </w:pPr>
      <w:bookmarkStart w:id="94" w:name="_Toc203745100"/>
      <w:r>
        <w:rPr>
          <w:rStyle w:val="CharSectno"/>
        </w:rPr>
        <w:t>45</w:t>
      </w:r>
      <w:r>
        <w:t>.</w:t>
      </w:r>
      <w:r>
        <w:tab/>
        <w:t>When reporting obligations begin</w:t>
      </w:r>
      <w:bookmarkEnd w:id="94"/>
    </w:p>
    <w:p>
      <w:pPr>
        <w:pStyle w:val="Subsection"/>
      </w:pPr>
      <w:r>
        <w:tab/>
      </w:r>
      <w:r>
        <w:tab/>
        <w:t>For the purposes of this Division, a reportable offender’s reporting obligations in respect of a reportable offence begin when the latest of the following occurs —</w:t>
      </w:r>
    </w:p>
    <w:p>
      <w:pPr>
        <w:pStyle w:val="Indenta"/>
      </w:pPr>
      <w:r>
        <w:tab/>
        <w:t>(a)</w:t>
      </w:r>
      <w:r>
        <w:tab/>
        <w:t xml:space="preserve">the reportable offender is sentenced for the offence; </w:t>
      </w:r>
    </w:p>
    <w:p>
      <w:pPr>
        <w:pStyle w:val="Indenta"/>
      </w:pPr>
      <w:r>
        <w:tab/>
        <w:t>(b)</w:t>
      </w:r>
      <w:r>
        <w:tab/>
        <w:t>the reportable offender ceases to be in government custody in respect of the offence;</w:t>
      </w:r>
    </w:p>
    <w:p>
      <w:pPr>
        <w:pStyle w:val="Indenta"/>
      </w:pPr>
      <w:r>
        <w:tab/>
        <w:t>(c)</w:t>
      </w:r>
      <w:r>
        <w:tab/>
        <w:t>a reporting order is made in respect of the offence.</w:t>
      </w:r>
    </w:p>
    <w:p>
      <w:pPr>
        <w:pStyle w:val="Footnotesection"/>
      </w:pPr>
      <w:r>
        <w:tab/>
        <w:t>[Section 45 amended: No. 35 of 2024 s. 26.]</w:t>
      </w:r>
    </w:p>
    <w:p>
      <w:pPr>
        <w:pStyle w:val="Heading5"/>
      </w:pPr>
      <w:bookmarkStart w:id="95" w:name="_Toc203745101"/>
      <w:r>
        <w:rPr>
          <w:rStyle w:val="CharSectno"/>
        </w:rPr>
        <w:lastRenderedPageBreak/>
        <w:t>46</w:t>
      </w:r>
      <w:r>
        <w:t>.</w:t>
      </w:r>
      <w:r>
        <w:tab/>
        <w:t>Length of reporting period</w:t>
      </w:r>
      <w:bookmarkEnd w:id="95"/>
    </w:p>
    <w:p>
      <w:pPr>
        <w:pStyle w:val="Subsection"/>
      </w:pPr>
      <w:r>
        <w:tab/>
        <w:t>(1)</w:t>
      </w:r>
      <w:r>
        <w:tab/>
        <w:t>A reportable offender must continue to comply with the reporting obligations imposed by this Part for 8 years, if the offender has only ever been found guilty of a single Class 2 offence.</w:t>
      </w:r>
    </w:p>
    <w:p>
      <w:pPr>
        <w:pStyle w:val="Subsection"/>
        <w:keepNext/>
      </w:pPr>
      <w:r>
        <w:tab/>
        <w:t>(2)</w:t>
      </w:r>
      <w:r>
        <w:tab/>
        <w:t xml:space="preserve">A reportable offender must continue to comply with the reporting obligations imposed by this Part for 15 years, if the offender — </w:t>
      </w:r>
    </w:p>
    <w:p>
      <w:pPr>
        <w:pStyle w:val="Indenta"/>
      </w:pPr>
      <w:r>
        <w:tab/>
        <w:t>(a)</w:t>
      </w:r>
      <w:r>
        <w:tab/>
        <w:t>has only ever been found guilty of a single Class 1 offence; or</w:t>
      </w:r>
    </w:p>
    <w:p>
      <w:pPr>
        <w:pStyle w:val="Indenta"/>
      </w:pPr>
      <w:r>
        <w:tab/>
        <w:t>(aa)</w:t>
      </w:r>
      <w:r>
        <w:tab/>
        <w:t>has only ever been found guilty of 2 Class 2 offences;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the offender’s life, if the offender is a reportable offender in respect of — </w:t>
      </w:r>
    </w:p>
    <w:p>
      <w:pPr>
        <w:pStyle w:val="Indenta"/>
      </w:pPr>
      <w:r>
        <w:tab/>
        <w:t>(a)</w:t>
      </w:r>
      <w:r>
        <w:tab/>
        <w:t>a Class 1 offence, and the offender then commits and is found guilty of a Class 1 offence, a Class 2 offence or a Class 3 offence; or</w:t>
      </w:r>
    </w:p>
    <w:p>
      <w:pPr>
        <w:pStyle w:val="Indenta"/>
      </w:pPr>
      <w:r>
        <w:tab/>
        <w:t>(b)</w:t>
      </w:r>
      <w:r>
        <w:tab/>
        <w:t>a Class 2 offence or a Class 3 offence, and the offender then commits and is found guilty of a Class 1 offence; or</w:t>
      </w:r>
    </w:p>
    <w:p>
      <w:pPr>
        <w:pStyle w:val="Indenta"/>
      </w:pPr>
      <w:r>
        <w:tab/>
        <w:t>(c)</w:t>
      </w:r>
      <w:r>
        <w:tab/>
        <w:t xml:space="preserve">a Class 2 offence, and the offender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the offender then commits and is found guilty of a Class 2 offence and has ever been found guilty of 3 or more Class 2 offences; or</w:t>
      </w:r>
    </w:p>
    <w:p>
      <w:pPr>
        <w:pStyle w:val="Indenta"/>
      </w:pPr>
      <w:r>
        <w:lastRenderedPageBreak/>
        <w:tab/>
        <w:t>(e)</w:t>
      </w:r>
      <w:r>
        <w:tab/>
        <w:t>a Class 3 offence, and the offender then commits and is found guilty of a Class 3 offence.</w:t>
      </w:r>
    </w:p>
    <w:p>
      <w:pPr>
        <w:pStyle w:val="Ednotesubsection"/>
      </w:pPr>
      <w:r>
        <w:tab/>
        <w:t>[(4)</w:t>
      </w:r>
      <w:r>
        <w:tab/>
        <w:t>deleted]</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Footnotesection"/>
      </w:pPr>
      <w:r>
        <w:tab/>
        <w:t>[Section 46 amended: No. 31 of 2024 s. 28; No. 35 of 2024 s. 27.]</w:t>
      </w:r>
    </w:p>
    <w:p>
      <w:pPr>
        <w:pStyle w:val="Heading5"/>
      </w:pPr>
      <w:bookmarkStart w:id="96" w:name="_Toc203745102"/>
      <w:r>
        <w:rPr>
          <w:rStyle w:val="CharSectno"/>
        </w:rPr>
        <w:t>47</w:t>
      </w:r>
      <w:r>
        <w:t>.</w:t>
      </w:r>
      <w:r>
        <w:tab/>
        <w:t>Reduced period applies for young reportable offenders</w:t>
      </w:r>
      <w:bookmarkEnd w:id="96"/>
    </w:p>
    <w:p>
      <w:pPr>
        <w:pStyle w:val="Subsection"/>
      </w:pPr>
      <w:r>
        <w:tab/>
        <w:t>(1)</w:t>
      </w:r>
      <w:r>
        <w:tab/>
        <w:t>The reporting periods specified in section 46 do not apply to a person who was a child at the time the person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the person .</w:t>
      </w:r>
    </w:p>
    <w:p>
      <w:pPr>
        <w:pStyle w:val="Footnotesection"/>
      </w:pPr>
      <w:r>
        <w:tab/>
        <w:t>[Section 47 amended: No. 31 of 2024 s. 28.]</w:t>
      </w:r>
    </w:p>
    <w:p>
      <w:pPr>
        <w:pStyle w:val="Heading5"/>
      </w:pPr>
      <w:bookmarkStart w:id="97" w:name="_Toc203745103"/>
      <w:r>
        <w:rPr>
          <w:rStyle w:val="CharSectno"/>
        </w:rPr>
        <w:lastRenderedPageBreak/>
        <w:t>48</w:t>
      </w:r>
      <w:r>
        <w:t>.</w:t>
      </w:r>
      <w:r>
        <w:tab/>
        <w:t>Extended reporting period if reportable offender still on parole</w:t>
      </w:r>
      <w:bookmarkEnd w:id="97"/>
    </w:p>
    <w:p>
      <w:pPr>
        <w:pStyle w:val="Subsection"/>
        <w:keepNext/>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98" w:name="_Toc203745104"/>
      <w:r>
        <w:rPr>
          <w:rStyle w:val="CharSectno"/>
        </w:rPr>
        <w:t>49</w:t>
      </w:r>
      <w:r>
        <w:t>.</w:t>
      </w:r>
      <w:r>
        <w:tab/>
        <w:t>Reporting period for corresponding reportable offenders</w:t>
      </w:r>
      <w:bookmarkEnd w:id="98"/>
    </w:p>
    <w:p>
      <w:pPr>
        <w:pStyle w:val="Subsection"/>
        <w:keepNext/>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the offender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the offender would be required to report to the corresponding registrar of a foreign jurisdiction.</w:t>
      </w:r>
    </w:p>
    <w:p>
      <w:pPr>
        <w:pStyle w:val="Footnotesection"/>
      </w:pPr>
      <w:r>
        <w:tab/>
        <w:t>[Section 49 amended: No. 54 of 2012 s. 19; No. 31 of 2024 s. 28.]</w:t>
      </w:r>
    </w:p>
    <w:p>
      <w:pPr>
        <w:pStyle w:val="Heading5"/>
      </w:pPr>
      <w:bookmarkStart w:id="99" w:name="_Toc203745105"/>
      <w:r>
        <w:rPr>
          <w:rStyle w:val="CharSectno"/>
        </w:rPr>
        <w:lastRenderedPageBreak/>
        <w:t>50</w:t>
      </w:r>
      <w:r>
        <w:t>.</w:t>
      </w:r>
      <w:r>
        <w:tab/>
        <w:t>Reporting period for New South Wales reportable offenders</w:t>
      </w:r>
      <w:bookmarkEnd w:id="99"/>
    </w:p>
    <w:p>
      <w:pPr>
        <w:pStyle w:val="Subsection"/>
      </w:pPr>
      <w:r>
        <w:tab/>
        <w:t>(1)</w:t>
      </w:r>
      <w:r>
        <w:tab/>
        <w:t>Subject to subsection (2), a New South Wales reportable offender must continue to comply with the reporting obligations imposed by this Part for the period the offender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keepNext/>
      </w:pPr>
      <w:r>
        <w:tab/>
        <w:t>(b)</w:t>
      </w:r>
      <w:r>
        <w:tab/>
        <w:t>the period that the offender is required to report in accordance with this Division (apart from this section),</w:t>
      </w:r>
    </w:p>
    <w:p>
      <w:pPr>
        <w:pStyle w:val="Subsection"/>
        <w:keepNext/>
      </w:pPr>
      <w:r>
        <w:tab/>
      </w:r>
      <w:r>
        <w:tab/>
        <w:t>whichever is longer.</w:t>
      </w:r>
    </w:p>
    <w:p>
      <w:pPr>
        <w:pStyle w:val="Footnotesection"/>
      </w:pPr>
      <w:r>
        <w:tab/>
        <w:t>[Section 50 amended: No. 31 of 2024 s. 28.]</w:t>
      </w:r>
    </w:p>
    <w:p>
      <w:pPr>
        <w:pStyle w:val="Heading3"/>
      </w:pPr>
      <w:bookmarkStart w:id="100" w:name="_Toc203658193"/>
      <w:bookmarkStart w:id="101" w:name="_Toc203745106"/>
      <w:r>
        <w:rPr>
          <w:rStyle w:val="CharDivNo"/>
        </w:rPr>
        <w:t>Division 6</w:t>
      </w:r>
      <w:r>
        <w:t> — </w:t>
      </w:r>
      <w:r>
        <w:rPr>
          <w:rStyle w:val="CharDivText"/>
        </w:rPr>
        <w:t>Exemption from reporting obligations</w:t>
      </w:r>
      <w:bookmarkEnd w:id="100"/>
      <w:bookmarkEnd w:id="101"/>
    </w:p>
    <w:p>
      <w:pPr>
        <w:pStyle w:val="Heading5"/>
      </w:pPr>
      <w:bookmarkStart w:id="102" w:name="_Toc203745107"/>
      <w:r>
        <w:rPr>
          <w:rStyle w:val="CharSectno"/>
        </w:rPr>
        <w:t>51</w:t>
      </w:r>
      <w:r>
        <w:t>.</w:t>
      </w:r>
      <w:r>
        <w:tab/>
        <w:t>Application of Division</w:t>
      </w:r>
      <w:bookmarkEnd w:id="102"/>
    </w:p>
    <w:p>
      <w:pPr>
        <w:pStyle w:val="Subsection"/>
      </w:pPr>
      <w:r>
        <w:tab/>
        <w:t>(1)</w:t>
      </w:r>
      <w:r>
        <w:tab/>
        <w:t>Subject to subsection (2), this Division applies to a reportable offender who is required to continue to comply with the reporting obligations imposed by this Part for the remainder of the offender’s life.</w:t>
      </w:r>
    </w:p>
    <w:p>
      <w:pPr>
        <w:pStyle w:val="Subsection"/>
      </w:pPr>
      <w:r>
        <w:tab/>
        <w:t>(2)</w:t>
      </w:r>
      <w:r>
        <w:tab/>
        <w:t xml:space="preserve">This Division does not apply to a reportable offender who is required to comply with those obligations for the remainder of the offender’s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lastRenderedPageBreak/>
        <w:tab/>
        <w:t>(c)</w:t>
      </w:r>
      <w:r>
        <w:tab/>
        <w:t>an offence that, at the time it was committed, was an offence of the kind referred to in this subsection.</w:t>
      </w:r>
    </w:p>
    <w:p>
      <w:pPr>
        <w:pStyle w:val="Footnotesection"/>
      </w:pPr>
      <w:r>
        <w:tab/>
        <w:t>[Section 51 amended: No. 31 of 2024 s. 28.]</w:t>
      </w:r>
    </w:p>
    <w:p>
      <w:pPr>
        <w:pStyle w:val="Heading5"/>
      </w:pPr>
      <w:bookmarkStart w:id="103" w:name="_Toc203745108"/>
      <w:r>
        <w:rPr>
          <w:rStyle w:val="CharSectno"/>
        </w:rPr>
        <w:t>52</w:t>
      </w:r>
      <w:r>
        <w:t>.</w:t>
      </w:r>
      <w:r>
        <w:tab/>
        <w:t>District Court may exempt certain reportable offenders</w:t>
      </w:r>
      <w:bookmarkEnd w:id="103"/>
    </w:p>
    <w:p>
      <w:pPr>
        <w:pStyle w:val="Subsection"/>
      </w:pPr>
      <w:r>
        <w:tab/>
      </w:r>
      <w:r>
        <w:tab/>
        <w:t xml:space="preserve">If — </w:t>
      </w:r>
    </w:p>
    <w:p>
      <w:pPr>
        <w:pStyle w:val="Indenta"/>
      </w:pPr>
      <w:r>
        <w:tab/>
        <w:t>(a)</w:t>
      </w:r>
      <w:r>
        <w:tab/>
        <w:t>a period of 15 years has passed (ignoring any period during which the reportable offender was in government custody) since the offender was last sentenced or released from government custody in respect of a reportable offence or a corresponding reportable offence, whichever is later; and</w:t>
      </w:r>
    </w:p>
    <w:p>
      <w:pPr>
        <w:pStyle w:val="Indenta"/>
      </w:pPr>
      <w:r>
        <w:tab/>
        <w:t>(b)</w:t>
      </w:r>
      <w:r>
        <w:tab/>
        <w:t>the offender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the offender is not on parole in respect of a reportable offence,</w:t>
      </w:r>
    </w:p>
    <w:p>
      <w:pPr>
        <w:pStyle w:val="Subsection"/>
      </w:pPr>
      <w:r>
        <w:tab/>
      </w:r>
      <w:r>
        <w:tab/>
        <w:t>the reportable offender may apply to the District Court for an order suspending the offender’s reporting obligations.</w:t>
      </w:r>
    </w:p>
    <w:p>
      <w:pPr>
        <w:pStyle w:val="Footnotesection"/>
      </w:pPr>
      <w:r>
        <w:tab/>
        <w:t>[Section 52 amended: No. 31 of 2024 s. 28.]</w:t>
      </w:r>
    </w:p>
    <w:p>
      <w:pPr>
        <w:pStyle w:val="Heading5"/>
      </w:pPr>
      <w:bookmarkStart w:id="104" w:name="_Toc203745109"/>
      <w:r>
        <w:rPr>
          <w:rStyle w:val="CharSectno"/>
        </w:rPr>
        <w:t>53</w:t>
      </w:r>
      <w:r>
        <w:t>.</w:t>
      </w:r>
      <w:r>
        <w:tab/>
        <w:t>Order for suspension</w:t>
      </w:r>
      <w:bookmarkEnd w:id="104"/>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keepNext/>
      </w:pPr>
      <w:r>
        <w:lastRenderedPageBreak/>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05" w:name="_Toc203745110"/>
      <w:r>
        <w:rPr>
          <w:rStyle w:val="CharSectno"/>
        </w:rPr>
        <w:t>54</w:t>
      </w:r>
      <w:r>
        <w:t>.</w:t>
      </w:r>
      <w:r>
        <w:tab/>
        <w:t>Commissioner and certain chief executive officers entitled to be parties to proceedings</w:t>
      </w:r>
      <w:bookmarkEnd w:id="105"/>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lastRenderedPageBreak/>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06" w:name="_Toc203745111"/>
      <w:r>
        <w:rPr>
          <w:rStyle w:val="CharSectno"/>
        </w:rPr>
        <w:t>55</w:t>
      </w:r>
      <w:r>
        <w:t>.</w:t>
      </w:r>
      <w:r>
        <w:tab/>
        <w:t>Commissioner to be notified of order</w:t>
      </w:r>
      <w:bookmarkEnd w:id="106"/>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07" w:name="_Toc203745112"/>
      <w:r>
        <w:rPr>
          <w:rStyle w:val="CharSectno"/>
        </w:rPr>
        <w:t>56</w:t>
      </w:r>
      <w:r>
        <w:t>.</w:t>
      </w:r>
      <w:r>
        <w:tab/>
        <w:t>No costs to be awarded</w:t>
      </w:r>
      <w:bookmarkEnd w:id="107"/>
    </w:p>
    <w:p>
      <w:pPr>
        <w:pStyle w:val="Subsection"/>
        <w:spacing w:before="140"/>
      </w:pPr>
      <w:r>
        <w:tab/>
      </w:r>
      <w:r>
        <w:tab/>
        <w:t>The District Court must not award costs in respect of proceedings under this Division.</w:t>
      </w:r>
    </w:p>
    <w:p>
      <w:pPr>
        <w:pStyle w:val="Heading5"/>
      </w:pPr>
      <w:bookmarkStart w:id="108" w:name="_Toc203745113"/>
      <w:r>
        <w:rPr>
          <w:rStyle w:val="CharSectno"/>
        </w:rPr>
        <w:t>57</w:t>
      </w:r>
      <w:r>
        <w:t>.</w:t>
      </w:r>
      <w:r>
        <w:tab/>
        <w:t>Applications not to be heard in public on application of party to proceedings</w:t>
      </w:r>
      <w:bookmarkEnd w:id="108"/>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09" w:name="_Toc203745114"/>
      <w:r>
        <w:rPr>
          <w:rStyle w:val="CharSectno"/>
        </w:rPr>
        <w:lastRenderedPageBreak/>
        <w:t>58</w:t>
      </w:r>
      <w:r>
        <w:t>.</w:t>
      </w:r>
      <w:r>
        <w:tab/>
        <w:t>Restriction on right of unsuccessful applicant to re</w:t>
      </w:r>
      <w:r>
        <w:noBreakHyphen/>
        <w:t>apply for order</w:t>
      </w:r>
      <w:bookmarkEnd w:id="109"/>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10" w:name="_Toc203745115"/>
      <w:r>
        <w:rPr>
          <w:rStyle w:val="CharSectno"/>
        </w:rPr>
        <w:t>59</w:t>
      </w:r>
      <w:r>
        <w:t>.</w:t>
      </w:r>
      <w:r>
        <w:tab/>
        <w:t>Cessation of order</w:t>
      </w:r>
      <w:bookmarkEnd w:id="110"/>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lastRenderedPageBreak/>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11" w:name="_Toc203745116"/>
      <w:r>
        <w:rPr>
          <w:rStyle w:val="CharSectno"/>
        </w:rPr>
        <w:t>60</w:t>
      </w:r>
      <w:r>
        <w:t>.</w:t>
      </w:r>
      <w:r>
        <w:tab/>
        <w:t>Application for new order</w:t>
      </w:r>
      <w:bookmarkEnd w:id="11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the offender last committed a reportable offence or a corresponding reportable offence.</w:t>
      </w:r>
    </w:p>
    <w:p>
      <w:pPr>
        <w:pStyle w:val="Footnotesection"/>
      </w:pPr>
      <w:r>
        <w:tab/>
        <w:t>[Section 60 amended: No. 31 of 2024 s. 28.]</w:t>
      </w:r>
    </w:p>
    <w:p>
      <w:pPr>
        <w:pStyle w:val="Heading3"/>
      </w:pPr>
      <w:bookmarkStart w:id="112" w:name="_Toc203658204"/>
      <w:bookmarkStart w:id="113" w:name="_Toc203745117"/>
      <w:r>
        <w:rPr>
          <w:rStyle w:val="CharDivNo"/>
        </w:rPr>
        <w:t>Division 7</w:t>
      </w:r>
      <w:r>
        <w:t> — </w:t>
      </w:r>
      <w:r>
        <w:rPr>
          <w:rStyle w:val="CharDivText"/>
        </w:rPr>
        <w:t>Suspension of reporting obligations of certain reportable offenders</w:t>
      </w:r>
      <w:bookmarkEnd w:id="112"/>
      <w:bookmarkEnd w:id="113"/>
    </w:p>
    <w:p>
      <w:pPr>
        <w:pStyle w:val="Heading5"/>
      </w:pPr>
      <w:bookmarkStart w:id="114" w:name="_Toc203745118"/>
      <w:r>
        <w:rPr>
          <w:rStyle w:val="CharSectno"/>
        </w:rPr>
        <w:t>61</w:t>
      </w:r>
      <w:r>
        <w:t>.</w:t>
      </w:r>
      <w:r>
        <w:tab/>
        <w:t>Commissioner may approve suspension of reporting obligations</w:t>
      </w:r>
      <w:bookmarkEnd w:id="114"/>
    </w:p>
    <w:p>
      <w:pPr>
        <w:pStyle w:val="Ednotesubsection"/>
        <w:keepNext/>
      </w:pPr>
      <w:r>
        <w:tab/>
        <w:t>[(1)</w:t>
      </w:r>
      <w:r>
        <w:tab/>
        <w:t>deleted]</w:t>
      </w:r>
    </w:p>
    <w:p>
      <w:pPr>
        <w:pStyle w:val="Subsection"/>
      </w:pPr>
      <w:r>
        <w:tab/>
        <w:t>(2)</w:t>
      </w:r>
      <w:r>
        <w:tab/>
        <w:t>The Commissioner may approve a suspension of a reportable offender’s reporting obligations.</w:t>
      </w:r>
    </w:p>
    <w:p>
      <w:pPr>
        <w:pStyle w:val="Subsection"/>
      </w:pPr>
      <w:r>
        <w:tab/>
        <w:t>(2A)</w:t>
      </w:r>
      <w:r>
        <w:tab/>
        <w:t>The Commissioner may approve the suspension only if the Commissioner is satisfied that the reportable offender does not pose a risk to the lives or the sexual safety of 1 or more persons, or persons generally.</w:t>
      </w:r>
    </w:p>
    <w:p>
      <w:pPr>
        <w:pStyle w:val="Subsection"/>
      </w:pPr>
      <w:r>
        <w:lastRenderedPageBreak/>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the offender under subsection (4) or from any later date specified in the notice.</w:t>
      </w:r>
    </w:p>
    <w:p>
      <w:pPr>
        <w:pStyle w:val="Footnotesection"/>
      </w:pPr>
      <w:r>
        <w:tab/>
        <w:t>[Section 61 amended: No. 31 of 2024 s. 28; No. 35 of 2024 s. 28.]</w:t>
      </w:r>
    </w:p>
    <w:p>
      <w:pPr>
        <w:pStyle w:val="Heading5"/>
      </w:pPr>
      <w:bookmarkStart w:id="115" w:name="_Toc203745119"/>
      <w:r>
        <w:rPr>
          <w:rStyle w:val="CharSectno"/>
        </w:rPr>
        <w:t>62</w:t>
      </w:r>
      <w:r>
        <w:t>.</w:t>
      </w:r>
      <w:r>
        <w:tab/>
        <w:t>Cessation of approval</w:t>
      </w:r>
      <w:bookmarkEnd w:id="115"/>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 reporting order or a protection order; or</w:t>
      </w:r>
    </w:p>
    <w:p>
      <w:pPr>
        <w:pStyle w:val="Indenta"/>
      </w:pPr>
      <w:r>
        <w:tab/>
        <w:t>(b)</w:t>
      </w:r>
      <w:r>
        <w:tab/>
        <w:t>is found guilty of a reportable offence; or</w:t>
      </w:r>
    </w:p>
    <w:p>
      <w:pPr>
        <w:pStyle w:val="Indenta"/>
      </w:pPr>
      <w:r>
        <w:lastRenderedPageBreak/>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a reporting order or protection order is quashed on appeal; or</w:t>
      </w:r>
    </w:p>
    <w:p>
      <w:pPr>
        <w:pStyle w:val="Indenti"/>
      </w:pPr>
      <w:r>
        <w:tab/>
        <w:t>(ii)</w:t>
      </w:r>
      <w:r>
        <w:tab/>
        <w:t>in the case of a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 reporting order or </w:t>
      </w:r>
      <w:r>
        <w:rPr>
          <w:color w:val="000000"/>
        </w:rPr>
        <w:t>protection order</w:t>
      </w:r>
      <w:r>
        <w:t>.</w:t>
      </w:r>
    </w:p>
    <w:p>
      <w:pPr>
        <w:pStyle w:val="Footnotesection"/>
      </w:pPr>
      <w:r>
        <w:tab/>
        <w:t>[Section 62 amended: No. 54 of 2012 s. 20 and 42(2); No. 35 of 2024 s. 29.]</w:t>
      </w:r>
    </w:p>
    <w:p>
      <w:pPr>
        <w:pStyle w:val="Heading3"/>
      </w:pPr>
      <w:bookmarkStart w:id="116" w:name="_Toc203658207"/>
      <w:bookmarkStart w:id="117" w:name="_Toc203745120"/>
      <w:r>
        <w:rPr>
          <w:rStyle w:val="CharDivNo"/>
        </w:rPr>
        <w:lastRenderedPageBreak/>
        <w:t>Division 8</w:t>
      </w:r>
      <w:r>
        <w:t> — </w:t>
      </w:r>
      <w:r>
        <w:rPr>
          <w:rStyle w:val="CharDivText"/>
        </w:rPr>
        <w:t>Offences</w:t>
      </w:r>
      <w:bookmarkEnd w:id="116"/>
      <w:bookmarkEnd w:id="117"/>
    </w:p>
    <w:p>
      <w:pPr>
        <w:pStyle w:val="Heading5"/>
      </w:pPr>
      <w:bookmarkStart w:id="118" w:name="_Toc203745121"/>
      <w:r>
        <w:rPr>
          <w:rStyle w:val="CharSectno"/>
        </w:rPr>
        <w:t>63</w:t>
      </w:r>
      <w:r>
        <w:t>.</w:t>
      </w:r>
      <w:r>
        <w:tab/>
        <w:t>Failure to comply with reporting obligations</w:t>
      </w:r>
      <w:bookmarkEnd w:id="118"/>
    </w:p>
    <w:p>
      <w:pPr>
        <w:pStyle w:val="Subsection"/>
      </w:pPr>
      <w:r>
        <w:tab/>
        <w:t>(1)</w:t>
      </w:r>
      <w:r>
        <w:tab/>
        <w:t xml:space="preserve">A reportable offender who, without reasonable excuse, fails to comply with any of the offender’s reporting obligations commits </w:t>
      </w:r>
      <w:r>
        <w:rPr>
          <w:color w:val="000000"/>
        </w:rPr>
        <w:t>a crime.</w:t>
      </w:r>
    </w:p>
    <w:p>
      <w:pPr>
        <w:pStyle w:val="Penstart"/>
      </w:pPr>
      <w:r>
        <w:tab/>
        <w:t>Penalty for this subsection: imprisonment for 5 years.</w:t>
      </w:r>
    </w:p>
    <w:p>
      <w:pPr>
        <w:pStyle w:val="Penstart"/>
      </w:pPr>
      <w:r>
        <w:tab/>
        <w:t>Summary conviction penalty for this subsection: imprisonment for 2 years and a fine of $24 000.</w:t>
      </w:r>
    </w:p>
    <w:p>
      <w:pPr>
        <w:pStyle w:val="Subsection"/>
      </w:pPr>
      <w:r>
        <w:tab/>
        <w:t>(2)</w:t>
      </w:r>
      <w:r>
        <w:tab/>
        <w:t xml:space="preserve">In determining whether a person had a reasonable excuse for failing to comply with the person’s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person as to the person’s obligations was adequate to inform the person of those obligations, having regard to the person’s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 No. 31 of 2024 s. 27 and 28; No. 35 of 2024 s. 30.]</w:t>
      </w:r>
    </w:p>
    <w:p>
      <w:pPr>
        <w:pStyle w:val="Heading5"/>
      </w:pPr>
      <w:bookmarkStart w:id="119" w:name="_Toc203745122"/>
      <w:r>
        <w:rPr>
          <w:rStyle w:val="CharSectno"/>
        </w:rPr>
        <w:lastRenderedPageBreak/>
        <w:t>64</w:t>
      </w:r>
      <w:r>
        <w:t>.</w:t>
      </w:r>
      <w:r>
        <w:tab/>
        <w:t>Providing false or misleading information</w:t>
      </w:r>
      <w:bookmarkEnd w:id="11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 xml:space="preserve">Summary conviction penalty for this subsection: imprisonment for 2 years and a fine of $24 000. </w:t>
      </w:r>
    </w:p>
    <w:p>
      <w:pPr>
        <w:pStyle w:val="Footnotesection"/>
      </w:pPr>
      <w:r>
        <w:tab/>
        <w:t>[Section 64 amended: No. 54 of 2012 s. 22; No. 35 of 2024 s. 31.]</w:t>
      </w:r>
    </w:p>
    <w:p>
      <w:pPr>
        <w:pStyle w:val="Heading5"/>
      </w:pPr>
      <w:bookmarkStart w:id="120" w:name="_Toc203745123"/>
      <w:r>
        <w:rPr>
          <w:rStyle w:val="CharSectno"/>
        </w:rPr>
        <w:t>65</w:t>
      </w:r>
      <w:r>
        <w:t>.</w:t>
      </w:r>
      <w:r>
        <w:tab/>
        <w:t>No time limit for prosecutions</w:t>
      </w:r>
      <w:bookmarkEnd w:id="120"/>
    </w:p>
    <w:p>
      <w:pPr>
        <w:pStyle w:val="Subsection"/>
      </w:pPr>
      <w:r>
        <w:tab/>
      </w:r>
      <w:r>
        <w:tab/>
        <w:t>Proceedings for an offence against this Act may be commenced at any time.</w:t>
      </w:r>
    </w:p>
    <w:p>
      <w:pPr>
        <w:pStyle w:val="Heading5"/>
      </w:pPr>
      <w:bookmarkStart w:id="121" w:name="_Toc203745124"/>
      <w:r>
        <w:rPr>
          <w:rStyle w:val="CharSectno"/>
        </w:rPr>
        <w:t>66</w:t>
      </w:r>
      <w:r>
        <w:t>.</w:t>
      </w:r>
      <w:r>
        <w:tab/>
        <w:t>Bar to prosecution for failing to report leaving Western Australia</w:t>
      </w:r>
      <w:bookmarkEnd w:id="121"/>
    </w:p>
    <w:p>
      <w:pPr>
        <w:pStyle w:val="Subsection"/>
      </w:pPr>
      <w:r>
        <w:tab/>
        <w:t>(1)</w:t>
      </w:r>
      <w:r>
        <w:tab/>
        <w:t>This section applies if a reportable offender leaves Western Australia and is found guilty of failing to report the offender’s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Footnotesection"/>
      </w:pPr>
      <w:r>
        <w:tab/>
        <w:t>[Section 66 amended: No. 31 of 2024 s. 28.]</w:t>
      </w:r>
    </w:p>
    <w:p>
      <w:pPr>
        <w:pStyle w:val="Heading3"/>
      </w:pPr>
      <w:bookmarkStart w:id="122" w:name="_Toc203658212"/>
      <w:bookmarkStart w:id="123" w:name="_Toc203745125"/>
      <w:r>
        <w:rPr>
          <w:rStyle w:val="CharDivNo"/>
        </w:rPr>
        <w:t>Division 9</w:t>
      </w:r>
      <w:r>
        <w:t> — </w:t>
      </w:r>
      <w:r>
        <w:rPr>
          <w:rStyle w:val="CharDivText"/>
        </w:rPr>
        <w:t>Notification of reporting obligations</w:t>
      </w:r>
      <w:bookmarkEnd w:id="122"/>
      <w:bookmarkEnd w:id="123"/>
    </w:p>
    <w:p>
      <w:pPr>
        <w:pStyle w:val="Heading5"/>
      </w:pPr>
      <w:bookmarkStart w:id="124" w:name="_Toc203745126"/>
      <w:r>
        <w:rPr>
          <w:rStyle w:val="CharSectno"/>
        </w:rPr>
        <w:t>67</w:t>
      </w:r>
      <w:r>
        <w:t>.</w:t>
      </w:r>
      <w:r>
        <w:tab/>
        <w:t>Notice to be given to reportable offender</w:t>
      </w:r>
      <w:bookmarkEnd w:id="124"/>
    </w:p>
    <w:p>
      <w:pPr>
        <w:pStyle w:val="Subsection"/>
      </w:pPr>
      <w:r>
        <w:tab/>
        <w:t>(1)</w:t>
      </w:r>
      <w:r>
        <w:tab/>
        <w:t xml:space="preserve">A reportable offender must be given written notice of — </w:t>
      </w:r>
    </w:p>
    <w:p>
      <w:pPr>
        <w:pStyle w:val="Indenta"/>
      </w:pPr>
      <w:r>
        <w:tab/>
        <w:t>(a)</w:t>
      </w:r>
      <w:r>
        <w:tab/>
        <w:t>the offender’s reporting obligations; and</w:t>
      </w:r>
    </w:p>
    <w:p>
      <w:pPr>
        <w:pStyle w:val="Indenta"/>
      </w:pPr>
      <w:r>
        <w:tab/>
        <w:t>(b)</w:t>
      </w:r>
      <w:r>
        <w:tab/>
        <w:t>the consequences that may arise if the offender fails to comply with those obligations.</w:t>
      </w:r>
    </w:p>
    <w:p>
      <w:pPr>
        <w:pStyle w:val="Subsection"/>
      </w:pPr>
      <w:r>
        <w:lastRenderedPageBreak/>
        <w:tab/>
        <w:t>(2)</w:t>
      </w:r>
      <w:r>
        <w:tab/>
        <w:t xml:space="preserve">A reportable offender must be given a notice under this section, as the case requires, as soon as is practicable after the offender — </w:t>
      </w:r>
    </w:p>
    <w:p>
      <w:pPr>
        <w:pStyle w:val="Indenta"/>
      </w:pPr>
      <w:r>
        <w:tab/>
        <w:t>(a)</w:t>
      </w:r>
      <w:r>
        <w:tab/>
        <w:t>is sentenced for a reportable offence or is made subject to a reporting order; or</w:t>
      </w:r>
    </w:p>
    <w:p>
      <w:pPr>
        <w:pStyle w:val="Indenta"/>
      </w:pPr>
      <w:r>
        <w:tab/>
        <w:t>(b)</w:t>
      </w:r>
      <w:r>
        <w:tab/>
        <w:t>is released from government custody (whether in government custody for a reportable offence or otherwise); or</w:t>
      </w:r>
    </w:p>
    <w:p>
      <w:pPr>
        <w:pStyle w:val="Indenta"/>
      </w:pPr>
      <w:r>
        <w:tab/>
        <w:t>(c)</w:t>
      </w:r>
      <w:r>
        <w:tab/>
        <w:t>enters Western Australia, if the offender has not previously been given notice of the offender’s reporting obligations in Western Australia; or</w:t>
      </w:r>
    </w:p>
    <w:p>
      <w:pPr>
        <w:pStyle w:val="Indenta"/>
      </w:pPr>
      <w:r>
        <w:tab/>
        <w:t>(d)</w:t>
      </w:r>
      <w:r>
        <w:tab/>
        <w:t>becomes a corresponding reportable offender, if the offender is in Western Australia at that time.</w:t>
      </w:r>
    </w:p>
    <w:p>
      <w:pPr>
        <w:pStyle w:val="Subsection"/>
      </w:pPr>
      <w:r>
        <w:tab/>
        <w:t>(3)</w:t>
      </w:r>
      <w:r>
        <w:tab/>
        <w:t>Subsection (2)(b) is taken to have been complied with if the reportable offender is given the notice within 7 days before the offender’s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the offender’s personal details to the Commissioner.</w:t>
      </w:r>
    </w:p>
    <w:p>
      <w:pPr>
        <w:pStyle w:val="Footnotesection"/>
      </w:pPr>
      <w:r>
        <w:tab/>
        <w:t>[Section 67 amended: No. 31 of 2024 s. 28; No. 35 of 2024 s. 32.]</w:t>
      </w:r>
    </w:p>
    <w:p>
      <w:pPr>
        <w:pStyle w:val="Heading5"/>
      </w:pPr>
      <w:bookmarkStart w:id="125" w:name="_Toc203745127"/>
      <w:r>
        <w:rPr>
          <w:rStyle w:val="CharSectno"/>
        </w:rPr>
        <w:lastRenderedPageBreak/>
        <w:t>68</w:t>
      </w:r>
      <w:r>
        <w:t>.</w:t>
      </w:r>
      <w:r>
        <w:tab/>
        <w:t>Courts to provide sentencing information to Commissioner</w:t>
      </w:r>
      <w:bookmarkEnd w:id="125"/>
    </w:p>
    <w:p>
      <w:pPr>
        <w:pStyle w:val="Subsection"/>
        <w:keepNext/>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26" w:name="_Toc203745128"/>
      <w:r>
        <w:rPr>
          <w:rStyle w:val="CharSectno"/>
        </w:rPr>
        <w:t>69</w:t>
      </w:r>
      <w:r>
        <w:t>.</w:t>
      </w:r>
      <w:r>
        <w:tab/>
        <w:t>Notice to be given when reporting period changes</w:t>
      </w:r>
      <w:bookmarkEnd w:id="126"/>
    </w:p>
    <w:p>
      <w:pPr>
        <w:pStyle w:val="Subsection"/>
        <w:spacing w:before="150"/>
      </w:pPr>
      <w:r>
        <w:tab/>
        <w:t>(1)</w:t>
      </w:r>
      <w:r>
        <w:tab/>
        <w:t>This section applies to a reportable offender whose reporting period has changed since the offender was last notified of the offender’s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Footnotesection"/>
      </w:pPr>
      <w:r>
        <w:tab/>
        <w:t>[Section 69 amended: No. 31 of 2024 s. 28.]</w:t>
      </w:r>
    </w:p>
    <w:p>
      <w:pPr>
        <w:pStyle w:val="Heading5"/>
      </w:pPr>
      <w:bookmarkStart w:id="127" w:name="_Toc203745129"/>
      <w:r>
        <w:rPr>
          <w:rStyle w:val="CharSectno"/>
        </w:rPr>
        <w:t>70</w:t>
      </w:r>
      <w:r>
        <w:t>.</w:t>
      </w:r>
      <w:r>
        <w:tab/>
        <w:t>Supervising authority to notify Commissioner of certain events</w:t>
      </w:r>
      <w:bookmarkEnd w:id="127"/>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lastRenderedPageBreak/>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 No. 35 of 2024 s. 59.]</w:t>
      </w:r>
    </w:p>
    <w:p>
      <w:pPr>
        <w:pStyle w:val="Heading5"/>
      </w:pPr>
      <w:bookmarkStart w:id="128" w:name="_Toc203745130"/>
      <w:r>
        <w:rPr>
          <w:rStyle w:val="CharSectno"/>
        </w:rPr>
        <w:t>71</w:t>
      </w:r>
      <w:r>
        <w:t>.</w:t>
      </w:r>
      <w:r>
        <w:tab/>
        <w:t>Notices may be given by Commissioner</w:t>
      </w:r>
      <w:bookmarkEnd w:id="128"/>
    </w:p>
    <w:p>
      <w:pPr>
        <w:pStyle w:val="Subsection"/>
      </w:pPr>
      <w:r>
        <w:tab/>
      </w:r>
      <w:r>
        <w:tab/>
        <w:t xml:space="preserve">The Commissioner may, at any time, cause written notice to be given to a reportable offender of — </w:t>
      </w:r>
    </w:p>
    <w:p>
      <w:pPr>
        <w:pStyle w:val="Indenta"/>
        <w:spacing w:before="60"/>
      </w:pPr>
      <w:r>
        <w:tab/>
        <w:t>(a)</w:t>
      </w:r>
      <w:r>
        <w:tab/>
        <w:t>the offender’s reporting obligations; and</w:t>
      </w:r>
    </w:p>
    <w:p>
      <w:pPr>
        <w:pStyle w:val="Indenta"/>
        <w:spacing w:before="60"/>
      </w:pPr>
      <w:r>
        <w:tab/>
        <w:t>(b)</w:t>
      </w:r>
      <w:r>
        <w:tab/>
        <w:t>the consequences that may arise if the offender fails to comply with those obligations.</w:t>
      </w:r>
    </w:p>
    <w:p>
      <w:pPr>
        <w:pStyle w:val="Footnotesection"/>
      </w:pPr>
      <w:r>
        <w:tab/>
        <w:t>[Section 71 amended: No. 31 of 2024 s. 28.]</w:t>
      </w:r>
    </w:p>
    <w:p>
      <w:pPr>
        <w:pStyle w:val="Heading5"/>
      </w:pPr>
      <w:bookmarkStart w:id="129" w:name="_Toc203745131"/>
      <w:r>
        <w:rPr>
          <w:rStyle w:val="CharSectno"/>
        </w:rPr>
        <w:lastRenderedPageBreak/>
        <w:t>72</w:t>
      </w:r>
      <w:r>
        <w:t>.</w:t>
      </w:r>
      <w:r>
        <w:tab/>
        <w:t>Power of detention to enable notice to be given</w:t>
      </w:r>
      <w:bookmarkEnd w:id="129"/>
    </w:p>
    <w:p>
      <w:pPr>
        <w:pStyle w:val="Subsection"/>
      </w:pPr>
      <w:r>
        <w:tab/>
        <w:t>(1)</w:t>
      </w:r>
      <w:r>
        <w:tab/>
        <w:t>This section applies if there are reasonable grounds to suspect that a person is a reportable offender and that the person has not been given notice, or is otherwise unaware, of the person’s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the person has been given notice, or is aware, of the person’s reporting obligations; and</w:t>
      </w:r>
    </w:p>
    <w:p>
      <w:pPr>
        <w:pStyle w:val="Indenta"/>
        <w:spacing w:before="60"/>
      </w:pPr>
      <w:r>
        <w:tab/>
        <w:t>(b)</w:t>
      </w:r>
      <w:r>
        <w:tab/>
        <w:t>to enable the person to be given notice of those obligations if the person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the person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the person has refused to sign an acknowledgment that the person has been given notice of the person’s reporting obligations; and</w:t>
      </w:r>
    </w:p>
    <w:p>
      <w:pPr>
        <w:pStyle w:val="Indenta"/>
        <w:spacing w:before="60"/>
      </w:pPr>
      <w:r>
        <w:tab/>
        <w:t>(c)</w:t>
      </w:r>
      <w:r>
        <w:tab/>
        <w:t>must be released immediately after the purpose of the detention is fulfilled.</w:t>
      </w:r>
    </w:p>
    <w:p>
      <w:pPr>
        <w:pStyle w:val="Footnotesection"/>
      </w:pPr>
      <w:r>
        <w:tab/>
        <w:t>[Section 72 amended: No. 31 of 2024 s. 28.]</w:t>
      </w:r>
    </w:p>
    <w:p>
      <w:pPr>
        <w:pStyle w:val="Heading5"/>
        <w:keepLines w:val="0"/>
      </w:pPr>
      <w:bookmarkStart w:id="130" w:name="_Toc203745132"/>
      <w:r>
        <w:rPr>
          <w:rStyle w:val="CharSectno"/>
        </w:rPr>
        <w:lastRenderedPageBreak/>
        <w:t>73</w:t>
      </w:r>
      <w:r>
        <w:t>.</w:t>
      </w:r>
      <w:r>
        <w:tab/>
        <w:t>Failure to comply with procedural requirements does not affect reportable offender’s obligations</w:t>
      </w:r>
      <w:bookmarkEnd w:id="130"/>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31" w:name="_Toc203658220"/>
      <w:bookmarkStart w:id="132" w:name="_Toc203745133"/>
      <w:r>
        <w:rPr>
          <w:rStyle w:val="CharDivNo"/>
        </w:rPr>
        <w:t>Division 10</w:t>
      </w:r>
      <w:r>
        <w:t> — </w:t>
      </w:r>
      <w:r>
        <w:rPr>
          <w:rStyle w:val="CharDivText"/>
        </w:rPr>
        <w:t>Modified reporting procedures for participants in witness protection programs</w:t>
      </w:r>
      <w:bookmarkEnd w:id="131"/>
      <w:bookmarkEnd w:id="132"/>
    </w:p>
    <w:p>
      <w:pPr>
        <w:pStyle w:val="Heading5"/>
      </w:pPr>
      <w:bookmarkStart w:id="133" w:name="_Toc203745134"/>
      <w:r>
        <w:rPr>
          <w:rStyle w:val="CharSectno"/>
        </w:rPr>
        <w:t>74</w:t>
      </w:r>
      <w:r>
        <w:t>.</w:t>
      </w:r>
      <w:r>
        <w:tab/>
        <w:t>Term used: witness protection program</w:t>
      </w:r>
      <w:bookmarkEnd w:id="13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34" w:name="_Toc203745135"/>
      <w:r>
        <w:rPr>
          <w:rStyle w:val="CharSectno"/>
        </w:rPr>
        <w:t>75</w:t>
      </w:r>
      <w:r>
        <w:t>.</w:t>
      </w:r>
      <w:r>
        <w:tab/>
        <w:t>Application of this Division</w:t>
      </w:r>
      <w:bookmarkEnd w:id="13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the offender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Footnotesection"/>
      </w:pPr>
      <w:r>
        <w:tab/>
        <w:t>[Section 75 amended: No. 31 of 2024 s. 28.]</w:t>
      </w:r>
    </w:p>
    <w:p>
      <w:pPr>
        <w:pStyle w:val="Heading5"/>
      </w:pPr>
      <w:bookmarkStart w:id="135" w:name="_Toc203745136"/>
      <w:r>
        <w:rPr>
          <w:rStyle w:val="CharSectno"/>
        </w:rPr>
        <w:lastRenderedPageBreak/>
        <w:t>76</w:t>
      </w:r>
      <w:r>
        <w:t>.</w:t>
      </w:r>
      <w:r>
        <w:tab/>
        <w:t>Report need not be made in person</w:t>
      </w:r>
      <w:bookmarkEnd w:id="135"/>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the person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Footnotesection"/>
      </w:pPr>
      <w:r>
        <w:tab/>
        <w:t>[Section 76 amended: No. 31 of 2024 s. 28.]</w:t>
      </w:r>
    </w:p>
    <w:p>
      <w:pPr>
        <w:pStyle w:val="Heading5"/>
      </w:pPr>
      <w:bookmarkStart w:id="136" w:name="_Toc203745137"/>
      <w:r>
        <w:rPr>
          <w:rStyle w:val="CharSectno"/>
        </w:rPr>
        <w:t>77</w:t>
      </w:r>
      <w:r>
        <w:t>.</w:t>
      </w:r>
      <w:r>
        <w:tab/>
        <w:t>Determination as to whether this Division applies</w:t>
      </w:r>
      <w:bookmarkEnd w:id="13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lastRenderedPageBreak/>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the applicant’s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Footnotesection"/>
      </w:pPr>
      <w:r>
        <w:tab/>
        <w:t>[Section 77 amended: No. 31 of 2024 s. 28.]</w:t>
      </w:r>
    </w:p>
    <w:p>
      <w:pPr>
        <w:pStyle w:val="Heading5"/>
      </w:pPr>
      <w:bookmarkStart w:id="137" w:name="_Toc203745138"/>
      <w:r>
        <w:rPr>
          <w:rStyle w:val="CharSectno"/>
        </w:rPr>
        <w:t>78</w:t>
      </w:r>
      <w:r>
        <w:t>.</w:t>
      </w:r>
      <w:r>
        <w:tab/>
        <w:t>When determination takes effect</w:t>
      </w:r>
      <w:bookmarkEnd w:id="13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38" w:name="_Toc203745139"/>
      <w:r>
        <w:rPr>
          <w:rStyle w:val="CharSectno"/>
        </w:rPr>
        <w:t>79</w:t>
      </w:r>
      <w:r>
        <w:t>.</w:t>
      </w:r>
      <w:r>
        <w:tab/>
        <w:t>Modification of reporting obligations</w:t>
      </w:r>
      <w:bookmarkEnd w:id="138"/>
    </w:p>
    <w:p>
      <w:pPr>
        <w:pStyle w:val="Subsection"/>
      </w:pPr>
      <w:r>
        <w:tab/>
      </w:r>
      <w:r>
        <w:tab/>
        <w:t xml:space="preserve">Sections 26(1), 29A to 33 and 66 apply with respect to a person to whom this Division applies as if any reference in them to </w:t>
      </w:r>
      <w:r>
        <w:lastRenderedPageBreak/>
        <w:t>Western Australia were a reference to the jurisdiction in which the person generally resides.</w:t>
      </w:r>
    </w:p>
    <w:p>
      <w:pPr>
        <w:pStyle w:val="Footnotesection"/>
      </w:pPr>
      <w:r>
        <w:tab/>
        <w:t>[Section 79 amended: No. 27 of 2008 s. 9.]</w:t>
      </w:r>
    </w:p>
    <w:p>
      <w:pPr>
        <w:pStyle w:val="Heading2"/>
      </w:pPr>
      <w:bookmarkStart w:id="139" w:name="_Toc203658227"/>
      <w:bookmarkStart w:id="140" w:name="_Toc203745140"/>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39"/>
      <w:bookmarkEnd w:id="140"/>
    </w:p>
    <w:p>
      <w:pPr>
        <w:pStyle w:val="Footnoteheading"/>
      </w:pPr>
      <w:r>
        <w:tab/>
        <w:t>[Heading inserted: No. 54 of 2012 s. 23.]</w:t>
      </w:r>
    </w:p>
    <w:p>
      <w:pPr>
        <w:pStyle w:val="Heading5"/>
        <w:spacing w:before="260"/>
      </w:pPr>
      <w:bookmarkStart w:id="141" w:name="_Toc203745141"/>
      <w:r>
        <w:rPr>
          <w:rStyle w:val="CharSectno"/>
        </w:rPr>
        <w:t>80A</w:t>
      </w:r>
      <w:r>
        <w:t>.</w:t>
      </w:r>
      <w:r>
        <w:tab/>
        <w:t>Terms used</w:t>
      </w:r>
      <w:bookmarkEnd w:id="14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42" w:name="_Toc203745142"/>
      <w:r>
        <w:rPr>
          <w:rStyle w:val="CharSectno"/>
        </w:rPr>
        <w:t>80B</w:t>
      </w:r>
      <w:r>
        <w:t>.</w:t>
      </w:r>
      <w:r>
        <w:tab/>
        <w:t>Application</w:t>
      </w:r>
      <w:bookmarkEnd w:id="142"/>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43" w:name="_Toc203745143"/>
      <w:r>
        <w:rPr>
          <w:rStyle w:val="CharSectno"/>
        </w:rPr>
        <w:t>80C</w:t>
      </w:r>
      <w:r>
        <w:t>.</w:t>
      </w:r>
      <w:r>
        <w:tab/>
        <w:t>Application for change of name by or in respect of reportable offender</w:t>
      </w:r>
      <w:bookmarkEnd w:id="143"/>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the offender’s name under the Registration Act; or</w:t>
      </w:r>
    </w:p>
    <w:p>
      <w:pPr>
        <w:pStyle w:val="Indenta"/>
        <w:keepNext/>
      </w:pPr>
      <w:r>
        <w:lastRenderedPageBreak/>
        <w:tab/>
        <w:t>(b)</w:t>
      </w:r>
      <w:r>
        <w:tab/>
        <w:t>apply to an interstate Registrar to register a change of the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for this subsection: imprisonment for 2 years and a fine of $24 000.</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for this subsection: imprisonment for 2 years and a fine of $24 000.</w:t>
      </w:r>
    </w:p>
    <w:p>
      <w:pPr>
        <w:pStyle w:val="Footnotesection"/>
      </w:pPr>
      <w:r>
        <w:tab/>
        <w:t>[Section 80C inserted: No. 54 of 2012 s. 23; amended: No. 31 of 2024 s. 28; No. 35 of 2024 s. 33.]</w:t>
      </w:r>
    </w:p>
    <w:p>
      <w:pPr>
        <w:pStyle w:val="Heading5"/>
      </w:pPr>
      <w:bookmarkStart w:id="144" w:name="_Toc203745144"/>
      <w:r>
        <w:rPr>
          <w:rStyle w:val="CharSectno"/>
        </w:rPr>
        <w:t>80D</w:t>
      </w:r>
      <w:r>
        <w:t>.</w:t>
      </w:r>
      <w:r>
        <w:tab/>
        <w:t>Approval by Commissioner</w:t>
      </w:r>
      <w:bookmarkEnd w:id="144"/>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lastRenderedPageBreak/>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45" w:name="_Toc203745145"/>
      <w:r>
        <w:rPr>
          <w:rStyle w:val="CharSectno"/>
        </w:rPr>
        <w:t>80E</w:t>
      </w:r>
      <w:r>
        <w:t>.</w:t>
      </w:r>
      <w:r>
        <w:tab/>
        <w:t>Registration of change of name</w:t>
      </w:r>
      <w:bookmarkEnd w:id="145"/>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46" w:name="_Toc203745146"/>
      <w:r>
        <w:rPr>
          <w:rStyle w:val="CharSectno"/>
        </w:rPr>
        <w:lastRenderedPageBreak/>
        <w:t>80F</w:t>
      </w:r>
      <w:r>
        <w:t>.</w:t>
      </w:r>
      <w:r>
        <w:tab/>
        <w:t>WA Registrar to correct Registration Act Register</w:t>
      </w:r>
      <w:bookmarkEnd w:id="146"/>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47" w:name="_Toc203745147"/>
      <w:r>
        <w:rPr>
          <w:rStyle w:val="CharSectno"/>
        </w:rPr>
        <w:t>80G</w:t>
      </w:r>
      <w:r>
        <w:t>.</w:t>
      </w:r>
      <w:r>
        <w:tab/>
        <w:t>Exchange of information between Commissioner and WA Registrar</w:t>
      </w:r>
      <w:bookmarkEnd w:id="147"/>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lastRenderedPageBreak/>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48" w:name="_Toc203658235"/>
      <w:bookmarkStart w:id="149" w:name="_Toc203745148"/>
      <w:r>
        <w:rPr>
          <w:rStyle w:val="CharPartNo"/>
        </w:rPr>
        <w:lastRenderedPageBreak/>
        <w:t>Part 4</w:t>
      </w:r>
      <w:r>
        <w:rPr>
          <w:rStyle w:val="CharDivNo"/>
        </w:rPr>
        <w:t> </w:t>
      </w:r>
      <w:r>
        <w:t>—</w:t>
      </w:r>
      <w:r>
        <w:rPr>
          <w:rStyle w:val="CharDivText"/>
        </w:rPr>
        <w:t> </w:t>
      </w:r>
      <w:r>
        <w:rPr>
          <w:rStyle w:val="CharPartText"/>
        </w:rPr>
        <w:t>Community Protection Offender Register</w:t>
      </w:r>
      <w:bookmarkEnd w:id="148"/>
      <w:bookmarkEnd w:id="149"/>
    </w:p>
    <w:p>
      <w:pPr>
        <w:pStyle w:val="Heading5"/>
      </w:pPr>
      <w:bookmarkStart w:id="150" w:name="_Toc203745149"/>
      <w:r>
        <w:rPr>
          <w:rStyle w:val="CharSectno"/>
        </w:rPr>
        <w:t>80</w:t>
      </w:r>
      <w:r>
        <w:t>.</w:t>
      </w:r>
      <w:r>
        <w:tab/>
        <w:t>Requirement to establish and maintain Community Protection Offender Register</w:t>
      </w:r>
      <w:bookmarkEnd w:id="150"/>
    </w:p>
    <w:p>
      <w:pPr>
        <w:pStyle w:val="Subsection"/>
      </w:pPr>
      <w:r>
        <w:tab/>
        <w:t>(1)</w:t>
      </w:r>
      <w:r>
        <w:tab/>
        <w:t>The Commissioner must establish and maintain a Community Protection Offender Register or arrange with another person for the establishment and maintenance of a Community Protection Offender Register on the Commissioner’s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the offender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the offender’s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 No. 31 of 2024 s. 28.]</w:t>
      </w:r>
    </w:p>
    <w:p>
      <w:pPr>
        <w:pStyle w:val="Heading5"/>
      </w:pPr>
      <w:bookmarkStart w:id="151" w:name="_Toc203745150"/>
      <w:r>
        <w:rPr>
          <w:rStyle w:val="CharSectno"/>
        </w:rPr>
        <w:t>81</w:t>
      </w:r>
      <w:r>
        <w:t>.</w:t>
      </w:r>
      <w:r>
        <w:tab/>
        <w:t>Access to Register to be restricted</w:t>
      </w:r>
      <w:bookmarkEnd w:id="151"/>
    </w:p>
    <w:p>
      <w:pPr>
        <w:pStyle w:val="Subsection"/>
      </w:pPr>
      <w:r>
        <w:tab/>
        <w:t>(1)</w:t>
      </w:r>
      <w:r>
        <w:tab/>
        <w:t xml:space="preserve">The Commissioner may authorise a person or class of persons to access the Register, or any part of the Register, for the administration of this Act. </w:t>
      </w:r>
    </w:p>
    <w:p>
      <w:pPr>
        <w:pStyle w:val="Subsection"/>
      </w:pPr>
      <w:r>
        <w:tab/>
        <w:t>(2)</w:t>
      </w:r>
      <w:r>
        <w:tab/>
        <w:t xml:space="preserve">The Commissioner must ensure that the Register, or any part of the Register, is only accessed by a person who is authorised to access the Register under — </w:t>
      </w:r>
    </w:p>
    <w:p>
      <w:pPr>
        <w:pStyle w:val="Indenta"/>
      </w:pPr>
      <w:r>
        <w:tab/>
        <w:t>(a)</w:t>
      </w:r>
      <w:r>
        <w:tab/>
        <w:t>subsection (1); or</w:t>
      </w:r>
    </w:p>
    <w:p>
      <w:pPr>
        <w:pStyle w:val="Indenta"/>
      </w:pPr>
      <w:r>
        <w:tab/>
        <w:t>(b)</w:t>
      </w:r>
      <w:r>
        <w:tab/>
        <w:t>another enactment.</w:t>
      </w:r>
    </w:p>
    <w:p>
      <w:pPr>
        <w:pStyle w:val="Ednotesubsection"/>
        <w:keepNext/>
      </w:pPr>
      <w:r>
        <w:tab/>
        <w:t>[(3), (4)</w:t>
      </w:r>
      <w:r>
        <w:tab/>
        <w:t>deleted]</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Ednotesubsection"/>
        <w:keepNext/>
      </w:pPr>
      <w:r>
        <w:tab/>
        <w:t>[(6)</w:t>
      </w:r>
      <w:r>
        <w:tab/>
        <w:t>deleted]</w:t>
      </w:r>
    </w:p>
    <w:p>
      <w:pPr>
        <w:pStyle w:val="Footnotesection"/>
      </w:pPr>
      <w:r>
        <w:tab/>
        <w:t>[Section 81 amended: No. 35 of 2024 s. 34.]</w:t>
      </w:r>
    </w:p>
    <w:p>
      <w:pPr>
        <w:pStyle w:val="Heading5"/>
      </w:pPr>
      <w:bookmarkStart w:id="152" w:name="_Toc203745151"/>
      <w:r>
        <w:rPr>
          <w:rStyle w:val="CharSectno"/>
        </w:rPr>
        <w:t>82</w:t>
      </w:r>
      <w:r>
        <w:t>.</w:t>
      </w:r>
      <w:r>
        <w:tab/>
        <w:t>Confidentiality</w:t>
      </w:r>
      <w:bookmarkEnd w:id="152"/>
    </w:p>
    <w:p>
      <w:pPr>
        <w:pStyle w:val="Subsection"/>
      </w:pPr>
      <w:r>
        <w:t>(1A)</w:t>
      </w:r>
      <w:r>
        <w:tab/>
      </w:r>
      <w:r>
        <w:tab/>
        <w:t xml:space="preserve">In this section — </w:t>
      </w:r>
    </w:p>
    <w:p>
      <w:pPr>
        <w:pStyle w:val="Defstart"/>
      </w:pPr>
      <w:r>
        <w:tab/>
      </w:r>
      <w:r>
        <w:rPr>
          <w:rStyle w:val="CharDefText"/>
        </w:rPr>
        <w:t>agency official</w:t>
      </w:r>
      <w:r>
        <w:t xml:space="preserve"> means any of the following — </w:t>
      </w:r>
    </w:p>
    <w:p>
      <w:pPr>
        <w:pStyle w:val="Defpara"/>
      </w:pPr>
      <w:r>
        <w:tab/>
        <w:t>(a)</w:t>
      </w:r>
      <w:r>
        <w:tab/>
        <w:t>a person appointed or employed under a written law or a law of the Commonwealth, another State or a Territory;</w:t>
      </w:r>
    </w:p>
    <w:p>
      <w:pPr>
        <w:pStyle w:val="Defpara"/>
      </w:pPr>
      <w:r>
        <w:tab/>
        <w:t>(b)</w:t>
      </w:r>
      <w:r>
        <w:tab/>
        <w:t xml:space="preserve">the chief executive officer of an agency, as defined in the </w:t>
      </w:r>
      <w:r>
        <w:rPr>
          <w:i/>
          <w:iCs/>
        </w:rPr>
        <w:t>Public Sector Management Act 1994</w:t>
      </w:r>
      <w:r>
        <w:t xml:space="preserve"> section 3(1), or a person employed in that agency;</w:t>
      </w:r>
    </w:p>
    <w:p>
      <w:pPr>
        <w:pStyle w:val="Defpara"/>
      </w:pPr>
      <w:r>
        <w:lastRenderedPageBreak/>
        <w:tab/>
        <w:t>(c)</w:t>
      </w:r>
      <w:r>
        <w:tab/>
        <w:t xml:space="preserve">an Agency Head, as defined in the </w:t>
      </w:r>
      <w:r>
        <w:rPr>
          <w:i/>
          <w:iCs/>
        </w:rPr>
        <w:t>Public Service Act 1999</w:t>
      </w:r>
      <w:r>
        <w:t xml:space="preserve"> (Commonwealth) section 7, or an APS employee of the Agency Head’s Agency as defined in that section of that Act;</w:t>
      </w:r>
    </w:p>
    <w:p>
      <w:pPr>
        <w:pStyle w:val="Defpara"/>
      </w:pPr>
      <w:r>
        <w:tab/>
        <w:t>(d)</w:t>
      </w:r>
      <w:r>
        <w:tab/>
        <w:t>the chief executive officer, however designated, of a department of a Territory or another State or a person employed in that department;</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Subsection"/>
      </w:pPr>
      <w:r>
        <w:tab/>
        <w:t>(1)</w:t>
      </w:r>
      <w:r>
        <w:tab/>
        <w:t>A person commits a crime if the person discloses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an investigation or proceedings for an offence under this Act or another written law; or</w:t>
      </w:r>
    </w:p>
    <w:p>
      <w:pPr>
        <w:pStyle w:val="Indenta"/>
      </w:pPr>
      <w:r>
        <w:tab/>
        <w:t>(ca)</w:t>
      </w:r>
      <w:r>
        <w:tab/>
        <w:t>in making a disclosure to a police officer for law enforcement purposes; or</w:t>
      </w:r>
    </w:p>
    <w:p>
      <w:pPr>
        <w:pStyle w:val="Indenta"/>
      </w:pPr>
      <w:r>
        <w:tab/>
        <w:t>(cb)</w:t>
      </w:r>
      <w:r>
        <w:tab/>
        <w:t xml:space="preserve">in making a disclosure to a prescribed agency official or class of agency official for any of the following purposes — </w:t>
      </w:r>
    </w:p>
    <w:p>
      <w:pPr>
        <w:pStyle w:val="Indenti"/>
      </w:pPr>
      <w:r>
        <w:tab/>
        <w:t>(i)</w:t>
      </w:r>
      <w:r>
        <w:tab/>
        <w:t>law enforcement;</w:t>
      </w:r>
    </w:p>
    <w:p>
      <w:pPr>
        <w:pStyle w:val="Indenti"/>
      </w:pPr>
      <w:r>
        <w:tab/>
        <w:t>(ii)</w:t>
      </w:r>
      <w:r>
        <w:tab/>
        <w:t>the protection and welfare of children;</w:t>
      </w:r>
    </w:p>
    <w:p>
      <w:pPr>
        <w:pStyle w:val="Indenti"/>
      </w:pPr>
      <w:r>
        <w:tab/>
        <w:t>(iii)</w:t>
      </w:r>
      <w:r>
        <w:tab/>
        <w:t>the assessment and management of reportable offenders;</w:t>
      </w:r>
    </w:p>
    <w:p>
      <w:pPr>
        <w:pStyle w:val="Indenta"/>
      </w:pPr>
      <w:r>
        <w:tab/>
      </w:r>
      <w:r>
        <w:tab/>
        <w:t>or</w:t>
      </w:r>
    </w:p>
    <w:p>
      <w:pPr>
        <w:pStyle w:val="Indenta"/>
      </w:pPr>
      <w:r>
        <w:tab/>
        <w:t>(cd)</w:t>
      </w:r>
      <w:r>
        <w:tab/>
        <w:t>if the disclosure is by the Commissioner and the Commissioner considers the disclosure is in the public interest; or</w:t>
      </w:r>
    </w:p>
    <w:p>
      <w:pPr>
        <w:pStyle w:val="Indenta"/>
      </w:pPr>
      <w:r>
        <w:tab/>
        <w:t>(da)</w:t>
      </w:r>
      <w:r>
        <w:tab/>
        <w:t>for the purpose of proceedings on an application for, or for the variation or revocation of, a protection order or reporting order; or</w:t>
      </w:r>
    </w:p>
    <w:p>
      <w:pPr>
        <w:pStyle w:val="Indenta"/>
      </w:pPr>
      <w:r>
        <w:lastRenderedPageBreak/>
        <w:tab/>
        <w:t>(d)</w:t>
      </w:r>
      <w:r>
        <w:tab/>
        <w:t>with the written authority of the Minister or the person to whom the information relates; or</w:t>
      </w:r>
    </w:p>
    <w:p>
      <w:pPr>
        <w:pStyle w:val="Indenta"/>
      </w:pPr>
      <w:r>
        <w:tab/>
        <w:t>(e)</w:t>
      </w:r>
      <w:r>
        <w:tab/>
        <w:t>in other circumstances prescribed.</w:t>
      </w:r>
    </w:p>
    <w:p>
      <w:pPr>
        <w:pStyle w:val="Penstart"/>
      </w:pPr>
      <w:r>
        <w:tab/>
        <w:t>Penalty for this subsection:</w:t>
      </w:r>
    </w:p>
    <w:p>
      <w:pPr>
        <w:pStyle w:val="Penpara"/>
      </w:pPr>
      <w:r>
        <w:tab/>
        <w:t>(a)</w:t>
      </w:r>
      <w:r>
        <w:tab/>
        <w:t>in the case where the person disclosing the information gained a benefit from the disclosure of the information, and the value of the benefit was more than $10 000 — imprisonment for 10 years and a fine of $120 000;</w:t>
      </w:r>
    </w:p>
    <w:p>
      <w:pPr>
        <w:pStyle w:val="Penpara"/>
      </w:pPr>
      <w:r>
        <w:tab/>
        <w:t>(b)</w:t>
      </w:r>
      <w:r>
        <w:tab/>
        <w:t>in the case where the person disclosing the information gained or intended to gain a benefit from the disclosure of the information, and paragraph (a) does not apply — imprisonment for 5 years and a fine of $60 000;</w:t>
      </w:r>
    </w:p>
    <w:p>
      <w:pPr>
        <w:pStyle w:val="Penpara"/>
      </w:pPr>
      <w:r>
        <w:tab/>
        <w:t>(c)</w:t>
      </w:r>
      <w:r>
        <w:tab/>
        <w:t xml:space="preserve">in any other case — </w:t>
      </w:r>
    </w:p>
    <w:p>
      <w:pPr>
        <w:pStyle w:val="Pensubpara"/>
      </w:pPr>
      <w:r>
        <w:tab/>
        <w:t>(i)</w:t>
      </w:r>
      <w:r>
        <w:tab/>
        <w:t>for a summary conviction — imprisonment for 2 years and a fine of $24 000;</w:t>
      </w:r>
    </w:p>
    <w:p>
      <w:pPr>
        <w:pStyle w:val="Pensubpara"/>
      </w:pPr>
      <w:r>
        <w:tab/>
        <w:t>(ii)</w:t>
      </w:r>
      <w:r>
        <w:tab/>
        <w:t>otherwise — imprisonment for 3 years and a fine of $36 000.</w:t>
      </w:r>
    </w:p>
    <w:p>
      <w:pPr>
        <w:pStyle w:val="Ednotesubsection"/>
        <w:keepNext/>
      </w:pPr>
      <w:r>
        <w:tab/>
        <w:t>[(2)</w:t>
      </w:r>
      <w:r>
        <w:tab/>
        <w:t>deleted]</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 No. 35 of 2024 s. 35 and 59.]</w:t>
      </w:r>
    </w:p>
    <w:p>
      <w:pPr>
        <w:pStyle w:val="Heading5"/>
      </w:pPr>
      <w:bookmarkStart w:id="153" w:name="_Toc180507008"/>
      <w:bookmarkStart w:id="154" w:name="_Toc203745152"/>
      <w:r>
        <w:rPr>
          <w:rStyle w:val="CharSectno"/>
        </w:rPr>
        <w:t>82A</w:t>
      </w:r>
      <w:r>
        <w:t>.</w:t>
      </w:r>
      <w:r>
        <w:tab/>
        <w:t>Delegation by Commissioner</w:t>
      </w:r>
      <w:bookmarkEnd w:id="153"/>
      <w:bookmarkEnd w:id="154"/>
    </w:p>
    <w:p>
      <w:pPr>
        <w:pStyle w:val="Subsection"/>
      </w:pPr>
      <w:r>
        <w:tab/>
      </w:r>
      <w:r>
        <w:tab/>
        <w:t xml:space="preserve">The Commissioner may delegate under section 110 a power of the Commissioner under section 82(1)(cd) only to — </w:t>
      </w:r>
    </w:p>
    <w:p>
      <w:pPr>
        <w:pStyle w:val="Indenta"/>
      </w:pPr>
      <w:r>
        <w:tab/>
        <w:t>(a)</w:t>
      </w:r>
      <w:r>
        <w:tab/>
      </w:r>
      <w:r>
        <w:rPr>
          <w:color w:val="000000"/>
        </w:rPr>
        <w:t xml:space="preserve">a police officer </w:t>
      </w:r>
      <w:r>
        <w:t>of, or acting in, the rank of inspector or a higher rank; or</w:t>
      </w:r>
    </w:p>
    <w:p>
      <w:pPr>
        <w:pStyle w:val="Indenta"/>
      </w:pPr>
      <w:r>
        <w:lastRenderedPageBreak/>
        <w:tab/>
        <w:t>(b)</w:t>
      </w:r>
      <w:r>
        <w:tab/>
        <w:t>a person employed in a prescribed position in the department of the Public Service principally assisting the Minister in the administration of this Act.</w:t>
      </w:r>
    </w:p>
    <w:p>
      <w:pPr>
        <w:pStyle w:val="Footnotesection"/>
      </w:pPr>
      <w:r>
        <w:tab/>
        <w:t>[Section 82A inserted: No. 35 of 2024 s. 36.]</w:t>
      </w:r>
    </w:p>
    <w:p>
      <w:pPr>
        <w:pStyle w:val="Heading5"/>
        <w:keepLines w:val="0"/>
      </w:pPr>
      <w:bookmarkStart w:id="155" w:name="_Toc203745153"/>
      <w:r>
        <w:rPr>
          <w:rStyle w:val="CharSectno"/>
        </w:rPr>
        <w:t>83</w:t>
      </w:r>
      <w:r>
        <w:t>.</w:t>
      </w:r>
      <w:r>
        <w:tab/>
        <w:t>Restriction on who may access personal information on protected witnesses</w:t>
      </w:r>
      <w:bookmarkEnd w:id="15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56" w:name="_Toc203745154"/>
      <w:r>
        <w:rPr>
          <w:rStyle w:val="CharSectno"/>
        </w:rPr>
        <w:t>84</w:t>
      </w:r>
      <w:r>
        <w:t>.</w:t>
      </w:r>
      <w:r>
        <w:tab/>
        <w:t>Reportable offender’s rights in relation to Register</w:t>
      </w:r>
      <w:bookmarkEnd w:id="15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57" w:name="_Toc203658241"/>
      <w:bookmarkStart w:id="158" w:name="_Toc203745155"/>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57"/>
      <w:bookmarkEnd w:id="158"/>
    </w:p>
    <w:p>
      <w:pPr>
        <w:pStyle w:val="Footnoteheading"/>
      </w:pPr>
      <w:r>
        <w:tab/>
        <w:t>[Heading inserted: No. 1 of 2012 s. 5.]</w:t>
      </w:r>
    </w:p>
    <w:p>
      <w:pPr>
        <w:pStyle w:val="Heading3"/>
      </w:pPr>
      <w:bookmarkStart w:id="159" w:name="_Toc203658242"/>
      <w:bookmarkStart w:id="160" w:name="_Toc203745156"/>
      <w:r>
        <w:rPr>
          <w:rStyle w:val="CharDivNo"/>
        </w:rPr>
        <w:t>Division 1</w:t>
      </w:r>
      <w:r>
        <w:t> — </w:t>
      </w:r>
      <w:r>
        <w:rPr>
          <w:rStyle w:val="CharDivText"/>
        </w:rPr>
        <w:t>Preliminary</w:t>
      </w:r>
      <w:bookmarkEnd w:id="159"/>
      <w:bookmarkEnd w:id="160"/>
    </w:p>
    <w:p>
      <w:pPr>
        <w:pStyle w:val="Footnoteheading"/>
      </w:pPr>
      <w:r>
        <w:tab/>
        <w:t>[Heading inserted: No. 1 of 2012 s. 5.]</w:t>
      </w:r>
    </w:p>
    <w:p>
      <w:pPr>
        <w:pStyle w:val="Heading5"/>
      </w:pPr>
      <w:bookmarkStart w:id="161" w:name="_Toc203745157"/>
      <w:r>
        <w:rPr>
          <w:rStyle w:val="CharSectno"/>
        </w:rPr>
        <w:t>85A</w:t>
      </w:r>
      <w:r>
        <w:t>.</w:t>
      </w:r>
      <w:r>
        <w:tab/>
        <w:t>Terms used</w:t>
      </w:r>
      <w:bookmarkEnd w:id="161"/>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rPr>
        <w:t>photograph</w:t>
      </w:r>
      <w:r>
        <w:t xml:space="preserve"> includes a digital image;</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lastRenderedPageBreak/>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 No. 35 of 2024 s. 37.]</w:t>
      </w:r>
    </w:p>
    <w:p>
      <w:pPr>
        <w:pStyle w:val="Heading5"/>
      </w:pPr>
      <w:bookmarkStart w:id="162" w:name="_Toc203745158"/>
      <w:r>
        <w:rPr>
          <w:rStyle w:val="CharSectno"/>
        </w:rPr>
        <w:t>85B</w:t>
      </w:r>
      <w:r>
        <w:t>.</w:t>
      </w:r>
      <w:r>
        <w:tab/>
        <w:t>Delegation by Commissioner</w:t>
      </w:r>
      <w:bookmarkEnd w:id="162"/>
    </w:p>
    <w:p>
      <w:pPr>
        <w:pStyle w:val="Subsection"/>
      </w:pPr>
      <w:r>
        <w:rPr>
          <w:color w:val="000000"/>
        </w:rPr>
        <w:tab/>
      </w:r>
      <w:r>
        <w:rPr>
          <w:color w:val="000000"/>
        </w:rPr>
        <w:tab/>
        <w:t xml:space="preserve">The Commissioner may delegate under section 110 a power of the </w:t>
      </w:r>
      <w:r>
        <w:t xml:space="preserve">Commissioner — </w:t>
      </w:r>
    </w:p>
    <w:p>
      <w:pPr>
        <w:pStyle w:val="Indenta"/>
      </w:pPr>
      <w:r>
        <w:tab/>
        <w:t>(a)</w:t>
      </w:r>
      <w:r>
        <w:tab/>
        <w:t>under section 85J only to a police officer of, or acting in, the rank of inspector or a higher rank; or</w:t>
      </w:r>
    </w:p>
    <w:p>
      <w:pPr>
        <w:pStyle w:val="Indenta"/>
      </w:pPr>
      <w:r>
        <w:tab/>
        <w:t>(b)</w:t>
      </w:r>
      <w:r>
        <w:tab/>
        <w:t>under Division 2 (other than section 85J) only to a police officer who holds or is acting in the office of Deputy Commissioner or Assistant Commissioner.</w:t>
      </w:r>
    </w:p>
    <w:p>
      <w:pPr>
        <w:pStyle w:val="Footnotesection"/>
      </w:pPr>
      <w:r>
        <w:tab/>
        <w:t>[Section 85B inserted: No. 1 of 2012 s. 5; amended: No. 35 of 2024 s. 38.]</w:t>
      </w:r>
    </w:p>
    <w:p>
      <w:pPr>
        <w:pStyle w:val="Heading5"/>
      </w:pPr>
      <w:bookmarkStart w:id="163" w:name="_Toc203745159"/>
      <w:r>
        <w:rPr>
          <w:rStyle w:val="CharSectno"/>
        </w:rPr>
        <w:lastRenderedPageBreak/>
        <w:t>85C</w:t>
      </w:r>
      <w:r>
        <w:t>.</w:t>
      </w:r>
      <w:r>
        <w:tab/>
        <w:t>Commissioner not required to publish or provide information</w:t>
      </w:r>
      <w:bookmarkEnd w:id="163"/>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64" w:name="_Toc203745160"/>
      <w:r>
        <w:rPr>
          <w:rStyle w:val="CharSectno"/>
        </w:rPr>
        <w:t>85D</w:t>
      </w:r>
      <w:r>
        <w:t>.</w:t>
      </w:r>
      <w:r>
        <w:tab/>
        <w:t>Restriction on information about protected witnesses</w:t>
      </w:r>
      <w:bookmarkEnd w:id="164"/>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65" w:name="_Toc203658247"/>
      <w:bookmarkStart w:id="166" w:name="_Toc203745161"/>
      <w:r>
        <w:rPr>
          <w:rStyle w:val="CharDivNo"/>
        </w:rPr>
        <w:t>Division 2</w:t>
      </w:r>
      <w:r>
        <w:t> — </w:t>
      </w:r>
      <w:r>
        <w:rPr>
          <w:rStyle w:val="CharDivText"/>
        </w:rPr>
        <w:t>Commissioner may publish information</w:t>
      </w:r>
      <w:bookmarkEnd w:id="165"/>
      <w:bookmarkEnd w:id="166"/>
    </w:p>
    <w:p>
      <w:pPr>
        <w:pStyle w:val="Footnoteheading"/>
      </w:pPr>
      <w:r>
        <w:tab/>
        <w:t>[Heading inserted: No. 1 of 2012 s. 5.]</w:t>
      </w:r>
    </w:p>
    <w:p>
      <w:pPr>
        <w:pStyle w:val="Heading5"/>
      </w:pPr>
      <w:bookmarkStart w:id="167" w:name="_Toc203745162"/>
      <w:r>
        <w:rPr>
          <w:rStyle w:val="CharSectno"/>
        </w:rPr>
        <w:t>85E</w:t>
      </w:r>
      <w:r>
        <w:t>.</w:t>
      </w:r>
      <w:r>
        <w:tab/>
        <w:t>Application</w:t>
      </w:r>
      <w:bookmarkEnd w:id="16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8" w:name="_Toc203745163"/>
      <w:r>
        <w:rPr>
          <w:rStyle w:val="CharSectno"/>
        </w:rPr>
        <w:t>85F</w:t>
      </w:r>
      <w:r>
        <w:t>.</w:t>
      </w:r>
      <w:r>
        <w:tab/>
        <w:t>Commissioner may publish personal details of certain reportable offenders</w:t>
      </w:r>
      <w:bookmarkEnd w:id="16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lastRenderedPageBreak/>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the offender’s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the offender’s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 amended: No. 31 of 2024 s. 28.]</w:t>
      </w:r>
    </w:p>
    <w:p>
      <w:pPr>
        <w:pStyle w:val="Heading5"/>
      </w:pPr>
      <w:bookmarkStart w:id="169" w:name="_Toc203745164"/>
      <w:r>
        <w:rPr>
          <w:rStyle w:val="CharSectno"/>
        </w:rPr>
        <w:lastRenderedPageBreak/>
        <w:t>85G</w:t>
      </w:r>
      <w:r>
        <w:t>.</w:t>
      </w:r>
      <w:r>
        <w:tab/>
        <w:t>Commissioner may publish photograph and locality of certain persons</w:t>
      </w:r>
      <w:bookmarkEnd w:id="169"/>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keepNext/>
      </w:pPr>
      <w:r>
        <w:lastRenderedPageBreak/>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the publication is authorised by the Minister under section 85GB.</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the person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Ednotesubsection"/>
      </w:pPr>
      <w:r>
        <w:t>[(5)-(8)</w:t>
      </w:r>
      <w:r>
        <w:tab/>
        <w:t>deleted]</w:t>
      </w:r>
    </w:p>
    <w:p>
      <w:pPr>
        <w:pStyle w:val="Footnotesection"/>
      </w:pPr>
      <w:r>
        <w:tab/>
        <w:t>[Section 85G inserted: No. 1 of 2012 s. 5; amended: No. 29 of 2020 s. 94; No. 31 of 2024 s. 28; No. 35 of 2024 s. 39.]</w:t>
      </w:r>
    </w:p>
    <w:p>
      <w:pPr>
        <w:pStyle w:val="Heading5"/>
      </w:pPr>
      <w:bookmarkStart w:id="170" w:name="_Toc180507013"/>
      <w:bookmarkStart w:id="171" w:name="_Toc203745165"/>
      <w:r>
        <w:rPr>
          <w:rStyle w:val="CharSectno"/>
        </w:rPr>
        <w:lastRenderedPageBreak/>
        <w:t>85GA</w:t>
      </w:r>
      <w:r>
        <w:t>.</w:t>
      </w:r>
      <w:r>
        <w:tab/>
        <w:t>Notice to give address and photograph to Commissioner</w:t>
      </w:r>
      <w:bookmarkEnd w:id="170"/>
      <w:bookmarkEnd w:id="171"/>
    </w:p>
    <w:p>
      <w:pPr>
        <w:pStyle w:val="Subsection"/>
        <w:keepNext/>
      </w:pPr>
      <w:r>
        <w:tab/>
        <w:t>(1)</w:t>
      </w:r>
      <w:r>
        <w:tab/>
        <w:t xml:space="preserve">This section applies if — </w:t>
      </w:r>
    </w:p>
    <w:p>
      <w:pPr>
        <w:pStyle w:val="Indenta"/>
      </w:pPr>
      <w:r>
        <w:tab/>
        <w:t>(a)</w:t>
      </w:r>
      <w:r>
        <w:tab/>
        <w:t>the Commissioner proposes to publish the photograph and locality of a person under section 85G(2) and the person is not a reportable offender; or</w:t>
      </w:r>
    </w:p>
    <w:p>
      <w:pPr>
        <w:pStyle w:val="Indenta"/>
      </w:pPr>
      <w:r>
        <w:tab/>
        <w:t>(b)</w:t>
      </w:r>
      <w:r>
        <w:tab/>
        <w:t xml:space="preserve">the Commissioner — </w:t>
      </w:r>
    </w:p>
    <w:p>
      <w:pPr>
        <w:pStyle w:val="Indenti"/>
      </w:pPr>
      <w:r>
        <w:tab/>
        <w:t>(i)</w:t>
      </w:r>
      <w:r>
        <w:tab/>
        <w:t>has published the photograph and locality of a person under section 85G(2) and the person is not a reportable offender; and</w:t>
      </w:r>
    </w:p>
    <w:p>
      <w:pPr>
        <w:pStyle w:val="Indenti"/>
      </w:pPr>
      <w:r>
        <w:tab/>
        <w:t>(ii)</w:t>
      </w:r>
      <w:r>
        <w:tab/>
        <w:t>reasonably believes the person’s appearance or address has changed since their photograph or address was last given to the Commissioner.</w:t>
      </w:r>
    </w:p>
    <w:p>
      <w:pPr>
        <w:pStyle w:val="Subsection"/>
      </w:pPr>
      <w:r>
        <w:tab/>
        <w:t>(2)</w:t>
      </w:r>
      <w:r>
        <w:tab/>
        <w:t xml:space="preserve">The Commissioner may, by written notice, require the person to give any of the following (the </w:t>
      </w:r>
      <w:r>
        <w:rPr>
          <w:rStyle w:val="CharDefText"/>
        </w:rPr>
        <w:t>information</w:t>
      </w:r>
      <w:r>
        <w:t xml:space="preserve">) to the Commissioner in accordance with the notice — </w:t>
      </w:r>
    </w:p>
    <w:p>
      <w:pPr>
        <w:pStyle w:val="Indenta"/>
      </w:pPr>
      <w:r>
        <w:tab/>
        <w:t>(a)</w:t>
      </w:r>
      <w:r>
        <w:tab/>
        <w:t xml:space="preserve">the address of each of the premises at which the person generally resides; </w:t>
      </w:r>
    </w:p>
    <w:p>
      <w:pPr>
        <w:pStyle w:val="Indenta"/>
      </w:pPr>
      <w:r>
        <w:tab/>
        <w:t>(b)</w:t>
      </w:r>
      <w:r>
        <w:tab/>
        <w:t>if a person does not generally reside at any particular premises, the name of each of the localities in which the person can generally be found;</w:t>
      </w:r>
    </w:p>
    <w:p>
      <w:pPr>
        <w:pStyle w:val="Indenta"/>
      </w:pPr>
      <w:r>
        <w:tab/>
        <w:t>(c)</w:t>
      </w:r>
      <w:r>
        <w:tab/>
        <w:t>a current photograph of the person’s head and face of a type suitable for use in an Australian passport.</w:t>
      </w:r>
    </w:p>
    <w:p>
      <w:pPr>
        <w:pStyle w:val="Subsection"/>
      </w:pPr>
      <w:r>
        <w:tab/>
        <w:t>(3)</w:t>
      </w:r>
      <w:r>
        <w:tab/>
        <w:t xml:space="preserve">A notice under subsection (2) may require a person to do 1 or more of the following — </w:t>
      </w:r>
    </w:p>
    <w:p>
      <w:pPr>
        <w:pStyle w:val="Indenta"/>
      </w:pPr>
      <w:r>
        <w:tab/>
        <w:t>(a)</w:t>
      </w:r>
      <w:r>
        <w:tab/>
        <w:t>to give their address and photograph by post, email or by other electronic means;</w:t>
      </w:r>
    </w:p>
    <w:p>
      <w:pPr>
        <w:pStyle w:val="Indenta"/>
      </w:pPr>
      <w:r>
        <w:tab/>
        <w:t>(b)</w:t>
      </w:r>
      <w:r>
        <w:tab/>
        <w:t>to attend in person at a certain time and place to give their address to, and have their photograph taken by, an authorised person.</w:t>
      </w:r>
    </w:p>
    <w:p>
      <w:pPr>
        <w:pStyle w:val="Subsection"/>
      </w:pPr>
      <w:r>
        <w:tab/>
        <w:t>(4)</w:t>
      </w:r>
      <w:r>
        <w:tab/>
        <w:t xml:space="preserve">A person given written notice under subsection (2) must comply with the requirement to give the information in accordance with the notice. </w:t>
      </w:r>
    </w:p>
    <w:p>
      <w:pPr>
        <w:pStyle w:val="Penstart"/>
      </w:pPr>
      <w:r>
        <w:lastRenderedPageBreak/>
        <w:tab/>
        <w:t>Penalty for this subsection: imprisonment for 2 years and a fine of $24 000.</w:t>
      </w:r>
    </w:p>
    <w:p>
      <w:pPr>
        <w:pStyle w:val="Footnotesection"/>
      </w:pPr>
      <w:bookmarkStart w:id="172" w:name="_Toc180507014"/>
      <w:r>
        <w:tab/>
        <w:t>[Section 85GA inserted: No. 35 of 2024 s. 40.]</w:t>
      </w:r>
    </w:p>
    <w:p>
      <w:pPr>
        <w:pStyle w:val="Heading5"/>
      </w:pPr>
      <w:bookmarkStart w:id="173" w:name="_Toc203745166"/>
      <w:r>
        <w:rPr>
          <w:rStyle w:val="CharSectno"/>
        </w:rPr>
        <w:t>85GB</w:t>
      </w:r>
      <w:r>
        <w:t>.</w:t>
      </w:r>
      <w:r>
        <w:tab/>
        <w:t>Authorisation by Minister to publish photograph and locality in relation to certain offences</w:t>
      </w:r>
      <w:bookmarkEnd w:id="172"/>
      <w:bookmarkEnd w:id="173"/>
    </w:p>
    <w:p>
      <w:pPr>
        <w:pStyle w:val="Subsection"/>
      </w:pPr>
      <w:r>
        <w:tab/>
        <w:t>(1)</w:t>
      </w:r>
      <w:r>
        <w:tab/>
        <w:t>On application from the Commissioner, the Minister may authorise the publication under section 85G(2)(c)(ii) of a photograph and locality of a person referred to in section 85G(2)(c)(i) if satisfied that the person poses a risk to the lives or the sexual safety of 1 or more persons, or persons generally.</w:t>
      </w:r>
    </w:p>
    <w:p>
      <w:pPr>
        <w:pStyle w:val="Subsection"/>
      </w:pPr>
      <w:r>
        <w:tab/>
        <w:t>(2)</w:t>
      </w:r>
      <w:r>
        <w:tab/>
        <w:t>An authorisation cannot be for a period greater than 5 years.</w:t>
      </w:r>
    </w:p>
    <w:p>
      <w:pPr>
        <w:pStyle w:val="Subsection"/>
      </w:pPr>
      <w:r>
        <w:tab/>
        <w:t>(3)</w:t>
      </w:r>
      <w:r>
        <w:tab/>
        <w:t>For the purposes of subsection (1), it is not necessary that the Minister is able to identify a risk to a particular person or particular persons or a particular class of persons.</w:t>
      </w:r>
    </w:p>
    <w:p>
      <w:pPr>
        <w:pStyle w:val="Subsection"/>
      </w:pPr>
      <w:r>
        <w:tab/>
        <w:t>(4)</w:t>
      </w:r>
      <w:r>
        <w:tab/>
        <w:t xml:space="preserve">In determining whether to authorise publication under subsection (1),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as defined in section 85G(1),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the person’s total criminal record;</w:t>
      </w:r>
    </w:p>
    <w:p>
      <w:pPr>
        <w:pStyle w:val="Indenta"/>
      </w:pPr>
      <w:r>
        <w:tab/>
        <w:t>(e)</w:t>
      </w:r>
      <w:r>
        <w:tab/>
        <w:t>the person’s age and the age of any victims of any offences committed by the person at the time those offences were committed;</w:t>
      </w:r>
    </w:p>
    <w:p>
      <w:pPr>
        <w:pStyle w:val="Indenta"/>
      </w:pPr>
      <w:r>
        <w:lastRenderedPageBreak/>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(5)</w:t>
      </w:r>
      <w:r>
        <w:rPr>
          <w:color w:val="000000"/>
        </w:rPr>
        <w:tab/>
        <w:t xml:space="preserve">The Commissioner must provide with an application under </w:t>
      </w:r>
      <w:r>
        <w:t>subsection (1) any information available to the Commissioner that is relevant to the Minister’s determination whether to authorise publication.</w:t>
      </w:r>
    </w:p>
    <w:p>
      <w:pPr>
        <w:pStyle w:val="Subsection"/>
      </w:pPr>
      <w:r>
        <w:tab/>
        <w:t>(6)</w:t>
      </w:r>
      <w:r>
        <w:tab/>
        <w:t>The fact that an offence in respect of which a person has been found guilty becomes spent does not affect the consideration of the offence as part of the person’s total criminal record for the purposes of subsection (4)(d).</w:t>
      </w:r>
    </w:p>
    <w:p>
      <w:pPr>
        <w:pStyle w:val="Subsection"/>
      </w:pPr>
      <w:r>
        <w:tab/>
        <w:t>(7)</w:t>
      </w:r>
      <w:r>
        <w:tab/>
        <w:t xml:space="preserve">The Minister may — </w:t>
      </w:r>
    </w:p>
    <w:p>
      <w:pPr>
        <w:pStyle w:val="Indenta"/>
      </w:pPr>
      <w:r>
        <w:tab/>
        <w:t>(a)</w:t>
      </w:r>
      <w:r>
        <w:tab/>
        <w:t>revoke an authorisation; or</w:t>
      </w:r>
    </w:p>
    <w:p>
      <w:pPr>
        <w:pStyle w:val="Indenta"/>
      </w:pPr>
      <w:r>
        <w:tab/>
        <w:t>(b)</w:t>
      </w:r>
      <w:r>
        <w:tab/>
        <w:t>make further authorisations, each of no more than 5 years in duration, in respect of a person for whom an authorisation has previously been made.</w:t>
      </w:r>
    </w:p>
    <w:p>
      <w:pPr>
        <w:pStyle w:val="Footnotesection"/>
      </w:pPr>
      <w:r>
        <w:tab/>
        <w:t>[Section 85GB inserted: No. 35 of 2024 s. 40.]</w:t>
      </w:r>
    </w:p>
    <w:p>
      <w:pPr>
        <w:pStyle w:val="Heading5"/>
      </w:pPr>
      <w:bookmarkStart w:id="174" w:name="_Toc203745167"/>
      <w:r>
        <w:rPr>
          <w:rStyle w:val="CharSectno"/>
        </w:rPr>
        <w:t>85H</w:t>
      </w:r>
      <w:r>
        <w:t>.</w:t>
      </w:r>
      <w:r>
        <w:tab/>
        <w:t>Removal of photograph and locality from website</w:t>
      </w:r>
      <w:bookmarkEnd w:id="174"/>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lastRenderedPageBreak/>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Subsection"/>
      </w:pPr>
      <w:r>
        <w:tab/>
        <w:t>(4)</w:t>
      </w:r>
      <w:r>
        <w:tab/>
        <w:t xml:space="preserve">The Commissioner must, as soon as is practicable, remove a photograph and locality of a person from the website on which they are published if — </w:t>
      </w:r>
    </w:p>
    <w:p>
      <w:pPr>
        <w:pStyle w:val="Indenta"/>
      </w:pPr>
      <w:r>
        <w:tab/>
        <w:t>(a)</w:t>
      </w:r>
      <w:r>
        <w:tab/>
        <w:t>the Commissioner has published the photograph and the locality of the person under section 85G(2)(c); and</w:t>
      </w:r>
    </w:p>
    <w:p>
      <w:pPr>
        <w:pStyle w:val="Indenta"/>
        <w:rPr>
          <w:color w:val="000000"/>
        </w:rPr>
      </w:pPr>
      <w:r>
        <w:tab/>
        <w:t>(b)</w:t>
      </w:r>
      <w:r>
        <w:tab/>
        <w:t>the authorisation in relation to the person is revoked under section 85GB(7)(a) or expires.</w:t>
      </w:r>
    </w:p>
    <w:p>
      <w:pPr>
        <w:pStyle w:val="Footnotesection"/>
      </w:pPr>
      <w:r>
        <w:tab/>
        <w:t>[Section 85H inserted: No. 1 of 2012 s. 5; amended: No. 29 of 2020 s. 95; No. 35 of 2024 s. 41.]</w:t>
      </w:r>
    </w:p>
    <w:p>
      <w:pPr>
        <w:pStyle w:val="Heading5"/>
      </w:pPr>
      <w:bookmarkStart w:id="175" w:name="_Toc203745168"/>
      <w:r>
        <w:rPr>
          <w:rStyle w:val="CharSectno"/>
        </w:rPr>
        <w:t>85I</w:t>
      </w:r>
      <w:r>
        <w:t>.</w:t>
      </w:r>
      <w:r>
        <w:tab/>
        <w:t>Commissioner may take into account certain matters</w:t>
      </w:r>
      <w:bookmarkEnd w:id="17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lastRenderedPageBreak/>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keepNext/>
      </w:pPr>
      <w:r>
        <w:tab/>
        <w:t>(2)</w:t>
      </w:r>
      <w:r>
        <w:tab/>
        <w:t xml:space="preserve">This section applies to these matters — </w:t>
      </w:r>
    </w:p>
    <w:p>
      <w:pPr>
        <w:pStyle w:val="Indenta"/>
        <w:keepNext/>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lastRenderedPageBreak/>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76" w:name="_Toc203745169"/>
      <w:r>
        <w:rPr>
          <w:rStyle w:val="CharSectno"/>
        </w:rPr>
        <w:t>85J</w:t>
      </w:r>
      <w:r>
        <w:t>.</w:t>
      </w:r>
      <w:r>
        <w:tab/>
        <w:t>Commissioner may inform child’s parent or guardian whether specified person is reportable offender</w:t>
      </w:r>
      <w:bookmarkEnd w:id="176"/>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had reportable contact with a child of whom the applicant is a parent or guardian in the period of 12 months before the day on which the application is made.</w:t>
      </w:r>
    </w:p>
    <w:p>
      <w:pPr>
        <w:pStyle w:val="Ednotesubsection"/>
      </w:pPr>
      <w:r>
        <w:tab/>
        <w:t>[(4)</w:t>
      </w:r>
      <w:r>
        <w:tab/>
      </w:r>
      <w:r>
        <w:tab/>
        <w:t>deleted]</w:t>
      </w:r>
    </w:p>
    <w:p>
      <w:pPr>
        <w:pStyle w:val="Subsection"/>
      </w:pPr>
      <w:r>
        <w:tab/>
        <w:t>(5)</w:t>
      </w:r>
      <w:r>
        <w:tab/>
        <w:t>If the Commissioner is satisfied that the specified person has had reportable contact with a child of whom the applicant is a parent or guardian in the period of 12 months before the day on which the application is made, the Commissioner may inform the applicant whether or not the specified person is a reportable offender.</w:t>
      </w:r>
    </w:p>
    <w:p>
      <w:pPr>
        <w:pStyle w:val="Footnotesection"/>
      </w:pPr>
      <w:r>
        <w:tab/>
        <w:t>[Section 85J inserted: No. 1 of 2012 s. 5; amended: No. 31 of 2024 s. 28; No. 35 of 2024 s. 42.]</w:t>
      </w:r>
    </w:p>
    <w:p>
      <w:pPr>
        <w:pStyle w:val="Heading5"/>
      </w:pPr>
      <w:bookmarkStart w:id="177" w:name="_Toc203745170"/>
      <w:r>
        <w:rPr>
          <w:rStyle w:val="CharSectno"/>
        </w:rPr>
        <w:lastRenderedPageBreak/>
        <w:t>85K</w:t>
      </w:r>
      <w:r>
        <w:t>.</w:t>
      </w:r>
      <w:r>
        <w:tab/>
        <w:t>Protection as to publication and other provision of information</w:t>
      </w:r>
      <w:bookmarkEnd w:id="177"/>
    </w:p>
    <w:p>
      <w:pPr>
        <w:pStyle w:val="Subsection"/>
        <w:keepNext/>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w:t>
      </w:r>
      <w:r>
        <w:t>the Commissioner or a delegate under section 85B determines</w:t>
      </w:r>
      <w:r>
        <w:rPr>
          <w:color w:val="000000"/>
        </w:rPr>
        <w:t xml:space="preserve">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 xml:space="preserve">no civil or criminal </w:t>
      </w:r>
      <w:r>
        <w:t>liability attaches to the Commissioner, a delegate under section 85B, the Minister</w:t>
      </w:r>
      <w:r>
        <w:rPr>
          <w:color w:val="000000"/>
        </w:rPr>
        <w:t xml:space="preserve"> or the State by reason of publishing or providing that information or omitting to publish or provide that information.</w:t>
      </w:r>
    </w:p>
    <w:p>
      <w:pPr>
        <w:pStyle w:val="Subsection"/>
      </w:pPr>
      <w:r>
        <w:tab/>
        <w:t>(3)</w:t>
      </w:r>
      <w:r>
        <w:tab/>
        <w:t xml:space="preserve">If information is published or provided by the Commissioner or a delegate under section 85B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 amended: No. 35 of 2024 s. 43.]</w:t>
      </w:r>
    </w:p>
    <w:p>
      <w:pPr>
        <w:pStyle w:val="Heading3"/>
      </w:pPr>
      <w:bookmarkStart w:id="178" w:name="_Toc203658255"/>
      <w:bookmarkStart w:id="179" w:name="_Toc203745171"/>
      <w:r>
        <w:rPr>
          <w:rStyle w:val="CharDivNo"/>
        </w:rPr>
        <w:lastRenderedPageBreak/>
        <w:t>Division 3</w:t>
      </w:r>
      <w:r>
        <w:t> — </w:t>
      </w:r>
      <w:r>
        <w:rPr>
          <w:rStyle w:val="CharDivText"/>
        </w:rPr>
        <w:t>Offences</w:t>
      </w:r>
      <w:bookmarkEnd w:id="178"/>
      <w:bookmarkEnd w:id="179"/>
    </w:p>
    <w:p>
      <w:pPr>
        <w:pStyle w:val="Footnoteheading"/>
        <w:keepNext/>
      </w:pPr>
      <w:r>
        <w:tab/>
        <w:t>[Heading inserted: No. 1 of 2012 s. 5.]</w:t>
      </w:r>
    </w:p>
    <w:p>
      <w:pPr>
        <w:pStyle w:val="Heading5"/>
      </w:pPr>
      <w:bookmarkStart w:id="180" w:name="_Toc203745172"/>
      <w:r>
        <w:rPr>
          <w:rStyle w:val="CharSectno"/>
        </w:rPr>
        <w:t>85L</w:t>
      </w:r>
      <w:r>
        <w:t>.</w:t>
      </w:r>
      <w:r>
        <w:tab/>
        <w:t>Conduct intended to incite animosity towards or harassment of identified offenders</w:t>
      </w:r>
      <w:bookmarkEnd w:id="180"/>
    </w:p>
    <w:p>
      <w:pPr>
        <w:pStyle w:val="Subsection"/>
        <w:keepNext/>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lastRenderedPageBreak/>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for this subsection: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for this subsection: imprisonment for 2 years.</w:t>
      </w:r>
    </w:p>
    <w:p>
      <w:pPr>
        <w:pStyle w:val="Footnotesection"/>
      </w:pPr>
      <w:r>
        <w:tab/>
        <w:t>[Section 85L inserted: No. 1 of 2012 s. 5; amended: No. 35 of 2024 s. 44.]</w:t>
      </w:r>
    </w:p>
    <w:p>
      <w:pPr>
        <w:pStyle w:val="Heading5"/>
      </w:pPr>
      <w:bookmarkStart w:id="181" w:name="_Toc203745173"/>
      <w:r>
        <w:rPr>
          <w:rStyle w:val="CharSectno"/>
        </w:rPr>
        <w:t>85M</w:t>
      </w:r>
      <w:r>
        <w:t>.</w:t>
      </w:r>
      <w:r>
        <w:tab/>
        <w:t>Publication, display and distribution of identifying information</w:t>
      </w:r>
      <w:bookmarkEnd w:id="18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lastRenderedPageBreak/>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for this subsection: imprisonment for 2 years.</w:t>
      </w:r>
    </w:p>
    <w:p>
      <w:pPr>
        <w:pStyle w:val="Footnotesection"/>
      </w:pPr>
      <w:r>
        <w:tab/>
        <w:t>[Section 85M inserted: No. 1 of 2012 s. 5; amended: No. 35 of 2024 s. 45.]</w:t>
      </w:r>
    </w:p>
    <w:p>
      <w:pPr>
        <w:pStyle w:val="Heading2"/>
      </w:pPr>
      <w:bookmarkStart w:id="182" w:name="_Toc203658258"/>
      <w:bookmarkStart w:id="183" w:name="_Toc203745174"/>
      <w:r>
        <w:rPr>
          <w:rStyle w:val="CharPartNo"/>
        </w:rPr>
        <w:lastRenderedPageBreak/>
        <w:t>Part 5</w:t>
      </w:r>
      <w:r>
        <w:t> — </w:t>
      </w:r>
      <w:r>
        <w:rPr>
          <w:rStyle w:val="CharPartText"/>
        </w:rPr>
        <w:t>Protection orders</w:t>
      </w:r>
      <w:bookmarkEnd w:id="182"/>
      <w:bookmarkEnd w:id="183"/>
    </w:p>
    <w:p>
      <w:pPr>
        <w:pStyle w:val="Footnoteheading"/>
      </w:pPr>
      <w:r>
        <w:tab/>
        <w:t>[Heading amended: No. 54 of 2012 s. 40.]</w:t>
      </w:r>
    </w:p>
    <w:p>
      <w:pPr>
        <w:pStyle w:val="Heading3"/>
      </w:pPr>
      <w:bookmarkStart w:id="184" w:name="_Toc203658259"/>
      <w:bookmarkStart w:id="185" w:name="_Toc203745175"/>
      <w:r>
        <w:rPr>
          <w:rStyle w:val="CharDivNo"/>
        </w:rPr>
        <w:t>Division 1</w:t>
      </w:r>
      <w:r>
        <w:t> — </w:t>
      </w:r>
      <w:r>
        <w:rPr>
          <w:rStyle w:val="CharDivText"/>
        </w:rPr>
        <w:t>Preliminary</w:t>
      </w:r>
      <w:bookmarkEnd w:id="184"/>
      <w:bookmarkEnd w:id="185"/>
    </w:p>
    <w:p>
      <w:pPr>
        <w:pStyle w:val="Heading5"/>
      </w:pPr>
      <w:bookmarkStart w:id="186" w:name="_Toc203745176"/>
      <w:r>
        <w:rPr>
          <w:rStyle w:val="CharSectno"/>
        </w:rPr>
        <w:t>85</w:t>
      </w:r>
      <w:r>
        <w:t>.</w:t>
      </w:r>
      <w:r>
        <w:tab/>
        <w:t>Terms used</w:t>
      </w:r>
      <w:bookmarkEnd w:id="186"/>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keepNext/>
      </w:pPr>
      <w:r>
        <w:tab/>
        <w:t>(a)</w:t>
      </w:r>
      <w:r>
        <w:tab/>
        <w:t xml:space="preserve">in the case of an application by the Commissioner for a </w:t>
      </w:r>
      <w:r>
        <w:rPr>
          <w:color w:val="000000"/>
        </w:rPr>
        <w:t>protection</w:t>
      </w:r>
      <w:r>
        <w:t xml:space="preserve"> order to be made, varied or revoked — the </w:t>
      </w:r>
      <w:r>
        <w:lastRenderedPageBreak/>
        <w:t xml:space="preserve">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 No. 35 of 2024 s. 59.]</w:t>
      </w:r>
    </w:p>
    <w:p>
      <w:pPr>
        <w:pStyle w:val="Heading5"/>
      </w:pPr>
      <w:bookmarkStart w:id="187" w:name="_Toc203745177"/>
      <w:r>
        <w:rPr>
          <w:rStyle w:val="CharSectno"/>
        </w:rPr>
        <w:t>86</w:t>
      </w:r>
      <w:r>
        <w:t>.</w:t>
      </w:r>
      <w:r>
        <w:tab/>
        <w:t>Evidence</w:t>
      </w:r>
      <w:bookmarkEnd w:id="187"/>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88" w:name="_Toc203658262"/>
      <w:bookmarkStart w:id="189" w:name="_Toc203745178"/>
      <w:r>
        <w:rPr>
          <w:rStyle w:val="CharDivNo"/>
        </w:rPr>
        <w:lastRenderedPageBreak/>
        <w:t>Division 2</w:t>
      </w:r>
      <w:r>
        <w:t> — </w:t>
      </w:r>
      <w:r>
        <w:rPr>
          <w:rStyle w:val="CharDivText"/>
        </w:rPr>
        <w:t>Orders</w:t>
      </w:r>
      <w:bookmarkEnd w:id="188"/>
      <w:bookmarkEnd w:id="189"/>
    </w:p>
    <w:p>
      <w:pPr>
        <w:pStyle w:val="Heading5"/>
      </w:pPr>
      <w:bookmarkStart w:id="190" w:name="_Toc203745179"/>
      <w:r>
        <w:rPr>
          <w:rStyle w:val="CharSectno"/>
        </w:rPr>
        <w:t>87</w:t>
      </w:r>
      <w:r>
        <w:t>.</w:t>
      </w:r>
      <w:r>
        <w:tab/>
        <w:t>Commissioner may apply for orders</w:t>
      </w:r>
      <w:bookmarkEnd w:id="190"/>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91" w:name="_Toc203745180"/>
      <w:r>
        <w:rPr>
          <w:rStyle w:val="CharSectno"/>
        </w:rPr>
        <w:t>88</w:t>
      </w:r>
      <w:r>
        <w:t>.</w:t>
      </w:r>
      <w:r>
        <w:tab/>
        <w:t>Fixing a hearing</w:t>
      </w:r>
      <w:bookmarkEnd w:id="191"/>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92" w:name="_Toc203745181"/>
      <w:r>
        <w:rPr>
          <w:rStyle w:val="CharSectno"/>
        </w:rPr>
        <w:t>89</w:t>
      </w:r>
      <w:r>
        <w:t>.</w:t>
      </w:r>
      <w:r>
        <w:tab/>
        <w:t>How application to be disposed of</w:t>
      </w:r>
      <w:bookmarkEnd w:id="192"/>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193" w:name="_Toc203745182"/>
      <w:r>
        <w:rPr>
          <w:rStyle w:val="CharSectno"/>
        </w:rPr>
        <w:t>90</w:t>
      </w:r>
      <w:r>
        <w:t>.</w:t>
      </w:r>
      <w:r>
        <w:tab/>
        <w:t>Court may make child protection orders</w:t>
      </w:r>
      <w:bookmarkEnd w:id="193"/>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94" w:name="_Toc203745183"/>
      <w:r>
        <w:rPr>
          <w:rStyle w:val="CharSectno"/>
        </w:rPr>
        <w:t>91</w:t>
      </w:r>
      <w:r>
        <w:t>.</w:t>
      </w:r>
      <w:r>
        <w:tab/>
        <w:t>Term of child protection orders</w:t>
      </w:r>
      <w:bookmarkEnd w:id="19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95" w:name="_Toc203745184"/>
      <w:r>
        <w:rPr>
          <w:rStyle w:val="CharSectno"/>
        </w:rPr>
        <w:t>92</w:t>
      </w:r>
      <w:r>
        <w:t>.</w:t>
      </w:r>
      <w:r>
        <w:tab/>
        <w:t>Interim child protection orders</w:t>
      </w:r>
      <w:bookmarkEnd w:id="195"/>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lastRenderedPageBreak/>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96" w:name="_Toc203745185"/>
      <w:r>
        <w:rPr>
          <w:rStyle w:val="CharSectno"/>
        </w:rPr>
        <w:t>93</w:t>
      </w:r>
      <w:r>
        <w:t>.</w:t>
      </w:r>
      <w:r>
        <w:tab/>
        <w:t>Conduct that may be subject of orders</w:t>
      </w:r>
      <w:bookmarkEnd w:id="196"/>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lastRenderedPageBreak/>
        <w:tab/>
        <w:t>(cb)</w:t>
      </w:r>
      <w:r>
        <w:tab/>
        <w:t>a person changing the place where the person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the person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from a place specified in the order — </w:t>
      </w:r>
    </w:p>
    <w:p>
      <w:pPr>
        <w:pStyle w:val="Indenta"/>
      </w:pPr>
      <w:r>
        <w:tab/>
        <w:t>(a)</w:t>
      </w:r>
      <w:r>
        <w:tab/>
        <w:t>in the manner set out in the order; or</w:t>
      </w:r>
    </w:p>
    <w:p>
      <w:pPr>
        <w:pStyle w:val="Indenta"/>
      </w:pPr>
      <w:r>
        <w:tab/>
        <w:t>(b)</w:t>
      </w:r>
      <w:r>
        <w:tab/>
        <w:t>in accordance with procedures prescribed.</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lastRenderedPageBreak/>
        <w:tab/>
        <w:t>[Section 93 amended: No. 54 of 2012 s. 32 and 42(2); No. 31 of 2024 s. 28; No. 35 of 2024 s. 59.]</w:t>
      </w:r>
    </w:p>
    <w:p>
      <w:pPr>
        <w:pStyle w:val="Heading5"/>
      </w:pPr>
      <w:bookmarkStart w:id="197" w:name="_Toc203745186"/>
      <w:r>
        <w:rPr>
          <w:rStyle w:val="CharSectno"/>
        </w:rPr>
        <w:t>94A</w:t>
      </w:r>
      <w:r>
        <w:t>.</w:t>
      </w:r>
      <w:r>
        <w:tab/>
        <w:t>Reportable offenders may be required to undergo assessment and treatment</w:t>
      </w:r>
      <w:bookmarkEnd w:id="197"/>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keepNext/>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lastRenderedPageBreak/>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8" w:name="_Toc203745187"/>
      <w:r>
        <w:rPr>
          <w:rStyle w:val="CharSectno"/>
        </w:rPr>
        <w:t>94B</w:t>
      </w:r>
      <w:r>
        <w:t>.</w:t>
      </w:r>
      <w:r>
        <w:tab/>
        <w:t>Reportable offenders may be required to submit to tests or give samples for analysis</w:t>
      </w:r>
      <w:bookmarkEnd w:id="198"/>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lastRenderedPageBreak/>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for this subsection: imprisonment for 2 years and a fine of $24 000.</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for this subsection: imprisonment for 12 months.</w:t>
      </w:r>
    </w:p>
    <w:p>
      <w:pPr>
        <w:pStyle w:val="Subsection"/>
        <w:keepNext/>
      </w:pPr>
      <w:r>
        <w:tab/>
        <w:t>(8)</w:t>
      </w:r>
      <w:r>
        <w:tab/>
        <w:t xml:space="preserve">The regulations may provide for the following matters — </w:t>
      </w:r>
    </w:p>
    <w:p>
      <w:pPr>
        <w:pStyle w:val="Indenta"/>
      </w:pPr>
      <w:r>
        <w:tab/>
        <w:t>(a)</w:t>
      </w:r>
      <w:r>
        <w:tab/>
        <w:t>the manner of making requirements under subsection (2);</w:t>
      </w:r>
    </w:p>
    <w:p>
      <w:pPr>
        <w:pStyle w:val="Indenta"/>
      </w:pPr>
      <w:r>
        <w:lastRenderedPageBreak/>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the person’s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 amended: No. 31 of 2024 s. 28; No. 35 of 2024 s. 46.]</w:t>
      </w:r>
    </w:p>
    <w:p>
      <w:pPr>
        <w:pStyle w:val="Heading5"/>
      </w:pPr>
      <w:bookmarkStart w:id="199" w:name="_Toc203745188"/>
      <w:r>
        <w:rPr>
          <w:rStyle w:val="CharSectno"/>
        </w:rPr>
        <w:lastRenderedPageBreak/>
        <w:t>94C</w:t>
      </w:r>
      <w:r>
        <w:t>.</w:t>
      </w:r>
      <w:r>
        <w:tab/>
        <w:t>Authorised police officers may enter premises to inspect electronic devices</w:t>
      </w:r>
      <w:bookmarkEnd w:id="199"/>
    </w:p>
    <w:p>
      <w:pPr>
        <w:pStyle w:val="Subsection"/>
        <w:keepNext/>
      </w:pPr>
      <w:r>
        <w:tab/>
        <w:t>(1)</w:t>
      </w:r>
      <w:r>
        <w:tab/>
        <w:t xml:space="preserve">In this section — </w:t>
      </w:r>
    </w:p>
    <w:p>
      <w:pPr>
        <w:pStyle w:val="Defstart"/>
      </w:pPr>
      <w:r>
        <w:tab/>
      </w:r>
      <w:r>
        <w:rPr>
          <w:rStyle w:val="CharDefText"/>
        </w:rPr>
        <w:t>generally resides</w:t>
      </w:r>
      <w:r>
        <w:t xml:space="preserve"> has the meaning given to that term in section 29A(1).</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electronic device that is at the premises; or</w:t>
      </w:r>
    </w:p>
    <w:p>
      <w:pPr>
        <w:pStyle w:val="Indenta"/>
      </w:pPr>
      <w:r>
        <w:tab/>
        <w:t>(b)</w:t>
      </w:r>
      <w:r>
        <w:tab/>
        <w:t>seize any electronic device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an electronic device; or</w:t>
      </w:r>
    </w:p>
    <w:p>
      <w:pPr>
        <w:pStyle w:val="Indenta"/>
        <w:spacing w:before="60"/>
      </w:pPr>
      <w:r>
        <w:tab/>
        <w:t>(b)</w:t>
      </w:r>
      <w:r>
        <w:tab/>
        <w:t>otherwise assist the officer to gain access to the electronic data stored in a or accessed through an electronic device.</w:t>
      </w:r>
    </w:p>
    <w:p>
      <w:pPr>
        <w:pStyle w:val="Penstart"/>
      </w:pPr>
      <w:r>
        <w:tab/>
        <w:t>Penalty for this subsection: imprisonment for 2 years and a fine of $24 000.</w:t>
      </w:r>
    </w:p>
    <w:p>
      <w:pPr>
        <w:pStyle w:val="Subsection"/>
      </w:pPr>
      <w:r>
        <w:tab/>
        <w:t>(5)</w:t>
      </w:r>
      <w:r>
        <w:tab/>
        <w:t xml:space="preserve">If a person is found guilty of an offence in relation to an electronic device under 1 or more of the following provisions, the electronic device is forfeited to the State — </w:t>
      </w:r>
    </w:p>
    <w:p>
      <w:pPr>
        <w:pStyle w:val="Indenta"/>
      </w:pPr>
      <w:r>
        <w:tab/>
        <w:t>(a)</w:t>
      </w:r>
      <w:r>
        <w:tab/>
        <w:t xml:space="preserve">under section 101(1) in relation to conduct of the kind referred to in subsection (2) of this section; </w:t>
      </w:r>
    </w:p>
    <w:p>
      <w:pPr>
        <w:pStyle w:val="Indenta"/>
      </w:pPr>
      <w:r>
        <w:tab/>
        <w:t>(b)</w:t>
      </w:r>
      <w:r>
        <w:tab/>
        <w:t>under subsection (4).</w:t>
      </w:r>
    </w:p>
    <w:p>
      <w:pPr>
        <w:pStyle w:val="Subsection"/>
        <w:spacing w:before="120"/>
      </w:pPr>
      <w:r>
        <w:lastRenderedPageBreak/>
        <w:tab/>
        <w:t>(6)</w:t>
      </w:r>
      <w:r>
        <w:tab/>
        <w:t xml:space="preserve">The </w:t>
      </w:r>
      <w:r>
        <w:rPr>
          <w:i/>
        </w:rPr>
        <w:t>Criminal and Found Property Disposal Act 2006</w:t>
      </w:r>
      <w:r>
        <w:t xml:space="preserve"> applies to and in relation to an electronic device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 amended: No. 35 of 2024 s. 47.]</w:t>
      </w:r>
    </w:p>
    <w:p>
      <w:pPr>
        <w:pStyle w:val="Heading5"/>
        <w:spacing w:before="200"/>
      </w:pPr>
      <w:bookmarkStart w:id="200" w:name="_Toc203745189"/>
      <w:r>
        <w:rPr>
          <w:rStyle w:val="CharSectno"/>
        </w:rPr>
        <w:t>94</w:t>
      </w:r>
      <w:r>
        <w:t>.</w:t>
      </w:r>
      <w:r>
        <w:tab/>
        <w:t>Explanation of orders</w:t>
      </w:r>
      <w:bookmarkEnd w:id="200"/>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the offender — </w:t>
      </w:r>
    </w:p>
    <w:p>
      <w:pPr>
        <w:pStyle w:val="Indenta"/>
        <w:spacing w:before="60"/>
      </w:pPr>
      <w:r>
        <w:tab/>
        <w:t>(a)</w:t>
      </w:r>
      <w:r>
        <w:tab/>
        <w:t>the offender’s obligations under the order; and</w:t>
      </w:r>
    </w:p>
    <w:p>
      <w:pPr>
        <w:pStyle w:val="Indenta"/>
      </w:pPr>
      <w:r>
        <w:tab/>
        <w:t>(b)</w:t>
      </w:r>
      <w:r>
        <w:tab/>
        <w:t>the consequences that may arise if the offender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 No. 31 of 2024 s. 28.]</w:t>
      </w:r>
    </w:p>
    <w:p>
      <w:pPr>
        <w:pStyle w:val="Heading5"/>
      </w:pPr>
      <w:bookmarkStart w:id="201" w:name="_Toc203745190"/>
      <w:r>
        <w:rPr>
          <w:rStyle w:val="CharSectno"/>
        </w:rPr>
        <w:t>95</w:t>
      </w:r>
      <w:r>
        <w:t>.</w:t>
      </w:r>
      <w:r>
        <w:tab/>
        <w:t>Consent orders</w:t>
      </w:r>
      <w:bookmarkEnd w:id="201"/>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lastRenderedPageBreak/>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202" w:name="_Toc203658275"/>
      <w:bookmarkStart w:id="203" w:name="_Toc203745191"/>
      <w:r>
        <w:rPr>
          <w:rStyle w:val="CharDivNo"/>
        </w:rPr>
        <w:t>Division 3</w:t>
      </w:r>
      <w:r>
        <w:t> — </w:t>
      </w:r>
      <w:r>
        <w:rPr>
          <w:rStyle w:val="CharDivText"/>
        </w:rPr>
        <w:t>Variation or revocation</w:t>
      </w:r>
      <w:bookmarkEnd w:id="202"/>
      <w:bookmarkEnd w:id="203"/>
    </w:p>
    <w:p>
      <w:pPr>
        <w:pStyle w:val="Heading5"/>
      </w:pPr>
      <w:bookmarkStart w:id="204" w:name="_Toc203745192"/>
      <w:r>
        <w:rPr>
          <w:rStyle w:val="CharSectno"/>
        </w:rPr>
        <w:t>96</w:t>
      </w:r>
      <w:r>
        <w:t>.</w:t>
      </w:r>
      <w:r>
        <w:tab/>
        <w:t>Variation or revocation of child protection orders</w:t>
      </w:r>
      <w:bookmarkEnd w:id="204"/>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lastRenderedPageBreak/>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205" w:name="_Toc203745193"/>
      <w:r>
        <w:rPr>
          <w:rStyle w:val="CharSectno"/>
        </w:rPr>
        <w:t>97</w:t>
      </w:r>
      <w:r>
        <w:t>.</w:t>
      </w:r>
      <w:r>
        <w:tab/>
        <w:t>Fixing a hearing</w:t>
      </w:r>
      <w:bookmarkEnd w:id="205"/>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06" w:name="_Toc203745194"/>
      <w:r>
        <w:rPr>
          <w:rStyle w:val="CharSectno"/>
        </w:rPr>
        <w:t>98</w:t>
      </w:r>
      <w:r>
        <w:t>.</w:t>
      </w:r>
      <w:r>
        <w:tab/>
        <w:t>How application to be disposed of</w:t>
      </w:r>
      <w:bookmarkEnd w:id="206"/>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lastRenderedPageBreak/>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7" w:name="_Toc203658279"/>
      <w:bookmarkStart w:id="208" w:name="_Toc203745195"/>
      <w:r>
        <w:rPr>
          <w:rStyle w:val="CharDivNo"/>
        </w:rPr>
        <w:t>Division 4</w:t>
      </w:r>
      <w:r>
        <w:t> — </w:t>
      </w:r>
      <w:r>
        <w:rPr>
          <w:rStyle w:val="CharDivText"/>
        </w:rPr>
        <w:t>Attendance at hearings</w:t>
      </w:r>
      <w:bookmarkEnd w:id="207"/>
      <w:bookmarkEnd w:id="208"/>
    </w:p>
    <w:p>
      <w:pPr>
        <w:pStyle w:val="Heading5"/>
      </w:pPr>
      <w:bookmarkStart w:id="209" w:name="_Toc203745196"/>
      <w:r>
        <w:rPr>
          <w:rStyle w:val="CharSectno"/>
        </w:rPr>
        <w:t>99</w:t>
      </w:r>
      <w:r>
        <w:t>.</w:t>
      </w:r>
      <w:r>
        <w:tab/>
        <w:t>Attendance at hearings</w:t>
      </w:r>
      <w:bookmarkEnd w:id="20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10" w:name="_Toc203745197"/>
      <w:r>
        <w:rPr>
          <w:rStyle w:val="CharSectno"/>
        </w:rPr>
        <w:t>100</w:t>
      </w:r>
      <w:r>
        <w:t>.</w:t>
      </w:r>
      <w:r>
        <w:tab/>
        <w:t>Notification of orders made in absence of respondent</w:t>
      </w:r>
      <w:bookmarkEnd w:id="210"/>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11" w:name="_Toc203658282"/>
      <w:bookmarkStart w:id="212" w:name="_Toc203745198"/>
      <w:r>
        <w:rPr>
          <w:rStyle w:val="CharDivNo"/>
        </w:rPr>
        <w:lastRenderedPageBreak/>
        <w:t>Division 5</w:t>
      </w:r>
      <w:r>
        <w:t> — </w:t>
      </w:r>
      <w:r>
        <w:rPr>
          <w:rStyle w:val="CharDivText"/>
        </w:rPr>
        <w:t>Offence</w:t>
      </w:r>
      <w:bookmarkEnd w:id="211"/>
      <w:bookmarkEnd w:id="212"/>
    </w:p>
    <w:p>
      <w:pPr>
        <w:pStyle w:val="Heading5"/>
      </w:pPr>
      <w:bookmarkStart w:id="213" w:name="_Toc203745199"/>
      <w:r>
        <w:rPr>
          <w:rStyle w:val="CharSectno"/>
        </w:rPr>
        <w:t>101</w:t>
      </w:r>
      <w:r>
        <w:t>.</w:t>
      </w:r>
      <w:r>
        <w:tab/>
        <w:t>Failure to comply with orders</w:t>
      </w:r>
      <w:bookmarkEnd w:id="213"/>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for this subsection: imprisonment for 5 years.</w:t>
      </w:r>
    </w:p>
    <w:p>
      <w:pPr>
        <w:pStyle w:val="Penstart"/>
      </w:pPr>
      <w:r>
        <w:tab/>
        <w:t>Summary conviction penalty for this subsection: imprisonment for 2 years and a fine of $24 000.</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 No. 35 of 2024 s. 48.]</w:t>
      </w:r>
    </w:p>
    <w:p>
      <w:pPr>
        <w:pStyle w:val="Heading3"/>
      </w:pPr>
      <w:bookmarkStart w:id="214" w:name="_Toc203658284"/>
      <w:bookmarkStart w:id="215" w:name="_Toc203745200"/>
      <w:r>
        <w:rPr>
          <w:rStyle w:val="CharDivNo"/>
        </w:rPr>
        <w:t>Division 6</w:t>
      </w:r>
      <w:r>
        <w:t> — </w:t>
      </w:r>
      <w:r>
        <w:rPr>
          <w:rStyle w:val="CharDivText"/>
        </w:rPr>
        <w:t>Appeals</w:t>
      </w:r>
      <w:bookmarkEnd w:id="214"/>
      <w:bookmarkEnd w:id="215"/>
    </w:p>
    <w:p>
      <w:pPr>
        <w:pStyle w:val="Heading5"/>
      </w:pPr>
      <w:bookmarkStart w:id="216" w:name="_Toc203745201"/>
      <w:r>
        <w:rPr>
          <w:rStyle w:val="CharSectno"/>
        </w:rPr>
        <w:t>102</w:t>
      </w:r>
      <w:r>
        <w:t>.</w:t>
      </w:r>
      <w:r>
        <w:tab/>
        <w:t>Appeals</w:t>
      </w:r>
      <w:bookmarkEnd w:id="21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keepLines/>
        <w:spacing w:before="120"/>
      </w:pPr>
      <w:r>
        <w:lastRenderedPageBreak/>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217" w:name="_Toc203745202"/>
      <w:r>
        <w:rPr>
          <w:rStyle w:val="CharSectno"/>
        </w:rPr>
        <w:t>103</w:t>
      </w:r>
      <w:r>
        <w:t>.</w:t>
      </w:r>
      <w:r>
        <w:tab/>
        <w:t>Appeal does not stay order</w:t>
      </w:r>
      <w:bookmarkEnd w:id="217"/>
    </w:p>
    <w:p>
      <w:pPr>
        <w:pStyle w:val="Subsection"/>
      </w:pPr>
      <w:r>
        <w:tab/>
      </w:r>
      <w:r>
        <w:tab/>
        <w:t>An appeal against an order made under this Part does not operate to stay the operation of the order unless the court to which the appeal is made so orders.</w:t>
      </w:r>
    </w:p>
    <w:p>
      <w:pPr>
        <w:pStyle w:val="Heading3"/>
      </w:pPr>
      <w:bookmarkStart w:id="218" w:name="_Toc203658287"/>
      <w:bookmarkStart w:id="219" w:name="_Toc203745203"/>
      <w:r>
        <w:rPr>
          <w:rStyle w:val="CharDivNo"/>
        </w:rPr>
        <w:t>Division 7 </w:t>
      </w:r>
      <w:r>
        <w:t>—</w:t>
      </w:r>
      <w:r>
        <w:rPr>
          <w:rStyle w:val="CharDivText"/>
        </w:rPr>
        <w:t> Miscellaneous</w:t>
      </w:r>
      <w:bookmarkEnd w:id="218"/>
      <w:bookmarkEnd w:id="219"/>
    </w:p>
    <w:p>
      <w:pPr>
        <w:pStyle w:val="Heading5"/>
      </w:pPr>
      <w:bookmarkStart w:id="220" w:name="_Toc203745204"/>
      <w:r>
        <w:rPr>
          <w:rStyle w:val="CharSectno"/>
        </w:rPr>
        <w:t>104</w:t>
      </w:r>
      <w:r>
        <w:t>.</w:t>
      </w:r>
      <w:r>
        <w:tab/>
        <w:t>Applications not to be heard in public</w:t>
      </w:r>
      <w:bookmarkEnd w:id="22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21" w:name="_Toc203745205"/>
      <w:r>
        <w:rPr>
          <w:rStyle w:val="CharSectno"/>
        </w:rPr>
        <w:lastRenderedPageBreak/>
        <w:t>106</w:t>
      </w:r>
      <w:r>
        <w:t>.</w:t>
      </w:r>
      <w:r>
        <w:tab/>
        <w:t>Restriction on publication of identity of reportable offenders and victims</w:t>
      </w:r>
      <w:bookmarkEnd w:id="221"/>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for this subsection: imprisonment for 2 years and a fine of $24 000.</w:t>
      </w:r>
    </w:p>
    <w:p>
      <w:pPr>
        <w:pStyle w:val="Subsection"/>
      </w:pPr>
      <w:r>
        <w:tab/>
        <w:t>(2)</w:t>
      </w:r>
      <w:r>
        <w:tab/>
        <w:t>Subsection (1) does not apply in relation to the publication of any matter with the authority of the court to which the application was made or any publication by a person of the person’s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lastRenderedPageBreak/>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 No. 31 of 2024 s. 28; No. 35 of 2024 s. 49.]</w:t>
      </w:r>
    </w:p>
    <w:p>
      <w:pPr>
        <w:pStyle w:val="Heading5"/>
      </w:pPr>
      <w:bookmarkStart w:id="222" w:name="_Toc203745206"/>
      <w:r>
        <w:rPr>
          <w:rStyle w:val="CharSectno"/>
        </w:rPr>
        <w:t>107</w:t>
      </w:r>
      <w:r>
        <w:t>.</w:t>
      </w:r>
      <w:r>
        <w:tab/>
        <w:t>Protection orders have no effect to extent of inconsistency with certain other orders</w:t>
      </w:r>
      <w:bookmarkEnd w:id="222"/>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3" w:name="_Toc203745207"/>
      <w:r>
        <w:rPr>
          <w:rStyle w:val="CharSectno"/>
        </w:rPr>
        <w:lastRenderedPageBreak/>
        <w:t>108</w:t>
      </w:r>
      <w:r>
        <w:t>.</w:t>
      </w:r>
      <w:r>
        <w:tab/>
        <w:t>Recognition of protection orders made in other jurisdictions</w:t>
      </w:r>
      <w:bookmarkEnd w:id="223"/>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4" w:name="_Toc180506641"/>
      <w:bookmarkStart w:id="225" w:name="_Toc180506833"/>
      <w:bookmarkStart w:id="226" w:name="_Toc180507025"/>
      <w:bookmarkStart w:id="227" w:name="_Toc203745208"/>
      <w:bookmarkStart w:id="228" w:name="_Toc203658292"/>
      <w:r>
        <w:rPr>
          <w:rStyle w:val="CharPartNo"/>
        </w:rPr>
        <w:lastRenderedPageBreak/>
        <w:t>Part 5B</w:t>
      </w:r>
      <w:r>
        <w:rPr>
          <w:rStyle w:val="CharDivNo"/>
        </w:rPr>
        <w:t> </w:t>
      </w:r>
      <w:r>
        <w:t>—</w:t>
      </w:r>
      <w:r>
        <w:rPr>
          <w:rStyle w:val="CharDivText"/>
        </w:rPr>
        <w:t> </w:t>
      </w:r>
      <w:r>
        <w:rPr>
          <w:rStyle w:val="CharPartText"/>
        </w:rPr>
        <w:t>Power to enter and search premises and vehicles in relation to serious reportable offenders</w:t>
      </w:r>
      <w:bookmarkEnd w:id="224"/>
      <w:bookmarkEnd w:id="225"/>
      <w:bookmarkEnd w:id="226"/>
      <w:bookmarkEnd w:id="227"/>
    </w:p>
    <w:p>
      <w:pPr>
        <w:pStyle w:val="Footnoteheading"/>
      </w:pPr>
      <w:bookmarkStart w:id="229" w:name="_Toc180507026"/>
      <w:r>
        <w:tab/>
        <w:t>[Heading inserted: No. 35 of 2024 s. 50.]</w:t>
      </w:r>
    </w:p>
    <w:p>
      <w:pPr>
        <w:pStyle w:val="Heading5"/>
      </w:pPr>
      <w:bookmarkStart w:id="230" w:name="_Toc203745209"/>
      <w:r>
        <w:rPr>
          <w:rStyle w:val="CharSectno"/>
        </w:rPr>
        <w:t>108A</w:t>
      </w:r>
      <w:r>
        <w:t>.</w:t>
      </w:r>
      <w:r>
        <w:tab/>
        <w:t>Serious reportable offenders</w:t>
      </w:r>
      <w:bookmarkEnd w:id="229"/>
      <w:bookmarkEnd w:id="230"/>
    </w:p>
    <w:p>
      <w:pPr>
        <w:pStyle w:val="Subsection"/>
      </w:pPr>
      <w:r>
        <w:tab/>
        <w:t>(1)</w:t>
      </w:r>
      <w:r>
        <w:tab/>
        <w:t xml:space="preserve">For the purposes of this Part, a reportable offender is a </w:t>
      </w:r>
      <w:r>
        <w:rPr>
          <w:rStyle w:val="CharDefText"/>
        </w:rPr>
        <w:t>serious reportable offender</w:t>
      </w:r>
      <w:r>
        <w:t xml:space="preserve"> if —</w:t>
      </w:r>
    </w:p>
    <w:p>
      <w:pPr>
        <w:pStyle w:val="Indenta"/>
      </w:pPr>
      <w:r>
        <w:tab/>
        <w:t>(a)</w:t>
      </w:r>
      <w:r>
        <w:tab/>
        <w:t>the offender’s reporting period has not ended; and</w:t>
      </w:r>
    </w:p>
    <w:p>
      <w:pPr>
        <w:pStyle w:val="Indenta"/>
      </w:pPr>
      <w:r>
        <w:tab/>
        <w:t>(b)</w:t>
      </w:r>
      <w:r>
        <w:tab/>
        <w:t xml:space="preserve">the offender’s reporting obligations are not suspended under section 44, 53 or 61; and </w:t>
      </w:r>
    </w:p>
    <w:p>
      <w:pPr>
        <w:pStyle w:val="Indenta"/>
      </w:pPr>
      <w:r>
        <w:tab/>
        <w:t>(c)</w:t>
      </w:r>
      <w:r>
        <w:tab/>
        <w:t xml:space="preserve">the offender has been sentenced for any of the following — </w:t>
      </w:r>
    </w:p>
    <w:p>
      <w:pPr>
        <w:pStyle w:val="Indenti"/>
      </w:pPr>
      <w:r>
        <w:tab/>
        <w:t>(i)</w:t>
      </w:r>
      <w:r>
        <w:tab/>
        <w:t>a single Class 1 offence;</w:t>
      </w:r>
    </w:p>
    <w:p>
      <w:pPr>
        <w:pStyle w:val="Indenti"/>
        <w:rPr>
          <w:bCs/>
          <w:iCs/>
        </w:rPr>
      </w:pPr>
      <w:r>
        <w:tab/>
        <w:t>(ii)</w:t>
      </w:r>
      <w:r>
        <w:tab/>
        <w:t xml:space="preserve">a single Class 2 offence against </w:t>
      </w:r>
      <w:r>
        <w:rPr>
          <w:i/>
          <w:iCs/>
        </w:rPr>
        <w:t>The Criminal Code</w:t>
      </w:r>
      <w:r>
        <w:t xml:space="preserve"> section 204A, 204B(2), 204B(3), 217, 218, 219, 220, 320(6), 321(6) or 322(6);</w:t>
      </w:r>
      <w:r>
        <w:rPr>
          <w:bCs/>
          <w:iCs/>
        </w:rPr>
        <w:t xml:space="preserve"> </w:t>
      </w:r>
    </w:p>
    <w:p>
      <w:pPr>
        <w:pStyle w:val="Indenti"/>
      </w:pPr>
      <w:r>
        <w:tab/>
        <w:t>(iii)</w:t>
      </w:r>
      <w:r>
        <w:tab/>
        <w:t xml:space="preserve">a single offence under a law of a foreign jurisdiction, the elements of which, if they had occurred in Western Australia, would have constituted an offence of a kind referred to in subparagraph (ii); </w:t>
      </w:r>
    </w:p>
    <w:p>
      <w:pPr>
        <w:pStyle w:val="Indenti"/>
      </w:pPr>
      <w:r>
        <w:tab/>
        <w:t>(iv)</w:t>
      </w:r>
      <w:r>
        <w:tab/>
        <w:t>a single prescribed offence under a law of a foreign jurisdiction, the elements of which are similar to an offence of a kind referred to in subparagraph (ii);</w:t>
      </w:r>
    </w:p>
    <w:p>
      <w:pPr>
        <w:pStyle w:val="Indenti"/>
      </w:pPr>
      <w:r>
        <w:tab/>
        <w:t>(v)</w:t>
      </w:r>
      <w:r>
        <w:tab/>
        <w:t>2 or more reportable offences.</w:t>
      </w:r>
    </w:p>
    <w:p>
      <w:pPr>
        <w:pStyle w:val="Subsection"/>
      </w:pPr>
      <w:r>
        <w:tab/>
        <w:t>(2)</w:t>
      </w:r>
      <w:r>
        <w:tab/>
        <w:t>For the purposes of subsection (1)(c)(v), 2 or more offences arising from the same incident are to be treated as a single offence.</w:t>
      </w:r>
    </w:p>
    <w:p>
      <w:pPr>
        <w:pStyle w:val="Footnotesection"/>
      </w:pPr>
      <w:bookmarkStart w:id="231" w:name="_Toc180507027"/>
      <w:r>
        <w:tab/>
        <w:t>[Section 108A inserted: No. 35 of 2024 s. 50.]</w:t>
      </w:r>
    </w:p>
    <w:p>
      <w:pPr>
        <w:pStyle w:val="Heading5"/>
      </w:pPr>
      <w:bookmarkStart w:id="232" w:name="_Toc203745210"/>
      <w:r>
        <w:rPr>
          <w:rStyle w:val="CharSectno"/>
        </w:rPr>
        <w:lastRenderedPageBreak/>
        <w:t>108B</w:t>
      </w:r>
      <w:r>
        <w:t>.</w:t>
      </w:r>
      <w:r>
        <w:tab/>
        <w:t>Restriction on exercise of powers under Part</w:t>
      </w:r>
      <w:bookmarkEnd w:id="231"/>
      <w:bookmarkEnd w:id="232"/>
    </w:p>
    <w:p>
      <w:pPr>
        <w:pStyle w:val="Subsection"/>
      </w:pPr>
      <w:r>
        <w:tab/>
      </w:r>
      <w:r>
        <w:tab/>
        <w:t xml:space="preserve">A power under this Part must not be exercised unless it is exercised — </w:t>
      </w:r>
    </w:p>
    <w:p>
      <w:pPr>
        <w:pStyle w:val="Indenta"/>
      </w:pPr>
      <w:r>
        <w:tab/>
        <w:t>(a)</w:t>
      </w:r>
      <w:r>
        <w:tab/>
        <w:t xml:space="preserve">for the purpose of monitoring a serious reportable offender’s compliance with this Act; and </w:t>
      </w:r>
    </w:p>
    <w:p>
      <w:pPr>
        <w:pStyle w:val="Indenta"/>
      </w:pPr>
      <w:r>
        <w:tab/>
        <w:t>(b)</w:t>
      </w:r>
      <w:r>
        <w:tab/>
        <w:t xml:space="preserve">with the written approval of a police officer of, or acting in, the rank of an inspector or a higher rank. </w:t>
      </w:r>
    </w:p>
    <w:p>
      <w:pPr>
        <w:pStyle w:val="Footnotesection"/>
      </w:pPr>
      <w:bookmarkStart w:id="233" w:name="_Toc180507028"/>
      <w:r>
        <w:tab/>
        <w:t>[Section 108B inserted: No. 35 of 2024 s. 50.]</w:t>
      </w:r>
    </w:p>
    <w:p>
      <w:pPr>
        <w:pStyle w:val="Heading5"/>
      </w:pPr>
      <w:bookmarkStart w:id="234" w:name="_Toc203745211"/>
      <w:r>
        <w:rPr>
          <w:rStyle w:val="CharSectno"/>
        </w:rPr>
        <w:t>108C</w:t>
      </w:r>
      <w:r>
        <w:t>.</w:t>
      </w:r>
      <w:r>
        <w:tab/>
        <w:t>Additional police powers in relation to serious reportable offenders may be exercised without warrant</w:t>
      </w:r>
      <w:bookmarkEnd w:id="233"/>
      <w:bookmarkEnd w:id="234"/>
    </w:p>
    <w:p>
      <w:pPr>
        <w:pStyle w:val="Subsection"/>
      </w:pPr>
      <w:r>
        <w:tab/>
      </w:r>
      <w:r>
        <w:tab/>
        <w:t xml:space="preserve">The powers that a police officer may exercise under this Part — </w:t>
      </w:r>
    </w:p>
    <w:p>
      <w:pPr>
        <w:pStyle w:val="Indenta"/>
      </w:pPr>
      <w:r>
        <w:tab/>
        <w:t>(a)</w:t>
      </w:r>
      <w:r>
        <w:tab/>
        <w:t>are in addition to, and do not limit, the powers that a police officer has under this Act or any other law; and</w:t>
      </w:r>
    </w:p>
    <w:p>
      <w:pPr>
        <w:pStyle w:val="Indenta"/>
      </w:pPr>
      <w:r>
        <w:tab/>
        <w:t>(b)</w:t>
      </w:r>
      <w:r>
        <w:tab/>
        <w:t>may be exercised by a police officer without a warrant.</w:t>
      </w:r>
    </w:p>
    <w:p>
      <w:pPr>
        <w:pStyle w:val="Footnotesection"/>
      </w:pPr>
      <w:bookmarkStart w:id="235" w:name="_Toc180507029"/>
      <w:r>
        <w:tab/>
        <w:t>[Section 108C inserted: No. 35 of 2024 s. 50.]</w:t>
      </w:r>
    </w:p>
    <w:p>
      <w:pPr>
        <w:pStyle w:val="Heading5"/>
      </w:pPr>
      <w:bookmarkStart w:id="236" w:name="_Toc203745212"/>
      <w:r>
        <w:rPr>
          <w:rStyle w:val="CharSectno"/>
        </w:rPr>
        <w:t>108D</w:t>
      </w:r>
      <w:r>
        <w:t>.</w:t>
      </w:r>
      <w:r>
        <w:tab/>
        <w:t>Use of force when exercising powers under this Part</w:t>
      </w:r>
      <w:bookmarkEnd w:id="235"/>
      <w:bookmarkEnd w:id="236"/>
    </w:p>
    <w:p>
      <w:pPr>
        <w:pStyle w:val="Subsection"/>
      </w:pPr>
      <w:r>
        <w:tab/>
        <w:t>(1)</w:t>
      </w:r>
      <w:r>
        <w:tab/>
        <w:t xml:space="preserve">When exercising a power under this Part, a police officer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police officer uses force, the force may be of a kind that causes damage to the property of another person.</w:t>
      </w:r>
    </w:p>
    <w:p>
      <w:pPr>
        <w:pStyle w:val="Subsection"/>
      </w:pPr>
      <w:r>
        <w:tab/>
        <w:t>(3)</w:t>
      </w:r>
      <w:r>
        <w:tab/>
        <w:t xml:space="preserve">Any use of force under subsection (1) against a person is subject to </w:t>
      </w:r>
      <w:r>
        <w:rPr>
          <w:i/>
          <w:iCs/>
        </w:rPr>
        <w:t xml:space="preserve">The Criminal Code </w:t>
      </w:r>
      <w:r>
        <w:t>Chapter XXVI.</w:t>
      </w:r>
    </w:p>
    <w:p>
      <w:pPr>
        <w:pStyle w:val="Footnotesection"/>
      </w:pPr>
      <w:bookmarkStart w:id="237" w:name="_Toc180507030"/>
      <w:r>
        <w:lastRenderedPageBreak/>
        <w:tab/>
        <w:t>[Section 108D inserted: No. 35 of 2024 s. 50.]</w:t>
      </w:r>
    </w:p>
    <w:p>
      <w:pPr>
        <w:pStyle w:val="Heading5"/>
      </w:pPr>
      <w:bookmarkStart w:id="238" w:name="_Toc203745213"/>
      <w:r>
        <w:rPr>
          <w:rStyle w:val="CharSectno"/>
        </w:rPr>
        <w:t>108E</w:t>
      </w:r>
      <w:r>
        <w:t>.</w:t>
      </w:r>
      <w:r>
        <w:tab/>
        <w:t>Entry to and search of premises and vehicles in relation to serious reportable offenders</w:t>
      </w:r>
      <w:bookmarkEnd w:id="237"/>
      <w:bookmarkEnd w:id="238"/>
      <w:r>
        <w:t xml:space="preserve"> </w:t>
      </w:r>
    </w:p>
    <w:p>
      <w:pPr>
        <w:pStyle w:val="Subsection"/>
      </w:pPr>
      <w:r>
        <w:tab/>
        <w:t>(1)</w:t>
      </w:r>
      <w:r>
        <w:tab/>
        <w:t xml:space="preserve">A police officer may exercise 1 or more of the following powers if the officer reasonably suspects premises are occupied by, or under the management or control of, a serious reportable offender — </w:t>
      </w:r>
    </w:p>
    <w:p>
      <w:pPr>
        <w:pStyle w:val="Indenta"/>
      </w:pPr>
      <w:r>
        <w:tab/>
        <w:t>(a)</w:t>
      </w:r>
      <w:r>
        <w:tab/>
        <w:t>enter and search the premises, including entering and searching a vehicle at the premises;</w:t>
      </w:r>
    </w:p>
    <w:p>
      <w:pPr>
        <w:pStyle w:val="Indenta"/>
      </w:pPr>
      <w:r>
        <w:tab/>
        <w:t>(b)</w:t>
      </w:r>
      <w:r>
        <w:tab/>
        <w:t>enter and search a vehicle occupied by, or under the management or control of, a serious reportable offender if the vehicle is parked in the neighbourhood where the premises are located.</w:t>
      </w:r>
    </w:p>
    <w:p>
      <w:pPr>
        <w:pStyle w:val="Subsection"/>
      </w:pPr>
      <w:r>
        <w:tab/>
        <w:t>(2)</w:t>
      </w:r>
      <w:r>
        <w:tab/>
        <w:t xml:space="preserve">A police officer who enters or searches the premises or the vehicle may do 1 or more of the following — </w:t>
      </w:r>
    </w:p>
    <w:p>
      <w:pPr>
        <w:pStyle w:val="Indenta"/>
      </w:pPr>
      <w:r>
        <w:tab/>
        <w:t>(a)</w:t>
      </w:r>
      <w:r>
        <w:tab/>
        <w:t xml:space="preserve">inspect any electronic device that is at the premises or in the vehicle; </w:t>
      </w:r>
    </w:p>
    <w:p>
      <w:pPr>
        <w:pStyle w:val="Indenta"/>
      </w:pPr>
      <w:r>
        <w:tab/>
        <w:t>(b)</w:t>
      </w:r>
      <w:r>
        <w:tab/>
        <w:t>seize any electronic device at the premises or in the vehicle and remove it from the premises or vehicle for the purpose of inspecting it;</w:t>
      </w:r>
    </w:p>
    <w:p>
      <w:pPr>
        <w:pStyle w:val="Indenta"/>
      </w:pPr>
      <w:r>
        <w:tab/>
        <w:t>(c)</w:t>
      </w:r>
      <w:r>
        <w:tab/>
        <w:t>require that the serious reportable offender must remain at the premises or near the vehicle for the duration of the entry and search of the premises or vehicle.</w:t>
      </w:r>
    </w:p>
    <w:p>
      <w:pPr>
        <w:pStyle w:val="Subsection"/>
      </w:pPr>
      <w:r>
        <w:tab/>
        <w:t>(3)</w:t>
      </w:r>
      <w:r>
        <w:tab/>
        <w:t>If a requirement is made under subsection (2)(c) to a serious reportable offender, the offender must remain at the premises or near the vehicle for the duration of the entry and search of the premises or vehicle.</w:t>
      </w:r>
    </w:p>
    <w:p>
      <w:pPr>
        <w:pStyle w:val="Penstart"/>
      </w:pPr>
      <w:r>
        <w:tab/>
        <w:t>Penalty for this subsection: imprisonment for 2 years and a fine of $24 000.</w:t>
      </w:r>
    </w:p>
    <w:p>
      <w:pPr>
        <w:pStyle w:val="Subsection"/>
        <w:keepNext/>
      </w:pPr>
      <w:r>
        <w:lastRenderedPageBreak/>
        <w:tab/>
        <w:t>(4)</w:t>
      </w:r>
      <w:r>
        <w:tab/>
        <w:t xml:space="preserve">The power given to search premises or a vehicle includes the power to break open — </w:t>
      </w:r>
    </w:p>
    <w:p>
      <w:pPr>
        <w:pStyle w:val="Indenta"/>
      </w:pPr>
      <w:r>
        <w:tab/>
        <w:t>(a)</w:t>
      </w:r>
      <w:r>
        <w:tab/>
        <w:t xml:space="preserve">any part of the premises or vehicle; or </w:t>
      </w:r>
    </w:p>
    <w:p>
      <w:pPr>
        <w:pStyle w:val="Indenta"/>
      </w:pPr>
      <w:r>
        <w:tab/>
        <w:t>(b)</w:t>
      </w:r>
      <w:r>
        <w:tab/>
        <w:t>any thing at the premises or in the vehicle.</w:t>
      </w:r>
    </w:p>
    <w:p>
      <w:pPr>
        <w:pStyle w:val="Subsection"/>
      </w:pPr>
      <w:r>
        <w:tab/>
        <w:t>(5)</w:t>
      </w:r>
      <w:r>
        <w:tab/>
        <w:t xml:space="preserve">If required by a police officer inspecting or seizing an electronic device under subsection (2), a serious reportable offender must do 1 or more of the following as required by the police officer — </w:t>
      </w:r>
    </w:p>
    <w:p>
      <w:pPr>
        <w:pStyle w:val="Indenta"/>
      </w:pPr>
      <w:r>
        <w:tab/>
        <w:t>(a)</w:t>
      </w:r>
      <w:r>
        <w:tab/>
        <w:t xml:space="preserve">provide the officer with any user name, code, password or other information known to the offender that is needed to gain access to the electronic data — </w:t>
      </w:r>
    </w:p>
    <w:p>
      <w:pPr>
        <w:pStyle w:val="Indenti"/>
      </w:pPr>
      <w:r>
        <w:tab/>
        <w:t>(i)</w:t>
      </w:r>
      <w:r>
        <w:tab/>
        <w:t xml:space="preserve">that is stored in the electronic device; or </w:t>
      </w:r>
    </w:p>
    <w:p>
      <w:pPr>
        <w:pStyle w:val="Indenti"/>
      </w:pPr>
      <w:r>
        <w:tab/>
        <w:t>(ii)</w:t>
      </w:r>
      <w:r>
        <w:tab/>
        <w:t xml:space="preserve">that is accessed through the electronic device; </w:t>
      </w:r>
    </w:p>
    <w:p>
      <w:pPr>
        <w:pStyle w:val="Indenta"/>
      </w:pPr>
      <w:r>
        <w:tab/>
        <w:t>(b)</w:t>
      </w:r>
      <w:r>
        <w:tab/>
        <w:t>otherwise assist the officer to gain access to the electronic data referred to in paragraph (a).</w:t>
      </w:r>
    </w:p>
    <w:p>
      <w:pPr>
        <w:pStyle w:val="Penstart"/>
      </w:pPr>
      <w:r>
        <w:tab/>
        <w:t>Penalty for this subsection: imprisonment for 2 years and a fine of $24 000.</w:t>
      </w:r>
    </w:p>
    <w:p>
      <w:pPr>
        <w:pStyle w:val="PermNoteHeading"/>
      </w:pPr>
      <w:r>
        <w:tab/>
        <w:t>Example for this subsection:</w:t>
      </w:r>
    </w:p>
    <w:p>
      <w:pPr>
        <w:pStyle w:val="PermNoteText"/>
      </w:pPr>
      <w:r>
        <w:tab/>
      </w:r>
      <w:r>
        <w:tab/>
        <w:t>For the purposes of paragraph (a)(ii) — electronic data stored on cloud storage.</w:t>
      </w:r>
    </w:p>
    <w:p>
      <w:pPr>
        <w:pStyle w:val="Subsection"/>
      </w:pPr>
      <w:r>
        <w:tab/>
        <w:t>(6)</w:t>
      </w:r>
      <w:r>
        <w:tab/>
        <w:t>A police officer is authorised to use for the purposes of this Part any user name, code, password or other information provided under subsection (5) or reported under Part 3 by a serious reportable offender.</w:t>
      </w:r>
    </w:p>
    <w:p>
      <w:pPr>
        <w:pStyle w:val="Subsection"/>
      </w:pPr>
      <w:r>
        <w:tab/>
        <w:t>(7)</w:t>
      </w:r>
      <w:r>
        <w:tab/>
        <w:t>If a person is found guilty of an offence under subsection (5) in relation to an electronic device, the electronic device is forfeited to the State.</w:t>
      </w:r>
    </w:p>
    <w:p>
      <w:pPr>
        <w:pStyle w:val="Footnotesection"/>
      </w:pPr>
      <w:bookmarkStart w:id="239" w:name="_Toc180507031"/>
      <w:r>
        <w:tab/>
        <w:t>[Section 108E inserted: No. 35 of 2024 s. 50.]</w:t>
      </w:r>
    </w:p>
    <w:p>
      <w:pPr>
        <w:pStyle w:val="Heading5"/>
      </w:pPr>
      <w:bookmarkStart w:id="240" w:name="_Toc203745214"/>
      <w:r>
        <w:rPr>
          <w:rStyle w:val="CharSectno"/>
        </w:rPr>
        <w:lastRenderedPageBreak/>
        <w:t>108F</w:t>
      </w:r>
      <w:r>
        <w:t>.</w:t>
      </w:r>
      <w:r>
        <w:tab/>
        <w:t>Power to seize things relevant to offences</w:t>
      </w:r>
      <w:bookmarkEnd w:id="239"/>
      <w:bookmarkEnd w:id="240"/>
    </w:p>
    <w:p>
      <w:pPr>
        <w:pStyle w:val="Subsection"/>
        <w:keepNext/>
      </w:pPr>
      <w:r>
        <w:tab/>
        <w:t>(1)</w:t>
      </w:r>
      <w:r>
        <w:tab/>
        <w:t xml:space="preserve">In this section — </w:t>
      </w:r>
    </w:p>
    <w:p>
      <w:pPr>
        <w:pStyle w:val="Defstart"/>
      </w:pPr>
      <w:r>
        <w:tab/>
      </w:r>
      <w:r>
        <w:rPr>
          <w:rStyle w:val="CharDefText"/>
        </w:rPr>
        <w:t>thing relevant to an offence</w:t>
      </w:r>
      <w:r>
        <w:t xml:space="preserve"> has the meaning given in the </w:t>
      </w:r>
      <w:r>
        <w:rPr>
          <w:i/>
          <w:iCs/>
        </w:rPr>
        <w:t>Criminal Investigation Act 2006</w:t>
      </w:r>
      <w:r>
        <w:t> section 5.</w:t>
      </w:r>
    </w:p>
    <w:p>
      <w:pPr>
        <w:pStyle w:val="Subsection"/>
      </w:pPr>
      <w:r>
        <w:tab/>
        <w:t>(2)</w:t>
      </w:r>
      <w:r>
        <w:tab/>
        <w:t xml:space="preserve">If a police officer doing a search under this Part finds a thing relevant to an offence, the police officer may seize it if the police officer has 1 or more of the reasonable suspicions set out in the </w:t>
      </w:r>
      <w:r>
        <w:rPr>
          <w:i/>
          <w:iCs/>
        </w:rPr>
        <w:t>Criminal Investigation Act 2006</w:t>
      </w:r>
      <w:r>
        <w:t xml:space="preserve"> section 146. </w:t>
      </w:r>
    </w:p>
    <w:p>
      <w:pPr>
        <w:pStyle w:val="Subsection"/>
      </w:pPr>
      <w:r>
        <w:tab/>
        <w:t>(3)</w:t>
      </w:r>
      <w:r>
        <w:tab/>
        <w:t>The </w:t>
      </w:r>
      <w:r>
        <w:rPr>
          <w:i/>
          <w:iCs/>
        </w:rPr>
        <w:t>Criminal Investigation Act 2006</w:t>
      </w:r>
      <w:r>
        <w:t> sections 147 to 152 apply to and in respect of the seizing of a thing under this Part as if it were the seizing under that Act of a thing relevant to an offence.</w:t>
      </w:r>
    </w:p>
    <w:p>
      <w:pPr>
        <w:pStyle w:val="Footnotesection"/>
      </w:pPr>
      <w:r>
        <w:tab/>
        <w:t>[Section 108F inserted: No. 35 of 2024 s. 50.]</w:t>
      </w:r>
    </w:p>
    <w:p>
      <w:pPr>
        <w:pStyle w:val="Heading2"/>
      </w:pPr>
      <w:bookmarkStart w:id="241" w:name="_Toc203745215"/>
      <w:r>
        <w:rPr>
          <w:rStyle w:val="CharPartNo"/>
        </w:rPr>
        <w:lastRenderedPageBreak/>
        <w:t>Part 6</w:t>
      </w:r>
      <w:r>
        <w:rPr>
          <w:rStyle w:val="CharDivNo"/>
        </w:rPr>
        <w:t> </w:t>
      </w:r>
      <w:r>
        <w:t>—</w:t>
      </w:r>
      <w:r>
        <w:rPr>
          <w:rStyle w:val="CharDivText"/>
        </w:rPr>
        <w:t> </w:t>
      </w:r>
      <w:r>
        <w:rPr>
          <w:rStyle w:val="CharPartText"/>
        </w:rPr>
        <w:t>Other matters</w:t>
      </w:r>
      <w:bookmarkEnd w:id="228"/>
      <w:bookmarkEnd w:id="241"/>
    </w:p>
    <w:p>
      <w:pPr>
        <w:pStyle w:val="Heading5"/>
        <w:spacing w:before="260"/>
      </w:pPr>
      <w:bookmarkStart w:id="242" w:name="_Toc203745216"/>
      <w:r>
        <w:rPr>
          <w:rStyle w:val="CharSectno"/>
        </w:rPr>
        <w:t>109</w:t>
      </w:r>
      <w:r>
        <w:t>.</w:t>
      </w:r>
      <w:r>
        <w:tab/>
        <w:t>Protection from liability</w:t>
      </w:r>
      <w:bookmarkEnd w:id="242"/>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243" w:name="_Toc180507033"/>
      <w:bookmarkStart w:id="244" w:name="_Toc203745217"/>
      <w:r>
        <w:rPr>
          <w:rStyle w:val="CharSectno"/>
        </w:rPr>
        <w:t>109A</w:t>
      </w:r>
      <w:r>
        <w:t>.</w:t>
      </w:r>
      <w:r>
        <w:tab/>
        <w:t>Assistance when exercising powers</w:t>
      </w:r>
      <w:bookmarkEnd w:id="243"/>
      <w:bookmarkEnd w:id="244"/>
    </w:p>
    <w:p>
      <w:pPr>
        <w:pStyle w:val="Subsection"/>
      </w:pPr>
      <w:r>
        <w:tab/>
        <w:t>(1)</w:t>
      </w:r>
      <w:r>
        <w:tab/>
        <w:t>A police officer or authorised person may authorise as many other persons to assist in the exercise of their powers under this Act as are reasonably necessary in the circumstances.</w:t>
      </w:r>
    </w:p>
    <w:p>
      <w:pPr>
        <w:pStyle w:val="Subsection"/>
      </w:pPr>
      <w:r>
        <w:tab/>
        <w:t>(2)</w:t>
      </w:r>
      <w:r>
        <w:tab/>
        <w:t>A person authorised under subsection (1) may assist the police officer or the authorised person, as the case requires, to exercise the powers.</w:t>
      </w:r>
    </w:p>
    <w:p>
      <w:pPr>
        <w:pStyle w:val="Footnotesection"/>
      </w:pPr>
      <w:r>
        <w:tab/>
        <w:t>[Section 109A inserted: No. 35 of 2024 s. 51.]</w:t>
      </w:r>
    </w:p>
    <w:p>
      <w:pPr>
        <w:pStyle w:val="Heading5"/>
        <w:spacing w:before="260"/>
      </w:pPr>
      <w:bookmarkStart w:id="245" w:name="_Toc203745218"/>
      <w:r>
        <w:rPr>
          <w:rStyle w:val="CharSectno"/>
        </w:rPr>
        <w:t>110A</w:t>
      </w:r>
      <w:r>
        <w:t>.</w:t>
      </w:r>
      <w:r>
        <w:tab/>
        <w:t>Public authorities to provide Commissioner with certain information</w:t>
      </w:r>
      <w:bookmarkEnd w:id="24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lastRenderedPageBreak/>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46" w:name="_Toc203745219"/>
      <w:r>
        <w:rPr>
          <w:rStyle w:val="CharSectno"/>
        </w:rPr>
        <w:t>110</w:t>
      </w:r>
      <w:r>
        <w:t>.</w:t>
      </w:r>
      <w:r>
        <w:tab/>
        <w:t>Delegation by Commissioner</w:t>
      </w:r>
      <w:bookmarkEnd w:id="246"/>
    </w:p>
    <w:p>
      <w:pPr>
        <w:pStyle w:val="Subsection"/>
      </w:pPr>
      <w:r>
        <w:tab/>
        <w:t>(1)</w:t>
      </w:r>
      <w:r>
        <w:tab/>
        <w:t xml:space="preserve">The Commissioner may delegate any power or duty of the Commissioner under another provision of this Act to — </w:t>
      </w:r>
    </w:p>
    <w:p>
      <w:pPr>
        <w:pStyle w:val="Indenta"/>
      </w:pPr>
      <w:r>
        <w:tab/>
        <w:t>(a)</w:t>
      </w:r>
      <w:r>
        <w:tab/>
        <w:t>in relation to a power or duty under section 82(1)(cd) — a person as set out in section 82A; or</w:t>
      </w:r>
    </w:p>
    <w:p>
      <w:pPr>
        <w:pStyle w:val="Indenta"/>
      </w:pPr>
      <w:r>
        <w:tab/>
        <w:t>(b)</w:t>
      </w:r>
      <w:r>
        <w:tab/>
        <w:t>in relation to a power or duty under Part 5A Division 2 — a person as set out in section 85B; or</w:t>
      </w:r>
    </w:p>
    <w:p>
      <w:pPr>
        <w:pStyle w:val="Indenta"/>
        <w:keepNext/>
      </w:pPr>
      <w:r>
        <w:lastRenderedPageBreak/>
        <w:tab/>
        <w:t>(c)</w:t>
      </w:r>
      <w:r>
        <w:tab/>
        <w:t xml:space="preserve">in any other case — </w:t>
      </w:r>
    </w:p>
    <w:p>
      <w:pPr>
        <w:pStyle w:val="Indenti"/>
      </w:pPr>
      <w:r>
        <w:tab/>
        <w:t>(i)</w:t>
      </w:r>
      <w:r>
        <w:tab/>
        <w:t>a police officer who is specified, or of a class specified, in the delegation; or</w:t>
      </w:r>
    </w:p>
    <w:p>
      <w:pPr>
        <w:pStyle w:val="Indenti"/>
      </w:pPr>
      <w:r>
        <w:tab/>
        <w:t>(ii)</w:t>
      </w:r>
      <w:r>
        <w:tab/>
        <w:t xml:space="preserve">a person employed under the </w:t>
      </w:r>
      <w:r>
        <w:rPr>
          <w:i/>
          <w:iCs/>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Footnotesection"/>
      </w:pPr>
      <w:r>
        <w:tab/>
        <w:t>[Section 110 inserted: No. 35 of 2024 s. 52.]</w:t>
      </w:r>
    </w:p>
    <w:p>
      <w:pPr>
        <w:pStyle w:val="Heading5"/>
      </w:pPr>
      <w:bookmarkStart w:id="247" w:name="_Toc203745220"/>
      <w:r>
        <w:rPr>
          <w:rStyle w:val="CharSectno"/>
        </w:rPr>
        <w:t>111</w:t>
      </w:r>
      <w:r>
        <w:t>.</w:t>
      </w:r>
      <w:r>
        <w:tab/>
        <w:t>Effect of spent convictions</w:t>
      </w:r>
      <w:bookmarkEnd w:id="24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lastRenderedPageBreak/>
        <w:tab/>
        <w:t>(2)</w:t>
      </w:r>
      <w:r>
        <w:tab/>
        <w:t>For the purposes of this section, an offence becomes spent if, under a law in any jurisdiction, the reportable offender is permitted not to disclose the fact that the offender was convicted or found guilty of the offence.</w:t>
      </w:r>
    </w:p>
    <w:p>
      <w:pPr>
        <w:pStyle w:val="Footnotesection"/>
      </w:pPr>
      <w:r>
        <w:tab/>
        <w:t>[Section 111 amended: No. 54 of 2012 s. 42(2); No. 31 of 2024 s. 28.]</w:t>
      </w:r>
    </w:p>
    <w:p>
      <w:pPr>
        <w:pStyle w:val="Heading5"/>
      </w:pPr>
      <w:bookmarkStart w:id="248" w:name="_Toc203745221"/>
      <w:r>
        <w:rPr>
          <w:rStyle w:val="CharSectno"/>
        </w:rPr>
        <w:t>112</w:t>
      </w:r>
      <w:r>
        <w:t>.</w:t>
      </w:r>
      <w:r>
        <w:tab/>
        <w:t>Civil standard of proof</w:t>
      </w:r>
      <w:bookmarkEnd w:id="24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49" w:name="_Toc203745222"/>
      <w:r>
        <w:rPr>
          <w:rStyle w:val="CharSectno"/>
        </w:rPr>
        <w:t>113</w:t>
      </w:r>
      <w:r>
        <w:t>.</w:t>
      </w:r>
      <w:r>
        <w:tab/>
        <w:t>Certificate concerning evidence</w:t>
      </w:r>
      <w:bookmarkEnd w:id="24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or another written law,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Footnotesection"/>
      </w:pPr>
      <w:r>
        <w:tab/>
        <w:t>[Section 113 amended: No. 35 of 2024 s. 53.]</w:t>
      </w:r>
    </w:p>
    <w:p>
      <w:pPr>
        <w:pStyle w:val="Heading5"/>
      </w:pPr>
      <w:bookmarkStart w:id="250" w:name="_Toc203745223"/>
      <w:r>
        <w:rPr>
          <w:rStyle w:val="CharSectno"/>
        </w:rPr>
        <w:lastRenderedPageBreak/>
        <w:t>114</w:t>
      </w:r>
      <w:r>
        <w:t>.</w:t>
      </w:r>
      <w:r>
        <w:tab/>
        <w:t>Regulations</w:t>
      </w:r>
      <w:bookmarkEnd w:id="25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lastRenderedPageBreak/>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the offender’s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lastRenderedPageBreak/>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Footnotesection"/>
      </w:pPr>
      <w:r>
        <w:tab/>
        <w:t>[Section 114 amended: No. 31 of 2024 s. 28.]</w:t>
      </w:r>
    </w:p>
    <w:p>
      <w:pPr>
        <w:pStyle w:val="Heading5"/>
      </w:pPr>
      <w:bookmarkStart w:id="251" w:name="_Toc203745224"/>
      <w:r>
        <w:rPr>
          <w:rStyle w:val="CharSectno"/>
        </w:rPr>
        <w:t>115</w:t>
      </w:r>
      <w:r>
        <w:t>.</w:t>
      </w:r>
      <w:r>
        <w:tab/>
        <w:t>Minister to review and report on Act</w:t>
      </w:r>
      <w:bookmarkEnd w:id="25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lastRenderedPageBreak/>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2"/>
      </w:pPr>
      <w:bookmarkStart w:id="252" w:name="_Toc180506653"/>
      <w:bookmarkStart w:id="253" w:name="_Toc180506845"/>
      <w:bookmarkStart w:id="254" w:name="_Toc180507037"/>
      <w:bookmarkStart w:id="255" w:name="_Toc203745225"/>
      <w:r>
        <w:rPr>
          <w:rStyle w:val="CharPartNo"/>
        </w:rPr>
        <w:lastRenderedPageBreak/>
        <w:t>Part 7</w:t>
      </w:r>
      <w:r>
        <w:t> —</w:t>
      </w:r>
      <w:r>
        <w:rPr>
          <w:rStyle w:val="CharPartText"/>
        </w:rPr>
        <w:t> Transitional matters and consequential amendment</w:t>
      </w:r>
      <w:bookmarkEnd w:id="252"/>
      <w:bookmarkEnd w:id="253"/>
      <w:bookmarkEnd w:id="254"/>
      <w:bookmarkEnd w:id="255"/>
    </w:p>
    <w:p>
      <w:pPr>
        <w:pStyle w:val="Footnoteheading"/>
      </w:pPr>
      <w:bookmarkStart w:id="256" w:name="_Toc180506654"/>
      <w:bookmarkStart w:id="257" w:name="_Toc180506846"/>
      <w:bookmarkStart w:id="258" w:name="_Toc180507038"/>
      <w:r>
        <w:tab/>
        <w:t>[Heading inserted: No. 35 of 2024 s. 54.]</w:t>
      </w:r>
    </w:p>
    <w:p>
      <w:pPr>
        <w:pStyle w:val="Heading3"/>
      </w:pPr>
      <w:bookmarkStart w:id="259" w:name="_Toc203745226"/>
      <w:r>
        <w:rPr>
          <w:rStyle w:val="CharDivNo"/>
        </w:rPr>
        <w:t>Division 1</w:t>
      </w:r>
      <w:r>
        <w:t> —</w:t>
      </w:r>
      <w:r>
        <w:rPr>
          <w:rStyle w:val="CharDivText"/>
        </w:rPr>
        <w:t xml:space="preserve"> Transitional matters relating to </w:t>
      </w:r>
      <w:r>
        <w:rPr>
          <w:rStyle w:val="CharDivText"/>
          <w:i/>
          <w:iCs/>
        </w:rPr>
        <w:t>Community Protection (Offender Reporting) Amendment Act 2008</w:t>
      </w:r>
      <w:bookmarkEnd w:id="256"/>
      <w:bookmarkEnd w:id="257"/>
      <w:bookmarkEnd w:id="258"/>
      <w:bookmarkEnd w:id="259"/>
    </w:p>
    <w:p>
      <w:pPr>
        <w:pStyle w:val="Footnoteheading"/>
      </w:pPr>
      <w:r>
        <w:tab/>
        <w:t>[Heading inserted: No. 35 of 2024 s. 54.]</w:t>
      </w:r>
    </w:p>
    <w:p>
      <w:pPr>
        <w:pStyle w:val="Heading5"/>
      </w:pPr>
      <w:bookmarkStart w:id="260" w:name="_Toc203745227"/>
      <w:r>
        <w:rPr>
          <w:rStyle w:val="CharSectno"/>
        </w:rPr>
        <w:t>115A</w:t>
      </w:r>
      <w:r>
        <w:t>.</w:t>
      </w:r>
      <w:r>
        <w:tab/>
        <w:t>Transitional arrangements for certain offenders</w:t>
      </w:r>
      <w:bookmarkEnd w:id="260"/>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3"/>
      </w:pPr>
      <w:bookmarkStart w:id="261" w:name="_Toc180506656"/>
      <w:bookmarkStart w:id="262" w:name="_Toc180506848"/>
      <w:bookmarkStart w:id="263" w:name="_Toc180507040"/>
      <w:bookmarkStart w:id="264" w:name="_Toc203745228"/>
      <w:r>
        <w:rPr>
          <w:rStyle w:val="CharDivNo"/>
        </w:rPr>
        <w:lastRenderedPageBreak/>
        <w:t>Division 2</w:t>
      </w:r>
      <w:r>
        <w:t> —</w:t>
      </w:r>
      <w:r>
        <w:rPr>
          <w:rStyle w:val="CharDivText"/>
        </w:rPr>
        <w:t xml:space="preserve"> Transitional matters relating to </w:t>
      </w:r>
      <w:r>
        <w:rPr>
          <w:rStyle w:val="CharDivText"/>
          <w:i/>
          <w:iCs/>
        </w:rPr>
        <w:t>Community Protection (Offender Reporting) Amendment Act (No. 2) 2012</w:t>
      </w:r>
      <w:r>
        <w:rPr>
          <w:rStyle w:val="CharDivText"/>
        </w:rPr>
        <w:t xml:space="preserve"> and consequential amendment</w:t>
      </w:r>
      <w:bookmarkEnd w:id="261"/>
      <w:bookmarkEnd w:id="262"/>
      <w:bookmarkEnd w:id="263"/>
      <w:bookmarkEnd w:id="264"/>
    </w:p>
    <w:p>
      <w:pPr>
        <w:pStyle w:val="Footnoteheading"/>
        <w:keepNext/>
      </w:pPr>
      <w:r>
        <w:tab/>
        <w:t>[Heading inserted: No. 35 of 2024 s. 55.]</w:t>
      </w:r>
    </w:p>
    <w:p>
      <w:pPr>
        <w:pStyle w:val="Heading5"/>
      </w:pPr>
      <w:bookmarkStart w:id="265" w:name="_Toc203745229"/>
      <w:r>
        <w:rPr>
          <w:rStyle w:val="CharSectno"/>
        </w:rPr>
        <w:t>115B</w:t>
      </w:r>
      <w:r>
        <w:t>.</w:t>
      </w:r>
      <w:r>
        <w:tab/>
        <w:t>Further transitional arrangements for certain offenders sentenced for Class 2 offences</w:t>
      </w:r>
      <w:bookmarkEnd w:id="26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lastRenderedPageBreak/>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Heading3"/>
      </w:pPr>
      <w:bookmarkStart w:id="266" w:name="_Toc180506658"/>
      <w:bookmarkStart w:id="267" w:name="_Toc180506850"/>
      <w:bookmarkStart w:id="268" w:name="_Toc180507042"/>
      <w:bookmarkStart w:id="269" w:name="_Toc203745230"/>
      <w:r>
        <w:rPr>
          <w:rStyle w:val="CharDivNo"/>
        </w:rPr>
        <w:t>Division 3</w:t>
      </w:r>
      <w:r>
        <w:t> —</w:t>
      </w:r>
      <w:r>
        <w:rPr>
          <w:rStyle w:val="CharDivText"/>
        </w:rPr>
        <w:t xml:space="preserve"> Transitional matters relating to </w:t>
      </w:r>
      <w:r>
        <w:rPr>
          <w:rStyle w:val="CharDivText"/>
          <w:i/>
          <w:iCs/>
        </w:rPr>
        <w:t>Community Protection (Offender Reporting) Amendment Act 2024</w:t>
      </w:r>
      <w:bookmarkEnd w:id="266"/>
      <w:bookmarkEnd w:id="267"/>
      <w:bookmarkEnd w:id="268"/>
      <w:bookmarkEnd w:id="269"/>
    </w:p>
    <w:p>
      <w:pPr>
        <w:pStyle w:val="Footnoteheading"/>
      </w:pPr>
      <w:bookmarkStart w:id="270" w:name="_Toc180506659"/>
      <w:bookmarkStart w:id="271" w:name="_Toc180506851"/>
      <w:bookmarkStart w:id="272" w:name="_Toc180507043"/>
      <w:r>
        <w:tab/>
        <w:t>[Heading inserted: No. 35 of 2024 s. 56.]</w:t>
      </w:r>
    </w:p>
    <w:p>
      <w:pPr>
        <w:pStyle w:val="Heading4"/>
      </w:pPr>
      <w:bookmarkStart w:id="273" w:name="_Toc203745231"/>
      <w:r>
        <w:rPr>
          <w:rStyle w:val="CharSDivNo"/>
        </w:rPr>
        <w:t>Subdivision 1</w:t>
      </w:r>
      <w:r>
        <w:t> —</w:t>
      </w:r>
      <w:r>
        <w:rPr>
          <w:rStyle w:val="CharSDivText"/>
        </w:rPr>
        <w:t> General</w:t>
      </w:r>
      <w:bookmarkEnd w:id="270"/>
      <w:bookmarkEnd w:id="271"/>
      <w:bookmarkEnd w:id="272"/>
      <w:bookmarkEnd w:id="273"/>
    </w:p>
    <w:p>
      <w:pPr>
        <w:pStyle w:val="Footnoteheading"/>
      </w:pPr>
      <w:bookmarkStart w:id="274" w:name="_Toc180507044"/>
      <w:r>
        <w:tab/>
        <w:t>[Heading inserted: No. 35 of 2024 s. 56.]</w:t>
      </w:r>
    </w:p>
    <w:p>
      <w:pPr>
        <w:pStyle w:val="Heading5"/>
      </w:pPr>
      <w:bookmarkStart w:id="275" w:name="_Toc203745232"/>
      <w:r>
        <w:rPr>
          <w:rStyle w:val="CharSectno"/>
        </w:rPr>
        <w:t>117</w:t>
      </w:r>
      <w:r>
        <w:t>.</w:t>
      </w:r>
      <w:r>
        <w:tab/>
      </w:r>
      <w:r>
        <w:rPr>
          <w:i/>
        </w:rPr>
        <w:t>Interpretation Act 1984</w:t>
      </w:r>
      <w:r>
        <w:t xml:space="preserve"> not affected</w:t>
      </w:r>
      <w:bookmarkEnd w:id="274"/>
      <w:bookmarkEnd w:id="275"/>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Footnoteheading"/>
      </w:pPr>
      <w:bookmarkStart w:id="276" w:name="_Toc180507045"/>
      <w:r>
        <w:tab/>
        <w:t>[Section 117 inserted: No. 35 of 2024 s. 56.]</w:t>
      </w:r>
    </w:p>
    <w:p>
      <w:pPr>
        <w:pStyle w:val="Heading5"/>
      </w:pPr>
      <w:bookmarkStart w:id="277" w:name="_Toc203745233"/>
      <w:r>
        <w:rPr>
          <w:rStyle w:val="CharSectno"/>
        </w:rPr>
        <w:t>118</w:t>
      </w:r>
      <w:r>
        <w:t>.</w:t>
      </w:r>
      <w:r>
        <w:tab/>
        <w:t>Transitional regulations</w:t>
      </w:r>
      <w:bookmarkEnd w:id="276"/>
      <w:bookmarkEnd w:id="277"/>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 </w:t>
      </w:r>
    </w:p>
    <w:p>
      <w:pPr>
        <w:pStyle w:val="Defpara"/>
      </w:pPr>
      <w:r>
        <w:tab/>
        <w:t>(a)</w:t>
      </w:r>
      <w:r>
        <w:tab/>
        <w:t xml:space="preserve">means a matter that needs to be dealt with for the purpose of effecting the transition required because of the enactment of the </w:t>
      </w:r>
      <w:r>
        <w:rPr>
          <w:i/>
        </w:rPr>
        <w:t>Community Protection (Offender Reporting) Amendment Act 2024</w:t>
      </w:r>
      <w:r>
        <w:t>; and</w:t>
      </w:r>
    </w:p>
    <w:p>
      <w:pPr>
        <w:pStyle w:val="Defpara"/>
      </w:pPr>
      <w:r>
        <w:tab/>
        <w:t>(b)</w:t>
      </w:r>
      <w:r>
        <w:tab/>
        <w:t>includes a saving or application matter.</w:t>
      </w:r>
    </w:p>
    <w:p>
      <w:pPr>
        <w:pStyle w:val="Subsection"/>
      </w:pPr>
      <w:r>
        <w:tab/>
        <w:t>(2)</w:t>
      </w:r>
      <w:r>
        <w:tab/>
        <w:t>If there is no sufficient provision in this Division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the </w:t>
      </w:r>
      <w:r>
        <w:rPr>
          <w:i/>
        </w:rPr>
        <w:t>Community Protection (Offender Reporting) Amendment Act 2024 </w:t>
      </w:r>
      <w:r>
        <w:t>—</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 xml:space="preserve">If regulations made under subsection (2) provide that a specified state of affairs is taken to have existed, or not to have existed, on and after a day that is earlier than publication day for those regulations but not earlier than the day on which the relevant provision of </w:t>
      </w:r>
      <w:r>
        <w:rPr>
          <w:i/>
        </w:rPr>
        <w:t xml:space="preserve">Community Protection (Offender Reporting) Amendment Act 2024 </w:t>
      </w:r>
      <w:r>
        <w:t>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 xml:space="preserve">affect in a manner prejudicial to a person (other than the State or an authority of the State) the rights of that </w:t>
      </w:r>
      <w:r>
        <w:lastRenderedPageBreak/>
        <w:t>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Footnoteheading"/>
      </w:pPr>
      <w:bookmarkStart w:id="278" w:name="_Toc180506662"/>
      <w:bookmarkStart w:id="279" w:name="_Toc180506854"/>
      <w:bookmarkStart w:id="280" w:name="_Toc180507046"/>
      <w:r>
        <w:tab/>
        <w:t>[Section 118 inserted: No. 35 of 2024 s. 56.]</w:t>
      </w:r>
    </w:p>
    <w:p>
      <w:pPr>
        <w:pStyle w:val="Heading4"/>
      </w:pPr>
      <w:bookmarkStart w:id="281" w:name="_Toc203745234"/>
      <w:r>
        <w:rPr>
          <w:rStyle w:val="CharSDivNo"/>
        </w:rPr>
        <w:t>Subdivision 2 </w:t>
      </w:r>
      <w:r>
        <w:t>—</w:t>
      </w:r>
      <w:r>
        <w:rPr>
          <w:rStyle w:val="CharSDivText"/>
        </w:rPr>
        <w:t> Stage 1 transitional provisions</w:t>
      </w:r>
      <w:bookmarkEnd w:id="278"/>
      <w:bookmarkEnd w:id="279"/>
      <w:bookmarkEnd w:id="280"/>
      <w:bookmarkEnd w:id="281"/>
    </w:p>
    <w:p>
      <w:pPr>
        <w:pStyle w:val="Footnoteheading"/>
      </w:pPr>
      <w:bookmarkStart w:id="282" w:name="_Toc180507047"/>
      <w:r>
        <w:tab/>
        <w:t>[Heading inserted: No. 35 of 2024 s. 56.]</w:t>
      </w:r>
    </w:p>
    <w:p>
      <w:pPr>
        <w:pStyle w:val="Heading5"/>
      </w:pPr>
      <w:bookmarkStart w:id="283" w:name="_Toc203745235"/>
      <w:r>
        <w:rPr>
          <w:rStyle w:val="CharSectno"/>
        </w:rPr>
        <w:t>119</w:t>
      </w:r>
      <w:r>
        <w:t>.</w:t>
      </w:r>
      <w:r>
        <w:tab/>
        <w:t>Term used: commencement day</w:t>
      </w:r>
      <w:bookmarkEnd w:id="282"/>
      <w:bookmarkEnd w:id="283"/>
    </w:p>
    <w:p>
      <w:pPr>
        <w:pStyle w:val="Subsection"/>
      </w:pPr>
      <w:r>
        <w:tab/>
      </w:r>
      <w:r>
        <w:tab/>
        <w:t xml:space="preserve">In this Subdivision — </w:t>
      </w:r>
    </w:p>
    <w:p>
      <w:pPr>
        <w:pStyle w:val="Defstart"/>
      </w:pPr>
      <w:r>
        <w:tab/>
      </w:r>
      <w:r>
        <w:rPr>
          <w:rStyle w:val="CharDefText"/>
        </w:rPr>
        <w:t>commencement day</w:t>
      </w:r>
      <w:r>
        <w:t xml:space="preserve"> means the day on which the </w:t>
      </w:r>
      <w:r>
        <w:rPr>
          <w:i/>
        </w:rPr>
        <w:t xml:space="preserve">Community Protection (Offender Reporting) Amendment Act 2024 </w:t>
      </w:r>
      <w:r>
        <w:rPr>
          <w:iCs/>
        </w:rPr>
        <w:t>section 3 comes into operation.</w:t>
      </w:r>
    </w:p>
    <w:p>
      <w:pPr>
        <w:pStyle w:val="Footnoteheading"/>
      </w:pPr>
      <w:bookmarkStart w:id="284" w:name="_Toc180507048"/>
      <w:r>
        <w:tab/>
        <w:t>[Section 119 inserted: No. 35 of 2024 s. 56.]</w:t>
      </w:r>
    </w:p>
    <w:p>
      <w:pPr>
        <w:pStyle w:val="Heading5"/>
      </w:pPr>
      <w:bookmarkStart w:id="285" w:name="_Toc203745236"/>
      <w:r>
        <w:rPr>
          <w:rStyle w:val="CharSectno"/>
        </w:rPr>
        <w:t>120</w:t>
      </w:r>
      <w:r>
        <w:t>.</w:t>
      </w:r>
      <w:r>
        <w:tab/>
        <w:t>Notifying reporting obligations and reporting periods before commencement day</w:t>
      </w:r>
      <w:bookmarkEnd w:id="284"/>
      <w:bookmarkEnd w:id="285"/>
      <w:r>
        <w:t xml:space="preserve"> </w:t>
      </w:r>
    </w:p>
    <w:p>
      <w:pPr>
        <w:pStyle w:val="Subsection"/>
      </w:pPr>
      <w:r>
        <w:tab/>
        <w:t>(1)</w:t>
      </w:r>
      <w:r>
        <w:tab/>
        <w:t xml:space="preserve">Section 67 does not apply in relation to a reportable offender if the Commissioner gives the offender written notice of the following before commencement day — </w:t>
      </w:r>
    </w:p>
    <w:p>
      <w:pPr>
        <w:pStyle w:val="Indenta"/>
      </w:pPr>
      <w:r>
        <w:tab/>
        <w:t>(a)</w:t>
      </w:r>
      <w:r>
        <w:tab/>
        <w:t>the reporting obligations the offender will have under this Act as in force on commencement day; and</w:t>
      </w:r>
    </w:p>
    <w:p>
      <w:pPr>
        <w:pStyle w:val="Indenta"/>
      </w:pPr>
      <w:r>
        <w:tab/>
        <w:t>(b)</w:t>
      </w:r>
      <w:r>
        <w:tab/>
        <w:t>the reporting period the offender will have under this Act as in force on commencement day; and</w:t>
      </w:r>
    </w:p>
    <w:p>
      <w:pPr>
        <w:pStyle w:val="Indenta"/>
      </w:pPr>
      <w:r>
        <w:tab/>
        <w:t>(c)</w:t>
      </w:r>
      <w:r>
        <w:tab/>
        <w:t>the consequences that may arise if the offender fails to comply with those obligations under this Act as in force on commencement day.</w:t>
      </w:r>
    </w:p>
    <w:p>
      <w:pPr>
        <w:pStyle w:val="Subsection"/>
      </w:pPr>
      <w:r>
        <w:tab/>
        <w:t>(2)</w:t>
      </w:r>
      <w:r>
        <w:tab/>
        <w:t xml:space="preserve">However, section 67 applies in relation to a reportable offender who has been given notice under subsection (1) if any of the following occurs on or after commencement day — </w:t>
      </w:r>
    </w:p>
    <w:p>
      <w:pPr>
        <w:pStyle w:val="Indenta"/>
      </w:pPr>
      <w:r>
        <w:lastRenderedPageBreak/>
        <w:tab/>
        <w:t>(a)</w:t>
      </w:r>
      <w:r>
        <w:tab/>
        <w:t xml:space="preserve">the offender is sentenced for a reportable offence or is made subject to a reporting order; </w:t>
      </w:r>
    </w:p>
    <w:p>
      <w:pPr>
        <w:pStyle w:val="Indenta"/>
      </w:pPr>
      <w:r>
        <w:tab/>
        <w:t>(b)</w:t>
      </w:r>
      <w:r>
        <w:tab/>
        <w:t xml:space="preserve">the offender is released from government custody (whether or not the offender was in government custody for a reportable offence); </w:t>
      </w:r>
    </w:p>
    <w:p>
      <w:pPr>
        <w:pStyle w:val="Indenta"/>
      </w:pPr>
      <w:r>
        <w:tab/>
        <w:t>(c)</w:t>
      </w:r>
      <w:r>
        <w:tab/>
        <w:t xml:space="preserve">the offender enters Western Australia, if the offender has not previously been given notice of the offender’s reporting obligations in Western Australia; </w:t>
      </w:r>
    </w:p>
    <w:p>
      <w:pPr>
        <w:pStyle w:val="Indenta"/>
      </w:pPr>
      <w:r>
        <w:tab/>
        <w:t>(d)</w:t>
      </w:r>
      <w:r>
        <w:tab/>
        <w:t>the offender becomes a corresponding reportable offender, if the offender is in Western Australia at that time.</w:t>
      </w:r>
    </w:p>
    <w:p>
      <w:pPr>
        <w:pStyle w:val="Subsection"/>
      </w:pPr>
      <w:r>
        <w:tab/>
        <w:t>(3)</w:t>
      </w:r>
      <w:r>
        <w:tab/>
        <w:t>Section 69 does not apply in relation to changes to a reportable offender’s reporting period on commencement day if the Commissioner gives the offender written notice before commencement day of the changed reporting period that the offender will have under this Act as in force on commencement day.</w:t>
      </w:r>
    </w:p>
    <w:p>
      <w:pPr>
        <w:pStyle w:val="Footnoteheading"/>
      </w:pPr>
      <w:bookmarkStart w:id="286" w:name="_Toc180507049"/>
      <w:r>
        <w:tab/>
        <w:t>[Section 120 inserted: No. 35 of 2024 s. 56.]</w:t>
      </w:r>
    </w:p>
    <w:p>
      <w:pPr>
        <w:pStyle w:val="Heading5"/>
      </w:pPr>
      <w:bookmarkStart w:id="287" w:name="_Toc203745237"/>
      <w:r>
        <w:rPr>
          <w:rStyle w:val="CharSectno"/>
        </w:rPr>
        <w:t>121</w:t>
      </w:r>
      <w:r>
        <w:t>.</w:t>
      </w:r>
      <w:r>
        <w:tab/>
        <w:t>Reporting period and reporting obligations in relation to person who was reportable offender or committed offence before commencement day</w:t>
      </w:r>
      <w:bookmarkEnd w:id="286"/>
      <w:bookmarkEnd w:id="287"/>
    </w:p>
    <w:p>
      <w:pPr>
        <w:pStyle w:val="Subsection"/>
      </w:pPr>
      <w:r>
        <w:tab/>
        <w:t>(1)</w:t>
      </w:r>
      <w:r>
        <w:tab/>
        <w:t>A reporting period under this Act applies in relation to a person who is a reportable offender even if the person was a reportable offender before commencement day.</w:t>
      </w:r>
    </w:p>
    <w:p>
      <w:pPr>
        <w:pStyle w:val="Subsection"/>
      </w:pPr>
      <w:r>
        <w:tab/>
        <w:t>(2)</w:t>
      </w:r>
      <w:r>
        <w:tab/>
        <w:t xml:space="preserve">A reference in section 46 to an offence includes a reference to an offence committed before commencement day. </w:t>
      </w:r>
    </w:p>
    <w:p>
      <w:pPr>
        <w:pStyle w:val="Subsection"/>
      </w:pPr>
      <w:r>
        <w:tab/>
        <w:t>(3)</w:t>
      </w:r>
      <w:r>
        <w:tab/>
        <w:t xml:space="preserve">A reporting obligation under this Act applies in relation to a person who is a reportable offender for the remainder of the person’s reporting period even if the person was a reportable offender before commencement day. </w:t>
      </w:r>
    </w:p>
    <w:p>
      <w:pPr>
        <w:pStyle w:val="Subsection"/>
      </w:pPr>
      <w:r>
        <w:tab/>
        <w:t>(4)</w:t>
      </w:r>
      <w:r>
        <w:tab/>
        <w:t xml:space="preserve">Section 29 (including any references in that section to section 26) of this Act as in force immediately before </w:t>
      </w:r>
      <w:r>
        <w:lastRenderedPageBreak/>
        <w:t xml:space="preserve">commencement day continues to apply to a reportable offender until the offender makes a report (an </w:t>
      </w:r>
      <w:r>
        <w:rPr>
          <w:rStyle w:val="CharDefText"/>
        </w:rPr>
        <w:t>updated report</w:t>
      </w:r>
      <w:r>
        <w:t>) under any of the following provisions of the details listed in section 26(1) as in force on commencement day —</w:t>
      </w:r>
    </w:p>
    <w:p>
      <w:pPr>
        <w:pStyle w:val="Indenta"/>
      </w:pPr>
      <w:r>
        <w:tab/>
        <w:t>(a)</w:t>
      </w:r>
      <w:r>
        <w:tab/>
        <w:t>section 24;</w:t>
      </w:r>
    </w:p>
    <w:p>
      <w:pPr>
        <w:pStyle w:val="Indenta"/>
      </w:pPr>
      <w:r>
        <w:tab/>
        <w:t>(b)</w:t>
      </w:r>
      <w:r>
        <w:tab/>
        <w:t>section 25;</w:t>
      </w:r>
    </w:p>
    <w:p>
      <w:pPr>
        <w:pStyle w:val="Indenta"/>
      </w:pPr>
      <w:r>
        <w:tab/>
        <w:t>(c)</w:t>
      </w:r>
      <w:r>
        <w:tab/>
        <w:t>section 28.</w:t>
      </w:r>
    </w:p>
    <w:p>
      <w:pPr>
        <w:pStyle w:val="Subsection"/>
      </w:pPr>
      <w:r>
        <w:tab/>
        <w:t>(5)</w:t>
      </w:r>
      <w:r>
        <w:tab/>
        <w:t>Reporting obligations under sections 29 and 33A do not apply to a reportable offender until the offender makes an updated report.</w:t>
      </w:r>
    </w:p>
    <w:p>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w:t>
      </w:r>
    </w:p>
    <w:p>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w:t>
      </w:r>
    </w:p>
    <w:p>
      <w:pPr>
        <w:pStyle w:val="Footnoteheading"/>
      </w:pPr>
      <w:bookmarkStart w:id="288" w:name="_Toc180507050"/>
      <w:r>
        <w:tab/>
        <w:t>[Section 121 inserted: No. 35 of 2024 s. 56.]</w:t>
      </w:r>
    </w:p>
    <w:p>
      <w:pPr>
        <w:pStyle w:val="Heading5"/>
      </w:pPr>
      <w:bookmarkStart w:id="289" w:name="_Toc203745238"/>
      <w:r>
        <w:rPr>
          <w:rStyle w:val="CharSectno"/>
        </w:rPr>
        <w:t>122</w:t>
      </w:r>
      <w:r>
        <w:t>.</w:t>
      </w:r>
      <w:r>
        <w:tab/>
        <w:t>Reporting period in relation to reportable offender in immigration detention before commencement day</w:t>
      </w:r>
      <w:bookmarkEnd w:id="288"/>
      <w:bookmarkEnd w:id="289"/>
    </w:p>
    <w:p>
      <w:pPr>
        <w:pStyle w:val="Subsection"/>
      </w:pPr>
      <w:r>
        <w:tab/>
        <w:t>(1)</w:t>
      </w:r>
      <w:r>
        <w:tab/>
        <w:t>This section applies to a reportable offender who was in immigration detention for a period beginning before commencement day.</w:t>
      </w:r>
    </w:p>
    <w:p>
      <w:pPr>
        <w:pStyle w:val="Subsection"/>
      </w:pPr>
      <w:r>
        <w:tab/>
        <w:t>(2)</w:t>
      </w:r>
      <w:r>
        <w:tab/>
        <w:t xml:space="preserve">Any period for which the offender was in immigration detention before commencement day while they were a reportable offender must not be taken to extend the offender’s reporting period under section 44(2) as if that period of immigration detention were a period in which the offender was in government custody. </w:t>
      </w:r>
    </w:p>
    <w:p>
      <w:pPr>
        <w:pStyle w:val="Subsection"/>
      </w:pPr>
      <w:r>
        <w:lastRenderedPageBreak/>
        <w:tab/>
        <w:t>(3)</w:t>
      </w:r>
      <w:r>
        <w:tab/>
        <w:t>Part 3 Division 1 does not apply to the offender in relation to the offender ceasing to be in that immigration detention on or after commencement day if the offender has made an initial report under Part 3 Division 1 before commencement day.</w:t>
      </w:r>
    </w:p>
    <w:p>
      <w:pPr>
        <w:pStyle w:val="Subsection"/>
      </w:pPr>
      <w:r>
        <w:tab/>
        <w:t>(4)</w:t>
      </w:r>
      <w:r>
        <w:tab/>
        <w:t>Section 45(b) does not apply to the offender if the offender is released from the immigration detention on or after commencement day.</w:t>
      </w:r>
    </w:p>
    <w:p>
      <w:pPr>
        <w:pStyle w:val="Subsection"/>
      </w:pPr>
      <w:r>
        <w:tab/>
        <w:t>(5)</w:t>
      </w:r>
      <w:r>
        <w:tab/>
        <w:t>A reference to government custody in Part 3 Division 6 in relation to the offender is taken to include a reference to any period for which the offender was in immigration detention before commencement day while they were a reportable offender.</w:t>
      </w:r>
    </w:p>
    <w:p>
      <w:pPr>
        <w:pStyle w:val="Subsection"/>
      </w:pPr>
      <w:r>
        <w:tab/>
        <w:t>(6)</w:t>
      </w:r>
      <w:r>
        <w:tab/>
        <w:t xml:space="preserve">Despite </w:t>
      </w:r>
      <w:r>
        <w:rPr>
          <w:i/>
          <w:iCs/>
        </w:rPr>
        <w:t>The Criminal Code</w:t>
      </w:r>
      <w:r>
        <w:t xml:space="preserve"> section 11, a person may be prosecuted and punished for an offence committed against section 63 in relation to a failure to comply with a reporting obligation under this Act as in force immediately before commencement day during a period while the person was in the immigration detention before commencement day.</w:t>
      </w:r>
    </w:p>
    <w:p>
      <w:pPr>
        <w:pStyle w:val="Subsection"/>
      </w:pPr>
      <w:r>
        <w:tab/>
        <w:t>(7)</w:t>
      </w:r>
      <w:r>
        <w:tab/>
        <w:t xml:space="preserve">Despite </w:t>
      </w:r>
      <w:r>
        <w:rPr>
          <w:i/>
          <w:iCs/>
        </w:rPr>
        <w:t>The Criminal Code</w:t>
      </w:r>
      <w:r>
        <w:t xml:space="preserve"> section 11, a person may be prosecuted and punished for an offence committed against section 64 in relation to purported compliance with Part 3 under this Act as in force immediately before commencement day during a period while the person was in the immigration detention before commencement day.</w:t>
      </w:r>
    </w:p>
    <w:p>
      <w:pPr>
        <w:pStyle w:val="Footnoteheading"/>
      </w:pPr>
      <w:bookmarkStart w:id="290" w:name="_Toc180507051"/>
      <w:r>
        <w:tab/>
        <w:t>[Section 122 inserted: No. 35 of 2024 s. 56.]</w:t>
      </w:r>
    </w:p>
    <w:p>
      <w:pPr>
        <w:pStyle w:val="Heading5"/>
      </w:pPr>
      <w:bookmarkStart w:id="291" w:name="_Toc203745239"/>
      <w:r>
        <w:rPr>
          <w:rStyle w:val="CharSectno"/>
        </w:rPr>
        <w:t>123</w:t>
      </w:r>
      <w:r>
        <w:t>.</w:t>
      </w:r>
      <w:r>
        <w:tab/>
        <w:t>References to personal details of reportable offenders before commencement day</w:t>
      </w:r>
      <w:bookmarkEnd w:id="290"/>
      <w:bookmarkEnd w:id="291"/>
    </w:p>
    <w:p>
      <w:pPr>
        <w:pStyle w:val="Subsection"/>
      </w:pPr>
      <w:r>
        <w:tab/>
        <w:t>(1)</w:t>
      </w:r>
      <w:r>
        <w:tab/>
        <w:t>In section 85F a reference to section 26(1) or 26(1)(e) is taken to include a reference to that provision under this Act as in force immediately before commencement day in relation to a person who was a reportable offender before commencement day.</w:t>
      </w:r>
    </w:p>
    <w:p>
      <w:pPr>
        <w:pStyle w:val="Subsection"/>
      </w:pPr>
      <w:r>
        <w:lastRenderedPageBreak/>
        <w:tab/>
        <w:t>(2)</w:t>
      </w:r>
      <w:r>
        <w:tab/>
        <w:t>In sections 85F, 85I, 85L and 85M a reference to personal details is taken to include a reference to personal details under this Act as in force immediately before commencement day in relation to a person who was a reportable offender before commencement day.</w:t>
      </w:r>
    </w:p>
    <w:p>
      <w:pPr>
        <w:pStyle w:val="Footnoteheading"/>
      </w:pPr>
      <w:bookmarkStart w:id="292" w:name="_Toc180507052"/>
      <w:r>
        <w:tab/>
        <w:t>[Section 123 inserted: No. 35 of 2024 s. 56.]</w:t>
      </w:r>
    </w:p>
    <w:p>
      <w:pPr>
        <w:pStyle w:val="Heading5"/>
      </w:pPr>
      <w:bookmarkStart w:id="293" w:name="_Toc203745240"/>
      <w:r>
        <w:rPr>
          <w:rStyle w:val="CharSectno"/>
        </w:rPr>
        <w:t>124</w:t>
      </w:r>
      <w:r>
        <w:t>.</w:t>
      </w:r>
      <w:r>
        <w:tab/>
        <w:t>Application to person not sentenced before commencement day</w:t>
      </w:r>
      <w:bookmarkEnd w:id="292"/>
      <w:bookmarkEnd w:id="293"/>
      <w:r>
        <w:t xml:space="preserve"> </w:t>
      </w:r>
    </w:p>
    <w:p>
      <w:pPr>
        <w:pStyle w:val="Subsection"/>
      </w:pPr>
      <w:r>
        <w:tab/>
      </w:r>
      <w:r>
        <w:tab/>
        <w:t>This Act applies to an offender including in relation to an offender sentenced on or after commencement day even if the offender committed or was found guilty of an offence before commencement day.</w:t>
      </w:r>
    </w:p>
    <w:p>
      <w:pPr>
        <w:pStyle w:val="Footnoteheading"/>
      </w:pPr>
      <w:bookmarkStart w:id="294" w:name="_Toc180507053"/>
      <w:r>
        <w:tab/>
        <w:t>[Section 124 inserted: No. 35 of 2024 s. 56.]</w:t>
      </w:r>
    </w:p>
    <w:p>
      <w:pPr>
        <w:pStyle w:val="Heading5"/>
      </w:pPr>
      <w:bookmarkStart w:id="295" w:name="_Toc203745241"/>
      <w:r>
        <w:rPr>
          <w:rStyle w:val="CharSectno"/>
        </w:rPr>
        <w:t>125</w:t>
      </w:r>
      <w:r>
        <w:t>.</w:t>
      </w:r>
      <w:r>
        <w:tab/>
        <w:t>Application of powers in relation to person who was reportable offender, or in relation to offence committed, before commencement day</w:t>
      </w:r>
      <w:bookmarkEnd w:id="294"/>
      <w:bookmarkEnd w:id="295"/>
    </w:p>
    <w:p>
      <w:pPr>
        <w:pStyle w:val="Subsection"/>
      </w:pPr>
      <w:r>
        <w:tab/>
        <w:t>(1)</w:t>
      </w:r>
      <w:r>
        <w:tab/>
        <w:t>A power under this Act that may be exercised in relation to a reportable offender may be exercised in relation to that offender even if they were a reportable offender before commencement day.</w:t>
      </w:r>
    </w:p>
    <w:p>
      <w:pPr>
        <w:pStyle w:val="Subsection"/>
      </w:pPr>
      <w:r>
        <w:tab/>
        <w:t>(2)</w:t>
      </w:r>
      <w:r>
        <w:tab/>
        <w:t xml:space="preserve">A reference in Part 5A and 5B to an offence includes a reference to an offence committed before commencement day. </w:t>
      </w:r>
    </w:p>
    <w:p>
      <w:pPr>
        <w:pStyle w:val="Footnoteheading"/>
      </w:pPr>
      <w:bookmarkStart w:id="296" w:name="_Toc180507054"/>
      <w:r>
        <w:tab/>
        <w:t>[Section 125 inserted: No. 35 of 2024 s. 56.]</w:t>
      </w:r>
    </w:p>
    <w:p>
      <w:pPr>
        <w:pStyle w:val="Heading5"/>
      </w:pPr>
      <w:bookmarkStart w:id="297" w:name="_Toc203745242"/>
      <w:r>
        <w:rPr>
          <w:rStyle w:val="CharSectno"/>
        </w:rPr>
        <w:t>126</w:t>
      </w:r>
      <w:r>
        <w:t>.</w:t>
      </w:r>
      <w:r>
        <w:tab/>
        <w:t>Minister may revoke authorisations to publish photograph and locality given before commencement day</w:t>
      </w:r>
      <w:bookmarkEnd w:id="296"/>
      <w:bookmarkEnd w:id="297"/>
      <w:r>
        <w:t xml:space="preserve"> </w:t>
      </w:r>
    </w:p>
    <w:p>
      <w:pPr>
        <w:pStyle w:val="Subsection"/>
      </w:pPr>
      <w:r>
        <w:tab/>
        <w:t>(1)</w:t>
      </w:r>
      <w:r>
        <w:tab/>
        <w:t>This section applies if the Minister authorised the publication of a photograph and locality of a person under section 85G(2)(c) of this Act as in force immediately before commencement day.</w:t>
      </w:r>
    </w:p>
    <w:p>
      <w:pPr>
        <w:pStyle w:val="Subsection"/>
      </w:pPr>
      <w:r>
        <w:tab/>
        <w:t>(2)</w:t>
      </w:r>
      <w:r>
        <w:tab/>
        <w:t>Subject to subsection (3), the authorisation continues in force on and after commencement day.</w:t>
      </w:r>
    </w:p>
    <w:p>
      <w:pPr>
        <w:pStyle w:val="Subsection"/>
      </w:pPr>
      <w:r>
        <w:lastRenderedPageBreak/>
        <w:tab/>
        <w:t>(3)</w:t>
      </w:r>
      <w:r>
        <w:tab/>
        <w:t>The Minister may revoke the authorisation.</w:t>
      </w:r>
    </w:p>
    <w:p>
      <w:pPr>
        <w:pStyle w:val="Subsection"/>
      </w:pPr>
      <w:r>
        <w:tab/>
        <w:t>(4)</w:t>
      </w:r>
      <w:r>
        <w:tab/>
        <w:t>A revocation under subsection (3) is taken to be a revocation under section 85GB(7)(a).</w:t>
      </w:r>
    </w:p>
    <w:p>
      <w:pPr>
        <w:pStyle w:val="Footnoteheading"/>
      </w:pPr>
      <w:r>
        <w:tab/>
        <w:t>[Section 126 inserted: No. 35 of 2024 s. 56.]</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8" w:name="_Toc203658303"/>
      <w:bookmarkStart w:id="299" w:name="_Toc203745243"/>
      <w:r>
        <w:rPr>
          <w:rStyle w:val="CharSchNo"/>
        </w:rPr>
        <w:lastRenderedPageBreak/>
        <w:t>Schedule 1</w:t>
      </w:r>
      <w:r>
        <w:rPr>
          <w:rStyle w:val="CharSDivNo"/>
        </w:rPr>
        <w:t> </w:t>
      </w:r>
      <w:r>
        <w:t>—</w:t>
      </w:r>
      <w:r>
        <w:rPr>
          <w:rStyle w:val="CharSDivText"/>
        </w:rPr>
        <w:t> </w:t>
      </w:r>
      <w:r>
        <w:rPr>
          <w:rStyle w:val="CharSchText"/>
        </w:rPr>
        <w:t>Class 1 offences</w:t>
      </w:r>
      <w:bookmarkEnd w:id="298"/>
      <w:bookmarkEnd w:id="299"/>
    </w:p>
    <w:p>
      <w:pPr>
        <w:pStyle w:val="yShoulderClause"/>
        <w:spacing w:after="60"/>
      </w:pPr>
      <w:r>
        <w:t>[s. 10]</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NAm"/>
              <w:rPr>
                <w:b/>
                <w:bCs/>
              </w:rPr>
            </w:pPr>
            <w:r>
              <w:rPr>
                <w:b/>
                <w:bCs/>
              </w:rPr>
              <w:t>Enactment</w:t>
            </w:r>
          </w:p>
        </w:tc>
        <w:tc>
          <w:tcPr>
            <w:tcW w:w="4394"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4" w:type="dxa"/>
            <w:tcBorders>
              <w:top w:val="nil"/>
            </w:tcBorders>
          </w:tcPr>
          <w:p>
            <w:pPr>
              <w:pStyle w:val="yTableNAm"/>
            </w:pPr>
            <w:r>
              <w:rPr>
                <w:i/>
              </w:rPr>
              <w:t>The Criminal Code</w:t>
            </w:r>
          </w:p>
        </w:tc>
        <w:tc>
          <w:tcPr>
            <w:tcW w:w="4394" w:type="dxa"/>
            <w:tcBorders>
              <w:top w:val="nil"/>
            </w:tcBorders>
          </w:tcPr>
          <w:p>
            <w:pPr>
              <w:pStyle w:val="yTableNAm"/>
            </w:pPr>
          </w:p>
        </w:tc>
      </w:tr>
      <w:tr>
        <w:tblPrEx>
          <w:tblBorders>
            <w:top w:val="none" w:sz="0" w:space="0" w:color="auto"/>
            <w:bottom w:val="none" w:sz="0" w:space="0" w:color="auto"/>
          </w:tblBorders>
        </w:tblPrEx>
        <w:trPr>
          <w:trHeight w:val="360"/>
        </w:trPr>
        <w:tc>
          <w:tcPr>
            <w:tcW w:w="2694" w:type="dxa"/>
          </w:tcPr>
          <w:p>
            <w:pPr>
              <w:pStyle w:val="yTableNAm"/>
            </w:pPr>
            <w:r>
              <w:t>s. 187</w:t>
            </w:r>
          </w:p>
        </w:tc>
        <w:tc>
          <w:tcPr>
            <w:tcW w:w="4394" w:type="dxa"/>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NAm"/>
            </w:pPr>
            <w:r>
              <w:t>s. 279</w:t>
            </w:r>
          </w:p>
        </w:tc>
        <w:tc>
          <w:tcPr>
            <w:tcW w:w="4394" w:type="dxa"/>
          </w:tcPr>
          <w:p>
            <w:pPr>
              <w:pStyle w:val="yTableNAm"/>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320 (except s. 320(6))</w:t>
            </w:r>
          </w:p>
        </w:tc>
        <w:tc>
          <w:tcPr>
            <w:tcW w:w="4394" w:type="dxa"/>
          </w:tcPr>
          <w:p>
            <w:pPr>
              <w:pStyle w:val="yTableNAm"/>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NAm"/>
            </w:pPr>
            <w:r>
              <w:t>s. 321 (except s. 321(6))</w:t>
            </w:r>
          </w:p>
        </w:tc>
        <w:tc>
          <w:tcPr>
            <w:tcW w:w="4394" w:type="dxa"/>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NAm"/>
            </w:pPr>
            <w:r>
              <w:t>s. 321A</w:t>
            </w:r>
          </w:p>
        </w:tc>
        <w:tc>
          <w:tcPr>
            <w:tcW w:w="4394" w:type="dxa"/>
          </w:tcPr>
          <w:p>
            <w:pPr>
              <w:pStyle w:val="yTableNAm"/>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NAm"/>
            </w:pPr>
            <w:r>
              <w:t>s. 322 (except s. 322(6))</w:t>
            </w:r>
          </w:p>
        </w:tc>
        <w:tc>
          <w:tcPr>
            <w:tcW w:w="4394" w:type="dxa"/>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NAm"/>
            </w:pPr>
            <w:r>
              <w:t>s. 325</w:t>
            </w:r>
          </w:p>
        </w:tc>
        <w:tc>
          <w:tcPr>
            <w:tcW w:w="4394" w:type="dxa"/>
          </w:tcPr>
          <w:p>
            <w:pPr>
              <w:pStyle w:val="yTableNAm"/>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326</w:t>
            </w:r>
          </w:p>
        </w:tc>
        <w:tc>
          <w:tcPr>
            <w:tcW w:w="4394" w:type="dxa"/>
          </w:tcPr>
          <w:p>
            <w:pPr>
              <w:pStyle w:val="yTableNAm"/>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327</w:t>
            </w:r>
          </w:p>
        </w:tc>
        <w:tc>
          <w:tcPr>
            <w:tcW w:w="4394" w:type="dxa"/>
          </w:tcPr>
          <w:p>
            <w:pPr>
              <w:pStyle w:val="yTableNAm"/>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328</w:t>
            </w:r>
          </w:p>
        </w:tc>
        <w:tc>
          <w:tcPr>
            <w:tcW w:w="4394" w:type="dxa"/>
          </w:tcPr>
          <w:p>
            <w:pPr>
              <w:pStyle w:val="yTableNAm"/>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NAm"/>
            </w:pPr>
            <w:r>
              <w:t>s. 329 (except s. 329(8))</w:t>
            </w:r>
          </w:p>
        </w:tc>
        <w:tc>
          <w:tcPr>
            <w:tcW w:w="4394" w:type="dxa"/>
          </w:tcPr>
          <w:p>
            <w:pPr>
              <w:pStyle w:val="yTableNAm"/>
            </w:pPr>
            <w:r>
              <w:t>Sexual offences by relatives and the like</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NAm"/>
            </w:pPr>
            <w:r>
              <w:t>s. 330</w:t>
            </w:r>
          </w:p>
        </w:tc>
        <w:tc>
          <w:tcPr>
            <w:tcW w:w="4394" w:type="dxa"/>
            <w:tcBorders>
              <w:bottom w:val="single" w:sz="4" w:space="0" w:color="auto"/>
            </w:tcBorders>
          </w:tcPr>
          <w:p>
            <w:pPr>
              <w:pStyle w:val="yTableNAm"/>
            </w:pPr>
            <w:r>
              <w:t>Sexual offences against incapable person</w:t>
            </w:r>
          </w:p>
        </w:tc>
      </w:tr>
    </w:tbl>
    <w:p>
      <w:pPr>
        <w:pStyle w:val="yFootnotesection"/>
      </w:pPr>
      <w:r>
        <w:tab/>
        <w:t>[Schedule 1 amended: No. 2 of 2008 s. 58; No. 27 of 2008 s. 11; No. 29 of 2008 s. 25(2) and (3); No. 35 of 2024 s. 57.]</w:t>
      </w:r>
    </w:p>
    <w:p>
      <w:pPr>
        <w:pStyle w:val="yScheduleHeading"/>
      </w:pPr>
      <w:bookmarkStart w:id="300" w:name="_Toc203658304"/>
      <w:bookmarkStart w:id="301" w:name="_Toc203745244"/>
      <w:r>
        <w:rPr>
          <w:rStyle w:val="CharSchNo"/>
        </w:rPr>
        <w:lastRenderedPageBreak/>
        <w:t>Schedule 2</w:t>
      </w:r>
      <w:r>
        <w:t> — </w:t>
      </w:r>
      <w:r>
        <w:rPr>
          <w:rStyle w:val="CharSchText"/>
        </w:rPr>
        <w:t>Class 2 offences</w:t>
      </w:r>
      <w:bookmarkEnd w:id="300"/>
      <w:bookmarkEnd w:id="301"/>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192</w:t>
            </w:r>
          </w:p>
        </w:tc>
        <w:tc>
          <w:tcPr>
            <w:tcW w:w="4245" w:type="dxa"/>
            <w:tcBorders>
              <w:bottom w:val="single" w:sz="4" w:space="0" w:color="auto"/>
            </w:tcBorders>
          </w:tcPr>
          <w:p>
            <w:pPr>
              <w:pStyle w:val="yTableNAm"/>
            </w:pPr>
            <w:r>
              <w:t>Employment of child to perform in indecent manner</w:t>
            </w:r>
          </w:p>
        </w:tc>
      </w:tr>
    </w:tbl>
    <w:p>
      <w:pPr>
        <w:pStyle w:val="yFootnotesection"/>
      </w:pPr>
      <w:r>
        <w:tab/>
        <w:t>[Schedule 2 amended: No. 27 of 2008 s. 12; No. 21 of 2010 s. 13; No. 54 of 2012 s. 38; No. 25 of 2021 s. 64; No. 35 of 2024 s. 58.]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03" w:name="_Toc203658305"/>
      <w:bookmarkStart w:id="304" w:name="_Toc203745245"/>
      <w:r>
        <w:lastRenderedPageBreak/>
        <w:t>Notes</w:t>
      </w:r>
      <w:bookmarkEnd w:id="303"/>
      <w:bookmarkEnd w:id="30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305" w:name="_Toc203745246"/>
      <w:r>
        <w:t>Compilation table</w:t>
      </w:r>
      <w:bookmarkEnd w:id="30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pPr>
              <w:pStyle w:val="nTable"/>
              <w:spacing w:after="40"/>
            </w:pPr>
            <w:r>
              <w:t>31 of 2023</w:t>
            </w:r>
          </w:p>
        </w:tc>
        <w:tc>
          <w:tcPr>
            <w:tcW w:w="1134" w:type="dxa"/>
            <w:shd w:val="clear" w:color="auto" w:fill="auto"/>
          </w:tcPr>
          <w:p>
            <w:pPr>
              <w:pStyle w:val="nTable"/>
              <w:spacing w:after="40"/>
            </w:pPr>
            <w:r>
              <w:t>11 Dec 2023</w:t>
            </w:r>
          </w:p>
        </w:tc>
        <w:tc>
          <w:tcPr>
            <w:tcW w:w="2552" w:type="dxa"/>
            <w:shd w:val="clear" w:color="auto" w:fill="auto"/>
          </w:tcPr>
          <w:p>
            <w:pPr>
              <w:pStyle w:val="nTable"/>
              <w:spacing w:after="40"/>
            </w:pPr>
            <w:r>
              <w:t>21 Dec 2023 (see s. 2(c) and SL 2023/202 cl. 2(a))</w:t>
            </w:r>
          </w:p>
        </w:tc>
      </w:tr>
      <w:tr>
        <w:trPr>
          <w:cantSplit/>
        </w:trPr>
        <w:tc>
          <w:tcPr>
            <w:tcW w:w="2268" w:type="dxa"/>
            <w:shd w:val="clear" w:color="auto" w:fill="auto"/>
          </w:tcPr>
          <w:p>
            <w:pPr>
              <w:pStyle w:val="nTable"/>
              <w:spacing w:after="40"/>
              <w:rPr>
                <w:i/>
                <w:snapToGrid w:val="0"/>
              </w:rPr>
            </w:pPr>
            <w:r>
              <w:rPr>
                <w:i/>
                <w:snapToGrid w:val="0"/>
              </w:rPr>
              <w:t xml:space="preserve">Births, Deaths and Marriages Registration Amendment (Sex or Gender Changes) Act 2024 </w:t>
            </w:r>
            <w:r>
              <w:rPr>
                <w:iCs/>
                <w:snapToGrid w:val="0"/>
              </w:rPr>
              <w:t>Pt. 4 Div. 2</w:t>
            </w:r>
          </w:p>
        </w:tc>
        <w:tc>
          <w:tcPr>
            <w:tcW w:w="1134" w:type="dxa"/>
            <w:shd w:val="clear" w:color="auto" w:fill="auto"/>
          </w:tcPr>
          <w:p>
            <w:pPr>
              <w:pStyle w:val="nTable"/>
              <w:spacing w:after="40"/>
            </w:pPr>
            <w:r>
              <w:t>31 of 2024</w:t>
            </w:r>
          </w:p>
        </w:tc>
        <w:tc>
          <w:tcPr>
            <w:tcW w:w="1134" w:type="dxa"/>
            <w:shd w:val="clear" w:color="auto" w:fill="auto"/>
          </w:tcPr>
          <w:p>
            <w:pPr>
              <w:pStyle w:val="nTable"/>
              <w:spacing w:after="40"/>
            </w:pPr>
            <w:r>
              <w:t>26 Sep 2024</w:t>
            </w:r>
          </w:p>
        </w:tc>
        <w:tc>
          <w:tcPr>
            <w:tcW w:w="2552" w:type="dxa"/>
            <w:shd w:val="clear" w:color="auto" w:fill="auto"/>
          </w:tcPr>
          <w:p>
            <w:pPr>
              <w:pStyle w:val="nTable"/>
              <w:spacing w:after="40"/>
            </w:pPr>
            <w:r>
              <w:rPr>
                <w:snapToGrid w:val="0"/>
              </w:rPr>
              <w:t>30 May 2025 (see s. 2(b) and SL 2025/80 cl. 2)</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lastRenderedPageBreak/>
              <w:t>Community Protection (Offender Reporting) Amendment Act 2024</w:t>
            </w:r>
            <w:r>
              <w:rPr>
                <w:iCs/>
                <w:snapToGrid w:val="0"/>
              </w:rPr>
              <w:t xml:space="preserve"> Pt. 2 Div. 1</w:t>
            </w:r>
          </w:p>
        </w:tc>
        <w:tc>
          <w:tcPr>
            <w:tcW w:w="1134" w:type="dxa"/>
            <w:tcBorders>
              <w:bottom w:val="single" w:sz="4" w:space="0" w:color="auto"/>
            </w:tcBorders>
            <w:shd w:val="clear" w:color="auto" w:fill="auto"/>
          </w:tcPr>
          <w:p>
            <w:pPr>
              <w:pStyle w:val="nTable"/>
              <w:spacing w:after="40"/>
            </w:pPr>
            <w:r>
              <w:t>35 of 2024</w:t>
            </w:r>
          </w:p>
        </w:tc>
        <w:tc>
          <w:tcPr>
            <w:tcW w:w="1134" w:type="dxa"/>
            <w:tcBorders>
              <w:bottom w:val="single" w:sz="4" w:space="0" w:color="auto"/>
            </w:tcBorders>
            <w:shd w:val="clear" w:color="auto" w:fill="auto"/>
          </w:tcPr>
          <w:p>
            <w:pPr>
              <w:pStyle w:val="nTable"/>
              <w:spacing w:after="40"/>
            </w:pPr>
            <w:r>
              <w:t>22 Oct 2024</w:t>
            </w:r>
          </w:p>
        </w:tc>
        <w:tc>
          <w:tcPr>
            <w:tcW w:w="2552" w:type="dxa"/>
            <w:tcBorders>
              <w:bottom w:val="single" w:sz="4" w:space="0" w:color="auto"/>
            </w:tcBorders>
            <w:shd w:val="clear" w:color="auto" w:fill="auto"/>
          </w:tcPr>
          <w:p>
            <w:pPr>
              <w:pStyle w:val="nTable"/>
              <w:spacing w:after="40"/>
              <w:rPr>
                <w:snapToGrid w:val="0"/>
              </w:rPr>
            </w:pPr>
            <w:r>
              <w:rPr>
                <w:snapToGrid w:val="0"/>
              </w:rPr>
              <w:t>28 Jul 2025 (see s. 2(b) and SL 2025/137 cl. 2)</w:t>
            </w:r>
          </w:p>
        </w:tc>
      </w:tr>
    </w:tbl>
    <w:p>
      <w:pPr>
        <w:pStyle w:val="nHeading3"/>
      </w:pPr>
      <w:bookmarkStart w:id="306" w:name="_Toc203745247"/>
      <w:r>
        <w:t>Uncommenced provisions table</w:t>
      </w:r>
      <w:bookmarkEnd w:id="306"/>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3 Div. 1 and Pt. 4</w:t>
            </w:r>
          </w:p>
        </w:tc>
        <w:tc>
          <w:tcPr>
            <w:tcW w:w="1133"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307" w:name="_Toc203745248"/>
      <w:r>
        <w:t>Other notes</w:t>
      </w:r>
      <w:bookmarkEnd w:id="307"/>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09" w:name="_Toc203745249"/>
      <w:r>
        <w:rPr>
          <w:sz w:val="28"/>
        </w:rPr>
        <w:lastRenderedPageBreak/>
        <w:t>Defined terms</w:t>
      </w:r>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 official</w:t>
      </w:r>
      <w:r>
        <w:tab/>
        <w:t>82(1A)</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APS employee</w:t>
      </w:r>
      <w:r>
        <w:tab/>
        <w:t>82(1A)</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3, 119</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2(2)</w:t>
      </w:r>
    </w:p>
    <w:p>
      <w:pPr>
        <w:pStyle w:val="DefinedTerms"/>
      </w:pPr>
      <w:r>
        <w:t>corresponding reportable offence</w:t>
      </w:r>
      <w:r>
        <w:tab/>
        <w:t>2(2)</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detainee under the CLMI Act</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electronic device</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lastRenderedPageBreak/>
        <w:t>forensic database</w:t>
      </w:r>
      <w:r>
        <w:tab/>
        <w:t>40A(1)</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immigration detention</w:t>
      </w:r>
      <w:r>
        <w:tab/>
        <w:t>3</w:t>
      </w:r>
    </w:p>
    <w:p>
      <w:pPr>
        <w:pStyle w:val="DefinedTerms"/>
      </w:pPr>
      <w:r>
        <w:t>incidental communication application</w:t>
      </w:r>
      <w:r>
        <w:tab/>
        <w:t>26(5)</w:t>
      </w:r>
    </w:p>
    <w:p>
      <w:pPr>
        <w:pStyle w:val="DefinedTerms"/>
      </w:pPr>
      <w:r>
        <w:t>information</w:t>
      </w:r>
      <w:r>
        <w:tab/>
        <w:t>85GA(2), 85K(1)</w:t>
      </w:r>
    </w:p>
    <w:p>
      <w:pPr>
        <w:pStyle w:val="DefinedTerms"/>
      </w:pPr>
      <w:r>
        <w:t>in person</w:t>
      </w:r>
      <w:r>
        <w:tab/>
        <w:t>5(2)</w:t>
      </w:r>
    </w:p>
    <w:p>
      <w:pPr>
        <w:pStyle w:val="DefinedTerms"/>
      </w:pPr>
      <w:r>
        <w:t>interim protection order</w:t>
      </w:r>
      <w:r>
        <w:tab/>
        <w:t>85M(2)</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locality</w:t>
      </w:r>
      <w:r>
        <w:tab/>
        <w:t>85A</w:t>
      </w:r>
    </w:p>
    <w:p>
      <w:pPr>
        <w:pStyle w:val="DefinedTerms"/>
      </w:pPr>
      <w:r>
        <w:t>management</w:t>
      </w:r>
      <w:r>
        <w:tab/>
        <w:t>110A(1)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non-contact period</w:t>
      </w:r>
      <w:r>
        <w:tab/>
        <w:t>33D(1)</w:t>
      </w:r>
    </w:p>
    <w:p>
      <w:pPr>
        <w:pStyle w:val="DefinedTerms"/>
      </w:pPr>
      <w:r>
        <w:t>non-intimate identifying procedure</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85A</w:t>
      </w:r>
    </w:p>
    <w:p>
      <w:pPr>
        <w:pStyle w:val="DefinedTerms"/>
      </w:pPr>
      <w:r>
        <w:t>premises</w:t>
      </w:r>
      <w:r>
        <w:tab/>
        <w:t>3</w:t>
      </w:r>
    </w:p>
    <w:p>
      <w:pPr>
        <w:pStyle w:val="DefinedTerms"/>
      </w:pPr>
      <w:r>
        <w:t>prescribed</w:t>
      </w:r>
      <w:r>
        <w:tab/>
        <w:t>3</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publication day</w:t>
      </w:r>
      <w:r>
        <w:tab/>
        <w:t>118(1)</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lastRenderedPageBreak/>
        <w:t>relevant day</w:t>
      </w:r>
      <w:r>
        <w:tab/>
        <w:t>115A(1), 115B(1)</w:t>
      </w:r>
    </w:p>
    <w:p>
      <w:pPr>
        <w:pStyle w:val="DefinedTerms"/>
      </w:pPr>
      <w:r>
        <w:t>relevant offence</w:t>
      </w:r>
      <w:r>
        <w:tab/>
        <w:t>115A(1), 115B(1)</w:t>
      </w:r>
    </w:p>
    <w:p>
      <w:pPr>
        <w:pStyle w:val="DefinedTerms"/>
      </w:pPr>
      <w:r>
        <w:t>reportable contact</w:t>
      </w:r>
      <w:r>
        <w:tab/>
        <w:t>3, 4A(1)</w:t>
      </w:r>
    </w:p>
    <w:p>
      <w:pPr>
        <w:pStyle w:val="DefinedTerms"/>
      </w:pPr>
      <w:r>
        <w:t>reportable contact details</w:t>
      </w:r>
      <w:r>
        <w:tab/>
        <w:t>3, 4B(1)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3</w:t>
      </w:r>
    </w:p>
    <w:p>
      <w:pPr>
        <w:pStyle w:val="DefinedTerms"/>
      </w:pPr>
      <w:r>
        <w:t>reporting period</w:t>
      </w:r>
      <w:r>
        <w:tab/>
        <w:t>3</w:t>
      </w:r>
    </w:p>
    <w:p>
      <w:pPr>
        <w:pStyle w:val="DefinedTerms"/>
      </w:pPr>
      <w:r>
        <w:t>respondent</w:t>
      </w:r>
      <w:r>
        <w:tab/>
        <w:t>14A, 85</w:t>
      </w:r>
    </w:p>
    <w:p>
      <w:pPr>
        <w:pStyle w:val="DefinedTerms"/>
      </w:pPr>
      <w:r>
        <w:t>restraining order</w:t>
      </w:r>
      <w:r>
        <w:tab/>
        <w:t>107(1)</w:t>
      </w:r>
    </w:p>
    <w:p>
      <w:pPr>
        <w:pStyle w:val="DefinedTerms"/>
      </w:pPr>
      <w:r>
        <w:t>senior police officer</w:t>
      </w:r>
      <w:r>
        <w:tab/>
        <w:t>3</w:t>
      </w:r>
    </w:p>
    <w:p>
      <w:pPr>
        <w:pStyle w:val="DefinedTerms"/>
      </w:pPr>
      <w:r>
        <w:t>sentence</w:t>
      </w:r>
      <w:r>
        <w:tab/>
        <w:t>3</w:t>
      </w:r>
    </w:p>
    <w:p>
      <w:pPr>
        <w:pStyle w:val="DefinedTerms"/>
      </w:pPr>
      <w:r>
        <w:t>serious reportable offender</w:t>
      </w:r>
      <w:r>
        <w:tab/>
        <w:t>108A(1)</w:t>
      </w:r>
    </w:p>
    <w:p>
      <w:pPr>
        <w:pStyle w:val="DefinedTerms"/>
      </w:pPr>
      <w:r>
        <w:t>serious sexual offence</w:t>
      </w:r>
      <w:r>
        <w:tab/>
        <w:t>85A</w:t>
      </w:r>
    </w:p>
    <w:p>
      <w:pPr>
        <w:pStyle w:val="DefinedTerms"/>
      </w:pPr>
      <w:r>
        <w:t>specified</w:t>
      </w:r>
      <w:r>
        <w:tab/>
        <w:t>113(1), 118(1)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thing relevant to an offence</w:t>
      </w:r>
      <w:r>
        <w:tab/>
        <w:t>108F(1)</w:t>
      </w:r>
    </w:p>
    <w:p>
      <w:pPr>
        <w:pStyle w:val="DefinedTerms"/>
      </w:pPr>
      <w:r>
        <w:t>transitional matter</w:t>
      </w:r>
      <w:r>
        <w:tab/>
        <w:t>118(1)</w:t>
      </w:r>
    </w:p>
    <w:p>
      <w:pPr>
        <w:pStyle w:val="DefinedTerms"/>
      </w:pPr>
      <w:r>
        <w:t>updated report</w:t>
      </w:r>
      <w:r>
        <w:tab/>
        <w:t>121(4)</w:t>
      </w:r>
    </w:p>
    <w:p>
      <w:pPr>
        <w:pStyle w:val="DefinedTerms"/>
      </w:pPr>
      <w:r>
        <w:t>WA Police</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B68467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708639" w14:textId="7EFB3951" w:rsidR="00C63ED6" w:rsidRDefault="00F72E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7229">
                        <w:rPr>
                          <w:sz w:val="16"/>
                        </w:rPr>
                        <w:t>2025</w:t>
                      </w:r>
                      <w:r>
                        <w:rPr>
                          <w:sz w:val="16"/>
                        </w:rPr>
                        <w:fldChar w:fldCharType="end"/>
                      </w:r>
                      <w:r>
                        <w:rPr>
                          <w:sz w:val="16"/>
                        </w:rPr>
                        <w:t>.</w:t>
                      </w:r>
                    </w:p>
                    <w:p w14:paraId="14DA030A" w14:textId="77777777" w:rsidR="00C63ED6" w:rsidRDefault="00F72E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B3514E" w14:textId="3EDAC49A" w:rsidR="00C63ED6" w:rsidRDefault="00F72E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7229">
                        <w:rPr>
                          <w:sz w:val="16"/>
                        </w:rPr>
                        <w:t>2025</w:t>
                      </w:r>
                      <w:r>
                        <w:rPr>
                          <w:sz w:val="16"/>
                        </w:rPr>
                        <w:fldChar w:fldCharType="end"/>
                      </w:r>
                      <w:r>
                        <w:rPr>
                          <w:sz w:val="16"/>
                        </w:rPr>
                        <w:t>.</w:t>
                      </w:r>
                    </w:p>
                    <w:p w14:paraId="1C42D96E" w14:textId="77777777" w:rsidR="00C63ED6" w:rsidRDefault="00F72E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Stage 1 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Stage 1 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0" w:name="DefinedTerms"/>
    <w:bookmarkEnd w:id="3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5203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 w:name="WAFER_2025071715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52039_GUID" w:val="c174e6e3-580d-4a42-be34-ea678dbfcf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38960</Words>
  <Characters>191297</Characters>
  <Application>Microsoft Office Word</Application>
  <DocSecurity>0</DocSecurity>
  <Lines>5313</Lines>
  <Paragraphs>3029</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227228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2004 - 02-q0-00</dc:title>
  <dc:subject/>
  <dc:creator/>
  <cp:keywords/>
  <dc:description/>
  <cp:lastModifiedBy>Master Repository Process</cp:lastModifiedBy>
  <cp:revision>4</cp:revision>
  <cp:lastPrinted>2021-12-21T08:49:00Z</cp:lastPrinted>
  <dcterms:created xsi:type="dcterms:W3CDTF">2025-07-22T04:28:00Z</dcterms:created>
  <dcterms:modified xsi:type="dcterms:W3CDTF">2025-07-22T04:28:00Z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28 Jul 2025</vt:lpwstr>
  </property>
  <property fmtid="{D5CDD505-2E9C-101B-9397-08002B2CF9AE}" pid="8" name="Suffix">
    <vt:lpwstr>02-q0-00</vt:lpwstr>
  </property>
  <property fmtid="{D5CDD505-2E9C-101B-9397-08002B2CF9AE}" pid="9" name="Official">
    <vt:lpwstr/>
  </property>
  <property fmtid="{D5CDD505-2E9C-101B-9397-08002B2CF9AE}" pid="10" name="CommencementDate">
    <vt:lpwstr>20250728</vt:lpwstr>
  </property>
  <property fmtid="{D5CDD505-2E9C-101B-9397-08002B2CF9AE}" pid="11" name="CommencementAsAt">
    <vt:filetime>2025-07-27T16:00:00Z</vt:filetime>
  </property>
  <property fmtid="{D5CDD505-2E9C-101B-9397-08002B2CF9AE}" pid="12" name="CommencementYear">
    <vt:lpwstr>2025</vt:lpwstr>
  </property>
</Properties>
</file>