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_Toc203660177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_Toc203660178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_Toc203660179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_Toc203660180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_Toc203660181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_Toc203660182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_Toc203660183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_Toc203660184 \h </w:instrText>
      </w:r>
      <w:r>
        <w:fldChar w:fldCharType="separate"/>
      </w:r>
      <w:r>
        <w:t>5</w:t>
      </w:r>
      <w:r>
        <w:fldChar w:fldCharType="end"/>
      </w:r>
    </w:p>
    <w:p>
      <w:pPr>
        <w:pStyle w:val="TOC8"/>
        <w:rPr>
          <w:rFonts w:asciiTheme="minorHAnsi" w:eastAsiaTheme="minorEastAsia" w:hAnsiTheme="minorHAnsi" w:cstheme="minorBidi"/>
          <w:szCs w:val="22"/>
        </w:rPr>
      </w:pPr>
      <w:r>
        <w:t>7A.</w:t>
      </w:r>
      <w:r>
        <w:tab/>
        <w:t>Reportable contact details (s. 4B)</w:t>
      </w:r>
      <w:r>
        <w:tab/>
      </w:r>
      <w:r>
        <w:fldChar w:fldCharType="begin"/>
      </w:r>
      <w:r>
        <w:instrText xml:space="preserve"> PAGEREF _Toc203660185 \h </w:instrText>
      </w:r>
      <w:r>
        <w:fldChar w:fldCharType="separate"/>
      </w:r>
      <w:r>
        <w:t>6</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_Toc203660186 \h </w:instrText>
      </w:r>
      <w:r>
        <w:fldChar w:fldCharType="separate"/>
      </w:r>
      <w:r>
        <w:t>7</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_Toc203660187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_Toc203660188 \h </w:instrText>
      </w:r>
      <w:r>
        <w:fldChar w:fldCharType="separate"/>
      </w:r>
      <w:r>
        <w:t>8</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_Toc203660189 \h </w:instrText>
      </w:r>
      <w:r>
        <w:fldChar w:fldCharType="separate"/>
      </w:r>
      <w:r>
        <w:t>8</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_Toc203660190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_Toc203660191 \h </w:instrText>
      </w:r>
      <w:r>
        <w:fldChar w:fldCharType="separate"/>
      </w:r>
      <w:r>
        <w:t>10</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_Toc203660192 \h </w:instrText>
      </w:r>
      <w:r>
        <w:fldChar w:fldCharType="separate"/>
      </w:r>
      <w:r>
        <w:t>10</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_Toc203660193 \h </w:instrText>
      </w:r>
      <w:r>
        <w:fldChar w:fldCharType="separate"/>
      </w:r>
      <w:r>
        <w:t>10</w:t>
      </w:r>
      <w:r>
        <w:fldChar w:fldCharType="end"/>
      </w:r>
    </w:p>
    <w:p>
      <w:pPr>
        <w:pStyle w:val="TOC8"/>
        <w:rPr>
          <w:rFonts w:asciiTheme="minorHAnsi" w:eastAsiaTheme="minorEastAsia" w:hAnsiTheme="minorHAnsi" w:cstheme="minorBidi"/>
          <w:szCs w:val="22"/>
        </w:rPr>
      </w:pPr>
      <w:r>
        <w:t>14A.</w:t>
      </w:r>
      <w:r>
        <w:tab/>
        <w:t>Manner in which unique reference number or acknowledgment may be given (s. 37)</w:t>
      </w:r>
      <w:r>
        <w:tab/>
      </w:r>
      <w:r>
        <w:fldChar w:fldCharType="begin"/>
      </w:r>
      <w:r>
        <w:instrText xml:space="preserve"> PAGEREF _Toc203660194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_Toc203660195 \h </w:instrText>
      </w:r>
      <w:r>
        <w:fldChar w:fldCharType="separate"/>
      </w:r>
      <w:r>
        <w:t>11</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_Toc203660196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Persons required to give notice of reporting obligations etc. to reportable offenders (s. 67)</w:t>
      </w:r>
      <w:r>
        <w:tab/>
      </w:r>
      <w:r>
        <w:fldChar w:fldCharType="begin"/>
      </w:r>
      <w:r>
        <w:instrText xml:space="preserve"> PAGEREF _Toc203660197 \h </w:instrText>
      </w:r>
      <w:r>
        <w:fldChar w:fldCharType="separate"/>
      </w:r>
      <w:r>
        <w:t>12</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_Toc203660198 \h </w:instrText>
      </w:r>
      <w:r>
        <w:fldChar w:fldCharType="separate"/>
      </w:r>
      <w:r>
        <w:t>13</w:t>
      </w:r>
      <w:r>
        <w:fldChar w:fldCharType="end"/>
      </w:r>
    </w:p>
    <w:p>
      <w:pPr>
        <w:pStyle w:val="TOC8"/>
        <w:rPr>
          <w:rFonts w:asciiTheme="minorHAnsi" w:eastAsiaTheme="minorEastAsia" w:hAnsiTheme="minorHAnsi" w:cstheme="minorBidi"/>
          <w:szCs w:val="22"/>
        </w:rPr>
      </w:pPr>
      <w:r>
        <w:t>20A.</w:t>
      </w:r>
      <w:r>
        <w:tab/>
        <w:t>Agency officials to whom and circumstances in which disclosure can be made (s. 82)</w:t>
      </w:r>
      <w:r>
        <w:tab/>
      </w:r>
      <w:r>
        <w:fldChar w:fldCharType="begin"/>
      </w:r>
      <w:r>
        <w:instrText xml:space="preserve"> PAGEREF _Toc203660199 \h </w:instrText>
      </w:r>
      <w:r>
        <w:fldChar w:fldCharType="separate"/>
      </w:r>
      <w:r>
        <w:t>14</w:t>
      </w:r>
      <w:r>
        <w:fldChar w:fldCharType="end"/>
      </w:r>
    </w:p>
    <w:p>
      <w:pPr>
        <w:pStyle w:val="TOC8"/>
        <w:rPr>
          <w:rFonts w:asciiTheme="minorHAnsi" w:eastAsiaTheme="minorEastAsia" w:hAnsiTheme="minorHAnsi" w:cstheme="minorBidi"/>
          <w:szCs w:val="22"/>
        </w:rPr>
      </w:pPr>
      <w:r>
        <w:t>20B.</w:t>
      </w:r>
      <w:r>
        <w:tab/>
        <w:t>Delegation by Commissioner (s. 82A)</w:t>
      </w:r>
      <w:r>
        <w:tab/>
      </w:r>
      <w:r>
        <w:fldChar w:fldCharType="begin"/>
      </w:r>
      <w:r>
        <w:instrText xml:space="preserve"> PAGEREF _Toc203660200 \h </w:instrText>
      </w:r>
      <w:r>
        <w:fldChar w:fldCharType="separate"/>
      </w:r>
      <w:r>
        <w:t>15</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_Toc203660201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_Toc203660202 \h </w:instrText>
      </w:r>
      <w:r>
        <w:fldChar w:fldCharType="separate"/>
      </w:r>
      <w:r>
        <w:t>16</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_Toc203660203 \h </w:instrText>
      </w:r>
      <w:r>
        <w:fldChar w:fldCharType="separate"/>
      </w:r>
      <w:r>
        <w:t>17</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_Toc203660204 \h </w:instrText>
      </w:r>
      <w:r>
        <w:fldChar w:fldCharType="separate"/>
      </w:r>
      <w:r>
        <w:t>17</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_Toc203660205 \h </w:instrText>
      </w:r>
      <w:r>
        <w:fldChar w:fldCharType="separate"/>
      </w:r>
      <w:r>
        <w:t>18</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_Toc203660206 \h </w:instrText>
      </w:r>
      <w:r>
        <w:fldChar w:fldCharType="separate"/>
      </w:r>
      <w:r>
        <w:t>19</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_Toc203660207 \h </w:instrText>
      </w:r>
      <w:r>
        <w:fldChar w:fldCharType="separate"/>
      </w:r>
      <w:r>
        <w:t>21</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_Toc203660208 \h </w:instrText>
      </w:r>
      <w:r>
        <w:fldChar w:fldCharType="separate"/>
      </w:r>
      <w:r>
        <w:t>21</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_Toc203660209 \h </w:instrText>
      </w:r>
      <w:r>
        <w:fldChar w:fldCharType="separate"/>
      </w:r>
      <w:r>
        <w:t>22</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_Toc203660210 \h </w:instrText>
      </w:r>
      <w:r>
        <w:fldChar w:fldCharType="separate"/>
      </w:r>
      <w:r>
        <w:t>23</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_Toc203660211 \h </w:instrText>
      </w:r>
      <w:r>
        <w:fldChar w:fldCharType="separate"/>
      </w:r>
      <w:r>
        <w:t>23</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_Toc203660212 \h </w:instrText>
      </w:r>
      <w:r>
        <w:fldChar w:fldCharType="separate"/>
      </w:r>
      <w:r>
        <w:t>25</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_Toc203660213 \h </w:instrText>
      </w:r>
      <w:r>
        <w:fldChar w:fldCharType="separate"/>
      </w:r>
      <w:r>
        <w:t>26</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_Toc203660214 \h </w:instrText>
      </w:r>
      <w:r>
        <w:fldChar w:fldCharType="separate"/>
      </w:r>
      <w:r>
        <w:t>26</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_Toc203660215 \h </w:instrText>
      </w:r>
      <w:r>
        <w:fldChar w:fldCharType="separate"/>
      </w:r>
      <w:r>
        <w:t>27</w:t>
      </w:r>
      <w:r>
        <w:fldChar w:fldCharType="end"/>
      </w:r>
    </w:p>
    <w:p>
      <w:pPr>
        <w:pStyle w:val="TOC8"/>
        <w:rPr>
          <w:rFonts w:asciiTheme="minorHAnsi" w:eastAsiaTheme="minorEastAsia" w:hAnsiTheme="minorHAnsi" w:cstheme="minorBidi"/>
          <w:szCs w:val="22"/>
        </w:rPr>
      </w:pPr>
      <w:r>
        <w:t>26L.</w:t>
      </w:r>
      <w:r>
        <w:tab/>
        <w:t>Prescribed offences under law of foreign jurisdiction (s. 108A)</w:t>
      </w:r>
      <w:r>
        <w:tab/>
      </w:r>
      <w:r>
        <w:fldChar w:fldCharType="begin"/>
      </w:r>
      <w:r>
        <w:instrText xml:space="preserve"> PAGEREF _Toc203660216 \h </w:instrText>
      </w:r>
      <w:r>
        <w:fldChar w:fldCharType="separate"/>
      </w:r>
      <w:r>
        <w:t>28</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_Toc203660217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_Toc203660219 \h </w:instrText>
      </w:r>
      <w:r>
        <w:fldChar w:fldCharType="separate"/>
      </w:r>
      <w:r>
        <w:t>30</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_Toc203660220 \h </w:instrText>
      </w:r>
      <w:r>
        <w:fldChar w:fldCharType="separate"/>
      </w:r>
      <w:r>
        <w:t>32</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_Toc203660221 \h </w:instrText>
      </w:r>
      <w:r>
        <w:fldChar w:fldCharType="separate"/>
      </w:r>
      <w:r>
        <w:t>34</w:t>
      </w:r>
      <w:r>
        <w:fldChar w:fldCharType="end"/>
      </w:r>
    </w:p>
    <w:p>
      <w:pPr>
        <w:pStyle w:val="TOC8"/>
        <w:rPr>
          <w:rFonts w:asciiTheme="minorHAnsi" w:eastAsiaTheme="minorEastAsia" w:hAnsiTheme="minorHAnsi" w:cstheme="minorBidi"/>
          <w:szCs w:val="22"/>
        </w:rPr>
      </w:pPr>
      <w:r>
        <w:lastRenderedPageBreak/>
        <w:t>5.</w:t>
      </w:r>
      <w:r>
        <w:tab/>
        <w:t>Request to take sample of blood or urine (r. 26F(2))</w:t>
      </w:r>
      <w:r>
        <w:tab/>
      </w:r>
      <w:r>
        <w:fldChar w:fldCharType="begin"/>
      </w:r>
      <w:r>
        <w:instrText xml:space="preserve"> PAGEREF _Toc203660222 \h </w:instrText>
      </w:r>
      <w:r>
        <w:fldChar w:fldCharType="separate"/>
      </w:r>
      <w:r>
        <w:t>36</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_Toc203660223 \h </w:instrText>
      </w:r>
      <w:r>
        <w:fldChar w:fldCharType="separate"/>
      </w:r>
      <w:r>
        <w:t>38</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_Toc203660224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_Toc203660226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2" w:name="_Toc203660177"/>
      <w:r>
        <w:rPr>
          <w:rStyle w:val="CharSectno"/>
        </w:rPr>
        <w:t>1</w:t>
      </w:r>
      <w:r>
        <w:t>.</w:t>
      </w:r>
      <w:r>
        <w:tab/>
        <w:t>Citation</w:t>
      </w:r>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03660178"/>
      <w:r>
        <w:rPr>
          <w:rStyle w:val="CharSectno"/>
        </w:rPr>
        <w:t>2</w:t>
      </w:r>
      <w:r>
        <w:rPr>
          <w:spacing w:val="-2"/>
        </w:rPr>
        <w:t>.</w:t>
      </w:r>
      <w:r>
        <w:rPr>
          <w:spacing w:val="-2"/>
        </w:rPr>
        <w:tab/>
        <w:t>Commencement</w:t>
      </w:r>
      <w:bookmarkEnd w:id="3"/>
    </w:p>
    <w:p>
      <w:pPr>
        <w:pStyle w:val="Subsection"/>
      </w:pPr>
      <w:r>
        <w:tab/>
      </w:r>
      <w:r>
        <w:tab/>
        <w:t>These regulations come into operation on 1 February 2005.</w:t>
      </w:r>
    </w:p>
    <w:p>
      <w:pPr>
        <w:pStyle w:val="Heading5"/>
        <w:spacing w:before="240"/>
      </w:pPr>
      <w:bookmarkStart w:id="4" w:name="_Toc203660179"/>
      <w:r>
        <w:rPr>
          <w:rStyle w:val="CharSectno"/>
        </w:rPr>
        <w:t>3</w:t>
      </w:r>
      <w:r>
        <w:t>.</w:t>
      </w:r>
      <w:r>
        <w:tab/>
        <w:t>Terms used</w:t>
      </w:r>
      <w:bookmarkEnd w:id="4"/>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Department of Justice</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 SL 2025/142 r. 4.]</w:t>
      </w:r>
    </w:p>
    <w:p>
      <w:pPr>
        <w:pStyle w:val="Heading5"/>
      </w:pPr>
      <w:bookmarkStart w:id="5" w:name="_Toc203660180"/>
      <w:r>
        <w:rPr>
          <w:rStyle w:val="CharSectno"/>
        </w:rPr>
        <w:lastRenderedPageBreak/>
        <w:t>4</w:t>
      </w:r>
      <w:r>
        <w:t>.</w:t>
      </w:r>
      <w:r>
        <w:tab/>
        <w:t>Authorised persons (s. 3)</w:t>
      </w:r>
      <w:bookmarkEnd w:id="5"/>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employed in the department of the Public Service principally assisting in the administration of the Act; and</w:t>
      </w:r>
    </w:p>
    <w:p>
      <w:pPr>
        <w:pStyle w:val="Indenta"/>
        <w:spacing w:before="70"/>
      </w:pPr>
      <w:r>
        <w:tab/>
        <w:t>(b)</w:t>
      </w:r>
      <w:r>
        <w:tab/>
        <w:t>authorised in writing by the Commissioner for the purposes of this regulation.</w:t>
      </w:r>
    </w:p>
    <w:p>
      <w:pPr>
        <w:pStyle w:val="Footnotesection"/>
        <w:spacing w:before="100"/>
      </w:pPr>
      <w:r>
        <w:tab/>
        <w:t>[Regulation 4 amended: SL 2025/142 r. 5.]</w:t>
      </w:r>
    </w:p>
    <w:p>
      <w:pPr>
        <w:pStyle w:val="Heading5"/>
      </w:pPr>
      <w:bookmarkStart w:id="6" w:name="_Toc203660181"/>
      <w:r>
        <w:rPr>
          <w:rStyle w:val="CharSectno"/>
        </w:rPr>
        <w:t>5</w:t>
      </w:r>
      <w:r>
        <w:t>.</w:t>
      </w:r>
      <w:r>
        <w:tab/>
        <w:t>Corresponding Acts (s. 3)</w:t>
      </w:r>
      <w:bookmarkEnd w:id="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7" w:name="_Toc203660182"/>
      <w:r>
        <w:rPr>
          <w:rStyle w:val="CharSectno"/>
        </w:rPr>
        <w:t>6</w:t>
      </w:r>
      <w:r>
        <w:t>.</w:t>
      </w:r>
      <w:r>
        <w:tab/>
        <w:t>Corresponding offender reporting orders (s. 3)</w:t>
      </w:r>
      <w:bookmarkEnd w:id="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keepNext/>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8" w:name="_Toc203660183"/>
      <w:r>
        <w:rPr>
          <w:rStyle w:val="CharSectno"/>
        </w:rPr>
        <w:lastRenderedPageBreak/>
        <w:t>6A</w:t>
      </w:r>
      <w:r>
        <w:t>.</w:t>
      </w:r>
      <w:r>
        <w:tab/>
        <w:t>Sentences (s. 3)</w:t>
      </w:r>
      <w:bookmarkEnd w:id="8"/>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9" w:name="_Toc203660184"/>
      <w:r>
        <w:rPr>
          <w:rStyle w:val="CharSectno"/>
        </w:rPr>
        <w:t>7</w:t>
      </w:r>
      <w:r>
        <w:t>.</w:t>
      </w:r>
      <w:r>
        <w:tab/>
        <w:t>Supervising authorities (s. 3)</w:t>
      </w:r>
      <w:bookmarkEnd w:id="9"/>
    </w:p>
    <w:p>
      <w:pPr>
        <w:pStyle w:val="Subsection"/>
      </w:pPr>
      <w:r>
        <w:tab/>
        <w:t>(1)</w:t>
      </w:r>
      <w:r>
        <w:tab/>
        <w:t xml:space="preserve">Except as stated in subregulation (2) or (4),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 (other than a reportable offender who is in immigration detention); or</w:t>
      </w:r>
    </w:p>
    <w:p>
      <w:pPr>
        <w:pStyle w:val="Indenta"/>
      </w:pPr>
      <w:r>
        <w:tab/>
        <w:t>(b)</w:t>
      </w:r>
      <w:r>
        <w:tab/>
        <w:t>in government custody (other than a reportable offender who is in immigration detention);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lastRenderedPageBreak/>
        <w:tab/>
        <w:t>(b)</w:t>
      </w:r>
      <w:r>
        <w:tab/>
        <w:t>as a condition of being released under a leave of absence order, is subject to supervision by an officer of the Department of Justice.</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 SL 2025/142 r. 6.]</w:t>
      </w:r>
    </w:p>
    <w:p>
      <w:pPr>
        <w:pStyle w:val="Heading5"/>
      </w:pPr>
      <w:bookmarkStart w:id="10" w:name="_Toc203646247"/>
      <w:bookmarkStart w:id="11" w:name="_Toc203646567"/>
      <w:bookmarkStart w:id="12" w:name="_Toc203660185"/>
      <w:r>
        <w:rPr>
          <w:rStyle w:val="CharSectno"/>
        </w:rPr>
        <w:t>7A</w:t>
      </w:r>
      <w:r>
        <w:t>.</w:t>
      </w:r>
      <w:r>
        <w:tab/>
        <w:t>Reportable contact details (s. 4B)</w:t>
      </w:r>
      <w:bookmarkEnd w:id="10"/>
      <w:bookmarkEnd w:id="11"/>
      <w:bookmarkEnd w:id="12"/>
    </w:p>
    <w:p>
      <w:pPr>
        <w:pStyle w:val="Subsection"/>
      </w:pPr>
      <w:r>
        <w:tab/>
      </w:r>
      <w:r>
        <w:tab/>
        <w:t>For the purposes of section 4B(2)(c) of the Act, the frequency of the contact or likely contact with the child is a detail related to reportable contact or likely reportable contact with a child by a reportable offender.</w:t>
      </w:r>
    </w:p>
    <w:p>
      <w:pPr>
        <w:pStyle w:val="Footnotesection"/>
      </w:pPr>
      <w:r>
        <w:tab/>
        <w:t>[Regulation 7A inserted: SL 2025/142 r. 7.]</w:t>
      </w:r>
    </w:p>
    <w:p>
      <w:pPr>
        <w:pStyle w:val="Heading5"/>
      </w:pPr>
      <w:bookmarkStart w:id="13" w:name="_Toc203660186"/>
      <w:r>
        <w:rPr>
          <w:rStyle w:val="CharSectno"/>
        </w:rPr>
        <w:lastRenderedPageBreak/>
        <w:t>8</w:t>
      </w:r>
      <w:r>
        <w:t>.</w:t>
      </w:r>
      <w:r>
        <w:tab/>
        <w:t>Offences — relevance if committed by child (s. 6)</w:t>
      </w:r>
      <w:bookmarkEnd w:id="13"/>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4" w:name="_Toc203660187"/>
      <w:r>
        <w:rPr>
          <w:rStyle w:val="CharSectno"/>
        </w:rPr>
        <w:t>9</w:t>
      </w:r>
      <w:r>
        <w:t>.</w:t>
      </w:r>
      <w:r>
        <w:tab/>
        <w:t>Foreign witness protection laws (s. 6 and 75)</w:t>
      </w:r>
      <w:bookmarkEnd w:id="14"/>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w:t>
      </w:r>
      <w:r>
        <w:rPr>
          <w:i/>
          <w:iCs/>
        </w:rPr>
        <w:t>2002</w:t>
      </w:r>
      <w:r>
        <w:t xml:space="preserve"> (Northern Territory);</w:t>
      </w:r>
    </w:p>
    <w:p>
      <w:pPr>
        <w:pStyle w:val="Indenta"/>
        <w:keepNext/>
      </w:pPr>
      <w:r>
        <w:tab/>
        <w:t>(h)</w:t>
      </w:r>
      <w:r>
        <w:tab/>
        <w:t xml:space="preserve">the </w:t>
      </w:r>
      <w:r>
        <w:rPr>
          <w:i/>
          <w:iCs/>
        </w:rPr>
        <w:t>Witness Protection Act 1996</w:t>
      </w:r>
      <w:r>
        <w:t xml:space="preserve"> of the Australian Capital Territory.</w:t>
      </w:r>
    </w:p>
    <w:p>
      <w:pPr>
        <w:pStyle w:val="Footnotesection"/>
      </w:pPr>
      <w:r>
        <w:tab/>
        <w:t>[Regulation 9 amended: SL 2025/142 r. 8.]</w:t>
      </w:r>
    </w:p>
    <w:p>
      <w:pPr>
        <w:pStyle w:val="Heading5"/>
      </w:pPr>
      <w:bookmarkStart w:id="15" w:name="_Toc203660188"/>
      <w:r>
        <w:rPr>
          <w:rStyle w:val="CharSectno"/>
        </w:rPr>
        <w:lastRenderedPageBreak/>
        <w:t>10</w:t>
      </w:r>
      <w:r>
        <w:t>.</w:t>
      </w:r>
      <w:r>
        <w:tab/>
        <w:t>Specified date for determining New South Wales reportable offenders (s. 8)</w:t>
      </w:r>
      <w:bookmarkEnd w:id="15"/>
    </w:p>
    <w:p>
      <w:pPr>
        <w:pStyle w:val="Subsection"/>
      </w:pPr>
      <w:r>
        <w:tab/>
      </w:r>
      <w:r>
        <w:tab/>
        <w:t>For the purposes of section 8 of the Act, 1 February 2005 is specified.</w:t>
      </w:r>
    </w:p>
    <w:p>
      <w:pPr>
        <w:pStyle w:val="Heading5"/>
      </w:pPr>
      <w:bookmarkStart w:id="16" w:name="_Toc203660189"/>
      <w:r>
        <w:rPr>
          <w:rStyle w:val="CharSectno"/>
        </w:rPr>
        <w:t>11A</w:t>
      </w:r>
      <w:r>
        <w:t>.</w:t>
      </w:r>
      <w:r>
        <w:tab/>
        <w:t>Class 1 offences (s. 10)</w:t>
      </w:r>
      <w:bookmarkEnd w:id="16"/>
    </w:p>
    <w:p>
      <w:pPr>
        <w:pStyle w:val="Subsection"/>
      </w:pPr>
      <w:r>
        <w:tab/>
        <w:t>(1)</w:t>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Subsection"/>
      </w:pPr>
      <w:r>
        <w:tab/>
        <w:t>(2)</w:t>
      </w:r>
      <w:r>
        <w:tab/>
        <w:t xml:space="preserve">For the purposes of section 10(c) of the Act, the offences under the </w:t>
      </w:r>
      <w:r>
        <w:rPr>
          <w:i/>
          <w:iCs/>
        </w:rPr>
        <w:t>Crimes Act 1914</w:t>
      </w:r>
      <w:r>
        <w:t xml:space="preserve"> (Commonwealth) sections 50BA and 50BB are Class 1 offences.</w:t>
      </w:r>
    </w:p>
    <w:p>
      <w:pPr>
        <w:pStyle w:val="Subsection"/>
        <w:keepNext/>
      </w:pPr>
      <w:r>
        <w:tab/>
        <w:t>(3)</w:t>
      </w:r>
      <w:r>
        <w:tab/>
        <w:t>If a provision referred to in this regulation is a repealed provision, the reference is taken to be a reference to the provision as in force from time to time before its repeal.</w:t>
      </w:r>
    </w:p>
    <w:p>
      <w:pPr>
        <w:pStyle w:val="Footnotesection"/>
      </w:pPr>
      <w:r>
        <w:tab/>
        <w:t>[Regulation 11A inserted: Gazette 21 Jan 2011 p. 158; amended: SL 2021/125 r. 4; SL 2025/142 r. 9.]</w:t>
      </w:r>
    </w:p>
    <w:p>
      <w:pPr>
        <w:pStyle w:val="Heading5"/>
      </w:pPr>
      <w:bookmarkStart w:id="17" w:name="_Toc203660190"/>
      <w:r>
        <w:rPr>
          <w:rStyle w:val="CharSectno"/>
        </w:rPr>
        <w:t>11</w:t>
      </w:r>
      <w:r>
        <w:t>.</w:t>
      </w:r>
      <w:r>
        <w:tab/>
        <w:t>Class 2 offences (s. 11)</w:t>
      </w:r>
      <w:bookmarkEnd w:id="17"/>
    </w:p>
    <w:p>
      <w:pPr>
        <w:pStyle w:val="Subsection"/>
      </w:pPr>
      <w:r>
        <w:tab/>
        <w:t>(1)</w:t>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lastRenderedPageBreak/>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 xml:space="preserve">s. 474.25C </w:t>
            </w:r>
          </w:p>
        </w:tc>
      </w:tr>
      <w:tr>
        <w:trPr>
          <w:cantSplit/>
        </w:trPr>
        <w:tc>
          <w:tcPr>
            <w:tcW w:w="1795" w:type="dxa"/>
            <w:noWrap/>
          </w:tcPr>
          <w:p>
            <w:pPr>
              <w:pStyle w:val="TableNAm"/>
            </w:pPr>
            <w:r>
              <w:t>s. 474.26</w:t>
            </w:r>
          </w:p>
        </w:tc>
        <w:tc>
          <w:tcPr>
            <w:tcW w:w="1795" w:type="dxa"/>
            <w:noWrap/>
          </w:tcPr>
          <w:p>
            <w:pPr>
              <w:pStyle w:val="TableNAm"/>
            </w:pPr>
            <w:r>
              <w:t>s. 474.27</w:t>
            </w:r>
          </w:p>
        </w:tc>
        <w:tc>
          <w:tcPr>
            <w:tcW w:w="1796" w:type="dxa"/>
            <w:noWrap/>
          </w:tcPr>
          <w:p>
            <w:pPr>
              <w:pStyle w:val="TableNAm"/>
            </w:pPr>
            <w:r>
              <w:t xml:space="preserve">s. 474.27AA </w:t>
            </w:r>
          </w:p>
        </w:tc>
      </w:tr>
      <w:tr>
        <w:trPr>
          <w:cantSplit/>
        </w:trPr>
        <w:tc>
          <w:tcPr>
            <w:tcW w:w="1795" w:type="dxa"/>
            <w:noWrap/>
          </w:tcPr>
          <w:p>
            <w:pPr>
              <w:pStyle w:val="TableNAm"/>
            </w:pPr>
            <w:r>
              <w:t>s. 474.27A</w:t>
            </w:r>
          </w:p>
        </w:tc>
        <w:tc>
          <w:tcPr>
            <w:tcW w:w="1795" w:type="dxa"/>
            <w:noWrap/>
          </w:tcPr>
          <w:p>
            <w:pPr>
              <w:pStyle w:val="TableNAm"/>
            </w:pPr>
          </w:p>
        </w:tc>
        <w:tc>
          <w:tcPr>
            <w:tcW w:w="1796" w:type="dxa"/>
            <w:noWrap/>
          </w:tcPr>
          <w:p>
            <w:pPr>
              <w:pStyle w:val="TableNAm"/>
            </w:pPr>
          </w:p>
        </w:tc>
      </w:tr>
    </w:tbl>
    <w:p>
      <w:pPr>
        <w:pStyle w:val="Subsection"/>
      </w:pPr>
      <w:r>
        <w:tab/>
        <w:t>(2)</w:t>
      </w:r>
      <w:r>
        <w:tab/>
        <w:t xml:space="preserve">For the purposes of section 11(c) of the Act, the offences under the provisions of the </w:t>
      </w:r>
      <w:r>
        <w:rPr>
          <w:i/>
          <w:iCs/>
        </w:rPr>
        <w:t>Crimes Act 1914</w:t>
      </w:r>
      <w:r>
        <w:t xml:space="preserve"> (Commonwealth) listed in the Table are Class 2 offences.</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50BC</w:t>
            </w:r>
          </w:p>
        </w:tc>
        <w:tc>
          <w:tcPr>
            <w:tcW w:w="3034" w:type="dxa"/>
          </w:tcPr>
          <w:p>
            <w:pPr>
              <w:pStyle w:val="TableNAm"/>
            </w:pPr>
            <w:r>
              <w:t>s. 50BD</w:t>
            </w:r>
          </w:p>
        </w:tc>
      </w:tr>
      <w:tr>
        <w:tc>
          <w:tcPr>
            <w:tcW w:w="3033" w:type="dxa"/>
          </w:tcPr>
          <w:p>
            <w:pPr>
              <w:pStyle w:val="TableNAm"/>
            </w:pPr>
            <w:r>
              <w:t>s. 50DA</w:t>
            </w:r>
          </w:p>
        </w:tc>
        <w:tc>
          <w:tcPr>
            <w:tcW w:w="3034" w:type="dxa"/>
          </w:tcPr>
          <w:p>
            <w:pPr>
              <w:pStyle w:val="TableNAm"/>
            </w:pPr>
            <w:r>
              <w:t>s. 50DB</w:t>
            </w:r>
          </w:p>
        </w:tc>
      </w:tr>
    </w:tbl>
    <w:p>
      <w:pPr>
        <w:pStyle w:val="Subsection"/>
      </w:pPr>
      <w:r>
        <w:tab/>
        <w:t>(3)</w:t>
      </w:r>
      <w:r>
        <w:tab/>
        <w:t xml:space="preserve">For the purposes of section 11(c) of the Act, the following are Class 2 offences — </w:t>
      </w:r>
    </w:p>
    <w:p>
      <w:pPr>
        <w:pStyle w:val="Indenta"/>
      </w:pPr>
      <w:r>
        <w:tab/>
        <w:t>(a)</w:t>
      </w:r>
      <w:r>
        <w:tab/>
        <w:t xml:space="preserve">an offence under the </w:t>
      </w:r>
      <w:r>
        <w:rPr>
          <w:i/>
          <w:iCs/>
        </w:rPr>
        <w:t>Customs Act 1901</w:t>
      </w:r>
      <w:r>
        <w:t xml:space="preserve"> (Commonwealth) section 233BAB if it involves items of child abuse material;</w:t>
      </w:r>
    </w:p>
    <w:p>
      <w:pPr>
        <w:pStyle w:val="Indenta"/>
      </w:pPr>
      <w:r>
        <w:tab/>
        <w:t>(b)</w:t>
      </w:r>
      <w:r>
        <w:tab/>
        <w:t xml:space="preserve">an offence under the </w:t>
      </w:r>
      <w:r>
        <w:rPr>
          <w:i/>
          <w:iCs/>
        </w:rPr>
        <w:t>Customs Act 1901</w:t>
      </w:r>
      <w:r>
        <w:t xml:space="preserve"> (Commonwealth) section 233BAB as in force from time </w:t>
      </w:r>
      <w:r>
        <w:lastRenderedPageBreak/>
        <w:t>to time before 21 September 2019 if it involves items of child pornography or child abuse material.</w:t>
      </w:r>
    </w:p>
    <w:p>
      <w:pPr>
        <w:pStyle w:val="Subsection"/>
      </w:pPr>
      <w:r>
        <w:tab/>
        <w:t>(4)</w:t>
      </w:r>
      <w:r>
        <w:tab/>
        <w:t>If a provision referred to in this regulation is a repealed provision, the reference is taken to be a reference to the provision as in force from time to time before its repeal.</w:t>
      </w:r>
    </w:p>
    <w:p>
      <w:pPr>
        <w:pStyle w:val="Footnotesection"/>
      </w:pPr>
      <w:r>
        <w:tab/>
        <w:t>[Regulation 11 inserted: Gazette 21 Jan 2011 p. 158; amended: SL 2021/125 r. 5; SL 2025/142 r. 10.]</w:t>
      </w:r>
    </w:p>
    <w:p>
      <w:pPr>
        <w:pStyle w:val="Heading5"/>
      </w:pPr>
      <w:bookmarkStart w:id="18" w:name="_Toc203660191"/>
      <w:r>
        <w:rPr>
          <w:rStyle w:val="CharSectno"/>
        </w:rPr>
        <w:t>12</w:t>
      </w:r>
      <w:r>
        <w:t>.</w:t>
      </w:r>
      <w:r>
        <w:tab/>
        <w:t>Means of contacting authorised person for certain persons entering Western Australia (s. 27)</w:t>
      </w:r>
      <w:bookmarkEnd w:id="18"/>
    </w:p>
    <w:p>
      <w:pPr>
        <w:pStyle w:val="Subsection"/>
      </w:pPr>
      <w:r>
        <w:tab/>
        <w:t>(1)</w:t>
      </w:r>
      <w:r>
        <w:tab/>
        <w:t xml:space="preserve">For the purposes of section 27(2) of the Act, the following means of contacting an authorised person are prescribed — </w:t>
      </w:r>
    </w:p>
    <w:p>
      <w:pPr>
        <w:pStyle w:val="Ednotepara"/>
      </w:pPr>
      <w:r>
        <w:tab/>
        <w:t>[(a)</w:t>
      </w:r>
      <w:r>
        <w:tab/>
        <w:t>deleted]</w:t>
      </w:r>
    </w:p>
    <w:p>
      <w:pPr>
        <w:pStyle w:val="Indenta"/>
      </w:pPr>
      <w:r>
        <w:tab/>
        <w:t>(b)</w:t>
      </w:r>
      <w:r>
        <w:tab/>
        <w:t>by email;</w:t>
      </w:r>
    </w:p>
    <w:p>
      <w:pPr>
        <w:pStyle w:val="Indenta"/>
      </w:pPr>
      <w:r>
        <w:tab/>
        <w:t>(c)</w:t>
      </w:r>
      <w:r>
        <w:tab/>
        <w:t>if it is not possible for the person to contact the authorised person by telephone or email — by mail.</w:t>
      </w:r>
    </w:p>
    <w:p>
      <w:pPr>
        <w:pStyle w:val="Subsection"/>
        <w:keepNext/>
      </w:pPr>
      <w:r>
        <w:tab/>
        <w:t>(2)</w:t>
      </w:r>
      <w:r>
        <w:tab/>
        <w:t>The Commissioner is to nominate the relevant email address and postal address for the purposes of subregulation (1).</w:t>
      </w:r>
    </w:p>
    <w:p>
      <w:pPr>
        <w:pStyle w:val="Footnotesection"/>
      </w:pPr>
      <w:r>
        <w:tab/>
        <w:t>[Regulation 12 amended: SL 2025/142 r. 11.]</w:t>
      </w:r>
    </w:p>
    <w:p>
      <w:pPr>
        <w:pStyle w:val="Heading5"/>
      </w:pPr>
      <w:bookmarkStart w:id="19" w:name="_Toc203660192"/>
      <w:r>
        <w:rPr>
          <w:rStyle w:val="CharSectno"/>
        </w:rPr>
        <w:t>13</w:t>
      </w:r>
      <w:r>
        <w:t>.</w:t>
      </w:r>
      <w:r>
        <w:tab/>
        <w:t>Manner of reporting change of reportable offender’s travel plans while out of Western Australia (s. 31)</w:t>
      </w:r>
      <w:bookmarkEnd w:id="19"/>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20" w:name="_Toc203660193"/>
      <w:r>
        <w:rPr>
          <w:rStyle w:val="CharSectno"/>
        </w:rPr>
        <w:t>14</w:t>
      </w:r>
      <w:r>
        <w:t>.</w:t>
      </w:r>
      <w:r>
        <w:tab/>
        <w:t>Directions as to police station or approved place at which reportable offender must report (s. 34)</w:t>
      </w:r>
      <w:bookmarkEnd w:id="20"/>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21" w:name="_Toc203646253"/>
      <w:bookmarkStart w:id="22" w:name="_Toc203646573"/>
      <w:bookmarkStart w:id="23" w:name="_Toc203660194"/>
      <w:r>
        <w:rPr>
          <w:rStyle w:val="CharSectno"/>
        </w:rPr>
        <w:lastRenderedPageBreak/>
        <w:t>14A</w:t>
      </w:r>
      <w:r>
        <w:t>.</w:t>
      </w:r>
      <w:r>
        <w:tab/>
        <w:t>Manner in which unique reference number or acknowledgment may be given (s. 37)</w:t>
      </w:r>
      <w:bookmarkEnd w:id="21"/>
      <w:bookmarkEnd w:id="22"/>
      <w:bookmarkEnd w:id="23"/>
    </w:p>
    <w:p>
      <w:pPr>
        <w:pStyle w:val="Subsection"/>
      </w:pPr>
      <w:r>
        <w:tab/>
        <w:t>(1)</w:t>
      </w:r>
      <w:r>
        <w:tab/>
        <w:t xml:space="preserve">In this regulation — </w:t>
      </w:r>
    </w:p>
    <w:p>
      <w:pPr>
        <w:pStyle w:val="Defstart"/>
      </w:pPr>
      <w:r>
        <w:tab/>
      </w:r>
      <w:r>
        <w:rPr>
          <w:rStyle w:val="CharDefText"/>
        </w:rPr>
        <w:t>online reporting tool</w:t>
      </w:r>
      <w:r>
        <w:t xml:space="preserve"> means a website or mobile application maintained by, or on behalf of, the Commissioner for the purposes of receiving a report under Part 3 of the Act;</w:t>
      </w:r>
    </w:p>
    <w:p>
      <w:pPr>
        <w:pStyle w:val="Defstart"/>
      </w:pPr>
      <w:r>
        <w:tab/>
      </w:r>
      <w:r>
        <w:rPr>
          <w:rStyle w:val="CharDefText"/>
        </w:rPr>
        <w:t>online reporting tool report</w:t>
      </w:r>
      <w:r>
        <w:t xml:space="preserve"> means a report under Part 3 of the Act that is made using the online reporting tool.</w:t>
      </w:r>
    </w:p>
    <w:p>
      <w:pPr>
        <w:pStyle w:val="Subsection"/>
      </w:pPr>
      <w:r>
        <w:tab/>
        <w:t>(2)</w:t>
      </w:r>
      <w:r>
        <w:tab/>
        <w:t xml:space="preserve">For the purposes of section 37(3B) of the Act, the following are manners in which a unique reference number or acknowledgment may be given — </w:t>
      </w:r>
    </w:p>
    <w:p>
      <w:pPr>
        <w:pStyle w:val="Indenta"/>
      </w:pPr>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p>
    <w:p>
      <w:pPr>
        <w:pStyle w:val="Indenta"/>
      </w:pPr>
      <w:r>
        <w:tab/>
        <w:t>(b)</w:t>
      </w:r>
      <w:r>
        <w:tab/>
        <w:t>in the case of a unique reference number or acknowledgment required to be given in relation to a report made by email — by sending the unique reference number or acknowledgment to the email address from which the report was made.</w:t>
      </w:r>
    </w:p>
    <w:p>
      <w:pPr>
        <w:pStyle w:val="Footnotesection"/>
      </w:pPr>
      <w:r>
        <w:tab/>
        <w:t>[Regulation 14A inserted: SL 2025/142 r. 12.]</w:t>
      </w:r>
    </w:p>
    <w:p>
      <w:pPr>
        <w:pStyle w:val="Heading5"/>
      </w:pPr>
      <w:bookmarkStart w:id="24" w:name="_Toc203660195"/>
      <w:r>
        <w:rPr>
          <w:rStyle w:val="CharSectno"/>
        </w:rPr>
        <w:t>15</w:t>
      </w:r>
      <w:r>
        <w:t>.</w:t>
      </w:r>
      <w:r>
        <w:tab/>
        <w:t>Prescribed form of identification (s. 38(2A)(a)(iv))</w:t>
      </w:r>
      <w:bookmarkEnd w:id="24"/>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5" w:name="_Toc203660196"/>
      <w:r>
        <w:rPr>
          <w:rStyle w:val="CharSectno"/>
        </w:rPr>
        <w:lastRenderedPageBreak/>
        <w:t>16</w:t>
      </w:r>
      <w:r>
        <w:t>.</w:t>
      </w:r>
      <w:r>
        <w:tab/>
        <w:t>Prescribed distance — reporting by remote offenders (s. 43)</w:t>
      </w:r>
      <w:bookmarkEnd w:id="25"/>
    </w:p>
    <w:p>
      <w:pPr>
        <w:pStyle w:val="Subsection"/>
      </w:pPr>
      <w:r>
        <w:tab/>
      </w:r>
      <w:r>
        <w:tab/>
        <w:t>For the purposes of section 43(1) of the Act, the prescribed distance is 100 km.</w:t>
      </w:r>
    </w:p>
    <w:p>
      <w:pPr>
        <w:pStyle w:val="Ednotesection"/>
      </w:pPr>
      <w:r>
        <w:t>[</w:t>
      </w:r>
      <w:r>
        <w:rPr>
          <w:b/>
          <w:bCs/>
        </w:rPr>
        <w:t>17, 18.</w:t>
      </w:r>
      <w:r>
        <w:tab/>
        <w:t>Deleted: SL 2025/142 r. 13.]</w:t>
      </w:r>
    </w:p>
    <w:p>
      <w:pPr>
        <w:pStyle w:val="Heading5"/>
      </w:pPr>
      <w:bookmarkStart w:id="26" w:name="_Toc203660197"/>
      <w:r>
        <w:rPr>
          <w:rStyle w:val="CharSectno"/>
        </w:rPr>
        <w:t>19</w:t>
      </w:r>
      <w:r>
        <w:t>.</w:t>
      </w:r>
      <w:r>
        <w:tab/>
        <w:t>Persons required to give notice of reporting obligations etc. to reportable offenders (s. 67)</w:t>
      </w:r>
      <w:bookmarkEnd w:id="26"/>
    </w:p>
    <w:p>
      <w:pPr>
        <w:pStyle w:val="Subsection"/>
        <w:keepNext/>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other than immigration detention (whether in government custody for a reportable offence or otherwise) — </w:t>
      </w:r>
    </w:p>
    <w:p>
      <w:pPr>
        <w:pStyle w:val="Indenti"/>
      </w:pPr>
      <w:r>
        <w:tab/>
        <w:t>(i)</w:t>
      </w:r>
      <w:r>
        <w:tab/>
        <w:t xml:space="preserve">in the case of a reportable offender who is, or was before their release, a resident as defined in </w:t>
      </w:r>
      <w:r>
        <w:lastRenderedPageBreak/>
        <w:t xml:space="preserve">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Justice, or other person, authorised in writing for the purposes of this paragraph by the chief executive officer of that department;</w:t>
      </w:r>
    </w:p>
    <w:p>
      <w:pPr>
        <w:pStyle w:val="Indenta"/>
      </w:pPr>
      <w:r>
        <w:tab/>
        <w:t>(ea)</w:t>
      </w:r>
      <w:r>
        <w:tab/>
        <w:t>for a reportable offender who is released from government custody consisting of immigration detention — the Commissioner;</w:t>
      </w:r>
    </w:p>
    <w:p>
      <w:pPr>
        <w:pStyle w:val="Indenta"/>
      </w:pPr>
      <w:r>
        <w:tab/>
        <w:t>(f)</w:t>
      </w:r>
      <w:r>
        <w:tab/>
        <w:t>for a reportable offender who enters Western Australia, if they have not previously been given notice of their reporting obligations in Western Australia — the Commissioner;</w:t>
      </w:r>
    </w:p>
    <w:p>
      <w:pPr>
        <w:pStyle w:val="Indenta"/>
        <w:keepNext/>
      </w:pPr>
      <w:r>
        <w:tab/>
        <w:t>(g)</w:t>
      </w:r>
      <w:r>
        <w:tab/>
        <w:t>for a person who becomes a corresponding reportable offender, if they are in Western Australia at that time — the Commissioner.</w:t>
      </w:r>
    </w:p>
    <w:p>
      <w:pPr>
        <w:pStyle w:val="Footnotesection"/>
      </w:pPr>
      <w:r>
        <w:tab/>
        <w:t>[Regulation 19 amended: Gazette 1 Jun 2007 p. 2528; 16 Jun 2015 p. 2078; SL 2024/172 r. 7; SL 2025/142 r. 14.]</w:t>
      </w:r>
    </w:p>
    <w:p>
      <w:pPr>
        <w:pStyle w:val="Heading5"/>
      </w:pPr>
      <w:bookmarkStart w:id="27" w:name="_Toc203660198"/>
      <w:r>
        <w:rPr>
          <w:rStyle w:val="CharSectno"/>
        </w:rPr>
        <w:t>20</w:t>
      </w:r>
      <w:r>
        <w:t>.</w:t>
      </w:r>
      <w:r>
        <w:tab/>
        <w:t>Details to be included in notice given by supervising authority to Commissioner (s. 70)</w:t>
      </w:r>
      <w:bookmarkEnd w:id="2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8" w:name="_Toc203646257"/>
      <w:bookmarkStart w:id="29" w:name="_Toc203646577"/>
      <w:bookmarkStart w:id="30" w:name="_Toc203660199"/>
      <w:r>
        <w:rPr>
          <w:rStyle w:val="CharSectno"/>
        </w:rPr>
        <w:lastRenderedPageBreak/>
        <w:t>20A</w:t>
      </w:r>
      <w:r>
        <w:t>.</w:t>
      </w:r>
      <w:r>
        <w:tab/>
        <w:t>Agency officials to whom and circumstances in which disclosure can be made (s. 82)</w:t>
      </w:r>
      <w:bookmarkEnd w:id="28"/>
      <w:bookmarkEnd w:id="29"/>
      <w:bookmarkEnd w:id="30"/>
    </w:p>
    <w:p>
      <w:pPr>
        <w:pStyle w:val="Subsection"/>
        <w:keepNext/>
      </w:pPr>
      <w:r>
        <w:tab/>
        <w:t>(1)</w:t>
      </w:r>
      <w:r>
        <w:tab/>
        <w:t xml:space="preserve">For the purposes of section 82(1)(cb) of the Act, the following agency officials are prescribed — </w:t>
      </w:r>
    </w:p>
    <w:p>
      <w:pPr>
        <w:pStyle w:val="Indenta"/>
      </w:pPr>
      <w:r>
        <w:tab/>
        <w:t>(a)</w:t>
      </w:r>
      <w:r>
        <w:tab/>
        <w:t>a police officer;</w:t>
      </w:r>
    </w:p>
    <w:p>
      <w:pPr>
        <w:pStyle w:val="Indenta"/>
      </w:pPr>
      <w:r>
        <w:tab/>
        <w:t>(b)</w:t>
      </w:r>
      <w:r>
        <w:tab/>
        <w:t>a person employed in the department of the Public Service principally assisting in the administration of the Act;</w:t>
      </w:r>
    </w:p>
    <w:p>
      <w:pPr>
        <w:pStyle w:val="Indenta"/>
      </w:pPr>
      <w:r>
        <w:tab/>
        <w:t>(c)</w:t>
      </w:r>
      <w:r>
        <w:tab/>
        <w:t xml:space="preserve">an agency official who is a member of, police officer of, or a person employed in — </w:t>
      </w:r>
    </w:p>
    <w:p>
      <w:pPr>
        <w:pStyle w:val="Indenti"/>
      </w:pPr>
      <w:r>
        <w:tab/>
        <w:t>(i)</w:t>
      </w:r>
      <w:r>
        <w:tab/>
        <w:t xml:space="preserve">the Australian Federal Police; or </w:t>
      </w:r>
    </w:p>
    <w:p>
      <w:pPr>
        <w:pStyle w:val="Indenti"/>
      </w:pPr>
      <w:r>
        <w:tab/>
        <w:t>(ii)</w:t>
      </w:r>
      <w:r>
        <w:tab/>
        <w:t>the police force of another State or Territory; or</w:t>
      </w:r>
    </w:p>
    <w:p>
      <w:pPr>
        <w:pStyle w:val="Indenti"/>
      </w:pPr>
      <w:r>
        <w:tab/>
        <w:t>(iii)</w:t>
      </w:r>
      <w:r>
        <w:tab/>
        <w:t>an entity of another State or Territory that has functions similar to the functions of the department of the Public Service principally assisting in the administration of the Act;</w:t>
      </w:r>
    </w:p>
    <w:p>
      <w:pPr>
        <w:pStyle w:val="Indenta"/>
      </w:pPr>
      <w:r>
        <w:tab/>
        <w:t>(d)</w:t>
      </w:r>
      <w:r>
        <w:tab/>
        <w:t xml:space="preserve">the Public Advocate as defined in the </w:t>
      </w:r>
      <w:r>
        <w:rPr>
          <w:i/>
        </w:rPr>
        <w:t xml:space="preserve">Guardianship and Administration Act 1990 </w:t>
      </w:r>
      <w:r>
        <w:rPr>
          <w:iCs/>
        </w:rPr>
        <w:t>section 3(1)</w:t>
      </w:r>
      <w:r>
        <w:t>;</w:t>
      </w:r>
    </w:p>
    <w:p>
      <w:pPr>
        <w:pStyle w:val="Indenta"/>
      </w:pPr>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p>
    <w:p>
      <w:pPr>
        <w:pStyle w:val="Indenta"/>
      </w:pPr>
      <w:r>
        <w:tab/>
        <w:t>(f)</w:t>
      </w:r>
      <w:r>
        <w:tab/>
        <w:t xml:space="preserve">a person employed in the department of the Public Service principally assisting in the administration of the </w:t>
      </w:r>
      <w:r>
        <w:rPr>
          <w:i/>
        </w:rPr>
        <w:t>School Education Act 1999</w:t>
      </w:r>
      <w:r>
        <w:t>;</w:t>
      </w:r>
    </w:p>
    <w:p>
      <w:pPr>
        <w:pStyle w:val="Indenta"/>
      </w:pPr>
      <w:r>
        <w:tab/>
        <w:t>(g)</w:t>
      </w:r>
      <w:r>
        <w:tab/>
        <w:t xml:space="preserve">a person employed in the </w:t>
      </w:r>
      <w:r>
        <w:rPr>
          <w:iCs/>
        </w:rPr>
        <w:t>Department of Justice</w:t>
      </w:r>
      <w:r>
        <w:t>;</w:t>
      </w:r>
    </w:p>
    <w:p>
      <w:pPr>
        <w:pStyle w:val="Indenta"/>
      </w:pPr>
      <w:r>
        <w:tab/>
        <w:t>(h)</w:t>
      </w:r>
      <w:r>
        <w:tab/>
        <w:t xml:space="preserve">an agency official employed in the Department of State of the Commonwealth assisting in the administration of the </w:t>
      </w:r>
      <w:r>
        <w:rPr>
          <w:i/>
          <w:iCs/>
        </w:rPr>
        <w:t>Australian Border Force Act 2015</w:t>
      </w:r>
      <w:r>
        <w:t xml:space="preserve"> (Commonwealth);</w:t>
      </w:r>
    </w:p>
    <w:p>
      <w:pPr>
        <w:pStyle w:val="Indenta"/>
      </w:pPr>
      <w:r>
        <w:tab/>
        <w:t>(i)</w:t>
      </w:r>
      <w:r>
        <w:tab/>
        <w:t xml:space="preserve">an agency official employed in the Department of State of the Commonwealth assisting in the administration of the </w:t>
      </w:r>
      <w:r>
        <w:rPr>
          <w:i/>
          <w:iCs/>
        </w:rPr>
        <w:t>Australian Passports Act 2005</w:t>
      </w:r>
      <w:r>
        <w:t xml:space="preserve"> (Commonwealth).</w:t>
      </w:r>
    </w:p>
    <w:p>
      <w:pPr>
        <w:pStyle w:val="Subsection"/>
        <w:keepNext/>
      </w:pPr>
      <w:r>
        <w:lastRenderedPageBreak/>
        <w:tab/>
        <w:t>(2)</w:t>
      </w:r>
      <w:r>
        <w:tab/>
        <w:t xml:space="preserve">For the purposes of section 82(1)(e) of the Act, a circumstance is disclosure for the purpose of law enforcement to a member of, police officer of, or a person employed in — </w:t>
      </w:r>
    </w:p>
    <w:p>
      <w:pPr>
        <w:pStyle w:val="Indenta"/>
      </w:pPr>
      <w:r>
        <w:tab/>
        <w:t>(a)</w:t>
      </w:r>
      <w:r>
        <w:tab/>
        <w:t>a police force of another country; or</w:t>
      </w:r>
    </w:p>
    <w:p>
      <w:pPr>
        <w:pStyle w:val="Indenta"/>
        <w:keepNext/>
      </w:pPr>
      <w:r>
        <w:tab/>
        <w:t>(b)</w:t>
      </w:r>
      <w:r>
        <w:tab/>
        <w:t>an entity of another country that has functions similar to the functions of the department of the Public Service principally assisting in the administration of the Act.</w:t>
      </w:r>
    </w:p>
    <w:p>
      <w:pPr>
        <w:pStyle w:val="Footnotesection"/>
      </w:pPr>
      <w:r>
        <w:tab/>
        <w:t>[Regulation 20A inserted: SL 2025/142 r. 15.]</w:t>
      </w:r>
    </w:p>
    <w:p>
      <w:pPr>
        <w:pStyle w:val="Heading5"/>
      </w:pPr>
      <w:bookmarkStart w:id="31" w:name="_Toc203646258"/>
      <w:bookmarkStart w:id="32" w:name="_Toc203646578"/>
      <w:bookmarkStart w:id="33" w:name="_Toc203660200"/>
      <w:r>
        <w:rPr>
          <w:rStyle w:val="CharSectno"/>
        </w:rPr>
        <w:t>20B</w:t>
      </w:r>
      <w:r>
        <w:t>.</w:t>
      </w:r>
      <w:r>
        <w:tab/>
        <w:t>Delegation by Commissioner (s. 82A)</w:t>
      </w:r>
      <w:bookmarkEnd w:id="31"/>
      <w:bookmarkEnd w:id="32"/>
      <w:bookmarkEnd w:id="33"/>
    </w:p>
    <w:p>
      <w:pPr>
        <w:pStyle w:val="Subsection"/>
        <w:keepNext/>
      </w:pPr>
      <w:r>
        <w:tab/>
      </w:r>
      <w:r>
        <w:tab/>
        <w:t>For the purposes of section 82A(b) of the Act, the position of Executive Manager, Serious Offender Registry is prescribed.</w:t>
      </w:r>
    </w:p>
    <w:p>
      <w:pPr>
        <w:pStyle w:val="Footnotesection"/>
      </w:pPr>
      <w:r>
        <w:tab/>
        <w:t>[Regulation 20B inserted: SL 2025/142 r. 15.]</w:t>
      </w:r>
    </w:p>
    <w:p>
      <w:pPr>
        <w:pStyle w:val="Heading5"/>
      </w:pPr>
      <w:bookmarkStart w:id="34" w:name="_Toc203660201"/>
      <w:r>
        <w:rPr>
          <w:rStyle w:val="CharSectno"/>
        </w:rPr>
        <w:t>21</w:t>
      </w:r>
      <w:r>
        <w:t>.</w:t>
      </w:r>
      <w:r>
        <w:tab/>
        <w:t>Corresponding protection orders (s. 85)</w:t>
      </w:r>
      <w:bookmarkEnd w:id="34"/>
    </w:p>
    <w:p>
      <w:pPr>
        <w:pStyle w:val="Subsection"/>
        <w:keepNext/>
      </w:pPr>
      <w:r>
        <w:tab/>
        <w:t>(1)</w:t>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lastRenderedPageBreak/>
        <w:tab/>
        <w:t>(cb)</w:t>
      </w:r>
      <w:r>
        <w:tab/>
        <w:t xml:space="preserve">a sexual harm prevention order made under the </w:t>
      </w:r>
      <w:r>
        <w:rPr>
          <w:i/>
          <w:iCs/>
        </w:rPr>
        <w:t>Sexual Offences Act 2003</w:t>
      </w:r>
      <w:r>
        <w:t xml:space="preserve"> (United Kingdom) section 103A;</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(da)</w:t>
      </w:r>
      <w:r>
        <w:tab/>
        <w:t xml:space="preserve">a sexual harm prevention order made under the </w:t>
      </w:r>
      <w:r>
        <w:rPr>
          <w:i/>
          <w:iCs/>
        </w:rPr>
        <w:t>Abusive Behaviour and Sexual Harm (Scotland) Act 2016</w:t>
      </w:r>
      <w:r>
        <w:t xml:space="preserve"> (Scotland) section 11 or 12;</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iCs/>
        </w:rPr>
        <w:t>Criminal</w:t>
      </w:r>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21 amended: Gazette 14 Nov 2008 p. 4878; 25 Nov 2008 p. 4990; 30 Nov 2012 p. 5802; 8 Nov 2013 p.</w:t>
      </w:r>
      <w:r>
        <w:rPr>
          <w:sz w:val="19"/>
        </w:rPr>
        <w:t> </w:t>
      </w:r>
      <w:r>
        <w:t>4998; 13 Jan 2017 p. 360; SL 2021/192 r. 6; SL 2025/142 r. 16.]</w:t>
      </w:r>
    </w:p>
    <w:p>
      <w:pPr>
        <w:pStyle w:val="Heading5"/>
      </w:pPr>
      <w:bookmarkStart w:id="35" w:name="_Toc203660202"/>
      <w:r>
        <w:rPr>
          <w:rStyle w:val="CharSectno"/>
        </w:rPr>
        <w:t>22</w:t>
      </w:r>
      <w:r>
        <w:t>.</w:t>
      </w:r>
      <w:r>
        <w:tab/>
        <w:t>Application for recognition of corresponding protection orders (s. 108(2)(a))</w:t>
      </w:r>
      <w:bookmarkEnd w:id="35"/>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lastRenderedPageBreak/>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36" w:name="_Toc203660203"/>
      <w:r>
        <w:rPr>
          <w:rStyle w:val="CharSectno"/>
        </w:rPr>
        <w:t>23</w:t>
      </w:r>
      <w:r>
        <w:t>.</w:t>
      </w:r>
      <w:r>
        <w:tab/>
        <w:t>Recognition of corresponding protection orders (s. 108(2)(b))</w:t>
      </w:r>
      <w:bookmarkEnd w:id="36"/>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37" w:name="_Toc203660204"/>
      <w:r>
        <w:rPr>
          <w:rStyle w:val="CharSectno"/>
        </w:rPr>
        <w:t>24</w:t>
      </w:r>
      <w:r>
        <w:t>.</w:t>
      </w:r>
      <w:r>
        <w:tab/>
        <w:t>Effect of recognition of corresponding protection orders (s. 108(2)(d))</w:t>
      </w:r>
      <w:bookmarkEnd w:id="37"/>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lastRenderedPageBreak/>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38" w:name="_Toc203660205"/>
      <w:r>
        <w:rPr>
          <w:rStyle w:val="CharSectno"/>
        </w:rPr>
        <w:t>25</w:t>
      </w:r>
      <w:r>
        <w:t>.</w:t>
      </w:r>
      <w:r>
        <w:tab/>
        <w:t>Variation or revocation of recognised order in a foreign jurisdiction</w:t>
      </w:r>
      <w:bookmarkEnd w:id="38"/>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lastRenderedPageBreak/>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9" w:name="_Toc203660206"/>
      <w:r>
        <w:rPr>
          <w:rStyle w:val="CharSectno"/>
        </w:rPr>
        <w:t>26A</w:t>
      </w:r>
      <w:r>
        <w:t>.</w:t>
      </w:r>
      <w:r>
        <w:tab/>
        <w:t>Authorisation of absences from assessment or treatment (s. 94A(5)(a))</w:t>
      </w:r>
      <w:bookmarkEnd w:id="39"/>
    </w:p>
    <w:p>
      <w:pPr>
        <w:pStyle w:val="Subsection"/>
        <w:keepNext/>
      </w:pPr>
      <w:r>
        <w:tab/>
        <w:t>(1)</w:t>
      </w:r>
      <w:r>
        <w:tab/>
        <w:t xml:space="preserve">A reportable offender who is required by an order of the Commissioner to undergo assessment or treatment under section 94A(1) of the Act may request the Commissioner to authorise the reportable offender’s absence from assessment or treatment if — </w:t>
      </w:r>
    </w:p>
    <w:p>
      <w:pPr>
        <w:pStyle w:val="Indenta"/>
      </w:pPr>
      <w:r>
        <w:tab/>
        <w:t>(a)</w:t>
      </w:r>
      <w:r>
        <w:tab/>
        <w:t>the reportable offender has an illness or an injury which prevents them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lastRenderedPageBreak/>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 amended: SL 2025/142 r. 17.]</w:t>
      </w:r>
    </w:p>
    <w:p>
      <w:pPr>
        <w:pStyle w:val="Heading5"/>
      </w:pPr>
      <w:bookmarkStart w:id="40" w:name="_Toc203660207"/>
      <w:r>
        <w:rPr>
          <w:rStyle w:val="CharSectno"/>
        </w:rPr>
        <w:lastRenderedPageBreak/>
        <w:t>26B</w:t>
      </w:r>
      <w:r>
        <w:t>.</w:t>
      </w:r>
      <w:r>
        <w:tab/>
        <w:t>Reports by persons providing assessment or administering treatment (s. 94A(5)(c))</w:t>
      </w:r>
      <w:bookmarkEnd w:id="40"/>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41" w:name="_Toc203660208"/>
      <w:r>
        <w:rPr>
          <w:rStyle w:val="CharSectno"/>
        </w:rPr>
        <w:t>26C</w:t>
      </w:r>
      <w:r>
        <w:t>.</w:t>
      </w:r>
      <w:r>
        <w:tab/>
        <w:t>Manner of making requirement to give a sample (s. 94B(8)(a))</w:t>
      </w:r>
      <w:bookmarkEnd w:id="4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lastRenderedPageBreak/>
        <w:tab/>
        <w:t>(2)</w:t>
      </w:r>
      <w:r>
        <w:tab/>
        <w:t>A requirement under section 94B(2)(a) of the Act in relation to a breath test may be made by an authorised police officer verbally directing the reportable offender to give a sample of the reportable offender’s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the reportable offender’s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 amended: SL 2025/142 r. 18.]</w:t>
      </w:r>
    </w:p>
    <w:p>
      <w:pPr>
        <w:pStyle w:val="Heading5"/>
      </w:pPr>
      <w:bookmarkStart w:id="42" w:name="_Toc203660209"/>
      <w:r>
        <w:rPr>
          <w:rStyle w:val="CharSectno"/>
        </w:rPr>
        <w:t>26D</w:t>
      </w:r>
      <w:r>
        <w:t>.</w:t>
      </w:r>
      <w:r>
        <w:tab/>
        <w:t>Manner of conducting breath test (s. 94B(8)(b))</w:t>
      </w:r>
      <w:bookmarkEnd w:id="42"/>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lastRenderedPageBreak/>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43" w:name="_Toc203660210"/>
      <w:r>
        <w:rPr>
          <w:rStyle w:val="CharSectno"/>
        </w:rPr>
        <w:t>26E</w:t>
      </w:r>
      <w:r>
        <w:t>.</w:t>
      </w:r>
      <w:r>
        <w:tab/>
        <w:t>Authorised sample collectors to take or collect samples (s. 94B(8)(b))</w:t>
      </w:r>
      <w:bookmarkEnd w:id="43"/>
    </w:p>
    <w:p>
      <w:pPr>
        <w:pStyle w:val="Subsection"/>
      </w:pPr>
      <w:r>
        <w:tab/>
        <w:t>(1)</w:t>
      </w:r>
      <w:r>
        <w:tab/>
        <w:t>If a reportable offender is required under section 94B(2)(b) of the Act to give a sample of their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 amended: SL 2025/142 r. 19.]</w:t>
      </w:r>
    </w:p>
    <w:p>
      <w:pPr>
        <w:pStyle w:val="Heading5"/>
      </w:pPr>
      <w:bookmarkStart w:id="44" w:name="_Toc203660211"/>
      <w:r>
        <w:rPr>
          <w:rStyle w:val="CharSectno"/>
        </w:rPr>
        <w:t>26F</w:t>
      </w:r>
      <w:r>
        <w:t>.</w:t>
      </w:r>
      <w:r>
        <w:tab/>
        <w:t>Manner of taking sample of blood or collecting sample of urine (s. 94B(8)(b))</w:t>
      </w:r>
      <w:bookmarkEnd w:id="44"/>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lastRenderedPageBreak/>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lastRenderedPageBreak/>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45" w:name="_Toc203660212"/>
      <w:r>
        <w:rPr>
          <w:rStyle w:val="CharSectno"/>
        </w:rPr>
        <w:t>26G</w:t>
      </w:r>
      <w:r>
        <w:t>.</w:t>
      </w:r>
      <w:r>
        <w:tab/>
        <w:t>Collection of samples (s. 94B(8)(e))</w:t>
      </w:r>
      <w:bookmarkEnd w:id="45"/>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lastRenderedPageBreak/>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46" w:name="_Toc203660213"/>
      <w:r>
        <w:rPr>
          <w:rStyle w:val="CharSectno"/>
        </w:rPr>
        <w:t>26H</w:t>
      </w:r>
      <w:r>
        <w:t>.</w:t>
      </w:r>
      <w:r>
        <w:tab/>
        <w:t>Authorisation of persons as analysts (s. 94B(8)(c))</w:t>
      </w:r>
      <w:bookmarkEnd w:id="46"/>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47" w:name="_Toc203660214"/>
      <w:r>
        <w:rPr>
          <w:rStyle w:val="CharSectno"/>
        </w:rPr>
        <w:t>26I</w:t>
      </w:r>
      <w:r>
        <w:t>.</w:t>
      </w:r>
      <w:r>
        <w:tab/>
        <w:t>Reporting results of analysis (s. 94B(8)(d))</w:t>
      </w:r>
      <w:bookmarkEnd w:id="47"/>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w:t>
      </w:r>
      <w:r>
        <w:lastRenderedPageBreak/>
        <w:t xml:space="preserve">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48" w:name="_Toc203660215"/>
      <w:r>
        <w:rPr>
          <w:rStyle w:val="CharSectno"/>
        </w:rPr>
        <w:t>26K</w:t>
      </w:r>
      <w:r>
        <w:t>.</w:t>
      </w:r>
      <w:r>
        <w:tab/>
        <w:t>Certificate evidence (s. 94B(8)(i))</w:t>
      </w:r>
      <w:bookmarkEnd w:id="48"/>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lastRenderedPageBreak/>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9" w:name="_Toc203646264"/>
      <w:bookmarkStart w:id="50" w:name="_Toc203646584"/>
      <w:bookmarkStart w:id="51" w:name="_Toc203660216"/>
      <w:r>
        <w:rPr>
          <w:rStyle w:val="CharSectno"/>
        </w:rPr>
        <w:t>26L</w:t>
      </w:r>
      <w:r>
        <w:t>.</w:t>
      </w:r>
      <w:r>
        <w:tab/>
        <w:t>Prescribed offences under law of foreign jurisdiction (s. 108A)</w:t>
      </w:r>
      <w:bookmarkEnd w:id="49"/>
      <w:bookmarkEnd w:id="50"/>
      <w:bookmarkEnd w:id="51"/>
    </w:p>
    <w:p>
      <w:pPr>
        <w:pStyle w:val="Subsection"/>
        <w:keepNext/>
      </w:pPr>
      <w:r>
        <w:tab/>
        <w:t>(1)</w:t>
      </w:r>
      <w:r>
        <w:tab/>
        <w:t xml:space="preserve">For the purposes of section 108A(1)(c)(iv) of the Act, the following offences are prescribed — </w:t>
      </w:r>
    </w:p>
    <w:p>
      <w:pPr>
        <w:pStyle w:val="Indenta"/>
      </w:pPr>
      <w:r>
        <w:tab/>
        <w:t>(a)</w:t>
      </w:r>
      <w:r>
        <w:tab/>
        <w:t xml:space="preserve">an offence against the </w:t>
      </w:r>
      <w:r>
        <w:rPr>
          <w:i/>
          <w:iCs/>
        </w:rPr>
        <w:t xml:space="preserve">Criminal Code </w:t>
      </w:r>
      <w:r>
        <w:t>(Commonwealth) section 474.19;</w:t>
      </w:r>
    </w:p>
    <w:p>
      <w:pPr>
        <w:pStyle w:val="Indenta"/>
      </w:pPr>
      <w:r>
        <w:tab/>
        <w:t>(b)</w:t>
      </w:r>
      <w:r>
        <w:tab/>
        <w:t xml:space="preserve">an offence against the </w:t>
      </w:r>
      <w:r>
        <w:rPr>
          <w:i/>
          <w:iCs/>
        </w:rPr>
        <w:t xml:space="preserve">Criminal Code </w:t>
      </w:r>
      <w:r>
        <w:t>(Commonwealth) section 474.22.</w:t>
      </w:r>
    </w:p>
    <w:p>
      <w:pPr>
        <w:pStyle w:val="Subsection"/>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26L inserted: SL 2025/142 r. 20.]</w:t>
      </w:r>
    </w:p>
    <w:p>
      <w:pPr>
        <w:pStyle w:val="Heading5"/>
      </w:pPr>
      <w:bookmarkStart w:id="52" w:name="_Toc203660217"/>
      <w:r>
        <w:rPr>
          <w:rStyle w:val="CharSectno"/>
        </w:rPr>
        <w:lastRenderedPageBreak/>
        <w:t>26</w:t>
      </w:r>
      <w:r>
        <w:t>.</w:t>
      </w:r>
      <w:r>
        <w:tab/>
        <w:t>Forms</w:t>
      </w:r>
      <w:bookmarkEnd w:id="52"/>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 w:name="_Toc203654915"/>
      <w:bookmarkStart w:id="54" w:name="_Toc203656101"/>
      <w:bookmarkStart w:id="55" w:name="_Toc203660218"/>
      <w:r>
        <w:rPr>
          <w:rStyle w:val="CharSchNo"/>
        </w:rPr>
        <w:lastRenderedPageBreak/>
        <w:t>Schedule 1</w:t>
      </w:r>
      <w:r>
        <w:rPr>
          <w:rStyle w:val="CharSDivNo"/>
        </w:rPr>
        <w:t> </w:t>
      </w:r>
      <w:r>
        <w:t>—</w:t>
      </w:r>
      <w:r>
        <w:rPr>
          <w:rStyle w:val="CharSDivText"/>
        </w:rPr>
        <w:t> </w:t>
      </w:r>
      <w:r>
        <w:rPr>
          <w:rStyle w:val="CharSchText"/>
        </w:rPr>
        <w:t>Forms</w:t>
      </w:r>
      <w:bookmarkEnd w:id="53"/>
      <w:bookmarkEnd w:id="54"/>
      <w:bookmarkEnd w:id="55"/>
    </w:p>
    <w:p>
      <w:pPr>
        <w:pStyle w:val="yShoulderClause"/>
      </w:pPr>
      <w:r>
        <w:t>[r. 26]</w:t>
      </w:r>
    </w:p>
    <w:p>
      <w:pPr>
        <w:pStyle w:val="yFootnotesection"/>
      </w:pPr>
      <w:r>
        <w:tab/>
        <w:t>[Heading inserted: Gazette 9 Dec 2005 p. 5888; amended: Gazette 1 Jun 2007 p. 2528.]</w:t>
      </w:r>
    </w:p>
    <w:p>
      <w:pPr>
        <w:pStyle w:val="yHeading5"/>
        <w:spacing w:after="80"/>
      </w:pPr>
      <w:bookmarkStart w:id="56" w:name="_Toc203660219"/>
      <w:r>
        <w:rPr>
          <w:rStyle w:val="CharSClsNo"/>
        </w:rPr>
        <w:t>1</w:t>
      </w:r>
      <w:r>
        <w:t>.</w:t>
      </w:r>
      <w:r>
        <w:tab/>
        <w:t>Summons: Application for order</w:t>
      </w:r>
      <w:bookmarkEnd w:id="5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57" w:name="_Toc203660220"/>
      <w:r>
        <w:rPr>
          <w:rStyle w:val="CharSClsNo"/>
        </w:rPr>
        <w:lastRenderedPageBreak/>
        <w:t>2</w:t>
      </w:r>
      <w:r>
        <w:t>.</w:t>
      </w:r>
      <w:r>
        <w:tab/>
        <w:t>Summons: Further hearing after interim order</w:t>
      </w:r>
      <w:bookmarkEnd w:id="5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58" w:name="_Toc203660221"/>
      <w:r>
        <w:rPr>
          <w:rStyle w:val="CharSClsNo"/>
        </w:rPr>
        <w:lastRenderedPageBreak/>
        <w:t>3</w:t>
      </w:r>
      <w:r>
        <w:t>.</w:t>
      </w:r>
      <w:r>
        <w:tab/>
        <w:t>Summons: Application to vary or revoke child protection order</w:t>
      </w:r>
      <w:bookmarkEnd w:id="5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59" w:name="_Toc203660222"/>
      <w:r>
        <w:rPr>
          <w:rStyle w:val="CharSClsNo"/>
        </w:rPr>
        <w:lastRenderedPageBreak/>
        <w:t>5</w:t>
      </w:r>
      <w:r>
        <w:t>.</w:t>
      </w:r>
      <w:r>
        <w:tab/>
        <w:t>Request to take sample of blood or urine (r. 26F(2))</w:t>
      </w:r>
      <w:bookmarkEnd w:id="5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60" w:name="_Toc203660223"/>
      <w:r>
        <w:rPr>
          <w:rStyle w:val="CharSClsNo"/>
        </w:rPr>
        <w:lastRenderedPageBreak/>
        <w:t>6</w:t>
      </w:r>
      <w:r>
        <w:t>.</w:t>
      </w:r>
      <w:r>
        <w:tab/>
        <w:t>Certificate of authorised sample collector (r. 26G(5))</w:t>
      </w:r>
      <w:bookmarkEnd w:id="60"/>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61" w:name="_Toc203660224"/>
      <w:r>
        <w:rPr>
          <w:rStyle w:val="CharSClsNo"/>
        </w:rPr>
        <w:lastRenderedPageBreak/>
        <w:t>7</w:t>
      </w:r>
      <w:r>
        <w:t>.</w:t>
      </w:r>
      <w:r>
        <w:tab/>
        <w:t>Certificate of analyst (r. 26I(3))</w:t>
      </w:r>
      <w:bookmarkEnd w:id="61"/>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544" w:gutter="0"/>
          <w:cols w:space="720"/>
          <w:noEndnote/>
          <w:docGrid w:linePitch="326"/>
        </w:sectPr>
      </w:pPr>
    </w:p>
    <w:p>
      <w:pPr>
        <w:pStyle w:val="nHeading2"/>
      </w:pPr>
      <w:bookmarkStart w:id="63" w:name="_Toc203654922"/>
      <w:bookmarkStart w:id="64" w:name="_Toc203656108"/>
      <w:bookmarkStart w:id="65" w:name="_Toc203660225"/>
      <w:r>
        <w:lastRenderedPageBreak/>
        <w:t>Notes</w:t>
      </w:r>
      <w:bookmarkEnd w:id="63"/>
      <w:bookmarkEnd w:id="64"/>
      <w:bookmarkEnd w:id="65"/>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66" w:name="_Toc203660226"/>
      <w:r>
        <w:t>Compilation table</w:t>
      </w:r>
      <w:bookmarkEnd w:id="6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Community Protection (Offender Reporting) Amendment Regulations (No. 2) 2025</w:t>
            </w:r>
          </w:p>
        </w:tc>
        <w:tc>
          <w:tcPr>
            <w:tcW w:w="1347" w:type="dxa"/>
            <w:tcBorders>
              <w:top w:val="nil"/>
              <w:bottom w:val="single" w:sz="4" w:space="0" w:color="auto"/>
            </w:tcBorders>
            <w:shd w:val="clear" w:color="auto" w:fill="auto"/>
          </w:tcPr>
          <w:p>
            <w:pPr>
              <w:pStyle w:val="nTable"/>
              <w:spacing w:after="40"/>
            </w:pPr>
            <w:r>
              <w:t>SL 2025/142 23 Jul 2025</w:t>
            </w:r>
          </w:p>
        </w:tc>
        <w:tc>
          <w:tcPr>
            <w:tcW w:w="2622" w:type="dxa"/>
            <w:tcBorders>
              <w:top w:val="nil"/>
              <w:bottom w:val="single" w:sz="4" w:space="0" w:color="auto"/>
            </w:tcBorders>
            <w:shd w:val="clear" w:color="auto" w:fill="auto"/>
          </w:tcPr>
          <w:p>
            <w:pPr>
              <w:pStyle w:val="nTable"/>
              <w:spacing w:after="40"/>
            </w:pPr>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8" w:name="_Toc203660227"/>
      <w:r>
        <w:rPr>
          <w:sz w:val="28"/>
        </w:rPr>
        <w:lastRenderedPageBreak/>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Health</w:t>
      </w:r>
      <w:r>
        <w:tab/>
        <w:t>7(3)</w:t>
      </w:r>
    </w:p>
    <w:p>
      <w:pPr>
        <w:pStyle w:val="DefinedTerms"/>
      </w:pPr>
      <w:r>
        <w:t>Department of Justice</w:t>
      </w:r>
      <w:r>
        <w:tab/>
        <w:t>3</w:t>
      </w:r>
    </w:p>
    <w:p>
      <w:pPr>
        <w:pStyle w:val="DefinedTerms"/>
      </w:pPr>
      <w:r>
        <w:t>detention centre</w:t>
      </w:r>
      <w:r>
        <w:tab/>
        <w:t>7(3)</w:t>
      </w:r>
    </w:p>
    <w:p>
      <w:pPr>
        <w:pStyle w:val="DefinedTerms"/>
      </w:pPr>
      <w:r>
        <w:t>foreign court</w:t>
      </w:r>
      <w:r>
        <w:tab/>
        <w:t>3</w:t>
      </w:r>
    </w:p>
    <w:p>
      <w:pPr>
        <w:pStyle w:val="DefinedTerms"/>
      </w:pPr>
      <w:r>
        <w:t>leave of absence order</w:t>
      </w:r>
      <w:r>
        <w:tab/>
        <w:t>7(3)</w:t>
      </w:r>
    </w:p>
    <w:p>
      <w:pPr>
        <w:pStyle w:val="DefinedTerms"/>
      </w:pPr>
      <w:r>
        <w:t>medical practitioner</w:t>
      </w:r>
      <w:r>
        <w:tab/>
        <w:t>3</w:t>
      </w:r>
    </w:p>
    <w:p>
      <w:pPr>
        <w:pStyle w:val="DefinedTerms"/>
      </w:pPr>
      <w:r>
        <w:t>online reporting tool</w:t>
      </w:r>
      <w:r>
        <w:tab/>
        <w:t>14A(1)</w:t>
      </w:r>
    </w:p>
    <w:p>
      <w:pPr>
        <w:pStyle w:val="DefinedTerms"/>
      </w:pPr>
      <w:r>
        <w:t>online reporting tool report</w:t>
      </w:r>
      <w:r>
        <w:tab/>
        <w:t>14A(1)</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3F5F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D722B1" w14:textId="1466B8B9" w:rsidR="007B482C" w:rsidRDefault="00B83E9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462B">
                        <w:rPr>
                          <w:sz w:val="16"/>
                        </w:rPr>
                        <w:t>2025</w:t>
                      </w:r>
                      <w:r>
                        <w:rPr>
                          <w:sz w:val="16"/>
                        </w:rPr>
                        <w:fldChar w:fldCharType="end"/>
                      </w:r>
                      <w:r>
                        <w:rPr>
                          <w:sz w:val="16"/>
                        </w:rPr>
                        <w:t>.</w:t>
                      </w:r>
                    </w:p>
                    <w:p w14:paraId="395ACE12" w14:textId="77777777" w:rsidR="007B482C" w:rsidRDefault="00B83E9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A06659" w14:textId="1BEEDF33" w:rsidR="007B482C" w:rsidRDefault="00B83E9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462B">
                        <w:rPr>
                          <w:sz w:val="16"/>
                        </w:rPr>
                        <w:t>2025</w:t>
                      </w:r>
                      <w:r>
                        <w:rPr>
                          <w:sz w:val="16"/>
                        </w:rPr>
                        <w:fldChar w:fldCharType="end"/>
                      </w:r>
                      <w:r>
                        <w:rPr>
                          <w:sz w:val="16"/>
                        </w:rPr>
                        <w:t>.</w:t>
                      </w:r>
                    </w:p>
                    <w:p w14:paraId="03834E0F" w14:textId="77777777" w:rsidR="007B482C" w:rsidRDefault="00B83E9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 w:name="DefinedTerms"/>
    <w:bookmarkEnd w:id="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260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9492</Words>
  <Characters>51449</Characters>
  <Application>Microsoft Office Word</Application>
  <DocSecurity>0</DocSecurity>
  <Lines>1659</Lines>
  <Paragraphs>1015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2004 - 03-p0-00</dc:title>
  <dc:subject/>
  <dc:creator/>
  <cp:keywords/>
  <dc:description/>
  <cp:lastModifiedBy>Master Repository Process</cp:lastModifiedBy>
  <cp:revision>4</cp:revision>
  <cp:lastPrinted>2014-04-04T05:23:00Z</cp:lastPrinted>
  <dcterms:created xsi:type="dcterms:W3CDTF">2025-07-22T04:33:00Z</dcterms:created>
  <dcterms:modified xsi:type="dcterms:W3CDTF">2025-07-22T04:33:00Z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20250728</vt:lpwstr>
  </property>
  <property fmtid="{D5CDD505-2E9C-101B-9397-08002B2CF9AE}" pid="8" name="CommencementAsAt">
    <vt:filetime>2025-07-27T16:00:00Z</vt:filetime>
  </property>
  <property fmtid="{D5CDD505-2E9C-101B-9397-08002B2CF9AE}" pid="9" name="CommencementYear">
    <vt:lpwstr>2025</vt:lpwstr>
  </property>
  <property fmtid="{D5CDD505-2E9C-101B-9397-08002B2CF9AE}" pid="10" name="AsAtDate">
    <vt:lpwstr>28 Jul 2025</vt:lpwstr>
  </property>
  <property fmtid="{D5CDD505-2E9C-101B-9397-08002B2CF9AE}" pid="11" name="Suffix">
    <vt:lpwstr>03-p0-00</vt:lpwstr>
  </property>
  <property fmtid="{D5CDD505-2E9C-101B-9397-08002B2CF9AE}" pid="12" name="Official">
    <vt:lpwstr/>
  </property>
</Properties>
</file>