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tabs>
          <w:tab w:val="left" w:pos="6804"/>
        </w:tabs>
        <w:spacing w:before="3760" w:after="4200"/>
        <w:ind w:left="426"/>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_Toc216773689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_Toc216773690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_Toc216773691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_Toc216773692 \h </w:instrText>
      </w:r>
      <w:r>
        <w:fldChar w:fldCharType="separate"/>
      </w:r>
      <w:r>
        <w:t>6</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_Toc216773693 \h </w:instrText>
      </w:r>
      <w:r>
        <w:fldChar w:fldCharType="separate"/>
      </w:r>
      <w:r>
        <w:t>7</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_Toc216773694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_Toc216773695 \h </w:instrText>
      </w:r>
      <w:r>
        <w:fldChar w:fldCharType="separate"/>
      </w:r>
      <w:r>
        <w:t>8</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_Toc216773696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_Toc216773697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_Toc216773698 \h </w:instrText>
      </w:r>
      <w:r>
        <w:fldChar w:fldCharType="separate"/>
      </w:r>
      <w:r>
        <w:t>9</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_Toc216773699 \h </w:instrText>
      </w:r>
      <w:r>
        <w:fldChar w:fldCharType="separate"/>
      </w:r>
      <w:r>
        <w:t>10</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_Toc216773700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_Toc216773702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_Toc216773703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_Toc216773704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_Toc216773705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_Toc216773706 \h </w:instrText>
      </w:r>
      <w:r>
        <w:fldChar w:fldCharType="separate"/>
      </w:r>
      <w:r>
        <w:t>14</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_Toc216773707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_Toc216773709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_Toc216773712 \h </w:instrText>
      </w:r>
      <w:r>
        <w:fldChar w:fldCharType="separate"/>
      </w:r>
      <w:r>
        <w:t>20</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_Toc216773713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_Toc216773715 \h </w:instrText>
      </w:r>
      <w:r>
        <w:fldChar w:fldCharType="separate"/>
      </w:r>
      <w:r>
        <w:t>21</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_Toc216773716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_Toc216773718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_Toc216773720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_Toc216773722 \h </w:instrText>
      </w:r>
      <w:r>
        <w:fldChar w:fldCharType="separate"/>
      </w:r>
      <w:r>
        <w:t>26</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_Toc216773723 \h </w:instrText>
      </w:r>
      <w:r>
        <w:fldChar w:fldCharType="separate"/>
      </w:r>
      <w:r>
        <w:t>26</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_Toc216773724 \h </w:instrText>
      </w:r>
      <w:r>
        <w:fldChar w:fldCharType="separate"/>
      </w:r>
      <w:r>
        <w:t>26</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_Toc216773725 \h </w:instrText>
      </w:r>
      <w:r>
        <w:fldChar w:fldCharType="separate"/>
      </w:r>
      <w:r>
        <w:t>28</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_Toc216773726 \h </w:instrText>
      </w:r>
      <w:r>
        <w:fldChar w:fldCharType="separate"/>
      </w:r>
      <w:r>
        <w:t>29</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_Toc216773727 \h </w:instrText>
      </w:r>
      <w:r>
        <w:fldChar w:fldCharType="separate"/>
      </w:r>
      <w:r>
        <w:t>30</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_Toc216773728 \h </w:instrText>
      </w:r>
      <w:r>
        <w:fldChar w:fldCharType="separate"/>
      </w:r>
      <w:r>
        <w:t>31</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_Toc216773729 \h </w:instrText>
      </w:r>
      <w:r>
        <w:fldChar w:fldCharType="separate"/>
      </w:r>
      <w:r>
        <w:t>31</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_Toc216773730 \h </w:instrText>
      </w:r>
      <w:r>
        <w:fldChar w:fldCharType="separate"/>
      </w:r>
      <w:r>
        <w:t>32</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_Toc216773731 \h </w:instrText>
      </w:r>
      <w:r>
        <w:fldChar w:fldCharType="separate"/>
      </w:r>
      <w:r>
        <w:t>32</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_Toc216773732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_Toc216773734 \h </w:instrText>
      </w:r>
      <w:r>
        <w:fldChar w:fldCharType="separate"/>
      </w:r>
      <w:r>
        <w:t>37</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_Toc216773735 \h </w:instrText>
      </w:r>
      <w:r>
        <w:fldChar w:fldCharType="separate"/>
      </w:r>
      <w:r>
        <w:t>37</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_Toc216773736 \h </w:instrText>
      </w:r>
      <w:r>
        <w:fldChar w:fldCharType="separate"/>
      </w:r>
      <w:r>
        <w:t>38</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_Toc216773737 \h </w:instrText>
      </w:r>
      <w:r>
        <w:fldChar w:fldCharType="separate"/>
      </w:r>
      <w:r>
        <w:t>38</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_Toc216773738 \h </w:instrText>
      </w:r>
      <w:r>
        <w:fldChar w:fldCharType="separate"/>
      </w:r>
      <w:r>
        <w:t>39</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_Toc216773739 \h </w:instrText>
      </w:r>
      <w:r>
        <w:fldChar w:fldCharType="separate"/>
      </w:r>
      <w:r>
        <w:t>40</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_Toc216773740 \h </w:instrText>
      </w:r>
      <w:r>
        <w:fldChar w:fldCharType="separate"/>
      </w:r>
      <w:r>
        <w:t>40</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_Toc216773741 \h </w:instrText>
      </w:r>
      <w:r>
        <w:fldChar w:fldCharType="separate"/>
      </w:r>
      <w:r>
        <w:t>42</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_Toc216773742 \h </w:instrText>
      </w:r>
      <w:r>
        <w:fldChar w:fldCharType="separate"/>
      </w:r>
      <w:r>
        <w:t>42</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_Toc216773743 \h </w:instrText>
      </w:r>
      <w:r>
        <w:fldChar w:fldCharType="separate"/>
      </w:r>
      <w:r>
        <w:t>43</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_Toc216773744 \h </w:instrText>
      </w:r>
      <w:r>
        <w:fldChar w:fldCharType="separate"/>
      </w:r>
      <w:r>
        <w:t>44</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_Toc216773745 \h </w:instrText>
      </w:r>
      <w:r>
        <w:fldChar w:fldCharType="separate"/>
      </w:r>
      <w:r>
        <w:t>45</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_Toc216773746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_Toc216773748 \h </w:instrText>
      </w:r>
      <w:r>
        <w:fldChar w:fldCharType="separate"/>
      </w:r>
      <w:r>
        <w:t>48</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_Toc216773749 \h </w:instrText>
      </w:r>
      <w:r>
        <w:fldChar w:fldCharType="separate"/>
      </w:r>
      <w:r>
        <w:t>49</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_Toc216773750 \h </w:instrText>
      </w:r>
      <w:r>
        <w:fldChar w:fldCharType="separate"/>
      </w:r>
      <w:r>
        <w:t>49</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_Toc216773751 \h </w:instrText>
      </w:r>
      <w:r>
        <w:fldChar w:fldCharType="separate"/>
      </w:r>
      <w:r>
        <w:t>50</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_Toc216773752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_Toc216773754 \h </w:instrText>
      </w:r>
      <w:r>
        <w:fldChar w:fldCharType="separate"/>
      </w:r>
      <w:r>
        <w:t>52</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_Toc216773755 \h </w:instrText>
      </w:r>
      <w:r>
        <w:fldChar w:fldCharType="separate"/>
      </w:r>
      <w:r>
        <w:t>52</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_Toc216773756 \h </w:instrText>
      </w:r>
      <w:r>
        <w:fldChar w:fldCharType="separate"/>
      </w:r>
      <w:r>
        <w:t>53</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_Toc216773757 \h </w:instrText>
      </w:r>
      <w:r>
        <w:fldChar w:fldCharType="separate"/>
      </w:r>
      <w:r>
        <w:t>54</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_Toc216773758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_Toc216773760 \h </w:instrText>
      </w:r>
      <w:r>
        <w:fldChar w:fldCharType="separate"/>
      </w:r>
      <w:r>
        <w:t>56</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_Toc216773761 \h </w:instrText>
      </w:r>
      <w:r>
        <w:fldChar w:fldCharType="separate"/>
      </w:r>
      <w:r>
        <w:t>56</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_Toc216773762 \h </w:instrText>
      </w:r>
      <w:r>
        <w:fldChar w:fldCharType="separate"/>
      </w:r>
      <w:r>
        <w:t>57</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_Toc216773763 \h </w:instrText>
      </w:r>
      <w:r>
        <w:fldChar w:fldCharType="separate"/>
      </w:r>
      <w:r>
        <w:t>58</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_Toc216773764 \h </w:instrText>
      </w:r>
      <w:r>
        <w:fldChar w:fldCharType="separate"/>
      </w:r>
      <w:r>
        <w:t>59</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_Toc216773765 \h </w:instrText>
      </w:r>
      <w:r>
        <w:fldChar w:fldCharType="separate"/>
      </w:r>
      <w:r>
        <w:t>60</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_Toc216773766 \h </w:instrText>
      </w:r>
      <w:r>
        <w:fldChar w:fldCharType="separate"/>
      </w:r>
      <w:r>
        <w:t>60</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_Toc216773767 \h </w:instrText>
      </w:r>
      <w:r>
        <w:fldChar w:fldCharType="separate"/>
      </w:r>
      <w:r>
        <w:t>61</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_Toc216773768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_Toc216773770 \h </w:instrText>
      </w:r>
      <w:r>
        <w:fldChar w:fldCharType="separate"/>
      </w:r>
      <w:r>
        <w:t>62</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_Toc216773771 \h </w:instrText>
      </w:r>
      <w:r>
        <w:fldChar w:fldCharType="separate"/>
      </w:r>
      <w:r>
        <w:t>63</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_Toc216773772 \h </w:instrText>
      </w:r>
      <w:r>
        <w:fldChar w:fldCharType="separate"/>
      </w:r>
      <w:r>
        <w:t>63</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_Toc216773773 \h </w:instrText>
      </w:r>
      <w:r>
        <w:fldChar w:fldCharType="separate"/>
      </w:r>
      <w:r>
        <w:t>64</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_Toc216773774 \h </w:instrText>
      </w:r>
      <w:r>
        <w:fldChar w:fldCharType="separate"/>
      </w:r>
      <w:r>
        <w:t>65</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_Toc216773775 \h </w:instrText>
      </w:r>
      <w:r>
        <w:fldChar w:fldCharType="separate"/>
      </w:r>
      <w:r>
        <w:t>66</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_Toc216773776 \h </w:instrText>
      </w:r>
      <w:r>
        <w:fldChar w:fldCharType="separate"/>
      </w:r>
      <w:r>
        <w:t>67</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_Toc216773777 \h </w:instrText>
      </w:r>
      <w:r>
        <w:fldChar w:fldCharType="separate"/>
      </w:r>
      <w:r>
        <w:t>68</w:t>
      </w:r>
      <w:r>
        <w:fldChar w:fldCharType="end"/>
      </w:r>
    </w:p>
    <w:p>
      <w:pPr>
        <w:pStyle w:val="TOC8"/>
        <w:rPr>
          <w:rFonts w:asciiTheme="minorHAnsi" w:eastAsiaTheme="minorEastAsia" w:hAnsiTheme="minorHAnsi" w:cstheme="minorBidi"/>
          <w:szCs w:val="22"/>
        </w:rPr>
      </w:pPr>
      <w:r>
        <w:t>68B.</w:t>
      </w:r>
      <w:r>
        <w:tab/>
        <w:t>Identifying information of reportable offenders</w:t>
      </w:r>
      <w:r>
        <w:tab/>
      </w:r>
      <w:r>
        <w:fldChar w:fldCharType="begin"/>
      </w:r>
      <w:r>
        <w:instrText xml:space="preserve"> PAGEREF _Toc216773778 \h </w:instrText>
      </w:r>
      <w:r>
        <w:fldChar w:fldCharType="separate"/>
      </w:r>
      <w:r>
        <w:t>69</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_Toc216773779 \h </w:instrText>
      </w:r>
      <w:r>
        <w:fldChar w:fldCharType="separate"/>
      </w:r>
      <w:r>
        <w:t>69</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_Toc216773780 \h </w:instrText>
      </w:r>
      <w:r>
        <w:fldChar w:fldCharType="separate"/>
      </w:r>
      <w:r>
        <w:t>70</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_Toc216773781 \h </w:instrText>
      </w:r>
      <w:r>
        <w:fldChar w:fldCharType="separate"/>
      </w:r>
      <w:r>
        <w:t>70</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_Toc216773782 \h </w:instrText>
      </w:r>
      <w:r>
        <w:fldChar w:fldCharType="separate"/>
      </w:r>
      <w:r>
        <w:t>71</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_Toc216773783 \h </w:instrText>
      </w:r>
      <w:r>
        <w:fldChar w:fldCharType="separate"/>
      </w:r>
      <w:r>
        <w:t>71</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_Toc216773784 \h </w:instrText>
      </w:r>
      <w:r>
        <w:fldChar w:fldCharType="separate"/>
      </w:r>
      <w:r>
        <w:t>72</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_Toc216773785 \h </w:instrText>
      </w:r>
      <w:r>
        <w:fldChar w:fldCharType="separate"/>
      </w:r>
      <w:r>
        <w:t>73</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_Toc216773786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_Toc216773788 \h </w:instrText>
      </w:r>
      <w:r>
        <w:fldChar w:fldCharType="separate"/>
      </w:r>
      <w:r>
        <w:t>76</w:t>
      </w:r>
      <w:r>
        <w:fldChar w:fldCharType="end"/>
      </w:r>
    </w:p>
    <w:p>
      <w:pPr>
        <w:pStyle w:val="TOC8"/>
        <w:rPr>
          <w:rFonts w:asciiTheme="minorHAnsi" w:eastAsiaTheme="minorEastAsia" w:hAnsiTheme="minorHAnsi" w:cstheme="minorBidi"/>
          <w:szCs w:val="22"/>
        </w:rPr>
      </w:pPr>
      <w:r>
        <w:lastRenderedPageBreak/>
        <w:t>77.</w:t>
      </w:r>
      <w:r>
        <w:tab/>
        <w:t>DNA profiles lawfully obtained before commencement of Part</w:t>
      </w:r>
      <w:r>
        <w:tab/>
      </w:r>
      <w:r>
        <w:fldChar w:fldCharType="begin"/>
      </w:r>
      <w:r>
        <w:instrText xml:space="preserve"> PAGEREF _Toc216773789 \h </w:instrText>
      </w:r>
      <w:r>
        <w:fldChar w:fldCharType="separate"/>
      </w:r>
      <w:r>
        <w:t>76</w:t>
      </w:r>
      <w:r>
        <w:fldChar w:fldCharType="end"/>
      </w:r>
    </w:p>
    <w:p>
      <w:pPr>
        <w:pStyle w:val="TOC8"/>
        <w:rPr>
          <w:rFonts w:asciiTheme="minorHAnsi" w:eastAsiaTheme="minorEastAsia" w:hAnsiTheme="minorHAnsi" w:cstheme="minorBidi"/>
          <w:szCs w:val="22"/>
        </w:rPr>
      </w:pPr>
      <w:r>
        <w:t>79.</w:t>
      </w:r>
      <w:r>
        <w:tab/>
        <w:t>Database managers, duties of</w:t>
      </w:r>
      <w:r>
        <w:tab/>
      </w:r>
      <w:r>
        <w:fldChar w:fldCharType="begin"/>
      </w:r>
      <w:r>
        <w:instrText xml:space="preserve"> PAGEREF _Toc216773790 \h </w:instrText>
      </w:r>
      <w:r>
        <w:fldChar w:fldCharType="separate"/>
      </w:r>
      <w:r>
        <w:t>77</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_Toc216773791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_Toc216773793 \h </w:instrText>
      </w:r>
      <w:r>
        <w:fldChar w:fldCharType="separate"/>
      </w:r>
      <w:r>
        <w:t>78</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_Toc216773794 \h </w:instrText>
      </w:r>
      <w:r>
        <w:fldChar w:fldCharType="separate"/>
      </w:r>
      <w:r>
        <w:t>78</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_Toc216773795 \h </w:instrText>
      </w:r>
      <w:r>
        <w:fldChar w:fldCharType="separate"/>
      </w:r>
      <w:r>
        <w:t>79</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_Toc216773796 \h </w:instrText>
      </w:r>
      <w:r>
        <w:fldChar w:fldCharType="separate"/>
      </w:r>
      <w:r>
        <w:t>79</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_Toc216773797 \h </w:instrText>
      </w:r>
      <w:r>
        <w:fldChar w:fldCharType="separate"/>
      </w:r>
      <w:r>
        <w:t>80</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_Toc216773798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_Toc216773800 \h </w:instrText>
      </w:r>
      <w:r>
        <w:fldChar w:fldCharType="separate"/>
      </w:r>
      <w:r>
        <w:t>82</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_Toc216773801 \h </w:instrText>
      </w:r>
      <w:r>
        <w:fldChar w:fldCharType="separate"/>
      </w:r>
      <w:r>
        <w:t>82</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_Toc216773802 \h </w:instrText>
      </w:r>
      <w:r>
        <w:fldChar w:fldCharType="separate"/>
      </w:r>
      <w:r>
        <w:t>83</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_Toc216773803 \h </w:instrText>
      </w:r>
      <w:r>
        <w:fldChar w:fldCharType="separate"/>
      </w:r>
      <w:r>
        <w:t>83</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_Toc216773804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_Toc216773806 \h </w:instrText>
      </w:r>
      <w:r>
        <w:fldChar w:fldCharType="separate"/>
      </w:r>
      <w:r>
        <w:t>85</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_Toc216773807 \h </w:instrText>
      </w:r>
      <w:r>
        <w:fldChar w:fldCharType="separate"/>
      </w:r>
      <w:r>
        <w:t>85</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_Toc216773808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_Toc216773810 \h </w:instrText>
      </w:r>
      <w:r>
        <w:fldChar w:fldCharType="separate"/>
      </w:r>
      <w:r>
        <w:t>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_Toc216773811 \h </w:instrText>
      </w:r>
      <w:r>
        <w:fldChar w:fldCharType="separate"/>
      </w:r>
      <w:r>
        <w:t>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_Toc216773812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21677368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p>
    <w:p>
      <w:pPr>
        <w:pStyle w:val="Heading5"/>
        <w:spacing w:before="120"/>
        <w:rPr>
          <w:snapToGrid w:val="0"/>
        </w:rPr>
      </w:pPr>
      <w:bookmarkStart w:id="3" w:name="_Toc216773689"/>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spacing w:before="120"/>
        <w:rPr>
          <w:snapToGrid w:val="0"/>
        </w:rPr>
      </w:pPr>
      <w:bookmarkStart w:id="4" w:name="_Toc216773690"/>
      <w:r>
        <w:rPr>
          <w:rStyle w:val="CharSectno"/>
        </w:rPr>
        <w:t>2</w:t>
      </w:r>
      <w:r>
        <w:rPr>
          <w:snapToGrid w:val="0"/>
        </w:rPr>
        <w:t>.</w:t>
      </w:r>
      <w:r>
        <w:rPr>
          <w:snapToGrid w:val="0"/>
        </w:rPr>
        <w:tab/>
        <w:t>Commencement</w:t>
      </w:r>
      <w:bookmarkEnd w:id="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spacing w:before="120"/>
      </w:pPr>
      <w:bookmarkStart w:id="5" w:name="_Toc216773691"/>
      <w:r>
        <w:rPr>
          <w:rStyle w:val="CharSectno"/>
        </w:rPr>
        <w:t>3</w:t>
      </w:r>
      <w:r>
        <w:t>.</w:t>
      </w:r>
      <w:r>
        <w:tab/>
        <w:t>Terms used</w:t>
      </w:r>
      <w:bookmarkEnd w:id="5"/>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lastRenderedPageBreak/>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lastRenderedPageBreak/>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xml:space="preserve">, in relation to a person, means the person’s genital area, anal area and buttocks and, in the case of a female or person identifying as female, includes the person’s breasts; </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lastRenderedPageBreak/>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keepNex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lastRenderedPageBreak/>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No. 28 of 2003 s. 38; No. 84 of 2004 s. 80; No. 29 of 2008 s. 28; No. 42 of 2009 s. 16(2); No. 22 of 2013 s. 4; No. 17 of 2014 s. 6; No. 31 of 2024 s. 36.]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6" w:name="_Toc216773692"/>
      <w:r>
        <w:rPr>
          <w:rStyle w:val="CharSectno"/>
        </w:rPr>
        <w:t>4</w:t>
      </w:r>
      <w:r>
        <w:t>.</w:t>
      </w:r>
      <w:r>
        <w:tab/>
        <w:t>Term used: reasonably suspects</w:t>
      </w:r>
      <w:bookmarkEnd w:id="6"/>
    </w:p>
    <w:p>
      <w:pPr>
        <w:pStyle w:val="Subsection"/>
      </w:pPr>
      <w:r>
        <w:tab/>
      </w:r>
      <w:r>
        <w:tab/>
        <w:t xml:space="preserve">For the purposes of this Act, a person reasonably suspects something at a relevant time if he or she personally has grounds at the time for suspecting the thing and those grounds (even if </w:t>
      </w:r>
      <w:r>
        <w:lastRenderedPageBreak/>
        <w:t>they are subsequently found to be false or non</w:t>
      </w:r>
      <w:r>
        <w:noBreakHyphen/>
        <w:t>existent), when judged objectively, are reasonable.</w:t>
      </w:r>
    </w:p>
    <w:p>
      <w:pPr>
        <w:pStyle w:val="Footnotesection"/>
      </w:pPr>
      <w:r>
        <w:tab/>
        <w:t xml:space="preserve">[Section 4 amended: No. 59 of 2006 s. 36.] </w:t>
      </w:r>
    </w:p>
    <w:p>
      <w:pPr>
        <w:pStyle w:val="Heading5"/>
      </w:pPr>
      <w:bookmarkStart w:id="7" w:name="_Toc216773693"/>
      <w:r>
        <w:rPr>
          <w:rStyle w:val="CharSectno"/>
        </w:rPr>
        <w:t>4A</w:t>
      </w:r>
      <w:r>
        <w:t>.</w:t>
      </w:r>
      <w:r>
        <w:tab/>
      </w:r>
      <w:r>
        <w:rPr>
          <w:i/>
        </w:rPr>
        <w:t>Courts and Tribunals (Electronic Processes Facilitation) Act 2013</w:t>
      </w:r>
      <w:r>
        <w:t xml:space="preserve"> Pt. 2 applies</w:t>
      </w:r>
      <w:bookmarkEnd w:id="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58.]</w:t>
      </w:r>
    </w:p>
    <w:p>
      <w:pPr>
        <w:pStyle w:val="Heading5"/>
      </w:pPr>
      <w:bookmarkStart w:id="8" w:name="_Toc216773694"/>
      <w:r>
        <w:rPr>
          <w:rStyle w:val="CharSectno"/>
        </w:rPr>
        <w:t>5</w:t>
      </w:r>
      <w:r>
        <w:t>.</w:t>
      </w:r>
      <w:r>
        <w:tab/>
        <w:t>Public officers may be authorised to exercise powers</w:t>
      </w:r>
      <w:bookmarkEnd w:id="8"/>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 w:name="_Toc216773695"/>
      <w:r>
        <w:rPr>
          <w:rStyle w:val="CharSectno"/>
        </w:rPr>
        <w:lastRenderedPageBreak/>
        <w:t>6</w:t>
      </w:r>
      <w:r>
        <w:t>.</w:t>
      </w:r>
      <w:r>
        <w:tab/>
        <w:t>Officer’s duty to identify himself or herself</w:t>
      </w:r>
      <w:bookmarkEnd w:id="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 w:name="_Toc216773696"/>
      <w:r>
        <w:rPr>
          <w:rStyle w:val="CharSectno"/>
        </w:rPr>
        <w:t>7A</w:t>
      </w:r>
      <w:r>
        <w:t>.</w:t>
      </w:r>
      <w:r>
        <w:tab/>
        <w:t>Requesting or informing people under this Act</w:t>
      </w:r>
      <w:bookmarkEnd w:id="10"/>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No. 22 of 2013 s. 5.]</w:t>
      </w:r>
    </w:p>
    <w:p>
      <w:pPr>
        <w:pStyle w:val="Heading5"/>
      </w:pPr>
      <w:bookmarkStart w:id="11" w:name="_Toc216773697"/>
      <w:r>
        <w:rPr>
          <w:rStyle w:val="CharSectno"/>
        </w:rPr>
        <w:t>7</w:t>
      </w:r>
      <w:r>
        <w:t>.</w:t>
      </w:r>
      <w:r>
        <w:tab/>
        <w:t>Non</w:t>
      </w:r>
      <w:r>
        <w:noBreakHyphen/>
        <w:t>consent to be assumed in some cases</w:t>
      </w:r>
      <w:bookmarkEnd w:id="1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lastRenderedPageBreak/>
        <w:tab/>
        <w:t>[Section 7 amended: No. 22 of 2013 s. 6.]</w:t>
      </w:r>
    </w:p>
    <w:p>
      <w:pPr>
        <w:pStyle w:val="Heading5"/>
      </w:pPr>
      <w:bookmarkStart w:id="12" w:name="_Toc216773698"/>
      <w:r>
        <w:rPr>
          <w:rStyle w:val="CharSectno"/>
        </w:rPr>
        <w:t>8</w:t>
      </w:r>
      <w:r>
        <w:t>.</w:t>
      </w:r>
      <w:r>
        <w:tab/>
        <w:t>Procedures for obtaining material from which to obtain specific identifying particulars</w:t>
      </w:r>
      <w:bookmarkEnd w:id="12"/>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 xml:space="preserve">in relation to an identifying procedure so specified, may provide that the procedure must not be used to obtain </w:t>
      </w:r>
      <w:r>
        <w:lastRenderedPageBreak/>
        <w:t>bodily material from the person unless it is impracticable to use another specified procedure.</w:t>
      </w:r>
    </w:p>
    <w:p>
      <w:pPr>
        <w:pStyle w:val="Footnotesection"/>
      </w:pPr>
      <w:r>
        <w:tab/>
        <w:t>[Section 8 amended: No. 22 of 2013 s. 7.]</w:t>
      </w:r>
    </w:p>
    <w:p>
      <w:pPr>
        <w:pStyle w:val="Heading5"/>
      </w:pPr>
      <w:bookmarkStart w:id="13" w:name="_Toc216773699"/>
      <w:r>
        <w:rPr>
          <w:rStyle w:val="CharSectno"/>
        </w:rPr>
        <w:t>9</w:t>
      </w:r>
      <w:r>
        <w:t>.</w:t>
      </w:r>
      <w:r>
        <w:tab/>
        <w:t>Samples for DNA profile of person to be provided to person on request</w:t>
      </w:r>
      <w:bookmarkEnd w:id="13"/>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lastRenderedPageBreak/>
        <w:tab/>
        <w:t>[Section 9 amended: No. 22 of 2013 s. 8.]</w:t>
      </w:r>
    </w:p>
    <w:p>
      <w:pPr>
        <w:pStyle w:val="Heading5"/>
      </w:pPr>
      <w:bookmarkStart w:id="14" w:name="_Toc216773700"/>
      <w:r>
        <w:rPr>
          <w:rStyle w:val="CharSectno"/>
        </w:rPr>
        <w:t>10</w:t>
      </w:r>
      <w:r>
        <w:t>.</w:t>
      </w:r>
      <w:r>
        <w:tab/>
        <w:t>How charge is finalised without finding of guilt</w:t>
      </w:r>
      <w:bookmarkEnd w:id="14"/>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5" w:name="_Toc216773701"/>
      <w:r>
        <w:rPr>
          <w:rStyle w:val="CharPartNo"/>
        </w:rPr>
        <w:lastRenderedPageBreak/>
        <w:t>Part 2</w:t>
      </w:r>
      <w:r>
        <w:rPr>
          <w:rStyle w:val="CharDivNo"/>
        </w:rPr>
        <w:t xml:space="preserve"> </w:t>
      </w:r>
      <w:r>
        <w:t>—</w:t>
      </w:r>
      <w:r>
        <w:rPr>
          <w:rStyle w:val="CharDivText"/>
        </w:rPr>
        <w:t xml:space="preserve"> </w:t>
      </w:r>
      <w:r>
        <w:rPr>
          <w:rStyle w:val="CharPartText"/>
        </w:rPr>
        <w:t>General</w:t>
      </w:r>
      <w:bookmarkEnd w:id="15"/>
    </w:p>
    <w:p>
      <w:pPr>
        <w:pStyle w:val="Heading5"/>
      </w:pPr>
      <w:bookmarkStart w:id="16" w:name="_Toc216773702"/>
      <w:r>
        <w:rPr>
          <w:rStyle w:val="CharSectno"/>
        </w:rPr>
        <w:t>11</w:t>
      </w:r>
      <w:r>
        <w:t>.</w:t>
      </w:r>
      <w:r>
        <w:tab/>
        <w:t>Application of this Act</w:t>
      </w:r>
      <w:bookmarkEnd w:id="16"/>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No. 22 of 2013 s. 9.]</w:t>
      </w:r>
    </w:p>
    <w:p>
      <w:pPr>
        <w:pStyle w:val="Heading5"/>
      </w:pPr>
      <w:bookmarkStart w:id="17" w:name="_Toc216773703"/>
      <w:r>
        <w:rPr>
          <w:rStyle w:val="CharSectno"/>
        </w:rPr>
        <w:lastRenderedPageBreak/>
        <w:t>12A</w:t>
      </w:r>
      <w:r>
        <w:t>.</w:t>
      </w:r>
      <w:r>
        <w:tab/>
        <w:t>Authority required for some investigations</w:t>
      </w:r>
      <w:bookmarkEnd w:id="17"/>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No. 9 of 2012 s. 9.]</w:t>
      </w:r>
    </w:p>
    <w:p>
      <w:pPr>
        <w:pStyle w:val="Heading5"/>
        <w:spacing w:before="180"/>
      </w:pPr>
      <w:bookmarkStart w:id="18" w:name="_Toc216773704"/>
      <w:r>
        <w:rPr>
          <w:rStyle w:val="CharSectno"/>
        </w:rPr>
        <w:t>12</w:t>
      </w:r>
      <w:r>
        <w:t>.</w:t>
      </w:r>
      <w:r>
        <w:tab/>
        <w:t>Information and forensic material from another State, a Territory or the Commonwealth</w:t>
      </w:r>
      <w:bookmarkEnd w:id="18"/>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19" w:name="_Toc216773705"/>
      <w:r>
        <w:rPr>
          <w:rStyle w:val="CharSectno"/>
        </w:rPr>
        <w:t>13</w:t>
      </w:r>
      <w:r>
        <w:t>.</w:t>
      </w:r>
      <w:r>
        <w:tab/>
        <w:t>Assistance when exercising powers</w:t>
      </w:r>
      <w:bookmarkEnd w:id="19"/>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0" w:name="_Toc216773706"/>
      <w:r>
        <w:rPr>
          <w:rStyle w:val="CharSectno"/>
        </w:rPr>
        <w:lastRenderedPageBreak/>
        <w:t>14</w:t>
      </w:r>
      <w:r>
        <w:t>.</w:t>
      </w:r>
      <w:r>
        <w:tab/>
        <w:t>Use of force when exercising powers</w:t>
      </w:r>
      <w:bookmarkEnd w:id="20"/>
    </w:p>
    <w:p>
      <w:pPr>
        <w:pStyle w:val="Subsection"/>
        <w:keepNext/>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1" w:name="_Toc216773707"/>
      <w:r>
        <w:rPr>
          <w:rStyle w:val="CharSectno"/>
        </w:rPr>
        <w:t>15</w:t>
      </w:r>
      <w:r>
        <w:t>.</w:t>
      </w:r>
      <w:r>
        <w:tab/>
        <w:t>Warrants, applying for</w:t>
      </w:r>
      <w:bookmarkEnd w:id="21"/>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lastRenderedPageBreak/>
        <w:tab/>
        <w:t>(8)</w:t>
      </w:r>
      <w:r>
        <w:tab/>
        <w:t>The copy of the original warrant sent, or the form of the warrant completed, as the case may be, under subsection (7) has the same force and effect as the original warrant.</w:t>
      </w:r>
    </w:p>
    <w:p>
      <w:pPr>
        <w:pStyle w:val="Footnotesection"/>
      </w:pPr>
      <w:r>
        <w:tab/>
        <w:t>[Section 15 inserted: No. 59 of 2006 s. 37.]</w:t>
      </w:r>
    </w:p>
    <w:p>
      <w:pPr>
        <w:pStyle w:val="Heading2"/>
      </w:pPr>
      <w:bookmarkStart w:id="22" w:name="_Toc216773708"/>
      <w:r>
        <w:rPr>
          <w:rStyle w:val="CharPartNo"/>
        </w:rPr>
        <w:lastRenderedPageBreak/>
        <w:t>Part 3</w:t>
      </w:r>
      <w:r>
        <w:rPr>
          <w:rStyle w:val="CharDivNo"/>
        </w:rPr>
        <w:t xml:space="preserve"> </w:t>
      </w:r>
      <w:r>
        <w:t>—</w:t>
      </w:r>
      <w:r>
        <w:rPr>
          <w:rStyle w:val="CharDivText"/>
        </w:rPr>
        <w:t xml:space="preserve"> </w:t>
      </w:r>
      <w:r>
        <w:rPr>
          <w:rStyle w:val="CharPartText"/>
        </w:rPr>
        <w:t>Personal details of people</w:t>
      </w:r>
      <w:bookmarkEnd w:id="22"/>
    </w:p>
    <w:p>
      <w:pPr>
        <w:pStyle w:val="Heading5"/>
        <w:spacing w:before="240"/>
      </w:pPr>
      <w:bookmarkStart w:id="23" w:name="_Toc216773709"/>
      <w:r>
        <w:rPr>
          <w:rStyle w:val="CharSectno"/>
        </w:rPr>
        <w:t>16</w:t>
      </w:r>
      <w:r>
        <w:t>.</w:t>
      </w:r>
      <w:r>
        <w:tab/>
        <w:t>Name, address etc., duty to give to police etc.</w:t>
      </w:r>
      <w:bookmarkEnd w:id="23"/>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 xml:space="preserve">a police officer requests or requires a person to give the police officer, under another written law and for a </w:t>
      </w:r>
      <w:r>
        <w:lastRenderedPageBreak/>
        <w:t>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keepNext/>
      </w:pPr>
      <w:r>
        <w:lastRenderedPageBreak/>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No. 22 of 2013 s. 10.]</w:t>
      </w:r>
    </w:p>
    <w:p>
      <w:pPr>
        <w:pStyle w:val="Heading2"/>
      </w:pPr>
      <w:bookmarkStart w:id="24" w:name="_Toc216773710"/>
      <w:r>
        <w:rPr>
          <w:rStyle w:val="CharPartNo"/>
        </w:rPr>
        <w:lastRenderedPageBreak/>
        <w:t>Part 4</w:t>
      </w:r>
      <w:r>
        <w:t xml:space="preserve"> — </w:t>
      </w:r>
      <w:r>
        <w:rPr>
          <w:rStyle w:val="CharPartText"/>
        </w:rPr>
        <w:t>Identifying particulars of volunteers and others</w:t>
      </w:r>
      <w:bookmarkEnd w:id="24"/>
    </w:p>
    <w:p>
      <w:pPr>
        <w:pStyle w:val="Heading3"/>
        <w:spacing w:before="180"/>
      </w:pPr>
      <w:bookmarkStart w:id="25" w:name="_Toc216773711"/>
      <w:r>
        <w:rPr>
          <w:rStyle w:val="CharDivNo"/>
        </w:rPr>
        <w:t>Division 1</w:t>
      </w:r>
      <w:r>
        <w:t xml:space="preserve"> — </w:t>
      </w:r>
      <w:r>
        <w:rPr>
          <w:rStyle w:val="CharDivText"/>
        </w:rPr>
        <w:t>Preliminary</w:t>
      </w:r>
      <w:bookmarkEnd w:id="25"/>
    </w:p>
    <w:p>
      <w:pPr>
        <w:pStyle w:val="Heading5"/>
        <w:spacing w:before="150"/>
      </w:pPr>
      <w:bookmarkStart w:id="26" w:name="_Toc216773712"/>
      <w:r>
        <w:rPr>
          <w:rStyle w:val="CharSectno"/>
        </w:rPr>
        <w:t>17</w:t>
      </w:r>
      <w:r>
        <w:t>.</w:t>
      </w:r>
      <w:r>
        <w:tab/>
        <w:t>Terms used</w:t>
      </w:r>
      <w:bookmarkEnd w:id="26"/>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No. 22 of 2013 s. 11.]</w:t>
      </w:r>
    </w:p>
    <w:p>
      <w:pPr>
        <w:pStyle w:val="Heading5"/>
        <w:spacing w:before="180"/>
      </w:pPr>
      <w:bookmarkStart w:id="27" w:name="_Toc216773713"/>
      <w:r>
        <w:rPr>
          <w:rStyle w:val="CharSectno"/>
        </w:rPr>
        <w:t>18</w:t>
      </w:r>
      <w:r>
        <w:t>.</w:t>
      </w:r>
      <w:r>
        <w:tab/>
        <w:t>How identifying procedures are to be done</w:t>
      </w:r>
      <w:bookmarkEnd w:id="27"/>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28" w:name="_Toc216773714"/>
      <w:r>
        <w:rPr>
          <w:rStyle w:val="CharDivNo"/>
        </w:rPr>
        <w:lastRenderedPageBreak/>
        <w:t>Division 2</w:t>
      </w:r>
      <w:r>
        <w:t xml:space="preserve"> — </w:t>
      </w:r>
      <w:r>
        <w:rPr>
          <w:rStyle w:val="CharDivText"/>
        </w:rPr>
        <w:t>Volunteers</w:t>
      </w:r>
      <w:bookmarkEnd w:id="28"/>
    </w:p>
    <w:p>
      <w:pPr>
        <w:pStyle w:val="Heading5"/>
        <w:spacing w:before="150"/>
      </w:pPr>
      <w:bookmarkStart w:id="29" w:name="_Toc216773715"/>
      <w:r>
        <w:rPr>
          <w:rStyle w:val="CharSectno"/>
        </w:rPr>
        <w:t>19</w:t>
      </w:r>
      <w:r>
        <w:t>.</w:t>
      </w:r>
      <w:r>
        <w:tab/>
        <w:t>Volunteer for an identifying procedure to be informed</w:t>
      </w:r>
      <w:bookmarkEnd w:id="29"/>
    </w:p>
    <w:p>
      <w:pPr>
        <w:pStyle w:val="Subsection"/>
        <w:keepNext/>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lastRenderedPageBreak/>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No. 22 of 2013 s. 12.]</w:t>
      </w:r>
    </w:p>
    <w:p>
      <w:pPr>
        <w:pStyle w:val="Heading5"/>
      </w:pPr>
      <w:bookmarkStart w:id="30" w:name="_Toc216773716"/>
      <w:r>
        <w:rPr>
          <w:rStyle w:val="CharSectno"/>
        </w:rPr>
        <w:t>20</w:t>
      </w:r>
      <w:r>
        <w:t>.</w:t>
      </w:r>
      <w:r>
        <w:tab/>
        <w:t>Volunteer may consent to identifying procedure</w:t>
      </w:r>
      <w:bookmarkEnd w:id="30"/>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lastRenderedPageBreak/>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lastRenderedPageBreak/>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1" w:name="_Toc216773717"/>
      <w:r>
        <w:rPr>
          <w:rStyle w:val="CharDivNo"/>
        </w:rPr>
        <w:t>Division 3</w:t>
      </w:r>
      <w:r>
        <w:t xml:space="preserve"> — </w:t>
      </w:r>
      <w:r>
        <w:rPr>
          <w:rStyle w:val="CharDivText"/>
        </w:rPr>
        <w:t>Deceased people</w:t>
      </w:r>
      <w:bookmarkEnd w:id="31"/>
    </w:p>
    <w:p>
      <w:pPr>
        <w:pStyle w:val="Heading5"/>
      </w:pPr>
      <w:bookmarkStart w:id="32" w:name="_Toc216773718"/>
      <w:r>
        <w:rPr>
          <w:rStyle w:val="CharSectno"/>
        </w:rPr>
        <w:t>21</w:t>
      </w:r>
      <w:r>
        <w:t>.</w:t>
      </w:r>
      <w:r>
        <w:tab/>
        <w:t>Identifying particulars of deceased people, taking of</w:t>
      </w:r>
      <w:bookmarkEnd w:id="3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33" w:name="_Toc216773719"/>
      <w:r>
        <w:rPr>
          <w:rStyle w:val="CharDivNo"/>
        </w:rPr>
        <w:lastRenderedPageBreak/>
        <w:t>Division 4</w:t>
      </w:r>
      <w:r>
        <w:t xml:space="preserve"> — </w:t>
      </w:r>
      <w:r>
        <w:rPr>
          <w:rStyle w:val="CharDivText"/>
        </w:rPr>
        <w:t>Police officers</w:t>
      </w:r>
      <w:bookmarkEnd w:id="33"/>
    </w:p>
    <w:p>
      <w:pPr>
        <w:pStyle w:val="Heading5"/>
        <w:spacing w:before="240"/>
      </w:pPr>
      <w:bookmarkStart w:id="34" w:name="_Toc216773720"/>
      <w:r>
        <w:rPr>
          <w:rStyle w:val="CharSectno"/>
        </w:rPr>
        <w:t>22</w:t>
      </w:r>
      <w:r>
        <w:t>.</w:t>
      </w:r>
      <w:r>
        <w:tab/>
        <w:t>Identifying particulars of police officers, taking of</w:t>
      </w:r>
      <w:bookmarkEnd w:id="34"/>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No. 42 of 2009 s. 16(3).]</w:t>
      </w:r>
    </w:p>
    <w:p>
      <w:pPr>
        <w:pStyle w:val="Heading2"/>
      </w:pPr>
      <w:bookmarkStart w:id="35" w:name="_Toc216773721"/>
      <w:r>
        <w:rPr>
          <w:rStyle w:val="CharPartNo"/>
        </w:rPr>
        <w:lastRenderedPageBreak/>
        <w:t>Part 5</w:t>
      </w:r>
      <w:r>
        <w:rPr>
          <w:rStyle w:val="CharDivNo"/>
        </w:rPr>
        <w:t xml:space="preserve"> </w:t>
      </w:r>
      <w:r>
        <w:t>—</w:t>
      </w:r>
      <w:r>
        <w:rPr>
          <w:rStyle w:val="CharDivText"/>
        </w:rPr>
        <w:t xml:space="preserve"> </w:t>
      </w:r>
      <w:r>
        <w:rPr>
          <w:rStyle w:val="CharPartText"/>
        </w:rPr>
        <w:t>Identifying particulars of victims and witnesses</w:t>
      </w:r>
      <w:bookmarkEnd w:id="35"/>
    </w:p>
    <w:p>
      <w:pPr>
        <w:pStyle w:val="Heading5"/>
        <w:spacing w:before="240"/>
      </w:pPr>
      <w:bookmarkStart w:id="36" w:name="_Toc216773722"/>
      <w:r>
        <w:rPr>
          <w:rStyle w:val="CharSectno"/>
        </w:rPr>
        <w:t>23</w:t>
      </w:r>
      <w:r>
        <w:t>.</w:t>
      </w:r>
      <w:r>
        <w:tab/>
        <w:t>Terms used</w:t>
      </w:r>
      <w:bookmarkEnd w:id="36"/>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No. 22 of 2013 s. 13.]</w:t>
      </w:r>
    </w:p>
    <w:p>
      <w:pPr>
        <w:pStyle w:val="Heading5"/>
        <w:spacing w:before="240"/>
      </w:pPr>
      <w:bookmarkStart w:id="37" w:name="_Toc216773723"/>
      <w:r>
        <w:rPr>
          <w:rStyle w:val="CharSectno"/>
        </w:rPr>
        <w:t>24</w:t>
      </w:r>
      <w:r>
        <w:t>.</w:t>
      </w:r>
      <w:r>
        <w:tab/>
        <w:t>How identifying procedures to be done</w:t>
      </w:r>
      <w:bookmarkEnd w:id="37"/>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38" w:name="_Toc216773724"/>
      <w:r>
        <w:rPr>
          <w:rStyle w:val="CharSectno"/>
        </w:rPr>
        <w:t>25</w:t>
      </w:r>
      <w:r>
        <w:t>.</w:t>
      </w:r>
      <w:r>
        <w:tab/>
        <w:t>Request to adult to undergo identifying procedure</w:t>
      </w:r>
      <w:bookmarkEnd w:id="38"/>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lastRenderedPageBreak/>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 xml:space="preserve">that, if the procedure is done, the person may subsequently change the decision on the matters in </w:t>
      </w:r>
      <w:r>
        <w:lastRenderedPageBreak/>
        <w:t>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39" w:name="_Toc216773725"/>
      <w:r>
        <w:rPr>
          <w:rStyle w:val="CharSectno"/>
        </w:rPr>
        <w:t>26</w:t>
      </w:r>
      <w:r>
        <w:t>.</w:t>
      </w:r>
      <w:r>
        <w:tab/>
        <w:t>Request for protected person to undergo identifying procedure</w:t>
      </w:r>
      <w:bookmarkEnd w:id="39"/>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40" w:name="_Toc216773726"/>
      <w:r>
        <w:rPr>
          <w:rStyle w:val="CharSectno"/>
        </w:rPr>
        <w:t>27</w:t>
      </w:r>
      <w:r>
        <w:t>.</w:t>
      </w:r>
      <w:r>
        <w:tab/>
        <w:t>Request and giving of information to be recorded</w:t>
      </w:r>
      <w:bookmarkEnd w:id="40"/>
    </w:p>
    <w:p>
      <w:pPr>
        <w:pStyle w:val="Subsection"/>
      </w:pPr>
      <w:r>
        <w:tab/>
        <w:t>(1)</w:t>
      </w:r>
      <w:r>
        <w:tab/>
        <w:t xml:space="preserve">An officer who makes a request under section 25 or 26 must ensure that a record is made of the request, of the information </w:t>
      </w:r>
      <w:r>
        <w:lastRenderedPageBreak/>
        <w:t>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41" w:name="_Toc216773727"/>
      <w:r>
        <w:rPr>
          <w:rStyle w:val="CharSectno"/>
        </w:rPr>
        <w:t>28</w:t>
      </w:r>
      <w:r>
        <w:t>.</w:t>
      </w:r>
      <w:r>
        <w:tab/>
        <w:t>When identifying procedure may be done</w:t>
      </w:r>
      <w:bookmarkEnd w:id="41"/>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lastRenderedPageBreak/>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2" w:name="_Toc216773728"/>
      <w:r>
        <w:rPr>
          <w:rStyle w:val="CharSectno"/>
        </w:rPr>
        <w:t>29</w:t>
      </w:r>
      <w:r>
        <w:t>.</w:t>
      </w:r>
      <w:r>
        <w:tab/>
        <w:t>Consent may be withdrawn</w:t>
      </w:r>
      <w:bookmarkEnd w:id="42"/>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3" w:name="_Toc216773729"/>
      <w:r>
        <w:rPr>
          <w:rStyle w:val="CharSectno"/>
        </w:rPr>
        <w:t>30</w:t>
      </w:r>
      <w:r>
        <w:t>.</w:t>
      </w:r>
      <w:r>
        <w:tab/>
        <w:t>Decision may be changed</w:t>
      </w:r>
      <w:bookmarkEnd w:id="43"/>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lastRenderedPageBreak/>
        <w:tab/>
      </w:r>
      <w:r>
        <w:tab/>
        <w:t>may subsequently change the decision on the matters in section 26(3)(g) by notifying the Commissioner of Police.</w:t>
      </w:r>
    </w:p>
    <w:p>
      <w:pPr>
        <w:pStyle w:val="Heading5"/>
      </w:pPr>
      <w:bookmarkStart w:id="44" w:name="_Toc216773730"/>
      <w:r>
        <w:rPr>
          <w:rStyle w:val="CharSectno"/>
        </w:rPr>
        <w:t>31</w:t>
      </w:r>
      <w:r>
        <w:t>.</w:t>
      </w:r>
      <w:r>
        <w:tab/>
        <w:t>IP warrant (involved protected person), officer may apply for</w:t>
      </w:r>
      <w:bookmarkEnd w:id="44"/>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45" w:name="_Toc216773731"/>
      <w:r>
        <w:rPr>
          <w:rStyle w:val="CharSectno"/>
        </w:rPr>
        <w:t>32</w:t>
      </w:r>
      <w:r>
        <w:t>.</w:t>
      </w:r>
      <w:r>
        <w:tab/>
        <w:t>IP warrant (involved protected person), application for</w:t>
      </w:r>
      <w:bookmarkEnd w:id="4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lastRenderedPageBreak/>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46" w:name="_Toc216773732"/>
      <w:r>
        <w:rPr>
          <w:rStyle w:val="CharSectno"/>
        </w:rPr>
        <w:lastRenderedPageBreak/>
        <w:t>33</w:t>
      </w:r>
      <w:r>
        <w:t>.</w:t>
      </w:r>
      <w:r>
        <w:tab/>
        <w:t>IP warrant (involved protected person), issue and effect of</w:t>
      </w:r>
      <w:bookmarkEnd w:id="46"/>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lastRenderedPageBreak/>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lastRenderedPageBreak/>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7" w:name="_Toc216773733"/>
      <w:r>
        <w:rPr>
          <w:rStyle w:val="CharPartNo"/>
        </w:rPr>
        <w:lastRenderedPageBreak/>
        <w:t>Part 6</w:t>
      </w:r>
      <w:r>
        <w:rPr>
          <w:rStyle w:val="CharDivNo"/>
        </w:rPr>
        <w:t xml:space="preserve"> </w:t>
      </w:r>
      <w:r>
        <w:t>—</w:t>
      </w:r>
      <w:r>
        <w:rPr>
          <w:rStyle w:val="CharDivText"/>
        </w:rPr>
        <w:t xml:space="preserve"> </w:t>
      </w:r>
      <w:r>
        <w:rPr>
          <w:rStyle w:val="CharPartText"/>
        </w:rPr>
        <w:t>Identifying particulars of uncharged suspects</w:t>
      </w:r>
      <w:bookmarkEnd w:id="47"/>
    </w:p>
    <w:p>
      <w:pPr>
        <w:pStyle w:val="Heading5"/>
        <w:spacing w:before="200"/>
      </w:pPr>
      <w:bookmarkStart w:id="48" w:name="_Toc216773734"/>
      <w:r>
        <w:rPr>
          <w:rStyle w:val="CharSectno"/>
        </w:rPr>
        <w:t>34</w:t>
      </w:r>
      <w:r>
        <w:t>.</w:t>
      </w:r>
      <w:r>
        <w:tab/>
        <w:t>Terms used</w:t>
      </w:r>
      <w:bookmarkEnd w:id="48"/>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No. 22 of 2013 s. 14.]</w:t>
      </w:r>
    </w:p>
    <w:p>
      <w:pPr>
        <w:pStyle w:val="Heading5"/>
      </w:pPr>
      <w:bookmarkStart w:id="49" w:name="_Toc216773735"/>
      <w:r>
        <w:rPr>
          <w:rStyle w:val="CharSectno"/>
        </w:rPr>
        <w:t>35</w:t>
      </w:r>
      <w:r>
        <w:t>.</w:t>
      </w:r>
      <w:r>
        <w:tab/>
        <w:t>Purpose of identifying procedure</w:t>
      </w:r>
      <w:bookmarkEnd w:id="49"/>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0" w:name="_Toc216773736"/>
      <w:r>
        <w:rPr>
          <w:rStyle w:val="CharSectno"/>
        </w:rPr>
        <w:lastRenderedPageBreak/>
        <w:t>36</w:t>
      </w:r>
      <w:r>
        <w:t>.</w:t>
      </w:r>
      <w:r>
        <w:tab/>
        <w:t>How identifying procedures to be done</w:t>
      </w:r>
      <w:bookmarkEnd w:id="50"/>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51" w:name="_Toc216773737"/>
      <w:r>
        <w:rPr>
          <w:rStyle w:val="CharSectno"/>
        </w:rPr>
        <w:t>37</w:t>
      </w:r>
      <w:r>
        <w:t>.</w:t>
      </w:r>
      <w:r>
        <w:tab/>
        <w:t>Request to adult to undergo identifying procedure</w:t>
      </w:r>
      <w:bookmarkEnd w:id="51"/>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lastRenderedPageBreak/>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2" w:name="_Toc216773738"/>
      <w:r>
        <w:rPr>
          <w:rStyle w:val="CharSectno"/>
        </w:rPr>
        <w:t>38</w:t>
      </w:r>
      <w:r>
        <w:t>.</w:t>
      </w:r>
      <w:r>
        <w:tab/>
        <w:t>Request for protected person to undergo identifying procedure</w:t>
      </w:r>
      <w:bookmarkEnd w:id="5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lastRenderedPageBreak/>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No. 22 of 2013 s. 15.]</w:t>
      </w:r>
    </w:p>
    <w:p>
      <w:pPr>
        <w:pStyle w:val="Heading5"/>
      </w:pPr>
      <w:bookmarkStart w:id="53" w:name="_Toc216773739"/>
      <w:r>
        <w:rPr>
          <w:rStyle w:val="CharSectno"/>
        </w:rPr>
        <w:t>39</w:t>
      </w:r>
      <w:r>
        <w:t>.</w:t>
      </w:r>
      <w:r>
        <w:tab/>
        <w:t>Request and giving of information to be recorded</w:t>
      </w:r>
      <w:bookmarkEnd w:id="5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4" w:name="_Toc216773740"/>
      <w:r>
        <w:rPr>
          <w:rStyle w:val="CharSectno"/>
        </w:rPr>
        <w:t>40</w:t>
      </w:r>
      <w:r>
        <w:t>.</w:t>
      </w:r>
      <w:r>
        <w:tab/>
        <w:t>When identifying procedure may be done</w:t>
      </w:r>
      <w:bookmarkEnd w:id="54"/>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lastRenderedPageBreak/>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lastRenderedPageBreak/>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No. 22 of 2013 s. 16.]</w:t>
      </w:r>
    </w:p>
    <w:p>
      <w:pPr>
        <w:pStyle w:val="Heading5"/>
      </w:pPr>
      <w:bookmarkStart w:id="55" w:name="_Toc216773741"/>
      <w:r>
        <w:rPr>
          <w:rStyle w:val="CharSectno"/>
        </w:rPr>
        <w:t>41</w:t>
      </w:r>
      <w:r>
        <w:t>.</w:t>
      </w:r>
      <w:r>
        <w:tab/>
        <w:t>Consent may be withdrawn</w:t>
      </w:r>
      <w:bookmarkEnd w:id="55"/>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6" w:name="_Toc216773742"/>
      <w:r>
        <w:rPr>
          <w:rStyle w:val="CharSectno"/>
        </w:rPr>
        <w:t>42</w:t>
      </w:r>
      <w:r>
        <w:t>.</w:t>
      </w:r>
      <w:r>
        <w:tab/>
        <w:t>Approval or IP warrant (suspect), officer may apply for</w:t>
      </w:r>
      <w:bookmarkEnd w:id="56"/>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lastRenderedPageBreak/>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No. 22 of 2013 s. 17.]</w:t>
      </w:r>
    </w:p>
    <w:p>
      <w:pPr>
        <w:pStyle w:val="Heading5"/>
      </w:pPr>
      <w:bookmarkStart w:id="57" w:name="_Toc216773743"/>
      <w:r>
        <w:rPr>
          <w:rStyle w:val="CharSectno"/>
        </w:rPr>
        <w:t>43</w:t>
      </w:r>
      <w:r>
        <w:t>.</w:t>
      </w:r>
      <w:r>
        <w:tab/>
        <w:t>Approval to do non</w:t>
      </w:r>
      <w:r>
        <w:noBreakHyphen/>
        <w:t>intimate identifying procedure on adult, application for</w:t>
      </w:r>
      <w:bookmarkEnd w:id="57"/>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58" w:name="_Toc216773744"/>
      <w:r>
        <w:rPr>
          <w:rStyle w:val="CharSectno"/>
        </w:rPr>
        <w:lastRenderedPageBreak/>
        <w:t>44</w:t>
      </w:r>
      <w:r>
        <w:t>.</w:t>
      </w:r>
      <w:r>
        <w:tab/>
        <w:t>Senior officer may approve non</w:t>
      </w:r>
      <w:r>
        <w:noBreakHyphen/>
        <w:t>intimate identifying procedure to be done on adult</w:t>
      </w:r>
      <w:bookmarkEnd w:id="58"/>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9" w:name="_Toc216773745"/>
      <w:r>
        <w:rPr>
          <w:rStyle w:val="CharSectno"/>
        </w:rPr>
        <w:lastRenderedPageBreak/>
        <w:t>45</w:t>
      </w:r>
      <w:r>
        <w:t>.</w:t>
      </w:r>
      <w:r>
        <w:tab/>
        <w:t>IP warrant (suspect), application for</w:t>
      </w:r>
      <w:bookmarkEnd w:id="59"/>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60" w:name="_Toc216773746"/>
      <w:r>
        <w:rPr>
          <w:rStyle w:val="CharSectno"/>
        </w:rPr>
        <w:t>46</w:t>
      </w:r>
      <w:r>
        <w:t>.</w:t>
      </w:r>
      <w:r>
        <w:tab/>
        <w:t>IP warrant (suspect), issue and effect of</w:t>
      </w:r>
      <w:bookmarkEnd w:id="60"/>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lastRenderedPageBreak/>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lastRenderedPageBreak/>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1" w:name="_Toc216773747"/>
      <w:r>
        <w:rPr>
          <w:rStyle w:val="CharPartNo"/>
        </w:rPr>
        <w:lastRenderedPageBreak/>
        <w:t>Part 7</w:t>
      </w:r>
      <w:r>
        <w:rPr>
          <w:rStyle w:val="CharDivNo"/>
        </w:rPr>
        <w:t xml:space="preserve"> </w:t>
      </w:r>
      <w:r>
        <w:t>—</w:t>
      </w:r>
      <w:r>
        <w:rPr>
          <w:rStyle w:val="CharDivText"/>
        </w:rPr>
        <w:t xml:space="preserve"> </w:t>
      </w:r>
      <w:r>
        <w:rPr>
          <w:rStyle w:val="CharPartText"/>
        </w:rPr>
        <w:t>Identifying particulars of charged suspects</w:t>
      </w:r>
      <w:bookmarkEnd w:id="61"/>
    </w:p>
    <w:p>
      <w:pPr>
        <w:pStyle w:val="Heading5"/>
        <w:spacing w:before="240"/>
      </w:pPr>
      <w:bookmarkStart w:id="62" w:name="_Toc216773748"/>
      <w:r>
        <w:rPr>
          <w:rStyle w:val="CharSectno"/>
        </w:rPr>
        <w:t>47</w:t>
      </w:r>
      <w:r>
        <w:t>.</w:t>
      </w:r>
      <w:r>
        <w:tab/>
        <w:t>Terms used</w:t>
      </w:r>
      <w:bookmarkEnd w:id="62"/>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w:t>
      </w:r>
      <w:r>
        <w:lastRenderedPageBreak/>
        <w:t xml:space="preserve">(d) of the definition of </w:t>
      </w:r>
      <w:r>
        <w:rPr>
          <w:b/>
          <w:i/>
        </w:rPr>
        <w:t>identifying particular</w:t>
      </w:r>
      <w:r>
        <w:t>, in relation to a charged suspect charged with a serious offence.</w:t>
      </w:r>
    </w:p>
    <w:p>
      <w:pPr>
        <w:pStyle w:val="Footnotesection"/>
      </w:pPr>
      <w:r>
        <w:tab/>
        <w:t>[Section 47 amended: No. 59 of 2006 s. 38; No. 22 of 2013 s. 18.]</w:t>
      </w:r>
    </w:p>
    <w:p>
      <w:pPr>
        <w:pStyle w:val="Heading5"/>
        <w:spacing w:before="240"/>
      </w:pPr>
      <w:bookmarkStart w:id="63" w:name="_Toc216773749"/>
      <w:r>
        <w:rPr>
          <w:rStyle w:val="CharSectno"/>
        </w:rPr>
        <w:t>48</w:t>
      </w:r>
      <w:r>
        <w:t>.</w:t>
      </w:r>
      <w:r>
        <w:tab/>
        <w:t>How identifying procedures are to be done</w:t>
      </w:r>
      <w:bookmarkEnd w:id="63"/>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4" w:name="_Toc216773750"/>
      <w:r>
        <w:rPr>
          <w:rStyle w:val="CharSectno"/>
        </w:rPr>
        <w:t>49</w:t>
      </w:r>
      <w:r>
        <w:t>.</w:t>
      </w:r>
      <w:r>
        <w:tab/>
        <w:t>Request for charged suspect to undergo identifying procedure</w:t>
      </w:r>
      <w:bookmarkEnd w:id="64"/>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No. 22 of 2013 s. 19.]</w:t>
      </w:r>
    </w:p>
    <w:p>
      <w:pPr>
        <w:pStyle w:val="Heading5"/>
      </w:pPr>
      <w:bookmarkStart w:id="65" w:name="_Toc216773751"/>
      <w:r>
        <w:rPr>
          <w:rStyle w:val="CharSectno"/>
        </w:rPr>
        <w:lastRenderedPageBreak/>
        <w:t>50</w:t>
      </w:r>
      <w:r>
        <w:t>.</w:t>
      </w:r>
      <w:r>
        <w:tab/>
        <w:t>Request and giving of information to be recorded</w:t>
      </w:r>
      <w:bookmarkEnd w:id="65"/>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No. 22 of 2013 s. 20.]</w:t>
      </w:r>
    </w:p>
    <w:p>
      <w:pPr>
        <w:pStyle w:val="Heading5"/>
      </w:pPr>
      <w:bookmarkStart w:id="66" w:name="_Toc216773752"/>
      <w:r>
        <w:rPr>
          <w:rStyle w:val="CharSectno"/>
        </w:rPr>
        <w:t>51</w:t>
      </w:r>
      <w:r>
        <w:t>.</w:t>
      </w:r>
      <w:r>
        <w:tab/>
        <w:t>When identifying procedure may be done</w:t>
      </w:r>
      <w:bookmarkEnd w:id="66"/>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 xml:space="preserve">if the charged suspect is not in custody — without a warrant arrest the suspect and detain him or her for a </w:t>
      </w:r>
      <w:r>
        <w:lastRenderedPageBreak/>
        <w:t>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No. 22 of 2013 s. 21.]</w:t>
      </w:r>
    </w:p>
    <w:p>
      <w:pPr>
        <w:pStyle w:val="Heading2"/>
      </w:pPr>
      <w:bookmarkStart w:id="67" w:name="_Toc216773753"/>
      <w:r>
        <w:rPr>
          <w:rStyle w:val="CharPartNo"/>
        </w:rPr>
        <w:lastRenderedPageBreak/>
        <w:t>Part 8A</w:t>
      </w:r>
      <w:r>
        <w:rPr>
          <w:rStyle w:val="CharDivNo"/>
        </w:rPr>
        <w:t> </w:t>
      </w:r>
      <w:r>
        <w:t>—</w:t>
      </w:r>
      <w:r>
        <w:rPr>
          <w:rStyle w:val="CharDivText"/>
        </w:rPr>
        <w:t> </w:t>
      </w:r>
      <w:r>
        <w:rPr>
          <w:rStyle w:val="CharPartText"/>
        </w:rPr>
        <w:t>Identifying particulars of serious offenders</w:t>
      </w:r>
      <w:bookmarkEnd w:id="67"/>
    </w:p>
    <w:p>
      <w:pPr>
        <w:pStyle w:val="Footnoteheading"/>
      </w:pPr>
      <w:r>
        <w:tab/>
        <w:t>[Heading inserted: No. 22 of 2013 s. 22.]</w:t>
      </w:r>
    </w:p>
    <w:p>
      <w:pPr>
        <w:pStyle w:val="Heading5"/>
      </w:pPr>
      <w:bookmarkStart w:id="68" w:name="_Toc216773754"/>
      <w:r>
        <w:rPr>
          <w:rStyle w:val="CharSectno"/>
        </w:rPr>
        <w:t>52A</w:t>
      </w:r>
      <w:r>
        <w:t>.</w:t>
      </w:r>
      <w:r>
        <w:tab/>
        <w:t>Terms used</w:t>
      </w:r>
      <w:bookmarkEnd w:id="68"/>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mental impairment.</w:t>
      </w:r>
    </w:p>
    <w:p>
      <w:pPr>
        <w:pStyle w:val="Footnotesection"/>
      </w:pPr>
      <w:r>
        <w:tab/>
        <w:t>[Section 52A inserted: No. 22 of 2013 s. 22; amended: No. 10 of 2023 s. 412.]</w:t>
      </w:r>
    </w:p>
    <w:p>
      <w:pPr>
        <w:pStyle w:val="Heading5"/>
      </w:pPr>
      <w:bookmarkStart w:id="69" w:name="_Toc216773755"/>
      <w:r>
        <w:rPr>
          <w:rStyle w:val="CharSectno"/>
        </w:rPr>
        <w:t>52B</w:t>
      </w:r>
      <w:r>
        <w:t>.</w:t>
      </w:r>
      <w:r>
        <w:tab/>
        <w:t>How identifying procedures are to be done</w:t>
      </w:r>
      <w:bookmarkEnd w:id="69"/>
    </w:p>
    <w:p>
      <w:pPr>
        <w:pStyle w:val="Subsection"/>
      </w:pPr>
      <w:r>
        <w:tab/>
      </w:r>
      <w:r>
        <w:tab/>
        <w:t>An identifying procedure that under this Part may be done on a person must be done in accordance with Part 8.</w:t>
      </w:r>
    </w:p>
    <w:p>
      <w:pPr>
        <w:pStyle w:val="Footnotesection"/>
      </w:pPr>
      <w:r>
        <w:tab/>
        <w:t>[Section 52B inserted: No. 22 of 2013 s. 22.]</w:t>
      </w:r>
    </w:p>
    <w:p>
      <w:pPr>
        <w:pStyle w:val="Heading5"/>
      </w:pPr>
      <w:bookmarkStart w:id="70" w:name="_Toc216773756"/>
      <w:r>
        <w:rPr>
          <w:rStyle w:val="CharSectno"/>
        </w:rPr>
        <w:lastRenderedPageBreak/>
        <w:t>52C</w:t>
      </w:r>
      <w:r>
        <w:t>.</w:t>
      </w:r>
      <w:r>
        <w:tab/>
        <w:t>Identifying particulars may be taken</w:t>
      </w:r>
      <w:bookmarkEnd w:id="70"/>
    </w:p>
    <w:p>
      <w:pPr>
        <w:pStyle w:val="Subsection"/>
        <w:keepNext/>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No. 22 of 2013 s. 22.]</w:t>
      </w:r>
    </w:p>
    <w:p>
      <w:pPr>
        <w:pStyle w:val="Heading5"/>
      </w:pPr>
      <w:bookmarkStart w:id="71" w:name="_Toc216773757"/>
      <w:r>
        <w:rPr>
          <w:rStyle w:val="CharSectno"/>
        </w:rPr>
        <w:lastRenderedPageBreak/>
        <w:t>52D</w:t>
      </w:r>
      <w:r>
        <w:t>.</w:t>
      </w:r>
      <w:r>
        <w:tab/>
        <w:t>Request and giving of information to be recorded</w:t>
      </w:r>
      <w:bookmarkEnd w:id="71"/>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No. 22 of 2013 s. 22.]</w:t>
      </w:r>
    </w:p>
    <w:p>
      <w:pPr>
        <w:pStyle w:val="Heading5"/>
      </w:pPr>
      <w:bookmarkStart w:id="72" w:name="_Toc216773758"/>
      <w:r>
        <w:rPr>
          <w:rStyle w:val="CharSectno"/>
        </w:rPr>
        <w:t>52E</w:t>
      </w:r>
      <w:r>
        <w:t>.</w:t>
      </w:r>
      <w:r>
        <w:tab/>
        <w:t>When identifying procedure may be done</w:t>
      </w:r>
      <w:bookmarkEnd w:id="72"/>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 xml:space="preserve">if the offender is not in custody — without a warrant arrest the offender and detain him or her for a reasonable </w:t>
      </w:r>
      <w:r>
        <w:lastRenderedPageBreak/>
        <w:t>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No. 22 of 2013 s. 22.]</w:t>
      </w:r>
    </w:p>
    <w:p>
      <w:pPr>
        <w:pStyle w:val="Heading2"/>
      </w:pPr>
      <w:bookmarkStart w:id="73" w:name="_Toc216773759"/>
      <w:r>
        <w:rPr>
          <w:rStyle w:val="CharPartNo"/>
        </w:rPr>
        <w:lastRenderedPageBreak/>
        <w:t>Part 8</w:t>
      </w:r>
      <w:r>
        <w:rPr>
          <w:rStyle w:val="CharDivNo"/>
        </w:rPr>
        <w:t xml:space="preserve"> </w:t>
      </w:r>
      <w:r>
        <w:t>—</w:t>
      </w:r>
      <w:r>
        <w:rPr>
          <w:rStyle w:val="CharDivText"/>
        </w:rPr>
        <w:t xml:space="preserve"> </w:t>
      </w:r>
      <w:r>
        <w:rPr>
          <w:rStyle w:val="CharPartText"/>
        </w:rPr>
        <w:t>How identifying procedures are to be done</w:t>
      </w:r>
      <w:bookmarkEnd w:id="73"/>
    </w:p>
    <w:p>
      <w:pPr>
        <w:pStyle w:val="Heading5"/>
      </w:pPr>
      <w:bookmarkStart w:id="74" w:name="_Toc216773760"/>
      <w:r>
        <w:rPr>
          <w:rStyle w:val="CharSectno"/>
        </w:rPr>
        <w:t>52</w:t>
      </w:r>
      <w:r>
        <w:t>.</w:t>
      </w:r>
      <w:r>
        <w:tab/>
        <w:t>Terms used</w:t>
      </w:r>
      <w:bookmarkEnd w:id="74"/>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 xml:space="preserve">Health Practitioner Regulation National Law (Western Australia)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No. 50 of 2006 Sch. 3 cl. 7; No. 22 of 2008 Sch. 3 cl. 15; No. 35 of 2010 s. 56; No. 4 of 2018 s. 107.]</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75" w:name="_Toc216773761"/>
      <w:r>
        <w:rPr>
          <w:rStyle w:val="CharSectno"/>
        </w:rPr>
        <w:t>53</w:t>
      </w:r>
      <w:r>
        <w:t>.</w:t>
      </w:r>
      <w:r>
        <w:tab/>
        <w:t>Application of Part</w:t>
      </w:r>
      <w:bookmarkEnd w:id="75"/>
    </w:p>
    <w:p>
      <w:pPr>
        <w:pStyle w:val="Subsection"/>
      </w:pPr>
      <w:r>
        <w:tab/>
      </w:r>
      <w:r>
        <w:tab/>
        <w:t xml:space="preserve">This Part applies if under another provision of this Act, or the </w:t>
      </w:r>
      <w:r>
        <w:rPr>
          <w:i/>
          <w:iCs/>
        </w:rPr>
        <w:t>Community Protection (Offender Reporting) Act 2004</w:t>
      </w:r>
      <w:r>
        <w:t>, an identifying procedure must be done in accordance with this Part.</w:t>
      </w:r>
    </w:p>
    <w:p>
      <w:pPr>
        <w:pStyle w:val="Footnotesection"/>
      </w:pPr>
      <w:r>
        <w:tab/>
        <w:t>[Section 53 inserted: No. 35 of 2024 s. 61.]</w:t>
      </w:r>
    </w:p>
    <w:p>
      <w:pPr>
        <w:pStyle w:val="Heading5"/>
      </w:pPr>
      <w:bookmarkStart w:id="76" w:name="_Toc216773762"/>
      <w:r>
        <w:rPr>
          <w:rStyle w:val="CharSectno"/>
        </w:rPr>
        <w:lastRenderedPageBreak/>
        <w:t>54</w:t>
      </w:r>
      <w:r>
        <w:t>.</w:t>
      </w:r>
      <w:r>
        <w:tab/>
        <w:t>General requirements</w:t>
      </w:r>
      <w:bookmarkEnd w:id="76"/>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7" w:name="_Toc216773763"/>
      <w:r>
        <w:rPr>
          <w:rStyle w:val="CharSectno"/>
        </w:rPr>
        <w:lastRenderedPageBreak/>
        <w:t>55</w:t>
      </w:r>
      <w:r>
        <w:t>.</w:t>
      </w:r>
      <w:r>
        <w:tab/>
        <w:t>Sex of people doing procedures</w:t>
      </w:r>
      <w:bookmarkEnd w:id="77"/>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lastRenderedPageBreak/>
        <w:tab/>
        <w:t>(b)</w:t>
      </w:r>
      <w:r>
        <w:tab/>
        <w:t>in the absence of an answer, the person is to be treated as if of the sex that the person outwardly appears to the officer to be.</w:t>
      </w:r>
    </w:p>
    <w:p>
      <w:pPr>
        <w:pStyle w:val="Heading5"/>
        <w:spacing w:before="800"/>
      </w:pPr>
      <w:bookmarkStart w:id="78" w:name="_Toc216773764"/>
      <w:r>
        <w:rPr>
          <w:rStyle w:val="CharSectno"/>
        </w:rPr>
        <w:t>56</w:t>
      </w:r>
      <w:r>
        <w:t>.</w:t>
      </w:r>
      <w:r>
        <w:tab/>
        <w:t>Who may do identifying procedure</w:t>
      </w:r>
      <w:bookmarkEnd w:id="78"/>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lastRenderedPageBreak/>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No. 22 of 2013 s. 23.]</w:t>
      </w:r>
    </w:p>
    <w:p>
      <w:pPr>
        <w:pStyle w:val="Heading5"/>
      </w:pPr>
      <w:bookmarkStart w:id="79" w:name="_Toc216773765"/>
      <w:r>
        <w:rPr>
          <w:rStyle w:val="CharSectno"/>
        </w:rPr>
        <w:t>57</w:t>
      </w:r>
      <w:r>
        <w:t>.</w:t>
      </w:r>
      <w:r>
        <w:tab/>
        <w:t>Personal details may be obtained as well</w:t>
      </w:r>
      <w:bookmarkEnd w:id="79"/>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80" w:name="_Toc216773766"/>
      <w:r>
        <w:rPr>
          <w:rStyle w:val="CharSectno"/>
        </w:rPr>
        <w:t>58</w:t>
      </w:r>
      <w:r>
        <w:t>.</w:t>
      </w:r>
      <w:r>
        <w:tab/>
        <w:t>How samples and impressions to be taken</w:t>
      </w:r>
      <w:bookmarkEnd w:id="80"/>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lastRenderedPageBreak/>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81" w:name="_Toc216773767"/>
      <w:r>
        <w:rPr>
          <w:rStyle w:val="CharSectno"/>
        </w:rPr>
        <w:t>59</w:t>
      </w:r>
      <w:r>
        <w:t>.</w:t>
      </w:r>
      <w:r>
        <w:tab/>
        <w:t>Procedures may be repeated</w:t>
      </w:r>
      <w:bookmarkEnd w:id="81"/>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No. 22 of 2013 s. 24.]</w:t>
      </w:r>
    </w:p>
    <w:p>
      <w:pPr>
        <w:pStyle w:val="Heading5"/>
      </w:pPr>
      <w:bookmarkStart w:id="82" w:name="_Toc216773768"/>
      <w:r>
        <w:rPr>
          <w:rStyle w:val="CharSectno"/>
        </w:rPr>
        <w:t>60</w:t>
      </w:r>
      <w:r>
        <w:t>.</w:t>
      </w:r>
      <w:r>
        <w:tab/>
        <w:t>People not obliged to do procedures</w:t>
      </w:r>
      <w:bookmarkEnd w:id="8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83" w:name="_Toc216773769"/>
      <w:r>
        <w:rPr>
          <w:rStyle w:val="CharPartNo"/>
        </w:rPr>
        <w:lastRenderedPageBreak/>
        <w:t>Part 9</w:t>
      </w:r>
      <w:r>
        <w:rPr>
          <w:rStyle w:val="CharDivNo"/>
        </w:rPr>
        <w:t xml:space="preserve"> </w:t>
      </w:r>
      <w:r>
        <w:t>—</w:t>
      </w:r>
      <w:r>
        <w:rPr>
          <w:rStyle w:val="CharDivText"/>
        </w:rPr>
        <w:t xml:space="preserve"> </w:t>
      </w:r>
      <w:r>
        <w:rPr>
          <w:rStyle w:val="CharPartText"/>
        </w:rPr>
        <w:t>Use and destruction of identifying information</w:t>
      </w:r>
      <w:bookmarkEnd w:id="83"/>
    </w:p>
    <w:p>
      <w:pPr>
        <w:pStyle w:val="Heading5"/>
      </w:pPr>
      <w:bookmarkStart w:id="84" w:name="_Toc216773770"/>
      <w:r>
        <w:rPr>
          <w:rStyle w:val="CharSectno"/>
        </w:rPr>
        <w:t>61</w:t>
      </w:r>
      <w:r>
        <w:t>.</w:t>
      </w:r>
      <w:r>
        <w:tab/>
        <w:t>Terms used</w:t>
      </w:r>
      <w:bookmarkEnd w:id="84"/>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85" w:name="_Toc216773771"/>
      <w:r>
        <w:rPr>
          <w:rStyle w:val="CharSectno"/>
        </w:rPr>
        <w:lastRenderedPageBreak/>
        <w:t>62</w:t>
      </w:r>
      <w:r>
        <w:t>.</w:t>
      </w:r>
      <w:r>
        <w:tab/>
        <w:t>Identifying information of volunteers</w:t>
      </w:r>
      <w:bookmarkEnd w:id="85"/>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No. 15 of 2011 s. 4.]</w:t>
      </w:r>
    </w:p>
    <w:p>
      <w:pPr>
        <w:pStyle w:val="Heading5"/>
      </w:pPr>
      <w:bookmarkStart w:id="86" w:name="_Toc216773772"/>
      <w:r>
        <w:rPr>
          <w:rStyle w:val="CharSectno"/>
        </w:rPr>
        <w:t>63</w:t>
      </w:r>
      <w:r>
        <w:t>.</w:t>
      </w:r>
      <w:r>
        <w:tab/>
        <w:t>Identifying information of deceased people</w:t>
      </w:r>
      <w:bookmarkEnd w:id="86"/>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lastRenderedPageBreak/>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No. 15 of 2011 s. 5; No. 22 of 2013 s. 25.]</w:t>
      </w:r>
    </w:p>
    <w:p>
      <w:pPr>
        <w:pStyle w:val="Heading5"/>
        <w:spacing w:before="180"/>
      </w:pPr>
      <w:bookmarkStart w:id="87" w:name="_Toc216773773"/>
      <w:r>
        <w:rPr>
          <w:rStyle w:val="CharSectno"/>
        </w:rPr>
        <w:t>64</w:t>
      </w:r>
      <w:r>
        <w:t>.</w:t>
      </w:r>
      <w:r>
        <w:tab/>
        <w:t>Identifying information of police officers</w:t>
      </w:r>
      <w:bookmarkEnd w:id="87"/>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No. 15 of 2011 s. 6.]</w:t>
      </w:r>
    </w:p>
    <w:p>
      <w:pPr>
        <w:pStyle w:val="Heading5"/>
        <w:spacing w:before="180"/>
      </w:pPr>
      <w:bookmarkStart w:id="88" w:name="_Toc216773774"/>
      <w:r>
        <w:rPr>
          <w:rStyle w:val="CharSectno"/>
        </w:rPr>
        <w:lastRenderedPageBreak/>
        <w:t>65</w:t>
      </w:r>
      <w:r>
        <w:t>.</w:t>
      </w:r>
      <w:r>
        <w:tab/>
        <w:t>Identifying information of involved people</w:t>
      </w:r>
      <w:bookmarkEnd w:id="88"/>
    </w:p>
    <w:p>
      <w:pPr>
        <w:pStyle w:val="Subsection"/>
        <w:keepNext/>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w:t>
      </w:r>
      <w:r>
        <w:lastRenderedPageBreak/>
        <w:t>is a serious offence, section 67 applies to the information,</w:t>
      </w:r>
    </w:p>
    <w:p>
      <w:pPr>
        <w:pStyle w:val="Subsection"/>
      </w:pPr>
      <w:r>
        <w:tab/>
      </w:r>
      <w:r>
        <w:tab/>
        <w:t>unless the information should have been destroyed.</w:t>
      </w:r>
    </w:p>
    <w:p>
      <w:pPr>
        <w:pStyle w:val="Footnotesection"/>
      </w:pPr>
      <w:r>
        <w:tab/>
        <w:t>[Section 65 amended: No. 15 of 2011 s. 7.]</w:t>
      </w:r>
    </w:p>
    <w:p>
      <w:pPr>
        <w:pStyle w:val="Heading5"/>
        <w:spacing w:before="800"/>
      </w:pPr>
      <w:bookmarkStart w:id="89" w:name="_Toc216773775"/>
      <w:r>
        <w:rPr>
          <w:rStyle w:val="CharSectno"/>
        </w:rPr>
        <w:t>66</w:t>
      </w:r>
      <w:r>
        <w:t>.</w:t>
      </w:r>
      <w:r>
        <w:tab/>
        <w:t>Identifying information of uncharged suspects</w:t>
      </w:r>
      <w:bookmarkEnd w:id="89"/>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lastRenderedPageBreak/>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No. 15 of 2011 s. 8.]</w:t>
      </w:r>
    </w:p>
    <w:p>
      <w:pPr>
        <w:pStyle w:val="Heading5"/>
        <w:spacing w:before="240"/>
      </w:pPr>
      <w:bookmarkStart w:id="90" w:name="_Toc216773776"/>
      <w:r>
        <w:rPr>
          <w:rStyle w:val="CharSectno"/>
        </w:rPr>
        <w:t>67</w:t>
      </w:r>
      <w:r>
        <w:t>.</w:t>
      </w:r>
      <w:r>
        <w:tab/>
        <w:t>Identifying information of charged suspects</w:t>
      </w:r>
      <w:bookmarkEnd w:id="9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unfit to stand trial under the </w:t>
      </w:r>
      <w:r>
        <w:rPr>
          <w:i/>
        </w:rPr>
        <w:t>Criminal Law (Mental Impairment) Act 2023</w:t>
      </w:r>
      <w:r>
        <w:t>; or</w:t>
      </w:r>
    </w:p>
    <w:p>
      <w:pPr>
        <w:pStyle w:val="Indenta"/>
      </w:pPr>
      <w:r>
        <w:tab/>
        <w:t>(b)</w:t>
      </w:r>
      <w:r>
        <w:tab/>
        <w:t>the suspect is found not guilty of the offence on account of mental impairment.</w:t>
      </w:r>
    </w:p>
    <w:p>
      <w:pPr>
        <w:pStyle w:val="Subsection"/>
        <w:keepNext/>
      </w:pPr>
      <w:r>
        <w:lastRenderedPageBreak/>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[Section 67 amended: No. 84 of 2004 s. 82; No. 15 of 2011 s. 9; No. 22 of 2013 s. 26; No. 10 of 2023 s. 317, 409 and 412.]</w:t>
      </w:r>
    </w:p>
    <w:p>
      <w:pPr>
        <w:pStyle w:val="Heading5"/>
      </w:pPr>
      <w:bookmarkStart w:id="91" w:name="_Toc216773777"/>
      <w:r>
        <w:rPr>
          <w:rStyle w:val="CharSectno"/>
        </w:rPr>
        <w:t>68A</w:t>
      </w:r>
      <w:r>
        <w:t>.</w:t>
      </w:r>
      <w:r>
        <w:tab/>
        <w:t>Identifying information of serious offenders</w:t>
      </w:r>
      <w:bookmarkEnd w:id="91"/>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lastRenderedPageBreak/>
        <w:tab/>
        <w:t xml:space="preserve">[Section 68A inserted: No. 22 of 2013 s. 27.] </w:t>
      </w:r>
    </w:p>
    <w:p>
      <w:pPr>
        <w:pStyle w:val="Heading5"/>
      </w:pPr>
      <w:bookmarkStart w:id="92" w:name="_Toc216773778"/>
      <w:r>
        <w:rPr>
          <w:rStyle w:val="CharSectno"/>
        </w:rPr>
        <w:t>68B</w:t>
      </w:r>
      <w:r>
        <w:t>.</w:t>
      </w:r>
      <w:r>
        <w:tab/>
        <w:t>Identifying information of reportable offenders</w:t>
      </w:r>
      <w:bookmarkEnd w:id="92"/>
    </w:p>
    <w:p>
      <w:pPr>
        <w:pStyle w:val="Subsection"/>
      </w:pPr>
      <w:r>
        <w:tab/>
        <w:t>(1)</w:t>
      </w:r>
      <w:r>
        <w:tab/>
        <w:t xml:space="preserve">In this section — </w:t>
      </w:r>
    </w:p>
    <w:p>
      <w:pPr>
        <w:pStyle w:val="Defstart"/>
      </w:pPr>
      <w:r>
        <w:tab/>
      </w:r>
      <w:r>
        <w:rPr>
          <w:rStyle w:val="CharDefText"/>
        </w:rPr>
        <w:t>reportable offender</w:t>
      </w:r>
      <w:r>
        <w:t xml:space="preserve"> has the meaning given in the </w:t>
      </w:r>
      <w:r>
        <w:rPr>
          <w:i/>
          <w:iCs/>
        </w:rPr>
        <w:t xml:space="preserve">Community Protection (Offender Reporting) Act 2004 </w:t>
      </w:r>
      <w:r>
        <w:t>section 6.</w:t>
      </w:r>
    </w:p>
    <w:p>
      <w:pPr>
        <w:pStyle w:val="Subsection"/>
      </w:pPr>
      <w:r>
        <w:tab/>
        <w:t>(2)</w:t>
      </w:r>
      <w:r>
        <w:tab/>
        <w:t xml:space="preserve">Identifying information of a person who is or was a reportable offender obtained under </w:t>
      </w:r>
      <w:r>
        <w:rPr>
          <w:i/>
          <w:iCs/>
        </w:rPr>
        <w:t>Community Protection (Offender Reporting) Act 2004</w:t>
      </w:r>
      <w:r>
        <w:t xml:space="preserve"> section 40A or 41(2)(c)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 xml:space="preserve">must be destroyed if the person — </w:t>
      </w:r>
    </w:p>
    <w:p>
      <w:pPr>
        <w:pStyle w:val="Indenti"/>
      </w:pPr>
      <w:r>
        <w:tab/>
        <w:t>(i)</w:t>
      </w:r>
      <w:r>
        <w:tab/>
        <w:t>is not a serious offender as defined in section 52A; and</w:t>
      </w:r>
    </w:p>
    <w:p>
      <w:pPr>
        <w:pStyle w:val="Indenti"/>
      </w:pPr>
      <w:r>
        <w:tab/>
        <w:t>(ii)</w:t>
      </w:r>
      <w:r>
        <w:tab/>
        <w:t xml:space="preserve">ceases to be a reportable offender under the </w:t>
      </w:r>
      <w:r>
        <w:rPr>
          <w:i/>
          <w:iCs/>
        </w:rPr>
        <w:t>Community Protection (Offender Reporting) Act 2004</w:t>
      </w:r>
      <w:r>
        <w:t xml:space="preserve"> section 6(6)(a) or (b); and</w:t>
      </w:r>
    </w:p>
    <w:p>
      <w:pPr>
        <w:pStyle w:val="Indenti"/>
      </w:pPr>
      <w:r>
        <w:tab/>
        <w:t>(iii)</w:t>
      </w:r>
      <w:r>
        <w:tab/>
        <w:t>requested the destruction, or destruction is requested on behalf of the person, under section 69.</w:t>
      </w:r>
    </w:p>
    <w:p>
      <w:pPr>
        <w:pStyle w:val="Footnotesection"/>
      </w:pPr>
      <w:r>
        <w:tab/>
        <w:t xml:space="preserve">[Section 68B inserted: No. 35 of 2024 s. 62.] </w:t>
      </w:r>
    </w:p>
    <w:p>
      <w:pPr>
        <w:pStyle w:val="Heading5"/>
      </w:pPr>
      <w:bookmarkStart w:id="93" w:name="_Toc216773779"/>
      <w:r>
        <w:rPr>
          <w:rStyle w:val="CharSectno"/>
        </w:rPr>
        <w:t>68</w:t>
      </w:r>
      <w:r>
        <w:t>.</w:t>
      </w:r>
      <w:r>
        <w:tab/>
        <w:t>Results of matched information to be made available to suspects</w:t>
      </w:r>
      <w:bookmarkEnd w:id="93"/>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lastRenderedPageBreak/>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94" w:name="_Toc216773780"/>
      <w:r>
        <w:rPr>
          <w:rStyle w:val="CharSectno"/>
        </w:rPr>
        <w:t>69</w:t>
      </w:r>
      <w:r>
        <w:t>.</w:t>
      </w:r>
      <w:r>
        <w:tab/>
        <w:t>Request for destruction of identifying information</w:t>
      </w:r>
      <w:bookmarkEnd w:id="9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95" w:name="_Toc216773781"/>
      <w:r>
        <w:rPr>
          <w:rStyle w:val="CharSectno"/>
        </w:rPr>
        <w:t>70</w:t>
      </w:r>
      <w:r>
        <w:t>.</w:t>
      </w:r>
      <w:r>
        <w:tab/>
        <w:t>Destroying identifying information</w:t>
      </w:r>
      <w:bookmarkEnd w:id="95"/>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lastRenderedPageBreak/>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96" w:name="_Toc216773782"/>
      <w:r>
        <w:rPr>
          <w:rStyle w:val="CharSectno"/>
        </w:rPr>
        <w:t>71</w:t>
      </w:r>
      <w:r>
        <w:t>.</w:t>
      </w:r>
      <w:r>
        <w:tab/>
        <w:t>Responsibility for destroying identifying information</w:t>
      </w:r>
      <w:bookmarkEnd w:id="96"/>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97" w:name="_Toc216773783"/>
      <w:r>
        <w:rPr>
          <w:rStyle w:val="CharSectno"/>
        </w:rPr>
        <w:t>72</w:t>
      </w:r>
      <w:r>
        <w:t>.</w:t>
      </w:r>
      <w:r>
        <w:tab/>
        <w:t>Supreme Court may order information not to be destroyed</w:t>
      </w:r>
      <w:bookmarkEnd w:id="97"/>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98" w:name="_Toc216773784"/>
      <w:r>
        <w:rPr>
          <w:rStyle w:val="CharSectno"/>
        </w:rPr>
        <w:lastRenderedPageBreak/>
        <w:t>73</w:t>
      </w:r>
      <w:r>
        <w:t>.</w:t>
      </w:r>
      <w:r>
        <w:tab/>
        <w:t>Disclosure of identifying information</w:t>
      </w:r>
      <w:bookmarkEnd w:id="9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lastRenderedPageBreak/>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if permitted by, or if covered by an express exception from a prohibition on disclosure in, the </w:t>
      </w:r>
      <w:r>
        <w:rPr>
          <w:i/>
        </w:rPr>
        <w:t>Liquor Control Act 1988</w:t>
      </w:r>
      <w:r>
        <w:t xml:space="preserve"> section 115AC, 152K, 152NZC, 152NZD, 152NZT, 152NZU, 152ZC, 152ZD or 152ZJ;</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No. 56 of 2010 s. 71; No. 59 of 2010 s. 49; No. 1 of 2012 s. 8; No. 48 of 2012 s. 56; No. 49 of 2012 s. 175; No. 44 of 2022 s. 22; No. 25 of 2023 s. 33.]</w:t>
      </w:r>
    </w:p>
    <w:p>
      <w:pPr>
        <w:pStyle w:val="Heading5"/>
      </w:pPr>
      <w:bookmarkStart w:id="99" w:name="_Toc216773785"/>
      <w:r>
        <w:rPr>
          <w:rStyle w:val="CharSectno"/>
        </w:rPr>
        <w:t>74</w:t>
      </w:r>
      <w:r>
        <w:t>.</w:t>
      </w:r>
      <w:r>
        <w:tab/>
        <w:t>Use of illegal identifying information</w:t>
      </w:r>
      <w:bookmarkEnd w:id="99"/>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lastRenderedPageBreak/>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00" w:name="_Toc216773786"/>
      <w:r>
        <w:rPr>
          <w:rStyle w:val="CharSectno"/>
        </w:rPr>
        <w:t>75</w:t>
      </w:r>
      <w:r>
        <w:t>.</w:t>
      </w:r>
      <w:r>
        <w:tab/>
        <w:t>Improper use of information obtained in accordance with Act</w:t>
      </w:r>
      <w:bookmarkEnd w:id="10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keepNext/>
      </w:pPr>
      <w:r>
        <w:lastRenderedPageBreak/>
        <w:tab/>
        <w:t>(b)</w:t>
      </w:r>
      <w:r>
        <w:tab/>
        <w:t>puts information obtained in accordance with this Act in a forensic database otherwise than in accordance with this Part,</w:t>
      </w:r>
    </w:p>
    <w:p>
      <w:pPr>
        <w:pStyle w:val="Subsection"/>
        <w:keepNext/>
      </w:pPr>
      <w:r>
        <w:tab/>
      </w:r>
      <w:r>
        <w:tab/>
        <w:t>commits an offence.</w:t>
      </w:r>
    </w:p>
    <w:p>
      <w:pPr>
        <w:pStyle w:val="Penstart"/>
      </w:pPr>
      <w:r>
        <w:tab/>
        <w:t>Penalty: Imprisonment for 2 years.</w:t>
      </w:r>
    </w:p>
    <w:p>
      <w:pPr>
        <w:pStyle w:val="Heading2"/>
      </w:pPr>
      <w:bookmarkStart w:id="101" w:name="_Toc216773787"/>
      <w:r>
        <w:rPr>
          <w:rStyle w:val="CharPartNo"/>
        </w:rPr>
        <w:lastRenderedPageBreak/>
        <w:t>Part 10</w:t>
      </w:r>
      <w:r>
        <w:rPr>
          <w:rStyle w:val="CharDivNo"/>
        </w:rPr>
        <w:t xml:space="preserve"> </w:t>
      </w:r>
      <w:r>
        <w:t>—</w:t>
      </w:r>
      <w:r>
        <w:rPr>
          <w:rStyle w:val="CharDivText"/>
        </w:rPr>
        <w:t xml:space="preserve"> </w:t>
      </w:r>
      <w:r>
        <w:rPr>
          <w:rStyle w:val="CharPartText"/>
        </w:rPr>
        <w:t>DNA databases</w:t>
      </w:r>
      <w:bookmarkEnd w:id="101"/>
    </w:p>
    <w:p>
      <w:pPr>
        <w:pStyle w:val="Heading5"/>
        <w:spacing w:before="240"/>
      </w:pPr>
      <w:bookmarkStart w:id="102" w:name="_Toc216773788"/>
      <w:r>
        <w:rPr>
          <w:rStyle w:val="CharSectno"/>
        </w:rPr>
        <w:t>76</w:t>
      </w:r>
      <w:r>
        <w:t>.</w:t>
      </w:r>
      <w:r>
        <w:tab/>
        <w:t>Terms used</w:t>
      </w:r>
      <w:bookmarkEnd w:id="102"/>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No. 22 of 2013 s. 28.] </w:t>
      </w:r>
    </w:p>
    <w:p>
      <w:pPr>
        <w:pStyle w:val="Heading5"/>
      </w:pPr>
      <w:bookmarkStart w:id="103" w:name="_Toc216773789"/>
      <w:r>
        <w:rPr>
          <w:rStyle w:val="CharSectno"/>
        </w:rPr>
        <w:t>77</w:t>
      </w:r>
      <w:r>
        <w:t>.</w:t>
      </w:r>
      <w:r>
        <w:tab/>
        <w:t>DNA profiles lawfully obtained before commencement of Part</w:t>
      </w:r>
      <w:bookmarkEnd w:id="103"/>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No. 15 of 2011 s. 10.]</w:t>
      </w:r>
    </w:p>
    <w:p>
      <w:pPr>
        <w:pStyle w:val="Heading5"/>
      </w:pPr>
      <w:bookmarkStart w:id="104" w:name="_Toc216773790"/>
      <w:r>
        <w:rPr>
          <w:rStyle w:val="CharSectno"/>
        </w:rPr>
        <w:lastRenderedPageBreak/>
        <w:t>79</w:t>
      </w:r>
      <w:r>
        <w:t>.</w:t>
      </w:r>
      <w:r>
        <w:tab/>
        <w:t>Database managers, duties of</w:t>
      </w:r>
      <w:bookmarkEnd w:id="10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05" w:name="_Toc216773791"/>
      <w:r>
        <w:rPr>
          <w:rStyle w:val="CharSectno"/>
        </w:rPr>
        <w:t>80</w:t>
      </w:r>
      <w:r>
        <w:t>.</w:t>
      </w:r>
      <w:r>
        <w:tab/>
        <w:t>Operators of DNA databases to be authorised</w:t>
      </w:r>
      <w:bookmarkEnd w:id="10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06" w:name="_Toc216773792"/>
      <w:r>
        <w:rPr>
          <w:rStyle w:val="CharPartNo"/>
        </w:rPr>
        <w:lastRenderedPageBreak/>
        <w:t>Part 11</w:t>
      </w:r>
      <w:r>
        <w:rPr>
          <w:rStyle w:val="CharDivNo"/>
        </w:rPr>
        <w:t xml:space="preserve"> </w:t>
      </w:r>
      <w:r>
        <w:t>—</w:t>
      </w:r>
      <w:r>
        <w:rPr>
          <w:rStyle w:val="CharDivText"/>
        </w:rPr>
        <w:t xml:space="preserve"> </w:t>
      </w:r>
      <w:r>
        <w:rPr>
          <w:rStyle w:val="CharPartText"/>
        </w:rPr>
        <w:t>Admissibility of evidence</w:t>
      </w:r>
      <w:bookmarkEnd w:id="106"/>
    </w:p>
    <w:p>
      <w:pPr>
        <w:pStyle w:val="Heading5"/>
      </w:pPr>
      <w:bookmarkStart w:id="107" w:name="_Toc216773793"/>
      <w:r>
        <w:rPr>
          <w:rStyle w:val="CharSectno"/>
        </w:rPr>
        <w:t>81</w:t>
      </w:r>
      <w:r>
        <w:t>.</w:t>
      </w:r>
      <w:r>
        <w:tab/>
        <w:t>Evidence of refusal of consent etc.</w:t>
      </w:r>
      <w:bookmarkEnd w:id="10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08" w:name="_Toc216773794"/>
      <w:r>
        <w:rPr>
          <w:rStyle w:val="CharSectno"/>
        </w:rPr>
        <w:t>82</w:t>
      </w:r>
      <w:r>
        <w:t>.</w:t>
      </w:r>
      <w:r>
        <w:tab/>
        <w:t>Evidence of conduct of procedure</w:t>
      </w:r>
      <w:bookmarkEnd w:id="108"/>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lastRenderedPageBreak/>
        <w:tab/>
        <w:t>(c)</w:t>
      </w:r>
      <w:r>
        <w:tab/>
        <w:t>to establish or rebut an allegation that the procedure was not done in accordance with this Act.</w:t>
      </w:r>
    </w:p>
    <w:p>
      <w:pPr>
        <w:pStyle w:val="Heading5"/>
        <w:spacing w:before="160"/>
      </w:pPr>
      <w:bookmarkStart w:id="109" w:name="_Toc216773795"/>
      <w:r>
        <w:rPr>
          <w:rStyle w:val="CharSectno"/>
        </w:rPr>
        <w:t>83</w:t>
      </w:r>
      <w:r>
        <w:t>.</w:t>
      </w:r>
      <w:r>
        <w:tab/>
        <w:t>Evidence obtained illegally</w:t>
      </w:r>
      <w:bookmarkEnd w:id="10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No. 59 of 2006 s. 39.]</w:t>
      </w:r>
    </w:p>
    <w:p>
      <w:pPr>
        <w:pStyle w:val="Heading5"/>
        <w:spacing w:before="160"/>
      </w:pPr>
      <w:bookmarkStart w:id="110" w:name="_Toc216773796"/>
      <w:r>
        <w:rPr>
          <w:rStyle w:val="CharSectno"/>
        </w:rPr>
        <w:t>84</w:t>
      </w:r>
      <w:r>
        <w:t>.</w:t>
      </w:r>
      <w:r>
        <w:tab/>
        <w:t>Evidence kept illegally</w:t>
      </w:r>
      <w:bookmarkEnd w:id="110"/>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11" w:name="_Toc216773797"/>
      <w:r>
        <w:rPr>
          <w:rStyle w:val="CharSectno"/>
        </w:rPr>
        <w:lastRenderedPageBreak/>
        <w:t>85</w:t>
      </w:r>
      <w:r>
        <w:t>.</w:t>
      </w:r>
      <w:r>
        <w:tab/>
        <w:t>Evidence from illegal use of information</w:t>
      </w:r>
      <w:bookmarkEnd w:id="111"/>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12" w:name="_Toc216773798"/>
      <w:r>
        <w:rPr>
          <w:rStyle w:val="CharSectno"/>
        </w:rPr>
        <w:t>86</w:t>
      </w:r>
      <w:r>
        <w:t>.</w:t>
      </w:r>
      <w:r>
        <w:tab/>
        <w:t>Court may admit inadmissible evidence</w:t>
      </w:r>
      <w:bookmarkEnd w:id="112"/>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lastRenderedPageBreak/>
        <w:tab/>
        <w:t>(g)</w:t>
      </w:r>
      <w:r>
        <w:tab/>
        <w:t>any other matter the court thinks fit.</w:t>
      </w:r>
    </w:p>
    <w:p>
      <w:pPr>
        <w:pStyle w:val="Subsection"/>
      </w:pPr>
      <w:r>
        <w:tab/>
        <w:t>(4)</w:t>
      </w:r>
      <w:r>
        <w:tab/>
        <w:t>The probative value of the evidence does not by itself justify its admission.</w:t>
      </w:r>
    </w:p>
    <w:p>
      <w:pPr>
        <w:pStyle w:val="Heading2"/>
      </w:pPr>
      <w:bookmarkStart w:id="113" w:name="_Toc216773799"/>
      <w:r>
        <w:rPr>
          <w:rStyle w:val="CharPartNo"/>
        </w:rPr>
        <w:lastRenderedPageBreak/>
        <w:t>Part 12</w:t>
      </w:r>
      <w:r>
        <w:rPr>
          <w:rStyle w:val="CharDivNo"/>
        </w:rPr>
        <w:t xml:space="preserve"> </w:t>
      </w:r>
      <w:r>
        <w:t>—</w:t>
      </w:r>
      <w:r>
        <w:rPr>
          <w:rStyle w:val="CharDivText"/>
        </w:rPr>
        <w:t xml:space="preserve"> </w:t>
      </w:r>
      <w:r>
        <w:rPr>
          <w:rStyle w:val="CharPartText"/>
        </w:rPr>
        <w:t>Enforcement elsewhere in Australia</w:t>
      </w:r>
      <w:bookmarkEnd w:id="113"/>
    </w:p>
    <w:p>
      <w:pPr>
        <w:pStyle w:val="Heading5"/>
      </w:pPr>
      <w:bookmarkStart w:id="114" w:name="_Toc216773800"/>
      <w:r>
        <w:rPr>
          <w:rStyle w:val="CharSectno"/>
        </w:rPr>
        <w:t>87</w:t>
      </w:r>
      <w:r>
        <w:t>.</w:t>
      </w:r>
      <w:r>
        <w:tab/>
        <w:t>Terms used</w:t>
      </w:r>
      <w:bookmarkEnd w:id="11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15" w:name="_Toc216773801"/>
      <w:r>
        <w:rPr>
          <w:rStyle w:val="CharSectno"/>
        </w:rPr>
        <w:t>88</w:t>
      </w:r>
      <w:r>
        <w:t>.</w:t>
      </w:r>
      <w:r>
        <w:tab/>
        <w:t>Corresponding laws etc., prescribing</w:t>
      </w:r>
      <w:bookmarkEnd w:id="115"/>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lastRenderedPageBreak/>
        <w:tab/>
        <w:t>(d)</w:t>
      </w:r>
      <w:r>
        <w:tab/>
        <w:t>prescribe any matters that are necessary or convenient to be prescribed in relation to the registration and carrying out of forensic orders.</w:t>
      </w:r>
    </w:p>
    <w:p>
      <w:pPr>
        <w:pStyle w:val="Heading5"/>
      </w:pPr>
      <w:bookmarkStart w:id="116" w:name="_Toc216773802"/>
      <w:r>
        <w:rPr>
          <w:rStyle w:val="CharSectno"/>
        </w:rPr>
        <w:t>89</w:t>
      </w:r>
      <w:r>
        <w:t>.</w:t>
      </w:r>
      <w:r>
        <w:tab/>
        <w:t>Forensic orders, registration of</w:t>
      </w:r>
      <w:bookmarkEnd w:id="116"/>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17" w:name="_Toc216773803"/>
      <w:r>
        <w:rPr>
          <w:rStyle w:val="CharSectno"/>
        </w:rPr>
        <w:t>90</w:t>
      </w:r>
      <w:r>
        <w:t>.</w:t>
      </w:r>
      <w:r>
        <w:tab/>
        <w:t>Forensic orders registered in WA may be executed in WA</w:t>
      </w:r>
      <w:bookmarkEnd w:id="117"/>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lastRenderedPageBreak/>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18" w:name="_Toc216773804"/>
      <w:r>
        <w:rPr>
          <w:rStyle w:val="CharSectno"/>
        </w:rPr>
        <w:t>91</w:t>
      </w:r>
      <w:r>
        <w:t>.</w:t>
      </w:r>
      <w:r>
        <w:tab/>
        <w:t>Arrangements for sharing information</w:t>
      </w:r>
      <w:bookmarkEnd w:id="118"/>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19" w:name="_Toc216773805"/>
      <w:r>
        <w:rPr>
          <w:rStyle w:val="CharPartNo"/>
        </w:rPr>
        <w:lastRenderedPageBreak/>
        <w:t>Part 13</w:t>
      </w:r>
      <w:r>
        <w:rPr>
          <w:rStyle w:val="CharDivNo"/>
        </w:rPr>
        <w:t xml:space="preserve"> </w:t>
      </w:r>
      <w:r>
        <w:t>—</w:t>
      </w:r>
      <w:r>
        <w:rPr>
          <w:rStyle w:val="CharDivText"/>
        </w:rPr>
        <w:t xml:space="preserve"> </w:t>
      </w:r>
      <w:r>
        <w:rPr>
          <w:rStyle w:val="CharPartText"/>
        </w:rPr>
        <w:t>Miscellaneous</w:t>
      </w:r>
      <w:bookmarkEnd w:id="119"/>
    </w:p>
    <w:p>
      <w:pPr>
        <w:pStyle w:val="Heading5"/>
        <w:spacing w:before="240"/>
      </w:pPr>
      <w:bookmarkStart w:id="120" w:name="_Toc216773806"/>
      <w:r>
        <w:rPr>
          <w:rStyle w:val="CharSectno"/>
        </w:rPr>
        <w:t>92</w:t>
      </w:r>
      <w:r>
        <w:t>.</w:t>
      </w:r>
      <w:r>
        <w:tab/>
        <w:t>Protection from personal liability</w:t>
      </w:r>
      <w:bookmarkEnd w:id="120"/>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21" w:name="_Toc216773807"/>
      <w:r>
        <w:rPr>
          <w:rStyle w:val="CharSectno"/>
        </w:rPr>
        <w:t>93</w:t>
      </w:r>
      <w:r>
        <w:t>.</w:t>
      </w:r>
      <w:r>
        <w:tab/>
        <w:t>Regulations</w:t>
      </w:r>
      <w:bookmarkEnd w:id="12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22" w:name="_Toc216773808"/>
      <w:r>
        <w:rPr>
          <w:rStyle w:val="CharSectno"/>
        </w:rPr>
        <w:t>94</w:t>
      </w:r>
      <w:r>
        <w:t>.</w:t>
      </w:r>
      <w:r>
        <w:tab/>
      </w:r>
      <w:r>
        <w:rPr>
          <w:i/>
        </w:rPr>
        <w:t>Criminal Investigation (Identifying People) Amendment Act 2011</w:t>
      </w:r>
      <w:r>
        <w:t>, transitional provision for</w:t>
      </w:r>
      <w:bookmarkEnd w:id="122"/>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w:t>
      </w:r>
      <w:r>
        <w:lastRenderedPageBreak/>
        <w:t xml:space="preserve">after the commencement of the </w:t>
      </w:r>
      <w:r>
        <w:rPr>
          <w:i/>
        </w:rPr>
        <w:t>Criminal Investigation (Identifying People) Amendment Act 2011</w:t>
      </w:r>
      <w:r>
        <w:t xml:space="preserve"> section 11.</w:t>
      </w:r>
    </w:p>
    <w:p>
      <w:pPr>
        <w:pStyle w:val="Footnotesection"/>
      </w:pPr>
      <w:r>
        <w:tab/>
        <w:t>[Section 94 inserted: No. 15 of 2011 s. 11.]</w:t>
      </w:r>
    </w:p>
    <w:p>
      <w:pPr>
        <w:pStyle w:val="Ednotepart"/>
      </w:pPr>
      <w:r>
        <w:t>[Part 14 (s. 95</w:t>
      </w:r>
      <w:r>
        <w:rPr>
          <w:vertAlign w:val="superscript"/>
        </w:rPr>
        <w:t> 2</w:t>
      </w:r>
      <w:r>
        <w:t>, 96) deleted: No. 59 of 2006 s. 40.]</w:t>
      </w:r>
    </w:p>
    <w:p>
      <w:pPr>
        <w:pStyle w:val="yEdnoteschedule"/>
      </w:pPr>
      <w:r>
        <w:t>[Schedules 1 and 2 deleted: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544" w:gutter="0"/>
          <w:pgNumType w:start="1"/>
          <w:cols w:space="720"/>
          <w:noEndnote/>
          <w:titlePg/>
          <w:docGrid w:linePitch="326"/>
        </w:sectPr>
      </w:pPr>
    </w:p>
    <w:p>
      <w:pPr>
        <w:pStyle w:val="nHeading2"/>
      </w:pPr>
      <w:bookmarkStart w:id="123" w:name="_Toc216773809"/>
      <w:r>
        <w:lastRenderedPageBreak/>
        <w:t>Notes</w:t>
      </w:r>
      <w:bookmarkEnd w:id="123"/>
    </w:p>
    <w:p>
      <w:pPr>
        <w:pStyle w:val="nStatement"/>
      </w:pPr>
      <w:r>
        <w:t xml:space="preserve">This is a compilation of the </w:t>
      </w:r>
      <w:r>
        <w:rPr>
          <w:i/>
          <w:noProof/>
        </w:rPr>
        <w:t>Criminal Investigation (Identifying People) Act 2002</w:t>
      </w:r>
      <w:r>
        <w:t xml:space="preserve"> and includes amendments made by other written laws</w:t>
      </w:r>
      <w:r>
        <w:rPr>
          <w:snapToGrid w:val="0"/>
          <w:vertAlign w:val="superscript"/>
        </w:rPr>
        <w:t> 1M</w:t>
      </w:r>
      <w:r>
        <w:t>. For provisions that have come into operation, and for information about any reprints, see the compilation table. For provisions that have not yet come into operation see the uncommenced provisions table.</w:t>
      </w:r>
    </w:p>
    <w:p>
      <w:pPr>
        <w:pStyle w:val="nHeading3"/>
      </w:pPr>
      <w:bookmarkStart w:id="124" w:name="_Toc216773810"/>
      <w:r>
        <w:t>Compilation table</w:t>
      </w:r>
      <w:bookmarkEnd w:id="12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3"/>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3"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Criminal Investigation (Identifying People) Act 2002</w:t>
            </w:r>
          </w:p>
        </w:tc>
        <w:tc>
          <w:tcPr>
            <w:tcW w:w="1134" w:type="dxa"/>
            <w:tcBorders>
              <w:top w:val="single" w:sz="8" w:space="0" w:color="auto"/>
            </w:tcBorders>
          </w:tcPr>
          <w:p>
            <w:pPr>
              <w:pStyle w:val="nTable"/>
              <w:spacing w:after="40"/>
            </w:pPr>
            <w:r>
              <w:t>6 of 2002</w:t>
            </w:r>
          </w:p>
        </w:tc>
        <w:tc>
          <w:tcPr>
            <w:tcW w:w="1133"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Act other than s. 1 and 2, Pt. 4</w:t>
            </w:r>
            <w:r>
              <w:noBreakHyphen/>
              <w:t xml:space="preserve">7 and Sch. 2 cl. 1, 3 and 5(2): 29 Jun 2002 (see s. 2 and </w:t>
            </w:r>
            <w:r>
              <w:rPr>
                <w:i/>
              </w:rPr>
              <w:t>Gazette</w:t>
            </w:r>
            <w:r>
              <w:t xml:space="preserve"> 28 Jun 2002 p. 3037);</w:t>
            </w:r>
            <w:r>
              <w:br/>
              <w:t>Pt. 4</w:t>
            </w:r>
            <w:r>
              <w:noBreakHyphen/>
              <w:t xml:space="preserve">7 and Sch. 2 cl. 1, 3 and 5(2): 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Acts Amendment (Equality of Status) Act 2003</w:t>
            </w:r>
            <w:r>
              <w:rPr>
                <w:snapToGrid w:val="0"/>
              </w:rPr>
              <w:t xml:space="preserve"> Pt. 14</w:t>
            </w:r>
          </w:p>
        </w:tc>
        <w:tc>
          <w:tcPr>
            <w:tcW w:w="1134" w:type="dxa"/>
          </w:tcPr>
          <w:p>
            <w:pPr>
              <w:pStyle w:val="nTable"/>
              <w:spacing w:after="40"/>
            </w:pPr>
            <w:r>
              <w:t>28 of 2003</w:t>
            </w:r>
          </w:p>
        </w:tc>
        <w:tc>
          <w:tcPr>
            <w:tcW w:w="1133"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rPr>
            </w:pPr>
            <w:r>
              <w:rPr>
                <w:i/>
                <w:snapToGrid w:val="0"/>
              </w:rPr>
              <w:t>Sentencing Legislation Amendment Act 2004</w:t>
            </w:r>
            <w:r>
              <w:rPr>
                <w:snapToGrid w:val="0"/>
              </w:rPr>
              <w:t xml:space="preserve"> s. 15</w:t>
            </w:r>
          </w:p>
        </w:tc>
        <w:tc>
          <w:tcPr>
            <w:tcW w:w="1134" w:type="dxa"/>
          </w:tcPr>
          <w:p>
            <w:pPr>
              <w:pStyle w:val="nTable"/>
              <w:spacing w:after="40"/>
            </w:pPr>
            <w:r>
              <w:t>27 of 2004</w:t>
            </w:r>
          </w:p>
        </w:tc>
        <w:tc>
          <w:tcPr>
            <w:tcW w:w="1133" w:type="dxa"/>
          </w:tcPr>
          <w:p>
            <w:pPr>
              <w:pStyle w:val="nTable"/>
              <w:spacing w:after="40"/>
            </w:pPr>
            <w:r>
              <w:t>14 Oct 2004</w:t>
            </w:r>
          </w:p>
        </w:tc>
        <w:tc>
          <w:tcPr>
            <w:tcW w:w="2552" w:type="dxa"/>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3"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9" w:type="dxa"/>
          </w:tcPr>
          <w:p>
            <w:pPr>
              <w:pStyle w:val="nTable"/>
              <w:spacing w:after="40"/>
              <w:rPr>
                <w:i/>
                <w:snapToGrid w:val="0"/>
              </w:rPr>
            </w:pPr>
            <w:r>
              <w:rPr>
                <w:i/>
                <w:snapToGrid w:val="0"/>
              </w:rPr>
              <w:t>Nurses and Midwives Act 2006</w:t>
            </w:r>
            <w:r>
              <w:rPr>
                <w:snapToGrid w:val="0"/>
              </w:rPr>
              <w:t xml:space="preserve"> Sch. 3 cl. 7</w:t>
            </w:r>
          </w:p>
        </w:tc>
        <w:tc>
          <w:tcPr>
            <w:tcW w:w="1134" w:type="dxa"/>
          </w:tcPr>
          <w:p>
            <w:pPr>
              <w:pStyle w:val="nTable"/>
              <w:spacing w:after="40"/>
              <w:rPr>
                <w:snapToGrid w:val="0"/>
              </w:rPr>
            </w:pPr>
            <w:r>
              <w:rPr>
                <w:snapToGrid w:val="0"/>
              </w:rPr>
              <w:t>50 of 2006</w:t>
            </w:r>
          </w:p>
        </w:tc>
        <w:tc>
          <w:tcPr>
            <w:tcW w:w="1133"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napToGrid w:val="0"/>
              </w:rPr>
              <w:t xml:space="preserve">Reprint 1:  The </w:t>
            </w:r>
            <w:r>
              <w:rPr>
                <w:b/>
                <w:i/>
                <w:snapToGrid w:val="0"/>
              </w:rPr>
              <w:t xml:space="preserve">Criminal Investigation (Identifying People) Act 2002 </w:t>
            </w:r>
            <w:r>
              <w:rPr>
                <w:b/>
                <w:snapToGrid w:val="0"/>
              </w:rPr>
              <w:t>as at 10 Nov 2006</w:t>
            </w:r>
            <w:r>
              <w:rPr>
                <w:snapToGrid w:val="0"/>
              </w:rPr>
              <w:t xml:space="preserve"> (includes amendments listed above except those in the</w:t>
            </w:r>
            <w:r>
              <w:rPr>
                <w:i/>
                <w:snapToGrid w:val="0"/>
              </w:rPr>
              <w:t xml:space="preserve"> Nurses and Midwives Act 2006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7</w:t>
            </w:r>
          </w:p>
        </w:tc>
        <w:tc>
          <w:tcPr>
            <w:tcW w:w="1134"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9" w:type="dxa"/>
            <w:tcBorders>
              <w:top w:val="nil"/>
              <w:bottom w:val="nil"/>
            </w:tcBorders>
          </w:tcPr>
          <w:p>
            <w:pPr>
              <w:pStyle w:val="nTable"/>
              <w:spacing w:after="40"/>
            </w:pPr>
            <w:r>
              <w:rPr>
                <w:i/>
                <w:snapToGrid w:val="0"/>
              </w:rPr>
              <w:t>Medical Practitioners Act 2008</w:t>
            </w:r>
            <w:r>
              <w:t xml:space="preserve"> Sch. 3 cl. 15</w:t>
            </w:r>
          </w:p>
        </w:tc>
        <w:tc>
          <w:tcPr>
            <w:tcW w:w="1134" w:type="dxa"/>
            <w:tcBorders>
              <w:top w:val="nil"/>
              <w:bottom w:val="nil"/>
            </w:tcBorders>
          </w:tcPr>
          <w:p>
            <w:pPr>
              <w:pStyle w:val="nTable"/>
              <w:spacing w:after="40"/>
            </w:pPr>
            <w:r>
              <w:t>22 of 2008</w:t>
            </w:r>
          </w:p>
        </w:tc>
        <w:tc>
          <w:tcPr>
            <w:tcW w:w="1133"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Criminal Law Amendment (Homicide) Act 2008 </w:t>
            </w:r>
            <w:r>
              <w:rPr>
                <w:iCs/>
                <w:snapToGrid w:val="0"/>
              </w:rPr>
              <w:t>s. 28 </w:t>
            </w:r>
          </w:p>
        </w:tc>
        <w:tc>
          <w:tcPr>
            <w:tcW w:w="1134" w:type="dxa"/>
          </w:tcPr>
          <w:p>
            <w:pPr>
              <w:pStyle w:val="nTable"/>
              <w:spacing w:after="40"/>
              <w:rPr>
                <w:snapToGrid w:val="0"/>
              </w:rPr>
            </w:pPr>
            <w:r>
              <w:t>29 of 2008</w:t>
            </w:r>
          </w:p>
        </w:tc>
        <w:tc>
          <w:tcPr>
            <w:tcW w:w="1133"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2:  The </w:t>
            </w:r>
            <w:r>
              <w:rPr>
                <w:b/>
                <w:bCs/>
                <w:i/>
                <w:snapToGrid w:val="0"/>
              </w:rPr>
              <w:t>Criminal Investigation (Identifying People) Act 2002</w:t>
            </w:r>
            <w:r>
              <w:rPr>
                <w:b/>
                <w:bCs/>
                <w:snapToGrid w:val="0"/>
              </w:rPr>
              <w:t xml:space="preserve"> as at 18 Sep 2009</w:t>
            </w:r>
            <w:r>
              <w:rPr>
                <w:snapToGrid w:val="0"/>
              </w:rPr>
              <w:t xml:space="preserve"> (includes amendments listed above)</w:t>
            </w:r>
          </w:p>
        </w:tc>
      </w:tr>
      <w:tr>
        <w:tc>
          <w:tcPr>
            <w:tcW w:w="2269" w:type="dxa"/>
            <w:tcBorders>
              <w:top w:val="nil"/>
              <w:bottom w:val="nil"/>
            </w:tcBorders>
          </w:tcPr>
          <w:p>
            <w:pPr>
              <w:pStyle w:val="nTable"/>
              <w:spacing w:after="40"/>
            </w:pPr>
            <w:r>
              <w:rPr>
                <w:i/>
                <w:snapToGrid w:val="0"/>
              </w:rPr>
              <w:t>Police Amendment Act 2009</w:t>
            </w:r>
            <w:r>
              <w:rPr>
                <w:iCs/>
                <w:snapToGrid w:val="0"/>
              </w:rPr>
              <w:t xml:space="preserve"> s. 16</w:t>
            </w:r>
          </w:p>
        </w:tc>
        <w:tc>
          <w:tcPr>
            <w:tcW w:w="1134" w:type="dxa"/>
            <w:tcBorders>
              <w:top w:val="nil"/>
              <w:bottom w:val="nil"/>
            </w:tcBorders>
          </w:tcPr>
          <w:p>
            <w:pPr>
              <w:pStyle w:val="nTable"/>
              <w:spacing w:after="40"/>
            </w:pPr>
            <w:r>
              <w:rPr>
                <w:snapToGrid w:val="0"/>
              </w:rPr>
              <w:t>42 of 2009</w:t>
            </w:r>
          </w:p>
        </w:tc>
        <w:tc>
          <w:tcPr>
            <w:tcW w:w="1133"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9" w:type="dxa"/>
            <w:tcBorders>
              <w:top w:val="nil"/>
              <w:bottom w:val="nil"/>
            </w:tcBorders>
          </w:tcPr>
          <w:p>
            <w:pPr>
              <w:pStyle w:val="nTable"/>
              <w:spacing w:after="40"/>
              <w:rPr>
                <w:i/>
                <w:snapToGrid w:val="0"/>
              </w:rPr>
            </w:pPr>
            <w:r>
              <w:rPr>
                <w:i/>
                <w:snapToGrid w:val="0"/>
              </w:rPr>
              <w:lastRenderedPageBreak/>
              <w:t xml:space="preserve">Health Practitioner Regulation National Law (WA) Act 2010 </w:t>
            </w:r>
            <w:r>
              <w:rPr>
                <w:iCs/>
                <w:snapToGrid w:val="0"/>
              </w:rPr>
              <w:t>Pt. 5 Div. 16</w:t>
            </w:r>
          </w:p>
        </w:tc>
        <w:tc>
          <w:tcPr>
            <w:tcW w:w="1134" w:type="dxa"/>
            <w:tcBorders>
              <w:top w:val="nil"/>
              <w:bottom w:val="nil"/>
            </w:tcBorders>
          </w:tcPr>
          <w:p>
            <w:pPr>
              <w:pStyle w:val="nTable"/>
              <w:spacing w:after="40"/>
              <w:rPr>
                <w:snapToGrid w:val="0"/>
              </w:rPr>
            </w:pPr>
            <w:r>
              <w:rPr>
                <w:snapToGrid w:val="0"/>
              </w:rPr>
              <w:t>35 of 2010</w:t>
            </w:r>
          </w:p>
        </w:tc>
        <w:tc>
          <w:tcPr>
            <w:tcW w:w="1133"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9" w:type="dxa"/>
            <w:tcBorders>
              <w:top w:val="nil"/>
              <w:bottom w:val="nil"/>
            </w:tcBorders>
          </w:tcPr>
          <w:p>
            <w:pPr>
              <w:pStyle w:val="nTable"/>
              <w:spacing w:after="40"/>
              <w:rPr>
                <w:i/>
                <w:snapToGrid w:val="0"/>
              </w:rPr>
            </w:pPr>
            <w:r>
              <w:rPr>
                <w:i/>
                <w:iCs/>
                <w:snapToGrid w:val="0"/>
              </w:rPr>
              <w:t>Liquor Control Amendment Act 2010</w:t>
            </w:r>
            <w:r>
              <w:rPr>
                <w:snapToGrid w:val="0"/>
              </w:rPr>
              <w:t xml:space="preserve"> Pt. 6</w:t>
            </w:r>
          </w:p>
        </w:tc>
        <w:tc>
          <w:tcPr>
            <w:tcW w:w="1134" w:type="dxa"/>
            <w:tcBorders>
              <w:top w:val="nil"/>
              <w:bottom w:val="nil"/>
            </w:tcBorders>
          </w:tcPr>
          <w:p>
            <w:pPr>
              <w:pStyle w:val="nTable"/>
              <w:spacing w:after="40"/>
              <w:rPr>
                <w:snapToGrid w:val="0"/>
              </w:rPr>
            </w:pPr>
            <w:r>
              <w:rPr>
                <w:snapToGrid w:val="0"/>
              </w:rPr>
              <w:t>56 of 2010</w:t>
            </w:r>
          </w:p>
        </w:tc>
        <w:tc>
          <w:tcPr>
            <w:tcW w:w="1133" w:type="dxa"/>
            <w:tcBorders>
              <w:top w:val="nil"/>
              <w:bottom w:val="nil"/>
            </w:tcBorders>
          </w:tcPr>
          <w:p>
            <w:pPr>
              <w:pStyle w:val="nTable"/>
              <w:spacing w:after="40"/>
              <w:rPr>
                <w:snapToGrid w:val="0"/>
              </w:rPr>
            </w:pPr>
            <w:r>
              <w:t>8 Dec 2010</w:t>
            </w:r>
          </w:p>
        </w:tc>
        <w:tc>
          <w:tcPr>
            <w:tcW w:w="2552" w:type="dxa"/>
            <w:tcBorders>
              <w:top w:val="nil"/>
              <w:bottom w:val="nil"/>
            </w:tcBorders>
          </w:tcPr>
          <w:p>
            <w:pPr>
              <w:pStyle w:val="nTable"/>
              <w:spacing w:after="40"/>
              <w:rPr>
                <w:snapToGrid w:val="0"/>
              </w:rPr>
            </w:pPr>
            <w:r>
              <w:rPr>
                <w:snapToGrid w:val="0"/>
              </w:rPr>
              <w:t xml:space="preserve">17 Jan 2011 (see s. 2(b) and </w:t>
            </w:r>
            <w:r>
              <w:rPr>
                <w:i/>
                <w:iCs/>
                <w:snapToGrid w:val="0"/>
              </w:rPr>
              <w:t>Gazette</w:t>
            </w:r>
            <w:r>
              <w:rPr>
                <w:snapToGrid w:val="0"/>
              </w:rPr>
              <w:t xml:space="preserve"> 31 Dec 2010 p. 6887)</w:t>
            </w:r>
          </w:p>
        </w:tc>
      </w:tr>
      <w:tr>
        <w:tc>
          <w:tcPr>
            <w:tcW w:w="2269" w:type="dxa"/>
            <w:tcBorders>
              <w:top w:val="nil"/>
              <w:bottom w:val="nil"/>
            </w:tcBorders>
          </w:tcPr>
          <w:p>
            <w:pPr>
              <w:pStyle w:val="nTable"/>
              <w:spacing w:after="40"/>
              <w:rPr>
                <w:i/>
                <w:iCs/>
                <w:snapToGrid w:val="0"/>
              </w:rPr>
            </w:pPr>
            <w:r>
              <w:rPr>
                <w:i/>
                <w:iCs/>
                <w:snapToGrid w:val="0"/>
              </w:rPr>
              <w:t>Prohibited Behaviour Orders Act 2010</w:t>
            </w:r>
            <w:r>
              <w:rPr>
                <w:snapToGrid w:val="0"/>
              </w:rPr>
              <w:t xml:space="preserve"> Pt. 5 Div. 3</w:t>
            </w:r>
          </w:p>
        </w:tc>
        <w:tc>
          <w:tcPr>
            <w:tcW w:w="1134" w:type="dxa"/>
            <w:tcBorders>
              <w:top w:val="nil"/>
              <w:bottom w:val="nil"/>
            </w:tcBorders>
          </w:tcPr>
          <w:p>
            <w:pPr>
              <w:pStyle w:val="nTable"/>
              <w:spacing w:after="40"/>
              <w:rPr>
                <w:snapToGrid w:val="0"/>
              </w:rPr>
            </w:pPr>
            <w:r>
              <w:rPr>
                <w:snapToGrid w:val="0"/>
              </w:rPr>
              <w:t>59 of 2010</w:t>
            </w:r>
          </w:p>
        </w:tc>
        <w:tc>
          <w:tcPr>
            <w:tcW w:w="1133"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c>
          <w:tcPr>
            <w:tcW w:w="2269" w:type="dxa"/>
            <w:tcBorders>
              <w:top w:val="nil"/>
              <w:bottom w:val="nil"/>
            </w:tcBorders>
            <w:shd w:val="clear" w:color="auto" w:fill="auto"/>
          </w:tcPr>
          <w:p>
            <w:pPr>
              <w:pStyle w:val="nTable"/>
              <w:spacing w:after="40"/>
              <w:rPr>
                <w:i/>
                <w:iCs/>
                <w:snapToGrid w:val="0"/>
              </w:rPr>
            </w:pPr>
            <w:r>
              <w:rPr>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snapToGrid w:val="0"/>
              </w:rPr>
            </w:pPr>
            <w:r>
              <w:rPr>
                <w:snapToGrid w:val="0"/>
              </w:rPr>
              <w:t>15 of 2011</w:t>
            </w:r>
          </w:p>
        </w:tc>
        <w:tc>
          <w:tcPr>
            <w:tcW w:w="1133" w:type="dxa"/>
            <w:tcBorders>
              <w:top w:val="nil"/>
              <w:bottom w:val="nil"/>
            </w:tcBorders>
            <w:shd w:val="clear" w:color="auto" w:fill="auto"/>
          </w:tcPr>
          <w:p>
            <w:pPr>
              <w:pStyle w:val="nTable"/>
              <w:spacing w:after="40"/>
            </w:pPr>
            <w:r>
              <w:t>25 May 2011</w:t>
            </w:r>
          </w:p>
        </w:tc>
        <w:tc>
          <w:tcPr>
            <w:tcW w:w="2552" w:type="dxa"/>
            <w:tcBorders>
              <w:top w:val="nil"/>
              <w:bottom w:val="nil"/>
            </w:tcBorders>
            <w:shd w:val="clear" w:color="auto" w:fill="auto"/>
          </w:tcPr>
          <w:p>
            <w:pPr>
              <w:pStyle w:val="nTable"/>
              <w:spacing w:after="40"/>
              <w:rPr>
                <w:snapToGrid w:val="0"/>
              </w:rPr>
            </w:pPr>
            <w:r>
              <w:rPr>
                <w:snapToGrid w:val="0"/>
              </w:rPr>
              <w:t>s. 1 and 2: 25 May 2011 (see s. 2(a));</w:t>
            </w:r>
            <w:r>
              <w:rPr>
                <w:snapToGrid w:val="0"/>
              </w:rPr>
              <w:br/>
              <w:t>Act other than s. 1 and 2: 26 May 2011 (see s. 2(b))</w:t>
            </w:r>
          </w:p>
        </w:tc>
      </w:tr>
      <w:tr>
        <w:tc>
          <w:tcPr>
            <w:tcW w:w="7088" w:type="dxa"/>
            <w:gridSpan w:val="4"/>
            <w:tcBorders>
              <w:top w:val="nil"/>
              <w:bottom w:val="nil"/>
            </w:tcBorders>
            <w:shd w:val="clear" w:color="auto" w:fill="auto"/>
          </w:tcPr>
          <w:p>
            <w:pPr>
              <w:pStyle w:val="nTable"/>
              <w:spacing w:after="40"/>
              <w:rPr>
                <w:snapToGrid w:val="0"/>
              </w:rPr>
            </w:pPr>
            <w:r>
              <w:rPr>
                <w:b/>
                <w:bCs/>
                <w:snapToGrid w:val="0"/>
              </w:rPr>
              <w:t xml:space="preserve">Reprint 3:  The </w:t>
            </w:r>
            <w:r>
              <w:rPr>
                <w:b/>
                <w:bCs/>
                <w:i/>
                <w:snapToGrid w:val="0"/>
              </w:rPr>
              <w:t>Criminal Investigation (Identifying People) Act 2002</w:t>
            </w:r>
            <w:r>
              <w:rPr>
                <w:b/>
                <w:bCs/>
                <w:snapToGrid w:val="0"/>
              </w:rPr>
              <w:t xml:space="preserve"> as at 27 Jan 2012</w:t>
            </w:r>
            <w:r>
              <w:rPr>
                <w:snapToGrid w:val="0"/>
              </w:rPr>
              <w:t xml:space="preserve"> (includes amendments listed above)</w:t>
            </w:r>
          </w:p>
        </w:tc>
      </w:tr>
      <w:tr>
        <w:tc>
          <w:tcPr>
            <w:tcW w:w="2269" w:type="dxa"/>
            <w:tcBorders>
              <w:top w:val="nil"/>
              <w:bottom w:val="nil"/>
            </w:tcBorders>
          </w:tcPr>
          <w:p>
            <w:pPr>
              <w:pStyle w:val="nTable"/>
              <w:spacing w:after="40"/>
              <w:rPr>
                <w:snapToGrid w:val="0"/>
                <w:vertAlign w:val="superscript"/>
              </w:rPr>
            </w:pPr>
            <w:r>
              <w:rPr>
                <w:i/>
                <w:snapToGrid w:val="0"/>
              </w:rPr>
              <w:t xml:space="preserve">Community Protection (Offender Reporting) Amendment Act 2012 </w:t>
            </w:r>
            <w:r>
              <w:rPr>
                <w:snapToGrid w:val="0"/>
              </w:rPr>
              <w:t>Pt. 3 Div. 1</w:t>
            </w:r>
          </w:p>
        </w:tc>
        <w:tc>
          <w:tcPr>
            <w:tcW w:w="1134" w:type="dxa"/>
            <w:tcBorders>
              <w:top w:val="nil"/>
              <w:bottom w:val="nil"/>
            </w:tcBorders>
          </w:tcPr>
          <w:p>
            <w:pPr>
              <w:pStyle w:val="nTable"/>
              <w:spacing w:after="40"/>
              <w:rPr>
                <w:snapToGrid w:val="0"/>
              </w:rPr>
            </w:pPr>
            <w:r>
              <w:rPr>
                <w:snapToGrid w:val="0"/>
              </w:rPr>
              <w:t>1 of 2012</w:t>
            </w:r>
          </w:p>
        </w:tc>
        <w:tc>
          <w:tcPr>
            <w:tcW w:w="1133" w:type="dxa"/>
            <w:tcBorders>
              <w:top w:val="nil"/>
              <w:bottom w:val="nil"/>
            </w:tcBorders>
          </w:tcPr>
          <w:p>
            <w:pPr>
              <w:pStyle w:val="nTable"/>
              <w:spacing w:after="40"/>
              <w:rPr>
                <w:snapToGrid w:val="0"/>
              </w:rPr>
            </w:pPr>
            <w:r>
              <w:t>15 Mar 2012</w:t>
            </w:r>
          </w:p>
        </w:tc>
        <w:tc>
          <w:tcPr>
            <w:tcW w:w="2552" w:type="dxa"/>
            <w:tcBorders>
              <w:top w:val="nil"/>
              <w:bottom w:val="nil"/>
            </w:tcBorders>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9" w:type="dxa"/>
            <w:tcBorders>
              <w:top w:val="nil"/>
              <w:bottom w:val="nil"/>
            </w:tcBorders>
          </w:tcPr>
          <w:p>
            <w:pPr>
              <w:pStyle w:val="nTable"/>
              <w:spacing w:after="40"/>
              <w:rPr>
                <w:i/>
                <w:snapToGrid w:val="0"/>
              </w:rPr>
            </w:pPr>
            <w:r>
              <w:rPr>
                <w:i/>
                <w:snapToGrid w:val="0"/>
              </w:rPr>
              <w:t xml:space="preserve">Criminal Appeals Amendment (Double Jeopardy) Act 2012 </w:t>
            </w:r>
            <w:r>
              <w:rPr>
                <w:snapToGrid w:val="0"/>
              </w:rPr>
              <w:t>s. 9</w:t>
            </w:r>
          </w:p>
        </w:tc>
        <w:tc>
          <w:tcPr>
            <w:tcW w:w="1134" w:type="dxa"/>
            <w:tcBorders>
              <w:top w:val="nil"/>
              <w:bottom w:val="nil"/>
            </w:tcBorders>
          </w:tcPr>
          <w:p>
            <w:pPr>
              <w:pStyle w:val="nTable"/>
              <w:spacing w:after="40"/>
              <w:rPr>
                <w:snapToGrid w:val="0"/>
              </w:rPr>
            </w:pPr>
            <w:r>
              <w:rPr>
                <w:snapToGrid w:val="0"/>
              </w:rPr>
              <w:t>9 of 2012</w:t>
            </w:r>
          </w:p>
        </w:tc>
        <w:tc>
          <w:tcPr>
            <w:tcW w:w="1133"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9" w:type="dxa"/>
            <w:tcBorders>
              <w:top w:val="nil"/>
              <w:bottom w:val="nil"/>
            </w:tcBorders>
          </w:tcPr>
          <w:p>
            <w:pPr>
              <w:pStyle w:val="nTable"/>
              <w:spacing w:after="40"/>
              <w:rPr>
                <w:i/>
                <w:snapToGrid w:val="0"/>
              </w:rPr>
            </w:pPr>
            <w:r>
              <w:rPr>
                <w:i/>
                <w:snapToGrid w:val="0"/>
              </w:rPr>
              <w:t xml:space="preserve">Fines, Penalties and Infringement Notices Enforcement Amendment Act 2012 </w:t>
            </w:r>
            <w:r>
              <w:rPr>
                <w:snapToGrid w:val="0"/>
              </w:rPr>
              <w:t>Pt. 4 Div. 1</w:t>
            </w:r>
          </w:p>
        </w:tc>
        <w:tc>
          <w:tcPr>
            <w:tcW w:w="1134" w:type="dxa"/>
            <w:tcBorders>
              <w:top w:val="nil"/>
              <w:bottom w:val="nil"/>
            </w:tcBorders>
          </w:tcPr>
          <w:p>
            <w:pPr>
              <w:pStyle w:val="nTable"/>
              <w:spacing w:after="40"/>
              <w:rPr>
                <w:snapToGrid w:val="0"/>
              </w:rPr>
            </w:pPr>
            <w:r>
              <w:rPr>
                <w:snapToGrid w:val="0"/>
              </w:rPr>
              <w:t>48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21 Aug 2013 (see s. 2(b) and Gazette 20 Aug 2013 p. 3815)</w:t>
            </w:r>
          </w:p>
        </w:tc>
      </w:tr>
      <w:tr>
        <w:tc>
          <w:tcPr>
            <w:tcW w:w="2269" w:type="dxa"/>
            <w:tcBorders>
              <w:top w:val="nil"/>
              <w:bottom w:val="nil"/>
            </w:tcBorders>
          </w:tcPr>
          <w:p>
            <w:pPr>
              <w:pStyle w:val="nTable"/>
              <w:spacing w:after="40"/>
              <w:rPr>
                <w:i/>
                <w:snapToGrid w:val="0"/>
              </w:rPr>
            </w:pPr>
            <w:r>
              <w:rPr>
                <w:i/>
                <w:snapToGrid w:val="0"/>
              </w:rPr>
              <w:t xml:space="preserve">Criminal Organisations Control Act 2012 </w:t>
            </w:r>
            <w:r>
              <w:rPr>
                <w:snapToGrid w:val="0"/>
              </w:rPr>
              <w:t>s. 175</w:t>
            </w:r>
          </w:p>
        </w:tc>
        <w:tc>
          <w:tcPr>
            <w:tcW w:w="1134" w:type="dxa"/>
            <w:tcBorders>
              <w:top w:val="nil"/>
              <w:bottom w:val="nil"/>
            </w:tcBorders>
          </w:tcPr>
          <w:p>
            <w:pPr>
              <w:pStyle w:val="nTable"/>
              <w:spacing w:after="40"/>
              <w:rPr>
                <w:snapToGrid w:val="0"/>
              </w:rPr>
            </w:pPr>
            <w:r>
              <w:rPr>
                <w:snapToGrid w:val="0"/>
              </w:rPr>
              <w:t>49 of 2012</w:t>
            </w:r>
          </w:p>
        </w:tc>
        <w:tc>
          <w:tcPr>
            <w:tcW w:w="1133"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2 Nov 2013 (see s. 2(b) and Gazette 1 Nov 2013 p. 4891)</w:t>
            </w:r>
          </w:p>
        </w:tc>
      </w:tr>
      <w:tr>
        <w:tc>
          <w:tcPr>
            <w:tcW w:w="2269" w:type="dxa"/>
            <w:tcBorders>
              <w:top w:val="nil"/>
              <w:bottom w:val="nil"/>
            </w:tcBorders>
            <w:shd w:val="clear" w:color="auto" w:fill="auto"/>
          </w:tcPr>
          <w:p>
            <w:pPr>
              <w:pStyle w:val="nTable"/>
              <w:spacing w:after="40"/>
            </w:pPr>
            <w:r>
              <w:rPr>
                <w:i/>
                <w:snapToGrid w:val="0"/>
              </w:rPr>
              <w:t>Criminal Investigation (Identifying People) Amendment Act 2013</w:t>
            </w:r>
            <w:r>
              <w:rPr>
                <w:snapToGrid w:val="0"/>
              </w:rPr>
              <w:t xml:space="preserve"> Pt. 2</w:t>
            </w:r>
          </w:p>
        </w:tc>
        <w:tc>
          <w:tcPr>
            <w:tcW w:w="1134" w:type="dxa"/>
            <w:tcBorders>
              <w:top w:val="nil"/>
              <w:bottom w:val="nil"/>
            </w:tcBorders>
            <w:shd w:val="clear" w:color="auto" w:fill="auto"/>
          </w:tcPr>
          <w:p>
            <w:pPr>
              <w:pStyle w:val="nTable"/>
              <w:spacing w:after="40"/>
              <w:rPr>
                <w:snapToGrid w:val="0"/>
              </w:rPr>
            </w:pPr>
            <w:r>
              <w:rPr>
                <w:snapToGrid w:val="0"/>
              </w:rPr>
              <w:t>22 of 2013</w:t>
            </w:r>
          </w:p>
        </w:tc>
        <w:tc>
          <w:tcPr>
            <w:tcW w:w="1133" w:type="dxa"/>
            <w:tcBorders>
              <w:top w:val="nil"/>
              <w:bottom w:val="nil"/>
            </w:tcBorders>
            <w:shd w:val="clear" w:color="auto" w:fill="auto"/>
          </w:tcPr>
          <w:p>
            <w:pPr>
              <w:pStyle w:val="nTable"/>
              <w:spacing w:after="40"/>
            </w:pPr>
            <w:r>
              <w:t>12 Nov 2013</w:t>
            </w:r>
          </w:p>
        </w:tc>
        <w:tc>
          <w:tcPr>
            <w:tcW w:w="2552" w:type="dxa"/>
            <w:tcBorders>
              <w:top w:val="nil"/>
              <w:bottom w:val="nil"/>
            </w:tcBorders>
            <w:shd w:val="clear" w:color="auto" w:fill="auto"/>
          </w:tcPr>
          <w:p>
            <w:pPr>
              <w:pStyle w:val="nTable"/>
              <w:spacing w:after="40"/>
              <w:rPr>
                <w:snapToGrid w:val="0"/>
              </w:rPr>
            </w:pPr>
            <w:r>
              <w:rPr>
                <w:snapToGrid w:val="0"/>
              </w:rPr>
              <w:t>s. 3-27:13 Nov 2013 (see s. 2(c));</w:t>
            </w:r>
            <w:r>
              <w:rPr>
                <w:snapToGrid w:val="0"/>
              </w:rPr>
              <w:br/>
              <w:t>s. 28: 16 Apr 2014 (see s. 2(b) and Gazette 15 Apr 2014 p. 1053)</w:t>
            </w:r>
          </w:p>
        </w:tc>
      </w:tr>
      <w:tr>
        <w:tc>
          <w:tcPr>
            <w:tcW w:w="7088" w:type="dxa"/>
            <w:gridSpan w:val="4"/>
            <w:tcBorders>
              <w:top w:val="nil"/>
              <w:bottom w:val="nil"/>
            </w:tcBorders>
            <w:shd w:val="clear" w:color="auto" w:fill="auto"/>
          </w:tcPr>
          <w:p>
            <w:pPr>
              <w:pStyle w:val="nTable"/>
              <w:spacing w:after="20"/>
              <w:rPr>
                <w:snapToGrid w:val="0"/>
              </w:rPr>
            </w:pPr>
            <w:r>
              <w:rPr>
                <w:b/>
                <w:bCs/>
                <w:snapToGrid w:val="0"/>
              </w:rPr>
              <w:t>Reprint 4:  The Criminal Investigation (Identifying People) Act 2002 as at 14 Mar 2014</w:t>
            </w:r>
            <w:r>
              <w:rPr>
                <w:snapToGrid w:val="0"/>
              </w:rPr>
              <w:t xml:space="preserve"> (includes amendments listed above except those in the </w:t>
            </w:r>
            <w:r>
              <w:rPr>
                <w:i/>
                <w:snapToGrid w:val="0"/>
              </w:rPr>
              <w:t>Criminal Investigation (Identifying People) Amendment Act 2013</w:t>
            </w:r>
            <w:r>
              <w:t xml:space="preserve"> s. 28</w:t>
            </w:r>
            <w:r>
              <w:rPr>
                <w:snapToGrid w:val="0"/>
              </w:rPr>
              <w:t>)</w:t>
            </w:r>
          </w:p>
        </w:tc>
      </w:tr>
      <w:tr>
        <w:tc>
          <w:tcPr>
            <w:tcW w:w="2269" w:type="dxa"/>
            <w:tcBorders>
              <w:top w:val="nil"/>
              <w:bottom w:val="nil"/>
            </w:tcBorders>
            <w:shd w:val="clear" w:color="auto" w:fill="auto"/>
          </w:tcPr>
          <w:p>
            <w:pPr>
              <w:pStyle w:val="nTable"/>
              <w:spacing w:after="40"/>
            </w:pPr>
            <w:r>
              <w:rPr>
                <w:i/>
                <w:snapToGrid w:val="0"/>
              </w:rPr>
              <w:t xml:space="preserve">Statutes (Repeals and Minor Amendments) Act 2014 </w:t>
            </w:r>
            <w:r>
              <w:rPr>
                <w:snapToGrid w:val="0"/>
              </w:rPr>
              <w:t>s. 6</w:t>
            </w:r>
          </w:p>
        </w:tc>
        <w:tc>
          <w:tcPr>
            <w:tcW w:w="1134" w:type="dxa"/>
            <w:tcBorders>
              <w:top w:val="nil"/>
              <w:bottom w:val="nil"/>
            </w:tcBorders>
            <w:shd w:val="clear" w:color="auto" w:fill="auto"/>
          </w:tcPr>
          <w:p>
            <w:pPr>
              <w:pStyle w:val="nTable"/>
              <w:spacing w:after="40"/>
              <w:rPr>
                <w:snapToGrid w:val="0"/>
              </w:rPr>
            </w:pPr>
            <w:r>
              <w:rPr>
                <w:snapToGrid w:val="0"/>
              </w:rPr>
              <w:t>17 of 2014</w:t>
            </w:r>
          </w:p>
        </w:tc>
        <w:tc>
          <w:tcPr>
            <w:tcW w:w="1133" w:type="dxa"/>
            <w:tcBorders>
              <w:top w:val="nil"/>
              <w:bottom w:val="nil"/>
            </w:tcBorders>
            <w:shd w:val="clear" w:color="auto" w:fill="auto"/>
          </w:tcPr>
          <w:p>
            <w:pPr>
              <w:pStyle w:val="nTable"/>
              <w:spacing w:after="40"/>
            </w:pPr>
            <w:r>
              <w:t>2 Jul 2014</w:t>
            </w:r>
          </w:p>
        </w:tc>
        <w:tc>
          <w:tcPr>
            <w:tcW w:w="2552" w:type="dxa"/>
            <w:tcBorders>
              <w:top w:val="nil"/>
              <w:bottom w:val="nil"/>
            </w:tcBorders>
            <w:shd w:val="clear" w:color="auto" w:fill="auto"/>
          </w:tcPr>
          <w:p>
            <w:pPr>
              <w:pStyle w:val="nTable"/>
              <w:spacing w:after="40"/>
              <w:rPr>
                <w:snapToGrid w:val="0"/>
              </w:rPr>
            </w:pPr>
            <w:r>
              <w:rPr>
                <w:snapToGrid w:val="0"/>
              </w:rPr>
              <w:t>6 Sep 2014 (see s. 2(b) and Gazette 5 Sep 2014 p. 3213)</w:t>
            </w:r>
          </w:p>
        </w:tc>
      </w:tr>
      <w:tr>
        <w:trPr>
          <w:cantSplit/>
        </w:trPr>
        <w:tc>
          <w:tcPr>
            <w:tcW w:w="2269" w:type="dxa"/>
            <w:tcBorders>
              <w:top w:val="nil"/>
              <w:bottom w:val="nil"/>
            </w:tcBorders>
            <w:shd w:val="clear" w:color="auto" w:fill="auto"/>
          </w:tcPr>
          <w:p>
            <w:pPr>
              <w:pStyle w:val="nTable"/>
              <w:spacing w:after="40"/>
              <w:rPr>
                <w:i/>
                <w:snapToGrid w:val="0"/>
              </w:rPr>
            </w:pPr>
            <w:r>
              <w:rPr>
                <w:i/>
              </w:rPr>
              <w:lastRenderedPageBreak/>
              <w:t>Health Practitioner Regulation National Law (WA) Amendment Act 2018</w:t>
            </w:r>
            <w:r>
              <w:t xml:space="preserve"> s. 107</w:t>
            </w:r>
          </w:p>
        </w:tc>
        <w:tc>
          <w:tcPr>
            <w:tcW w:w="1134" w:type="dxa"/>
            <w:tcBorders>
              <w:top w:val="nil"/>
              <w:bottom w:val="nil"/>
            </w:tcBorders>
            <w:shd w:val="clear" w:color="auto" w:fill="auto"/>
          </w:tcPr>
          <w:p>
            <w:pPr>
              <w:pStyle w:val="nTable"/>
              <w:spacing w:after="40"/>
              <w:rPr>
                <w:snapToGrid w:val="0"/>
              </w:rPr>
            </w:pPr>
            <w:r>
              <w:t>4 of 2018</w:t>
            </w:r>
          </w:p>
        </w:tc>
        <w:tc>
          <w:tcPr>
            <w:tcW w:w="1133" w:type="dxa"/>
            <w:tcBorders>
              <w:top w:val="nil"/>
              <w:bottom w:val="nil"/>
            </w:tcBorders>
            <w:shd w:val="clear" w:color="auto" w:fill="auto"/>
          </w:tcPr>
          <w:p>
            <w:pPr>
              <w:pStyle w:val="nTable"/>
              <w:spacing w:after="40"/>
            </w:pPr>
            <w:r>
              <w:t>19 Apr 2018</w:t>
            </w:r>
          </w:p>
        </w:tc>
        <w:tc>
          <w:tcPr>
            <w:tcW w:w="2552" w:type="dxa"/>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cantSplit/>
        </w:trPr>
        <w:tc>
          <w:tcPr>
            <w:tcW w:w="2269"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58</w:t>
            </w:r>
          </w:p>
        </w:tc>
        <w:tc>
          <w:tcPr>
            <w:tcW w:w="1134" w:type="dxa"/>
            <w:tcBorders>
              <w:top w:val="nil"/>
              <w:bottom w:val="nil"/>
            </w:tcBorders>
            <w:shd w:val="clear" w:color="auto" w:fill="auto"/>
          </w:tcPr>
          <w:p>
            <w:pPr>
              <w:pStyle w:val="nTable"/>
              <w:spacing w:after="40"/>
            </w:pPr>
            <w:r>
              <w:t>34 of 2020</w:t>
            </w:r>
          </w:p>
        </w:tc>
        <w:tc>
          <w:tcPr>
            <w:tcW w:w="1133" w:type="dxa"/>
            <w:tcBorders>
              <w:top w:val="nil"/>
              <w:bottom w:val="nil"/>
            </w:tcBorders>
            <w:shd w:val="clear" w:color="auto" w:fill="auto"/>
          </w:tcPr>
          <w:p>
            <w:pPr>
              <w:pStyle w:val="nTable"/>
              <w:spacing w:after="40"/>
            </w:pPr>
            <w:r>
              <w:t>11 Sep 2020</w:t>
            </w:r>
          </w:p>
        </w:tc>
        <w:tc>
          <w:tcPr>
            <w:tcW w:w="2552" w:type="dxa"/>
            <w:tcBorders>
              <w:top w:val="nil"/>
              <w:bottom w:val="nil"/>
            </w:tcBorders>
            <w:shd w:val="clear" w:color="auto" w:fill="auto"/>
          </w:tcPr>
          <w:p>
            <w:pPr>
              <w:pStyle w:val="nTable"/>
              <w:spacing w:after="40"/>
            </w:pPr>
            <w:r>
              <w:t>12 Sep 2020 (see s. 2(b))</w:t>
            </w:r>
          </w:p>
        </w:tc>
      </w:tr>
      <w:tr>
        <w:trPr>
          <w:cantSplit/>
        </w:trPr>
        <w:tc>
          <w:tcPr>
            <w:tcW w:w="2269" w:type="dxa"/>
            <w:tcBorders>
              <w:top w:val="nil"/>
              <w:bottom w:val="nil"/>
            </w:tcBorders>
            <w:shd w:val="clear" w:color="auto" w:fill="auto"/>
          </w:tcPr>
          <w:p>
            <w:pPr>
              <w:pStyle w:val="nTable"/>
              <w:spacing w:after="40"/>
              <w:rPr>
                <w:i/>
              </w:rPr>
            </w:pPr>
            <w:r>
              <w:rPr>
                <w:i/>
              </w:rPr>
              <w:t>Liquor Control Amendment (Protected Entertainment Precincts) Act 2022</w:t>
            </w:r>
            <w:r>
              <w:t xml:space="preserve"> Pt. 3</w:t>
            </w:r>
          </w:p>
        </w:tc>
        <w:tc>
          <w:tcPr>
            <w:tcW w:w="1134" w:type="dxa"/>
            <w:tcBorders>
              <w:top w:val="nil"/>
              <w:bottom w:val="nil"/>
            </w:tcBorders>
            <w:shd w:val="clear" w:color="auto" w:fill="auto"/>
          </w:tcPr>
          <w:p>
            <w:pPr>
              <w:pStyle w:val="nTable"/>
              <w:spacing w:after="40"/>
            </w:pPr>
            <w:r>
              <w:t>44 of 2022</w:t>
            </w:r>
          </w:p>
        </w:tc>
        <w:tc>
          <w:tcPr>
            <w:tcW w:w="1133" w:type="dxa"/>
            <w:tcBorders>
              <w:top w:val="nil"/>
              <w:bottom w:val="nil"/>
            </w:tcBorders>
            <w:shd w:val="clear" w:color="auto" w:fill="auto"/>
          </w:tcPr>
          <w:p>
            <w:pPr>
              <w:pStyle w:val="nTable"/>
              <w:spacing w:after="40"/>
            </w:pPr>
            <w:r>
              <w:t>1 Dec 2022</w:t>
            </w:r>
          </w:p>
        </w:tc>
        <w:tc>
          <w:tcPr>
            <w:tcW w:w="2552" w:type="dxa"/>
            <w:tcBorders>
              <w:top w:val="nil"/>
              <w:bottom w:val="nil"/>
            </w:tcBorders>
            <w:shd w:val="clear" w:color="auto" w:fill="auto"/>
          </w:tcPr>
          <w:p>
            <w:pPr>
              <w:pStyle w:val="nTable"/>
              <w:spacing w:after="40"/>
            </w:pPr>
            <w:r>
              <w:rPr>
                <w:snapToGrid w:val="0"/>
              </w:rPr>
              <w:t>24 Dec 2022 (see s. 2(b) and SL 2022/216 cl. 2)</w:t>
            </w:r>
          </w:p>
        </w:tc>
      </w:tr>
      <w:tr>
        <w:trPr>
          <w:cantSplit/>
        </w:trPr>
        <w:tc>
          <w:tcPr>
            <w:tcW w:w="2269" w:type="dxa"/>
            <w:tcBorders>
              <w:top w:val="nil"/>
              <w:bottom w:val="nil"/>
            </w:tcBorders>
            <w:shd w:val="clear" w:color="auto" w:fill="auto"/>
          </w:tcPr>
          <w:p>
            <w:pPr>
              <w:pStyle w:val="nTable"/>
              <w:spacing w:after="40"/>
              <w:rPr>
                <w:i/>
              </w:rPr>
            </w:pPr>
            <w:r>
              <w:rPr>
                <w:i/>
              </w:rPr>
              <w:t>Criminal Law (Mental Impairment) Act 2023</w:t>
            </w:r>
            <w:r>
              <w:t xml:space="preserve"> Pt. 15 Div. 8 and s. 409 and 412</w:t>
            </w:r>
          </w:p>
        </w:tc>
        <w:tc>
          <w:tcPr>
            <w:tcW w:w="1134" w:type="dxa"/>
            <w:tcBorders>
              <w:top w:val="nil"/>
              <w:bottom w:val="nil"/>
            </w:tcBorders>
            <w:shd w:val="clear" w:color="auto" w:fill="auto"/>
          </w:tcPr>
          <w:p>
            <w:pPr>
              <w:pStyle w:val="nTable"/>
              <w:spacing w:after="40"/>
            </w:pPr>
            <w:r>
              <w:t>10 of 2023</w:t>
            </w:r>
          </w:p>
        </w:tc>
        <w:tc>
          <w:tcPr>
            <w:tcW w:w="1133" w:type="dxa"/>
            <w:tcBorders>
              <w:top w:val="nil"/>
              <w:bottom w:val="nil"/>
            </w:tcBorders>
            <w:shd w:val="clear" w:color="auto" w:fill="auto"/>
          </w:tcPr>
          <w:p>
            <w:pPr>
              <w:pStyle w:val="nTable"/>
              <w:spacing w:after="40"/>
            </w:pPr>
            <w:r>
              <w:t>13 Apr 2023</w:t>
            </w:r>
          </w:p>
        </w:tc>
        <w:tc>
          <w:tcPr>
            <w:tcW w:w="2552" w:type="dxa"/>
            <w:tcBorders>
              <w:top w:val="nil"/>
              <w:bottom w:val="nil"/>
            </w:tcBorders>
            <w:shd w:val="clear" w:color="auto" w:fill="auto"/>
          </w:tcPr>
          <w:p>
            <w:pPr>
              <w:pStyle w:val="nTable"/>
              <w:spacing w:after="40"/>
              <w:rPr>
                <w:snapToGrid w:val="0"/>
              </w:rPr>
            </w:pPr>
            <w:r>
              <w:t>1 Sep 2024 (see s. 2(b) and SL 2024/175 cl. 2)</w:t>
            </w:r>
          </w:p>
        </w:tc>
      </w:tr>
      <w:tr>
        <w:trPr>
          <w:cantSplit/>
        </w:trPr>
        <w:tc>
          <w:tcPr>
            <w:tcW w:w="2269" w:type="dxa"/>
            <w:tcBorders>
              <w:top w:val="nil"/>
              <w:bottom w:val="nil"/>
            </w:tcBorders>
            <w:shd w:val="clear" w:color="auto" w:fill="auto"/>
          </w:tcPr>
          <w:p>
            <w:pPr>
              <w:pStyle w:val="nTable"/>
              <w:spacing w:after="40"/>
              <w:rPr>
                <w:iCs/>
                <w:vertAlign w:val="superscript"/>
              </w:rPr>
            </w:pPr>
            <w:r>
              <w:rPr>
                <w:i/>
              </w:rPr>
              <w:t xml:space="preserve">Liquor Control Amendment (Banned Drinkers Register) Act 2023 </w:t>
            </w:r>
            <w:r>
              <w:rPr>
                <w:iCs/>
              </w:rPr>
              <w:t>Pt. 3 (other than s. 34) </w:t>
            </w:r>
            <w:r>
              <w:rPr>
                <w:iCs/>
                <w:vertAlign w:val="superscript"/>
              </w:rPr>
              <w:t>1</w:t>
            </w:r>
          </w:p>
        </w:tc>
        <w:tc>
          <w:tcPr>
            <w:tcW w:w="1134" w:type="dxa"/>
            <w:tcBorders>
              <w:top w:val="nil"/>
              <w:bottom w:val="nil"/>
            </w:tcBorders>
            <w:shd w:val="clear" w:color="auto" w:fill="auto"/>
          </w:tcPr>
          <w:p>
            <w:pPr>
              <w:pStyle w:val="nTable"/>
              <w:spacing w:after="40"/>
            </w:pPr>
            <w:r>
              <w:t>25 of 2023</w:t>
            </w:r>
          </w:p>
        </w:tc>
        <w:tc>
          <w:tcPr>
            <w:tcW w:w="1133" w:type="dxa"/>
            <w:tcBorders>
              <w:top w:val="nil"/>
              <w:bottom w:val="nil"/>
            </w:tcBorders>
            <w:shd w:val="clear" w:color="auto" w:fill="auto"/>
          </w:tcPr>
          <w:p>
            <w:pPr>
              <w:pStyle w:val="nTable"/>
              <w:spacing w:after="40"/>
            </w:pPr>
            <w:r>
              <w:t>10 Nov 2023</w:t>
            </w:r>
          </w:p>
        </w:tc>
        <w:tc>
          <w:tcPr>
            <w:tcW w:w="2552" w:type="dxa"/>
            <w:tcBorders>
              <w:top w:val="nil"/>
              <w:bottom w:val="nil"/>
            </w:tcBorders>
            <w:shd w:val="clear" w:color="auto" w:fill="auto"/>
          </w:tcPr>
          <w:p>
            <w:pPr>
              <w:pStyle w:val="nTable"/>
              <w:spacing w:after="40"/>
              <w:rPr>
                <w:snapToGrid w:val="0"/>
              </w:rPr>
            </w:pPr>
            <w:r>
              <w:rPr>
                <w:snapToGrid w:val="0"/>
              </w:rPr>
              <w:t>14 Dec 2023 (see s. 2(b) and SL 2023/191 cl. 2)</w:t>
            </w:r>
          </w:p>
        </w:tc>
      </w:tr>
      <w:tr>
        <w:trPr>
          <w:cantSplit/>
        </w:trPr>
        <w:tc>
          <w:tcPr>
            <w:tcW w:w="2269" w:type="dxa"/>
            <w:tcBorders>
              <w:top w:val="nil"/>
              <w:bottom w:val="nil"/>
            </w:tcBorders>
            <w:shd w:val="clear" w:color="auto" w:fill="auto"/>
          </w:tcPr>
          <w:p>
            <w:pPr>
              <w:pStyle w:val="nTable"/>
              <w:spacing w:after="40"/>
              <w:rPr>
                <w:i/>
              </w:rPr>
            </w:pPr>
            <w:r>
              <w:rPr>
                <w:i/>
              </w:rPr>
              <w:t xml:space="preserve">Births, Deaths and Marriages Registration Amendment (Sex or Gender Changes) Act 2024 </w:t>
            </w:r>
            <w:r>
              <w:rPr>
                <w:iCs/>
              </w:rPr>
              <w:t>Pt. 4 Div. 6</w:t>
            </w:r>
          </w:p>
        </w:tc>
        <w:tc>
          <w:tcPr>
            <w:tcW w:w="1134" w:type="dxa"/>
            <w:tcBorders>
              <w:top w:val="nil"/>
              <w:bottom w:val="nil"/>
            </w:tcBorders>
            <w:shd w:val="clear" w:color="auto" w:fill="auto"/>
          </w:tcPr>
          <w:p>
            <w:pPr>
              <w:pStyle w:val="nTable"/>
              <w:spacing w:after="40"/>
            </w:pPr>
            <w:r>
              <w:t>31 of 2024</w:t>
            </w:r>
          </w:p>
        </w:tc>
        <w:tc>
          <w:tcPr>
            <w:tcW w:w="1133" w:type="dxa"/>
            <w:tcBorders>
              <w:top w:val="nil"/>
              <w:bottom w:val="nil"/>
            </w:tcBorders>
            <w:shd w:val="clear" w:color="auto" w:fill="auto"/>
          </w:tcPr>
          <w:p>
            <w:pPr>
              <w:pStyle w:val="nTable"/>
              <w:spacing w:after="40"/>
            </w:pPr>
            <w:r>
              <w:t>26 Sep 2024</w:t>
            </w:r>
          </w:p>
        </w:tc>
        <w:tc>
          <w:tcPr>
            <w:tcW w:w="2552" w:type="dxa"/>
            <w:tcBorders>
              <w:top w:val="nil"/>
              <w:bottom w:val="nil"/>
            </w:tcBorders>
            <w:shd w:val="clear" w:color="auto" w:fill="auto"/>
          </w:tcPr>
          <w:p>
            <w:pPr>
              <w:pStyle w:val="nTable"/>
              <w:spacing w:after="40"/>
              <w:rPr>
                <w:snapToGrid w:val="0"/>
              </w:rPr>
            </w:pPr>
            <w:r>
              <w:t>30 May 2025 (see s. 2(b) and SL 2025/80 cl. 2)</w:t>
            </w:r>
          </w:p>
        </w:tc>
      </w:tr>
      <w:tr>
        <w:trPr>
          <w:cantSplit/>
        </w:trPr>
        <w:tc>
          <w:tcPr>
            <w:tcW w:w="2269" w:type="dxa"/>
            <w:tcBorders>
              <w:top w:val="nil"/>
              <w:bottom w:val="single" w:sz="4" w:space="0" w:color="auto"/>
            </w:tcBorders>
            <w:shd w:val="clear" w:color="auto" w:fill="auto"/>
          </w:tcPr>
          <w:p>
            <w:pPr>
              <w:pStyle w:val="nTable"/>
              <w:spacing w:after="40"/>
              <w:rPr>
                <w:i/>
              </w:rPr>
            </w:pPr>
            <w:r>
              <w:rPr>
                <w:i/>
              </w:rPr>
              <w:t xml:space="preserve">Community Protection (Offender Reporting) Amendment Act 2024 </w:t>
            </w:r>
            <w:r>
              <w:rPr>
                <w:iCs/>
              </w:rPr>
              <w:t>Pt. 2 Div. 2 Subdiv. 1</w:t>
            </w:r>
          </w:p>
        </w:tc>
        <w:tc>
          <w:tcPr>
            <w:tcW w:w="1134" w:type="dxa"/>
            <w:tcBorders>
              <w:top w:val="nil"/>
              <w:bottom w:val="single" w:sz="4" w:space="0" w:color="auto"/>
            </w:tcBorders>
            <w:shd w:val="clear" w:color="auto" w:fill="auto"/>
          </w:tcPr>
          <w:p>
            <w:pPr>
              <w:pStyle w:val="nTable"/>
              <w:spacing w:after="40"/>
            </w:pPr>
            <w:r>
              <w:t>35 of 2024</w:t>
            </w:r>
          </w:p>
        </w:tc>
        <w:tc>
          <w:tcPr>
            <w:tcW w:w="1133" w:type="dxa"/>
            <w:tcBorders>
              <w:top w:val="nil"/>
              <w:bottom w:val="single" w:sz="4" w:space="0" w:color="auto"/>
            </w:tcBorders>
            <w:shd w:val="clear" w:color="auto" w:fill="auto"/>
          </w:tcPr>
          <w:p>
            <w:pPr>
              <w:pStyle w:val="nTable"/>
              <w:spacing w:after="40"/>
            </w:pPr>
            <w:r>
              <w:t>22 Oct 2024</w:t>
            </w:r>
          </w:p>
        </w:tc>
        <w:tc>
          <w:tcPr>
            <w:tcW w:w="2552" w:type="dxa"/>
            <w:tcBorders>
              <w:top w:val="nil"/>
              <w:bottom w:val="single" w:sz="4" w:space="0" w:color="auto"/>
            </w:tcBorders>
            <w:shd w:val="clear" w:color="auto" w:fill="auto"/>
          </w:tcPr>
          <w:p>
            <w:pPr>
              <w:pStyle w:val="nTable"/>
              <w:spacing w:after="40"/>
            </w:pPr>
            <w:r>
              <w:t>28 Jul 2025 (see s. 2(b) and SL 2025/137 cl. 2)</w:t>
            </w:r>
          </w:p>
        </w:tc>
      </w:tr>
    </w:tbl>
    <w:p>
      <w:pPr>
        <w:pStyle w:val="nHeading3"/>
      </w:pPr>
      <w:bookmarkStart w:id="125" w:name="_Toc216773811"/>
      <w:r>
        <w:lastRenderedPageBreak/>
        <w:t>Uncommenced provisions table</w:t>
      </w:r>
      <w:bookmarkEnd w:id="12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tcBorders>
          </w:tcPr>
          <w:p>
            <w:pPr>
              <w:pStyle w:val="nTable"/>
              <w:keepNext/>
              <w:spacing w:after="40"/>
              <w:rPr>
                <w:iCs/>
              </w:rPr>
            </w:pPr>
            <w:r>
              <w:rPr>
                <w:i/>
              </w:rPr>
              <w:t xml:space="preserve">Community Protection (Offender Reporting) Amendment Act 2024 </w:t>
            </w:r>
            <w:r>
              <w:rPr>
                <w:iCs/>
              </w:rPr>
              <w:t>Pt. 3 Div. 2 Subdiv. 2</w:t>
            </w:r>
          </w:p>
        </w:tc>
        <w:tc>
          <w:tcPr>
            <w:tcW w:w="1134" w:type="dxa"/>
            <w:tcBorders>
              <w:top w:val="nil"/>
            </w:tcBorders>
          </w:tcPr>
          <w:p>
            <w:pPr>
              <w:pStyle w:val="nTable"/>
              <w:keepNext/>
              <w:spacing w:after="40"/>
            </w:pPr>
            <w:r>
              <w:t>35 of 2024</w:t>
            </w:r>
          </w:p>
        </w:tc>
        <w:tc>
          <w:tcPr>
            <w:tcW w:w="1134" w:type="dxa"/>
            <w:tcBorders>
              <w:top w:val="nil"/>
            </w:tcBorders>
          </w:tcPr>
          <w:p>
            <w:pPr>
              <w:pStyle w:val="nTable"/>
              <w:keepNext/>
              <w:spacing w:after="40"/>
            </w:pPr>
            <w:r>
              <w:t>22 Oct 2024</w:t>
            </w:r>
          </w:p>
        </w:tc>
        <w:tc>
          <w:tcPr>
            <w:tcW w:w="2552" w:type="dxa"/>
            <w:tcBorders>
              <w:top w:val="nil"/>
            </w:tcBorders>
          </w:tcPr>
          <w:p>
            <w:pPr>
              <w:pStyle w:val="nTable"/>
              <w:keepNext/>
              <w:spacing w:after="40"/>
            </w:pPr>
            <w:r>
              <w:t>31 Dec 2025 (see s. 2(b) and SL 2025/201 cl. 2)</w:t>
            </w:r>
          </w:p>
        </w:tc>
      </w:tr>
    </w:tbl>
    <w:p>
      <w:pPr>
        <w:pStyle w:val="nHeading3"/>
      </w:pPr>
      <w:bookmarkStart w:id="126" w:name="_Toc216773812"/>
      <w:r>
        <w:t>Other notes</w:t>
      </w:r>
      <w:bookmarkEnd w:id="126"/>
    </w:p>
    <w:p>
      <w:pPr>
        <w:pStyle w:val="nNote"/>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w:t>
      </w:r>
      <w:r>
        <w:tab/>
        <w:t xml:space="preserve">The </w:t>
      </w:r>
      <w:r>
        <w:rPr>
          <w:i/>
          <w:iCs/>
        </w:rPr>
        <w:t>Liquor Control Amendment (Banned Drinkers Register) Act 2023</w:t>
      </w:r>
      <w:r>
        <w:t xml:space="preserve"> s. 34 was deleted by the </w:t>
      </w:r>
      <w:r>
        <w:rPr>
          <w:i/>
        </w:rPr>
        <w:t>Liquor Control Amendment Act 2025</w:t>
      </w:r>
      <w:r>
        <w:rPr>
          <w:iCs/>
        </w:rPr>
        <w:t xml:space="preserve"> s. 129 before it purported to come into operation.</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128" w:name="_Toc216773813"/>
      <w:r>
        <w:rPr>
          <w:sz w:val="28"/>
        </w:rPr>
        <w:lastRenderedPageBreak/>
        <w:t>Defined terms</w:t>
      </w:r>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lastRenderedPageBreak/>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reportable offender</w:t>
      </w:r>
      <w:r>
        <w:tab/>
        <w:t>68B(1)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7432158</wp:posOffset>
                </wp:positionV>
                <wp:extent cx="127000" cy="722128"/>
                <wp:effectExtent l="0" t="0" r="1905" b="1905"/>
                <wp:wrapNone/>
                <wp:docPr id="2" name="Authority"/>
                <wp:cNvGraphicFramePr/>
                <a:graphic xmlns:a="http://schemas.openxmlformats.org/drawingml/2006/main">
                  <a:graphicData uri="http://schemas.microsoft.com/office/word/2010/wordprocessingShape">
                    <wps:wsp>
                      <wps:cNvSpPr txBox="1"/>
                      <wps:spPr>
                        <a:xfrm>
                          <a:off x="0" y="0"/>
                          <a:ext cx="127000" cy="722128"/>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25F5CE" id="_x0000_t202" coordsize="21600,21600" o:spt="202" path="m,l,21600r21600,l21600,xe">
                <v:stroke joinstyle="miter"/>
                <v:path gradientshapeok="t" o:connecttype="rect"/>
              </v:shapetype>
              <v:shape id="Authority" o:spid="_x0000_s1026" type="#_x0000_t202" style="position:absolute;margin-left:0;margin-top:585.2pt;width:10pt;height:56.8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" stroked="f" strokeweight=".5pt">
                <v:textbox>
                  <w:txbxContent>
                    <w:p w14:paraId="7897D57E" w14:textId="5BDCE4CC" w:rsidR="00EA0A80" w:rsidRDefault="00014F9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43EE">
                        <w:rPr>
                          <w:sz w:val="16"/>
                        </w:rPr>
                        <w:t>2025</w:t>
                      </w:r>
                      <w:r>
                        <w:rPr>
                          <w:sz w:val="16"/>
                        </w:rPr>
                        <w:fldChar w:fldCharType="end"/>
                      </w:r>
                      <w:r>
                        <w:rPr>
                          <w:sz w:val="16"/>
                        </w:rPr>
                        <w:t>.</w:t>
                      </w:r>
                    </w:p>
                    <w:p w14:paraId="73E63795" w14:textId="77777777" w:rsidR="00EA0A80" w:rsidRDefault="00014F9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EF5639" w14:textId="2E56E466" w:rsidR="00EA0A80" w:rsidRDefault="00014F9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43EE">
                        <w:rPr>
                          <w:sz w:val="16"/>
                        </w:rPr>
                        <w:t>2025</w:t>
                      </w:r>
                      <w:r>
                        <w:rPr>
                          <w:sz w:val="16"/>
                        </w:rPr>
                        <w:fldChar w:fldCharType="end"/>
                      </w:r>
                      <w:r>
                        <w:rPr>
                          <w:sz w:val="16"/>
                        </w:rPr>
                        <w:t>.</w:t>
                      </w:r>
                    </w:p>
                    <w:p w14:paraId="35CBB5BB" w14:textId="6F26F137" w:rsidR="00EA0A80" w:rsidRDefault="00014F99">
                      <w:pPr>
                        <w:ind w:left="2438" w:right="2098"/>
                        <w:jc w:val="center"/>
                        <w:rPr>
                          <w:rFonts w:ascii="Arial" w:hAnsi="Arial" w:cs="Arial"/>
                          <w:sz w:val="12"/>
                        </w:rPr>
                      </w:pPr>
                      <w:r>
                        <w:rPr>
                          <w:rFonts w:ascii="Arial" w:hAnsi="Arial" w:cs="Arial"/>
                          <w:sz w:val="12"/>
                        </w:rPr>
                        <w:t xml:space="preserve">By Authority: </w:t>
                      </w:r>
                      <w:r w:rsidR="004D43EE">
                        <w:rPr>
                          <w:rFonts w:ascii="Arial" w:hAnsi="Arial" w:cs="Arial"/>
                          <w:sz w:val="12"/>
                        </w:rPr>
                        <w:t>GEOFF O. LAWN</w:t>
                      </w:r>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rPr>
        <w:jc w:val="center"/>
      </w:trP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2"/>
      <w:gridCol w:w="155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rPr>
        <w:jc w:val="center"/>
      </w:trP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513053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 w:name="WAFER_20200911102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2655_GUID" w:val="600e0ec3-0031-4913-bcbd-49fcbe48b3ae"/>
    <w:docVar w:name="WAFER_202212021017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28_GUID" w:val="2c207287-505a-4e51-8dcf-7e9aaeb13b00"/>
    <w:docVar w:name="WAFER_202212191205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120546_GUID" w:val="398122d4-4e47-4437-94ec-cc2eaa5c8ce1"/>
    <w:docVar w:name="WAFER_20230412101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1343_GUID" w:val="72e5a847-b9af-4bf8-9621-8b174b98f578"/>
    <w:docVar w:name="WAFER_20231110151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1103_GUID" w:val="1e04c0a3-77fc-4083-b5a3-d56d3fd0e1a8"/>
    <w:docVar w:name="WAFER_2023120413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4133559_GUID" w:val="2dda6048-3dfd-4ad7-aa0e-23f9ded63dbd"/>
    <w:docVar w:name="WAFER_2024082216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317_GUID" w:val="3d057a83-ec44-4d56-bc5c-eb15cb19dc1f"/>
    <w:docVar w:name="WAFER_202409191008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00813_GUID" w:val="de10d9c9-a11f-498a-9d3c-53559c742cc1"/>
    <w:docVar w:name="WAFER_20241018093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3444_GUID" w:val="a296fe82-ec80-4b09-aae8-d7fcf795c1a0"/>
    <w:docVar w:name="WAFER_20250523114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14558_GUID" w:val="790c5fba-f94e-4219-913b-e280170e6876"/>
    <w:docVar w:name="WAFER_20250718092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092748_GUID" w:val="151ef21f-fbce-411c-99fc-439d5f8ce9cc"/>
    <w:docVar w:name="WAFER_20251215130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33_GUID" w:val="f0617da1-782d-4ec1-96a8-516dfb7a9d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531B0B0C-E5F5-47E2-A64A-C6C37855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67C76-E32E-4E02-8C9F-907DD78FD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20872</Words>
  <Characters>101025</Characters>
  <Application>Microsoft Office Word</Application>
  <DocSecurity>0</DocSecurity>
  <Lines>2886</Lines>
  <Paragraphs>1846</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120051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2002 - 04-q0-02</dc:title>
  <dc:subject/>
  <dc:creator/>
  <cp:keywords/>
  <dc:description/>
  <cp:lastModifiedBy>Master Repository Process</cp:lastModifiedBy>
  <cp:revision>4</cp:revision>
  <cp:lastPrinted>2014-03-26T23:20:00Z</cp:lastPrinted>
  <dcterms:created xsi:type="dcterms:W3CDTF">2025-12-16T06:54:00Z</dcterms:created>
  <dcterms:modified xsi:type="dcterms:W3CDTF">2025-12-16T06:54:00Z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28 Jul 2025</vt:lpwstr>
  </property>
  <property fmtid="{D5CDD505-2E9C-101B-9397-08002B2CF9AE}" pid="8" name="Suffix">
    <vt:lpwstr>04-q0-02</vt:lpwstr>
  </property>
  <property fmtid="{D5CDD505-2E9C-101B-9397-08002B2CF9AE}" pid="9" name="Official">
    <vt:lpwstr/>
  </property>
  <property fmtid="{D5CDD505-2E9C-101B-9397-08002B2CF9AE}" pid="10" name="CommencementDate">
    <vt:lpwstr>20250728</vt:lpwstr>
  </property>
  <property fmtid="{D5CDD505-2E9C-101B-9397-08002B2CF9AE}" pid="11" name="CommencementAsAt">
    <vt:filetime>2025-07-27T16:00:00Z</vt:filetime>
  </property>
  <property fmtid="{D5CDD505-2E9C-101B-9397-08002B2CF9AE}" pid="12" name="CommencementYear">
    <vt:lpwstr>2025</vt:lpwstr>
  </property>
</Properties>
</file>