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spacing w:before="2160"/>
      </w:pPr>
      <w:r>
        <w:fldChar w:fldCharType="begin"/>
      </w:r>
      <w:r>
        <w:instrText xml:space="preserve"> STYLEREF "PrincipalAct_Reg"</w:instrText>
      </w:r>
      <w:r>
        <w:fldChar w:fldCharType="separate"/>
      </w:r>
      <w:r>
        <w:rPr>
          <w:noProof/>
        </w:rPr>
        <w:t>Health Practitioner Regulation National Law Application Act 2024</w:t>
      </w:r>
      <w:r>
        <w:fldChar w:fldCharType="end"/>
      </w:r>
    </w:p>
    <w:p>
      <w:pPr>
        <w:pStyle w:val="NameofActRegPage1"/>
        <w:spacing w:before="1440" w:after="960"/>
        <w:outlineLvl w:val="0"/>
      </w:pPr>
      <w:r>
        <w:fldChar w:fldCharType="begin"/>
      </w:r>
      <w:r>
        <w:instrText xml:space="preserve"> STYLEREF "Name Of Act/Reg"</w:instrText>
      </w:r>
      <w:r>
        <w:fldChar w:fldCharType="separate"/>
      </w:r>
      <w:r>
        <w:rPr>
          <w:noProof/>
        </w:rPr>
        <w:t>Health Practitioner Regulation National Law Regulation (Western Australia)</w:t>
      </w:r>
      <w:r>
        <w:fldChar w:fldCharType="end"/>
      </w:r>
    </w:p>
    <w:p>
      <w:pPr>
        <w:pStyle w:val="nNote"/>
        <w:rPr>
          <w:b/>
        </w:rPr>
      </w:pPr>
      <w:r>
        <w:rPr>
          <w:b/>
        </w:rPr>
        <w:t xml:space="preserve">Note: </w:t>
      </w:r>
    </w:p>
    <w:p>
      <w:pPr>
        <w:pStyle w:val="nNote"/>
      </w:pPr>
      <w:r>
        <w:tab/>
        <w:t xml:space="preserve">The </w:t>
      </w:r>
      <w:r>
        <w:rPr>
          <w:i/>
          <w:iCs/>
        </w:rPr>
        <w:t>Health Practitioner Regulation National Law Regulation 2018</w:t>
      </w:r>
      <w:r>
        <w:t xml:space="preserve"> (the national regulation as made under section 245 of the </w:t>
      </w:r>
      <w:r>
        <w:rPr>
          <w:i/>
          <w:iCs/>
        </w:rPr>
        <w:t>Health Practitioner Regulation National Law</w:t>
      </w:r>
      <w:r>
        <w:t>) applies as subsidiary legislation of Western Australia under the </w:t>
      </w:r>
      <w:r>
        <w:rPr>
          <w:i/>
          <w:iCs/>
        </w:rPr>
        <w:t>Health Practitioner Regulation National Law Application Act 2024</w:t>
      </w:r>
      <w:r>
        <w:t xml:space="preserve"> (the </w:t>
      </w:r>
      <w:r>
        <w:rPr>
          <w:b/>
          <w:bCs/>
          <w:i/>
          <w:iCs/>
        </w:rPr>
        <w:t>WA Application Act</w:t>
      </w:r>
      <w:r>
        <w:t>) s. 12.</w:t>
      </w:r>
    </w:p>
    <w:p>
      <w:pPr>
        <w:pStyle w:val="nNote"/>
      </w:pPr>
      <w:r>
        <w:tab/>
        <w:t>Amendments to the national regulation are made by the Ministerial Council (currently known as the Health Ministers’ Meeting), and published by the Victorian Government Printer. Amendments made in this way also amend the national regulation as it applies in Western Australia, subject to the WA Application Act sections 13, 14 and 16.</w:t>
      </w:r>
    </w:p>
    <w:p>
      <w:pPr>
        <w:pStyle w:val="nNote"/>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r>
        <w:tab/>
        <w:t xml:space="preserve">This version is the national regulation as it applies in Western Australian as at the date specified below. The regulation may be cited as the </w:t>
      </w:r>
      <w:r>
        <w:rPr>
          <w:i/>
          <w:iCs/>
        </w:rPr>
        <w:t>Health Practitioner Regulation National Law Regulation (Western Australia)</w:t>
      </w:r>
      <w:r>
        <w:t>.</w:t>
      </w: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Regulation (Western Australia)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_Toc204242417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_Toc204242418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_Toc204242419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Boards and registers</w:t>
      </w:r>
    </w:p>
    <w:p>
      <w:pPr>
        <w:pStyle w:val="TOC8"/>
        <w:rPr>
          <w:rFonts w:asciiTheme="minorHAnsi" w:eastAsiaTheme="minorEastAsia" w:hAnsiTheme="minorHAnsi" w:cstheme="minorBidi"/>
          <w:szCs w:val="22"/>
        </w:rPr>
      </w:pPr>
      <w:r>
        <w:t>4.</w:t>
      </w:r>
      <w:r>
        <w:rPr>
          <w:snapToGrid w:val="0"/>
        </w:rPr>
        <w:tab/>
        <w:t>National Boards for health professions</w:t>
      </w:r>
      <w:r>
        <w:tab/>
      </w:r>
      <w:r>
        <w:fldChar w:fldCharType="begin"/>
      </w:r>
      <w:r>
        <w:instrText xml:space="preserve"> PAGEREF _Toc204242421 \h </w:instrText>
      </w:r>
      <w:r>
        <w:fldChar w:fldCharType="separate"/>
      </w:r>
      <w:r>
        <w:t>4</w:t>
      </w:r>
      <w:r>
        <w:fldChar w:fldCharType="end"/>
      </w:r>
    </w:p>
    <w:p>
      <w:pPr>
        <w:pStyle w:val="TOC8"/>
        <w:rPr>
          <w:rFonts w:asciiTheme="minorHAnsi" w:eastAsiaTheme="minorEastAsia" w:hAnsiTheme="minorHAnsi" w:cstheme="minorBidi"/>
          <w:szCs w:val="22"/>
        </w:rPr>
      </w:pPr>
      <w:r>
        <w:t>5.</w:t>
      </w:r>
      <w:r>
        <w:tab/>
        <w:t>National Boards required to keep public national registers</w:t>
      </w:r>
      <w:r>
        <w:tab/>
      </w:r>
      <w:r>
        <w:fldChar w:fldCharType="begin"/>
      </w:r>
      <w:r>
        <w:instrText xml:space="preserve"> PAGEREF _Toc204242422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AIC Act</w:t>
      </w:r>
    </w:p>
    <w:p>
      <w:pPr>
        <w:pStyle w:val="TOC8"/>
        <w:rPr>
          <w:rFonts w:asciiTheme="minorHAnsi" w:eastAsiaTheme="minorEastAsia" w:hAnsiTheme="minorHAnsi" w:cstheme="minorBidi"/>
          <w:szCs w:val="22"/>
        </w:rPr>
      </w:pPr>
      <w:r>
        <w:t>6.</w:t>
      </w:r>
      <w:r>
        <w:tab/>
        <w:t>Application of AIC Act</w:t>
      </w:r>
      <w:r>
        <w:tab/>
      </w:r>
      <w:r>
        <w:fldChar w:fldCharType="begin"/>
      </w:r>
      <w:r>
        <w:instrText xml:space="preserve"> PAGEREF _Toc204242424 \h </w:instrText>
      </w:r>
      <w:r>
        <w:fldChar w:fldCharType="separate"/>
      </w:r>
      <w:r>
        <w:t>7</w:t>
      </w:r>
      <w:r>
        <w:fldChar w:fldCharType="end"/>
      </w:r>
    </w:p>
    <w:p>
      <w:pPr>
        <w:pStyle w:val="TOC8"/>
        <w:rPr>
          <w:rFonts w:asciiTheme="minorHAnsi" w:eastAsiaTheme="minorEastAsia" w:hAnsiTheme="minorHAnsi" w:cstheme="minorBidi"/>
          <w:szCs w:val="22"/>
        </w:rPr>
      </w:pPr>
      <w:r>
        <w:t>7.</w:t>
      </w:r>
      <w:r>
        <w:tab/>
        <w:t>References in AIC Act to particular terms</w:t>
      </w:r>
      <w:r>
        <w:tab/>
      </w:r>
      <w:r>
        <w:fldChar w:fldCharType="begin"/>
      </w:r>
      <w:r>
        <w:instrText xml:space="preserve"> PAGEREF _Toc204242425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Modifications relating to appointment of National Health Practitioner Privacy Commissioner and staff</w:t>
      </w:r>
      <w:r>
        <w:tab/>
      </w:r>
      <w:r>
        <w:fldChar w:fldCharType="begin"/>
      </w:r>
      <w:r>
        <w:instrText xml:space="preserve"> PAGEREF _Toc204242426 \h </w:instrText>
      </w:r>
      <w:r>
        <w:fldChar w:fldCharType="separate"/>
      </w:r>
      <w:r>
        <w:t>7</w:t>
      </w:r>
      <w:r>
        <w:fldChar w:fldCharType="end"/>
      </w:r>
    </w:p>
    <w:p>
      <w:pPr>
        <w:pStyle w:val="TOC8"/>
        <w:rPr>
          <w:rFonts w:asciiTheme="minorHAnsi" w:eastAsiaTheme="minorEastAsia" w:hAnsiTheme="minorHAnsi" w:cstheme="minorBidi"/>
          <w:szCs w:val="22"/>
        </w:rPr>
      </w:pPr>
      <w:r>
        <w:t>9.</w:t>
      </w:r>
      <w:r>
        <w:tab/>
        <w:t>Modifications about financial matters</w:t>
      </w:r>
      <w:r>
        <w:tab/>
      </w:r>
      <w:r>
        <w:fldChar w:fldCharType="begin"/>
      </w:r>
      <w:r>
        <w:instrText xml:space="preserve"> PAGEREF _Toc204242427 \h </w:instrText>
      </w:r>
      <w:r>
        <w:fldChar w:fldCharType="separate"/>
      </w:r>
      <w:r>
        <w:t>8</w:t>
      </w:r>
      <w:r>
        <w:fldChar w:fldCharType="end"/>
      </w:r>
    </w:p>
    <w:p>
      <w:pPr>
        <w:pStyle w:val="TOC8"/>
        <w:rPr>
          <w:rFonts w:asciiTheme="minorHAnsi" w:eastAsiaTheme="minorEastAsia" w:hAnsiTheme="minorHAnsi" w:cstheme="minorBidi"/>
          <w:szCs w:val="22"/>
        </w:rPr>
      </w:pPr>
      <w:r>
        <w:t>10.</w:t>
      </w:r>
      <w:r>
        <w:tab/>
        <w:t>Modifications about annual report</w:t>
      </w:r>
      <w:r>
        <w:tab/>
      </w:r>
      <w:r>
        <w:fldChar w:fldCharType="begin"/>
      </w:r>
      <w:r>
        <w:instrText xml:space="preserve"> PAGEREF _Toc204242428 \h </w:instrText>
      </w:r>
      <w:r>
        <w:fldChar w:fldCharType="separate"/>
      </w:r>
      <w:r>
        <w:t>9</w:t>
      </w:r>
      <w:r>
        <w:fldChar w:fldCharType="end"/>
      </w:r>
    </w:p>
    <w:p>
      <w:pPr>
        <w:pStyle w:val="TOC8"/>
        <w:rPr>
          <w:rFonts w:asciiTheme="minorHAnsi" w:eastAsiaTheme="minorEastAsia" w:hAnsiTheme="minorHAnsi" w:cstheme="minorBidi"/>
          <w:szCs w:val="22"/>
        </w:rPr>
      </w:pPr>
      <w:r>
        <w:t>11.</w:t>
      </w:r>
      <w:r>
        <w:tab/>
        <w:t>Miscellaneous modifications</w:t>
      </w:r>
      <w:r>
        <w:tab/>
      </w:r>
      <w:r>
        <w:fldChar w:fldCharType="begin"/>
      </w:r>
      <w:r>
        <w:instrText xml:space="preserve"> PAGEREF _Toc204242429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_Toc204242430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FOI Act</w:t>
      </w:r>
    </w:p>
    <w:p>
      <w:pPr>
        <w:pStyle w:val="TOC8"/>
        <w:rPr>
          <w:rFonts w:asciiTheme="minorHAnsi" w:eastAsiaTheme="minorEastAsia" w:hAnsiTheme="minorHAnsi" w:cstheme="minorBidi"/>
          <w:szCs w:val="22"/>
        </w:rPr>
      </w:pPr>
      <w:r>
        <w:t>13.</w:t>
      </w:r>
      <w:r>
        <w:tab/>
        <w:t>Application of FOI Act</w:t>
      </w:r>
      <w:r>
        <w:tab/>
      </w:r>
      <w:r>
        <w:fldChar w:fldCharType="begin"/>
      </w:r>
      <w:r>
        <w:instrText xml:space="preserve"> PAGEREF _Toc204242432 \h </w:instrText>
      </w:r>
      <w:r>
        <w:fldChar w:fldCharType="separate"/>
      </w:r>
      <w:r>
        <w:t>13</w:t>
      </w:r>
      <w:r>
        <w:fldChar w:fldCharType="end"/>
      </w:r>
    </w:p>
    <w:p>
      <w:pPr>
        <w:pStyle w:val="TOC8"/>
        <w:rPr>
          <w:rFonts w:asciiTheme="minorHAnsi" w:eastAsiaTheme="minorEastAsia" w:hAnsiTheme="minorHAnsi" w:cstheme="minorBidi"/>
          <w:szCs w:val="22"/>
        </w:rPr>
      </w:pPr>
      <w:r>
        <w:t>14.</w:t>
      </w:r>
      <w:r>
        <w:tab/>
        <w:t>References in FOI Act to particular terms</w:t>
      </w:r>
      <w:r>
        <w:tab/>
      </w:r>
      <w:r>
        <w:fldChar w:fldCharType="begin"/>
      </w:r>
      <w:r>
        <w:instrText xml:space="preserve"> PAGEREF _Toc204242433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Modifications relating to National Agency and National Boards</w:t>
      </w:r>
      <w:r>
        <w:tab/>
      </w:r>
      <w:r>
        <w:fldChar w:fldCharType="begin"/>
      </w:r>
      <w:r>
        <w:instrText xml:space="preserve"> PAGEREF _Toc204242434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Modifications relating to reports prepared by National  Health Practitioner Privacy Commissioner</w:t>
      </w:r>
      <w:r>
        <w:tab/>
      </w:r>
      <w:r>
        <w:fldChar w:fldCharType="begin"/>
      </w:r>
      <w:r>
        <w:instrText xml:space="preserve"> PAGEREF _Toc204242435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Modifications relating to Administrative Appeals Tribunal</w:t>
      </w:r>
      <w:r>
        <w:tab/>
      </w:r>
      <w:r>
        <w:fldChar w:fldCharType="begin"/>
      </w:r>
      <w:r>
        <w:instrText xml:space="preserve"> PAGEREF _Toc204242436 \h </w:instrText>
      </w:r>
      <w:r>
        <w:fldChar w:fldCharType="separate"/>
      </w:r>
      <w:r>
        <w:t>15</w:t>
      </w:r>
      <w:r>
        <w:fldChar w:fldCharType="end"/>
      </w:r>
    </w:p>
    <w:p>
      <w:pPr>
        <w:pStyle w:val="TOC8"/>
        <w:rPr>
          <w:rFonts w:asciiTheme="minorHAnsi" w:eastAsiaTheme="minorEastAsia" w:hAnsiTheme="minorHAnsi" w:cstheme="minorBidi"/>
          <w:szCs w:val="22"/>
        </w:rPr>
      </w:pPr>
      <w:r>
        <w:t>18.</w:t>
      </w:r>
      <w:r>
        <w:tab/>
        <w:t>Modifications relating to Part VII of the FOI Act</w:t>
      </w:r>
      <w:r>
        <w:tab/>
      </w:r>
      <w:r>
        <w:fldChar w:fldCharType="begin"/>
      </w:r>
      <w:r>
        <w:instrText xml:space="preserve"> PAGEREF _Toc204242437 \h </w:instrText>
      </w:r>
      <w:r>
        <w:fldChar w:fldCharType="separate"/>
      </w:r>
      <w:r>
        <w:t>15</w:t>
      </w:r>
      <w:r>
        <w:fldChar w:fldCharType="end"/>
      </w:r>
    </w:p>
    <w:p>
      <w:pPr>
        <w:pStyle w:val="TOC8"/>
        <w:rPr>
          <w:rFonts w:asciiTheme="minorHAnsi" w:eastAsiaTheme="minorEastAsia" w:hAnsiTheme="minorHAnsi" w:cstheme="minorBidi"/>
          <w:szCs w:val="22"/>
        </w:rPr>
      </w:pPr>
      <w:r>
        <w:t>19.</w:t>
      </w:r>
      <w:r>
        <w:tab/>
        <w:t>Miscellaneous modifications</w:t>
      </w:r>
      <w:r>
        <w:tab/>
      </w:r>
      <w:r>
        <w:fldChar w:fldCharType="begin"/>
      </w:r>
      <w:r>
        <w:instrText xml:space="preserve"> PAGEREF _Toc204242438 \h </w:instrText>
      </w:r>
      <w:r>
        <w:fldChar w:fldCharType="separate"/>
      </w:r>
      <w:r>
        <w:t>15</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_Toc204242439 \h </w:instrText>
      </w:r>
      <w:r>
        <w:fldChar w:fldCharType="separate"/>
      </w:r>
      <w:r>
        <w:t>16</w:t>
      </w:r>
      <w:r>
        <w:fldChar w:fldCharType="end"/>
      </w:r>
    </w:p>
    <w:p>
      <w:pPr>
        <w:pStyle w:val="TOC8"/>
        <w:rPr>
          <w:rFonts w:asciiTheme="minorHAnsi" w:eastAsiaTheme="minorEastAsia" w:hAnsiTheme="minorHAnsi" w:cstheme="minorBidi"/>
          <w:szCs w:val="22"/>
        </w:rPr>
      </w:pPr>
      <w:r>
        <w:t>21.</w:t>
      </w:r>
      <w:r>
        <w:tab/>
        <w:t>Transitional provision for existing right of review by Administrative Appeals Tribunal</w:t>
      </w:r>
      <w:r>
        <w:tab/>
      </w:r>
      <w:r>
        <w:fldChar w:fldCharType="begin"/>
      </w:r>
      <w:r>
        <w:instrText xml:space="preserve"> PAGEREF _Toc204242440 \h </w:instrText>
      </w:r>
      <w:r>
        <w:fldChar w:fldCharType="separate"/>
      </w:r>
      <w:r>
        <w:t>16</w:t>
      </w:r>
      <w:r>
        <w:fldChar w:fldCharType="end"/>
      </w:r>
    </w:p>
    <w:p>
      <w:pPr>
        <w:pStyle w:val="TOC8"/>
        <w:rPr>
          <w:rFonts w:asciiTheme="minorHAnsi" w:eastAsiaTheme="minorEastAsia" w:hAnsiTheme="minorHAnsi" w:cstheme="minorBidi"/>
          <w:szCs w:val="22"/>
        </w:rPr>
      </w:pPr>
      <w:r>
        <w:t>22.</w:t>
      </w:r>
      <w:r>
        <w:tab/>
        <w:t>Transitional provision for current obligation to publish information</w:t>
      </w:r>
      <w:r>
        <w:tab/>
      </w:r>
      <w:r>
        <w:fldChar w:fldCharType="begin"/>
      </w:r>
      <w:r>
        <w:instrText xml:space="preserve"> PAGEREF _Toc204242441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Ombudsman Act</w:t>
      </w:r>
    </w:p>
    <w:p>
      <w:pPr>
        <w:pStyle w:val="TOC8"/>
        <w:rPr>
          <w:rFonts w:asciiTheme="minorHAnsi" w:eastAsiaTheme="minorEastAsia" w:hAnsiTheme="minorHAnsi" w:cstheme="minorBidi"/>
          <w:szCs w:val="22"/>
        </w:rPr>
      </w:pPr>
      <w:r>
        <w:t>23.</w:t>
      </w:r>
      <w:r>
        <w:tab/>
        <w:t>Who is an agency service provider</w:t>
      </w:r>
      <w:r>
        <w:tab/>
      </w:r>
      <w:r>
        <w:fldChar w:fldCharType="begin"/>
      </w:r>
      <w:r>
        <w:instrText xml:space="preserve"> PAGEREF _Toc204242443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Ombudsman Act</w:t>
      </w:r>
      <w:r>
        <w:tab/>
      </w:r>
      <w:r>
        <w:fldChar w:fldCharType="begin"/>
      </w:r>
      <w:r>
        <w:instrText xml:space="preserve"> PAGEREF _Toc204242444 \h </w:instrText>
      </w:r>
      <w:r>
        <w:fldChar w:fldCharType="separate"/>
      </w:r>
      <w:r>
        <w:t>18</w:t>
      </w:r>
      <w:r>
        <w:fldChar w:fldCharType="end"/>
      </w:r>
    </w:p>
    <w:p>
      <w:pPr>
        <w:pStyle w:val="TOC8"/>
        <w:rPr>
          <w:rFonts w:asciiTheme="minorHAnsi" w:eastAsiaTheme="minorEastAsia" w:hAnsiTheme="minorHAnsi" w:cstheme="minorBidi"/>
          <w:szCs w:val="22"/>
        </w:rPr>
      </w:pPr>
      <w:r>
        <w:t>25.</w:t>
      </w:r>
      <w:r>
        <w:tab/>
        <w:t>References in Ombudsman Act to particular terms</w:t>
      </w:r>
      <w:r>
        <w:tab/>
      </w:r>
      <w:r>
        <w:fldChar w:fldCharType="begin"/>
      </w:r>
      <w:r>
        <w:instrText xml:space="preserve"> PAGEREF _Toc204242445 \h </w:instrText>
      </w:r>
      <w:r>
        <w:fldChar w:fldCharType="separate"/>
      </w:r>
      <w:r>
        <w:t>18</w:t>
      </w:r>
      <w:r>
        <w:fldChar w:fldCharType="end"/>
      </w:r>
    </w:p>
    <w:p>
      <w:pPr>
        <w:pStyle w:val="TOC8"/>
        <w:rPr>
          <w:rFonts w:asciiTheme="minorHAnsi" w:eastAsiaTheme="minorEastAsia" w:hAnsiTheme="minorHAnsi" w:cstheme="minorBidi"/>
          <w:szCs w:val="22"/>
        </w:rPr>
      </w:pPr>
      <w:r>
        <w:t>26.</w:t>
      </w:r>
      <w:r>
        <w:tab/>
        <w:t>Modifications relating to National Agency and National Boards</w:t>
      </w:r>
      <w:r>
        <w:tab/>
      </w:r>
      <w:r>
        <w:fldChar w:fldCharType="begin"/>
      </w:r>
      <w:r>
        <w:instrText xml:space="preserve"> PAGEREF _Toc204242446 \h </w:instrText>
      </w:r>
      <w:r>
        <w:fldChar w:fldCharType="separate"/>
      </w:r>
      <w:r>
        <w:t>19</w:t>
      </w:r>
      <w:r>
        <w:fldChar w:fldCharType="end"/>
      </w:r>
    </w:p>
    <w:p>
      <w:pPr>
        <w:pStyle w:val="TOC8"/>
        <w:rPr>
          <w:rFonts w:asciiTheme="minorHAnsi" w:eastAsiaTheme="minorEastAsia" w:hAnsiTheme="minorHAnsi" w:cstheme="minorBidi"/>
          <w:szCs w:val="22"/>
        </w:rPr>
      </w:pPr>
      <w:r>
        <w:t>27.</w:t>
      </w:r>
      <w:r>
        <w:tab/>
        <w:t>Modifications relating to appointment of National Health Practitioner Ombudsman and staff</w:t>
      </w:r>
      <w:r>
        <w:tab/>
      </w:r>
      <w:r>
        <w:fldChar w:fldCharType="begin"/>
      </w:r>
      <w:r>
        <w:instrText xml:space="preserve"> PAGEREF _Toc204242447 \h </w:instrText>
      </w:r>
      <w:r>
        <w:fldChar w:fldCharType="separate"/>
      </w:r>
      <w:r>
        <w:t>21</w:t>
      </w:r>
      <w:r>
        <w:fldChar w:fldCharType="end"/>
      </w:r>
    </w:p>
    <w:p>
      <w:pPr>
        <w:pStyle w:val="TOC8"/>
        <w:rPr>
          <w:rFonts w:asciiTheme="minorHAnsi" w:eastAsiaTheme="minorEastAsia" w:hAnsiTheme="minorHAnsi" w:cstheme="minorBidi"/>
          <w:szCs w:val="22"/>
        </w:rPr>
      </w:pPr>
      <w:r>
        <w:t>28.</w:t>
      </w:r>
      <w:r>
        <w:tab/>
        <w:t>Modifications about financial matters</w:t>
      </w:r>
      <w:r>
        <w:tab/>
      </w:r>
      <w:r>
        <w:fldChar w:fldCharType="begin"/>
      </w:r>
      <w:r>
        <w:instrText xml:space="preserve"> PAGEREF _Toc204242448 \h </w:instrText>
      </w:r>
      <w:r>
        <w:fldChar w:fldCharType="separate"/>
      </w:r>
      <w:r>
        <w:t>23</w:t>
      </w:r>
      <w:r>
        <w:fldChar w:fldCharType="end"/>
      </w:r>
    </w:p>
    <w:p>
      <w:pPr>
        <w:pStyle w:val="TOC8"/>
        <w:rPr>
          <w:rFonts w:asciiTheme="minorHAnsi" w:eastAsiaTheme="minorEastAsia" w:hAnsiTheme="minorHAnsi" w:cstheme="minorBidi"/>
          <w:szCs w:val="22"/>
        </w:rPr>
      </w:pPr>
      <w:r>
        <w:t>29.</w:t>
      </w:r>
      <w:r>
        <w:tab/>
        <w:t>Modifications about annual report</w:t>
      </w:r>
      <w:r>
        <w:tab/>
      </w:r>
      <w:r>
        <w:fldChar w:fldCharType="begin"/>
      </w:r>
      <w:r>
        <w:instrText xml:space="preserve"> PAGEREF _Toc204242449 \h </w:instrText>
      </w:r>
      <w:r>
        <w:fldChar w:fldCharType="separate"/>
      </w:r>
      <w:r>
        <w:t>24</w:t>
      </w:r>
      <w:r>
        <w:fldChar w:fldCharType="end"/>
      </w:r>
    </w:p>
    <w:p>
      <w:pPr>
        <w:pStyle w:val="TOC8"/>
        <w:rPr>
          <w:rFonts w:asciiTheme="minorHAnsi" w:eastAsiaTheme="minorEastAsia" w:hAnsiTheme="minorHAnsi" w:cstheme="minorBidi"/>
          <w:szCs w:val="22"/>
        </w:rPr>
      </w:pPr>
      <w:r>
        <w:t>30.</w:t>
      </w:r>
      <w:r>
        <w:tab/>
        <w:t>Miscellaneous modifications</w:t>
      </w:r>
      <w:r>
        <w:tab/>
      </w:r>
      <w:r>
        <w:fldChar w:fldCharType="begin"/>
      </w:r>
      <w:r>
        <w:instrText xml:space="preserve"> PAGEREF _Toc204242450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_Toc204242451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Privacy Act</w:t>
      </w:r>
    </w:p>
    <w:p>
      <w:pPr>
        <w:pStyle w:val="TOC8"/>
        <w:rPr>
          <w:rFonts w:asciiTheme="minorHAnsi" w:eastAsiaTheme="minorEastAsia" w:hAnsiTheme="minorHAnsi" w:cstheme="minorBidi"/>
          <w:szCs w:val="22"/>
        </w:rPr>
      </w:pPr>
      <w:r>
        <w:t>32.</w:t>
      </w:r>
      <w:r>
        <w:tab/>
        <w:t>Who is a contracted service provider</w:t>
      </w:r>
      <w:r>
        <w:tab/>
      </w:r>
      <w:r>
        <w:fldChar w:fldCharType="begin"/>
      </w:r>
      <w:r>
        <w:instrText xml:space="preserve"> PAGEREF _Toc204242453 \h </w:instrText>
      </w:r>
      <w:r>
        <w:fldChar w:fldCharType="separate"/>
      </w:r>
      <w:r>
        <w:t>26</w:t>
      </w:r>
      <w:r>
        <w:fldChar w:fldCharType="end"/>
      </w:r>
    </w:p>
    <w:p>
      <w:pPr>
        <w:pStyle w:val="TOC8"/>
        <w:rPr>
          <w:rFonts w:asciiTheme="minorHAnsi" w:eastAsiaTheme="minorEastAsia" w:hAnsiTheme="minorHAnsi" w:cstheme="minorBidi"/>
          <w:szCs w:val="22"/>
        </w:rPr>
      </w:pPr>
      <w:r>
        <w:t>33.</w:t>
      </w:r>
      <w:r>
        <w:tab/>
        <w:t>Application of Privacy Act</w:t>
      </w:r>
      <w:r>
        <w:tab/>
      </w:r>
      <w:r>
        <w:fldChar w:fldCharType="begin"/>
      </w:r>
      <w:r>
        <w:instrText xml:space="preserve"> PAGEREF _Toc204242454 \h </w:instrText>
      </w:r>
      <w:r>
        <w:fldChar w:fldCharType="separate"/>
      </w:r>
      <w:r>
        <w:t>26</w:t>
      </w:r>
      <w:r>
        <w:fldChar w:fldCharType="end"/>
      </w:r>
    </w:p>
    <w:p>
      <w:pPr>
        <w:pStyle w:val="TOC8"/>
        <w:rPr>
          <w:rFonts w:asciiTheme="minorHAnsi" w:eastAsiaTheme="minorEastAsia" w:hAnsiTheme="minorHAnsi" w:cstheme="minorBidi"/>
          <w:szCs w:val="22"/>
        </w:rPr>
      </w:pPr>
      <w:r>
        <w:t>34.</w:t>
      </w:r>
      <w:r>
        <w:tab/>
        <w:t>References in Privacy Act to particular terms</w:t>
      </w:r>
      <w:r>
        <w:tab/>
      </w:r>
      <w:r>
        <w:fldChar w:fldCharType="begin"/>
      </w:r>
      <w:r>
        <w:instrText xml:space="preserve"> PAGEREF _Toc204242455 \h </w:instrText>
      </w:r>
      <w:r>
        <w:fldChar w:fldCharType="separate"/>
      </w:r>
      <w:r>
        <w:t>26</w:t>
      </w:r>
      <w:r>
        <w:fldChar w:fldCharType="end"/>
      </w:r>
    </w:p>
    <w:p>
      <w:pPr>
        <w:pStyle w:val="TOC8"/>
        <w:rPr>
          <w:rFonts w:asciiTheme="minorHAnsi" w:eastAsiaTheme="minorEastAsia" w:hAnsiTheme="minorHAnsi" w:cstheme="minorBidi"/>
          <w:szCs w:val="22"/>
        </w:rPr>
      </w:pPr>
      <w:r>
        <w:t>35.</w:t>
      </w:r>
      <w:r>
        <w:tab/>
        <w:t>Modifications relating to National Agency and National Boards</w:t>
      </w:r>
      <w:r>
        <w:tab/>
      </w:r>
      <w:r>
        <w:fldChar w:fldCharType="begin"/>
      </w:r>
      <w:r>
        <w:instrText xml:space="preserve"> PAGEREF _Toc204242456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about financial matters</w:t>
      </w:r>
      <w:r>
        <w:tab/>
      </w:r>
      <w:r>
        <w:fldChar w:fldCharType="begin"/>
      </w:r>
      <w:r>
        <w:instrText xml:space="preserve"> PAGEREF _Toc204242457 \h </w:instrText>
      </w:r>
      <w:r>
        <w:fldChar w:fldCharType="separate"/>
      </w:r>
      <w:r>
        <w:t>29</w:t>
      </w:r>
      <w:r>
        <w:fldChar w:fldCharType="end"/>
      </w:r>
    </w:p>
    <w:p>
      <w:pPr>
        <w:pStyle w:val="TOC8"/>
        <w:rPr>
          <w:rFonts w:asciiTheme="minorHAnsi" w:eastAsiaTheme="minorEastAsia" w:hAnsiTheme="minorHAnsi" w:cstheme="minorBidi"/>
          <w:szCs w:val="22"/>
        </w:rPr>
      </w:pPr>
      <w:r>
        <w:t>37.</w:t>
      </w:r>
      <w:r>
        <w:tab/>
        <w:t>Modifications about public interest determinations</w:t>
      </w:r>
      <w:r>
        <w:tab/>
      </w:r>
      <w:r>
        <w:fldChar w:fldCharType="begin"/>
      </w:r>
      <w:r>
        <w:instrText xml:space="preserve"> PAGEREF _Toc204242458 \h </w:instrText>
      </w:r>
      <w:r>
        <w:fldChar w:fldCharType="separate"/>
      </w:r>
      <w:r>
        <w:t>30</w:t>
      </w:r>
      <w:r>
        <w:fldChar w:fldCharType="end"/>
      </w:r>
    </w:p>
    <w:p>
      <w:pPr>
        <w:pStyle w:val="TOC8"/>
        <w:rPr>
          <w:rFonts w:asciiTheme="minorHAnsi" w:eastAsiaTheme="minorEastAsia" w:hAnsiTheme="minorHAnsi" w:cstheme="minorBidi"/>
          <w:szCs w:val="22"/>
        </w:rPr>
      </w:pPr>
      <w:r>
        <w:t>38.</w:t>
      </w:r>
      <w:r>
        <w:tab/>
        <w:t>Miscellaneous modifications</w:t>
      </w:r>
      <w:r>
        <w:tab/>
      </w:r>
      <w:r>
        <w:fldChar w:fldCharType="begin"/>
      </w:r>
      <w:r>
        <w:instrText xml:space="preserve"> PAGEREF _Toc204242459 \h </w:instrText>
      </w:r>
      <w:r>
        <w:fldChar w:fldCharType="separate"/>
      </w:r>
      <w:r>
        <w:t>31</w:t>
      </w:r>
      <w:r>
        <w:fldChar w:fldCharType="end"/>
      </w:r>
    </w:p>
    <w:p>
      <w:pPr>
        <w:pStyle w:val="TOC8"/>
        <w:rPr>
          <w:rFonts w:asciiTheme="minorHAnsi" w:eastAsiaTheme="minorEastAsia" w:hAnsiTheme="minorHAnsi" w:cstheme="minorBidi"/>
          <w:szCs w:val="22"/>
        </w:rPr>
      </w:pPr>
      <w:r>
        <w:t>39.</w:t>
      </w:r>
      <w:r>
        <w:tab/>
        <w:t>Regulations</w:t>
      </w:r>
      <w:r>
        <w:tab/>
      </w:r>
      <w:r>
        <w:fldChar w:fldCharType="begin"/>
      </w:r>
      <w:r>
        <w:instrText xml:space="preserve"> PAGEREF _Toc204242460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40.</w:t>
      </w:r>
      <w:r>
        <w:tab/>
        <w:t>Transition period in relation to professional indemnity insurance arrangements for midwives practising private midwifery</w:t>
      </w:r>
      <w:r>
        <w:tab/>
      </w:r>
      <w:r>
        <w:fldChar w:fldCharType="begin"/>
      </w:r>
      <w:r>
        <w:instrText xml:space="preserve"> PAGEREF _Toc204242462 \h </w:instrText>
      </w:r>
      <w:r>
        <w:fldChar w:fldCharType="separate"/>
      </w:r>
      <w:r>
        <w:t>33</w:t>
      </w:r>
      <w:r>
        <w:fldChar w:fldCharType="end"/>
      </w:r>
    </w:p>
    <w:p>
      <w:pPr>
        <w:pStyle w:val="TOC8"/>
        <w:rPr>
          <w:rFonts w:asciiTheme="minorHAnsi" w:eastAsiaTheme="minorEastAsia" w:hAnsiTheme="minorHAnsi" w:cstheme="minorBidi"/>
          <w:szCs w:val="22"/>
        </w:rPr>
      </w:pPr>
      <w:r>
        <w:t>41.</w:t>
      </w:r>
      <w:r>
        <w:tab/>
        <w:t>Prescribed participation day for registration in paramedicine</w:t>
      </w:r>
      <w:r>
        <w:tab/>
      </w:r>
      <w:r>
        <w:fldChar w:fldCharType="begin"/>
      </w:r>
      <w:r>
        <w:instrText xml:space="preserve"> PAGEREF _Toc204242463 \h </w:instrText>
      </w:r>
      <w:r>
        <w:fldChar w:fldCharType="separate"/>
      </w:r>
      <w:r>
        <w:t>33</w:t>
      </w:r>
      <w:r>
        <w:fldChar w:fldCharType="end"/>
      </w:r>
    </w:p>
    <w:p>
      <w:pPr>
        <w:pStyle w:val="TOC8"/>
        <w:rPr>
          <w:rFonts w:asciiTheme="minorHAnsi" w:eastAsiaTheme="minorEastAsia" w:hAnsiTheme="minorHAnsi" w:cstheme="minorBidi"/>
          <w:szCs w:val="22"/>
        </w:rPr>
      </w:pPr>
      <w:r>
        <w:t>41A.</w:t>
      </w:r>
      <w:r>
        <w:tab/>
        <w:t>Prescribed qualification for general registration in paramedicine</w:t>
      </w:r>
      <w:r>
        <w:tab/>
      </w:r>
      <w:r>
        <w:fldChar w:fldCharType="begin"/>
      </w:r>
      <w:r>
        <w:instrText xml:space="preserve"> PAGEREF _Toc204242464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repeal</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_Toc204242467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43.</w:t>
      </w:r>
      <w:r>
        <w:tab/>
        <w:t>Definitions for Division</w:t>
      </w:r>
      <w:r>
        <w:tab/>
      </w:r>
      <w:r>
        <w:fldChar w:fldCharType="begin"/>
      </w:r>
      <w:r>
        <w:instrText xml:space="preserve"> PAGEREF _Toc204242469 \h </w:instrText>
      </w:r>
      <w:r>
        <w:fldChar w:fldCharType="separate"/>
      </w:r>
      <w:r>
        <w:t>34</w:t>
      </w:r>
      <w:r>
        <w:fldChar w:fldCharType="end"/>
      </w:r>
    </w:p>
    <w:p>
      <w:pPr>
        <w:pStyle w:val="TOC8"/>
        <w:rPr>
          <w:rFonts w:asciiTheme="minorHAnsi" w:eastAsiaTheme="minorEastAsia" w:hAnsiTheme="minorHAnsi" w:cstheme="minorBidi"/>
          <w:szCs w:val="22"/>
        </w:rPr>
      </w:pPr>
      <w:r>
        <w:t>44.</w:t>
      </w:r>
      <w:r>
        <w:tab/>
        <w:t>Transitional provision for continued Boards</w:t>
      </w:r>
      <w:r>
        <w:tab/>
      </w:r>
      <w:r>
        <w:fldChar w:fldCharType="begin"/>
      </w:r>
      <w:r>
        <w:instrText xml:space="preserve"> PAGEREF _Toc204242470 \h </w:instrText>
      </w:r>
      <w:r>
        <w:fldChar w:fldCharType="separate"/>
      </w:r>
      <w:r>
        <w:t>35</w:t>
      </w:r>
      <w:r>
        <w:fldChar w:fldCharType="end"/>
      </w:r>
    </w:p>
    <w:p>
      <w:pPr>
        <w:pStyle w:val="TOC8"/>
        <w:rPr>
          <w:rFonts w:asciiTheme="minorHAnsi" w:eastAsiaTheme="minorEastAsia" w:hAnsiTheme="minorHAnsi" w:cstheme="minorBidi"/>
          <w:szCs w:val="22"/>
        </w:rPr>
      </w:pPr>
      <w:r>
        <w:t>45.</w:t>
      </w:r>
      <w:r>
        <w:tab/>
        <w:t>Continuation of existing appointment and employment of National Health Practitioner Privacy Commissioner</w:t>
      </w:r>
      <w:r>
        <w:tab/>
      </w:r>
      <w:r>
        <w:fldChar w:fldCharType="begin"/>
      </w:r>
      <w:r>
        <w:instrText xml:space="preserve"> PAGEREF _Toc204242471 \h </w:instrText>
      </w:r>
      <w:r>
        <w:fldChar w:fldCharType="separate"/>
      </w:r>
      <w:r>
        <w:t>35</w:t>
      </w:r>
      <w:r>
        <w:fldChar w:fldCharType="end"/>
      </w:r>
    </w:p>
    <w:p>
      <w:pPr>
        <w:pStyle w:val="TOC8"/>
        <w:rPr>
          <w:rFonts w:asciiTheme="minorHAnsi" w:eastAsiaTheme="minorEastAsia" w:hAnsiTheme="minorHAnsi" w:cstheme="minorBidi"/>
          <w:szCs w:val="22"/>
        </w:rPr>
      </w:pPr>
      <w:r>
        <w:t>46.</w:t>
      </w:r>
      <w:r>
        <w:tab/>
        <w:t>Continuation of existing appointment and employment of National Health Practitioner Ombudsman</w:t>
      </w:r>
      <w:r>
        <w:tab/>
      </w:r>
      <w:r>
        <w:fldChar w:fldCharType="begin"/>
      </w:r>
      <w:r>
        <w:instrText xml:space="preserve"> PAGEREF _Toc204242472 \h </w:instrText>
      </w:r>
      <w:r>
        <w:fldChar w:fldCharType="separate"/>
      </w:r>
      <w:r>
        <w:t>36</w:t>
      </w:r>
      <w:r>
        <w:fldChar w:fldCharType="end"/>
      </w:r>
    </w:p>
    <w:p>
      <w:pPr>
        <w:pStyle w:val="TOC8"/>
        <w:rPr>
          <w:rFonts w:asciiTheme="minorHAnsi" w:eastAsiaTheme="minorEastAsia" w:hAnsiTheme="minorHAnsi" w:cstheme="minorBidi"/>
          <w:szCs w:val="22"/>
        </w:rPr>
      </w:pPr>
      <w:r>
        <w:t>47.</w:t>
      </w:r>
      <w:r>
        <w:tab/>
        <w:t>Acting Commissioner under the Privacy Act</w:t>
      </w:r>
      <w:r>
        <w:tab/>
      </w:r>
      <w:r>
        <w:fldChar w:fldCharType="begin"/>
      </w:r>
      <w:r>
        <w:instrText xml:space="preserve"> PAGEREF _Toc204242473 \h </w:instrText>
      </w:r>
      <w:r>
        <w:fldChar w:fldCharType="separate"/>
      </w:r>
      <w:r>
        <w:t>36</w:t>
      </w:r>
      <w:r>
        <w:fldChar w:fldCharType="end"/>
      </w:r>
    </w:p>
    <w:p>
      <w:pPr>
        <w:pStyle w:val="TOC8"/>
        <w:rPr>
          <w:rFonts w:asciiTheme="minorHAnsi" w:eastAsiaTheme="minorEastAsia" w:hAnsiTheme="minorHAnsi" w:cstheme="minorBidi"/>
          <w:szCs w:val="22"/>
        </w:rPr>
      </w:pPr>
      <w:r>
        <w:t>48.</w:t>
      </w:r>
      <w:r>
        <w:tab/>
        <w:t>Applications for access to a document</w:t>
      </w:r>
      <w:r>
        <w:tab/>
      </w:r>
      <w:r>
        <w:fldChar w:fldCharType="begin"/>
      </w:r>
      <w:r>
        <w:instrText xml:space="preserve"> PAGEREF _Toc204242474 \h </w:instrText>
      </w:r>
      <w:r>
        <w:fldChar w:fldCharType="separate"/>
      </w:r>
      <w:r>
        <w:t>36</w:t>
      </w:r>
      <w:r>
        <w:fldChar w:fldCharType="end"/>
      </w:r>
    </w:p>
    <w:p>
      <w:pPr>
        <w:pStyle w:val="TOC8"/>
        <w:rPr>
          <w:rFonts w:asciiTheme="minorHAnsi" w:eastAsiaTheme="minorEastAsia" w:hAnsiTheme="minorHAnsi" w:cstheme="minorBidi"/>
          <w:szCs w:val="22"/>
        </w:rPr>
      </w:pPr>
      <w:r>
        <w:t>49.</w:t>
      </w:r>
      <w:r>
        <w:tab/>
        <w:t>Applications for internal review of access refusal decision</w:t>
      </w:r>
      <w:r>
        <w:tab/>
      </w:r>
      <w:r>
        <w:fldChar w:fldCharType="begin"/>
      </w:r>
      <w:r>
        <w:instrText xml:space="preserve"> PAGEREF _Toc204242475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_Toc204242477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_Toc204242478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rPr>
          <w:bCs/>
        </w:rPr>
        <w:lastRenderedPageBreak/>
        <w:t>Health Practitioner Regulation National Law Application Act 2024</w:t>
      </w:r>
    </w:p>
    <w:p>
      <w:pPr>
        <w:pStyle w:val="NameofActReg"/>
      </w:pPr>
      <w:r>
        <w:rPr>
          <w:bCs/>
        </w:rPr>
        <w:t>Health Practitioner Regulation National Law Regulation (Western Australia)</w:t>
      </w:r>
    </w:p>
    <w:p>
      <w:pPr>
        <w:pStyle w:val="Heading2"/>
        <w:pageBreakBefore w:val="0"/>
      </w:pPr>
      <w:bookmarkStart w:id="2" w:name="_Toc152828839"/>
      <w:bookmarkStart w:id="3" w:name="_Toc152829946"/>
      <w:bookmarkStart w:id="4" w:name="_Toc152833176"/>
      <w:bookmarkStart w:id="5" w:name="_Toc204079232"/>
      <w:bookmarkStart w:id="6" w:name="_Toc204081119"/>
      <w:bookmarkStart w:id="7" w:name="_Toc204183138"/>
      <w:bookmarkStart w:id="8" w:name="_Toc2042424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04242417"/>
      <w:r>
        <w:rPr>
          <w:rStyle w:val="CharSectno"/>
        </w:rPr>
        <w:t>1</w:t>
      </w:r>
      <w:r>
        <w:t>.</w:t>
      </w:r>
      <w:r>
        <w:tab/>
        <w:t>Short title</w:t>
      </w:r>
      <w:bookmarkEnd w:id="9"/>
    </w:p>
    <w:p>
      <w:pPr>
        <w:pStyle w:val="Subsection"/>
      </w:pPr>
      <w:r>
        <w:tab/>
      </w:r>
      <w:r>
        <w:tab/>
        <w:t>This Regulation may be cited as the</w:t>
      </w:r>
      <w:r>
        <w:rPr>
          <w:i/>
        </w:rPr>
        <w:t xml:space="preserve"> Health Practitioner Regulation National Law Regulation (Western Australia)</w:t>
      </w:r>
      <w:r>
        <w:t>.</w:t>
      </w:r>
    </w:p>
    <w:p>
      <w:pPr>
        <w:pStyle w:val="PermNoteHeading"/>
      </w:pPr>
      <w:r>
        <w:tab/>
      </w:r>
      <w:r>
        <w:fldChar w:fldCharType="begin"/>
      </w:r>
      <w:r>
        <w:instrText xml:space="preserve"> LISTNUM PermanentNotesNumbering \l 1 </w:instrText>
      </w:r>
      <w:r>
        <w:fldChar w:fldCharType="end"/>
      </w:r>
      <w:r>
        <w:t xml:space="preserve">[Editorial note: </w:t>
      </w:r>
    </w:p>
    <w:p>
      <w:pPr>
        <w:pStyle w:val="PermNoteText"/>
      </w:pPr>
      <w:r>
        <w:tab/>
      </w:r>
      <w:r>
        <w:tab/>
        <w:t xml:space="preserve">This regulation applies as subsidiary legislation in Western Australia under the </w:t>
      </w:r>
      <w:r>
        <w:rPr>
          <w:i/>
          <w:iCs/>
        </w:rPr>
        <w:t>Health Practitioner Regulation National Law Application Act 2024</w:t>
      </w:r>
      <w:r>
        <w:t xml:space="preserve"> section 12.]</w:t>
      </w:r>
    </w:p>
    <w:p>
      <w:pPr>
        <w:pStyle w:val="Heading5"/>
      </w:pPr>
      <w:bookmarkStart w:id="10" w:name="_Toc204242418"/>
      <w:r>
        <w:rPr>
          <w:rStyle w:val="CharSectno"/>
        </w:rPr>
        <w:t>2</w:t>
      </w:r>
      <w:r>
        <w:t>.</w:t>
      </w:r>
      <w:r>
        <w:tab/>
        <w:t>Commencement</w:t>
      </w:r>
      <w:bookmarkEnd w:id="10"/>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1" w:name="_Toc204242419"/>
      <w:r>
        <w:rPr>
          <w:rStyle w:val="CharSectno"/>
        </w:rPr>
        <w:t>3</w:t>
      </w:r>
      <w:r>
        <w:t>.</w:t>
      </w:r>
      <w:r>
        <w:tab/>
        <w:t>Definitions</w:t>
      </w:r>
      <w:bookmarkEnd w:id="11"/>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lastRenderedPageBreak/>
        <w:tab/>
      </w:r>
      <w:r>
        <w:rPr>
          <w:rStyle w:val="CharDefText"/>
        </w:rPr>
        <w:t>Gazette</w:t>
      </w:r>
      <w:r>
        <w:t xml:space="preserve">, for Western Australia, see section 5 of the </w:t>
      </w:r>
      <w:r>
        <w:rPr>
          <w:i/>
        </w:rPr>
        <w:t>Interpretation Act 1984</w:t>
      </w:r>
      <w:r>
        <w:t xml:space="preserve"> of Western Australia.</w:t>
      </w:r>
    </w:p>
    <w:p>
      <w:pPr>
        <w:pStyle w:val="Defstart"/>
      </w:pPr>
      <w:r>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lastRenderedPageBreak/>
        <w:tab/>
        <w:t>(c)</w:t>
      </w:r>
      <w:r>
        <w:tab/>
        <w:t xml:space="preserve">the South Australian Civil and Administrative Tribunal established under the </w:t>
      </w:r>
      <w:r>
        <w:rPr>
          <w:i/>
        </w:rPr>
        <w:t>South Australian Civil and Administrative Tribunal Act 2013</w:t>
      </w:r>
      <w:r>
        <w:t xml:space="preserve"> of South Australia; </w:t>
      </w:r>
    </w:p>
    <w:p>
      <w:pPr>
        <w:pStyle w:val="Defpara"/>
      </w:pPr>
      <w:r>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pPr>
      <w:r>
        <w:tab/>
        <w:t>[Section 3 amended: Gazette 2 Feb 2023 p. 116.]</w:t>
      </w:r>
    </w:p>
    <w:p>
      <w:pPr>
        <w:pStyle w:val="Heading2"/>
      </w:pPr>
      <w:bookmarkStart w:id="12" w:name="_Toc152828843"/>
      <w:bookmarkStart w:id="13" w:name="_Toc152829950"/>
      <w:bookmarkStart w:id="14" w:name="_Toc152833180"/>
      <w:bookmarkStart w:id="15" w:name="_Toc204079236"/>
      <w:bookmarkStart w:id="16" w:name="_Toc204081123"/>
      <w:bookmarkStart w:id="17" w:name="_Toc204183142"/>
      <w:bookmarkStart w:id="18" w:name="_Toc204242420"/>
      <w:r>
        <w:rPr>
          <w:rStyle w:val="CharPartNo"/>
        </w:rPr>
        <w:lastRenderedPageBreak/>
        <w:t>Part 2</w:t>
      </w:r>
      <w:r>
        <w:rPr>
          <w:rStyle w:val="CharDivNo"/>
        </w:rPr>
        <w:t> </w:t>
      </w:r>
      <w:r>
        <w:t>—</w:t>
      </w:r>
      <w:r>
        <w:rPr>
          <w:rStyle w:val="CharDivText"/>
        </w:rPr>
        <w:t> </w:t>
      </w:r>
      <w:r>
        <w:rPr>
          <w:rStyle w:val="CharPartText"/>
        </w:rPr>
        <w:t>National Boards and registers</w:t>
      </w:r>
      <w:bookmarkEnd w:id="12"/>
      <w:bookmarkEnd w:id="13"/>
      <w:bookmarkEnd w:id="14"/>
      <w:bookmarkEnd w:id="15"/>
      <w:bookmarkEnd w:id="16"/>
      <w:bookmarkEnd w:id="17"/>
      <w:bookmarkEnd w:id="18"/>
      <w:r>
        <w:t xml:space="preserve"> </w:t>
      </w:r>
    </w:p>
    <w:p>
      <w:pPr>
        <w:pStyle w:val="Heading5"/>
        <w:rPr>
          <w:snapToGrid w:val="0"/>
        </w:rPr>
      </w:pPr>
      <w:bookmarkStart w:id="19" w:name="_Toc204242421"/>
      <w:r>
        <w:rPr>
          <w:rStyle w:val="CharSectno"/>
        </w:rPr>
        <w:t>4</w:t>
      </w:r>
      <w:r>
        <w:t>.</w:t>
      </w:r>
      <w:r>
        <w:rPr>
          <w:snapToGrid w:val="0"/>
        </w:rPr>
        <w:tab/>
        <w:t>National Boards for health professions</w:t>
      </w:r>
      <w:bookmarkEnd w:id="19"/>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lastRenderedPageBreak/>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20" w:name="_Toc204242422"/>
      <w:r>
        <w:rPr>
          <w:rStyle w:val="CharSectno"/>
        </w:rPr>
        <w:t>5</w:t>
      </w:r>
      <w:r>
        <w:t>.</w:t>
      </w:r>
      <w:r>
        <w:tab/>
        <w:t>National Boards required to keep public national registers</w:t>
      </w:r>
      <w:bookmarkEnd w:id="20"/>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lastRenderedPageBreak/>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21" w:name="_Toc152828846"/>
      <w:bookmarkStart w:id="22" w:name="_Toc152829953"/>
      <w:bookmarkStart w:id="23" w:name="_Toc152833183"/>
      <w:bookmarkStart w:id="24" w:name="_Toc204079239"/>
      <w:bookmarkStart w:id="25" w:name="_Toc204081126"/>
      <w:bookmarkStart w:id="26" w:name="_Toc204183145"/>
      <w:bookmarkStart w:id="27" w:name="_Toc204242423"/>
      <w:r>
        <w:rPr>
          <w:rStyle w:val="CharPartNo"/>
        </w:rPr>
        <w:lastRenderedPageBreak/>
        <w:t>Part 3</w:t>
      </w:r>
      <w:r>
        <w:rPr>
          <w:rStyle w:val="CharDivNo"/>
        </w:rPr>
        <w:t> </w:t>
      </w:r>
      <w:r>
        <w:t>—</w:t>
      </w:r>
      <w:r>
        <w:rPr>
          <w:rStyle w:val="CharDivText"/>
        </w:rPr>
        <w:t> </w:t>
      </w:r>
      <w:r>
        <w:rPr>
          <w:rStyle w:val="CharPartText"/>
        </w:rPr>
        <w:t>Application of AIC Act</w:t>
      </w:r>
      <w:bookmarkEnd w:id="21"/>
      <w:bookmarkEnd w:id="22"/>
      <w:bookmarkEnd w:id="23"/>
      <w:bookmarkEnd w:id="24"/>
      <w:bookmarkEnd w:id="25"/>
      <w:bookmarkEnd w:id="26"/>
      <w:bookmarkEnd w:id="27"/>
    </w:p>
    <w:p>
      <w:pPr>
        <w:pStyle w:val="Heading5"/>
      </w:pPr>
      <w:bookmarkStart w:id="28" w:name="_Toc204242424"/>
      <w:r>
        <w:rPr>
          <w:rStyle w:val="CharSectno"/>
        </w:rPr>
        <w:t>6</w:t>
      </w:r>
      <w:r>
        <w:t>.</w:t>
      </w:r>
      <w:r>
        <w:tab/>
        <w:t>Application of AIC Act</w:t>
      </w:r>
      <w:bookmarkEnd w:id="28"/>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29" w:name="_Toc204242425"/>
      <w:r>
        <w:rPr>
          <w:rStyle w:val="CharSectno"/>
        </w:rPr>
        <w:t>7</w:t>
      </w:r>
      <w:r>
        <w:t>.</w:t>
      </w:r>
      <w:r>
        <w:tab/>
        <w:t>References in AIC Act to particular terms</w:t>
      </w:r>
      <w:bookmarkEnd w:id="29"/>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30" w:name="_Toc204242426"/>
      <w:r>
        <w:rPr>
          <w:rStyle w:val="CharSectno"/>
        </w:rPr>
        <w:t>8</w:t>
      </w:r>
      <w:r>
        <w:t>.</w:t>
      </w:r>
      <w:r>
        <w:tab/>
        <w:t>Modifications relating to appointment of National Health Practitioner Privacy Commissioner and staff</w:t>
      </w:r>
      <w:bookmarkEnd w:id="30"/>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 xml:space="preserve">the provisions about the appointment, and the general terms and conditions of service, of information officers (other than the provisions </w:t>
      </w:r>
      <w:r>
        <w:lastRenderedPageBreak/>
        <w:t>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31" w:name="_Toc204242427"/>
      <w:r>
        <w:rPr>
          <w:rStyle w:val="CharSectno"/>
        </w:rPr>
        <w:t>9</w:t>
      </w:r>
      <w:r>
        <w:t>.</w:t>
      </w:r>
      <w:r>
        <w:tab/>
        <w:t>Modifications about financial matters</w:t>
      </w:r>
      <w:bookmarkEnd w:id="31"/>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lastRenderedPageBreak/>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2" w:name="_Toc204242428"/>
      <w:r>
        <w:rPr>
          <w:rStyle w:val="CharSectno"/>
        </w:rPr>
        <w:t>10</w:t>
      </w:r>
      <w:r>
        <w:t>.</w:t>
      </w:r>
      <w:r>
        <w:tab/>
        <w:t>Modifications about annual report</w:t>
      </w:r>
      <w:bookmarkEnd w:id="32"/>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lastRenderedPageBreak/>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33" w:name="_Toc204242429"/>
      <w:r>
        <w:rPr>
          <w:rStyle w:val="CharSectno"/>
        </w:rPr>
        <w:t>11</w:t>
      </w:r>
      <w:r>
        <w:t>.</w:t>
      </w:r>
      <w:r>
        <w:tab/>
        <w:t>Miscellaneous modifications</w:t>
      </w:r>
      <w:bookmarkEnd w:id="33"/>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lastRenderedPageBreak/>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lastRenderedPageBreak/>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34" w:name="_Toc204242430"/>
      <w:r>
        <w:rPr>
          <w:rStyle w:val="CharSectno"/>
        </w:rPr>
        <w:t>12</w:t>
      </w:r>
      <w:r>
        <w:t>.</w:t>
      </w:r>
      <w:r>
        <w:tab/>
        <w:t>Regulations</w:t>
      </w:r>
      <w:bookmarkEnd w:id="34"/>
      <w:r>
        <w:t xml:space="preserve"> </w:t>
      </w:r>
    </w:p>
    <w:p>
      <w:pPr>
        <w:pStyle w:val="Subsection"/>
      </w:pPr>
      <w:r>
        <w:tab/>
      </w:r>
      <w:r>
        <w:tab/>
        <w:t>The Regulations made under the AIC Act do not apply.</w:t>
      </w:r>
    </w:p>
    <w:p>
      <w:pPr>
        <w:pStyle w:val="Heading2"/>
      </w:pPr>
      <w:bookmarkStart w:id="35" w:name="_Toc152828854"/>
      <w:bookmarkStart w:id="36" w:name="_Toc152829961"/>
      <w:bookmarkStart w:id="37" w:name="_Toc152833191"/>
      <w:bookmarkStart w:id="38" w:name="_Toc204079247"/>
      <w:bookmarkStart w:id="39" w:name="_Toc204081134"/>
      <w:bookmarkStart w:id="40" w:name="_Toc204183153"/>
      <w:bookmarkStart w:id="41" w:name="_Toc204242431"/>
      <w:r>
        <w:rPr>
          <w:rStyle w:val="CharPartNo"/>
        </w:rPr>
        <w:lastRenderedPageBreak/>
        <w:t>Part 4</w:t>
      </w:r>
      <w:r>
        <w:rPr>
          <w:rStyle w:val="CharDivNo"/>
        </w:rPr>
        <w:t> </w:t>
      </w:r>
      <w:r>
        <w:t>—</w:t>
      </w:r>
      <w:r>
        <w:rPr>
          <w:rStyle w:val="CharDivText"/>
        </w:rPr>
        <w:t> </w:t>
      </w:r>
      <w:r>
        <w:rPr>
          <w:rStyle w:val="CharPartText"/>
        </w:rPr>
        <w:t>Application of FOI Act</w:t>
      </w:r>
      <w:bookmarkEnd w:id="35"/>
      <w:bookmarkEnd w:id="36"/>
      <w:bookmarkEnd w:id="37"/>
      <w:bookmarkEnd w:id="38"/>
      <w:bookmarkEnd w:id="39"/>
      <w:bookmarkEnd w:id="40"/>
      <w:bookmarkEnd w:id="41"/>
    </w:p>
    <w:p>
      <w:pPr>
        <w:pStyle w:val="Heading5"/>
      </w:pPr>
      <w:bookmarkStart w:id="42" w:name="_Toc204242432"/>
      <w:r>
        <w:rPr>
          <w:rStyle w:val="CharSectno"/>
        </w:rPr>
        <w:t>13</w:t>
      </w:r>
      <w:r>
        <w:t>.</w:t>
      </w:r>
      <w:r>
        <w:tab/>
        <w:t>Application of FOI Act</w:t>
      </w:r>
      <w:bookmarkEnd w:id="42"/>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43" w:name="_Toc204242433"/>
      <w:r>
        <w:rPr>
          <w:rStyle w:val="CharSectno"/>
        </w:rPr>
        <w:t>14</w:t>
      </w:r>
      <w:r>
        <w:t>.</w:t>
      </w:r>
      <w:r>
        <w:tab/>
        <w:t>References in FOI Act to particular terms</w:t>
      </w:r>
      <w:bookmarkEnd w:id="43"/>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r>
        <w:noBreakHyphen/>
        <w:t xml:space="preserve">General of Intelligence and Security) were a </w:t>
      </w:r>
      <w:r>
        <w:lastRenderedPageBreak/>
        <w:t>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44" w:name="_Toc204242434"/>
      <w:r>
        <w:rPr>
          <w:rStyle w:val="CharSectno"/>
        </w:rPr>
        <w:t>15</w:t>
      </w:r>
      <w:r>
        <w:t>.</w:t>
      </w:r>
      <w:r>
        <w:tab/>
        <w:t>Modifications relating to National Agency and National Boards</w:t>
      </w:r>
      <w:bookmarkEnd w:id="44"/>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lastRenderedPageBreak/>
        <w:tab/>
        <w:t>(f)</w:t>
      </w:r>
      <w:r>
        <w:tab/>
        <w:t xml:space="preserve">the requirement to first complete a review of the operation in an agency of the information publication scheme is a requirement for the review to be complete by 1 June 2024. </w:t>
      </w:r>
    </w:p>
    <w:p>
      <w:pPr>
        <w:pStyle w:val="Footnotesection"/>
      </w:pPr>
      <w:r>
        <w:tab/>
        <w:t>[Section 15 amended: Gazette 2 Feb 2023 p. 116.]</w:t>
      </w:r>
    </w:p>
    <w:p>
      <w:pPr>
        <w:pStyle w:val="Heading5"/>
      </w:pPr>
      <w:bookmarkStart w:id="45" w:name="_Toc204242435"/>
      <w:r>
        <w:rPr>
          <w:rStyle w:val="CharSectno"/>
        </w:rPr>
        <w:t>16</w:t>
      </w:r>
      <w:r>
        <w:t>.</w:t>
      </w:r>
      <w:r>
        <w:tab/>
        <w:t>Modifications relating to reports prepared by National  Health Practitioner Privacy Commissioner</w:t>
      </w:r>
      <w:bookmarkEnd w:id="45"/>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46" w:name="_Toc204242436"/>
      <w:r>
        <w:rPr>
          <w:rStyle w:val="CharSectno"/>
        </w:rPr>
        <w:t>17</w:t>
      </w:r>
      <w:r>
        <w:t>.</w:t>
      </w:r>
      <w:r>
        <w:tab/>
        <w:t>Modifications relating to Administrative Appeals Tribunal</w:t>
      </w:r>
      <w:bookmarkEnd w:id="46"/>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47" w:name="_Toc204242437"/>
      <w:r>
        <w:rPr>
          <w:rStyle w:val="CharSectno"/>
        </w:rPr>
        <w:t>18</w:t>
      </w:r>
      <w:r>
        <w:t>.</w:t>
      </w:r>
      <w:r>
        <w:tab/>
        <w:t>Modifications relating to Part VII of the FOI Act</w:t>
      </w:r>
      <w:bookmarkEnd w:id="47"/>
      <w:r>
        <w:t xml:space="preserve"> </w:t>
      </w:r>
    </w:p>
    <w:p>
      <w:pPr>
        <w:pStyle w:val="Subsection"/>
      </w:pPr>
      <w:r>
        <w:tab/>
      </w:r>
      <w:r>
        <w:tab/>
        <w:t xml:space="preserve">The FOI Act applies as if it were modified to provide that Part VII of the Act commences on 1 February 2019. </w:t>
      </w:r>
    </w:p>
    <w:p>
      <w:pPr>
        <w:pStyle w:val="Heading5"/>
      </w:pPr>
      <w:bookmarkStart w:id="48" w:name="_Toc204242438"/>
      <w:r>
        <w:rPr>
          <w:rStyle w:val="CharSectno"/>
        </w:rPr>
        <w:t>19</w:t>
      </w:r>
      <w:r>
        <w:t>.</w:t>
      </w:r>
      <w:r>
        <w:tab/>
        <w:t>Miscellaneous modifications</w:t>
      </w:r>
      <w:bookmarkEnd w:id="48"/>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w:t>
      </w:r>
      <w:r>
        <w:lastRenderedPageBreak/>
        <w:t xml:space="preserve">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49" w:name="_Toc204242439"/>
      <w:r>
        <w:rPr>
          <w:rStyle w:val="CharSectno"/>
        </w:rPr>
        <w:t>20</w:t>
      </w:r>
      <w:r>
        <w:t>.</w:t>
      </w:r>
      <w:r>
        <w:tab/>
        <w:t>Regulations</w:t>
      </w:r>
      <w:bookmarkEnd w:id="49"/>
      <w:r>
        <w:t xml:space="preserve"> </w:t>
      </w:r>
    </w:p>
    <w:p>
      <w:pPr>
        <w:pStyle w:val="Subsection"/>
      </w:pPr>
      <w:r>
        <w:tab/>
      </w:r>
      <w:r>
        <w:tab/>
        <w:t xml:space="preserve">The Regulations made under the FOI Act, other than the provisions providing for fees and charges, do not apply. </w:t>
      </w:r>
    </w:p>
    <w:p>
      <w:pPr>
        <w:pStyle w:val="Heading5"/>
      </w:pPr>
      <w:bookmarkStart w:id="50" w:name="_Toc204242440"/>
      <w:r>
        <w:rPr>
          <w:rStyle w:val="CharSectno"/>
        </w:rPr>
        <w:t>21</w:t>
      </w:r>
      <w:r>
        <w:t>.</w:t>
      </w:r>
      <w:r>
        <w:tab/>
        <w:t>Transitional provision for existing right of review by Administrative Appeals Tribunal</w:t>
      </w:r>
      <w:bookmarkEnd w:id="50"/>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lastRenderedPageBreak/>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51" w:name="_Toc204242441"/>
      <w:r>
        <w:rPr>
          <w:rStyle w:val="CharSectno"/>
        </w:rPr>
        <w:t>22</w:t>
      </w:r>
      <w:r>
        <w:t>.</w:t>
      </w:r>
      <w:r>
        <w:tab/>
        <w:t>Transitional provision for current obligation to publish information</w:t>
      </w:r>
      <w:bookmarkEnd w:id="51"/>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52" w:name="_Toc152828865"/>
      <w:bookmarkStart w:id="53" w:name="_Toc152829972"/>
      <w:bookmarkStart w:id="54" w:name="_Toc152833202"/>
      <w:bookmarkStart w:id="55" w:name="_Toc204079258"/>
      <w:bookmarkStart w:id="56" w:name="_Toc204081145"/>
      <w:bookmarkStart w:id="57" w:name="_Toc204183164"/>
      <w:bookmarkStart w:id="58" w:name="_Toc204242442"/>
      <w:r>
        <w:rPr>
          <w:rStyle w:val="CharPartNo"/>
        </w:rPr>
        <w:lastRenderedPageBreak/>
        <w:t>Part 5</w:t>
      </w:r>
      <w:r>
        <w:rPr>
          <w:rStyle w:val="CharDivNo"/>
        </w:rPr>
        <w:t> </w:t>
      </w:r>
      <w:r>
        <w:t>—</w:t>
      </w:r>
      <w:r>
        <w:rPr>
          <w:rStyle w:val="CharDivText"/>
        </w:rPr>
        <w:t> </w:t>
      </w:r>
      <w:r>
        <w:rPr>
          <w:rStyle w:val="CharPartText"/>
        </w:rPr>
        <w:t>Application of Ombudsman Act</w:t>
      </w:r>
      <w:bookmarkEnd w:id="52"/>
      <w:bookmarkEnd w:id="53"/>
      <w:bookmarkEnd w:id="54"/>
      <w:bookmarkEnd w:id="55"/>
      <w:bookmarkEnd w:id="56"/>
      <w:bookmarkEnd w:id="57"/>
      <w:bookmarkEnd w:id="58"/>
    </w:p>
    <w:p>
      <w:pPr>
        <w:pStyle w:val="Heading5"/>
      </w:pPr>
      <w:bookmarkStart w:id="59" w:name="_Toc204242443"/>
      <w:r>
        <w:rPr>
          <w:rStyle w:val="CharSectno"/>
        </w:rPr>
        <w:t>23</w:t>
      </w:r>
      <w:r>
        <w:t>.</w:t>
      </w:r>
      <w:r>
        <w:tab/>
        <w:t>Who is an agency service provider</w:t>
      </w:r>
      <w:bookmarkEnd w:id="59"/>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60" w:name="_Toc204242444"/>
      <w:r>
        <w:rPr>
          <w:rStyle w:val="CharSectno"/>
        </w:rPr>
        <w:t>24</w:t>
      </w:r>
      <w:r>
        <w:t>.</w:t>
      </w:r>
      <w:r>
        <w:tab/>
        <w:t>Application of Ombudsman Act</w:t>
      </w:r>
      <w:bookmarkEnd w:id="60"/>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61" w:name="_Toc204242445"/>
      <w:r>
        <w:rPr>
          <w:rStyle w:val="CharSectno"/>
        </w:rPr>
        <w:t>25</w:t>
      </w:r>
      <w:r>
        <w:t>.</w:t>
      </w:r>
      <w:r>
        <w:tab/>
        <w:t>References in Ombudsman Act to particular terms</w:t>
      </w:r>
      <w:bookmarkEnd w:id="61"/>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lastRenderedPageBreak/>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62" w:name="_Toc204242446"/>
      <w:r>
        <w:rPr>
          <w:rStyle w:val="CharSectno"/>
        </w:rPr>
        <w:t>26</w:t>
      </w:r>
      <w:r>
        <w:t>.</w:t>
      </w:r>
      <w:r>
        <w:tab/>
        <w:t>Modifications relating to National Agency and National Boards</w:t>
      </w:r>
      <w:bookmarkEnd w:id="62"/>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lastRenderedPageBreak/>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lastRenderedPageBreak/>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 prescribed authority specified in paragraph (b)(vi) or (vii) — the chief executive officer of the authority; and</w:t>
      </w:r>
    </w:p>
    <w:p>
      <w:pPr>
        <w:pStyle w:val="Indenti"/>
        <w:keepNext/>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certain provisions of the Act, including, for example, provisions providing for the Defence Force Ombudsman and Postal Industry Ombudsman do not apply.</w:t>
      </w:r>
    </w:p>
    <w:p>
      <w:pPr>
        <w:pStyle w:val="Footnotesection"/>
      </w:pPr>
      <w:r>
        <w:tab/>
        <w:t>[Section 26 amended: Gazette 2 Feb 2023 p. 116 and 117.]</w:t>
      </w:r>
    </w:p>
    <w:p>
      <w:pPr>
        <w:pStyle w:val="Heading5"/>
      </w:pPr>
      <w:bookmarkStart w:id="63" w:name="_Toc204242447"/>
      <w:r>
        <w:rPr>
          <w:rStyle w:val="CharSectno"/>
        </w:rPr>
        <w:t>27</w:t>
      </w:r>
      <w:r>
        <w:t>.</w:t>
      </w:r>
      <w:r>
        <w:tab/>
        <w:t>Modifications relating to appointment of National Health Practitioner Ombudsman and staff</w:t>
      </w:r>
      <w:bookmarkEnd w:id="63"/>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lastRenderedPageBreak/>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64" w:name="_Toc204242448"/>
      <w:r>
        <w:rPr>
          <w:rStyle w:val="CharSectno"/>
        </w:rPr>
        <w:lastRenderedPageBreak/>
        <w:t>28</w:t>
      </w:r>
      <w:r>
        <w:t>.</w:t>
      </w:r>
      <w:r>
        <w:tab/>
        <w:t>Modifications about financial matters</w:t>
      </w:r>
      <w:bookmarkEnd w:id="64"/>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65" w:name="_Toc204242449"/>
      <w:r>
        <w:rPr>
          <w:rStyle w:val="CharSectno"/>
        </w:rPr>
        <w:lastRenderedPageBreak/>
        <w:t>29</w:t>
      </w:r>
      <w:r>
        <w:t>.</w:t>
      </w:r>
      <w:r>
        <w:tab/>
        <w:t>Modifications about annual report</w:t>
      </w:r>
      <w:bookmarkEnd w:id="65"/>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66" w:name="_Toc204242450"/>
      <w:r>
        <w:rPr>
          <w:rStyle w:val="CharSectno"/>
        </w:rPr>
        <w:t>30</w:t>
      </w:r>
      <w:r>
        <w:t>.</w:t>
      </w:r>
      <w:r>
        <w:tab/>
        <w:t>Miscellaneous modifications</w:t>
      </w:r>
      <w:bookmarkEnd w:id="66"/>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lastRenderedPageBreak/>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67" w:name="_Toc204242451"/>
      <w:r>
        <w:rPr>
          <w:rStyle w:val="CharSectno"/>
        </w:rPr>
        <w:t>31</w:t>
      </w:r>
      <w:r>
        <w:t>.</w:t>
      </w:r>
      <w:r>
        <w:tab/>
        <w:t>Regulations</w:t>
      </w:r>
      <w:bookmarkEnd w:id="67"/>
      <w:r>
        <w:t xml:space="preserve"> </w:t>
      </w:r>
    </w:p>
    <w:p>
      <w:pPr>
        <w:pStyle w:val="Subsection"/>
      </w:pPr>
      <w:r>
        <w:tab/>
      </w:r>
      <w:r>
        <w:tab/>
        <w:t>The Regulations made under the Ombudsman Act, other than provisions providing for witness expenses, do not apply.</w:t>
      </w:r>
    </w:p>
    <w:p>
      <w:pPr>
        <w:pStyle w:val="Heading2"/>
      </w:pPr>
      <w:bookmarkStart w:id="68" w:name="_Toc152828875"/>
      <w:bookmarkStart w:id="69" w:name="_Toc152829982"/>
      <w:bookmarkStart w:id="70" w:name="_Toc152833212"/>
      <w:bookmarkStart w:id="71" w:name="_Toc204079268"/>
      <w:bookmarkStart w:id="72" w:name="_Toc204081155"/>
      <w:bookmarkStart w:id="73" w:name="_Toc204183174"/>
      <w:bookmarkStart w:id="74" w:name="_Toc204242452"/>
      <w:r>
        <w:rPr>
          <w:rStyle w:val="CharPartNo"/>
        </w:rPr>
        <w:lastRenderedPageBreak/>
        <w:t>Part 6</w:t>
      </w:r>
      <w:r>
        <w:rPr>
          <w:rStyle w:val="CharDivNo"/>
        </w:rPr>
        <w:t> </w:t>
      </w:r>
      <w:r>
        <w:t>—</w:t>
      </w:r>
      <w:r>
        <w:rPr>
          <w:rStyle w:val="CharDivText"/>
        </w:rPr>
        <w:t> </w:t>
      </w:r>
      <w:r>
        <w:rPr>
          <w:rStyle w:val="CharPartText"/>
        </w:rPr>
        <w:t>Application of Privacy Act</w:t>
      </w:r>
      <w:bookmarkEnd w:id="68"/>
      <w:bookmarkEnd w:id="69"/>
      <w:bookmarkEnd w:id="70"/>
      <w:bookmarkEnd w:id="71"/>
      <w:bookmarkEnd w:id="72"/>
      <w:bookmarkEnd w:id="73"/>
      <w:bookmarkEnd w:id="74"/>
    </w:p>
    <w:p>
      <w:pPr>
        <w:pStyle w:val="Heading5"/>
      </w:pPr>
      <w:bookmarkStart w:id="75" w:name="_Toc204242453"/>
      <w:r>
        <w:rPr>
          <w:rStyle w:val="CharSectno"/>
        </w:rPr>
        <w:t>32</w:t>
      </w:r>
      <w:r>
        <w:t>.</w:t>
      </w:r>
      <w:r>
        <w:tab/>
        <w:t>Who is a contracted service provider</w:t>
      </w:r>
      <w:bookmarkEnd w:id="75"/>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76" w:name="_Toc204242454"/>
      <w:r>
        <w:rPr>
          <w:rStyle w:val="CharSectno"/>
        </w:rPr>
        <w:t>33</w:t>
      </w:r>
      <w:r>
        <w:t>.</w:t>
      </w:r>
      <w:r>
        <w:tab/>
        <w:t>Application of Privacy Act</w:t>
      </w:r>
      <w:bookmarkEnd w:id="76"/>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77" w:name="_Toc204242455"/>
      <w:r>
        <w:rPr>
          <w:rStyle w:val="CharSectno"/>
        </w:rPr>
        <w:t>34</w:t>
      </w:r>
      <w:r>
        <w:t>.</w:t>
      </w:r>
      <w:r>
        <w:tab/>
        <w:t>References in Privacy Act to particular terms</w:t>
      </w:r>
      <w:bookmarkEnd w:id="77"/>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lastRenderedPageBreak/>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78" w:name="_Toc204242456"/>
      <w:r>
        <w:rPr>
          <w:rStyle w:val="CharSectno"/>
        </w:rPr>
        <w:t>35</w:t>
      </w:r>
      <w:r>
        <w:t>.</w:t>
      </w:r>
      <w:r>
        <w:tab/>
        <w:t>Modifications relating to National Agency and National Boards</w:t>
      </w:r>
      <w:bookmarkEnd w:id="78"/>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lastRenderedPageBreak/>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Board, the Chairperson of the Agency Management Committee;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an agency specified in paragraph (b)(vi) or (vii) — the chief executive officer of the agency; and</w:t>
      </w:r>
    </w:p>
    <w:p>
      <w:pPr>
        <w:pStyle w:val="Indenti"/>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lastRenderedPageBreak/>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and contracted service providers, provisions of the Act dealing with organisations (other than to the extent the provisions relate to contracted service providers) do not apply.</w:t>
      </w:r>
    </w:p>
    <w:p>
      <w:pPr>
        <w:pStyle w:val="Footnotesection"/>
      </w:pPr>
      <w:r>
        <w:tab/>
        <w:t>[Section 35 amended: Gazette 2 Feb 2023 p. 117.]</w:t>
      </w:r>
    </w:p>
    <w:p>
      <w:pPr>
        <w:pStyle w:val="Heading5"/>
      </w:pPr>
      <w:bookmarkStart w:id="79" w:name="_Toc204242457"/>
      <w:r>
        <w:rPr>
          <w:rStyle w:val="CharSectno"/>
        </w:rPr>
        <w:t>36</w:t>
      </w:r>
      <w:r>
        <w:t>.</w:t>
      </w:r>
      <w:r>
        <w:tab/>
        <w:t>Modifications about financial matters</w:t>
      </w:r>
      <w:bookmarkEnd w:id="79"/>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lastRenderedPageBreak/>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0" w:name="_Toc204242458"/>
      <w:r>
        <w:rPr>
          <w:rStyle w:val="CharSectno"/>
        </w:rPr>
        <w:t>37</w:t>
      </w:r>
      <w:r>
        <w:t>.</w:t>
      </w:r>
      <w:r>
        <w:tab/>
        <w:t>Modifications about public interest determinations</w:t>
      </w:r>
      <w:bookmarkEnd w:id="80"/>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 xml:space="preserve">unless a contrary intention appears in a public interest determination, an expression used in the determination </w:t>
      </w:r>
      <w:r>
        <w:lastRenderedPageBreak/>
        <w:t>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81" w:name="_Toc204242459"/>
      <w:r>
        <w:rPr>
          <w:rStyle w:val="CharSectno"/>
        </w:rPr>
        <w:t>38</w:t>
      </w:r>
      <w:r>
        <w:t>.</w:t>
      </w:r>
      <w:r>
        <w:tab/>
        <w:t>Miscellaneous modifications</w:t>
      </w:r>
      <w:bookmarkEnd w:id="81"/>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lastRenderedPageBreak/>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82" w:name="_Toc204242460"/>
      <w:r>
        <w:rPr>
          <w:rStyle w:val="CharSectno"/>
        </w:rPr>
        <w:t>39</w:t>
      </w:r>
      <w:r>
        <w:t>.</w:t>
      </w:r>
      <w:r>
        <w:tab/>
        <w:t>Regulations</w:t>
      </w:r>
      <w:bookmarkEnd w:id="82"/>
    </w:p>
    <w:p>
      <w:pPr>
        <w:pStyle w:val="Subsection"/>
      </w:pPr>
      <w:r>
        <w:tab/>
      </w:r>
      <w:r>
        <w:tab/>
        <w:t>The Regulations made under the Privacy Act do not apply.</w:t>
      </w:r>
    </w:p>
    <w:p>
      <w:pPr>
        <w:pStyle w:val="Heading2"/>
      </w:pPr>
      <w:bookmarkStart w:id="83" w:name="_Toc152828884"/>
      <w:bookmarkStart w:id="84" w:name="_Toc152829991"/>
      <w:bookmarkStart w:id="85" w:name="_Toc152833221"/>
      <w:bookmarkStart w:id="86" w:name="_Toc204079277"/>
      <w:bookmarkStart w:id="87" w:name="_Toc204081164"/>
      <w:bookmarkStart w:id="88" w:name="_Toc204183183"/>
      <w:bookmarkStart w:id="89" w:name="_Toc204242461"/>
      <w:r>
        <w:rPr>
          <w:rStyle w:val="CharPartNo"/>
        </w:rPr>
        <w:lastRenderedPageBreak/>
        <w:t>Part 7</w:t>
      </w:r>
      <w:r>
        <w:rPr>
          <w:rStyle w:val="CharDivNo"/>
        </w:rPr>
        <w:t> </w:t>
      </w:r>
      <w:r>
        <w:t>—</w:t>
      </w:r>
      <w:r>
        <w:rPr>
          <w:rStyle w:val="CharDivText"/>
        </w:rPr>
        <w:t> </w:t>
      </w:r>
      <w:r>
        <w:rPr>
          <w:rStyle w:val="CharPartText"/>
        </w:rPr>
        <w:t>Miscellaneous</w:t>
      </w:r>
      <w:bookmarkEnd w:id="83"/>
      <w:bookmarkEnd w:id="84"/>
      <w:bookmarkEnd w:id="85"/>
      <w:bookmarkEnd w:id="86"/>
      <w:bookmarkEnd w:id="87"/>
      <w:bookmarkEnd w:id="88"/>
      <w:bookmarkEnd w:id="89"/>
    </w:p>
    <w:p>
      <w:pPr>
        <w:pStyle w:val="Heading5"/>
      </w:pPr>
      <w:bookmarkStart w:id="90" w:name="_Toc204242462"/>
      <w:r>
        <w:rPr>
          <w:rStyle w:val="CharSectno"/>
        </w:rPr>
        <w:t>40</w:t>
      </w:r>
      <w:r>
        <w:t>.</w:t>
      </w:r>
      <w:r>
        <w:tab/>
        <w:t>Transition period in relation to professional indemnity insurance arrangements for midwives practising private midwifery</w:t>
      </w:r>
      <w:bookmarkEnd w:id="90"/>
    </w:p>
    <w:p>
      <w:pPr>
        <w:pStyle w:val="Subsection"/>
      </w:pPr>
      <w:r>
        <w:tab/>
      </w:r>
      <w:r>
        <w:tab/>
        <w:t>For the purposes of section 284(3)(b) of the Law, the transition period ends on 1 July 2025.</w:t>
      </w:r>
    </w:p>
    <w:p>
      <w:pPr>
        <w:pStyle w:val="Footnotesection"/>
      </w:pPr>
      <w:r>
        <w:tab/>
        <w:t>[Section 40 amended: Gazette 17 Dec 2019 p. 4364; 13 Dec 2021 p. 5490; SL 2023/189 r. 4.]</w:t>
      </w:r>
    </w:p>
    <w:p>
      <w:pPr>
        <w:pStyle w:val="Heading5"/>
      </w:pPr>
      <w:bookmarkStart w:id="91" w:name="_Toc204242463"/>
      <w:r>
        <w:rPr>
          <w:rStyle w:val="CharSectno"/>
        </w:rPr>
        <w:t>41</w:t>
      </w:r>
      <w:r>
        <w:t>.</w:t>
      </w:r>
      <w:r>
        <w:tab/>
        <w:t>Prescribed participation day for registration in paramedicine</w:t>
      </w:r>
      <w:bookmarkEnd w:id="91"/>
    </w:p>
    <w:p>
      <w:pPr>
        <w:pStyle w:val="Subsection"/>
      </w:pPr>
      <w:r>
        <w:tab/>
      </w:r>
      <w:r>
        <w:tab/>
        <w:t xml:space="preserve">For the purposes of section 306 of the Law, definition participation day, the prescribed participation day is 1 December 2018. </w:t>
      </w:r>
    </w:p>
    <w:p>
      <w:pPr>
        <w:pStyle w:val="Heading5"/>
      </w:pPr>
      <w:bookmarkStart w:id="92" w:name="_Toc204242464"/>
      <w:r>
        <w:rPr>
          <w:rStyle w:val="CharSectno"/>
        </w:rPr>
        <w:t>41A</w:t>
      </w:r>
      <w:r>
        <w:t>.</w:t>
      </w:r>
      <w:r>
        <w:tab/>
        <w:t>Prescribed qualification for general registration in paramedicine</w:t>
      </w:r>
      <w:bookmarkEnd w:id="92"/>
    </w:p>
    <w:p>
      <w:pPr>
        <w:pStyle w:val="Subsection"/>
      </w:pPr>
      <w:r>
        <w:tab/>
      </w:r>
      <w:r>
        <w:tab/>
        <w:t>For the purposes of section 312(5)(d)(i) of the Law, the Diploma of Emergency Health Care is prescribed.</w:t>
      </w:r>
    </w:p>
    <w:p>
      <w:pPr>
        <w:pStyle w:val="Footnotesection"/>
      </w:pPr>
      <w:r>
        <w:tab/>
        <w:t>[Section 41A inserted: Gazette 2 Feb 2023 p. 123.]</w:t>
      </w:r>
    </w:p>
    <w:p>
      <w:pPr>
        <w:pStyle w:val="Heading2"/>
      </w:pPr>
      <w:bookmarkStart w:id="93" w:name="_Toc152828888"/>
      <w:bookmarkStart w:id="94" w:name="_Toc152829995"/>
      <w:bookmarkStart w:id="95" w:name="_Toc152833225"/>
      <w:bookmarkStart w:id="96" w:name="_Toc204079281"/>
      <w:bookmarkStart w:id="97" w:name="_Toc204081168"/>
      <w:bookmarkStart w:id="98" w:name="_Toc204183187"/>
      <w:bookmarkStart w:id="99" w:name="_Toc204242465"/>
      <w:r>
        <w:rPr>
          <w:rStyle w:val="CharPartNo"/>
        </w:rPr>
        <w:lastRenderedPageBreak/>
        <w:t>Part 8</w:t>
      </w:r>
      <w:r>
        <w:t> — </w:t>
      </w:r>
      <w:r>
        <w:rPr>
          <w:rStyle w:val="CharPartText"/>
        </w:rPr>
        <w:t>Transitional and repeal</w:t>
      </w:r>
      <w:bookmarkEnd w:id="93"/>
      <w:bookmarkEnd w:id="94"/>
      <w:bookmarkEnd w:id="95"/>
      <w:bookmarkEnd w:id="96"/>
      <w:bookmarkEnd w:id="97"/>
      <w:bookmarkEnd w:id="98"/>
      <w:bookmarkEnd w:id="99"/>
    </w:p>
    <w:p>
      <w:pPr>
        <w:pStyle w:val="Heading3"/>
      </w:pPr>
      <w:bookmarkStart w:id="100" w:name="_Toc152828889"/>
      <w:bookmarkStart w:id="101" w:name="_Toc152829996"/>
      <w:bookmarkStart w:id="102" w:name="_Toc152833226"/>
      <w:bookmarkStart w:id="103" w:name="_Toc204079282"/>
      <w:bookmarkStart w:id="104" w:name="_Toc204081169"/>
      <w:bookmarkStart w:id="105" w:name="_Toc204183188"/>
      <w:bookmarkStart w:id="106" w:name="_Toc204242466"/>
      <w:r>
        <w:rPr>
          <w:rStyle w:val="CharDivNo"/>
        </w:rPr>
        <w:t>Division 1</w:t>
      </w:r>
      <w:r>
        <w:t> — </w:t>
      </w:r>
      <w:r>
        <w:rPr>
          <w:rStyle w:val="CharDivText"/>
        </w:rPr>
        <w:t>Repeal</w:t>
      </w:r>
      <w:bookmarkEnd w:id="100"/>
      <w:bookmarkEnd w:id="101"/>
      <w:bookmarkEnd w:id="102"/>
      <w:bookmarkEnd w:id="103"/>
      <w:bookmarkEnd w:id="104"/>
      <w:bookmarkEnd w:id="105"/>
      <w:bookmarkEnd w:id="106"/>
    </w:p>
    <w:p>
      <w:pPr>
        <w:pStyle w:val="Heading5"/>
      </w:pPr>
      <w:bookmarkStart w:id="107" w:name="_Toc204242467"/>
      <w:r>
        <w:rPr>
          <w:rStyle w:val="CharSectno"/>
        </w:rPr>
        <w:t>42</w:t>
      </w:r>
      <w:r>
        <w:t>.</w:t>
      </w:r>
      <w:r>
        <w:tab/>
        <w:t>Regulations repealed</w:t>
      </w:r>
      <w:bookmarkEnd w:id="107"/>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108" w:name="_Toc152828891"/>
      <w:bookmarkStart w:id="109" w:name="_Toc152829998"/>
      <w:bookmarkStart w:id="110" w:name="_Toc152833228"/>
      <w:bookmarkStart w:id="111" w:name="_Toc204079284"/>
      <w:bookmarkStart w:id="112" w:name="_Toc204081171"/>
      <w:bookmarkStart w:id="113" w:name="_Toc204183190"/>
      <w:bookmarkStart w:id="114" w:name="_Toc204242468"/>
      <w:r>
        <w:rPr>
          <w:rStyle w:val="CharDivNo"/>
        </w:rPr>
        <w:t>Division 2</w:t>
      </w:r>
      <w:r>
        <w:t> — </w:t>
      </w:r>
      <w:r>
        <w:rPr>
          <w:rStyle w:val="CharDivText"/>
        </w:rPr>
        <w:t>Transitional provisions</w:t>
      </w:r>
      <w:bookmarkEnd w:id="108"/>
      <w:bookmarkEnd w:id="109"/>
      <w:bookmarkEnd w:id="110"/>
      <w:bookmarkEnd w:id="111"/>
      <w:bookmarkEnd w:id="112"/>
      <w:bookmarkEnd w:id="113"/>
      <w:bookmarkEnd w:id="114"/>
    </w:p>
    <w:p>
      <w:pPr>
        <w:pStyle w:val="Heading5"/>
      </w:pPr>
      <w:bookmarkStart w:id="115" w:name="_Toc204242469"/>
      <w:r>
        <w:rPr>
          <w:rStyle w:val="CharSectno"/>
        </w:rPr>
        <w:t>43</w:t>
      </w:r>
      <w:r>
        <w:t>.</w:t>
      </w:r>
      <w:r>
        <w:tab/>
        <w:t>Definitions for Division</w:t>
      </w:r>
      <w:bookmarkEnd w:id="115"/>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116" w:name="_Toc204242470"/>
      <w:r>
        <w:rPr>
          <w:rStyle w:val="CharSectno"/>
        </w:rPr>
        <w:lastRenderedPageBreak/>
        <w:t>44</w:t>
      </w:r>
      <w:r>
        <w:t>.</w:t>
      </w:r>
      <w:r>
        <w:tab/>
        <w:t>Transitional provision for continued Boards</w:t>
      </w:r>
      <w:bookmarkEnd w:id="116"/>
    </w:p>
    <w:p>
      <w:pPr>
        <w:pStyle w:val="Subsection"/>
        <w:keepNext/>
        <w:keepLines/>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117" w:name="_Toc204242471"/>
      <w:r>
        <w:rPr>
          <w:rStyle w:val="CharSectno"/>
        </w:rPr>
        <w:t>45</w:t>
      </w:r>
      <w:r>
        <w:t>.</w:t>
      </w:r>
      <w:r>
        <w:tab/>
        <w:t>Continuation of existing appointment and employment of National Health Practitioner Privacy Commissioner</w:t>
      </w:r>
      <w:bookmarkEnd w:id="117"/>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118" w:name="_Toc204242472"/>
      <w:r>
        <w:rPr>
          <w:rStyle w:val="CharSectno"/>
        </w:rPr>
        <w:lastRenderedPageBreak/>
        <w:t>46</w:t>
      </w:r>
      <w:r>
        <w:t>.</w:t>
      </w:r>
      <w:r>
        <w:tab/>
        <w:t>Continuation of existing appointment and employment of National Health Practitioner Ombudsman</w:t>
      </w:r>
      <w:bookmarkEnd w:id="118"/>
    </w:p>
    <w:p>
      <w:pPr>
        <w:pStyle w:val="Subsection"/>
        <w:keepNext/>
        <w:keepLines/>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119" w:name="_Toc204242473"/>
      <w:r>
        <w:rPr>
          <w:rStyle w:val="CharSectno"/>
        </w:rPr>
        <w:t>47</w:t>
      </w:r>
      <w:r>
        <w:t>.</w:t>
      </w:r>
      <w:r>
        <w:tab/>
        <w:t>Acting Commissioner under the Privacy Act</w:t>
      </w:r>
      <w:bookmarkEnd w:id="119"/>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20" w:name="_Toc204242474"/>
      <w:r>
        <w:rPr>
          <w:rStyle w:val="CharSectno"/>
        </w:rPr>
        <w:t>48</w:t>
      </w:r>
      <w:r>
        <w:t>.</w:t>
      </w:r>
      <w:r>
        <w:tab/>
        <w:t>Applications for access to a document</w:t>
      </w:r>
      <w:bookmarkEnd w:id="120"/>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21" w:name="_Toc204242475"/>
      <w:r>
        <w:rPr>
          <w:rStyle w:val="CharSectno"/>
        </w:rPr>
        <w:lastRenderedPageBreak/>
        <w:t>49</w:t>
      </w:r>
      <w:r>
        <w:t>.</w:t>
      </w:r>
      <w:r>
        <w:tab/>
        <w:t>Applications for internal review of access refusal decision</w:t>
      </w:r>
      <w:bookmarkEnd w:id="121"/>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22" w:name="_Toc152828899"/>
      <w:bookmarkStart w:id="123" w:name="_Toc152830006"/>
      <w:bookmarkStart w:id="124" w:name="_Toc152833236"/>
      <w:bookmarkStart w:id="125" w:name="_Toc204079292"/>
      <w:bookmarkStart w:id="126" w:name="_Toc204081179"/>
      <w:bookmarkStart w:id="127" w:name="_Toc204183198"/>
      <w:bookmarkStart w:id="128" w:name="_Toc204242476"/>
      <w:r>
        <w:lastRenderedPageBreak/>
        <w:t>Notes</w:t>
      </w:r>
      <w:bookmarkEnd w:id="122"/>
      <w:bookmarkEnd w:id="123"/>
      <w:bookmarkEnd w:id="124"/>
      <w:bookmarkEnd w:id="125"/>
      <w:bookmarkEnd w:id="126"/>
      <w:bookmarkEnd w:id="127"/>
      <w:bookmarkEnd w:id="128"/>
    </w:p>
    <w:p>
      <w:pPr>
        <w:pStyle w:val="nStatement"/>
      </w:pPr>
      <w:r>
        <w:t xml:space="preserve">This is a compilation of the </w:t>
      </w:r>
      <w:r>
        <w:rPr>
          <w:i/>
          <w:noProof/>
        </w:rPr>
        <w:t>Health Practitioner Regulation National Law Regulation (Western Australia).</w:t>
      </w:r>
      <w:r>
        <w:t xml:space="preserve"> The </w:t>
      </w:r>
      <w:r>
        <w:rPr>
          <w:i/>
          <w:iCs/>
        </w:rPr>
        <w:t>Health Practitioner Regulation National Regulation 2018</w:t>
      </w:r>
      <w:r>
        <w:t xml:space="preserve"> (the national regulation) are made under section 245 of the </w:t>
      </w:r>
      <w:r>
        <w:rPr>
          <w:i/>
        </w:rPr>
        <w:t>Health Practitioner Regulation National Law</w:t>
      </w:r>
      <w:r>
        <w:rPr>
          <w:iCs/>
        </w:rPr>
        <w:t xml:space="preserve">) and apply as subsidiary legislation of Western Australia under section 12 of the </w:t>
      </w:r>
      <w:r>
        <w:rPr>
          <w:i/>
          <w:iCs/>
        </w:rPr>
        <w:t>Health Practitioner Regulation National Law (Western Australia)</w:t>
      </w:r>
      <w:r>
        <w:t xml:space="preserve"> (the </w:t>
      </w:r>
      <w:r>
        <w:rPr>
          <w:b/>
          <w:bCs/>
          <w:i/>
          <w:iCs/>
        </w:rPr>
        <w:t>WA Application Act</w:t>
      </w:r>
      <w:r>
        <w:t>).</w:t>
      </w:r>
    </w:p>
    <w:p>
      <w:pPr>
        <w:pStyle w:val="nStatement"/>
      </w:pPr>
      <w:r>
        <w:t xml:space="preserve">This is a version of the national regulation as it applies in Western Australia. This version also includes amendments to the national regulation made by the Ministerial Council (currently known as the Health Ministers’ Meeting) under section 245 of the </w:t>
      </w:r>
      <w:r>
        <w:rPr>
          <w:i/>
        </w:rPr>
        <w:t>Health Practitioner Regulation National Law</w:t>
      </w:r>
      <w:r>
        <w:t>), subject to the WA Application Act, sections 13, 14 and 16. For provisions that have come into operation see the compilation table.</w:t>
      </w:r>
    </w:p>
    <w:p>
      <w:pPr>
        <w:pStyle w:val="nHeading3"/>
      </w:pPr>
      <w:bookmarkStart w:id="129" w:name="_Toc204242477"/>
      <w:r>
        <w:t>Compilation table</w:t>
      </w:r>
      <w:bookmarkEnd w:id="1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rPr>
                <w:vertAlign w:val="superscript"/>
              </w:rPr>
            </w:pPr>
            <w:r>
              <w:rPr>
                <w:i/>
                <w:noProof/>
              </w:rPr>
              <w:t>Health Practitioner Regulation National Law Regulation (Western Australia)</w:t>
            </w:r>
            <w:r>
              <w:rPr>
                <w:iCs/>
                <w:noProof/>
              </w:rPr>
              <w:t> </w:t>
            </w:r>
            <w:r>
              <w:rPr>
                <w:iCs/>
                <w:noProof/>
                <w:vertAlign w:val="superscript"/>
              </w:rPr>
              <w:t>1</w:t>
            </w:r>
          </w:p>
        </w:tc>
        <w:tc>
          <w:tcPr>
            <w:tcW w:w="1276" w:type="dxa"/>
            <w:tcBorders>
              <w:bottom w:val="single" w:sz="4" w:space="0" w:color="auto"/>
            </w:tcBorders>
          </w:tcPr>
          <w:p>
            <w:pPr>
              <w:pStyle w:val="nTable"/>
              <w:spacing w:after="40"/>
            </w:pPr>
          </w:p>
        </w:tc>
        <w:tc>
          <w:tcPr>
            <w:tcW w:w="2693" w:type="dxa"/>
            <w:tcBorders>
              <w:bottom w:val="single" w:sz="4" w:space="0" w:color="auto"/>
            </w:tcBorders>
          </w:tcPr>
          <w:p>
            <w:pPr>
              <w:pStyle w:val="nTable"/>
              <w:spacing w:after="40"/>
            </w:pPr>
            <w:r>
              <w:t xml:space="preserve">15 May 2024 (see </w:t>
            </w:r>
            <w:r>
              <w:rPr>
                <w:i/>
                <w:iCs/>
              </w:rPr>
              <w:t>Health Practitioner Regulation National Law Application Act 2024</w:t>
            </w:r>
            <w:r>
              <w:t xml:space="preserve"> s. 43)</w:t>
            </w:r>
          </w:p>
        </w:tc>
      </w:tr>
    </w:tbl>
    <w:p>
      <w:pPr>
        <w:pStyle w:val="nHeading3"/>
      </w:pPr>
      <w:bookmarkStart w:id="130" w:name="_Toc204242478"/>
      <w:r>
        <w:t>Other notes</w:t>
      </w:r>
      <w:bookmarkEnd w:id="130"/>
    </w:p>
    <w:p>
      <w:pPr>
        <w:pStyle w:val="nNote"/>
      </w:pPr>
      <w:r>
        <w:rPr>
          <w:vertAlign w:val="superscript"/>
        </w:rPr>
        <w:t>1</w:t>
      </w:r>
      <w:r>
        <w:tab/>
        <w:t xml:space="preserve">As at 15 May 2024, when the </w:t>
      </w:r>
      <w:r>
        <w:rPr>
          <w:i/>
          <w:iCs/>
        </w:rPr>
        <w:t>Health Practitioner Regulation National Regulation 2018</w:t>
      </w:r>
      <w:r>
        <w:t xml:space="preserve"> (the national regulation) began to apply as subsidiary legislation of Western Australia, the version of the national regulation that was applied under the WA Application Act section 12 was the national regulation as in force on 8 December 2023.</w:t>
      </w:r>
    </w:p>
    <w:p>
      <w:pPr>
        <w:pStyle w:val="nNote"/>
        <w:rPr>
          <w:iCs/>
        </w:rPr>
        <w:sectPr>
          <w:headerReference w:type="even" r:id="rId25"/>
          <w:headerReference w:type="default" r:id="rId26"/>
          <w:pgSz w:w="11907" w:h="16840" w:code="9"/>
          <w:pgMar w:top="2376" w:right="2404" w:bottom="3544" w:left="2404" w:header="720" w:footer="3544" w:gutter="0"/>
          <w:cols w:space="720"/>
          <w:noEndnote/>
          <w:docGrid w:linePitch="326"/>
        </w:sectPr>
      </w:pPr>
      <w:r>
        <w:rPr>
          <w:vertAlign w:val="superscript"/>
        </w:rPr>
        <w:t>2</w:t>
      </w:r>
      <w:r>
        <w:tab/>
        <w:t xml:space="preserve">The </w:t>
      </w:r>
      <w:r>
        <w:rPr>
          <w:i/>
          <w:noProof/>
        </w:rPr>
        <w:t>Health Practitioner Regulation National Law Regulation (Western Australia)</w:t>
      </w:r>
      <w:r>
        <w:rPr>
          <w:iCs/>
          <w:noProof/>
        </w:rPr>
        <w:t xml:space="preserve"> has been formatted in accordance with WA drafting style. Editorial notes have been inserted as part of producing this compliation.</w:t>
      </w:r>
    </w:p>
    <w:p>
      <w:pPr>
        <w:pStyle w:val="nHeading2"/>
        <w:rPr>
          <w:sz w:val="28"/>
        </w:rPr>
      </w:pPr>
      <w:bookmarkStart w:id="132" w:name="_Toc204081182"/>
      <w:bookmarkStart w:id="133" w:name="_Toc204183201"/>
      <w:bookmarkStart w:id="134" w:name="_Toc204242479"/>
      <w:r>
        <w:rPr>
          <w:sz w:val="28"/>
        </w:rPr>
        <w:lastRenderedPageBreak/>
        <w:t>Defined terms</w:t>
      </w:r>
      <w:bookmarkEnd w:id="132"/>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AIC Act</w:t>
      </w:r>
      <w:r>
        <w:tab/>
        <w:t>3</w:t>
      </w:r>
    </w:p>
    <w:p>
      <w:pPr>
        <w:pStyle w:val="DefinedTerms"/>
      </w:pPr>
      <w:r>
        <w:t>applied FOI Act</w:t>
      </w:r>
      <w:r>
        <w:tab/>
        <w:t>43</w:t>
      </w:r>
    </w:p>
    <w:p>
      <w:pPr>
        <w:pStyle w:val="DefinedTerms"/>
      </w:pPr>
      <w:r>
        <w:t>commencement</w:t>
      </w:r>
      <w:r>
        <w:tab/>
        <w:t>21(5), 43</w:t>
      </w:r>
    </w:p>
    <w:p>
      <w:pPr>
        <w:pStyle w:val="DefinedTerms"/>
      </w:pPr>
      <w:r>
        <w:t>FOI Act</w:t>
      </w:r>
      <w:r>
        <w:tab/>
        <w:t>3</w:t>
      </w:r>
    </w:p>
    <w:p>
      <w:pPr>
        <w:pStyle w:val="DefinedTerms"/>
      </w:pPr>
      <w:r>
        <w:t>Gazette</w:t>
      </w:r>
      <w:r>
        <w:tab/>
        <w:t>3</w:t>
      </w:r>
    </w:p>
    <w:p>
      <w:pPr>
        <w:pStyle w:val="DefinedTerms"/>
      </w:pPr>
      <w:r>
        <w:t>National Health Practitioner Ombudsman</w:t>
      </w:r>
      <w:r>
        <w:tab/>
        <w:t>3</w:t>
      </w:r>
    </w:p>
    <w:p>
      <w:pPr>
        <w:pStyle w:val="DefinedTerms"/>
      </w:pPr>
      <w:r>
        <w:t>National Health Practitioner Privacy Commissioner</w:t>
      </w:r>
      <w:r>
        <w:tab/>
        <w:t>3</w:t>
      </w:r>
    </w:p>
    <w:p>
      <w:pPr>
        <w:pStyle w:val="DefinedTerms"/>
      </w:pPr>
      <w:r>
        <w:t>Ombudsman Act</w:t>
      </w:r>
      <w:r>
        <w:tab/>
        <w:t>3</w:t>
      </w:r>
    </w:p>
    <w:p>
      <w:pPr>
        <w:pStyle w:val="DefinedTerms"/>
      </w:pPr>
      <w:r>
        <w:t>previously applied FOI Act</w:t>
      </w:r>
      <w:r>
        <w:tab/>
        <w:t>43</w:t>
      </w:r>
    </w:p>
    <w:p>
      <w:pPr>
        <w:pStyle w:val="DefinedTerms"/>
      </w:pPr>
      <w:r>
        <w:t>Privacy Act</w:t>
      </w:r>
      <w:r>
        <w:tab/>
        <w:t>3</w:t>
      </w:r>
    </w:p>
    <w:p>
      <w:pPr>
        <w:pStyle w:val="DefinedTerms"/>
      </w:pPr>
      <w:r>
        <w:t>relevant Parliament</w:t>
      </w:r>
      <w:r>
        <w:tab/>
        <w:t>3</w:t>
      </w:r>
    </w:p>
    <w:p>
      <w:pPr>
        <w:pStyle w:val="DefinedTerms"/>
      </w:pPr>
      <w:r>
        <w:t>relevant tribunal</w:t>
      </w:r>
      <w:r>
        <w:tab/>
        <w:t>3</w:t>
      </w:r>
    </w:p>
    <w:p>
      <w:pPr>
        <w:pStyle w:val="DefinedTerms"/>
      </w:pPr>
      <w:r>
        <w:t>repealed Regulation</w:t>
      </w:r>
      <w:r>
        <w:tab/>
        <w:t>22(2), 43</w:t>
      </w:r>
    </w:p>
    <w:p>
      <w:pPr>
        <w:pStyle w:val="DefinedTerms"/>
      </w:pPr>
      <w:r>
        <w:t>spouse</w:t>
      </w:r>
      <w:r>
        <w:tab/>
        <w:t>11(3)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(Western Australia)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805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 w:name="WAFER_20231207080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7080531_GUID" w:val="45ccd8ce-ad7c-4948-af6e-4fd753c31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8F06-E366-47B1-9A41-954D88FD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8189</Words>
  <Characters>44308</Characters>
  <Application>Microsoft Office Word</Application>
  <DocSecurity>0</DocSecurity>
  <Lines>1265</Lines>
  <Paragraphs>739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(Western Australia) - 00-a0-00</dc:title>
  <dc:subject/>
  <dc:creator/>
  <cp:keywords/>
  <dc:description/>
  <cp:lastModifiedBy>Master Repository Process</cp:lastModifiedBy>
  <cp:revision>4</cp:revision>
  <cp:lastPrinted>2018-11-30T07:45:00Z</cp:lastPrinted>
  <dcterms:created xsi:type="dcterms:W3CDTF">2025-07-24T06:09:00Z</dcterms:created>
  <dcterms:modified xsi:type="dcterms:W3CDTF">2025-07-24T06:09:00Z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15 May 2024</vt:lpwstr>
  </property>
  <property fmtid="{D5CDD505-2E9C-101B-9397-08002B2CF9AE}" pid="4" name="Suffix">
    <vt:lpwstr>00-a0-00</vt:lpwstr>
  </property>
  <property fmtid="{D5CDD505-2E9C-101B-9397-08002B2CF9AE}" pid="5" name="Official">
    <vt:lpwstr/>
  </property>
  <property fmtid="{D5CDD505-2E9C-101B-9397-08002B2CF9AE}" pid="6" name="CommencementDate">
    <vt:lpwstr>20240515</vt:lpwstr>
  </property>
  <property fmtid="{D5CDD505-2E9C-101B-9397-08002B2CF9AE}" pid="7" name="CommencementAsAt">
    <vt:filetime>2024-05-14T16:00:00Z</vt:filetime>
  </property>
  <property fmtid="{D5CDD505-2E9C-101B-9397-08002B2CF9AE}" pid="8" name="CommencementYear">
    <vt:lpwstr>2024</vt:lpwstr>
  </property>
</Properties>
</file>