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rPr>
          <w:noProof/>
        </w:rPr>
        <w:br/>
        <w:t>Home Building Contracts Act 1991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Building Regulations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_Toc205287658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_Toc205287659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Building Services (Registration) Regulations 2011</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_Toc205287661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31 amended</w:t>
      </w:r>
      <w:r>
        <w:tab/>
      </w:r>
      <w:r>
        <w:fldChar w:fldCharType="begin"/>
      </w:r>
      <w:r>
        <w:instrText xml:space="preserve"> PAGEREF _Toc205287662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Home Building Contracts Regulations 1992</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_Toc205287664 \h </w:instrText>
      </w:r>
      <w:r>
        <w:fldChar w:fldCharType="separate"/>
      </w:r>
      <w:r>
        <w:t>3</w:t>
      </w:r>
      <w:r>
        <w:fldChar w:fldCharType="end"/>
      </w:r>
    </w:p>
    <w:p>
      <w:pPr>
        <w:pStyle w:val="TOC8"/>
        <w:rPr>
          <w:rFonts w:asciiTheme="minorHAnsi" w:eastAsiaTheme="minorEastAsia" w:hAnsiTheme="minorHAnsi" w:cstheme="minorBidi"/>
          <w:szCs w:val="22"/>
        </w:rPr>
      </w:pPr>
      <w:r>
        <w:t>6.</w:t>
      </w:r>
      <w:r>
        <w:tab/>
        <w:t>Schedule 1 amended</w:t>
      </w:r>
      <w:r>
        <w:tab/>
      </w:r>
      <w:r>
        <w:fldChar w:fldCharType="begin"/>
      </w:r>
      <w:r>
        <w:instrText xml:space="preserve"> PAGEREF _Toc205287665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r>
        <w:br/>
        <w:t>Home Building Contracts Act 1991</w:t>
      </w:r>
    </w:p>
    <w:p>
      <w:pPr>
        <w:pStyle w:val="NameofActReg"/>
      </w:pPr>
      <w:r>
        <w:t>Building Regulations Amendment Regulations 2025</w:t>
      </w:r>
    </w:p>
    <w:p>
      <w:pPr>
        <w:pStyle w:val="MadeBy"/>
      </w:pPr>
      <w:r>
        <w:t>Made by the Governor in Executive Council.</w:t>
      </w:r>
    </w:p>
    <w:p>
      <w:pPr>
        <w:pStyle w:val="Heading2"/>
        <w:pageBreakBefore w:val="0"/>
        <w:spacing w:before="360"/>
      </w:pPr>
      <w:bookmarkStart w:id="2" w:name="_Ref175666644"/>
      <w:bookmarkStart w:id="3" w:name="_Toc204871281"/>
      <w:bookmarkStart w:id="4" w:name="_Toc204871360"/>
      <w:bookmarkStart w:id="5" w:name="_Toc204871815"/>
      <w:bookmarkStart w:id="6" w:name="_Toc204872326"/>
      <w:bookmarkStart w:id="7" w:name="_Toc205287566"/>
      <w:bookmarkStart w:id="8" w:name="_Toc20528765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04871282"/>
      <w:bookmarkStart w:id="10" w:name="_Toc205287658"/>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Building Regulations Amendment Regulations 2025</w:t>
      </w:r>
      <w:r>
        <w:t>.</w:t>
      </w:r>
    </w:p>
    <w:p>
      <w:pPr>
        <w:pStyle w:val="Heading5"/>
        <w:rPr>
          <w:spacing w:val="-2"/>
        </w:rPr>
      </w:pPr>
      <w:bookmarkStart w:id="12" w:name="_Toc204871283"/>
      <w:bookmarkStart w:id="13" w:name="_Toc20528765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2"/>
      </w:pPr>
      <w:bookmarkStart w:id="14" w:name="_Toc204871284"/>
      <w:bookmarkStart w:id="15" w:name="_Toc204871363"/>
      <w:bookmarkStart w:id="16" w:name="_Toc204871818"/>
      <w:bookmarkStart w:id="17" w:name="_Toc204872329"/>
      <w:bookmarkStart w:id="18" w:name="_Toc205287569"/>
      <w:bookmarkStart w:id="19" w:name="_Toc205287660"/>
      <w:r>
        <w:rPr>
          <w:rStyle w:val="CharPartNo"/>
        </w:rPr>
        <w:lastRenderedPageBreak/>
        <w:t>Part 2</w:t>
      </w:r>
      <w:r>
        <w:rPr>
          <w:rStyle w:val="CharDivNo"/>
        </w:rPr>
        <w:t> </w:t>
      </w:r>
      <w:r>
        <w:t>—</w:t>
      </w:r>
      <w:r>
        <w:rPr>
          <w:rStyle w:val="CharDivText"/>
        </w:rPr>
        <w:t> </w:t>
      </w:r>
      <w:r>
        <w:rPr>
          <w:rStyle w:val="CharPartText"/>
          <w:i/>
          <w:iCs/>
        </w:rPr>
        <w:t>Building Services (Registration) Regulations 2011</w:t>
      </w:r>
      <w:r>
        <w:rPr>
          <w:rStyle w:val="CharPartText"/>
        </w:rPr>
        <w:t xml:space="preserve"> amended</w:t>
      </w:r>
      <w:bookmarkEnd w:id="14"/>
      <w:bookmarkEnd w:id="15"/>
      <w:bookmarkEnd w:id="16"/>
      <w:bookmarkEnd w:id="17"/>
      <w:bookmarkEnd w:id="18"/>
      <w:bookmarkEnd w:id="19"/>
    </w:p>
    <w:p>
      <w:pPr>
        <w:pStyle w:val="Heading5"/>
        <w:rPr>
          <w:snapToGrid w:val="0"/>
        </w:rPr>
      </w:pPr>
      <w:bookmarkStart w:id="20" w:name="_Toc204871285"/>
      <w:bookmarkStart w:id="21" w:name="_Toc205287661"/>
      <w:r>
        <w:rPr>
          <w:rStyle w:val="CharSectno"/>
        </w:rPr>
        <w:t>3</w:t>
      </w:r>
      <w:r>
        <w:rPr>
          <w:snapToGrid w:val="0"/>
        </w:rPr>
        <w:t>.</w:t>
      </w:r>
      <w:r>
        <w:rPr>
          <w:snapToGrid w:val="0"/>
        </w:rPr>
        <w:tab/>
        <w:t>Regulations amended</w:t>
      </w:r>
      <w:bookmarkEnd w:id="20"/>
      <w:bookmarkEnd w:id="21"/>
    </w:p>
    <w:p>
      <w:pPr>
        <w:pStyle w:val="Subsection"/>
      </w:pPr>
      <w:r>
        <w:tab/>
      </w:r>
      <w:r>
        <w:tab/>
        <w:t xml:space="preserve">This Part amends the </w:t>
      </w:r>
      <w:r>
        <w:rPr>
          <w:rStyle w:val="CharPartText"/>
          <w:i/>
          <w:iCs/>
        </w:rPr>
        <w:t>Building Services (Registration) Regulations 2011</w:t>
      </w:r>
      <w:r>
        <w:t>.</w:t>
      </w:r>
    </w:p>
    <w:p>
      <w:pPr>
        <w:pStyle w:val="Heading5"/>
      </w:pPr>
      <w:bookmarkStart w:id="22" w:name="_Toc204871286"/>
      <w:bookmarkStart w:id="23" w:name="_Toc205287662"/>
      <w:r>
        <w:rPr>
          <w:rStyle w:val="CharSectno"/>
        </w:rPr>
        <w:t>4</w:t>
      </w:r>
      <w:r>
        <w:t>.</w:t>
      </w:r>
      <w:r>
        <w:tab/>
        <w:t>Regulation 31 amended</w:t>
      </w:r>
      <w:bookmarkEnd w:id="22"/>
      <w:bookmarkEnd w:id="23"/>
    </w:p>
    <w:p>
      <w:pPr>
        <w:pStyle w:val="Subsection"/>
      </w:pPr>
      <w:r>
        <w:tab/>
      </w:r>
      <w:r>
        <w:tab/>
        <w:t>In regulation 31(1) in the Table Set 2 delete “52784WA” (each occurrence) and insert:</w:t>
      </w:r>
    </w:p>
    <w:p>
      <w:pPr>
        <w:pStyle w:val="BlankOpen"/>
      </w:pPr>
    </w:p>
    <w:p>
      <w:pPr>
        <w:pStyle w:val="Subsection"/>
      </w:pPr>
      <w:r>
        <w:tab/>
      </w:r>
      <w:r>
        <w:tab/>
        <w:t>52921WA</w:t>
      </w:r>
    </w:p>
    <w:p>
      <w:pPr>
        <w:pStyle w:val="BlankClose"/>
      </w:pPr>
    </w:p>
    <w:p>
      <w:pPr>
        <w:pStyle w:val="Heading2"/>
      </w:pPr>
      <w:bookmarkStart w:id="24" w:name="_Toc204871287"/>
      <w:bookmarkStart w:id="25" w:name="_Toc204871366"/>
      <w:bookmarkStart w:id="26" w:name="_Toc204871821"/>
      <w:bookmarkStart w:id="27" w:name="_Toc204872332"/>
      <w:bookmarkStart w:id="28" w:name="_Toc205287572"/>
      <w:bookmarkStart w:id="29" w:name="_Toc205287663"/>
      <w:r>
        <w:rPr>
          <w:rStyle w:val="CharPartNo"/>
        </w:rPr>
        <w:lastRenderedPageBreak/>
        <w:t>Part 3</w:t>
      </w:r>
      <w:r>
        <w:rPr>
          <w:rStyle w:val="CharDivNo"/>
        </w:rPr>
        <w:t> </w:t>
      </w:r>
      <w:r>
        <w:t>—</w:t>
      </w:r>
      <w:r>
        <w:rPr>
          <w:rStyle w:val="CharDivText"/>
        </w:rPr>
        <w:t> </w:t>
      </w:r>
      <w:r>
        <w:rPr>
          <w:rStyle w:val="CharPartText"/>
          <w:i/>
          <w:iCs/>
        </w:rPr>
        <w:t>Home Building Contracts Regulations 1992</w:t>
      </w:r>
      <w:r>
        <w:rPr>
          <w:rStyle w:val="CharPartText"/>
        </w:rPr>
        <w:t xml:space="preserve"> amended</w:t>
      </w:r>
      <w:bookmarkEnd w:id="24"/>
      <w:bookmarkEnd w:id="25"/>
      <w:bookmarkEnd w:id="26"/>
      <w:bookmarkEnd w:id="27"/>
      <w:bookmarkEnd w:id="28"/>
      <w:bookmarkEnd w:id="29"/>
    </w:p>
    <w:p>
      <w:pPr>
        <w:pStyle w:val="Heading5"/>
        <w:rPr>
          <w:snapToGrid w:val="0"/>
        </w:rPr>
      </w:pPr>
      <w:bookmarkStart w:id="30" w:name="_Toc204871288"/>
      <w:bookmarkStart w:id="31" w:name="_Toc205287664"/>
      <w:r>
        <w:rPr>
          <w:rStyle w:val="CharSectno"/>
        </w:rPr>
        <w:t>5</w:t>
      </w:r>
      <w:r>
        <w:rPr>
          <w:snapToGrid w:val="0"/>
        </w:rPr>
        <w:t>.</w:t>
      </w:r>
      <w:r>
        <w:rPr>
          <w:snapToGrid w:val="0"/>
        </w:rPr>
        <w:tab/>
        <w:t>Regulations amended</w:t>
      </w:r>
      <w:bookmarkEnd w:id="30"/>
      <w:bookmarkEnd w:id="31"/>
    </w:p>
    <w:p>
      <w:pPr>
        <w:pStyle w:val="Subsection"/>
      </w:pPr>
      <w:r>
        <w:tab/>
      </w:r>
      <w:r>
        <w:tab/>
        <w:t xml:space="preserve">This Part amends the </w:t>
      </w:r>
      <w:r>
        <w:rPr>
          <w:i/>
        </w:rPr>
        <w:t>Home Building Contracts Regulations 1992</w:t>
      </w:r>
      <w:r>
        <w:t>.</w:t>
      </w:r>
    </w:p>
    <w:p>
      <w:pPr>
        <w:pStyle w:val="Heading5"/>
      </w:pPr>
      <w:bookmarkStart w:id="32" w:name="_Toc204871289"/>
      <w:bookmarkStart w:id="33" w:name="_Toc205287665"/>
      <w:r>
        <w:rPr>
          <w:rStyle w:val="CharSectno"/>
        </w:rPr>
        <w:t>6</w:t>
      </w:r>
      <w:r>
        <w:t>.</w:t>
      </w:r>
      <w:r>
        <w:tab/>
        <w:t>Schedule 1 amended</w:t>
      </w:r>
      <w:bookmarkEnd w:id="32"/>
      <w:bookmarkEnd w:id="33"/>
    </w:p>
    <w:p>
      <w:pPr>
        <w:pStyle w:val="Subsection"/>
        <w:rPr>
          <w:szCs w:val="22"/>
        </w:rPr>
      </w:pPr>
      <w:r>
        <w:tab/>
        <w:t>(1)</w:t>
      </w:r>
      <w:r>
        <w:tab/>
        <w:t>In Schedule 1 under the heading “</w:t>
      </w:r>
      <w:r>
        <w:rPr>
          <w:b/>
          <w:bCs/>
          <w:sz w:val="22"/>
        </w:rPr>
        <w:t>What the Act covers</w:t>
      </w:r>
      <w:r>
        <w:rPr>
          <w:szCs w:val="22"/>
        </w:rPr>
        <w:t>”:</w:t>
      </w:r>
    </w:p>
    <w:p>
      <w:pPr>
        <w:pStyle w:val="Indenta"/>
      </w:pPr>
      <w:r>
        <w:tab/>
        <w:t>(a)</w:t>
      </w:r>
      <w:r>
        <w:tab/>
        <w:t>delete</w:t>
      </w:r>
      <w:r>
        <w:rPr>
          <w:sz w:val="22"/>
        </w:rPr>
        <w:t xml:space="preserve"> </w:t>
      </w:r>
      <w:r>
        <w:t>“</w:t>
      </w:r>
      <w:r>
        <w:rPr>
          <w:sz w:val="22"/>
          <w:szCs w:val="18"/>
        </w:rPr>
        <w:t>above $7 500 and below $500 000.</w:t>
      </w:r>
      <w:r>
        <w:t>” and insert:</w:t>
      </w:r>
    </w:p>
    <w:p>
      <w:pPr>
        <w:pStyle w:val="BlankOpen"/>
      </w:pPr>
    </w:p>
    <w:p>
      <w:pPr>
        <w:pStyle w:val="Indenta"/>
      </w:pPr>
      <w:r>
        <w:tab/>
      </w:r>
      <w:r>
        <w:tab/>
      </w:r>
      <w:r>
        <w:rPr>
          <w:sz w:val="22"/>
          <w:szCs w:val="18"/>
        </w:rPr>
        <w:t>more than $7 500 and less than $500 000.</w:t>
      </w:r>
    </w:p>
    <w:p>
      <w:pPr>
        <w:pStyle w:val="BlankClose"/>
      </w:pPr>
    </w:p>
    <w:p>
      <w:pPr>
        <w:pStyle w:val="Indenta"/>
      </w:pPr>
      <w:r>
        <w:tab/>
        <w:t>(b)</w:t>
      </w:r>
      <w:r>
        <w:tab/>
        <w:t>delete</w:t>
      </w:r>
      <w:r>
        <w:rPr>
          <w:sz w:val="22"/>
        </w:rPr>
        <w:t xml:space="preserve"> </w:t>
      </w:r>
      <w:r>
        <w:t>“</w:t>
      </w:r>
      <w:r>
        <w:rPr>
          <w:i/>
          <w:iCs/>
          <w:sz w:val="22"/>
        </w:rPr>
        <w:t>by-pass</w:t>
      </w:r>
      <w:r>
        <w:t>” and insert:</w:t>
      </w:r>
    </w:p>
    <w:p>
      <w:pPr>
        <w:pStyle w:val="BlankOpen"/>
      </w:pPr>
    </w:p>
    <w:p>
      <w:pPr>
        <w:pStyle w:val="Indenta"/>
        <w:rPr>
          <w:i/>
          <w:sz w:val="22"/>
        </w:rPr>
      </w:pPr>
      <w:r>
        <w:tab/>
      </w:r>
      <w:r>
        <w:tab/>
      </w:r>
      <w:r>
        <w:rPr>
          <w:i/>
          <w:sz w:val="22"/>
        </w:rPr>
        <w:t>bypass</w:t>
      </w:r>
    </w:p>
    <w:p>
      <w:pPr>
        <w:pStyle w:val="BlankClose"/>
      </w:pPr>
    </w:p>
    <w:p>
      <w:pPr>
        <w:pStyle w:val="Subsection"/>
      </w:pPr>
      <w:r>
        <w:tab/>
        <w:t>(2)</w:t>
      </w:r>
      <w:r>
        <w:tab/>
        <w:t>In Schedule 1 under the heading “</w:t>
      </w:r>
      <w:r>
        <w:rPr>
          <w:b/>
          <w:bCs/>
          <w:sz w:val="22"/>
          <w:szCs w:val="22"/>
        </w:rPr>
        <w:t>Home indemnity insurance</w:t>
      </w:r>
      <w:r>
        <w:rPr>
          <w:szCs w:val="24"/>
        </w:rPr>
        <w:t>”:</w:t>
      </w:r>
      <w:r>
        <w:t xml:space="preserve"> </w:t>
      </w:r>
    </w:p>
    <w:p>
      <w:pPr>
        <w:pStyle w:val="Indenta"/>
      </w:pPr>
      <w:r>
        <w:tab/>
        <w:t>(a)</w:t>
      </w:r>
      <w:r>
        <w:tab/>
        <w:t>delete the passage that begins with “</w:t>
      </w:r>
      <w:r>
        <w:rPr>
          <w:sz w:val="22"/>
          <w:szCs w:val="18"/>
        </w:rPr>
        <w:t>It is compulsory</w:t>
      </w:r>
      <w:r>
        <w:t>” and ends with “</w:t>
      </w:r>
      <w:r>
        <w:rPr>
          <w:sz w:val="22"/>
          <w:szCs w:val="18"/>
        </w:rPr>
        <w:t>by home indemnity insurance.</w:t>
      </w:r>
      <w:r>
        <w:t>” and insert:</w:t>
      </w:r>
    </w:p>
    <w:p>
      <w:pPr>
        <w:pStyle w:val="BlankOpen"/>
      </w:pPr>
    </w:p>
    <w:p>
      <w:pPr>
        <w:pStyle w:val="zyMiscellaneousBody"/>
      </w:pPr>
      <w:r>
        <w:t>Subject to the exceptions set out below, it is compulsory for all home building work the cost of which is more than $20 000, except associated work alone (e.g. swimming pools, carports, pergolas, sheds, fencing or landscaping), to be covered by home indemnity insurance.</w:t>
      </w:r>
    </w:p>
    <w:p>
      <w:pPr>
        <w:pStyle w:val="zyMiscellaneousBody"/>
      </w:pPr>
      <w:r>
        <w:t xml:space="preserve">The exceptions are — </w:t>
      </w:r>
    </w:p>
    <w:p>
      <w:pPr>
        <w:pStyle w:val="zyMiscellaneousBody"/>
        <w:tabs>
          <w:tab w:val="left" w:pos="993"/>
          <w:tab w:val="left" w:pos="1418"/>
        </w:tabs>
      </w:pPr>
      <w:r>
        <w:tab/>
        <w:t>(a)</w:t>
      </w:r>
      <w:r>
        <w:tab/>
        <w:t>where no building permit is required for the work; or</w:t>
      </w:r>
    </w:p>
    <w:p>
      <w:pPr>
        <w:pStyle w:val="zyMiscellaneousBody"/>
        <w:tabs>
          <w:tab w:val="left" w:pos="993"/>
          <w:tab w:val="left" w:pos="1418"/>
        </w:tabs>
        <w:ind w:left="1418" w:hanging="851"/>
      </w:pPr>
      <w:r>
        <w:tab/>
        <w:t>(b)</w:t>
      </w:r>
      <w:r>
        <w:tab/>
        <w:t>if a building permit is required for the work — where registration as a builder is not required in order to carry out the work.</w:t>
      </w:r>
    </w:p>
    <w:p>
      <w:pPr>
        <w:pStyle w:val="BlankClose"/>
      </w:pPr>
    </w:p>
    <w:p>
      <w:pPr>
        <w:pStyle w:val="Indenta"/>
        <w:keepNext/>
      </w:pPr>
      <w:r>
        <w:lastRenderedPageBreak/>
        <w:tab/>
        <w:t>(b)</w:t>
      </w:r>
      <w:r>
        <w:tab/>
        <w:t>delete “</w:t>
      </w:r>
      <w:r>
        <w:rPr>
          <w:sz w:val="22"/>
          <w:szCs w:val="18"/>
        </w:rPr>
        <w:t>above $20 000.</w:t>
      </w:r>
      <w:r>
        <w:t>” and insert:</w:t>
      </w:r>
    </w:p>
    <w:p>
      <w:pPr>
        <w:pStyle w:val="BlankOpen"/>
      </w:pPr>
    </w:p>
    <w:p>
      <w:pPr>
        <w:pStyle w:val="Indenta"/>
      </w:pPr>
      <w:r>
        <w:tab/>
      </w:r>
      <w:r>
        <w:tab/>
      </w:r>
      <w:r>
        <w:rPr>
          <w:sz w:val="22"/>
          <w:szCs w:val="18"/>
        </w:rPr>
        <w:t>more than $20 000.</w:t>
      </w:r>
    </w:p>
    <w:p>
      <w:pPr>
        <w:pStyle w:val="BlankClose"/>
      </w:pPr>
    </w:p>
    <w:p>
      <w:pPr>
        <w:pStyle w:val="Indenta"/>
        <w:rPr>
          <w:szCs w:val="22"/>
        </w:rPr>
      </w:pPr>
      <w:r>
        <w:tab/>
        <w:t>(c)</w:t>
      </w:r>
      <w:r>
        <w:tab/>
        <w:t>delete “</w:t>
      </w:r>
      <w:r>
        <w:rPr>
          <w:sz w:val="22"/>
        </w:rPr>
        <w:t>death or disappearance of the builder</w:t>
      </w:r>
      <w:r>
        <w:rPr>
          <w:szCs w:val="24"/>
        </w:rPr>
        <w:t xml:space="preserve">” </w:t>
      </w:r>
      <w:r>
        <w:rPr>
          <w:szCs w:val="22"/>
        </w:rPr>
        <w:t>and insert:</w:t>
      </w:r>
    </w:p>
    <w:p>
      <w:pPr>
        <w:pStyle w:val="BlankOpen"/>
      </w:pPr>
    </w:p>
    <w:p>
      <w:pPr>
        <w:pStyle w:val="Indenta"/>
        <w:rPr>
          <w:sz w:val="22"/>
        </w:rPr>
      </w:pPr>
      <w:r>
        <w:tab/>
      </w:r>
      <w:r>
        <w:tab/>
      </w:r>
      <w:r>
        <w:rPr>
          <w:sz w:val="22"/>
        </w:rPr>
        <w:t>death, cessation in existence, disappearance or non</w:t>
      </w:r>
      <w:r>
        <w:rPr>
          <w:sz w:val="22"/>
        </w:rPr>
        <w:noBreakHyphen/>
        <w:t xml:space="preserve">registration on financial grounds of the builder </w:t>
      </w:r>
    </w:p>
    <w:p>
      <w:pPr>
        <w:pStyle w:val="BlankClose"/>
      </w:pPr>
    </w:p>
    <w:p>
      <w:pPr>
        <w:pStyle w:val="Indenta"/>
      </w:pPr>
      <w:r>
        <w:tab/>
        <w:t>(d)</w:t>
      </w:r>
      <w:r>
        <w:tab/>
        <w:t>delete “</w:t>
      </w:r>
      <w:r>
        <w:rPr>
          <w:sz w:val="22"/>
        </w:rPr>
        <w:t>Commission staf</w:t>
      </w:r>
      <w:r>
        <w:rPr>
          <w:spacing w:val="40"/>
          <w:sz w:val="22"/>
        </w:rPr>
        <w:t>f</w:t>
      </w:r>
      <w:r>
        <w:rPr>
          <w:szCs w:val="24"/>
        </w:rPr>
        <w:t>” and insert:</w:t>
      </w:r>
    </w:p>
    <w:p>
      <w:pPr>
        <w:pStyle w:val="BlankOpen"/>
      </w:pPr>
    </w:p>
    <w:p>
      <w:pPr>
        <w:pStyle w:val="Indenta"/>
        <w:rPr>
          <w:sz w:val="22"/>
        </w:rPr>
      </w:pPr>
      <w:r>
        <w:tab/>
      </w:r>
      <w:r>
        <w:tab/>
      </w:r>
      <w:r>
        <w:rPr>
          <w:sz w:val="22"/>
        </w:rPr>
        <w:t>Commissioner</w:t>
      </w:r>
    </w:p>
    <w:p>
      <w:pPr>
        <w:pStyle w:val="BlankClose"/>
      </w:pPr>
    </w:p>
    <w:p>
      <w:pPr>
        <w:pStyle w:val="Subsection"/>
      </w:pPr>
      <w:r>
        <w:tab/>
        <w:t>(3)</w:t>
      </w:r>
      <w:r>
        <w:tab/>
        <w:t>In Schedule 1 under the heading “</w:t>
      </w:r>
      <w:r>
        <w:rPr>
          <w:b/>
          <w:bCs/>
          <w:sz w:val="22"/>
          <w:szCs w:val="18"/>
        </w:rPr>
        <w:t>Special rules for cost plus contracts</w:t>
      </w:r>
      <w:r>
        <w:rPr>
          <w:szCs w:val="24"/>
        </w:rPr>
        <w:t>”</w:t>
      </w:r>
      <w:r>
        <w:t xml:space="preserve">: </w:t>
      </w:r>
    </w:p>
    <w:p>
      <w:pPr>
        <w:pStyle w:val="Indenta"/>
        <w:rPr>
          <w:szCs w:val="22"/>
        </w:rPr>
      </w:pPr>
      <w:r>
        <w:tab/>
        <w:t>(a)</w:t>
      </w:r>
      <w:r>
        <w:tab/>
        <w:t>delete “</w:t>
      </w:r>
      <w:r>
        <w:rPr>
          <w:sz w:val="22"/>
          <w:szCs w:val="18"/>
        </w:rPr>
        <w:t>A costs plus contract</w:t>
      </w:r>
      <w:r>
        <w:rPr>
          <w:bCs/>
          <w:iCs/>
          <w:sz w:val="22"/>
          <w:szCs w:val="18"/>
        </w:rPr>
        <w:t> —</w:t>
      </w:r>
      <w:r>
        <w:t xml:space="preserve">” </w:t>
      </w:r>
      <w:r>
        <w:rPr>
          <w:szCs w:val="22"/>
        </w:rPr>
        <w:t>and insert:</w:t>
      </w:r>
    </w:p>
    <w:p>
      <w:pPr>
        <w:pStyle w:val="BlankOpen"/>
      </w:pPr>
    </w:p>
    <w:p>
      <w:pPr>
        <w:pStyle w:val="Indenta"/>
        <w:rPr>
          <w:sz w:val="22"/>
          <w:szCs w:val="22"/>
        </w:rPr>
      </w:pPr>
      <w:r>
        <w:tab/>
      </w:r>
      <w:r>
        <w:tab/>
      </w:r>
      <w:r>
        <w:rPr>
          <w:sz w:val="22"/>
          <w:szCs w:val="22"/>
        </w:rPr>
        <w:t>A cost plus contract</w:t>
      </w:r>
      <w:r>
        <w:rPr>
          <w:bCs/>
          <w:iCs/>
          <w:sz w:val="22"/>
          <w:szCs w:val="22"/>
        </w:rPr>
        <w:t> —</w:t>
      </w:r>
    </w:p>
    <w:p>
      <w:pPr>
        <w:pStyle w:val="BlankClose"/>
      </w:pPr>
    </w:p>
    <w:p>
      <w:pPr>
        <w:pStyle w:val="Indenta"/>
      </w:pPr>
      <w:r>
        <w:tab/>
        <w:t>(b)</w:t>
      </w:r>
      <w:r>
        <w:tab/>
        <w:t>delete the passage that begins with “</w:t>
      </w:r>
      <w:r>
        <w:rPr>
          <w:sz w:val="22"/>
        </w:rPr>
        <w:t>The builder is required</w:t>
      </w:r>
      <w:r>
        <w:rPr>
          <w:szCs w:val="24"/>
        </w:rPr>
        <w:t>”</w:t>
      </w:r>
      <w:r>
        <w:rPr>
          <w:szCs w:val="22"/>
        </w:rPr>
        <w:t xml:space="preserve"> and ends with “</w:t>
      </w:r>
      <w:r>
        <w:rPr>
          <w:sz w:val="22"/>
          <w:szCs w:val="22"/>
        </w:rPr>
        <w:t>of the</w:t>
      </w:r>
      <w:r>
        <w:rPr>
          <w:sz w:val="22"/>
        </w:rPr>
        <w:t xml:space="preserve"> builder.</w:t>
      </w:r>
      <w:r>
        <w:rPr>
          <w:szCs w:val="22"/>
        </w:rPr>
        <w:t>” and insert:</w:t>
      </w:r>
    </w:p>
    <w:p>
      <w:pPr>
        <w:pStyle w:val="BlankOpen"/>
      </w:pPr>
    </w:p>
    <w:p>
      <w:pPr>
        <w:pStyle w:val="zyMiscellaneousBody"/>
        <w:ind w:left="1140"/>
      </w:pPr>
      <w:r>
        <w:t>The builder is required to take out home indemnity insurance in relation to a cost plus contract to protect you and any successive owners against financial loss where an order made against the builder is not enforceable due to the insolvency, death, cessation in existence, disappearance or non</w:t>
      </w:r>
      <w:r>
        <w:noBreakHyphen/>
        <w:t>registration on financial grounds of the builder.</w:t>
      </w:r>
    </w:p>
    <w:p>
      <w:pPr>
        <w:pStyle w:val="BlankClose"/>
      </w:pPr>
    </w:p>
    <w:p>
      <w:pPr>
        <w:pStyle w:val="Subsection"/>
        <w:keepNext/>
      </w:pPr>
      <w:r>
        <w:lastRenderedPageBreak/>
        <w:tab/>
        <w:t>(4)</w:t>
      </w:r>
      <w:r>
        <w:tab/>
        <w:t>In Schedule 1 under the heading “</w:t>
      </w:r>
      <w:r>
        <w:rPr>
          <w:b/>
          <w:bCs/>
          <w:sz w:val="22"/>
          <w:szCs w:val="18"/>
        </w:rPr>
        <w:t>Varying the contract</w:t>
      </w:r>
      <w:r>
        <w:rPr>
          <w:szCs w:val="24"/>
        </w:rPr>
        <w:t xml:space="preserve">” </w:t>
      </w:r>
      <w:r>
        <w:t>item</w:t>
      </w:r>
      <w:r>
        <w:rPr>
          <w:szCs w:val="24"/>
        </w:rPr>
        <w:t> </w:t>
      </w:r>
      <w:r>
        <w:t>3 delete “</w:t>
      </w:r>
      <w:r>
        <w:rPr>
          <w:sz w:val="22"/>
          <w:szCs w:val="18"/>
        </w:rPr>
        <w:t>that, i</w:t>
      </w:r>
      <w:r>
        <w:rPr>
          <w:spacing w:val="40"/>
          <w:sz w:val="22"/>
          <w:szCs w:val="18"/>
        </w:rPr>
        <w:t>f</w:t>
      </w:r>
      <w:r>
        <w:t xml:space="preserve">” and insert: </w:t>
      </w:r>
    </w:p>
    <w:p>
      <w:pPr>
        <w:pStyle w:val="BlankOpen"/>
      </w:pPr>
    </w:p>
    <w:p>
      <w:pPr>
        <w:pStyle w:val="Subsection"/>
        <w:keepNext/>
        <w:rPr>
          <w:sz w:val="22"/>
        </w:rPr>
      </w:pPr>
      <w:r>
        <w:tab/>
      </w:r>
      <w:r>
        <w:tab/>
      </w:r>
      <w:r>
        <w:rPr>
          <w:sz w:val="22"/>
        </w:rPr>
        <w:t>that if</w:t>
      </w:r>
    </w:p>
    <w:p>
      <w:pPr>
        <w:pStyle w:val="BlankClose"/>
      </w:pPr>
    </w:p>
    <w:p>
      <w:pPr>
        <w:pStyle w:val="Subsection"/>
      </w:pPr>
      <w:r>
        <w:tab/>
        <w:t>(5)</w:t>
      </w:r>
      <w:r>
        <w:tab/>
        <w:t>In Schedule 1 under the heading “</w:t>
      </w:r>
      <w:r>
        <w:rPr>
          <w:b/>
          <w:bCs/>
          <w:sz w:val="22"/>
          <w:szCs w:val="18"/>
        </w:rPr>
        <w:t>Where approvals are delayed</w:t>
      </w:r>
      <w:r>
        <w:rPr>
          <w:szCs w:val="24"/>
        </w:rPr>
        <w:t>”</w:t>
      </w:r>
      <w:r>
        <w:t xml:space="preserve"> delete “</w:t>
      </w:r>
      <w:r>
        <w:rPr>
          <w:sz w:val="22"/>
          <w:szCs w:val="18"/>
        </w:rPr>
        <w:t>10 working days</w:t>
      </w:r>
      <w:r>
        <w:t>” (2</w:t>
      </w:r>
      <w:r>
        <w:rPr>
          <w:vertAlign w:val="superscript"/>
        </w:rPr>
        <w:t>nd</w:t>
      </w:r>
      <w:r>
        <w:t xml:space="preserve"> occurrence) and insert: </w:t>
      </w:r>
    </w:p>
    <w:p>
      <w:pPr>
        <w:pStyle w:val="BlankOpen"/>
      </w:pPr>
    </w:p>
    <w:p>
      <w:pPr>
        <w:pStyle w:val="Subsection"/>
      </w:pPr>
      <w:r>
        <w:tab/>
      </w:r>
      <w:r>
        <w:tab/>
      </w:r>
      <w:r>
        <w:rPr>
          <w:sz w:val="22"/>
          <w:szCs w:val="18"/>
        </w:rPr>
        <w:t>3 years</w:t>
      </w:r>
    </w:p>
    <w:p>
      <w:pPr>
        <w:pStyle w:val="BlankClose"/>
      </w:pPr>
    </w:p>
    <w:p>
      <w:pPr>
        <w:pStyle w:val="Subsection"/>
      </w:pPr>
      <w:r>
        <w:tab/>
        <w:t>(6)</w:t>
      </w:r>
      <w:r>
        <w:tab/>
        <w:t>In Schedule 1 under the heading “</w:t>
      </w:r>
      <w:r>
        <w:rPr>
          <w:b/>
          <w:bCs/>
          <w:sz w:val="22"/>
          <w:szCs w:val="18"/>
        </w:rPr>
        <w:t>Disputes</w:t>
      </w:r>
      <w:r>
        <w:rPr>
          <w:szCs w:val="24"/>
        </w:rPr>
        <w:t>”</w:t>
      </w:r>
      <w:r>
        <w:t xml:space="preserve"> delete “</w:t>
      </w:r>
      <w:r>
        <w:rPr>
          <w:sz w:val="22"/>
        </w:rPr>
        <w:t>Building Commission staff or from the Building Commission’s website at www.buildingcommission.wa.gov.au.</w:t>
      </w:r>
      <w:r>
        <w:rPr>
          <w:szCs w:val="24"/>
        </w:rPr>
        <w:t xml:space="preserve">” </w:t>
      </w:r>
      <w:r>
        <w:t xml:space="preserve">and insert: </w:t>
      </w:r>
    </w:p>
    <w:p>
      <w:pPr>
        <w:pStyle w:val="BlankOpen"/>
      </w:pPr>
    </w:p>
    <w:p>
      <w:pPr>
        <w:pStyle w:val="Subsection"/>
        <w:rPr>
          <w:sz w:val="22"/>
        </w:rPr>
      </w:pPr>
      <w:r>
        <w:tab/>
      </w:r>
      <w:r>
        <w:tab/>
      </w:r>
      <w:r>
        <w:rPr>
          <w:sz w:val="22"/>
        </w:rPr>
        <w:t>the Building Commissioner at &lt;https://www.wa.gov.au/organisation/building-and-energy/building-and-energy&gt;.</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pPr>
        <w:pStyle w:val="ByCommand"/>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Aug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Building Regulations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73116203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624093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4093447_GUID" w:val="ad6c1413-f86b-49d5-a1a7-45399fb574d1"/>
    <w:docVar w:name="WAFER_20250627135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7135316_GUID" w:val="cd005a6c-333d-4804-b1ff-c6e70dff0bb2"/>
    <w:docVar w:name="WAFER_20250731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731162039_GUID" w:val="b0e13a8c-0466-4240-8bc2-1e2938b89b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B18AC91B-1CD3-4694-8096-065B089D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672</Words>
  <Characters>3744</Characters>
  <Application>Microsoft Office Word</Application>
  <DocSecurity>0</DocSecurity>
  <Lines>156</Lines>
  <Paragraphs>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Amendment Regulations 2025 - 00-00-00</dc:title>
  <dc:subject/>
  <dc:creator/>
  <cp:keywords/>
  <dc:description/>
  <cp:lastModifiedBy>Master Repository Process</cp:lastModifiedBy>
  <cp:revision>4</cp:revision>
  <cp:lastPrinted>2021-03-14T07:59:00Z</cp:lastPrinted>
  <dcterms:created xsi:type="dcterms:W3CDTF">2025-08-05T04:40:00Z</dcterms:created>
  <dcterms:modified xsi:type="dcterms:W3CDTF">2025-08-05T04:40:00Z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55051</vt:lpwstr>
  </property>
  <property fmtid="{D5CDD505-2E9C-101B-9397-08002B2CF9AE}" pid="3" name="DocumentType">
    <vt:lpwstr>Reg</vt:lpwstr>
  </property>
  <property fmtid="{D5CDD505-2E9C-101B-9397-08002B2CF9AE}" pid="4" name="AsAtDate">
    <vt:lpwstr>06 Aug 2025</vt:lpwstr>
  </property>
  <property fmtid="{D5CDD505-2E9C-101B-9397-08002B2CF9AE}" pid="5" name="Suffix">
    <vt:lpwstr>00-00-00</vt:lpwstr>
  </property>
  <property fmtid="{D5CDD505-2E9C-101B-9397-08002B2CF9AE}" pid="6" name="Official">
    <vt:lpwstr/>
  </property>
  <property fmtid="{D5CDD505-2E9C-101B-9397-08002B2CF9AE}" pid="7" name="SLAPId">
    <vt:lpwstr>2025/144</vt:lpwstr>
  </property>
  <property fmtid="{D5CDD505-2E9C-101B-9397-08002B2CF9AE}" pid="8" name="PublishDate">
    <vt:lpwstr>6 Aug 2025</vt:lpwstr>
  </property>
  <property fmtid="{D5CDD505-2E9C-101B-9397-08002B2CF9AE}" pid="9" name="CommencementDate">
    <vt:lpwstr>20250806</vt:lpwstr>
  </property>
  <property fmtid="{D5CDD505-2E9C-101B-9397-08002B2CF9AE}" pid="10" name="CommencementAsAt">
    <vt:filetime>2025-08-05T16:00:00Z</vt:filetime>
  </property>
  <property fmtid="{D5CDD505-2E9C-101B-9397-08002B2CF9AE}" pid="11" name="CommencementYear">
    <vt:lpwstr>2025</vt:lpwstr>
  </property>
</Properties>
</file>