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_Toc205280999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_Toc205281000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_Toc205281001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_Toc205281002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_Toc205281003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_Toc205281004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_Toc205281005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_Toc205281006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_Toc205281008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_Toc205281009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2" w:name="_Toc205280999"/>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4" w:name="_Toc20528100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205281001"/>
      <w:r>
        <w:rPr>
          <w:rStyle w:val="CharSectno"/>
        </w:rPr>
        <w:t>3</w:t>
      </w:r>
      <w:r>
        <w:rPr>
          <w:snapToGrid w:val="0"/>
        </w:rPr>
        <w:t>.</w:t>
      </w:r>
      <w:r>
        <w:rPr>
          <w:snapToGrid w:val="0"/>
        </w:rPr>
        <w:tab/>
        <w:t>Term used: Kundat Djaru Aboriginal Community</w:t>
      </w:r>
      <w:bookmarkEnd w:id="5"/>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6" w:name="_Toc205281002"/>
      <w:r>
        <w:rPr>
          <w:rStyle w:val="CharSectno"/>
        </w:rPr>
        <w:t>5</w:t>
      </w:r>
      <w:r>
        <w:t>.</w:t>
      </w:r>
      <w:r>
        <w:tab/>
        <w:t>Declaration of restricted area</w:t>
      </w:r>
      <w:bookmarkEnd w:id="6"/>
    </w:p>
    <w:p>
      <w:pPr>
        <w:pStyle w:val="Subsection"/>
      </w:pPr>
      <w:r>
        <w:tab/>
      </w:r>
      <w:r>
        <w:tab/>
        <w:t>The Kundat Djaru Aboriginal Community is declared to be a restricted area for the purposes of section 175(1a) of the Act.</w:t>
      </w:r>
    </w:p>
    <w:p>
      <w:pPr>
        <w:pStyle w:val="Heading5"/>
      </w:pPr>
      <w:bookmarkStart w:id="7" w:name="_Toc205281003"/>
      <w:r>
        <w:rPr>
          <w:rStyle w:val="CharSectno"/>
        </w:rPr>
        <w:lastRenderedPageBreak/>
        <w:t>6</w:t>
      </w:r>
      <w:r>
        <w:t>.</w:t>
      </w:r>
      <w:r>
        <w:tab/>
        <w:t>Notice of restricted area</w:t>
      </w:r>
      <w:bookmarkEnd w:id="7"/>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205281004"/>
      <w:r>
        <w:rPr>
          <w:rStyle w:val="CharSectno"/>
        </w:rPr>
        <w:t>7</w:t>
      </w:r>
      <w:r>
        <w:t>.</w:t>
      </w:r>
      <w:r>
        <w:tab/>
        <w:t>Prohibitions as to liquor in the Kundat Djaru Aboriginal Community</w:t>
      </w:r>
      <w:bookmarkEnd w:id="8"/>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205281005"/>
      <w:r>
        <w:rPr>
          <w:rStyle w:val="CharSectno"/>
        </w:rPr>
        <w:t>8</w:t>
      </w:r>
      <w:r>
        <w:t>.</w:t>
      </w:r>
      <w:r>
        <w:tab/>
        <w:t>Seizure and disposal of containers of liquor</w:t>
      </w:r>
      <w:bookmarkEnd w:id="9"/>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0" w:name="_Toc205281006"/>
      <w:r>
        <w:rPr>
          <w:rStyle w:val="CharSectno"/>
        </w:rPr>
        <w:t>9</w:t>
      </w:r>
      <w:r>
        <w:t>.</w:t>
      </w:r>
      <w:r>
        <w:tab/>
        <w:t>Period during which these regulations have effect</w:t>
      </w:r>
      <w:bookmarkEnd w:id="10"/>
    </w:p>
    <w:p>
      <w:pPr>
        <w:pStyle w:val="Subsection"/>
        <w:keepNext/>
      </w:pPr>
      <w:r>
        <w:tab/>
      </w:r>
      <w:r>
        <w:tab/>
        <w:t>Unless sooner repealed, these regulations have effect for the period that ends at the close of 18 September 2026.</w:t>
      </w:r>
    </w:p>
    <w:p>
      <w:pPr>
        <w:pStyle w:val="Footnotesection"/>
      </w:pPr>
      <w:r>
        <w:tab/>
        <w:t>[Regulation 9 amended: Gazette 13 Sep 2013 p. 4291; 14 Mar 2014 p. 631; 9 Sep 2016 p. 3888; 6 Sep 2019 p. 3202; SL 2022/158 r. 5; SL 2023/140 r. 4; SL 2024/157 r. 7; SL 2025/143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204932223"/>
      <w:bookmarkStart w:id="12" w:name="_Toc204932445"/>
      <w:bookmarkStart w:id="13" w:name="_Toc205281007"/>
      <w:r>
        <w:lastRenderedPageBreak/>
        <w:t>Notes</w:t>
      </w:r>
      <w:bookmarkEnd w:id="11"/>
      <w:bookmarkEnd w:id="12"/>
      <w:bookmarkEnd w:id="13"/>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14" w:name="_Toc205281008"/>
      <w:r>
        <w:t>Compilation table</w:t>
      </w:r>
      <w:bookmarkEnd w:id="1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c>
          <w:tcPr>
            <w:tcW w:w="3119" w:type="dxa"/>
            <w:tcBorders>
              <w:top w:val="nil"/>
              <w:bottom w:val="nil"/>
            </w:tcBorders>
          </w:tcPr>
          <w:p>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pPr>
              <w:pStyle w:val="nTable"/>
              <w:spacing w:after="40"/>
            </w:pPr>
            <w:r>
              <w:t>SL 2022/158 9 Sep 2022</w:t>
            </w:r>
          </w:p>
        </w:tc>
        <w:tc>
          <w:tcPr>
            <w:tcW w:w="2693" w:type="dxa"/>
            <w:tcBorders>
              <w:top w:val="nil"/>
              <w:bottom w:val="nil"/>
            </w:tcBorders>
          </w:tcPr>
          <w:p>
            <w:pPr>
              <w:pStyle w:val="nTable"/>
              <w:spacing w:after="40"/>
            </w:pPr>
            <w:r>
              <w:t>10 Sep 2022 (see r. 2(b))</w:t>
            </w:r>
          </w:p>
        </w:tc>
      </w:tr>
      <w:tr>
        <w:tc>
          <w:tcPr>
            <w:tcW w:w="3119" w:type="dxa"/>
            <w:tcBorders>
              <w:top w:val="nil"/>
              <w:bottom w:val="nil"/>
            </w:tcBorders>
          </w:tcPr>
          <w:p>
            <w:pPr>
              <w:pStyle w:val="nTable"/>
              <w:spacing w:after="40"/>
            </w:pPr>
            <w:r>
              <w:rPr>
                <w:i/>
              </w:rPr>
              <w:t xml:space="preserve">Racing and Gaming Regulations Amendment (Liquor Control) Regulations (No. 4) 2023 </w:t>
            </w:r>
            <w:r>
              <w:t>Pt. 2</w:t>
            </w:r>
          </w:p>
        </w:tc>
        <w:tc>
          <w:tcPr>
            <w:tcW w:w="1276" w:type="dxa"/>
            <w:tcBorders>
              <w:top w:val="nil"/>
              <w:bottom w:val="nil"/>
            </w:tcBorders>
          </w:tcPr>
          <w:p>
            <w:pPr>
              <w:pStyle w:val="nTable"/>
              <w:spacing w:after="40"/>
            </w:pPr>
            <w:r>
              <w:t>SL 2023/140 6 Sep 2023</w:t>
            </w:r>
          </w:p>
        </w:tc>
        <w:tc>
          <w:tcPr>
            <w:tcW w:w="2693" w:type="dxa"/>
            <w:tcBorders>
              <w:top w:val="nil"/>
              <w:bottom w:val="nil"/>
            </w:tcBorders>
          </w:tcPr>
          <w:p>
            <w:pPr>
              <w:pStyle w:val="nTable"/>
              <w:spacing w:after="40"/>
            </w:pPr>
            <w:r>
              <w:t>7 Sep 2023 (see r. 2(b))</w:t>
            </w:r>
          </w:p>
        </w:tc>
      </w:tr>
      <w:tr>
        <w:tc>
          <w:tcPr>
            <w:tcW w:w="3119" w:type="dxa"/>
            <w:tcBorders>
              <w:top w:val="nil"/>
              <w:bottom w:val="nil"/>
            </w:tcBorders>
          </w:tcPr>
          <w:p>
            <w:pPr>
              <w:pStyle w:val="nTable"/>
              <w:spacing w:after="40"/>
              <w:rPr>
                <w:i/>
              </w:rPr>
            </w:pPr>
            <w:r>
              <w:rPr>
                <w:i/>
              </w:rPr>
              <w:t>Racing and Gaming Regulations Amendment (Liquor Control) Regulations (No. 4) 2024</w:t>
            </w:r>
            <w:r>
              <w:rPr>
                <w:iCs/>
              </w:rPr>
              <w:t xml:space="preserve"> Pt. 3</w:t>
            </w:r>
          </w:p>
        </w:tc>
        <w:tc>
          <w:tcPr>
            <w:tcW w:w="1276" w:type="dxa"/>
            <w:tcBorders>
              <w:top w:val="nil"/>
              <w:bottom w:val="nil"/>
            </w:tcBorders>
          </w:tcPr>
          <w:p>
            <w:pPr>
              <w:pStyle w:val="nTable"/>
              <w:spacing w:after="40"/>
            </w:pPr>
            <w:r>
              <w:t>SL 2024/157 7 Aug 2024</w:t>
            </w:r>
          </w:p>
        </w:tc>
        <w:tc>
          <w:tcPr>
            <w:tcW w:w="2693" w:type="dxa"/>
            <w:tcBorders>
              <w:top w:val="nil"/>
              <w:bottom w:val="nil"/>
            </w:tcBorders>
          </w:tcPr>
          <w:p>
            <w:pPr>
              <w:pStyle w:val="nTable"/>
              <w:spacing w:after="40"/>
            </w:pPr>
            <w:r>
              <w:t>8 Aug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Racing and Gaming Regulations Amendment (Liquor Control) Regulations (No. 2) 2025</w:t>
            </w:r>
            <w:r>
              <w:rPr>
                <w:iCs/>
              </w:rPr>
              <w:t xml:space="preserve"> Pt. 3</w:t>
            </w:r>
          </w:p>
        </w:tc>
        <w:tc>
          <w:tcPr>
            <w:tcW w:w="1276" w:type="dxa"/>
            <w:tcBorders>
              <w:bottom w:val="single" w:sz="4" w:space="0" w:color="auto"/>
            </w:tcBorders>
          </w:tcPr>
          <w:p>
            <w:pPr>
              <w:pStyle w:val="nTable"/>
              <w:spacing w:after="40"/>
            </w:pPr>
            <w:r>
              <w:t>SL 2025/143 6 Aug 2025</w:t>
            </w:r>
          </w:p>
        </w:tc>
        <w:tc>
          <w:tcPr>
            <w:tcW w:w="2693" w:type="dxa"/>
            <w:tcBorders>
              <w:bottom w:val="single" w:sz="4" w:space="0" w:color="auto"/>
            </w:tcBorders>
          </w:tcPr>
          <w:p>
            <w:pPr>
              <w:pStyle w:val="nTable"/>
              <w:spacing w:after="40"/>
            </w:pPr>
            <w:r>
              <w:t>7 Aug 2025 (see r. 2(b))</w:t>
            </w:r>
          </w:p>
        </w:tc>
      </w:tr>
    </w:tbl>
    <w:p>
      <w:pPr>
        <w:pStyle w:val="nHeading3"/>
      </w:pPr>
      <w:bookmarkStart w:id="15" w:name="_Toc205281009"/>
      <w:r>
        <w:lastRenderedPageBreak/>
        <w:t>Other notes</w:t>
      </w:r>
      <w:bookmarkEnd w:id="15"/>
    </w:p>
    <w:p>
      <w:pPr>
        <w:pStyle w:val="nNote"/>
      </w:pPr>
      <w:r>
        <w:rPr>
          <w:vertAlign w:val="superscript"/>
        </w:rPr>
        <w:t>1</w:t>
      </w:r>
      <w:r>
        <w:tab/>
        <w:t>These regulations expire at the close of 18 September 2026 (see r. 9).</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7" w:name="_Toc204932226"/>
      <w:bookmarkStart w:id="18" w:name="_Toc204932448"/>
      <w:bookmarkStart w:id="19" w:name="_Toc205281010"/>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B4C45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03EE0F" w14:textId="55EF5EB1" w:rsidR="00FA7EF9" w:rsidRDefault="00D46E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E700C">
                        <w:rPr>
                          <w:sz w:val="16"/>
                        </w:rPr>
                        <w:t>2025</w:t>
                      </w:r>
                      <w:r>
                        <w:rPr>
                          <w:sz w:val="16"/>
                        </w:rPr>
                        <w:fldChar w:fldCharType="end"/>
                      </w:r>
                      <w:r>
                        <w:rPr>
                          <w:sz w:val="16"/>
                        </w:rPr>
                        <w:t>.</w:t>
                      </w:r>
                    </w:p>
                    <w:p w14:paraId="25D073CB" w14:textId="77777777" w:rsidR="00FA7EF9" w:rsidRDefault="00D46E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F6EB04" w14:textId="653E7D68" w:rsidR="00FA7EF9" w:rsidRDefault="00D46E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E700C">
                        <w:rPr>
                          <w:sz w:val="16"/>
                        </w:rPr>
                        <w:t>2025</w:t>
                      </w:r>
                      <w:r>
                        <w:rPr>
                          <w:sz w:val="16"/>
                        </w:rPr>
                        <w:fldChar w:fldCharType="end"/>
                      </w:r>
                      <w:r>
                        <w:rPr>
                          <w:sz w:val="16"/>
                        </w:rPr>
                        <w:t>.</w:t>
                      </w:r>
                    </w:p>
                    <w:p w14:paraId="43A2E21A" w14:textId="77777777" w:rsidR="00FA7EF9" w:rsidRDefault="00D46E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91418"/>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 w:name="WAFER_2024080209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31_GUID" w:val="5155e376-f45d-48f0-9e21-94fb43e4fbf2"/>
    <w:docVar w:name="WAFER_20250801091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1418_GUID" w:val="aca9bfe1-4dfe-4545-893e-66a02280eb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4982</Characters>
  <Application>Microsoft Office Word</Application>
  <DocSecurity>0</DocSecurity>
  <Lines>199</Lines>
  <Paragraphs>125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2010 - 00-i0-00</dc:title>
  <dc:subject/>
  <dc:creator/>
  <cp:keywords/>
  <dc:description/>
  <cp:lastModifiedBy>Master Repository Process</cp:lastModifiedBy>
  <cp:revision>4</cp:revision>
  <cp:lastPrinted>2014-03-13T03:55:00Z</cp:lastPrinted>
  <dcterms:created xsi:type="dcterms:W3CDTF">2025-08-05T06:02:00Z</dcterms:created>
  <dcterms:modified xsi:type="dcterms:W3CDTF">2025-08-05T06:02:00Z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20250807</vt:lpwstr>
  </property>
  <property fmtid="{D5CDD505-2E9C-101B-9397-08002B2CF9AE}" pid="6" name="CommencementAsAt">
    <vt:filetime>2025-08-06T16:00:00Z</vt:filetime>
  </property>
  <property fmtid="{D5CDD505-2E9C-101B-9397-08002B2CF9AE}" pid="7" name="CommencementYear">
    <vt:lpwstr>2025</vt:lpwstr>
  </property>
  <property fmtid="{D5CDD505-2E9C-101B-9397-08002B2CF9AE}" pid="8" name="AsAtDate">
    <vt:lpwstr>07 Aug 2025</vt:lpwstr>
  </property>
  <property fmtid="{D5CDD505-2E9C-101B-9397-08002B2CF9AE}" pid="9" name="Suffix">
    <vt:lpwstr>00-i0-00</vt:lpwstr>
  </property>
  <property fmtid="{D5CDD505-2E9C-101B-9397-08002B2CF9AE}" pid="10" name="Official">
    <vt:lpwstr/>
  </property>
</Properties>
</file>