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_Toc205281566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_Toc205281567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_Toc205281568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_Toc205281569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_Toc205281570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_Toc205281571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_Toc205281572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_Toc205281573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_Toc205281574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_Toc205281575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_Toc205281576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_Toc205281577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_Toc205281578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_Toc205281579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_Toc205281580 \h </w:instrText>
      </w:r>
      <w:r>
        <w:fldChar w:fldCharType="separate"/>
      </w:r>
      <w:r>
        <w:t>8</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_Toc205281581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_Toc205281582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_Toc205281583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_Toc205281584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_Toc205281585 \h </w:instrText>
      </w:r>
      <w:r>
        <w:fldChar w:fldCharType="separate"/>
      </w:r>
      <w:r>
        <w:t>12</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_Toc205281586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_Toc205281587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_Toc205281588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_Toc205281589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_Toc205281590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_Toc205281591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_Toc205281592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_Toc205281593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_Toc205281594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_Toc205281595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_Toc205281596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_Toc205281597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_Toc205281598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_Toc205281599 \h </w:instrText>
      </w:r>
      <w:r>
        <w:fldChar w:fldCharType="separate"/>
      </w:r>
      <w:r>
        <w:t>40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_Toc205281600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_Toc205281601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_Toc205281602 \h </w:instrText>
      </w:r>
      <w:r>
        <w:fldChar w:fldCharType="separate"/>
      </w:r>
      <w:r>
        <w:t>41</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_Toc205281603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_Toc205281604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_Toc205281605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_Toc205281606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_Toc205281607 \h </w:instrText>
      </w:r>
      <w:r>
        <w:fldChar w:fldCharType="separate"/>
      </w:r>
      <w:r>
        <w:t>43</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_Toc205281608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_Toc205281609 \h </w:instrText>
      </w:r>
      <w:r>
        <w:fldChar w:fldCharType="separate"/>
      </w:r>
      <w:r>
        <w:t>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_Toc205281610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_Toc205281611 \h </w:instrText>
      </w:r>
      <w:r>
        <w:fldChar w:fldCharType="separate"/>
      </w:r>
      <w:r>
        <w:t>49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_Toc205281612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_Toc205281613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_Toc205281614 \h </w:instrText>
      </w:r>
      <w:r>
        <w:fldChar w:fldCharType="separate"/>
      </w:r>
      <w:r>
        <w:t>50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_Toc205281615 \h </w:instrText>
      </w:r>
      <w:r>
        <w:fldChar w:fldCharType="separate"/>
      </w:r>
      <w:r>
        <w:t>50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_Toc205281616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_Toc205281617 \h </w:instrText>
      </w:r>
      <w:r>
        <w:fldChar w:fldCharType="separate"/>
      </w:r>
      <w:r>
        <w:t>51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_Toc205281618 \h </w:instrText>
      </w:r>
      <w:r>
        <w:fldChar w:fldCharType="separate"/>
      </w:r>
      <w:r>
        <w:t>52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_Toc205281619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_Toc205281620 \h </w:instrText>
      </w:r>
      <w:r>
        <w:fldChar w:fldCharType="separate"/>
      </w:r>
      <w:r>
        <w:t>53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_Toc205281621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_Toc205281622 \h </w:instrText>
      </w:r>
      <w:r>
        <w:fldChar w:fldCharType="separate"/>
      </w:r>
      <w:r>
        <w:t>54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_Toc205281623 \h </w:instrText>
      </w:r>
      <w:r>
        <w:fldChar w:fldCharType="separate"/>
      </w:r>
      <w:r>
        <w:t>55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_Toc205281624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_Toc205281625 \h </w:instrText>
      </w:r>
      <w:r>
        <w:fldChar w:fldCharType="separate"/>
      </w:r>
      <w:r>
        <w:t>57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_Toc205281626 \h </w:instrText>
      </w:r>
      <w:r>
        <w:fldChar w:fldCharType="separate"/>
      </w:r>
      <w:r>
        <w:t>58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_Toc205281627 \h </w:instrText>
      </w:r>
      <w:r>
        <w:fldChar w:fldCharType="separate"/>
      </w:r>
      <w:r>
        <w:t>59</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_Toc205281628 \h </w:instrText>
      </w:r>
      <w:r>
        <w:fldChar w:fldCharType="separate"/>
      </w:r>
      <w:r>
        <w:t>59</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_Toc205281629 \h </w:instrText>
      </w:r>
      <w:r>
        <w:fldChar w:fldCharType="separate"/>
      </w:r>
      <w:r>
        <w:t>61</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_Toc205281630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_Toc205281631 \h </w:instrText>
      </w:r>
      <w:r>
        <w:fldChar w:fldCharType="separate"/>
      </w:r>
      <w:r>
        <w:t>63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_Toc205281632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_Toc205281633 \h </w:instrText>
      </w:r>
      <w:r>
        <w:fldChar w:fldCharType="separate"/>
      </w:r>
      <w:r>
        <w:t>64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_Toc205281634 \h </w:instrText>
      </w:r>
      <w:r>
        <w:fldChar w:fldCharType="separate"/>
      </w:r>
      <w:r>
        <w:t>65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_Toc205281635 \h </w:instrText>
      </w:r>
      <w:r>
        <w:fldChar w:fldCharType="separate"/>
      </w:r>
      <w:r>
        <w:t>66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_Toc205281636 \h </w:instrText>
      </w:r>
      <w:r>
        <w:fldChar w:fldCharType="separate"/>
      </w:r>
      <w:r>
        <w:t>67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_Toc205281637 \h </w:instrText>
      </w:r>
      <w:r>
        <w:fldChar w:fldCharType="separate"/>
      </w:r>
      <w:r>
        <w:t>68</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_Toc205281638 \h </w:instrText>
      </w:r>
      <w:r>
        <w:fldChar w:fldCharType="separate"/>
      </w:r>
      <w:r>
        <w:t>69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_Toc205281639 \h </w:instrText>
      </w:r>
      <w:r>
        <w:fldChar w:fldCharType="separate"/>
      </w:r>
      <w:r>
        <w:t>69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_Toc205281640 \h </w:instrText>
      </w:r>
      <w:r>
        <w:fldChar w:fldCharType="separate"/>
      </w:r>
      <w:r>
        <w:t>69</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_Toc205281641 \h </w:instrText>
      </w:r>
      <w:r>
        <w:fldChar w:fldCharType="separate"/>
      </w:r>
      <w:r>
        <w:t>70</w:t>
      </w:r>
      <w:r>
        <w:fldChar w:fldCharType="end"/>
      </w:r>
    </w:p>
    <w:p>
      <w:pPr>
        <w:pStyle w:val="TOC8"/>
        <w:rPr>
          <w:rFonts w:asciiTheme="minorHAnsi" w:eastAsiaTheme="minorEastAsia" w:hAnsiTheme="minorHAnsi" w:cstheme="minorBidi"/>
          <w:szCs w:val="22"/>
        </w:rPr>
      </w:pPr>
      <w:r>
        <w:t>18EBB.</w:t>
      </w:r>
      <w:r>
        <w:tab/>
        <w:t>Prescribed class of persons (Act s. 115AC(1AA)(b))</w:t>
      </w:r>
      <w:r>
        <w:tab/>
      </w:r>
      <w:r>
        <w:fldChar w:fldCharType="begin"/>
      </w:r>
      <w:r>
        <w:instrText xml:space="preserve"> PAGEREF _Toc205281642 \h </w:instrText>
      </w:r>
      <w:r>
        <w:fldChar w:fldCharType="separate"/>
      </w:r>
      <w:r>
        <w:t>71</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_Toc205281643 \h </w:instrText>
      </w:r>
      <w:r>
        <w:fldChar w:fldCharType="separate"/>
      </w:r>
      <w:r>
        <w:t>71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_Toc205281644 \h </w:instrText>
      </w:r>
      <w:r>
        <w:fldChar w:fldCharType="separate"/>
      </w:r>
      <w:r>
        <w:t>73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_Toc205281645 \h </w:instrText>
      </w:r>
      <w:r>
        <w:fldChar w:fldCharType="separate"/>
      </w:r>
      <w:r>
        <w:t>74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_Toc205281646 \h </w:instrText>
      </w:r>
      <w:r>
        <w:fldChar w:fldCharType="separate"/>
      </w:r>
      <w:r>
        <w:t>75</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_Toc205281647 \h </w:instrText>
      </w:r>
      <w:r>
        <w:fldChar w:fldCharType="separate"/>
      </w:r>
      <w:r>
        <w:t>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_Toc205281648 \h </w:instrText>
      </w:r>
      <w:r>
        <w:fldChar w:fldCharType="separate"/>
      </w:r>
      <w:r>
        <w:t>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_Toc205281649 \h </w:instrText>
      </w:r>
      <w:r>
        <w:fldChar w:fldCharType="separate"/>
      </w:r>
      <w:r>
        <w:t>76</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_Toc205281650 \h </w:instrText>
      </w:r>
      <w:r>
        <w:fldChar w:fldCharType="separate"/>
      </w:r>
      <w:r>
        <w:t>76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_Toc205281651 \h </w:instrText>
      </w:r>
      <w:r>
        <w:fldChar w:fldCharType="separate"/>
      </w:r>
      <w:r>
        <w:t>77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_Toc205281652 \h </w:instrText>
      </w:r>
      <w:r>
        <w:fldChar w:fldCharType="separate"/>
      </w:r>
      <w:r>
        <w:t>78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_Toc205281653 \h </w:instrText>
      </w:r>
      <w:r>
        <w:fldChar w:fldCharType="separate"/>
      </w:r>
      <w:r>
        <w:t>78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_Toc205281654 \h </w:instrText>
      </w:r>
      <w:r>
        <w:fldChar w:fldCharType="separate"/>
      </w:r>
      <w:r>
        <w:t>78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_Toc205281655 \h </w:instrText>
      </w:r>
      <w:r>
        <w:fldChar w:fldCharType="separate"/>
      </w:r>
      <w:r>
        <w:t>79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_Toc205281656 \h </w:instrText>
      </w:r>
      <w:r>
        <w:fldChar w:fldCharType="separate"/>
      </w:r>
      <w:r>
        <w:t>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_Toc205281657 \h </w:instrText>
      </w:r>
      <w:r>
        <w:fldChar w:fldCharType="separate"/>
      </w:r>
      <w:r>
        <w:t>82</w:t>
      </w:r>
      <w:r>
        <w:fldChar w:fldCharType="end"/>
      </w:r>
    </w:p>
    <w:p>
      <w:pPr>
        <w:pStyle w:val="TOC8"/>
        <w:rPr>
          <w:rFonts w:asciiTheme="minorHAnsi" w:eastAsiaTheme="minorEastAsia" w:hAnsiTheme="minorHAnsi" w:cstheme="minorBidi"/>
          <w:szCs w:val="22"/>
        </w:rPr>
      </w:pPr>
      <w:r>
        <w:t>24AA.</w:t>
      </w:r>
      <w:r>
        <w:tab/>
        <w:t>Prescribed class of persons (Act s. 152K(2AA)(b))</w:t>
      </w:r>
      <w:r>
        <w:tab/>
      </w:r>
      <w:r>
        <w:fldChar w:fldCharType="begin"/>
      </w:r>
      <w:r>
        <w:instrText xml:space="preserve"> PAGEREF _Toc205281658 \h </w:instrText>
      </w:r>
      <w:r>
        <w:fldChar w:fldCharType="separate"/>
      </w:r>
      <w:r>
        <w:t>84</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_Toc205281659 \h </w:instrText>
      </w:r>
      <w:r>
        <w:fldChar w:fldCharType="separate"/>
      </w:r>
      <w:r>
        <w:t>84</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_Toc205281660 \h </w:instrText>
      </w:r>
      <w:r>
        <w:fldChar w:fldCharType="separate"/>
      </w:r>
      <w:r>
        <w:t>85</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_Toc205281661 \h </w:instrText>
      </w:r>
      <w:r>
        <w:fldChar w:fldCharType="separate"/>
      </w:r>
      <w:r>
        <w:t>86</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_Toc205281662 \h </w:instrText>
      </w:r>
      <w:r>
        <w:fldChar w:fldCharType="separate"/>
      </w:r>
      <w:r>
        <w:t>87</w:t>
      </w:r>
      <w:r>
        <w:fldChar w:fldCharType="end"/>
      </w:r>
    </w:p>
    <w:p>
      <w:pPr>
        <w:pStyle w:val="TOC8"/>
        <w:rPr>
          <w:rFonts w:asciiTheme="minorHAnsi" w:eastAsiaTheme="minorEastAsia" w:hAnsiTheme="minorHAnsi" w:cstheme="minorBidi"/>
          <w:szCs w:val="22"/>
        </w:rPr>
      </w:pPr>
      <w:r>
        <w:t>25B.</w:t>
      </w:r>
      <w:r>
        <w:tab/>
        <w:t>Fee payable for review of decision related to banned drinker orders (Act s. 152YY(1))</w:t>
      </w:r>
      <w:r>
        <w:tab/>
      </w:r>
      <w:r>
        <w:fldChar w:fldCharType="begin"/>
      </w:r>
      <w:r>
        <w:instrText xml:space="preserve"> PAGEREF _Toc205281663 \h </w:instrText>
      </w:r>
      <w:r>
        <w:fldChar w:fldCharType="separate"/>
      </w:r>
      <w:r>
        <w:t>87</w:t>
      </w:r>
      <w:r>
        <w:fldChar w:fldCharType="end"/>
      </w:r>
    </w:p>
    <w:p>
      <w:pPr>
        <w:pStyle w:val="TOC8"/>
        <w:rPr>
          <w:rFonts w:asciiTheme="minorHAnsi" w:eastAsiaTheme="minorEastAsia" w:hAnsiTheme="minorHAnsi" w:cstheme="minorBidi"/>
          <w:szCs w:val="22"/>
        </w:rPr>
      </w:pPr>
      <w:r>
        <w:t>25C.</w:t>
      </w:r>
      <w:r>
        <w:tab/>
        <w:t>Disclosure of information about banned drinker order and banned drinker (Act s. 152ZC(2)(d))</w:t>
      </w:r>
      <w:r>
        <w:tab/>
      </w:r>
      <w:r>
        <w:fldChar w:fldCharType="begin"/>
      </w:r>
      <w:r>
        <w:instrText xml:space="preserve"> PAGEREF _Toc205281664 \h </w:instrText>
      </w:r>
      <w:r>
        <w:fldChar w:fldCharType="separate"/>
      </w:r>
      <w:r>
        <w:t>87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_Toc205281665 \h </w:instrText>
      </w:r>
      <w:r>
        <w:fldChar w:fldCharType="separate"/>
      </w:r>
      <w:r>
        <w:t>88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_Toc205281666 \h </w:instrText>
      </w:r>
      <w:r>
        <w:fldChar w:fldCharType="separate"/>
      </w:r>
      <w:r>
        <w:t>88</w:t>
      </w:r>
      <w:r>
        <w:fldChar w:fldCharType="end"/>
      </w:r>
    </w:p>
    <w:p>
      <w:pPr>
        <w:pStyle w:val="TOC8"/>
        <w:rPr>
          <w:rFonts w:asciiTheme="minorHAnsi" w:eastAsiaTheme="minorEastAsia" w:hAnsiTheme="minorHAnsi" w:cstheme="minorBidi"/>
          <w:szCs w:val="22"/>
        </w:rPr>
      </w:pPr>
      <w:r>
        <w:lastRenderedPageBreak/>
        <w:t>27A.</w:t>
      </w:r>
      <w:r>
        <w:tab/>
        <w:t>Reduction in licence fee for new licences</w:t>
      </w:r>
      <w:r>
        <w:tab/>
      </w:r>
      <w:r>
        <w:fldChar w:fldCharType="begin"/>
      </w:r>
      <w:r>
        <w:instrText xml:space="preserve"> PAGEREF _Toc205281667 \h </w:instrText>
      </w:r>
      <w:r>
        <w:fldChar w:fldCharType="separate"/>
      </w:r>
      <w:r>
        <w:t>90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_Toc205281668 \h </w:instrText>
      </w:r>
      <w:r>
        <w:fldChar w:fldCharType="separate"/>
      </w:r>
      <w:r>
        <w:t>90</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_Toc205281669 \h </w:instrText>
      </w:r>
      <w:r>
        <w:fldChar w:fldCharType="separate"/>
      </w:r>
      <w:r>
        <w:t>96</w:t>
      </w:r>
      <w:r>
        <w:fldChar w:fldCharType="end"/>
      </w:r>
    </w:p>
    <w:p>
      <w:pPr>
        <w:pStyle w:val="TOC8"/>
        <w:rPr>
          <w:rFonts w:asciiTheme="minorHAnsi" w:eastAsiaTheme="minorEastAsia" w:hAnsiTheme="minorHAnsi" w:cstheme="minorBidi"/>
          <w:szCs w:val="22"/>
        </w:rPr>
      </w:pPr>
      <w:r>
        <w:t>29.</w:t>
      </w:r>
      <w:r>
        <w:tab/>
        <w:t>Banned drinker areas (Act s. 175(1G))</w:t>
      </w:r>
      <w:r>
        <w:tab/>
      </w:r>
      <w:r>
        <w:fldChar w:fldCharType="begin"/>
      </w:r>
      <w:r>
        <w:instrText xml:space="preserve"> PAGEREF _Toc205281670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_Toc205281677 \h </w:instrText>
      </w:r>
      <w:r>
        <w:fldChar w:fldCharType="separate"/>
      </w:r>
      <w:r>
        <w:t>112</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_Toc205281678 \h </w:instrText>
      </w:r>
      <w:r>
        <w:fldChar w:fldCharType="separate"/>
      </w:r>
      <w:r>
        <w:t>113</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_Toc205281679 \h </w:instrText>
      </w:r>
      <w:r>
        <w:fldChar w:fldCharType="separate"/>
      </w:r>
      <w:r>
        <w:t>114</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_Toc205281680 \h </w:instrText>
      </w:r>
      <w:r>
        <w:fldChar w:fldCharType="separate"/>
      </w:r>
      <w:r>
        <w:t>115</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_Toc205281681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_Toc205281683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_Toc205281684 \h </w:instrText>
      </w:r>
      <w:r>
        <w:fldChar w:fldCharType="separate"/>
      </w:r>
      <w:r>
        <w:t>131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_Toc205281685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205281566"/>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05281567"/>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205281568"/>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205281569"/>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lastRenderedPageBreak/>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6" w:name="_Toc205281570"/>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205281571"/>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205281572"/>
      <w:r>
        <w:rPr>
          <w:rStyle w:val="CharSectno"/>
        </w:rPr>
        <w:lastRenderedPageBreak/>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205281573"/>
      <w:r>
        <w:rPr>
          <w:rStyle w:val="CharSectno"/>
        </w:rPr>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20528157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205281575"/>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w:t>
      </w:r>
      <w:r>
        <w:lastRenderedPageBreak/>
        <w:t>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205281576"/>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205281577"/>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lastRenderedPageBreak/>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205281578"/>
      <w:r>
        <w:rPr>
          <w:rStyle w:val="CharSectno"/>
        </w:rPr>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205281579"/>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205281580"/>
      <w:r>
        <w:rPr>
          <w:rStyle w:val="CharSectno"/>
        </w:rPr>
        <w:lastRenderedPageBreak/>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lastRenderedPageBreak/>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205281581"/>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205281582"/>
      <w:r>
        <w:rPr>
          <w:rStyle w:val="CharSectno"/>
        </w:rPr>
        <w:lastRenderedPageBreak/>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lastRenderedPageBreak/>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205281583"/>
      <w:r>
        <w:rPr>
          <w:rStyle w:val="CharSectno"/>
        </w:rPr>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205281584"/>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w:t>
      </w:r>
      <w:r>
        <w:rPr>
          <w:snapToGrid w:val="0"/>
        </w:rPr>
        <w:lastRenderedPageBreak/>
        <w:t>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205281585"/>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lastRenderedPageBreak/>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lastRenderedPageBreak/>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lastRenderedPageBreak/>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lastRenderedPageBreak/>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205281586"/>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lastRenderedPageBreak/>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 xml:space="preserve">a refusal of an application under the Act for the approval of a person to occupy a position of authority in a body </w:t>
      </w:r>
      <w:r>
        <w:lastRenderedPageBreak/>
        <w:t>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lastRenderedPageBreak/>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lastRenderedPageBreak/>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lastRenderedPageBreak/>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w:t>
      </w:r>
      <w:r>
        <w:lastRenderedPageBreak/>
        <w:t xml:space="preserve">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205281587"/>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 xml:space="preserve">the total number of attendees over the course of the function does not exceed 100, and liquor is </w:t>
      </w:r>
      <w:r>
        <w:lastRenderedPageBreak/>
        <w:t>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205281588"/>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lastRenderedPageBreak/>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205281589"/>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 xml:space="preserve">the person who supplies the liquor to the customer has completed successfully a course of training or an assessment, approved by the Director for the purposes of </w:t>
      </w:r>
      <w:r>
        <w:lastRenderedPageBreak/>
        <w:t>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205281590"/>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lastRenderedPageBreak/>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 xml:space="preserve">a drunk person is not allowed to consume the liquor in the area immediately surrounding the stall in which </w:t>
      </w:r>
      <w:r>
        <w:lastRenderedPageBreak/>
        <w:t>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205281591"/>
      <w:r>
        <w:rPr>
          <w:rStyle w:val="CharSectno"/>
        </w:rPr>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lastRenderedPageBreak/>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205281592"/>
      <w:r>
        <w:rPr>
          <w:rStyle w:val="CharSectno"/>
        </w:rPr>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lastRenderedPageBreak/>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205281593"/>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lastRenderedPageBreak/>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205281594"/>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 xml:space="preserve">who is a person authorised by the Director under section 15(1)(b) to determine </w:t>
      </w:r>
      <w:r>
        <w:rPr>
          <w:snapToGrid w:val="0"/>
        </w:rPr>
        <w:lastRenderedPageBreak/>
        <w:t>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205281595"/>
      <w:r>
        <w:rPr>
          <w:rStyle w:val="CharSectno"/>
        </w:rPr>
        <w:t>9AA</w:t>
      </w:r>
      <w:r>
        <w:t>.</w:t>
      </w:r>
      <w:r>
        <w:tab/>
        <w:t xml:space="preserve">Distance prescribed </w:t>
      </w:r>
      <w:r>
        <w:rPr>
          <w:snapToGrid w:val="0"/>
        </w:rPr>
        <w:t>(Act s.</w:t>
      </w:r>
      <w:r>
        <w:t> 36A(2)(b))</w:t>
      </w:r>
      <w:bookmarkEnd w:id="3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205281596"/>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205281597"/>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205281598"/>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lastRenderedPageBreak/>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w:t>
      </w:r>
      <w:r>
        <w:lastRenderedPageBreak/>
        <w:t xml:space="preserve">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lastRenderedPageBreak/>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lastRenderedPageBreak/>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lastRenderedPageBreak/>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lastRenderedPageBreak/>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lastRenderedPageBreak/>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lastRenderedPageBreak/>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205281599"/>
      <w:r>
        <w:rPr>
          <w:rStyle w:val="CharSectno"/>
        </w:rPr>
        <w:lastRenderedPageBreak/>
        <w:t>9AB</w:t>
      </w:r>
      <w:r>
        <w:t>.</w:t>
      </w:r>
      <w:r>
        <w:tab/>
        <w:t xml:space="preserve">Kind of extended trading permit prescribed </w:t>
      </w:r>
      <w:r>
        <w:rPr>
          <w:snapToGrid w:val="0"/>
        </w:rPr>
        <w:t>(Act s.</w:t>
      </w:r>
      <w:r>
        <w:t> 25(5a))</w:t>
      </w:r>
      <w:bookmarkEnd w:id="35"/>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205281600"/>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205281601"/>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lastRenderedPageBreak/>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38" w:name="_Toc205281602"/>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205281603"/>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205281604"/>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lastRenderedPageBreak/>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41" w:name="_Toc205281605"/>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205281606"/>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 xml:space="preserve">if those premises are not in a convenient location for the sale of the liquor produced, other </w:t>
      </w:r>
      <w:r>
        <w:rPr>
          <w:snapToGrid w:val="0"/>
        </w:rPr>
        <w:lastRenderedPageBreak/>
        <w:t>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205281607"/>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205281608"/>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lastRenderedPageBreak/>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205281609"/>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lastRenderedPageBreak/>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46" w:name="_Toc205281610"/>
      <w:r>
        <w:rPr>
          <w:rStyle w:val="CharSectno"/>
        </w:rPr>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205281611"/>
      <w:r>
        <w:rPr>
          <w:rStyle w:val="CharSectno"/>
        </w:rPr>
        <w:lastRenderedPageBreak/>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205281612"/>
      <w:r>
        <w:rPr>
          <w:rStyle w:val="CharSectno"/>
        </w:rPr>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205281613"/>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205281614"/>
      <w:r>
        <w:rPr>
          <w:rStyle w:val="CharSectno"/>
        </w:rPr>
        <w:lastRenderedPageBreak/>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205281615"/>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205281616"/>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205281617"/>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205281618"/>
      <w:r>
        <w:rPr>
          <w:rStyle w:val="CharSectno"/>
        </w:rPr>
        <w:lastRenderedPageBreak/>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205281619"/>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205281620"/>
      <w:r>
        <w:rPr>
          <w:rStyle w:val="CharSectno"/>
        </w:rPr>
        <w:lastRenderedPageBreak/>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205281621"/>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205281622"/>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205281623"/>
      <w:r>
        <w:rPr>
          <w:rStyle w:val="CharSectno"/>
        </w:rPr>
        <w:lastRenderedPageBreak/>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205281624"/>
      <w:r>
        <w:rPr>
          <w:rStyle w:val="CharSectno"/>
        </w:rPr>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205281625"/>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lastRenderedPageBreak/>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205281626"/>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lastRenderedPageBreak/>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205281627"/>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205281628"/>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205281629"/>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lastRenderedPageBreak/>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205281630"/>
      <w:r>
        <w:rPr>
          <w:rStyle w:val="CharSectno"/>
        </w:rPr>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lastRenderedPageBreak/>
        <w:tab/>
        <w:t>(c)</w:t>
      </w:r>
      <w:r>
        <w:tab/>
        <w:t>a vehicle being driven by a police officer in the course of duty.</w:t>
      </w:r>
    </w:p>
    <w:p>
      <w:pPr>
        <w:pStyle w:val="Footnotesection"/>
      </w:pPr>
      <w:r>
        <w:tab/>
        <w:t>[Regulation 16AC inserted: SL 2021/163 r. 4.]</w:t>
      </w:r>
    </w:p>
    <w:p>
      <w:pPr>
        <w:pStyle w:val="Heading5"/>
      </w:pPr>
      <w:bookmarkStart w:id="67" w:name="_Toc205281631"/>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205281632"/>
      <w:r>
        <w:rPr>
          <w:rStyle w:val="CharSectno"/>
        </w:rPr>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lastRenderedPageBreak/>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205281633"/>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205281634"/>
      <w:r>
        <w:rPr>
          <w:rStyle w:val="CharSectno"/>
        </w:rPr>
        <w:lastRenderedPageBreak/>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205281635"/>
      <w:r>
        <w:rPr>
          <w:rStyle w:val="CharSectno"/>
        </w:rPr>
        <w:lastRenderedPageBreak/>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205281636"/>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lastRenderedPageBreak/>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205281637"/>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205281638"/>
      <w:r>
        <w:rPr>
          <w:rStyle w:val="CharSectno"/>
        </w:rPr>
        <w:lastRenderedPageBreak/>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205281639"/>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205281640"/>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lastRenderedPageBreak/>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205281641"/>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205281642"/>
      <w:r>
        <w:rPr>
          <w:rStyle w:val="CharSectno"/>
        </w:rPr>
        <w:lastRenderedPageBreak/>
        <w:t>18EBB</w:t>
      </w:r>
      <w:r>
        <w:t>.</w:t>
      </w:r>
      <w:r>
        <w:tab/>
        <w:t>Prescribed class of persons (Act s. 115AC(1AA)(b))</w:t>
      </w:r>
      <w:bookmarkEnd w:id="78"/>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79" w:name="_Toc205281643"/>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lastRenderedPageBreak/>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80" w:name="_Toc205281644"/>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205281645"/>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205281646"/>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205281647"/>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205281648"/>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205281649"/>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205281650"/>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205281651"/>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25pt" o:ole="">
            <v:imagedata r:id="rId21" o:title=""/>
          </v:shape>
          <o:OLEObject Type="Embed" ProgID="Equation.3" ShapeID="_x0000_i1025" DrawAspect="Content" ObjectID="_1815907882"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lastRenderedPageBreak/>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205281652"/>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205281653"/>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205281654"/>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lastRenderedPageBreak/>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205281655"/>
      <w:r>
        <w:rPr>
          <w:rStyle w:val="CharSectno"/>
        </w:rPr>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205281656"/>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205281657"/>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205281658"/>
      <w:r>
        <w:rPr>
          <w:rStyle w:val="CharSectno"/>
        </w:rPr>
        <w:t>24AA</w:t>
      </w:r>
      <w:r>
        <w:t>.</w:t>
      </w:r>
      <w:r>
        <w:tab/>
        <w:t>Prescribed class of persons (Act s. 152K(2AA)(b))</w:t>
      </w:r>
      <w:bookmarkEnd w:id="94"/>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95" w:name="_Toc205281659"/>
      <w:r>
        <w:rPr>
          <w:rStyle w:val="CharSectno"/>
        </w:rPr>
        <w:t>24A</w:t>
      </w:r>
      <w:r>
        <w:t>.</w:t>
      </w:r>
      <w:r>
        <w:tab/>
        <w:t>Electronic means of service of documents under Part 5AA of Act (Act s. 152NZQ(4)(c))</w:t>
      </w:r>
      <w:bookmarkEnd w:id="95"/>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lastRenderedPageBreak/>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6" w:name="_Toc205281660"/>
      <w:r>
        <w:rPr>
          <w:rStyle w:val="CharSectno"/>
        </w:rPr>
        <w:t>24B</w:t>
      </w:r>
      <w:r>
        <w:t>.</w:t>
      </w:r>
      <w:r>
        <w:tab/>
        <w:t>Consent to service of documents under Part 5AA of Act (Act s. 152NZQ(5))</w:t>
      </w:r>
      <w:bookmarkEnd w:id="96"/>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7" w:name="_Toc205281661"/>
      <w:r>
        <w:rPr>
          <w:rStyle w:val="CharSectno"/>
        </w:rPr>
        <w:lastRenderedPageBreak/>
        <w:t>24C</w:t>
      </w:r>
      <w:r>
        <w:t>.</w:t>
      </w:r>
      <w:r>
        <w:tab/>
        <w:t>Time when documents under Part 5AA of Act are served (Act s. 152NZR(6))</w:t>
      </w:r>
      <w:bookmarkEnd w:id="97"/>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8" w:name="_Toc205281662"/>
      <w:r>
        <w:rPr>
          <w:rStyle w:val="CharSectno"/>
        </w:rPr>
        <w:t>25A</w:t>
      </w:r>
      <w:r>
        <w:t>.</w:t>
      </w:r>
      <w:r>
        <w:tab/>
        <w:t>Class of persons prescribed (Act s. 152P(4)(b))</w:t>
      </w:r>
      <w:bookmarkEnd w:id="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99" w:name="_Toc205281663"/>
      <w:r>
        <w:rPr>
          <w:rStyle w:val="CharSectno"/>
        </w:rPr>
        <w:t>25B</w:t>
      </w:r>
      <w:r>
        <w:t>.</w:t>
      </w:r>
      <w:r>
        <w:tab/>
        <w:t>Fee payable for review of decision related to banned drinker orders (Act s. 152YY(1))</w:t>
      </w:r>
      <w:bookmarkEnd w:id="99"/>
    </w:p>
    <w:p>
      <w:pPr>
        <w:pStyle w:val="Subsection"/>
      </w:pPr>
      <w:r>
        <w:tab/>
        <w:t>(1)</w:t>
      </w:r>
      <w:r>
        <w:tab/>
        <w:t>A fee of $280.50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 SL 2024/213 r. 12.]</w:t>
      </w:r>
    </w:p>
    <w:p>
      <w:pPr>
        <w:pStyle w:val="Heading5"/>
      </w:pPr>
      <w:bookmarkStart w:id="100" w:name="_Toc205281664"/>
      <w:r>
        <w:rPr>
          <w:rStyle w:val="CharSectno"/>
        </w:rPr>
        <w:t>25C</w:t>
      </w:r>
      <w:r>
        <w:t>.</w:t>
      </w:r>
      <w:r>
        <w:tab/>
        <w:t>Disclosure of information about banned drinker order and banned drinker (Act s. 152ZC(2)(d))</w:t>
      </w:r>
      <w:bookmarkEnd w:id="100"/>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01" w:name="_Toc205281665"/>
      <w:r>
        <w:rPr>
          <w:rStyle w:val="CharSectno"/>
        </w:rPr>
        <w:lastRenderedPageBreak/>
        <w:t>25</w:t>
      </w:r>
      <w:r>
        <w:rPr>
          <w:snapToGrid w:val="0"/>
        </w:rPr>
        <w:t>.</w:t>
      </w:r>
      <w:r>
        <w:rPr>
          <w:snapToGrid w:val="0"/>
        </w:rPr>
        <w:tab/>
        <w:t>Money payable under Act, how payable</w:t>
      </w:r>
      <w:bookmarkEnd w:id="10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02" w:name="_Toc205281666"/>
      <w:r>
        <w:rPr>
          <w:rStyle w:val="CharSectno"/>
        </w:rPr>
        <w:t>26</w:t>
      </w:r>
      <w:r>
        <w:rPr>
          <w:snapToGrid w:val="0"/>
        </w:rPr>
        <w:t>.</w:t>
      </w:r>
      <w:r>
        <w:rPr>
          <w:snapToGrid w:val="0"/>
        </w:rPr>
        <w:tab/>
        <w:t>Fees generally (Sch. 3)</w:t>
      </w:r>
      <w:bookmarkEnd w:id="1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$321.00; or</w:t>
      </w:r>
    </w:p>
    <w:p>
      <w:pPr>
        <w:pStyle w:val="Indenta"/>
      </w:pPr>
      <w:r>
        <w:tab/>
        <w:t>(b)</w:t>
      </w:r>
      <w:r>
        <w:tab/>
        <w:t>if 3 or more such permits have been issued — an additional amount of $647.00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lastRenderedPageBreak/>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 xml:space="preserve">3; 21 May 2013 p. 2014; 8 Nov 2013 p. 4977-8; 14 Nov 2014 p. 4284; </w:t>
      </w:r>
      <w:r>
        <w:lastRenderedPageBreak/>
        <w:t>6 Nov 2015 p. 4584; 28 Oct 2016 p. 4913; 10 Nov 2017 p. 5587; 7 Sep 2018 p. 3196; 22 Oct 2019 p. 3724; SL 2022/144 r. 12; SL 2023/156 r. 12; SL 2024/213 r. 13.]</w:t>
      </w:r>
    </w:p>
    <w:p>
      <w:pPr>
        <w:pStyle w:val="Heading5"/>
      </w:pPr>
      <w:bookmarkStart w:id="103" w:name="_Toc205281667"/>
      <w:r>
        <w:rPr>
          <w:rStyle w:val="CharSectno"/>
        </w:rPr>
        <w:t>27A</w:t>
      </w:r>
      <w:r>
        <w:t>.</w:t>
      </w:r>
      <w:r>
        <w:tab/>
        <w:t>Reduction in licence fee for new licences</w:t>
      </w:r>
      <w:bookmarkEnd w:id="10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4" w:name="_Toc205281668"/>
      <w:r>
        <w:rPr>
          <w:rStyle w:val="CharSectno"/>
        </w:rPr>
        <w:t>27</w:t>
      </w:r>
      <w:r>
        <w:rPr>
          <w:snapToGrid w:val="0"/>
        </w:rPr>
        <w:t>.</w:t>
      </w:r>
      <w:r>
        <w:rPr>
          <w:snapToGrid w:val="0"/>
        </w:rPr>
        <w:tab/>
      </w:r>
      <w:r>
        <w:t>Prescribed offences for infringement notices (Act s. 167(2))</w:t>
      </w:r>
      <w:bookmarkEnd w:id="10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lastRenderedPageBreak/>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lastRenderedPageBreak/>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lastRenderedPageBreak/>
              <w:t>s. 119(7)</w:t>
            </w:r>
          </w:p>
          <w:p>
            <w:pPr>
              <w:pStyle w:val="TableNAm"/>
              <w:spacing w:before="100"/>
            </w:pPr>
            <w:r>
              <w:t>s. 119(11)</w:t>
            </w:r>
          </w:p>
          <w:p>
            <w:pPr>
              <w:pStyle w:val="TableNAm"/>
              <w:spacing w:before="100"/>
            </w:pPr>
            <w:r>
              <w:lastRenderedPageBreak/>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lastRenderedPageBreak/>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lastRenderedPageBreak/>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lastRenderedPageBreak/>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lastRenderedPageBreak/>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 SL 2025/143 r. 8.]</w:t>
      </w:r>
    </w:p>
    <w:p>
      <w:pPr>
        <w:pStyle w:val="Heading5"/>
      </w:pPr>
      <w:bookmarkStart w:id="105" w:name="_Toc205281669"/>
      <w:r>
        <w:rPr>
          <w:rStyle w:val="CharSectno"/>
        </w:rPr>
        <w:lastRenderedPageBreak/>
        <w:t>28</w:t>
      </w:r>
      <w:r>
        <w:t>.</w:t>
      </w:r>
      <w:r>
        <w:tab/>
        <w:t>Protected entertainment precincts (Act s. 175(1E))</w:t>
      </w:r>
      <w:bookmarkEnd w:id="105"/>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2.</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 SL 2025/9 r. 4.]</w:t>
      </w:r>
    </w:p>
    <w:p>
      <w:pPr>
        <w:pStyle w:val="Heading5"/>
      </w:pPr>
      <w:bookmarkStart w:id="106" w:name="_Toc205281670"/>
      <w:r>
        <w:rPr>
          <w:rStyle w:val="CharSectno"/>
        </w:rPr>
        <w:lastRenderedPageBreak/>
        <w:t>29</w:t>
      </w:r>
      <w:r>
        <w:t>.</w:t>
      </w:r>
      <w:r>
        <w:tab/>
        <w:t>Banned drinker areas (Act s. 175(1G))</w:t>
      </w:r>
      <w:bookmarkEnd w:id="106"/>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7" w:name="_Toc204933566"/>
      <w:bookmarkStart w:id="108" w:name="_Toc204934104"/>
      <w:bookmarkStart w:id="109" w:name="_Toc205281671"/>
      <w:r>
        <w:rPr>
          <w:rStyle w:val="CharSchNo"/>
        </w:rPr>
        <w:lastRenderedPageBreak/>
        <w:t>Schedule 1</w:t>
      </w:r>
      <w:bookmarkEnd w:id="107"/>
      <w:bookmarkEnd w:id="108"/>
      <w:bookmarkEnd w:id="109"/>
    </w:p>
    <w:p>
      <w:pPr>
        <w:pStyle w:val="yShoulderClause"/>
        <w:spacing w:before="60"/>
        <w:rPr>
          <w:snapToGrid w:val="0"/>
        </w:rPr>
      </w:pPr>
      <w:r>
        <w:rPr>
          <w:snapToGrid w:val="0"/>
        </w:rPr>
        <w:t>[Regulation 3]</w:t>
      </w:r>
    </w:p>
    <w:p>
      <w:pPr>
        <w:pStyle w:val="yHeading2"/>
        <w:outlineLvl w:val="9"/>
      </w:pPr>
      <w:bookmarkStart w:id="110" w:name="_Toc204933567"/>
      <w:bookmarkStart w:id="111" w:name="_Toc204934105"/>
      <w:bookmarkStart w:id="112" w:name="_Toc205281672"/>
      <w:r>
        <w:rPr>
          <w:rStyle w:val="CharSchText"/>
        </w:rPr>
        <w:t>Forms</w:t>
      </w:r>
      <w:bookmarkEnd w:id="110"/>
      <w:bookmarkEnd w:id="111"/>
      <w:bookmarkEnd w:id="11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spacing w:before="120"/>
      </w:pPr>
      <w:r>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13" w:name="_Toc204933568"/>
      <w:bookmarkStart w:id="114" w:name="_Toc204934106"/>
      <w:bookmarkStart w:id="115" w:name="_Toc205281673"/>
      <w:r>
        <w:rPr>
          <w:rStyle w:val="CharSchNo"/>
        </w:rPr>
        <w:lastRenderedPageBreak/>
        <w:t>Schedule 2</w:t>
      </w:r>
      <w:bookmarkEnd w:id="113"/>
      <w:bookmarkEnd w:id="114"/>
      <w:bookmarkEnd w:id="115"/>
    </w:p>
    <w:p>
      <w:pPr>
        <w:pStyle w:val="yShoulderClause"/>
        <w:spacing w:before="60"/>
        <w:rPr>
          <w:snapToGrid w:val="0"/>
        </w:rPr>
      </w:pPr>
      <w:r>
        <w:rPr>
          <w:snapToGrid w:val="0"/>
        </w:rPr>
        <w:t>[Regulation 13]</w:t>
      </w:r>
    </w:p>
    <w:p>
      <w:pPr>
        <w:pStyle w:val="yHeading2"/>
        <w:spacing w:before="120" w:after="80"/>
      </w:pPr>
      <w:bookmarkStart w:id="116" w:name="_Toc204933569"/>
      <w:bookmarkStart w:id="117" w:name="_Toc204934107"/>
      <w:bookmarkStart w:id="118" w:name="_Toc205281674"/>
      <w:r>
        <w:rPr>
          <w:rStyle w:val="CharSchText"/>
        </w:rPr>
        <w:t>Details of applicant</w:t>
      </w:r>
      <w:bookmarkEnd w:id="116"/>
      <w:bookmarkEnd w:id="117"/>
      <w:bookmarkEnd w:id="11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9" w:name="_Toc204933570"/>
      <w:bookmarkStart w:id="120" w:name="_Toc204934108"/>
      <w:bookmarkStart w:id="121" w:name="_Toc205281675"/>
      <w:r>
        <w:rPr>
          <w:rStyle w:val="CharSchNo"/>
        </w:rPr>
        <w:lastRenderedPageBreak/>
        <w:t>Schedule 3</w:t>
      </w:r>
      <w:r>
        <w:t xml:space="preserve"> — </w:t>
      </w:r>
      <w:r>
        <w:rPr>
          <w:rStyle w:val="CharSchText"/>
        </w:rPr>
        <w:t>Fees</w:t>
      </w:r>
      <w:bookmarkEnd w:id="119"/>
      <w:bookmarkEnd w:id="120"/>
      <w:bookmarkEnd w:id="121"/>
    </w:p>
    <w:p>
      <w:pPr>
        <w:pStyle w:val="yShoulderClause"/>
      </w:pPr>
      <w:r>
        <w:t>[r. 11, 14ADF, 18B, 26 and 27A]</w:t>
      </w:r>
    </w:p>
    <w:p>
      <w:pPr>
        <w:pStyle w:val="yFootnoteheading"/>
      </w:pPr>
      <w:r>
        <w:tab/>
        <w:t>[Heading inserted: SL 2024/213 r. 14.]</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trPr>
          <w:tblHeader/>
        </w:trPr>
        <w:tc>
          <w:tcPr>
            <w:tcW w:w="846" w:type="dxa"/>
            <w:tcBorders>
              <w:top w:val="single" w:sz="4" w:space="0" w:color="auto"/>
              <w:left w:val="single" w:sz="4" w:space="0" w:color="auto"/>
              <w:bottom w:val="single" w:sz="4" w:space="0" w:color="auto"/>
              <w:right w:val="single" w:sz="4" w:space="0" w:color="auto"/>
            </w:tcBorders>
          </w:tcPr>
          <w:p>
            <w:pPr>
              <w:pStyle w:val="yTableNAm"/>
              <w:jc w:val="center"/>
              <w:rPr>
                <w:b/>
                <w:bCs/>
              </w:rPr>
            </w:pPr>
            <w:r>
              <w:rPr>
                <w:b/>
                <w:bCs/>
              </w:rPr>
              <w:t>Item</w:t>
            </w:r>
          </w:p>
        </w:tc>
        <w:tc>
          <w:tcPr>
            <w:tcW w:w="4819" w:type="dxa"/>
            <w:tcBorders>
              <w:left w:val="single" w:sz="4" w:space="0" w:color="auto"/>
            </w:tcBorders>
          </w:tcPr>
          <w:p>
            <w:pPr>
              <w:pStyle w:val="yTableNAm"/>
              <w:jc w:val="center"/>
              <w:rPr>
                <w:b/>
                <w:bCs/>
              </w:rPr>
            </w:pPr>
            <w:r>
              <w:rPr>
                <w:b/>
                <w:bCs/>
              </w:rPr>
              <w:t>Description</w:t>
            </w:r>
          </w:p>
        </w:tc>
        <w:tc>
          <w:tcPr>
            <w:tcW w:w="1134" w:type="dxa"/>
          </w:tcPr>
          <w:p>
            <w:pPr>
              <w:pStyle w:val="yTableNAm"/>
              <w:jc w:val="center"/>
              <w:rPr>
                <w:b/>
                <w:bCs/>
              </w:rPr>
            </w:pPr>
            <w:r>
              <w:rPr>
                <w:b/>
                <w:bCs/>
              </w:rPr>
              <w:t>Fee</w:t>
            </w:r>
            <w:r>
              <w:rPr>
                <w:b/>
                <w:bCs/>
              </w:rPr>
              <w:br/>
              <w:t>$</w:t>
            </w:r>
          </w:p>
        </w:tc>
      </w:tr>
      <w:tr>
        <w:tc>
          <w:tcPr>
            <w:tcW w:w="846" w:type="dxa"/>
            <w:tcBorders>
              <w:top w:val="single" w:sz="4" w:space="0" w:color="auto"/>
            </w:tcBorders>
          </w:tcPr>
          <w:p>
            <w:pPr>
              <w:pStyle w:val="yTableNAm"/>
            </w:pPr>
            <w:r>
              <w:t>1.</w:t>
            </w:r>
          </w:p>
        </w:tc>
        <w:tc>
          <w:tcPr>
            <w:tcW w:w="4819" w:type="dxa"/>
          </w:tcPr>
          <w:p>
            <w:pPr>
              <w:pStyle w:val="yTableNAm"/>
            </w:pPr>
            <w:r>
              <w:t>Application for the grant or removal of a hotel licence, nightclub licence, casino liquor licence, special facility licence or liquor store licence</w:t>
            </w:r>
          </w:p>
        </w:tc>
        <w:tc>
          <w:tcPr>
            <w:tcW w:w="1134" w:type="dxa"/>
            <w:vAlign w:val="bottom"/>
          </w:tcPr>
          <w:p>
            <w:pPr>
              <w:pStyle w:val="yTableNAm"/>
              <w:jc w:val="right"/>
            </w:pPr>
            <w:r>
              <w:t>4 029.00</w:t>
            </w:r>
          </w:p>
        </w:tc>
      </w:tr>
      <w:tr>
        <w:tc>
          <w:tcPr>
            <w:tcW w:w="846" w:type="dxa"/>
          </w:tcPr>
          <w:p>
            <w:pPr>
              <w:pStyle w:val="yTableNAm"/>
            </w:pPr>
            <w:r>
              <w:t>2.</w:t>
            </w:r>
          </w:p>
        </w:tc>
        <w:tc>
          <w:tcPr>
            <w:tcW w:w="4819" w:type="dxa"/>
          </w:tcPr>
          <w:p>
            <w:pPr>
              <w:pStyle w:val="yTableNAm"/>
            </w:pPr>
            <w:r>
              <w:t>Application for the grant or removal of a small bar licence, club licence, restaurant licence, producer’s licence or wholesaler’s licence</w:t>
            </w:r>
          </w:p>
        </w:tc>
        <w:tc>
          <w:tcPr>
            <w:tcW w:w="1134" w:type="dxa"/>
            <w:vAlign w:val="bottom"/>
          </w:tcPr>
          <w:p>
            <w:pPr>
              <w:pStyle w:val="yTableNAm"/>
              <w:jc w:val="right"/>
            </w:pPr>
            <w:r>
              <w:t>1 033.00</w:t>
            </w:r>
          </w:p>
        </w:tc>
      </w:tr>
      <w:tr>
        <w:trPr>
          <w:cantSplit/>
        </w:trPr>
        <w:tc>
          <w:tcPr>
            <w:tcW w:w="846" w:type="dxa"/>
          </w:tcPr>
          <w:p>
            <w:pPr>
              <w:pStyle w:val="yTableNAm"/>
            </w:pPr>
            <w:r>
              <w:t>3.</w:t>
            </w:r>
          </w:p>
        </w:tc>
        <w:tc>
          <w:tcPr>
            <w:tcW w:w="4819" w:type="dxa"/>
          </w:tcPr>
          <w:p>
            <w:pPr>
              <w:pStyle w:val="yTableNAm"/>
            </w:pPr>
            <w:r>
              <w:t>Application for the transfer of a licence</w:t>
            </w:r>
          </w:p>
        </w:tc>
        <w:tc>
          <w:tcPr>
            <w:tcW w:w="1134" w:type="dxa"/>
            <w:vAlign w:val="bottom"/>
          </w:tcPr>
          <w:p>
            <w:pPr>
              <w:pStyle w:val="yTableNAm"/>
              <w:jc w:val="right"/>
            </w:pPr>
            <w:r>
              <w:t>989.00</w:t>
            </w:r>
          </w:p>
        </w:tc>
      </w:tr>
      <w:tr>
        <w:trPr>
          <w:cantSplit/>
        </w:trPr>
        <w:tc>
          <w:tcPr>
            <w:tcW w:w="846" w:type="dxa"/>
          </w:tcPr>
          <w:p>
            <w:pPr>
              <w:pStyle w:val="yTableNAm"/>
            </w:pPr>
            <w:r>
              <w:t>4.</w:t>
            </w:r>
          </w:p>
        </w:tc>
        <w:tc>
          <w:tcPr>
            <w:tcW w:w="4819" w:type="dxa"/>
          </w:tcPr>
          <w:p>
            <w:pPr>
              <w:pStyle w:val="yTableNAm"/>
            </w:pPr>
            <w:r>
              <w:t>Licence fee for any licence other than a club restricted licence</w:t>
            </w:r>
          </w:p>
        </w:tc>
        <w:tc>
          <w:tcPr>
            <w:tcW w:w="1134" w:type="dxa"/>
            <w:vAlign w:val="bottom"/>
          </w:tcPr>
          <w:p>
            <w:pPr>
              <w:pStyle w:val="yTableNAm"/>
              <w:jc w:val="right"/>
            </w:pPr>
            <w:r>
              <w:t>680.50</w:t>
            </w:r>
          </w:p>
        </w:tc>
      </w:tr>
      <w:tr>
        <w:trPr>
          <w:cantSplit/>
        </w:trPr>
        <w:tc>
          <w:tcPr>
            <w:tcW w:w="846" w:type="dxa"/>
          </w:tcPr>
          <w:p>
            <w:pPr>
              <w:pStyle w:val="yTableNAm"/>
            </w:pPr>
            <w:r>
              <w:t>5.</w:t>
            </w:r>
          </w:p>
        </w:tc>
        <w:tc>
          <w:tcPr>
            <w:tcW w:w="4819" w:type="dxa"/>
          </w:tcPr>
          <w:p>
            <w:pPr>
              <w:pStyle w:val="yTableNAm"/>
            </w:pPr>
            <w:r>
              <w:t>Licence fee for a club restricted licence</w:t>
            </w:r>
          </w:p>
        </w:tc>
        <w:tc>
          <w:tcPr>
            <w:tcW w:w="1134" w:type="dxa"/>
            <w:vAlign w:val="bottom"/>
          </w:tcPr>
          <w:p>
            <w:pPr>
              <w:pStyle w:val="yTableNAm"/>
              <w:jc w:val="right"/>
            </w:pPr>
            <w:r>
              <w:t>334.00</w:t>
            </w:r>
          </w:p>
        </w:tc>
      </w:tr>
      <w:tr>
        <w:trPr>
          <w:cantSplit/>
        </w:trPr>
        <w:tc>
          <w:tcPr>
            <w:tcW w:w="846" w:type="dxa"/>
            <w:tcBorders>
              <w:bottom w:val="nil"/>
            </w:tcBorders>
          </w:tcPr>
          <w:p>
            <w:pPr>
              <w:pStyle w:val="yTableNAm"/>
            </w:pPr>
            <w:r>
              <w:t>6.</w:t>
            </w:r>
          </w:p>
        </w:tc>
        <w:tc>
          <w:tcPr>
            <w:tcW w:w="4819" w:type="dxa"/>
            <w:tcBorders>
              <w:bottom w:val="nil"/>
            </w:tcBorders>
          </w:tcPr>
          <w:p>
            <w:pPr>
              <w:pStyle w:val="yTableNAm"/>
            </w:pPr>
            <w:r>
              <w:t xml:space="preserve">Application for an occasional licence if the anticipated number of patrons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up to 250</w:t>
            </w:r>
          </w:p>
        </w:tc>
        <w:tc>
          <w:tcPr>
            <w:tcW w:w="1134" w:type="dxa"/>
            <w:tcBorders>
              <w:top w:val="nil"/>
              <w:bottom w:val="nil"/>
            </w:tcBorders>
            <w:vAlign w:val="bottom"/>
          </w:tcPr>
          <w:p>
            <w:pPr>
              <w:pStyle w:val="yTableNAm"/>
              <w:jc w:val="right"/>
            </w:pPr>
            <w:r>
              <w:rPr>
                <w:szCs w:val="22"/>
              </w:rPr>
              <w:t>60.50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between 251 and 500</w:t>
            </w:r>
          </w:p>
        </w:tc>
        <w:tc>
          <w:tcPr>
            <w:tcW w:w="1134" w:type="dxa"/>
            <w:tcBorders>
              <w:top w:val="nil"/>
              <w:bottom w:val="nil"/>
            </w:tcBorders>
            <w:vAlign w:val="bottom"/>
          </w:tcPr>
          <w:p>
            <w:pPr>
              <w:pStyle w:val="yTableNAm"/>
              <w:jc w:val="right"/>
            </w:pPr>
            <w:r>
              <w:rPr>
                <w:szCs w:val="22"/>
              </w:rPr>
              <w:t>126.50</w:t>
            </w:r>
          </w:p>
        </w:tc>
      </w:tr>
      <w:tr>
        <w:trPr>
          <w:cantSplit/>
        </w:trPr>
        <w:tc>
          <w:tcPr>
            <w:tcW w:w="846" w:type="dxa"/>
            <w:tcBorders>
              <w:top w:val="nil"/>
              <w:bottom w:val="nil"/>
            </w:tcBorders>
          </w:tcPr>
          <w:p/>
        </w:tc>
        <w:tc>
          <w:tcPr>
            <w:tcW w:w="4819" w:type="dxa"/>
            <w:tcBorders>
              <w:top w:val="nil"/>
              <w:bottom w:val="nil"/>
            </w:tcBorders>
          </w:tcPr>
          <w:p>
            <w:pPr>
              <w:pStyle w:val="yTableNAm"/>
            </w:pPr>
            <w:r>
              <w:t>(c)</w:t>
            </w:r>
            <w:r>
              <w:tab/>
              <w:t>between 501 and 1 000</w:t>
            </w:r>
          </w:p>
        </w:tc>
        <w:tc>
          <w:tcPr>
            <w:tcW w:w="1134" w:type="dxa"/>
            <w:tcBorders>
              <w:top w:val="nil"/>
              <w:bottom w:val="nil"/>
            </w:tcBorders>
            <w:vAlign w:val="bottom"/>
          </w:tcPr>
          <w:p>
            <w:pPr>
              <w:pStyle w:val="yTableNAm"/>
              <w:jc w:val="right"/>
            </w:pPr>
            <w:r>
              <w:rPr>
                <w:szCs w:val="22"/>
              </w:rPr>
              <w:t>260.50</w:t>
            </w:r>
          </w:p>
        </w:tc>
      </w:tr>
      <w:tr>
        <w:trPr>
          <w:cantSplit/>
        </w:trPr>
        <w:tc>
          <w:tcPr>
            <w:tcW w:w="846" w:type="dxa"/>
            <w:tcBorders>
              <w:top w:val="nil"/>
              <w:bottom w:val="nil"/>
            </w:tcBorders>
          </w:tcPr>
          <w:p/>
        </w:tc>
        <w:tc>
          <w:tcPr>
            <w:tcW w:w="4819" w:type="dxa"/>
            <w:tcBorders>
              <w:top w:val="nil"/>
              <w:bottom w:val="nil"/>
            </w:tcBorders>
          </w:tcPr>
          <w:p>
            <w:pPr>
              <w:pStyle w:val="yTableNAm"/>
            </w:pPr>
            <w:r>
              <w:t>(d)</w:t>
            </w:r>
            <w:r>
              <w:tab/>
              <w:t>between 1 001 and 5 000</w:t>
            </w:r>
          </w:p>
        </w:tc>
        <w:tc>
          <w:tcPr>
            <w:tcW w:w="1134" w:type="dxa"/>
            <w:tcBorders>
              <w:top w:val="nil"/>
              <w:bottom w:val="nil"/>
            </w:tcBorders>
            <w:vAlign w:val="bottom"/>
          </w:tcPr>
          <w:p>
            <w:pPr>
              <w:pStyle w:val="yTableNAm"/>
              <w:jc w:val="right"/>
            </w:pPr>
            <w:r>
              <w:rPr>
                <w:szCs w:val="22"/>
              </w:rPr>
              <w:t>1 324.00</w:t>
            </w:r>
          </w:p>
        </w:tc>
      </w:tr>
      <w:tr>
        <w:trPr>
          <w:cantSplit/>
        </w:trPr>
        <w:tc>
          <w:tcPr>
            <w:tcW w:w="846" w:type="dxa"/>
            <w:tcBorders>
              <w:top w:val="nil"/>
              <w:bottom w:val="nil"/>
            </w:tcBorders>
          </w:tcPr>
          <w:p/>
        </w:tc>
        <w:tc>
          <w:tcPr>
            <w:tcW w:w="4819" w:type="dxa"/>
            <w:tcBorders>
              <w:top w:val="nil"/>
              <w:bottom w:val="nil"/>
            </w:tcBorders>
          </w:tcPr>
          <w:p>
            <w:pPr>
              <w:pStyle w:val="yTableNAm"/>
            </w:pPr>
            <w:r>
              <w:t>(e)</w:t>
            </w:r>
            <w:r>
              <w:tab/>
              <w:t>between 5 001 and 10 000</w:t>
            </w:r>
          </w:p>
        </w:tc>
        <w:tc>
          <w:tcPr>
            <w:tcW w:w="1134" w:type="dxa"/>
            <w:tcBorders>
              <w:top w:val="nil"/>
              <w:bottom w:val="nil"/>
            </w:tcBorders>
            <w:vAlign w:val="bottom"/>
          </w:tcPr>
          <w:p>
            <w:pPr>
              <w:pStyle w:val="yTableNAm"/>
              <w:jc w:val="right"/>
            </w:pPr>
            <w:r>
              <w:rPr>
                <w:szCs w:val="22"/>
              </w:rPr>
              <w:t>2 653.00</w:t>
            </w:r>
          </w:p>
        </w:tc>
      </w:tr>
      <w:tr>
        <w:trPr>
          <w:cantSplit/>
        </w:trPr>
        <w:tc>
          <w:tcPr>
            <w:tcW w:w="846" w:type="dxa"/>
            <w:tcBorders>
              <w:top w:val="nil"/>
            </w:tcBorders>
          </w:tcPr>
          <w:p/>
        </w:tc>
        <w:tc>
          <w:tcPr>
            <w:tcW w:w="4819" w:type="dxa"/>
            <w:tcBorders>
              <w:top w:val="nil"/>
            </w:tcBorders>
          </w:tcPr>
          <w:p>
            <w:pPr>
              <w:pStyle w:val="yTableNAm"/>
            </w:pPr>
            <w:r>
              <w:t>(f)</w:t>
            </w:r>
            <w:r>
              <w:tab/>
              <w:t>over 10 000</w:t>
            </w:r>
          </w:p>
        </w:tc>
        <w:tc>
          <w:tcPr>
            <w:tcW w:w="1134" w:type="dxa"/>
            <w:tcBorders>
              <w:top w:val="nil"/>
            </w:tcBorders>
            <w:vAlign w:val="bottom"/>
          </w:tcPr>
          <w:p>
            <w:pPr>
              <w:pStyle w:val="yTableNAm"/>
              <w:jc w:val="right"/>
            </w:pPr>
            <w:r>
              <w:rPr>
                <w:szCs w:val="22"/>
              </w:rPr>
              <w:t>5 319.00</w:t>
            </w:r>
          </w:p>
        </w:tc>
      </w:tr>
      <w:tr>
        <w:trPr>
          <w:cantSplit/>
        </w:trPr>
        <w:tc>
          <w:tcPr>
            <w:tcW w:w="846" w:type="dxa"/>
            <w:tcBorders>
              <w:bottom w:val="nil"/>
            </w:tcBorders>
          </w:tcPr>
          <w:p>
            <w:pPr>
              <w:pStyle w:val="yTableNAm"/>
              <w:keepNext/>
            </w:pPr>
            <w:r>
              <w:lastRenderedPageBreak/>
              <w:t>7.</w:t>
            </w:r>
          </w:p>
        </w:tc>
        <w:tc>
          <w:tcPr>
            <w:tcW w:w="4819" w:type="dxa"/>
            <w:tcBorders>
              <w:bottom w:val="nil"/>
            </w:tcBorders>
          </w:tcPr>
          <w:p>
            <w:pPr>
              <w:pStyle w:val="yTableNAm"/>
              <w:keepNext/>
            </w:pPr>
            <w:r>
              <w:t xml:space="preserve">Application for extended trading permit for a period of over 21 days — </w:t>
            </w:r>
          </w:p>
        </w:tc>
        <w:tc>
          <w:tcPr>
            <w:tcW w:w="1134" w:type="dxa"/>
            <w:tcBorders>
              <w:bottom w:val="nil"/>
            </w:tcBorders>
            <w:vAlign w:val="bottom"/>
          </w:tcPr>
          <w:p>
            <w:pPr>
              <w:pStyle w:val="yTableNAm"/>
              <w:keepNext/>
              <w:jc w:val="right"/>
            </w:pPr>
          </w:p>
        </w:tc>
      </w:tr>
      <w:tr>
        <w:trPr>
          <w:cantSplit/>
        </w:trPr>
        <w:tc>
          <w:tcPr>
            <w:tcW w:w="846" w:type="dxa"/>
            <w:tcBorders>
              <w:top w:val="nil"/>
              <w:bottom w:val="single" w:sz="4" w:space="0" w:color="auto"/>
            </w:tcBorders>
          </w:tcPr>
          <w:p/>
        </w:tc>
        <w:tc>
          <w:tcPr>
            <w:tcW w:w="4819" w:type="dxa"/>
            <w:tcBorders>
              <w:top w:val="nil"/>
              <w:bottom w:val="single" w:sz="4" w:space="0" w:color="auto"/>
            </w:tcBorders>
          </w:tcPr>
          <w:p>
            <w:pPr>
              <w:pStyle w:val="yTableNAm"/>
              <w:ind w:left="567" w:hanging="567"/>
            </w:pPr>
            <w:r>
              <w:t>(a)</w:t>
            </w:r>
            <w:r>
              <w:tab/>
              <w:t>issued for the purpose referred to in section 60(4)(e)</w:t>
            </w:r>
          </w:p>
        </w:tc>
        <w:tc>
          <w:tcPr>
            <w:tcW w:w="1134" w:type="dxa"/>
            <w:tcBorders>
              <w:top w:val="nil"/>
              <w:bottom w:val="single" w:sz="4" w:space="0" w:color="auto"/>
            </w:tcBorders>
            <w:vAlign w:val="bottom"/>
          </w:tcPr>
          <w:p>
            <w:pPr>
              <w:pStyle w:val="yTableNAm"/>
              <w:jc w:val="right"/>
            </w:pPr>
            <w:r>
              <w:rPr>
                <w:szCs w:val="22"/>
              </w:rPr>
              <w:t>404.50</w:t>
            </w:r>
          </w:p>
        </w:tc>
      </w:tr>
      <w:tr>
        <w:trPr>
          <w:cantSplit/>
        </w:trPr>
        <w:tc>
          <w:tcPr>
            <w:tcW w:w="846" w:type="dxa"/>
            <w:tcBorders>
              <w:top w:val="single" w:sz="4" w:space="0" w:color="auto"/>
              <w:bottom w:val="nil"/>
            </w:tcBorders>
          </w:tcPr>
          <w:p/>
        </w:tc>
        <w:tc>
          <w:tcPr>
            <w:tcW w:w="4819" w:type="dxa"/>
            <w:tcBorders>
              <w:top w:val="single" w:sz="4" w:space="0" w:color="auto"/>
              <w:bottom w:val="nil"/>
            </w:tcBorders>
          </w:tcPr>
          <w:p>
            <w:pPr>
              <w:pStyle w:val="yTableNAm"/>
              <w:ind w:left="567" w:hanging="567"/>
            </w:pPr>
            <w:r>
              <w:t>(b)</w:t>
            </w:r>
            <w:r>
              <w:tab/>
              <w:t>issued for the purpose referred to in section 60(4)(h)</w:t>
            </w:r>
          </w:p>
        </w:tc>
        <w:tc>
          <w:tcPr>
            <w:tcW w:w="1134" w:type="dxa"/>
            <w:tcBorders>
              <w:top w:val="single" w:sz="4" w:space="0" w:color="auto"/>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 xml:space="preserve">issued for the purpose referred to in section 60(4)(ia)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vAlign w:val="bottom"/>
          </w:tcPr>
          <w:p>
            <w:pPr>
              <w:pStyle w:val="yTableNAm"/>
              <w:jc w:val="right"/>
            </w:pPr>
            <w:r>
              <w:t>340.50</w:t>
            </w:r>
          </w:p>
        </w:tc>
      </w:tr>
      <w:tr>
        <w:trPr>
          <w:cantSplit/>
        </w:trPr>
        <w:tc>
          <w:tcPr>
            <w:tcW w:w="846" w:type="dxa"/>
            <w:tcBorders>
              <w:top w:val="nil"/>
            </w:tcBorders>
          </w:tcPr>
          <w:p/>
        </w:tc>
        <w:tc>
          <w:tcPr>
            <w:tcW w:w="4819" w:type="dxa"/>
            <w:tcBorders>
              <w:top w:val="nil"/>
            </w:tcBorders>
          </w:tcPr>
          <w:p>
            <w:pPr>
              <w:pStyle w:val="yTableNAm"/>
              <w:ind w:left="567" w:hanging="567"/>
              <w:rPr>
                <w:szCs w:val="22"/>
              </w:rPr>
            </w:pPr>
            <w:r>
              <w:rPr>
                <w:szCs w:val="22"/>
              </w:rPr>
              <w:t>(d)</w:t>
            </w:r>
            <w:r>
              <w:rPr>
                <w:szCs w:val="22"/>
              </w:rPr>
              <w:tab/>
              <w:t xml:space="preserve">issued for any </w:t>
            </w:r>
            <w:r>
              <w:t>other</w:t>
            </w:r>
            <w:r>
              <w:rPr>
                <w:szCs w:val="22"/>
              </w:rPr>
              <w:t xml:space="preserve"> purpose</w:t>
            </w:r>
          </w:p>
        </w:tc>
        <w:tc>
          <w:tcPr>
            <w:tcW w:w="1134" w:type="dxa"/>
            <w:tcBorders>
              <w:top w:val="nil"/>
            </w:tcBorders>
            <w:vAlign w:val="bottom"/>
          </w:tcPr>
          <w:p>
            <w:pPr>
              <w:pStyle w:val="yTableNAm"/>
              <w:jc w:val="right"/>
            </w:pPr>
            <w:r>
              <w:t>1 361.50</w:t>
            </w:r>
          </w:p>
        </w:tc>
      </w:tr>
      <w:tr>
        <w:trPr>
          <w:cantSplit/>
        </w:trPr>
        <w:tc>
          <w:tcPr>
            <w:tcW w:w="846" w:type="dxa"/>
            <w:tcBorders>
              <w:bottom w:val="nil"/>
            </w:tcBorders>
          </w:tcPr>
          <w:p>
            <w:pPr>
              <w:pStyle w:val="yTableNAm"/>
            </w:pPr>
            <w:r>
              <w:t>8.</w:t>
            </w:r>
          </w:p>
        </w:tc>
        <w:tc>
          <w:tcPr>
            <w:tcW w:w="4819" w:type="dxa"/>
            <w:tcBorders>
              <w:bottom w:val="nil"/>
            </w:tcBorders>
          </w:tcPr>
          <w:p>
            <w:pPr>
              <w:pStyle w:val="yTableNAm"/>
            </w:pPr>
            <w:r>
              <w:t xml:space="preserve">Application for extended trading permit (in respect of a licence other than a club restricted licence) for a period of 21 days or less if the maximum number of patrons on any day of the period to which the application relates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ind w:left="567" w:hanging="567"/>
            </w:pPr>
            <w:r>
              <w:t>(e)</w:t>
            </w:r>
            <w: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lastRenderedPageBreak/>
              <w:t>9.</w:t>
            </w:r>
          </w:p>
        </w:tc>
        <w:tc>
          <w:tcPr>
            <w:tcW w:w="4819" w:type="dxa"/>
          </w:tcPr>
          <w:p>
            <w:pPr>
              <w:pStyle w:val="yTableNAm"/>
            </w:pPr>
            <w:r>
              <w:t>Application for extended trading permit (in respect of a club restricted licence) for a period of 21 days or less</w:t>
            </w:r>
          </w:p>
        </w:tc>
        <w:tc>
          <w:tcPr>
            <w:tcW w:w="1134" w:type="dxa"/>
            <w:vAlign w:val="bottom"/>
          </w:tcPr>
          <w:p>
            <w:pPr>
              <w:pStyle w:val="yTableNAm"/>
              <w:jc w:val="right"/>
            </w:pPr>
            <w:r>
              <w:t>49.50</w:t>
            </w:r>
          </w:p>
        </w:tc>
      </w:tr>
      <w:tr>
        <w:trPr>
          <w:cantSplit/>
        </w:trPr>
        <w:tc>
          <w:tcPr>
            <w:tcW w:w="846" w:type="dxa"/>
            <w:tcBorders>
              <w:bottom w:val="nil"/>
            </w:tcBorders>
          </w:tcPr>
          <w:p>
            <w:pPr>
              <w:pStyle w:val="yTableNAm"/>
            </w:pPr>
            <w:r>
              <w:t>10.</w:t>
            </w:r>
          </w:p>
        </w:tc>
        <w:tc>
          <w:tcPr>
            <w:tcW w:w="4819" w:type="dxa"/>
            <w:tcBorders>
              <w:bottom w:val="nil"/>
            </w:tcBorders>
          </w:tcPr>
          <w:p>
            <w:pPr>
              <w:pStyle w:val="yTableNAm"/>
            </w:pPr>
            <w:r>
              <w:t xml:space="preserve">Application for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14DA(3)</w:t>
            </w:r>
          </w:p>
        </w:tc>
        <w:tc>
          <w:tcPr>
            <w:tcW w:w="1134" w:type="dxa"/>
            <w:tcBorders>
              <w:top w:val="nil"/>
              <w:bottom w:val="nil"/>
            </w:tcBorders>
            <w:vAlign w:val="bottom"/>
          </w:tcPr>
          <w:p>
            <w:pPr>
              <w:pStyle w:val="yTableNAm"/>
              <w:jc w:val="right"/>
            </w:pPr>
            <w:r>
              <w:t>207.00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lodged under r. 14ADA(4)(a)</w:t>
            </w:r>
          </w:p>
        </w:tc>
        <w:tc>
          <w:tcPr>
            <w:tcW w:w="1134" w:type="dxa"/>
            <w:tcBorders>
              <w:top w:val="nil"/>
              <w:bottom w:val="nil"/>
            </w:tcBorders>
            <w:vAlign w:val="bottom"/>
          </w:tcPr>
          <w:p>
            <w:pPr>
              <w:pStyle w:val="yTableNAm"/>
              <w:jc w:val="right"/>
            </w:pPr>
            <w:r>
              <w:t>68.00</w:t>
            </w:r>
          </w:p>
        </w:tc>
      </w:tr>
      <w:tr>
        <w:trPr>
          <w:cantSplit/>
        </w:trPr>
        <w:tc>
          <w:tcPr>
            <w:tcW w:w="846" w:type="dxa"/>
            <w:tcBorders>
              <w:top w:val="nil"/>
            </w:tcBorders>
          </w:tcPr>
          <w:p/>
        </w:tc>
        <w:tc>
          <w:tcPr>
            <w:tcW w:w="4819" w:type="dxa"/>
            <w:tcBorders>
              <w:top w:val="nil"/>
            </w:tcBorders>
          </w:tcPr>
          <w:p>
            <w:pPr>
              <w:pStyle w:val="yTableNAm"/>
            </w:pPr>
            <w:r>
              <w:t>(c)</w:t>
            </w:r>
            <w:r>
              <w:tab/>
              <w:t>lodged under r. 14ADA(4)(b)</w:t>
            </w:r>
          </w:p>
        </w:tc>
        <w:tc>
          <w:tcPr>
            <w:tcW w:w="1134" w:type="dxa"/>
            <w:tcBorders>
              <w:top w:val="nil"/>
            </w:tcBorders>
            <w:vAlign w:val="bottom"/>
          </w:tcPr>
          <w:p>
            <w:pPr>
              <w:pStyle w:val="yTableNAm"/>
              <w:jc w:val="right"/>
            </w:pPr>
            <w:r>
              <w:t>17.50</w:t>
            </w:r>
          </w:p>
        </w:tc>
      </w:tr>
      <w:tr>
        <w:trPr>
          <w:cantSplit/>
        </w:trPr>
        <w:tc>
          <w:tcPr>
            <w:tcW w:w="846" w:type="dxa"/>
            <w:tcBorders>
              <w:bottom w:val="nil"/>
            </w:tcBorders>
          </w:tcPr>
          <w:p>
            <w:pPr>
              <w:pStyle w:val="yTableNAm"/>
            </w:pPr>
            <w:r>
              <w:t>11.</w:t>
            </w:r>
          </w:p>
        </w:tc>
        <w:tc>
          <w:tcPr>
            <w:tcW w:w="4819" w:type="dxa"/>
            <w:tcBorders>
              <w:bottom w:val="nil"/>
            </w:tcBorders>
          </w:tcPr>
          <w:p>
            <w:pPr>
              <w:pStyle w:val="yTableNAm"/>
            </w:pPr>
            <w:r>
              <w:t xml:space="preserve">Application for renewal of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14ADD(3)(a)</w:t>
            </w:r>
          </w:p>
        </w:tc>
        <w:tc>
          <w:tcPr>
            <w:tcW w:w="1134" w:type="dxa"/>
            <w:tcBorders>
              <w:top w:val="nil"/>
              <w:bottom w:val="nil"/>
            </w:tcBorders>
            <w:vAlign w:val="bottom"/>
          </w:tcPr>
          <w:p>
            <w:pPr>
              <w:pStyle w:val="yTableNAm"/>
              <w:jc w:val="right"/>
            </w:pPr>
            <w:r>
              <w:t>186.50</w:t>
            </w:r>
          </w:p>
        </w:tc>
      </w:tr>
      <w:tr>
        <w:trPr>
          <w:cantSplit/>
        </w:trPr>
        <w:tc>
          <w:tcPr>
            <w:tcW w:w="846" w:type="dxa"/>
            <w:tcBorders>
              <w:top w:val="nil"/>
            </w:tcBorders>
          </w:tcPr>
          <w:p/>
        </w:tc>
        <w:tc>
          <w:tcPr>
            <w:tcW w:w="4819" w:type="dxa"/>
            <w:tcBorders>
              <w:top w:val="nil"/>
            </w:tcBorders>
          </w:tcPr>
          <w:p>
            <w:pPr>
              <w:pStyle w:val="yTableNAm"/>
            </w:pPr>
            <w:r>
              <w:t>(b)</w:t>
            </w:r>
            <w:r>
              <w:tab/>
              <w:t>lodged under r. 14ADD(3)(b)</w:t>
            </w:r>
          </w:p>
        </w:tc>
        <w:tc>
          <w:tcPr>
            <w:tcW w:w="1134" w:type="dxa"/>
            <w:tcBorders>
              <w:top w:val="nil"/>
            </w:tcBorders>
            <w:vAlign w:val="bottom"/>
          </w:tcPr>
          <w:p>
            <w:pPr>
              <w:pStyle w:val="yTableNAm"/>
              <w:jc w:val="right"/>
            </w:pPr>
            <w:r>
              <w:t>145.50</w:t>
            </w:r>
          </w:p>
        </w:tc>
      </w:tr>
      <w:tr>
        <w:trPr>
          <w:cantSplit/>
        </w:trPr>
        <w:tc>
          <w:tcPr>
            <w:tcW w:w="846" w:type="dxa"/>
            <w:tcBorders>
              <w:bottom w:val="nil"/>
            </w:tcBorders>
          </w:tcPr>
          <w:p>
            <w:pPr>
              <w:pStyle w:val="yTableNAm"/>
            </w:pPr>
            <w:r>
              <w:t>12.</w:t>
            </w:r>
          </w:p>
        </w:tc>
        <w:tc>
          <w:tcPr>
            <w:tcW w:w="4819" w:type="dxa"/>
            <w:tcBorders>
              <w:bottom w:val="nil"/>
            </w:tcBorders>
          </w:tcPr>
          <w:p>
            <w:pPr>
              <w:pStyle w:val="yTableNAm"/>
            </w:pPr>
            <w:r>
              <w:t xml:space="preserve">Application for replacement identification card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14ADF(2)(b)(i)</w:t>
            </w:r>
          </w:p>
        </w:tc>
        <w:tc>
          <w:tcPr>
            <w:tcW w:w="1134" w:type="dxa"/>
            <w:tcBorders>
              <w:top w:val="nil"/>
              <w:bottom w:val="nil"/>
            </w:tcBorders>
            <w:vAlign w:val="bottom"/>
          </w:tcPr>
          <w:p>
            <w:pPr>
              <w:pStyle w:val="yTableNAm"/>
              <w:jc w:val="right"/>
            </w:pPr>
            <w:r>
              <w:t>58.50</w:t>
            </w:r>
          </w:p>
        </w:tc>
      </w:tr>
      <w:tr>
        <w:trPr>
          <w:cantSplit/>
        </w:trPr>
        <w:tc>
          <w:tcPr>
            <w:tcW w:w="846" w:type="dxa"/>
            <w:tcBorders>
              <w:top w:val="nil"/>
            </w:tcBorders>
          </w:tcPr>
          <w:p/>
        </w:tc>
        <w:tc>
          <w:tcPr>
            <w:tcW w:w="4819" w:type="dxa"/>
            <w:tcBorders>
              <w:top w:val="nil"/>
            </w:tcBorders>
          </w:tcPr>
          <w:p>
            <w:pPr>
              <w:pStyle w:val="yTableNAm"/>
            </w:pPr>
            <w:r>
              <w:t>(b)</w:t>
            </w:r>
            <w:r>
              <w:tab/>
              <w:t>lodged under r. 14ADF(2)(b)(ii)</w:t>
            </w:r>
          </w:p>
        </w:tc>
        <w:tc>
          <w:tcPr>
            <w:tcW w:w="1134" w:type="dxa"/>
            <w:tcBorders>
              <w:top w:val="nil"/>
            </w:tcBorders>
            <w:vAlign w:val="bottom"/>
          </w:tcPr>
          <w:p>
            <w:pPr>
              <w:pStyle w:val="yTableNAm"/>
              <w:jc w:val="right"/>
            </w:pPr>
            <w:r>
              <w:t>10.50</w:t>
            </w:r>
          </w:p>
        </w:tc>
      </w:tr>
      <w:tr>
        <w:trPr>
          <w:cantSplit/>
        </w:trPr>
        <w:tc>
          <w:tcPr>
            <w:tcW w:w="846" w:type="dxa"/>
            <w:tcBorders>
              <w:bottom w:val="nil"/>
            </w:tcBorders>
          </w:tcPr>
          <w:p>
            <w:pPr>
              <w:pStyle w:val="yTableNAm"/>
            </w:pPr>
            <w:r>
              <w:t>13.</w:t>
            </w:r>
          </w:p>
        </w:tc>
        <w:tc>
          <w:tcPr>
            <w:tcW w:w="4819" w:type="dxa"/>
            <w:tcBorders>
              <w:bottom w:val="nil"/>
            </w:tcBorders>
          </w:tcPr>
          <w:p>
            <w:pPr>
              <w:pStyle w:val="yTableNAm"/>
            </w:pPr>
            <w:r>
              <w:t xml:space="preserve">Application for approval of person in position of authority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under licence other than club licence or club restricted licence</w:t>
            </w:r>
          </w:p>
        </w:tc>
        <w:tc>
          <w:tcPr>
            <w:tcW w:w="1134" w:type="dxa"/>
            <w:tcBorders>
              <w:top w:val="nil"/>
              <w:bottom w:val="nil"/>
            </w:tcBorders>
            <w:vAlign w:val="bottom"/>
          </w:tcPr>
          <w:p>
            <w:pPr>
              <w:pStyle w:val="yTableNAm"/>
              <w:jc w:val="right"/>
            </w:pPr>
            <w:r>
              <w:t>183.50</w:t>
            </w:r>
          </w:p>
        </w:tc>
      </w:tr>
      <w:tr>
        <w:trPr>
          <w:cantSplit/>
        </w:trPr>
        <w:tc>
          <w:tcPr>
            <w:tcW w:w="846" w:type="dxa"/>
            <w:tcBorders>
              <w:top w:val="nil"/>
            </w:tcBorders>
          </w:tcPr>
          <w:p/>
        </w:tc>
        <w:tc>
          <w:tcPr>
            <w:tcW w:w="4819" w:type="dxa"/>
            <w:tcBorders>
              <w:top w:val="nil"/>
            </w:tcBorders>
          </w:tcPr>
          <w:p>
            <w:pPr>
              <w:pStyle w:val="yTableNAm"/>
            </w:pPr>
            <w:r>
              <w:t>(b)</w:t>
            </w:r>
            <w:r>
              <w:tab/>
              <w:t>under club licence or club restricted licence</w:t>
            </w:r>
          </w:p>
        </w:tc>
        <w:tc>
          <w:tcPr>
            <w:tcW w:w="1134" w:type="dxa"/>
            <w:tcBorders>
              <w:top w:val="nil"/>
            </w:tcBorders>
            <w:vAlign w:val="bottom"/>
          </w:tcPr>
          <w:p>
            <w:pPr>
              <w:pStyle w:val="yTableNAm"/>
              <w:jc w:val="right"/>
            </w:pPr>
            <w:r>
              <w:t>125.50</w:t>
            </w:r>
          </w:p>
        </w:tc>
      </w:tr>
      <w:tr>
        <w:trPr>
          <w:cantSplit/>
        </w:trPr>
        <w:tc>
          <w:tcPr>
            <w:tcW w:w="846" w:type="dxa"/>
          </w:tcPr>
          <w:p>
            <w:pPr>
              <w:pStyle w:val="yTableNAm"/>
            </w:pPr>
            <w:r>
              <w:t>14.</w:t>
            </w:r>
          </w:p>
        </w:tc>
        <w:tc>
          <w:tcPr>
            <w:tcW w:w="4819" w:type="dxa"/>
          </w:tcPr>
          <w:p>
            <w:pPr>
              <w:pStyle w:val="yTableNAm"/>
            </w:pPr>
            <w:r>
              <w:t>Application for approval for alteration or redefinition of licensed premises</w:t>
            </w:r>
          </w:p>
        </w:tc>
        <w:tc>
          <w:tcPr>
            <w:tcW w:w="1134" w:type="dxa"/>
            <w:vAlign w:val="bottom"/>
          </w:tcPr>
          <w:p>
            <w:pPr>
              <w:pStyle w:val="yTableNAm"/>
              <w:jc w:val="right"/>
            </w:pPr>
            <w:r>
              <w:t>463.50</w:t>
            </w:r>
          </w:p>
        </w:tc>
      </w:tr>
      <w:tr>
        <w:trPr>
          <w:cantSplit/>
        </w:trPr>
        <w:tc>
          <w:tcPr>
            <w:tcW w:w="846" w:type="dxa"/>
          </w:tcPr>
          <w:p>
            <w:pPr>
              <w:pStyle w:val="yTableNAm"/>
            </w:pPr>
            <w:r>
              <w:t>15.</w:t>
            </w:r>
          </w:p>
        </w:tc>
        <w:tc>
          <w:tcPr>
            <w:tcW w:w="4819" w:type="dxa"/>
          </w:tcPr>
          <w:p>
            <w:pPr>
              <w:pStyle w:val="yTableNAm"/>
            </w:pPr>
            <w:r>
              <w:t>Application for a protection order under section 87(1)</w:t>
            </w:r>
          </w:p>
        </w:tc>
        <w:tc>
          <w:tcPr>
            <w:tcW w:w="1134" w:type="dxa"/>
            <w:vAlign w:val="bottom"/>
          </w:tcPr>
          <w:p>
            <w:pPr>
              <w:pStyle w:val="yTableNAm"/>
              <w:jc w:val="right"/>
            </w:pPr>
            <w:r>
              <w:t>269.50</w:t>
            </w:r>
          </w:p>
        </w:tc>
      </w:tr>
      <w:tr>
        <w:trPr>
          <w:cantSplit/>
        </w:trPr>
        <w:tc>
          <w:tcPr>
            <w:tcW w:w="846" w:type="dxa"/>
          </w:tcPr>
          <w:p>
            <w:pPr>
              <w:pStyle w:val="yTableNAm"/>
            </w:pPr>
            <w:r>
              <w:lastRenderedPageBreak/>
              <w:t>16.</w:t>
            </w:r>
          </w:p>
        </w:tc>
        <w:tc>
          <w:tcPr>
            <w:tcW w:w="4819" w:type="dxa"/>
          </w:tcPr>
          <w:p>
            <w:pPr>
              <w:pStyle w:val="yTableNAm"/>
            </w:pPr>
            <w:r>
              <w:t>Application for duplicate licence</w:t>
            </w:r>
          </w:p>
        </w:tc>
        <w:tc>
          <w:tcPr>
            <w:tcW w:w="1134" w:type="dxa"/>
            <w:vAlign w:val="bottom"/>
          </w:tcPr>
          <w:p>
            <w:pPr>
              <w:pStyle w:val="yTableNAm"/>
              <w:jc w:val="right"/>
            </w:pPr>
            <w:r>
              <w:t>40.00</w:t>
            </w:r>
          </w:p>
        </w:tc>
      </w:tr>
      <w:tr>
        <w:trPr>
          <w:cantSplit/>
        </w:trPr>
        <w:tc>
          <w:tcPr>
            <w:tcW w:w="846" w:type="dxa"/>
          </w:tcPr>
          <w:p>
            <w:pPr>
              <w:pStyle w:val="yTableNAm"/>
            </w:pPr>
            <w:r>
              <w:t>17.</w:t>
            </w:r>
          </w:p>
        </w:tc>
        <w:tc>
          <w:tcPr>
            <w:tcW w:w="4819" w:type="dxa"/>
          </w:tcPr>
          <w:p>
            <w:pPr>
              <w:pStyle w:val="yTableNAm"/>
            </w:pPr>
            <w:r>
              <w:t>Application for approval of change of name of licensed premises</w:t>
            </w:r>
          </w:p>
        </w:tc>
        <w:tc>
          <w:tcPr>
            <w:tcW w:w="1134" w:type="dxa"/>
            <w:vAlign w:val="bottom"/>
          </w:tcPr>
          <w:p>
            <w:pPr>
              <w:pStyle w:val="yTableNAm"/>
              <w:jc w:val="right"/>
            </w:pPr>
            <w:r>
              <w:t>84.50</w:t>
            </w:r>
          </w:p>
        </w:tc>
      </w:tr>
      <w:tr>
        <w:trPr>
          <w:cantSplit/>
        </w:trPr>
        <w:tc>
          <w:tcPr>
            <w:tcW w:w="846" w:type="dxa"/>
            <w:tcBorders>
              <w:bottom w:val="nil"/>
            </w:tcBorders>
          </w:tcPr>
          <w:p>
            <w:pPr>
              <w:pStyle w:val="yTableNAm"/>
            </w:pPr>
            <w:r>
              <w:t>18.</w:t>
            </w:r>
          </w:p>
        </w:tc>
        <w:tc>
          <w:tcPr>
            <w:tcW w:w="4819" w:type="dxa"/>
            <w:tcBorders>
              <w:bottom w:val="nil"/>
            </w:tcBorders>
          </w:tcPr>
          <w:p>
            <w:pPr>
              <w:pStyle w:val="yTableNAm"/>
            </w:pPr>
            <w:r>
              <w:t xml:space="preserve">Application to add, vary or cancel condition of licence or permit (other than club restricted licence)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for a period of over 21 days</w:t>
            </w:r>
          </w:p>
        </w:tc>
        <w:tc>
          <w:tcPr>
            <w:tcW w:w="1134" w:type="dxa"/>
            <w:tcBorders>
              <w:top w:val="nil"/>
              <w:bottom w:val="nil"/>
            </w:tcBorders>
            <w:vAlign w:val="bottom"/>
          </w:tcPr>
          <w:p>
            <w:pPr>
              <w:pStyle w:val="yTableNAm"/>
              <w:jc w:val="right"/>
            </w:pPr>
            <w:r>
              <w:t>276.00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19.</w:t>
            </w:r>
          </w:p>
        </w:tc>
        <w:tc>
          <w:tcPr>
            <w:tcW w:w="4819" w:type="dxa"/>
          </w:tcPr>
          <w:p>
            <w:pPr>
              <w:pStyle w:val="yTableNAm"/>
            </w:pPr>
            <w:r>
              <w:t>Application to add, vary or cancel condition of club restricted licence</w:t>
            </w:r>
          </w:p>
        </w:tc>
        <w:tc>
          <w:tcPr>
            <w:tcW w:w="1134" w:type="dxa"/>
            <w:vAlign w:val="bottom"/>
          </w:tcPr>
          <w:p>
            <w:pPr>
              <w:pStyle w:val="yTableNAm"/>
              <w:jc w:val="right"/>
            </w:pPr>
            <w:r>
              <w:t>50.50</w:t>
            </w:r>
          </w:p>
        </w:tc>
      </w:tr>
      <w:tr>
        <w:trPr>
          <w:cantSplit/>
        </w:trPr>
        <w:tc>
          <w:tcPr>
            <w:tcW w:w="846" w:type="dxa"/>
          </w:tcPr>
          <w:p>
            <w:pPr>
              <w:pStyle w:val="yTableNAm"/>
            </w:pPr>
            <w:r>
              <w:t>20.</w:t>
            </w:r>
          </w:p>
        </w:tc>
        <w:tc>
          <w:tcPr>
            <w:tcW w:w="4819" w:type="dxa"/>
          </w:tcPr>
          <w:p>
            <w:pPr>
              <w:pStyle w:val="yTableNAm"/>
            </w:pPr>
            <w:r>
              <w:t>Application under section 62(6) to vary any plans or specifications the subject of a condition</w:t>
            </w:r>
          </w:p>
        </w:tc>
        <w:tc>
          <w:tcPr>
            <w:tcW w:w="1134" w:type="dxa"/>
            <w:vAlign w:val="bottom"/>
          </w:tcPr>
          <w:p>
            <w:pPr>
              <w:pStyle w:val="yTableNAm"/>
              <w:jc w:val="right"/>
            </w:pPr>
            <w:r>
              <w:t>321.00</w:t>
            </w:r>
          </w:p>
        </w:tc>
      </w:tr>
      <w:tr>
        <w:trPr>
          <w:cantSplit/>
        </w:trPr>
        <w:tc>
          <w:tcPr>
            <w:tcW w:w="846" w:type="dxa"/>
          </w:tcPr>
          <w:p>
            <w:pPr>
              <w:pStyle w:val="yTableNAm"/>
            </w:pPr>
            <w:r>
              <w:t>21.</w:t>
            </w:r>
          </w:p>
        </w:tc>
        <w:tc>
          <w:tcPr>
            <w:tcW w:w="4819" w:type="dxa"/>
          </w:tcPr>
          <w:p>
            <w:pPr>
              <w:pStyle w:val="yTableNAm"/>
            </w:pPr>
            <w:r>
              <w:t>Application for approval of agreement or arrangement</w:t>
            </w:r>
          </w:p>
        </w:tc>
        <w:tc>
          <w:tcPr>
            <w:tcW w:w="1134" w:type="dxa"/>
            <w:vAlign w:val="bottom"/>
          </w:tcPr>
          <w:p>
            <w:pPr>
              <w:pStyle w:val="yTableNAm"/>
              <w:jc w:val="right"/>
            </w:pPr>
            <w:r>
              <w:t>269.50</w:t>
            </w:r>
          </w:p>
        </w:tc>
      </w:tr>
      <w:tr>
        <w:trPr>
          <w:cantSplit/>
        </w:trPr>
        <w:tc>
          <w:tcPr>
            <w:tcW w:w="846" w:type="dxa"/>
          </w:tcPr>
          <w:p>
            <w:pPr>
              <w:pStyle w:val="yTableNAm"/>
            </w:pPr>
            <w:r>
              <w:t>22.</w:t>
            </w:r>
          </w:p>
        </w:tc>
        <w:tc>
          <w:tcPr>
            <w:tcW w:w="4819" w:type="dxa"/>
          </w:tcPr>
          <w:p>
            <w:pPr>
              <w:pStyle w:val="yTableNAm"/>
            </w:pPr>
            <w:r>
              <w:t>Application under section 115AD for review of decision to give notice</w:t>
            </w:r>
          </w:p>
        </w:tc>
        <w:tc>
          <w:tcPr>
            <w:tcW w:w="1134" w:type="dxa"/>
            <w:vAlign w:val="bottom"/>
          </w:tcPr>
          <w:p>
            <w:pPr>
              <w:pStyle w:val="yTableNAm"/>
              <w:jc w:val="right"/>
            </w:pPr>
            <w:r>
              <w:t>280.50</w:t>
            </w:r>
          </w:p>
        </w:tc>
      </w:tr>
      <w:tr>
        <w:trPr>
          <w:cantSplit/>
        </w:trPr>
        <w:tc>
          <w:tcPr>
            <w:tcW w:w="846" w:type="dxa"/>
          </w:tcPr>
          <w:p>
            <w:pPr>
              <w:pStyle w:val="yTableNAm"/>
            </w:pPr>
            <w:r>
              <w:lastRenderedPageBreak/>
              <w:t>23.</w:t>
            </w:r>
          </w:p>
        </w:tc>
        <w:tc>
          <w:tcPr>
            <w:tcW w:w="4819" w:type="dxa"/>
          </w:tcPr>
          <w:p>
            <w:pPr>
              <w:pStyle w:val="yTableNAm"/>
            </w:pPr>
            <w:r>
              <w:t>Application under section 152NH(2) for review of decision to make or vary short</w:t>
            </w:r>
            <w:r>
              <w:noBreakHyphen/>
              <w:t>term exclusion order</w:t>
            </w:r>
          </w:p>
        </w:tc>
        <w:tc>
          <w:tcPr>
            <w:tcW w:w="1134" w:type="dxa"/>
            <w:vAlign w:val="bottom"/>
          </w:tcPr>
          <w:p>
            <w:pPr>
              <w:pStyle w:val="yTableNAm"/>
              <w:jc w:val="right"/>
            </w:pPr>
            <w:r>
              <w:t>280.50</w:t>
            </w:r>
          </w:p>
        </w:tc>
      </w:tr>
      <w:tr>
        <w:trPr>
          <w:cantSplit/>
        </w:trPr>
        <w:tc>
          <w:tcPr>
            <w:tcW w:w="846" w:type="dxa"/>
          </w:tcPr>
          <w:p>
            <w:pPr>
              <w:pStyle w:val="yTableNAm"/>
            </w:pPr>
            <w:r>
              <w:t>24.</w:t>
            </w:r>
          </w:p>
        </w:tc>
        <w:tc>
          <w:tcPr>
            <w:tcW w:w="4819" w:type="dxa"/>
          </w:tcPr>
          <w:p>
            <w:pPr>
              <w:pStyle w:val="yTableNAm"/>
            </w:pPr>
            <w:r>
              <w:t>Application under section 119A for approval to conduct non</w:t>
            </w:r>
            <w:r>
              <w:noBreakHyphen/>
              <w:t>liquor business on licensed premises</w:t>
            </w:r>
          </w:p>
        </w:tc>
        <w:tc>
          <w:tcPr>
            <w:tcW w:w="1134" w:type="dxa"/>
            <w:vAlign w:val="bottom"/>
          </w:tcPr>
          <w:p>
            <w:pPr>
              <w:pStyle w:val="yTableNAm"/>
              <w:jc w:val="right"/>
            </w:pPr>
            <w:r>
              <w:t>255.50</w:t>
            </w:r>
          </w:p>
        </w:tc>
      </w:tr>
      <w:tr>
        <w:trPr>
          <w:cantSplit/>
        </w:trPr>
        <w:tc>
          <w:tcPr>
            <w:tcW w:w="846" w:type="dxa"/>
          </w:tcPr>
          <w:p>
            <w:pPr>
              <w:pStyle w:val="yTableNAm"/>
            </w:pPr>
            <w:r>
              <w:t>25.</w:t>
            </w:r>
          </w:p>
        </w:tc>
        <w:tc>
          <w:tcPr>
            <w:tcW w:w="4819" w:type="dxa"/>
          </w:tcPr>
          <w:p>
            <w:pPr>
              <w:pStyle w:val="yTableNAm"/>
            </w:pPr>
            <w:r>
              <w:t>Application under section 152W(3), other than by an occupier of premises, for a liquor restriction declaration in relation to the premises</w:t>
            </w:r>
          </w:p>
        </w:tc>
        <w:tc>
          <w:tcPr>
            <w:tcW w:w="1134" w:type="dxa"/>
            <w:vAlign w:val="bottom"/>
          </w:tcPr>
          <w:p>
            <w:pPr>
              <w:pStyle w:val="yTableNAm"/>
              <w:jc w:val="right"/>
            </w:pPr>
            <w:r>
              <w:t>306.50</w:t>
            </w:r>
          </w:p>
        </w:tc>
      </w:tr>
      <w:tr>
        <w:trPr>
          <w:cantSplit/>
        </w:trPr>
        <w:tc>
          <w:tcPr>
            <w:tcW w:w="846" w:type="dxa"/>
          </w:tcPr>
          <w:p>
            <w:pPr>
              <w:pStyle w:val="yTableNAm"/>
            </w:pPr>
            <w:r>
              <w:t>26.</w:t>
            </w:r>
          </w:p>
        </w:tc>
        <w:tc>
          <w:tcPr>
            <w:tcW w:w="4819" w:type="dxa"/>
          </w:tcPr>
          <w:p>
            <w:pPr>
              <w:pStyle w:val="yTableNAm"/>
            </w:pPr>
            <w:r>
              <w:t>Application under section 126A for approval of entertainment for juveniles on licensed premises</w:t>
            </w:r>
          </w:p>
        </w:tc>
        <w:tc>
          <w:tcPr>
            <w:tcW w:w="1134" w:type="dxa"/>
            <w:vAlign w:val="bottom"/>
          </w:tcPr>
          <w:p>
            <w:pPr>
              <w:pStyle w:val="yTableNAm"/>
              <w:jc w:val="right"/>
            </w:pPr>
            <w:r>
              <w:t>73.50</w:t>
            </w:r>
          </w:p>
        </w:tc>
      </w:tr>
      <w:tr>
        <w:trPr>
          <w:cantSplit/>
        </w:trPr>
        <w:tc>
          <w:tcPr>
            <w:tcW w:w="846" w:type="dxa"/>
          </w:tcPr>
          <w:p>
            <w:pPr>
              <w:pStyle w:val="yTableNAm"/>
            </w:pPr>
            <w:r>
              <w:t>27.</w:t>
            </w:r>
          </w:p>
        </w:tc>
        <w:tc>
          <w:tcPr>
            <w:tcW w:w="4819" w:type="dxa"/>
          </w:tcPr>
          <w:p>
            <w:pPr>
              <w:pStyle w:val="yTableNAm"/>
            </w:pPr>
            <w:r>
              <w:t>Supply of list of licensed premises, or list of owners of licensed premises, in electronic form</w:t>
            </w:r>
          </w:p>
        </w:tc>
        <w:tc>
          <w:tcPr>
            <w:tcW w:w="1134" w:type="dxa"/>
            <w:vAlign w:val="bottom"/>
          </w:tcPr>
          <w:p>
            <w:pPr>
              <w:pStyle w:val="yTableNAm"/>
              <w:jc w:val="right"/>
            </w:pPr>
            <w:r>
              <w:t>67.00</w:t>
            </w:r>
          </w:p>
        </w:tc>
      </w:tr>
      <w:tr>
        <w:trPr>
          <w:cantSplit/>
        </w:trPr>
        <w:tc>
          <w:tcPr>
            <w:tcW w:w="846" w:type="dxa"/>
          </w:tcPr>
          <w:p>
            <w:pPr>
              <w:pStyle w:val="yTableNAm"/>
            </w:pPr>
            <w:r>
              <w:t>28.</w:t>
            </w:r>
          </w:p>
        </w:tc>
        <w:tc>
          <w:tcPr>
            <w:tcW w:w="4819" w:type="dxa"/>
          </w:tcPr>
          <w:p>
            <w:pPr>
              <w:pStyle w:val="yTableNAm"/>
            </w:pPr>
            <w:r>
              <w:t>Supply of address labels for licensed premises</w:t>
            </w:r>
          </w:p>
        </w:tc>
        <w:tc>
          <w:tcPr>
            <w:tcW w:w="1134" w:type="dxa"/>
            <w:vAlign w:val="bottom"/>
          </w:tcPr>
          <w:p>
            <w:pPr>
              <w:pStyle w:val="yTableNAm"/>
              <w:jc w:val="right"/>
            </w:pPr>
            <w:r>
              <w:t>164.50</w:t>
            </w:r>
          </w:p>
        </w:tc>
      </w:tr>
      <w:tr>
        <w:trPr>
          <w:cantSplit/>
        </w:trPr>
        <w:tc>
          <w:tcPr>
            <w:tcW w:w="846" w:type="dxa"/>
          </w:tcPr>
          <w:p>
            <w:pPr>
              <w:pStyle w:val="yTableNAm"/>
            </w:pPr>
            <w:r>
              <w:t>29.</w:t>
            </w:r>
          </w:p>
        </w:tc>
        <w:tc>
          <w:tcPr>
            <w:tcW w:w="4819" w:type="dxa"/>
          </w:tcPr>
          <w:p>
            <w:pPr>
              <w:pStyle w:val="yTableNAm"/>
            </w:pPr>
            <w:r>
              <w:t>Supply of approved heading for advertising an application</w:t>
            </w:r>
          </w:p>
        </w:tc>
        <w:tc>
          <w:tcPr>
            <w:tcW w:w="1134" w:type="dxa"/>
            <w:vAlign w:val="bottom"/>
          </w:tcPr>
          <w:p>
            <w:pPr>
              <w:pStyle w:val="yTableNAm"/>
              <w:jc w:val="right"/>
            </w:pPr>
            <w:r>
              <w:t>30.50</w:t>
            </w:r>
          </w:p>
        </w:tc>
      </w:tr>
      <w:tr>
        <w:trPr>
          <w:cantSplit/>
        </w:trPr>
        <w:tc>
          <w:tcPr>
            <w:tcW w:w="846" w:type="dxa"/>
          </w:tcPr>
          <w:p>
            <w:pPr>
              <w:pStyle w:val="yTableNAm"/>
            </w:pPr>
            <w:r>
              <w:t>30.</w:t>
            </w:r>
          </w:p>
        </w:tc>
        <w:tc>
          <w:tcPr>
            <w:tcW w:w="4819" w:type="dxa"/>
          </w:tcPr>
          <w:p>
            <w:pPr>
              <w:pStyle w:val="yTableNAm"/>
            </w:pPr>
            <w:r>
              <w:t>Supply of copy of plan — per sheet</w:t>
            </w:r>
          </w:p>
        </w:tc>
        <w:tc>
          <w:tcPr>
            <w:tcW w:w="1134" w:type="dxa"/>
            <w:vAlign w:val="bottom"/>
          </w:tcPr>
          <w:p>
            <w:pPr>
              <w:pStyle w:val="yTableNAm"/>
              <w:jc w:val="right"/>
            </w:pPr>
            <w:r>
              <w:t>30.50 (up to a max. of 243.00)</w:t>
            </w:r>
          </w:p>
        </w:tc>
      </w:tr>
      <w:tr>
        <w:trPr>
          <w:cantSplit/>
        </w:trPr>
        <w:tc>
          <w:tcPr>
            <w:tcW w:w="846" w:type="dxa"/>
          </w:tcPr>
          <w:p>
            <w:pPr>
              <w:pStyle w:val="yTableNAm"/>
            </w:pPr>
            <w:r>
              <w:t>31.</w:t>
            </w:r>
          </w:p>
        </w:tc>
        <w:tc>
          <w:tcPr>
            <w:tcW w:w="4819" w:type="dxa"/>
          </w:tcPr>
          <w:p>
            <w:pPr>
              <w:pStyle w:val="yTableNAm"/>
            </w:pPr>
            <w:r>
              <w:t>Supply of certified copy of plan defining licensed premises</w:t>
            </w:r>
          </w:p>
        </w:tc>
        <w:tc>
          <w:tcPr>
            <w:tcW w:w="1134" w:type="dxa"/>
            <w:vAlign w:val="bottom"/>
          </w:tcPr>
          <w:p>
            <w:pPr>
              <w:pStyle w:val="yTableNAm"/>
              <w:jc w:val="right"/>
            </w:pPr>
            <w:r>
              <w:t>45.50</w:t>
            </w:r>
          </w:p>
        </w:tc>
      </w:tr>
      <w:tr>
        <w:trPr>
          <w:cantSplit/>
        </w:trPr>
        <w:tc>
          <w:tcPr>
            <w:tcW w:w="846" w:type="dxa"/>
          </w:tcPr>
          <w:p>
            <w:pPr>
              <w:pStyle w:val="yTableNAm"/>
            </w:pPr>
            <w:r>
              <w:t>32.</w:t>
            </w:r>
          </w:p>
        </w:tc>
        <w:tc>
          <w:tcPr>
            <w:tcW w:w="4819" w:type="dxa"/>
          </w:tcPr>
          <w:p>
            <w:pPr>
              <w:pStyle w:val="yTableNAm"/>
            </w:pPr>
            <w:r>
              <w:t>Supply of copy of a licence, a permit or a decision of the Commission (or the former Liquor Licensing Court) or the Director</w:t>
            </w:r>
          </w:p>
        </w:tc>
        <w:tc>
          <w:tcPr>
            <w:tcW w:w="1134" w:type="dxa"/>
            <w:vAlign w:val="bottom"/>
          </w:tcPr>
          <w:p>
            <w:pPr>
              <w:pStyle w:val="yTableNAm"/>
              <w:jc w:val="right"/>
            </w:pPr>
            <w:r>
              <w:t>30.50</w:t>
            </w:r>
          </w:p>
        </w:tc>
      </w:tr>
      <w:tr>
        <w:trPr>
          <w:cantSplit/>
        </w:trPr>
        <w:tc>
          <w:tcPr>
            <w:tcW w:w="846" w:type="dxa"/>
          </w:tcPr>
          <w:p>
            <w:pPr>
              <w:pStyle w:val="yTableNAm"/>
            </w:pPr>
            <w:r>
              <w:t>33.</w:t>
            </w:r>
          </w:p>
        </w:tc>
        <w:tc>
          <w:tcPr>
            <w:tcW w:w="4819" w:type="dxa"/>
          </w:tcPr>
          <w:p>
            <w:pPr>
              <w:pStyle w:val="yTableNAm"/>
            </w:pPr>
            <w:r>
              <w:t>Certification of a copy of a licence, a permit or a decision of the Commission (or the former Liquor Licensing Court) or the Director</w:t>
            </w:r>
          </w:p>
          <w:p>
            <w:pPr>
              <w:pStyle w:val="yTableNAm"/>
            </w:pPr>
            <w:r>
              <w:rPr>
                <w:sz w:val="20"/>
              </w:rPr>
              <w:t>[In addition to the fee under item 32]</w:t>
            </w:r>
          </w:p>
        </w:tc>
        <w:tc>
          <w:tcPr>
            <w:tcW w:w="1134" w:type="dxa"/>
            <w:vAlign w:val="bottom"/>
          </w:tcPr>
          <w:p>
            <w:pPr>
              <w:pStyle w:val="yTableNAm"/>
              <w:jc w:val="right"/>
            </w:pPr>
            <w:r>
              <w:t>30.50</w:t>
            </w:r>
          </w:p>
          <w:p>
            <w:pPr>
              <w:pStyle w:val="yTableNAm"/>
              <w:jc w:val="right"/>
            </w:pPr>
          </w:p>
        </w:tc>
      </w:tr>
      <w:tr>
        <w:trPr>
          <w:cantSplit/>
        </w:trPr>
        <w:tc>
          <w:tcPr>
            <w:tcW w:w="846" w:type="dxa"/>
          </w:tcPr>
          <w:p>
            <w:pPr>
              <w:pStyle w:val="yTableNAm"/>
            </w:pPr>
            <w:r>
              <w:lastRenderedPageBreak/>
              <w:t>34.</w:t>
            </w:r>
          </w:p>
        </w:tc>
        <w:tc>
          <w:tcPr>
            <w:tcW w:w="4819" w:type="dxa"/>
          </w:tcPr>
          <w:p>
            <w:pPr>
              <w:pStyle w:val="yTableNAm"/>
            </w:pPr>
            <w:r>
              <w:t>Supply of copy of documentation, other than that already prescribed — per page</w:t>
            </w:r>
          </w:p>
        </w:tc>
        <w:tc>
          <w:tcPr>
            <w:tcW w:w="1134" w:type="dxa"/>
            <w:vAlign w:val="bottom"/>
          </w:tcPr>
          <w:p>
            <w:pPr>
              <w:pStyle w:val="yTableNAm"/>
              <w:jc w:val="right"/>
            </w:pPr>
            <w:r>
              <w:t>4.00</w:t>
            </w:r>
          </w:p>
        </w:tc>
      </w:tr>
      <w:tr>
        <w:trPr>
          <w:cantSplit/>
        </w:trPr>
        <w:tc>
          <w:tcPr>
            <w:tcW w:w="846" w:type="dxa"/>
          </w:tcPr>
          <w:p>
            <w:pPr>
              <w:pStyle w:val="yTableNAm"/>
            </w:pPr>
            <w:r>
              <w:t>35.</w:t>
            </w:r>
          </w:p>
        </w:tc>
        <w:tc>
          <w:tcPr>
            <w:tcW w:w="4819" w:type="dxa"/>
          </w:tcPr>
          <w:p>
            <w:pPr>
              <w:pStyle w:val="yTableNAm"/>
            </w:pPr>
            <w:r>
              <w:t>Issue of a summons to a witness</w:t>
            </w:r>
          </w:p>
        </w:tc>
        <w:tc>
          <w:tcPr>
            <w:tcW w:w="1134" w:type="dxa"/>
            <w:vAlign w:val="bottom"/>
          </w:tcPr>
          <w:p>
            <w:pPr>
              <w:pStyle w:val="yTableNAm"/>
              <w:jc w:val="right"/>
            </w:pPr>
            <w:r>
              <w:t>25.00</w:t>
            </w:r>
          </w:p>
        </w:tc>
      </w:tr>
      <w:tr>
        <w:trPr>
          <w:cantSplit/>
        </w:trPr>
        <w:tc>
          <w:tcPr>
            <w:tcW w:w="846" w:type="dxa"/>
          </w:tcPr>
          <w:p>
            <w:pPr>
              <w:pStyle w:val="yTableNAm"/>
            </w:pPr>
            <w:r>
              <w:t>36.</w:t>
            </w:r>
          </w:p>
        </w:tc>
        <w:tc>
          <w:tcPr>
            <w:tcW w:w="4819" w:type="dxa"/>
          </w:tcPr>
          <w:p>
            <w:pPr>
              <w:pStyle w:val="yTableNAm"/>
            </w:pPr>
            <w:r>
              <w:t>Search of the database of records of licences — per licence</w:t>
            </w:r>
          </w:p>
        </w:tc>
        <w:tc>
          <w:tcPr>
            <w:tcW w:w="1134" w:type="dxa"/>
            <w:vAlign w:val="bottom"/>
          </w:tcPr>
          <w:p>
            <w:pPr>
              <w:pStyle w:val="yTableNAm"/>
              <w:jc w:val="right"/>
            </w:pPr>
            <w:r>
              <w:t>45.50</w:t>
            </w:r>
          </w:p>
        </w:tc>
      </w:tr>
      <w:tr>
        <w:trPr>
          <w:cantSplit/>
        </w:trPr>
        <w:tc>
          <w:tcPr>
            <w:tcW w:w="846" w:type="dxa"/>
          </w:tcPr>
          <w:p>
            <w:pPr>
              <w:pStyle w:val="yTableNAm"/>
            </w:pPr>
            <w:r>
              <w:t>37.</w:t>
            </w:r>
          </w:p>
        </w:tc>
        <w:tc>
          <w:tcPr>
            <w:tcW w:w="4819" w:type="dxa"/>
          </w:tcPr>
          <w:p>
            <w:pPr>
              <w:pStyle w:val="yTableNAm"/>
            </w:pPr>
            <w:r>
              <w:t>Full search of a licence record</w:t>
            </w:r>
          </w:p>
        </w:tc>
        <w:tc>
          <w:tcPr>
            <w:tcW w:w="1134" w:type="dxa"/>
            <w:vAlign w:val="bottom"/>
          </w:tcPr>
          <w:p>
            <w:pPr>
              <w:pStyle w:val="yTableNAm"/>
              <w:jc w:val="right"/>
            </w:pPr>
            <w:r>
              <w:t>58.50</w:t>
            </w:r>
          </w:p>
        </w:tc>
      </w:tr>
      <w:tr>
        <w:trPr>
          <w:cantSplit/>
        </w:trPr>
        <w:tc>
          <w:tcPr>
            <w:tcW w:w="846" w:type="dxa"/>
            <w:tcBorders>
              <w:bottom w:val="nil"/>
            </w:tcBorders>
          </w:tcPr>
          <w:p>
            <w:pPr>
              <w:pStyle w:val="yTableNAm"/>
            </w:pPr>
            <w:r>
              <w:t>38.</w:t>
            </w:r>
          </w:p>
        </w:tc>
        <w:tc>
          <w:tcPr>
            <w:tcW w:w="4819" w:type="dxa"/>
            <w:tcBorders>
              <w:bottom w:val="nil"/>
            </w:tcBorders>
          </w:tcPr>
          <w:p>
            <w:pPr>
              <w:pStyle w:val="yTableNAm"/>
            </w:pPr>
            <w:r>
              <w:t xml:space="preserve">Search of postcodes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vAlign w:val="bottom"/>
          </w:tcPr>
          <w:p>
            <w:pPr>
              <w:pStyle w:val="yTableNAm"/>
              <w:jc w:val="right"/>
            </w:pPr>
            <w:r>
              <w:t>45.50</w:t>
            </w:r>
          </w:p>
        </w:tc>
      </w:tr>
      <w:tr>
        <w:trPr>
          <w:cantSplit/>
        </w:trPr>
        <w:tc>
          <w:tcPr>
            <w:tcW w:w="846" w:type="dxa"/>
            <w:tcBorders>
              <w:top w:val="nil"/>
            </w:tcBorders>
          </w:tcPr>
          <w:p/>
        </w:tc>
        <w:tc>
          <w:tcPr>
            <w:tcW w:w="4819" w:type="dxa"/>
            <w:tcBorders>
              <w:top w:val="nil"/>
            </w:tcBorders>
          </w:tcPr>
          <w:p>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vAlign w:val="bottom"/>
          </w:tcPr>
          <w:p>
            <w:pPr>
              <w:pStyle w:val="yTableNAm"/>
              <w:jc w:val="right"/>
            </w:pPr>
            <w:r>
              <w:t>101.00</w:t>
            </w:r>
          </w:p>
        </w:tc>
      </w:tr>
      <w:tr>
        <w:trPr>
          <w:cantSplit/>
        </w:trPr>
        <w:tc>
          <w:tcPr>
            <w:tcW w:w="846" w:type="dxa"/>
          </w:tcPr>
          <w:p>
            <w:pPr>
              <w:pStyle w:val="yTableNAm"/>
            </w:pPr>
            <w:r>
              <w:t>39.</w:t>
            </w:r>
          </w:p>
        </w:tc>
        <w:tc>
          <w:tcPr>
            <w:tcW w:w="4819" w:type="dxa"/>
          </w:tcPr>
          <w:p>
            <w:pPr>
              <w:pStyle w:val="yTableNAm"/>
            </w:pPr>
            <w:r>
              <w:t>For each person who is a party to an application under the Act and in relation to whom a background check is sought from the Police Service</w:t>
            </w:r>
          </w:p>
        </w:tc>
        <w:tc>
          <w:tcPr>
            <w:tcW w:w="1134" w:type="dxa"/>
            <w:vAlign w:val="bottom"/>
          </w:tcPr>
          <w:p>
            <w:pPr>
              <w:pStyle w:val="yTableNAm"/>
              <w:jc w:val="right"/>
            </w:pPr>
            <w:r>
              <w:t>171.00</w:t>
            </w:r>
          </w:p>
        </w:tc>
      </w:tr>
    </w:tbl>
    <w:p>
      <w:pPr>
        <w:pStyle w:val="yFootnotesection"/>
      </w:pPr>
      <w:r>
        <w:tab/>
        <w:t>[Schedule 3 inserted: SL 2024/213 r. 14.]</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22" w:name="_Toc204933571"/>
      <w:bookmarkStart w:id="123" w:name="_Toc204934109"/>
      <w:bookmarkStart w:id="124" w:name="_Toc205281676"/>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22"/>
      <w:bookmarkEnd w:id="123"/>
      <w:bookmarkEnd w:id="124"/>
    </w:p>
    <w:p>
      <w:pPr>
        <w:pStyle w:val="yShoulderClause"/>
      </w:pPr>
      <w:r>
        <w:t>[r. 28(3)]</w:t>
      </w:r>
    </w:p>
    <w:p>
      <w:pPr>
        <w:pStyle w:val="yHeading5"/>
      </w:pPr>
      <w:bookmarkStart w:id="125" w:name="_Toc205281677"/>
      <w:r>
        <w:rPr>
          <w:rStyle w:val="CharSClsNo"/>
        </w:rPr>
        <w:t>1</w:t>
      </w:r>
      <w:r>
        <w:t>.</w:t>
      </w:r>
      <w:r>
        <w:tab/>
        <w:t>Fremantle</w:t>
      </w:r>
      <w:bookmarkEnd w:id="125"/>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26" w:name="_Toc205281678"/>
      <w:r>
        <w:rPr>
          <w:rStyle w:val="CharSClsNo"/>
        </w:rPr>
        <w:lastRenderedPageBreak/>
        <w:t>2</w:t>
      </w:r>
      <w:r>
        <w:t>.</w:t>
      </w:r>
      <w:r>
        <w:tab/>
        <w:t>Hillarys</w:t>
      </w:r>
      <w:bookmarkEnd w:id="126"/>
    </w:p>
    <w:p>
      <w:pPr>
        <w:pStyle w:val="yMiscellaneousBody"/>
        <w:rPr>
          <w:noProof/>
        </w:rPr>
      </w:pPr>
      <w:r>
        <w:rPr>
          <w:noProof/>
        </w:rPr>
        <w:drawing>
          <wp:inline distT="0" distB="0" distL="0" distR="0">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64002" cy="3773225"/>
                    </a:xfrm>
                    <a:prstGeom prst="rect">
                      <a:avLst/>
                    </a:prstGeom>
                  </pic:spPr>
                </pic:pic>
              </a:graphicData>
            </a:graphic>
          </wp:inline>
        </w:drawing>
      </w:r>
    </w:p>
    <w:p>
      <w:pPr>
        <w:pStyle w:val="yHeading5"/>
      </w:pPr>
      <w:bookmarkStart w:id="127" w:name="_Toc205281679"/>
      <w:r>
        <w:rPr>
          <w:rStyle w:val="CharSClsNo"/>
        </w:rPr>
        <w:lastRenderedPageBreak/>
        <w:t>3</w:t>
      </w:r>
      <w:r>
        <w:t>.</w:t>
      </w:r>
      <w:r>
        <w:tab/>
        <w:t>Mandurah</w:t>
      </w:r>
      <w:bookmarkEnd w:id="127"/>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28" w:name="_Toc205281680"/>
      <w:r>
        <w:rPr>
          <w:rStyle w:val="CharSClsNo"/>
        </w:rPr>
        <w:lastRenderedPageBreak/>
        <w:t>4</w:t>
      </w:r>
      <w:r>
        <w:t>.</w:t>
      </w:r>
      <w:r>
        <w:tab/>
        <w:t>Perth and Northbridge</w:t>
      </w:r>
      <w:bookmarkEnd w:id="128"/>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29" w:name="_Toc205281681"/>
      <w:r>
        <w:rPr>
          <w:rStyle w:val="CharSClsNo"/>
        </w:rPr>
        <w:lastRenderedPageBreak/>
        <w:t>5</w:t>
      </w:r>
      <w:r>
        <w:t>.</w:t>
      </w:r>
      <w:r>
        <w:tab/>
        <w:t>Scarborough</w:t>
      </w:r>
      <w:bookmarkEnd w:id="129"/>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 amended: SL 2025/9 r. 5.]</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30" w:name="_Toc204933577"/>
      <w:bookmarkStart w:id="131" w:name="_Toc204934115"/>
      <w:bookmarkStart w:id="132" w:name="_Toc205281682"/>
      <w:r>
        <w:lastRenderedPageBreak/>
        <w:t>Notes</w:t>
      </w:r>
      <w:bookmarkEnd w:id="130"/>
      <w:bookmarkEnd w:id="131"/>
      <w:bookmarkEnd w:id="132"/>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3" w:name="_Toc205281683"/>
      <w:r>
        <w:t>Compilation table</w:t>
      </w:r>
      <w:bookmarkEnd w:id="13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lastRenderedPageBreak/>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lastRenderedPageBreak/>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nil"/>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pPr>
              <w:pStyle w:val="nTable"/>
              <w:spacing w:after="40"/>
            </w:pPr>
            <w:r>
              <w:t>SL 2024/138 26 Jun 2024</w:t>
            </w:r>
          </w:p>
        </w:tc>
        <w:tc>
          <w:tcPr>
            <w:tcW w:w="2693" w:type="dxa"/>
            <w:tcBorders>
              <w:top w:val="nil"/>
              <w:bottom w:val="nil"/>
            </w:tcBorders>
            <w:shd w:val="clear" w:color="auto" w:fill="auto"/>
          </w:tcPr>
          <w:p>
            <w:pPr>
              <w:pStyle w:val="nTable"/>
              <w:spacing w:after="40"/>
            </w:pPr>
            <w:r>
              <w:t>27 Jun 2024 (see r. 2(b))</w:t>
            </w:r>
          </w:p>
        </w:tc>
      </w:tr>
      <w:tr>
        <w:trPr>
          <w:cantSplit/>
        </w:trPr>
        <w:tc>
          <w:tcPr>
            <w:tcW w:w="3119" w:type="dxa"/>
            <w:tcBorders>
              <w:top w:val="nil"/>
              <w:bottom w:val="nil"/>
            </w:tcBorders>
            <w:shd w:val="clear" w:color="auto" w:fill="auto"/>
          </w:tcPr>
          <w:p>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pPr>
              <w:pStyle w:val="nTable"/>
              <w:spacing w:after="40"/>
            </w:pPr>
            <w:r>
              <w:t>SL 2024/213 16 Oct 2024</w:t>
            </w:r>
          </w:p>
        </w:tc>
        <w:tc>
          <w:tcPr>
            <w:tcW w:w="2693" w:type="dxa"/>
            <w:tcBorders>
              <w:top w:val="nil"/>
              <w:bottom w:val="nil"/>
            </w:tcBorders>
            <w:shd w:val="clear" w:color="auto" w:fill="auto"/>
          </w:tcPr>
          <w:p>
            <w:pPr>
              <w:pStyle w:val="nTable"/>
              <w:spacing w:after="40"/>
            </w:pPr>
            <w:r>
              <w:t>1 Jan 2025 (see r. 2(b))</w:t>
            </w:r>
          </w:p>
        </w:tc>
      </w:tr>
      <w:tr>
        <w:trPr>
          <w:cantSplit/>
        </w:trPr>
        <w:tc>
          <w:tcPr>
            <w:tcW w:w="3119" w:type="dxa"/>
            <w:tcBorders>
              <w:top w:val="nil"/>
              <w:bottom w:val="nil"/>
            </w:tcBorders>
            <w:shd w:val="clear" w:color="auto" w:fill="auto"/>
          </w:tcPr>
          <w:p>
            <w:pPr>
              <w:pStyle w:val="nTable"/>
              <w:spacing w:after="40"/>
              <w:rPr>
                <w:bCs/>
                <w:i/>
                <w:noProof/>
              </w:rPr>
            </w:pPr>
            <w:r>
              <w:rPr>
                <w:i/>
              </w:rPr>
              <w:t>Liquor Control Amendment Regulations 2025</w:t>
            </w:r>
          </w:p>
        </w:tc>
        <w:tc>
          <w:tcPr>
            <w:tcW w:w="1276" w:type="dxa"/>
            <w:tcBorders>
              <w:top w:val="nil"/>
              <w:bottom w:val="nil"/>
            </w:tcBorders>
            <w:shd w:val="clear" w:color="auto" w:fill="auto"/>
          </w:tcPr>
          <w:p>
            <w:pPr>
              <w:pStyle w:val="nTable"/>
              <w:spacing w:after="40"/>
            </w:pPr>
            <w:r>
              <w:t>SL 2025/9 22 Jan 2025</w:t>
            </w:r>
          </w:p>
        </w:tc>
        <w:tc>
          <w:tcPr>
            <w:tcW w:w="2693" w:type="dxa"/>
            <w:tcBorders>
              <w:top w:val="nil"/>
              <w:bottom w:val="nil"/>
            </w:tcBorders>
            <w:shd w:val="clear" w:color="auto" w:fill="auto"/>
          </w:tcPr>
          <w:p>
            <w:pPr>
              <w:pStyle w:val="nTable"/>
              <w:spacing w:after="40"/>
            </w:pPr>
            <w:r>
              <w:t>r. 1 and 2: 22 Jan 2025 (see r. 2(a));</w:t>
            </w:r>
          </w:p>
          <w:p>
            <w:pPr>
              <w:pStyle w:val="nTable"/>
              <w:spacing w:after="40"/>
            </w:pPr>
            <w:r>
              <w:rPr>
                <w:bCs/>
                <w:snapToGrid w:val="0"/>
                <w:spacing w:val="-2"/>
              </w:rPr>
              <w:t>Regulations other than r. 1 and 2</w:t>
            </w:r>
            <w:r>
              <w:t>: 23 Jan 2025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Racing and Gaming Regulations Amendment (Liquor Control) Regulations (No. 2) 2025</w:t>
            </w:r>
            <w:r>
              <w:rPr>
                <w:iCs/>
              </w:rPr>
              <w:t xml:space="preserve"> Pt. 4</w:t>
            </w:r>
          </w:p>
        </w:tc>
        <w:tc>
          <w:tcPr>
            <w:tcW w:w="1276" w:type="dxa"/>
            <w:tcBorders>
              <w:top w:val="nil"/>
              <w:bottom w:val="single" w:sz="4" w:space="0" w:color="auto"/>
            </w:tcBorders>
            <w:shd w:val="clear" w:color="auto" w:fill="auto"/>
          </w:tcPr>
          <w:p>
            <w:pPr>
              <w:pStyle w:val="nTable"/>
              <w:spacing w:after="40"/>
            </w:pPr>
            <w:r>
              <w:t>SL 2025/143 6 Aug 2025</w:t>
            </w:r>
          </w:p>
        </w:tc>
        <w:tc>
          <w:tcPr>
            <w:tcW w:w="2693" w:type="dxa"/>
            <w:tcBorders>
              <w:top w:val="nil"/>
              <w:bottom w:val="single" w:sz="4" w:space="0" w:color="auto"/>
            </w:tcBorders>
            <w:shd w:val="clear" w:color="auto" w:fill="auto"/>
          </w:tcPr>
          <w:p>
            <w:pPr>
              <w:pStyle w:val="nTable"/>
              <w:spacing w:after="40"/>
            </w:pPr>
            <w:r>
              <w:t>7 Aug 2025 (see r. 2(b))</w:t>
            </w:r>
          </w:p>
        </w:tc>
      </w:tr>
    </w:tbl>
    <w:p>
      <w:pPr>
        <w:pStyle w:val="nHeading3"/>
      </w:pPr>
      <w:bookmarkStart w:id="134" w:name="_Toc205281684"/>
      <w:r>
        <w:lastRenderedPageBreak/>
        <w:t>Uncommenced provisions table</w:t>
      </w:r>
      <w:bookmarkEnd w:id="1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single" w:sz="8" w:space="0" w:color="auto"/>
              <w:bottom w:val="single" w:sz="4" w:space="0" w:color="auto"/>
            </w:tcBorders>
          </w:tcPr>
          <w:p>
            <w:pPr>
              <w:pStyle w:val="nTable"/>
              <w:spacing w:after="40"/>
            </w:pPr>
            <w:r>
              <w:t>SL 2023/196 13 Dec 2023</w:t>
            </w:r>
          </w:p>
        </w:tc>
        <w:tc>
          <w:tcPr>
            <w:tcW w:w="2693" w:type="dxa"/>
            <w:tcBorders>
              <w:top w:val="single" w:sz="8" w:space="0" w:color="auto"/>
              <w:bottom w:val="single" w:sz="4" w:space="0" w:color="auto"/>
            </w:tcBorders>
          </w:tcPr>
          <w:p>
            <w:pPr>
              <w:pStyle w:val="nTable"/>
              <w:spacing w:after="40"/>
            </w:pPr>
            <w:r>
              <w:t>14 Dec 2025 (see r. 2(d))</w:t>
            </w:r>
          </w:p>
        </w:tc>
      </w:tr>
    </w:tbl>
    <w:p>
      <w:pPr>
        <w:pStyle w:val="nHeading3"/>
        <w:keepLines/>
        <w:widowControl w:val="0"/>
      </w:pPr>
      <w:bookmarkStart w:id="135" w:name="_Toc205281685"/>
      <w:r>
        <w:t>Other notes</w:t>
      </w:r>
      <w:bookmarkEnd w:id="135"/>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37" w:name="_Toc204933581"/>
      <w:bookmarkStart w:id="138" w:name="_Toc204934119"/>
      <w:bookmarkStart w:id="139" w:name="_Toc205281686"/>
      <w:r>
        <w:rPr>
          <w:sz w:val="28"/>
        </w:rPr>
        <w:lastRenderedPageBreak/>
        <w:t>Defined terms</w:t>
      </w:r>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18(1)</w:t>
      </w:r>
    </w:p>
    <w:p>
      <w:pPr>
        <w:pStyle w:val="DefinedTerms"/>
      </w:pPr>
      <w:r>
        <w:t>authorised arrangement</w:t>
      </w:r>
      <w:r>
        <w:tab/>
        <w:t>8E(1)</w:t>
      </w:r>
    </w:p>
    <w:p>
      <w:pPr>
        <w:pStyle w:val="DefinedTerms"/>
      </w:pPr>
      <w:r>
        <w:t>Authority</w:t>
      </w:r>
      <w:r>
        <w:tab/>
        <w:t>3A(1)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3A(1)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ID system</w:t>
      </w:r>
      <w:r>
        <w:tab/>
        <w:t>3A(1)</w:t>
      </w:r>
    </w:p>
    <w:p>
      <w:pPr>
        <w:pStyle w:val="DefinedTerms"/>
      </w:pPr>
      <w:r>
        <w:t>inter-State voyage</w:t>
      </w:r>
      <w:r>
        <w:tab/>
        <w:t>8(3)</w:t>
      </w:r>
    </w:p>
    <w:p>
      <w:pPr>
        <w:pStyle w:val="DefinedTerms"/>
      </w:pPr>
      <w:r>
        <w:t>judge</w:t>
      </w:r>
      <w:r>
        <w:tab/>
        <w:t>8G(1)</w:t>
      </w:r>
    </w:p>
    <w:p>
      <w:pPr>
        <w:pStyle w:val="DefinedTerms"/>
      </w:pPr>
      <w:r>
        <w:t>liqueur chocolate</w:t>
      </w:r>
      <w:r>
        <w:tab/>
        <w:t>4AD(1)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lastRenderedPageBreak/>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8E(1)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lastRenderedPageBreak/>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98436C"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62682288" w14:textId="015BD517" w:rsidR="00DC4ADD" w:rsidRDefault="00CD680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671ED">
                        <w:rPr>
                          <w:sz w:val="16"/>
                        </w:rPr>
                        <w:t>2025</w:t>
                      </w:r>
                      <w:r>
                        <w:rPr>
                          <w:sz w:val="16"/>
                        </w:rPr>
                        <w:fldChar w:fldCharType="end"/>
                      </w:r>
                      <w:r>
                        <w:rPr>
                          <w:sz w:val="16"/>
                        </w:rPr>
                        <w:t>.</w:t>
                      </w:r>
                    </w:p>
                    <w:p w14:paraId="5001A129" w14:textId="77777777" w:rsidR="00DC4ADD" w:rsidRDefault="00CD680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906EFE" w14:textId="0D382A7F" w:rsidR="00DC4ADD" w:rsidRDefault="00CD680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671ED">
                        <w:rPr>
                          <w:sz w:val="16"/>
                        </w:rPr>
                        <w:t>2025</w:t>
                      </w:r>
                      <w:r>
                        <w:rPr>
                          <w:sz w:val="16"/>
                        </w:rPr>
                        <w:fldChar w:fldCharType="end"/>
                      </w:r>
                      <w:r>
                        <w:rPr>
                          <w:sz w:val="16"/>
                        </w:rPr>
                        <w:t>.</w:t>
                      </w:r>
                    </w:p>
                    <w:p w14:paraId="64FF02F4" w14:textId="77777777" w:rsidR="00DC4ADD" w:rsidRDefault="00CD680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0" w:name="DefinedTerms"/>
    <w:bookmarkEnd w:id="14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5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01093541"/>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 w:name="WAFER_20250801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3541_GUID" w:val="3f425043-6151-4205-ace9-1fd71d49cc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5873"/>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31937</Words>
  <Characters>152659</Characters>
  <Application>Microsoft Office Word</Application>
  <DocSecurity>0</DocSecurity>
  <Lines>5264</Lines>
  <Paragraphs>3128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1989 - 14-ap0-00</dc:title>
  <dc:subject/>
  <dc:creator/>
  <cp:keywords/>
  <dc:description/>
  <cp:lastModifiedBy>Master Repository Process</cp:lastModifiedBy>
  <cp:revision>4</cp:revision>
  <cp:lastPrinted>2019-12-05T02:25:00Z</cp:lastPrinted>
  <dcterms:created xsi:type="dcterms:W3CDTF">2025-08-05T06:04:00Z</dcterms:created>
  <dcterms:modified xsi:type="dcterms:W3CDTF">2025-08-05T06:05:00Z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20250807</vt:lpwstr>
  </property>
  <property fmtid="{D5CDD505-2E9C-101B-9397-08002B2CF9AE}" pid="8" name="CommencementAsAt">
    <vt:filetime>2025-08-06T16:00:00Z</vt:filetime>
  </property>
  <property fmtid="{D5CDD505-2E9C-101B-9397-08002B2CF9AE}" pid="9" name="CommencementYear">
    <vt:lpwstr>2025</vt:lpwstr>
  </property>
  <property fmtid="{D5CDD505-2E9C-101B-9397-08002B2CF9AE}" pid="10" name="AsAtDate">
    <vt:lpwstr>07 Aug 2025</vt:lpwstr>
  </property>
  <property fmtid="{D5CDD505-2E9C-101B-9397-08002B2CF9AE}" pid="11" name="Suffix">
    <vt:lpwstr>14-ap0-00</vt:lpwstr>
  </property>
  <property fmtid="{D5CDD505-2E9C-101B-9397-08002B2CF9AE}" pid="12" name="Official">
    <vt:lpwstr/>
  </property>
</Properties>
</file>