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Education and Care Services National Law (WA) Act 2012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Education and Care Services National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Education and Care Services National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_Toc206067043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_Toc206067044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_Toc206067045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_Toc206067046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82 amended</w:t>
      </w:r>
      <w:r>
        <w:tab/>
      </w:r>
      <w:r>
        <w:fldChar w:fldCharType="begin"/>
      </w:r>
      <w:r>
        <w:instrText xml:space="preserve"> PAGEREF _Toc206067047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168 amended</w:t>
      </w:r>
      <w:r>
        <w:tab/>
      </w:r>
      <w:r>
        <w:fldChar w:fldCharType="begin"/>
      </w:r>
      <w:r>
        <w:instrText xml:space="preserve"> PAGEREF _Toc206067048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176 amended</w:t>
      </w:r>
      <w:r>
        <w:tab/>
      </w:r>
      <w:r>
        <w:fldChar w:fldCharType="begin"/>
      </w:r>
      <w:r>
        <w:instrText xml:space="preserve"> PAGEREF _Toc206067049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239A amended</w:t>
      </w:r>
      <w:r>
        <w:tab/>
      </w:r>
      <w:r>
        <w:fldChar w:fldCharType="begin"/>
      </w:r>
      <w:r>
        <w:instrText xml:space="preserve"> PAGEREF _Toc206067050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240 deleted</w:t>
      </w:r>
      <w:r>
        <w:tab/>
      </w:r>
      <w:r>
        <w:fldChar w:fldCharType="begin"/>
      </w:r>
      <w:r>
        <w:instrText xml:space="preserve"> PAGEREF _Toc206067051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242 amended</w:t>
      </w:r>
      <w:r>
        <w:tab/>
      </w:r>
      <w:r>
        <w:fldChar w:fldCharType="begin"/>
      </w:r>
      <w:r>
        <w:instrText xml:space="preserve"> PAGEREF _Toc206067052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_Toc206067053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Schedule 3 amended</w:t>
      </w:r>
      <w:r>
        <w:tab/>
      </w:r>
      <w:r>
        <w:fldChar w:fldCharType="begin"/>
      </w:r>
      <w:r>
        <w:instrText xml:space="preserve"> PAGEREF _Toc206067054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Education and Care Services National Law (WA) Act 2012</w:t>
      </w:r>
    </w:p>
    <w:p>
      <w:pPr>
        <w:pStyle w:val="NameofActReg"/>
      </w:pPr>
      <w:r>
        <w:t>Education and Care Services National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6065857"/>
      <w:bookmarkStart w:id="3" w:name="_Toc20606704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Education and Care Services National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206065858"/>
      <w:bookmarkStart w:id="6" w:name="_Toc20606704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>regulations 3 to 10 and 12 — on 1 September 2025;</w:t>
      </w:r>
    </w:p>
    <w:p>
      <w:pPr>
        <w:pStyle w:val="Indenta"/>
      </w:pPr>
      <w:r>
        <w:tab/>
        <w:t>(c)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January 2026.</w:t>
      </w:r>
    </w:p>
    <w:p>
      <w:pPr>
        <w:pStyle w:val="Heading5"/>
        <w:rPr>
          <w:snapToGrid w:val="0"/>
        </w:rPr>
      </w:pPr>
      <w:bookmarkStart w:id="7" w:name="_Toc206065859"/>
      <w:bookmarkStart w:id="8" w:name="_Toc20606704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Education and Care Services National Regulations 2012</w:t>
      </w:r>
      <w:r>
        <w:t>.</w:t>
      </w:r>
    </w:p>
    <w:p>
      <w:pPr>
        <w:pStyle w:val="Heading5"/>
      </w:pPr>
      <w:bookmarkStart w:id="9" w:name="_Toc206065860"/>
      <w:bookmarkStart w:id="10" w:name="_Toc206067046"/>
      <w:r>
        <w:rPr>
          <w:rStyle w:val="CharSectno"/>
        </w:rPr>
        <w:t>4</w:t>
      </w:r>
      <w:r>
        <w:t>.</w:t>
      </w:r>
      <w:r>
        <w:tab/>
        <w:t>Regulation 4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In regulation 4(1)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optical surveillance device</w:t>
      </w:r>
      <w:r>
        <w:t xml:space="preserve"> has the same meaning as in the </w:t>
      </w:r>
      <w:r>
        <w:rPr>
          <w:i/>
        </w:rPr>
        <w:t>Surveillance Devices Act 2004</w:t>
      </w:r>
      <w:r>
        <w:t xml:space="preserve"> (Commonwealth) section 6(1);</w:t>
      </w:r>
    </w:p>
    <w:p>
      <w:pPr>
        <w:pStyle w:val="zDefstart"/>
        <w:keepNext/>
      </w:pPr>
      <w:r>
        <w:lastRenderedPageBreak/>
        <w:tab/>
      </w:r>
      <w:r>
        <w:rPr>
          <w:rStyle w:val="CharDefText"/>
        </w:rPr>
        <w:t>vaping device</w:t>
      </w:r>
      <w:r>
        <w:t xml:space="preserve"> has the same meaning as in the </w:t>
      </w:r>
      <w:r>
        <w:rPr>
          <w:i/>
        </w:rPr>
        <w:t>Therapeutic Goods Act 1989</w:t>
      </w:r>
      <w:r>
        <w:t xml:space="preserve"> (Commonwealth) section 41P;</w:t>
      </w:r>
    </w:p>
    <w:p>
      <w:pPr>
        <w:pStyle w:val="zDefstart"/>
      </w:pPr>
      <w:r>
        <w:tab/>
      </w:r>
      <w:r>
        <w:rPr>
          <w:rStyle w:val="CharDefText"/>
        </w:rPr>
        <w:t>vaping substance</w:t>
      </w:r>
      <w:r>
        <w:t xml:space="preserve"> has the same meaning as in the </w:t>
      </w:r>
      <w:r>
        <w:rPr>
          <w:i/>
        </w:rPr>
        <w:t>Therapeutic Goods Act 1989</w:t>
      </w:r>
      <w:r>
        <w:t xml:space="preserve"> (Commonwealth) section 41P;</w:t>
      </w:r>
    </w:p>
    <w:p>
      <w:pPr>
        <w:pStyle w:val="BlankClose"/>
      </w:pPr>
    </w:p>
    <w:p>
      <w:pPr>
        <w:pStyle w:val="Heading5"/>
      </w:pPr>
      <w:bookmarkStart w:id="11" w:name="_Toc206065861"/>
      <w:bookmarkStart w:id="12" w:name="_Toc206067047"/>
      <w:r>
        <w:rPr>
          <w:rStyle w:val="CharSectno"/>
        </w:rPr>
        <w:t>5</w:t>
      </w:r>
      <w:r>
        <w:t>.</w:t>
      </w:r>
      <w:r>
        <w:tab/>
        <w:t>Regulation 82 amended</w:t>
      </w:r>
      <w:bookmarkEnd w:id="11"/>
      <w:bookmarkEnd w:id="12"/>
    </w:p>
    <w:p>
      <w:pPr>
        <w:pStyle w:val="Subsection"/>
      </w:pPr>
      <w:r>
        <w:tab/>
      </w:r>
      <w:r>
        <w:tab/>
        <w:t>In regulation 82(1) and (2) after “tobacco,”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vaping devices, vaping substances, 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82 is to read:</w:t>
      </w:r>
    </w:p>
    <w:p>
      <w:pPr>
        <w:pStyle w:val="SectAltHeading"/>
      </w:pPr>
      <w:r>
        <w:tab/>
      </w:r>
      <w:r>
        <w:tab/>
        <w:t>Environment to be free from tobacco, vaping devices, vaping substances, drugs and alcohol</w:t>
      </w:r>
    </w:p>
    <w:p>
      <w:pPr>
        <w:pStyle w:val="Heading5"/>
      </w:pPr>
      <w:bookmarkStart w:id="13" w:name="_Toc206065862"/>
      <w:bookmarkStart w:id="14" w:name="_Toc206067048"/>
      <w:r>
        <w:rPr>
          <w:rStyle w:val="CharSectno"/>
        </w:rPr>
        <w:t>6</w:t>
      </w:r>
      <w:r>
        <w:t>.</w:t>
      </w:r>
      <w:r>
        <w:tab/>
        <w:t>Regulation 168 amended</w:t>
      </w:r>
      <w:bookmarkEnd w:id="13"/>
      <w:bookmarkEnd w:id="14"/>
    </w:p>
    <w:p>
      <w:pPr>
        <w:pStyle w:val="Subsection"/>
      </w:pPr>
      <w:r>
        <w:tab/>
      </w:r>
      <w:r>
        <w:tab/>
        <w:t>Delete regulation 168(2)(h) and insert:</w:t>
      </w:r>
    </w:p>
    <w:p>
      <w:pPr>
        <w:pStyle w:val="BlankOpen"/>
      </w:pPr>
    </w:p>
    <w:p>
      <w:pPr>
        <w:pStyle w:val="zIndenta"/>
      </w:pPr>
      <w:r>
        <w:tab/>
        <w:t>(h)</w:t>
      </w:r>
      <w:r>
        <w:tab/>
        <w:t xml:space="preserve">providing a child safe environment, including matters relating to the promotion of a culture of child safety and wellbeing within the service; </w:t>
      </w:r>
    </w:p>
    <w:p>
      <w:pPr>
        <w:pStyle w:val="zIndenta"/>
      </w:pPr>
      <w:r>
        <w:tab/>
        <w:t>(ha)</w:t>
      </w:r>
      <w:r>
        <w:tab/>
        <w:t xml:space="preserve">the safe use of digital technologies and online environments at the service, including — </w:t>
      </w:r>
    </w:p>
    <w:p>
      <w:pPr>
        <w:pStyle w:val="zIndenti"/>
      </w:pPr>
      <w:r>
        <w:tab/>
        <w:t>(i)</w:t>
      </w:r>
      <w:r>
        <w:tab/>
        <w:t>the taking, use, storage and destruction of images and videos of children being educated and cared for by the service; and</w:t>
      </w:r>
    </w:p>
    <w:p>
      <w:pPr>
        <w:pStyle w:val="zIndenti"/>
      </w:pPr>
      <w:r>
        <w:tab/>
        <w:t>(ii)</w:t>
      </w:r>
      <w:r>
        <w:tab/>
        <w:t>obtaining authorisation from parents to take, use and store images and videos of children being educated and cared for by the service; and</w:t>
      </w:r>
    </w:p>
    <w:p>
      <w:pPr>
        <w:pStyle w:val="zIndenti"/>
      </w:pPr>
      <w:r>
        <w:lastRenderedPageBreak/>
        <w:tab/>
        <w:t>(iii)</w:t>
      </w:r>
      <w:r>
        <w:tab/>
        <w:t>the use of any optical surveillance device at the service; and</w:t>
      </w:r>
    </w:p>
    <w:p>
      <w:pPr>
        <w:pStyle w:val="PermNoteHeading"/>
      </w:pPr>
      <w:r>
        <w:tab/>
        <w:t>Example for this subparagraph:</w:t>
      </w:r>
    </w:p>
    <w:p>
      <w:pPr>
        <w:pStyle w:val="PermNoteText"/>
      </w:pPr>
      <w:r>
        <w:tab/>
      </w:r>
      <w:r>
        <w:tab/>
        <w:t>The use of closed</w:t>
      </w:r>
      <w:r>
        <w:noBreakHyphen/>
        <w:t>circuit television.</w:t>
      </w:r>
    </w:p>
    <w:p>
      <w:pPr>
        <w:pStyle w:val="zIndenti"/>
      </w:pPr>
      <w:r>
        <w:tab/>
        <w:t>(iv)</w:t>
      </w:r>
      <w:r>
        <w:tab/>
        <w:t>the use of any digital device issued by the service; and</w:t>
      </w:r>
    </w:p>
    <w:p>
      <w:pPr>
        <w:pStyle w:val="zIndenti"/>
      </w:pPr>
      <w:r>
        <w:tab/>
        <w:t>(v)</w:t>
      </w:r>
      <w:r>
        <w:tab/>
        <w:t>the use of digital devices by children being educated and cared for by the service;</w:t>
      </w:r>
    </w:p>
    <w:p>
      <w:pPr>
        <w:pStyle w:val="BlankClose"/>
      </w:pPr>
    </w:p>
    <w:p>
      <w:pPr>
        <w:pStyle w:val="Heading5"/>
      </w:pPr>
      <w:bookmarkStart w:id="15" w:name="_Toc206065863"/>
      <w:bookmarkStart w:id="16" w:name="_Toc206067049"/>
      <w:r>
        <w:rPr>
          <w:rStyle w:val="CharSectno"/>
        </w:rPr>
        <w:t>7</w:t>
      </w:r>
      <w:r>
        <w:t>.</w:t>
      </w:r>
      <w:r>
        <w:tab/>
        <w:t>Regulation 176 amended</w:t>
      </w:r>
      <w:bookmarkEnd w:id="15"/>
      <w:bookmarkEnd w:id="16"/>
    </w:p>
    <w:p>
      <w:pPr>
        <w:pStyle w:val="Subsection"/>
      </w:pPr>
      <w:r>
        <w:tab/>
      </w:r>
      <w:r>
        <w:tab/>
        <w:t>After regulation 176(2)(ba) insert:</w:t>
      </w:r>
    </w:p>
    <w:p>
      <w:pPr>
        <w:pStyle w:val="BlankOpen"/>
      </w:pPr>
    </w:p>
    <w:p>
      <w:pPr>
        <w:pStyle w:val="zIndenta"/>
      </w:pPr>
      <w:r>
        <w:tab/>
        <w:t>(bb)</w:t>
      </w:r>
      <w:r>
        <w:tab/>
        <w:t xml:space="preserve">in the case of a notice under regulation 175(2)(d), within 24 hours of the incident or within 24 hours of the approved provider becoming aware of the incident; </w:t>
      </w:r>
    </w:p>
    <w:p>
      <w:pPr>
        <w:pStyle w:val="zIndenta"/>
      </w:pPr>
      <w:r>
        <w:tab/>
        <w:t>(bc)</w:t>
      </w:r>
      <w:r>
        <w:tab/>
        <w:t>in the case of a notice under regulation 175(2)(e), within 24 hours of the allegation being made or within 24 hours of the approved provider becoming aware of the allegation;</w:t>
      </w:r>
    </w:p>
    <w:p>
      <w:pPr>
        <w:pStyle w:val="BlankClose"/>
      </w:pPr>
    </w:p>
    <w:p>
      <w:pPr>
        <w:pStyle w:val="Heading5"/>
      </w:pPr>
      <w:bookmarkStart w:id="17" w:name="_Toc206065864"/>
      <w:bookmarkStart w:id="18" w:name="_Toc206067050"/>
      <w:r>
        <w:rPr>
          <w:rStyle w:val="CharSectno"/>
        </w:rPr>
        <w:t>8</w:t>
      </w:r>
      <w:r>
        <w:t>.</w:t>
      </w:r>
      <w:r>
        <w:tab/>
        <w:t>Regulation 239A amended</w:t>
      </w:r>
      <w:bookmarkEnd w:id="17"/>
      <w:bookmarkEnd w:id="18"/>
    </w:p>
    <w:p>
      <w:pPr>
        <w:pStyle w:val="Subsection"/>
      </w:pPr>
      <w:r>
        <w:tab/>
        <w:t>(1)</w:t>
      </w:r>
      <w:r>
        <w:tab/>
        <w:t>In regulation 239A(1) delete “31 December 2025”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31 December 2026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>In regulation 239A(5) delete “regulation and regulation 240 —”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regulation — </w:t>
      </w:r>
    </w:p>
    <w:p>
      <w:pPr>
        <w:pStyle w:val="BlankClose"/>
      </w:pPr>
    </w:p>
    <w:p>
      <w:pPr>
        <w:pStyle w:val="Heading5"/>
      </w:pPr>
      <w:bookmarkStart w:id="19" w:name="_Toc206065865"/>
      <w:bookmarkStart w:id="20" w:name="_Toc206067051"/>
      <w:r>
        <w:rPr>
          <w:rStyle w:val="CharSectno"/>
        </w:rPr>
        <w:t>9</w:t>
      </w:r>
      <w:r>
        <w:t>.</w:t>
      </w:r>
      <w:r>
        <w:tab/>
        <w:t>Regulation 240 deleted</w:t>
      </w:r>
      <w:bookmarkEnd w:id="19"/>
      <w:bookmarkEnd w:id="20"/>
    </w:p>
    <w:p>
      <w:pPr>
        <w:pStyle w:val="Subsection"/>
      </w:pPr>
      <w:r>
        <w:tab/>
      </w:r>
      <w:r>
        <w:tab/>
        <w:t>Delete regulation 240.</w:t>
      </w:r>
    </w:p>
    <w:p>
      <w:pPr>
        <w:pStyle w:val="Heading5"/>
      </w:pPr>
      <w:bookmarkStart w:id="21" w:name="_Toc206065866"/>
      <w:bookmarkStart w:id="22" w:name="_Toc206067052"/>
      <w:r>
        <w:rPr>
          <w:rStyle w:val="CharSectno"/>
        </w:rPr>
        <w:t>10</w:t>
      </w:r>
      <w:r>
        <w:t>.</w:t>
      </w:r>
      <w:r>
        <w:tab/>
        <w:t>Regulation 242 amended</w:t>
      </w:r>
      <w:bookmarkEnd w:id="21"/>
      <w:bookmarkEnd w:id="22"/>
    </w:p>
    <w:p>
      <w:pPr>
        <w:pStyle w:val="Subsection"/>
      </w:pPr>
      <w:r>
        <w:tab/>
      </w:r>
      <w:r>
        <w:tab/>
        <w:t>In regulation 242(1) delete “31 December 2025.”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31 December 2026.</w:t>
      </w:r>
    </w:p>
    <w:p>
      <w:pPr>
        <w:pStyle w:val="BlankClose"/>
      </w:pPr>
    </w:p>
    <w:p>
      <w:pPr>
        <w:pStyle w:val="Heading5"/>
      </w:pPr>
      <w:bookmarkStart w:id="23" w:name="_Toc206065867"/>
      <w:bookmarkStart w:id="24" w:name="_Toc206067053"/>
      <w:r>
        <w:rPr>
          <w:rStyle w:val="CharSectno"/>
        </w:rPr>
        <w:t>11</w:t>
      </w:r>
      <w:r>
        <w:t>.</w:t>
      </w:r>
      <w:r>
        <w:tab/>
        <w:t>Schedule 1 amended</w:t>
      </w:r>
      <w:bookmarkEnd w:id="23"/>
      <w:bookmarkEnd w:id="24"/>
    </w:p>
    <w:p>
      <w:pPr>
        <w:pStyle w:val="Subsection"/>
        <w:keepNext/>
      </w:pPr>
      <w:r>
        <w:tab/>
        <w:t>(1)</w:t>
      </w:r>
      <w:r>
        <w:tab/>
        <w:t>In Schedule 1 delete the item relating to Element 2.2.3 — Child protection and insert:</w:t>
      </w:r>
    </w:p>
    <w:p>
      <w:pPr>
        <w:pStyle w:val="BlankOpen"/>
      </w:pPr>
    </w:p>
    <w:p>
      <w:pPr>
        <w:pStyle w:val="zyMiscellaneousHeading"/>
        <w:ind w:left="0" w:right="0"/>
        <w:jc w:val="left"/>
        <w:rPr>
          <w:b/>
          <w:bCs/>
        </w:rPr>
      </w:pPr>
      <w:r>
        <w:rPr>
          <w:b/>
          <w:bCs/>
        </w:rPr>
        <w:tab/>
        <w:t>Element 2.2.3 — Child safety and protection</w:t>
      </w:r>
    </w:p>
    <w:p>
      <w:pPr>
        <w:pStyle w:val="zyMiscellaneousBody"/>
        <w:ind w:left="1140" w:right="0" w:hanging="1140"/>
      </w:pPr>
      <w:r>
        <w:tab/>
        <w:t>Management, educators and staff are aware of their roles and responsibilities regarding child safety, including the need to identify and respond to every child at risk of abuse or neglect.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Schedule 1 under the heading “</w:t>
      </w:r>
      <w:r>
        <w:rPr>
          <w:b/>
          <w:szCs w:val="24"/>
        </w:rPr>
        <w:t>Quality area 7 — Governance and leadership</w:t>
      </w:r>
      <w:r>
        <w:rPr>
          <w:bCs/>
          <w:szCs w:val="24"/>
        </w:rPr>
        <w:t>”</w:t>
      </w:r>
      <w:r>
        <w:rPr>
          <w:b/>
          <w:szCs w:val="24"/>
        </w:rPr>
        <w:t xml:space="preserve"> </w:t>
      </w:r>
      <w:r>
        <w:rPr>
          <w:bCs/>
          <w:szCs w:val="24"/>
        </w:rPr>
        <w:t xml:space="preserve">delete </w:t>
      </w:r>
      <w:r>
        <w:t>“</w:t>
      </w:r>
      <w:r>
        <w:rPr>
          <w:sz w:val="22"/>
        </w:rPr>
        <w:t>management of the service.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</w:rPr>
      </w:pPr>
      <w:r>
        <w:tab/>
      </w:r>
      <w:r>
        <w:tab/>
      </w:r>
      <w:r>
        <w:rPr>
          <w:sz w:val="22"/>
        </w:rPr>
        <w:t xml:space="preserve">management of a quality service that is child safe. 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(3)</w:t>
      </w:r>
      <w:r>
        <w:tab/>
        <w:t>In Schedule 1 under the heading “</w:t>
      </w:r>
      <w:r>
        <w:rPr>
          <w:b/>
          <w:sz w:val="22"/>
          <w:szCs w:val="18"/>
        </w:rPr>
        <w:t>Standard 7.1 — Governance</w:t>
      </w:r>
      <w:r>
        <w:rPr>
          <w:bCs/>
        </w:rPr>
        <w:t xml:space="preserve">” delete </w:t>
      </w:r>
      <w:r>
        <w:t>“</w:t>
      </w:r>
      <w:r>
        <w:rPr>
          <w:sz w:val="22"/>
        </w:rPr>
        <w:t>service.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</w:rPr>
      </w:pPr>
      <w:r>
        <w:tab/>
      </w:r>
      <w:r>
        <w:tab/>
      </w:r>
      <w:r>
        <w:rPr>
          <w:sz w:val="22"/>
        </w:rPr>
        <w:t>service that is child safe.</w:t>
      </w:r>
    </w:p>
    <w:p>
      <w:pPr>
        <w:pStyle w:val="BlankClose"/>
      </w:pPr>
    </w:p>
    <w:p>
      <w:pPr>
        <w:pStyle w:val="Subsection"/>
        <w:keepNext/>
      </w:pPr>
      <w:r>
        <w:tab/>
        <w:t>(4)</w:t>
      </w:r>
      <w:r>
        <w:tab/>
        <w:t>In Schedule 1 under the heading “</w:t>
      </w:r>
      <w:r>
        <w:rPr>
          <w:b/>
          <w:sz w:val="22"/>
          <w:szCs w:val="18"/>
        </w:rPr>
        <w:t>Element 7.1.2 — Management systems</w:t>
      </w:r>
      <w:r>
        <w:rPr>
          <w:bCs/>
        </w:rPr>
        <w:t xml:space="preserve">” delete </w:t>
      </w:r>
      <w:r>
        <w:t>“</w:t>
      </w:r>
      <w:r>
        <w:rPr>
          <w:sz w:val="22"/>
        </w:rPr>
        <w:t>service.</w:t>
      </w:r>
      <w:r>
        <w:t xml:space="preserve">” and insert: </w:t>
      </w:r>
    </w:p>
    <w:p>
      <w:pPr>
        <w:pStyle w:val="BlankOpen"/>
      </w:pPr>
    </w:p>
    <w:p>
      <w:pPr>
        <w:pStyle w:val="Subsection"/>
        <w:rPr>
          <w:sz w:val="22"/>
        </w:rPr>
      </w:pPr>
      <w:r>
        <w:tab/>
      </w:r>
      <w:r>
        <w:tab/>
      </w:r>
      <w:r>
        <w:rPr>
          <w:sz w:val="22"/>
        </w:rPr>
        <w:t>service that is child safe.</w:t>
      </w:r>
    </w:p>
    <w:p>
      <w:pPr>
        <w:pStyle w:val="BlankClose"/>
      </w:pPr>
    </w:p>
    <w:p>
      <w:pPr>
        <w:pStyle w:val="Heading5"/>
      </w:pPr>
      <w:bookmarkStart w:id="25" w:name="_Toc206065868"/>
      <w:bookmarkStart w:id="26" w:name="_Toc206067054"/>
      <w:r>
        <w:rPr>
          <w:rStyle w:val="CharSectno"/>
        </w:rPr>
        <w:t>12</w:t>
      </w:r>
      <w:r>
        <w:t>.</w:t>
      </w:r>
      <w:r>
        <w:tab/>
        <w:t>Schedule 3 amended</w:t>
      </w:r>
      <w:bookmarkEnd w:id="25"/>
      <w:bookmarkEnd w:id="26"/>
    </w:p>
    <w:p>
      <w:pPr>
        <w:pStyle w:val="Subsection"/>
      </w:pPr>
      <w:r>
        <w:tab/>
      </w:r>
      <w:r>
        <w:tab/>
        <w:t>In Schedule 3 in the row relating to Regulation 82(1) delete “</w:t>
      </w:r>
      <w:r>
        <w:rPr>
          <w:sz w:val="20"/>
        </w:rPr>
        <w:t>Tobacco, drug and alcohol</w:t>
      </w:r>
      <w:r>
        <w:rPr>
          <w:sz w:val="20"/>
        </w:rPr>
        <w:noBreakHyphen/>
        <w:t>free environment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0"/>
        </w:rPr>
      </w:pPr>
      <w:r>
        <w:tab/>
      </w:r>
      <w:r>
        <w:tab/>
      </w:r>
      <w:r>
        <w:rPr>
          <w:sz w:val="20"/>
        </w:rPr>
        <w:t>Environment to be free from tobacco, vaping devices, vaping substances, drugs and alcohol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81412100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7181137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718113724_GUID" w:val="eb3ac1a5-d2f9-4e42-a836-d69c7dede06a"/>
    <w:docVar w:name="WAFER_202507230851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723085156_GUID" w:val="d1ca961f-9337-41bb-8a6b-233f6865f854"/>
    <w:docVar w:name="WAFER_202507290858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729085827_GUID" w:val="d7293762-cbc3-4169-bd47-872cfae9a1a0"/>
    <w:docVar w:name="WAFER_202508141210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814121001_GUID" w:val="1f72c1aa-c8c5-4825-85f6-41b5ae9b39c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5:docId w15:val="{91EB8597-A131-4326-B9DD-39FF48F40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853</Words>
  <Characters>4547</Characters>
  <Application>Microsoft Office Word</Application>
  <DocSecurity>0</DocSecurity>
  <Lines>189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and Care Services National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2025-08-19T03:05:00Z</dcterms:created>
  <dcterms:modified xsi:type="dcterms:W3CDTF">2025-08-19T03:05:00Z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55530</vt:lpwstr>
  </property>
  <property fmtid="{D5CDD505-2E9C-101B-9397-08002B2CF9AE}" pid="3" name="DocumentType">
    <vt:lpwstr>Reg</vt:lpwstr>
  </property>
  <property fmtid="{D5CDD505-2E9C-101B-9397-08002B2CF9AE}" pid="4" name="AsAtDate">
    <vt:lpwstr>20 Aug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2025-08-19T16:00:00Z</vt:filetime>
  </property>
  <property fmtid="{D5CDD505-2E9C-101B-9397-08002B2CF9AE}" pid="8" name="CommencementYear">
    <vt:lpwstr>2025</vt:lpwstr>
  </property>
  <property fmtid="{D5CDD505-2E9C-101B-9397-08002B2CF9AE}" pid="9" name="SLAPId">
    <vt:lpwstr>2025/150</vt:lpwstr>
  </property>
  <property fmtid="{D5CDD505-2E9C-101B-9397-08002B2CF9AE}" pid="10" name="PublishDate">
    <vt:lpwstr>20 Aug 2025</vt:lpwstr>
  </property>
  <property fmtid="{D5CDD505-2E9C-101B-9397-08002B2CF9AE}" pid="11" name="CommencementDate">
    <vt:lpwstr>20250820</vt:lpwstr>
  </property>
</Properties>
</file>