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_Toc206081270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_Toc206081271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_Toc206081272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_Toc206081273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_Toc206081274 \h </w:instrText>
      </w:r>
      <w:r>
        <w:fldChar w:fldCharType="separate"/>
      </w:r>
      <w:r>
        <w:t>4</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_Toc206081275 \h </w:instrText>
      </w:r>
      <w:r>
        <w:fldChar w:fldCharType="separate"/>
      </w:r>
      <w:r>
        <w:t>4</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_Toc206081276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_Toc206081277 \h </w:instrText>
      </w:r>
      <w:r>
        <w:fldChar w:fldCharType="separate"/>
      </w:r>
      <w:r>
        <w:t>5</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_Toc206081278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_Toc206081279 \h </w:instrText>
      </w:r>
      <w:r>
        <w:fldChar w:fldCharType="separate"/>
      </w:r>
      <w:r>
        <w:t>5</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_Toc206081280 \h </w:instrText>
      </w:r>
      <w:r>
        <w:fldChar w:fldCharType="separate"/>
      </w:r>
      <w:r>
        <w:t>6</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_Toc206081281 \h </w:instrText>
      </w:r>
      <w:r>
        <w:fldChar w:fldCharType="separate"/>
      </w:r>
      <w:r>
        <w:t>6</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_Toc206081282 \h </w:instrText>
      </w:r>
      <w:r>
        <w:fldChar w:fldCharType="separate"/>
      </w:r>
      <w:r>
        <w:t>7</w:t>
      </w:r>
      <w:r>
        <w:fldChar w:fldCharType="end"/>
      </w:r>
    </w:p>
    <w:p>
      <w:pPr>
        <w:pStyle w:val="TOC8"/>
        <w:rPr>
          <w:rFonts w:asciiTheme="minorHAnsi" w:eastAsiaTheme="minorEastAsia" w:hAnsiTheme="minorHAnsi" w:cstheme="minorBidi"/>
          <w:szCs w:val="22"/>
        </w:rPr>
      </w:pPr>
      <w:r>
        <w:t>4AE.</w:t>
      </w:r>
      <w:r>
        <w:tab/>
        <w:t>Substance prescribed (liqueur chocolate) (Act s. 3(1) liquor)</w:t>
      </w:r>
      <w:r>
        <w:tab/>
      </w:r>
      <w:r>
        <w:fldChar w:fldCharType="begin"/>
      </w:r>
      <w:r>
        <w:instrText xml:space="preserve"> PAGEREF _Toc206081283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_Toc206081284 \h </w:instrText>
      </w:r>
      <w:r>
        <w:fldChar w:fldCharType="separate"/>
      </w:r>
      <w:r>
        <w:t>8</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_Toc206081285 \h </w:instrText>
      </w:r>
      <w:r>
        <w:fldChar w:fldCharType="separate"/>
      </w:r>
      <w:r>
        <w:t>9</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_Toc206081286 \h </w:instrText>
      </w:r>
      <w:r>
        <w:fldChar w:fldCharType="separate"/>
      </w:r>
      <w:r>
        <w:t>10</w:t>
      </w:r>
      <w:r>
        <w:fldChar w:fldCharType="end"/>
      </w:r>
    </w:p>
    <w:p>
      <w:pPr>
        <w:pStyle w:val="TOC8"/>
        <w:rPr>
          <w:rFonts w:asciiTheme="minorHAnsi" w:eastAsiaTheme="minorEastAsia" w:hAnsiTheme="minorHAnsi" w:cstheme="minorBidi"/>
          <w:szCs w:val="22"/>
        </w:rPr>
      </w:pPr>
      <w:r>
        <w:lastRenderedPageBreak/>
        <w:t>5C.</w:t>
      </w:r>
      <w:r>
        <w:tab/>
        <w:t>Types of special facility licence prescribed (Act s. 4(6))</w:t>
      </w:r>
      <w:r>
        <w:tab/>
      </w:r>
      <w:r>
        <w:fldChar w:fldCharType="begin"/>
      </w:r>
      <w:r>
        <w:instrText xml:space="preserve"> PAGEREF _Toc206081287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_Toc206081288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_Toc206081289 \h </w:instrText>
      </w:r>
      <w:r>
        <w:fldChar w:fldCharType="separate"/>
      </w:r>
      <w:r>
        <w:t>12</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_Toc206081290 \h </w:instrText>
      </w:r>
      <w:r>
        <w:fldChar w:fldCharType="separate"/>
      </w:r>
      <w:r>
        <w:t>16</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_Toc206081291 \h </w:instrText>
      </w:r>
      <w:r>
        <w:fldChar w:fldCharType="separate"/>
      </w:r>
      <w:r>
        <w:t>22</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_Toc206081292 \h </w:instrText>
      </w:r>
      <w:r>
        <w:fldChar w:fldCharType="separate"/>
      </w:r>
      <w:r>
        <w:t>23</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_Toc206081293 \h </w:instrText>
      </w:r>
      <w:r>
        <w:fldChar w:fldCharType="separate"/>
      </w:r>
      <w:r>
        <w:t>24</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_Toc206081294 \h </w:instrText>
      </w:r>
      <w:r>
        <w:fldChar w:fldCharType="separate"/>
      </w:r>
      <w:r>
        <w:t>25</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_Toc206081295 \h </w:instrText>
      </w:r>
      <w:r>
        <w:fldChar w:fldCharType="separate"/>
      </w:r>
      <w:r>
        <w:t>27</w:t>
      </w:r>
      <w:r>
        <w:fldChar w:fldCharType="end"/>
      </w:r>
    </w:p>
    <w:p>
      <w:pPr>
        <w:pStyle w:val="TOC8"/>
        <w:rPr>
          <w:rFonts w:asciiTheme="minorHAnsi" w:eastAsiaTheme="minorEastAsia" w:hAnsiTheme="minorHAnsi" w:cstheme="minorBidi"/>
          <w:szCs w:val="22"/>
        </w:rPr>
      </w:pPr>
      <w:r>
        <w:t>8F.</w:t>
      </w:r>
      <w:r>
        <w:tab/>
        <w:t>Exemption from Act for consumption in on</w:t>
      </w:r>
      <w:r>
        <w:noBreakHyphen/>
        <w:t>demand charter vehicle (Act s. 6(1)(o))</w:t>
      </w:r>
      <w:r>
        <w:tab/>
      </w:r>
      <w:r>
        <w:fldChar w:fldCharType="begin"/>
      </w:r>
      <w:r>
        <w:instrText xml:space="preserve"> PAGEREF _Toc206081296 \h </w:instrText>
      </w:r>
      <w:r>
        <w:fldChar w:fldCharType="separate"/>
      </w:r>
      <w:r>
        <w:t>28</w:t>
      </w:r>
      <w:r>
        <w:fldChar w:fldCharType="end"/>
      </w:r>
    </w:p>
    <w:p>
      <w:pPr>
        <w:pStyle w:val="TOC8"/>
        <w:rPr>
          <w:rFonts w:asciiTheme="minorHAnsi" w:eastAsiaTheme="minorEastAsia" w:hAnsiTheme="minorHAnsi" w:cstheme="minorBidi"/>
          <w:szCs w:val="22"/>
        </w:rPr>
      </w:pPr>
      <w:r>
        <w:t>8G.</w:t>
      </w:r>
      <w:r>
        <w:tab/>
        <w:t>Exemption from Act in relation to liquor competition (Act s. 6(1)(o))</w:t>
      </w:r>
      <w:r>
        <w:tab/>
      </w:r>
      <w:r>
        <w:fldChar w:fldCharType="begin"/>
      </w:r>
      <w:r>
        <w:instrText xml:space="preserve"> PAGEREF _Toc206081297 \h </w:instrText>
      </w:r>
      <w:r>
        <w:fldChar w:fldCharType="separate"/>
      </w:r>
      <w:r>
        <w:t>29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_Toc206081298 \h </w:instrText>
      </w:r>
      <w:r>
        <w:fldChar w:fldCharType="separate"/>
      </w:r>
      <w:r>
        <w:t>30</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_Toc206081299 \h </w:instrText>
      </w:r>
      <w:r>
        <w:fldChar w:fldCharType="separate"/>
      </w:r>
      <w:r>
        <w:t>31</w:t>
      </w:r>
      <w:r>
        <w:fldChar w:fldCharType="end"/>
      </w:r>
    </w:p>
    <w:p>
      <w:pPr>
        <w:pStyle w:val="TOC8"/>
        <w:rPr>
          <w:rFonts w:asciiTheme="minorHAnsi" w:eastAsiaTheme="minorEastAsia" w:hAnsiTheme="minorHAnsi" w:cstheme="minorBidi"/>
          <w:szCs w:val="22"/>
        </w:rPr>
      </w:pPr>
      <w:r>
        <w:t>9AAA.</w:t>
      </w:r>
      <w:r>
        <w:tab/>
        <w:t>Area prescribed (Act s. 36B)</w:t>
      </w:r>
      <w:r>
        <w:tab/>
      </w:r>
      <w:r>
        <w:fldChar w:fldCharType="begin"/>
      </w:r>
      <w:r>
        <w:instrText xml:space="preserve"> PAGEREF _Toc206081300 \h </w:instrText>
      </w:r>
      <w:r>
        <w:fldChar w:fldCharType="separate"/>
      </w:r>
      <w:r>
        <w:t>31</w:t>
      </w:r>
      <w:r>
        <w:fldChar w:fldCharType="end"/>
      </w:r>
    </w:p>
    <w:p>
      <w:pPr>
        <w:pStyle w:val="TOC8"/>
        <w:rPr>
          <w:rFonts w:asciiTheme="minorHAnsi" w:eastAsiaTheme="minorEastAsia" w:hAnsiTheme="minorHAnsi" w:cstheme="minorBidi"/>
          <w:szCs w:val="22"/>
        </w:rPr>
      </w:pPr>
      <w:r>
        <w:t>9AAB.</w:t>
      </w:r>
      <w:r>
        <w:tab/>
        <w:t>Distance prescribed (Act s. 36B)</w:t>
      </w:r>
      <w:r>
        <w:tab/>
      </w:r>
      <w:r>
        <w:fldChar w:fldCharType="begin"/>
      </w:r>
      <w:r>
        <w:instrText xml:space="preserve"> PAGEREF _Toc206081301 \h </w:instrText>
      </w:r>
      <w:r>
        <w:fldChar w:fldCharType="separate"/>
      </w:r>
      <w:r>
        <w:t>31</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_Toc206081302 \h </w:instrText>
      </w:r>
      <w:r>
        <w:fldChar w:fldCharType="separate"/>
      </w:r>
      <w:r>
        <w:t>32</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_Toc206081303 \h </w:instrText>
      </w:r>
      <w:r>
        <w:fldChar w:fldCharType="separate"/>
      </w:r>
      <w:r>
        <w:t>40</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_Toc206081304 \h </w:instrText>
      </w:r>
      <w:r>
        <w:fldChar w:fldCharType="separate"/>
      </w:r>
      <w:r>
        <w:t>40</w:t>
      </w:r>
      <w:r>
        <w:fldChar w:fldCharType="end"/>
      </w:r>
    </w:p>
    <w:p>
      <w:pPr>
        <w:pStyle w:val="TOC8"/>
        <w:rPr>
          <w:rFonts w:asciiTheme="minorHAnsi" w:eastAsiaTheme="minorEastAsia" w:hAnsiTheme="minorHAnsi" w:cstheme="minorBidi"/>
          <w:szCs w:val="22"/>
        </w:rPr>
      </w:pPr>
      <w:r>
        <w:t>9C.</w:t>
      </w:r>
      <w:r>
        <w:tab/>
        <w:t>Types of special facility licence prescribed (Act s. 46(6))</w:t>
      </w:r>
      <w:r>
        <w:tab/>
      </w:r>
      <w:r>
        <w:fldChar w:fldCharType="begin"/>
      </w:r>
      <w:r>
        <w:instrText xml:space="preserve"> PAGEREF _Toc206081305 \h </w:instrText>
      </w:r>
      <w:r>
        <w:fldChar w:fldCharType="separate"/>
      </w:r>
      <w:r>
        <w:t>40</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_Toc206081306 \h </w:instrText>
      </w:r>
      <w:r>
        <w:fldChar w:fldCharType="separate"/>
      </w:r>
      <w:r>
        <w:t>41</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_Toc206081307 \h </w:instrText>
      </w:r>
      <w:r>
        <w:fldChar w:fldCharType="separate"/>
      </w:r>
      <w:r>
        <w:t>41</w:t>
      </w:r>
      <w:r>
        <w:fldChar w:fldCharType="end"/>
      </w:r>
    </w:p>
    <w:p>
      <w:pPr>
        <w:pStyle w:val="TOC8"/>
        <w:rPr>
          <w:rFonts w:asciiTheme="minorHAnsi" w:eastAsiaTheme="minorEastAsia" w:hAnsiTheme="minorHAnsi" w:cstheme="minorBidi"/>
          <w:szCs w:val="22"/>
        </w:rPr>
      </w:pPr>
      <w:r>
        <w:t>9EA.</w:t>
      </w:r>
      <w:r>
        <w:tab/>
        <w:t>Kinds of licence prescribed (Act s. 38(1)(a))</w:t>
      </w:r>
      <w:r>
        <w:tab/>
      </w:r>
      <w:r>
        <w:fldChar w:fldCharType="begin"/>
      </w:r>
      <w:r>
        <w:instrText xml:space="preserve"> PAGEREF _Toc206081308 \h </w:instrText>
      </w:r>
      <w:r>
        <w:fldChar w:fldCharType="separate"/>
      </w:r>
      <w:r>
        <w:t>41</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_Toc206081309 \h </w:instrText>
      </w:r>
      <w:r>
        <w:fldChar w:fldCharType="separate"/>
      </w:r>
      <w:r>
        <w:t>42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_Toc206081310 \h </w:instrText>
      </w:r>
      <w:r>
        <w:fldChar w:fldCharType="separate"/>
      </w:r>
      <w:r>
        <w:t>42</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_Toc206081311 \h </w:instrText>
      </w:r>
      <w:r>
        <w:fldChar w:fldCharType="separate"/>
      </w:r>
      <w:r>
        <w:t>43</w:t>
      </w:r>
      <w:r>
        <w:fldChar w:fldCharType="end"/>
      </w:r>
    </w:p>
    <w:p>
      <w:pPr>
        <w:pStyle w:val="TOC8"/>
        <w:rPr>
          <w:rFonts w:asciiTheme="minorHAnsi" w:eastAsiaTheme="minorEastAsia" w:hAnsiTheme="minorHAnsi" w:cstheme="minorBidi"/>
          <w:szCs w:val="22"/>
        </w:rPr>
      </w:pPr>
      <w:r>
        <w:t>10B.</w:t>
      </w:r>
      <w:r>
        <w:tab/>
        <w:t>Days for making application prescribed (Act s. 64(1BA))</w:t>
      </w:r>
      <w:r>
        <w:tab/>
      </w:r>
      <w:r>
        <w:fldChar w:fldCharType="begin"/>
      </w:r>
      <w:r>
        <w:instrText xml:space="preserve"> PAGEREF _Toc206081312 \h </w:instrText>
      </w:r>
      <w:r>
        <w:fldChar w:fldCharType="separate"/>
      </w:r>
      <w:r>
        <w:t>43</w:t>
      </w:r>
      <w:r>
        <w:fldChar w:fldCharType="end"/>
      </w:r>
    </w:p>
    <w:p>
      <w:pPr>
        <w:pStyle w:val="TOC8"/>
        <w:rPr>
          <w:rFonts w:asciiTheme="minorHAnsi" w:eastAsiaTheme="minorEastAsia" w:hAnsiTheme="minorHAnsi" w:cstheme="minorBidi"/>
          <w:szCs w:val="22"/>
        </w:rPr>
      </w:pPr>
      <w:r>
        <w:lastRenderedPageBreak/>
        <w:t>10C.</w:t>
      </w:r>
      <w:r>
        <w:tab/>
        <w:t>Prescribed requirements for sale and delivery of packaged liquor or liquor for consumption off licensed premises (Act s. 65(1)(b))</w:t>
      </w:r>
      <w:r>
        <w:tab/>
      </w:r>
      <w:r>
        <w:fldChar w:fldCharType="begin"/>
      </w:r>
      <w:r>
        <w:instrText xml:space="preserve"> PAGEREF _Toc206081313 \h </w:instrText>
      </w:r>
      <w:r>
        <w:fldChar w:fldCharType="separate"/>
      </w:r>
      <w:r>
        <w:t>44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_Toc206081314 \h </w:instrText>
      </w:r>
      <w:r>
        <w:fldChar w:fldCharType="separate"/>
      </w:r>
      <w:r>
        <w:t>46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_Toc206081315 \h </w:instrText>
      </w:r>
      <w:r>
        <w:fldChar w:fldCharType="separate"/>
      </w:r>
      <w:r>
        <w:t>49</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_Toc206081316 \h </w:instrText>
      </w:r>
      <w:r>
        <w:fldChar w:fldCharType="separate"/>
      </w:r>
      <w:r>
        <w:t>49</w:t>
      </w:r>
      <w:r>
        <w:fldChar w:fldCharType="end"/>
      </w:r>
    </w:p>
    <w:p>
      <w:pPr>
        <w:pStyle w:val="TOC8"/>
        <w:rPr>
          <w:rFonts w:asciiTheme="minorHAnsi" w:eastAsiaTheme="minorEastAsia" w:hAnsiTheme="minorHAnsi" w:cstheme="minorBidi"/>
          <w:szCs w:val="22"/>
        </w:rPr>
      </w:pPr>
      <w:r>
        <w:t>14AA.</w:t>
      </w:r>
      <w:r>
        <w:tab/>
        <w:t>Area prescribed (Act s. 77A)</w:t>
      </w:r>
      <w:r>
        <w:tab/>
      </w:r>
      <w:r>
        <w:fldChar w:fldCharType="begin"/>
      </w:r>
      <w:r>
        <w:instrText xml:space="preserve"> PAGEREF _Toc206081317 \h </w:instrText>
      </w:r>
      <w:r>
        <w:fldChar w:fldCharType="separate"/>
      </w:r>
      <w:r>
        <w:t>49</w:t>
      </w:r>
      <w:r>
        <w:fldChar w:fldCharType="end"/>
      </w:r>
    </w:p>
    <w:p>
      <w:pPr>
        <w:pStyle w:val="TOC8"/>
        <w:rPr>
          <w:rFonts w:asciiTheme="minorHAnsi" w:eastAsiaTheme="minorEastAsia" w:hAnsiTheme="minorHAnsi" w:cstheme="minorBidi"/>
          <w:szCs w:val="22"/>
        </w:rPr>
      </w:pPr>
      <w:r>
        <w:t>14AAA.</w:t>
      </w:r>
      <w:r>
        <w:tab/>
        <w:t>Distance prescribed (Act s. 77A)</w:t>
      </w:r>
      <w:r>
        <w:tab/>
      </w:r>
      <w:r>
        <w:fldChar w:fldCharType="begin"/>
      </w:r>
      <w:r>
        <w:instrText xml:space="preserve"> PAGEREF _Toc206081318 \h </w:instrText>
      </w:r>
      <w:r>
        <w:fldChar w:fldCharType="separate"/>
      </w:r>
      <w:r>
        <w:t>50</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_Toc206081319 \h </w:instrText>
      </w:r>
      <w:r>
        <w:fldChar w:fldCharType="separate"/>
      </w:r>
      <w:r>
        <w:t>50</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_Toc206081320 \h </w:instrText>
      </w:r>
      <w:r>
        <w:fldChar w:fldCharType="separate"/>
      </w:r>
      <w:r>
        <w:t>50</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_Toc206081321 \h </w:instrText>
      </w:r>
      <w:r>
        <w:fldChar w:fldCharType="separate"/>
      </w:r>
      <w:r>
        <w:t>51</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_Toc206081322 \h </w:instrText>
      </w:r>
      <w:r>
        <w:fldChar w:fldCharType="separate"/>
      </w:r>
      <w:r>
        <w:t>52</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_Toc206081323 \h </w:instrText>
      </w:r>
      <w:r>
        <w:fldChar w:fldCharType="separate"/>
      </w:r>
      <w:r>
        <w:t>52</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_Toc206081324 \h </w:instrText>
      </w:r>
      <w:r>
        <w:fldChar w:fldCharType="separate"/>
      </w:r>
      <w:r>
        <w:t>53</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_Toc206081325 \h </w:instrText>
      </w:r>
      <w:r>
        <w:fldChar w:fldCharType="separate"/>
      </w:r>
      <w:r>
        <w:t>53</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_Toc206081326 \h </w:instrText>
      </w:r>
      <w:r>
        <w:fldChar w:fldCharType="separate"/>
      </w:r>
      <w:r>
        <w:t>54</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_Toc206081327 \h </w:instrText>
      </w:r>
      <w:r>
        <w:fldChar w:fldCharType="separate"/>
      </w:r>
      <w:r>
        <w:t>55</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_Toc206081328 \h </w:instrText>
      </w:r>
      <w:r>
        <w:fldChar w:fldCharType="separate"/>
      </w:r>
      <w:r>
        <w:t>55</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_Toc206081329 \h </w:instrText>
      </w:r>
      <w:r>
        <w:fldChar w:fldCharType="separate"/>
      </w:r>
      <w:r>
        <w:t>57</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_Toc206081330 \h </w:instrText>
      </w:r>
      <w:r>
        <w:fldChar w:fldCharType="separate"/>
      </w:r>
      <w:r>
        <w:t>58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_Toc206081331 \h </w:instrText>
      </w:r>
      <w:r>
        <w:fldChar w:fldCharType="separate"/>
      </w:r>
      <w:r>
        <w:t>59</w:t>
      </w:r>
      <w:r>
        <w:fldChar w:fldCharType="end"/>
      </w:r>
    </w:p>
    <w:p>
      <w:pPr>
        <w:pStyle w:val="TOC8"/>
        <w:rPr>
          <w:rFonts w:asciiTheme="minorHAnsi" w:eastAsiaTheme="minorEastAsia" w:hAnsiTheme="minorHAnsi" w:cstheme="minorBidi"/>
          <w:szCs w:val="22"/>
        </w:rPr>
      </w:pPr>
      <w:r>
        <w:t>16AA.</w:t>
      </w:r>
      <w:r>
        <w:tab/>
        <w:t>Quantity and area for offence (Act s. 109A)</w:t>
      </w:r>
      <w:r>
        <w:tab/>
      </w:r>
      <w:r>
        <w:fldChar w:fldCharType="begin"/>
      </w:r>
      <w:r>
        <w:instrText xml:space="preserve"> PAGEREF _Toc206081332 \h </w:instrText>
      </w:r>
      <w:r>
        <w:fldChar w:fldCharType="separate"/>
      </w:r>
      <w:r>
        <w:t>59</w:t>
      </w:r>
      <w:r>
        <w:fldChar w:fldCharType="end"/>
      </w:r>
    </w:p>
    <w:p>
      <w:pPr>
        <w:pStyle w:val="TOC8"/>
        <w:rPr>
          <w:rFonts w:asciiTheme="minorHAnsi" w:eastAsiaTheme="minorEastAsia" w:hAnsiTheme="minorHAnsi" w:cstheme="minorBidi"/>
          <w:szCs w:val="22"/>
        </w:rPr>
      </w:pPr>
      <w:r>
        <w:t>16AB.</w:t>
      </w:r>
      <w:r>
        <w:tab/>
        <w:t>Persons of prescribed class (Act s. 109A(4)(b))</w:t>
      </w:r>
      <w:r>
        <w:tab/>
      </w:r>
      <w:r>
        <w:fldChar w:fldCharType="begin"/>
      </w:r>
      <w:r>
        <w:instrText xml:space="preserve"> PAGEREF _Toc206081333 \h </w:instrText>
      </w:r>
      <w:r>
        <w:fldChar w:fldCharType="separate"/>
      </w:r>
      <w:r>
        <w:t>61</w:t>
      </w:r>
      <w:r>
        <w:fldChar w:fldCharType="end"/>
      </w:r>
    </w:p>
    <w:p>
      <w:pPr>
        <w:pStyle w:val="TOC8"/>
        <w:rPr>
          <w:rFonts w:asciiTheme="minorHAnsi" w:eastAsiaTheme="minorEastAsia" w:hAnsiTheme="minorHAnsi" w:cstheme="minorBidi"/>
          <w:szCs w:val="22"/>
        </w:rPr>
      </w:pPr>
      <w:r>
        <w:t>16AC.</w:t>
      </w:r>
      <w:r>
        <w:tab/>
        <w:t>Vehicles of prescribed class (Act s. 109A(4)(c))</w:t>
      </w:r>
      <w:r>
        <w:tab/>
      </w:r>
      <w:r>
        <w:fldChar w:fldCharType="begin"/>
      </w:r>
      <w:r>
        <w:instrText xml:space="preserve"> PAGEREF _Toc206081334 \h </w:instrText>
      </w:r>
      <w:r>
        <w:fldChar w:fldCharType="separate"/>
      </w:r>
      <w:r>
        <w:t>62</w:t>
      </w:r>
      <w:r>
        <w:fldChar w:fldCharType="end"/>
      </w:r>
    </w:p>
    <w:p>
      <w:pPr>
        <w:pStyle w:val="TOC8"/>
        <w:rPr>
          <w:rFonts w:asciiTheme="minorHAnsi" w:eastAsiaTheme="minorEastAsia" w:hAnsiTheme="minorHAnsi" w:cstheme="minorBidi"/>
          <w:szCs w:val="22"/>
        </w:rPr>
      </w:pPr>
      <w:r>
        <w:t>16AD.</w:t>
      </w:r>
      <w:r>
        <w:tab/>
        <w:t>Prescribed circumstance (Act s. 109A(4)(d))</w:t>
      </w:r>
      <w:r>
        <w:tab/>
      </w:r>
      <w:r>
        <w:fldChar w:fldCharType="begin"/>
      </w:r>
      <w:r>
        <w:instrText xml:space="preserve"> PAGEREF _Toc206081335 \h </w:instrText>
      </w:r>
      <w:r>
        <w:fldChar w:fldCharType="separate"/>
      </w:r>
      <w:r>
        <w:t>63</w:t>
      </w:r>
      <w:r>
        <w:fldChar w:fldCharType="end"/>
      </w:r>
    </w:p>
    <w:p>
      <w:pPr>
        <w:pStyle w:val="TOC8"/>
        <w:rPr>
          <w:rFonts w:asciiTheme="minorHAnsi" w:eastAsiaTheme="minorEastAsia" w:hAnsiTheme="minorHAnsi" w:cstheme="minorBidi"/>
          <w:szCs w:val="22"/>
        </w:rPr>
      </w:pPr>
      <w:r>
        <w:t>16A.</w:t>
      </w:r>
      <w:r>
        <w:tab/>
        <w:t xml:space="preserve">Sports arenas prescribed (Act s. 110(4B) </w:t>
      </w:r>
      <w:r>
        <w:rPr>
          <w:i/>
        </w:rPr>
        <w:t>sports arena</w:t>
      </w:r>
      <w:r>
        <w:t>)</w:t>
      </w:r>
      <w:r>
        <w:tab/>
      </w:r>
      <w:r>
        <w:fldChar w:fldCharType="begin"/>
      </w:r>
      <w:r>
        <w:instrText xml:space="preserve"> PAGEREF _Toc206081336 \h </w:instrText>
      </w:r>
      <w:r>
        <w:fldChar w:fldCharType="separate"/>
      </w:r>
      <w:r>
        <w:t>63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_Toc206081337 \h </w:instrText>
      </w:r>
      <w:r>
        <w:fldChar w:fldCharType="separate"/>
      </w:r>
      <w:r>
        <w:t>64</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_Toc206081338 \h </w:instrText>
      </w:r>
      <w:r>
        <w:fldChar w:fldCharType="separate"/>
      </w:r>
      <w:r>
        <w:t>65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_Toc206081339 \h </w:instrText>
      </w:r>
      <w:r>
        <w:fldChar w:fldCharType="separate"/>
      </w:r>
      <w:r>
        <w:t>66</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_Toc206081340 \h </w:instrText>
      </w:r>
      <w:r>
        <w:fldChar w:fldCharType="separate"/>
      </w:r>
      <w:r>
        <w:t>67</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_Toc206081341 \h </w:instrText>
      </w:r>
      <w:r>
        <w:fldChar w:fldCharType="separate"/>
      </w:r>
      <w:r>
        <w:t>68</w:t>
      </w:r>
      <w:r>
        <w:fldChar w:fldCharType="end"/>
      </w:r>
    </w:p>
    <w:p>
      <w:pPr>
        <w:pStyle w:val="TOC8"/>
        <w:rPr>
          <w:rFonts w:asciiTheme="minorHAnsi" w:eastAsiaTheme="minorEastAsia" w:hAnsiTheme="minorHAnsi" w:cstheme="minorBidi"/>
          <w:szCs w:val="22"/>
        </w:rPr>
      </w:pPr>
      <w:r>
        <w:lastRenderedPageBreak/>
        <w:t>18D</w:t>
      </w:r>
      <w:r>
        <w:rPr>
          <w:snapToGrid w:val="0"/>
        </w:rPr>
        <w:t>.</w:t>
      </w:r>
      <w:r>
        <w:rPr>
          <w:snapToGrid w:val="0"/>
        </w:rPr>
        <w:tab/>
        <w:t>Lost etc. proof of age card, replacement of</w:t>
      </w:r>
      <w:r>
        <w:tab/>
      </w:r>
      <w:r>
        <w:fldChar w:fldCharType="begin"/>
      </w:r>
      <w:r>
        <w:instrText xml:space="preserve"> PAGEREF _Toc206081342 \h </w:instrText>
      </w:r>
      <w:r>
        <w:fldChar w:fldCharType="separate"/>
      </w:r>
      <w:r>
        <w:t>69</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_Toc206081343 \h </w:instrText>
      </w:r>
      <w:r>
        <w:fldChar w:fldCharType="separate"/>
      </w:r>
      <w:r>
        <w:t>69</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_Toc206081344 \h </w:instrText>
      </w:r>
      <w:r>
        <w:fldChar w:fldCharType="separate"/>
      </w:r>
      <w:r>
        <w:t>69</w:t>
      </w:r>
      <w:r>
        <w:fldChar w:fldCharType="end"/>
      </w:r>
    </w:p>
    <w:p>
      <w:pPr>
        <w:pStyle w:val="TOC8"/>
        <w:rPr>
          <w:rFonts w:asciiTheme="minorHAnsi" w:eastAsiaTheme="minorEastAsia" w:hAnsiTheme="minorHAnsi" w:cstheme="minorBidi"/>
          <w:szCs w:val="22"/>
        </w:rPr>
      </w:pPr>
      <w:r>
        <w:t>18EBA.</w:t>
      </w:r>
      <w:r>
        <w:tab/>
        <w:t xml:space="preserve">Persons prescribed (Act s. 115AC(1A), 152K(1A), 152NZC(1), 152NZT(1) </w:t>
      </w:r>
      <w:r>
        <w:rPr>
          <w:i/>
        </w:rPr>
        <w:t>secure webpage</w:t>
      </w:r>
      <w:r>
        <w:t>)</w:t>
      </w:r>
      <w:r>
        <w:tab/>
      </w:r>
      <w:r>
        <w:fldChar w:fldCharType="begin"/>
      </w:r>
      <w:r>
        <w:instrText xml:space="preserve"> PAGEREF _Toc206081345 \h </w:instrText>
      </w:r>
      <w:r>
        <w:fldChar w:fldCharType="separate"/>
      </w:r>
      <w:r>
        <w:t>70</w:t>
      </w:r>
      <w:r>
        <w:fldChar w:fldCharType="end"/>
      </w:r>
    </w:p>
    <w:p>
      <w:pPr>
        <w:pStyle w:val="TOC8"/>
        <w:rPr>
          <w:rFonts w:asciiTheme="minorHAnsi" w:eastAsiaTheme="minorEastAsia" w:hAnsiTheme="minorHAnsi" w:cstheme="minorBidi"/>
          <w:szCs w:val="22"/>
        </w:rPr>
      </w:pPr>
      <w:r>
        <w:t>18EBB.</w:t>
      </w:r>
      <w:r>
        <w:tab/>
        <w:t>Prescribed class of persons (Act s. 115AC(1AA)(b))</w:t>
      </w:r>
      <w:r>
        <w:tab/>
      </w:r>
      <w:r>
        <w:fldChar w:fldCharType="begin"/>
      </w:r>
      <w:r>
        <w:instrText xml:space="preserve"> PAGEREF _Toc206081346 \h </w:instrText>
      </w:r>
      <w:r>
        <w:fldChar w:fldCharType="separate"/>
      </w:r>
      <w:r>
        <w:t>71</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_Toc206081347 \h </w:instrText>
      </w:r>
      <w:r>
        <w:fldChar w:fldCharType="separate"/>
      </w:r>
      <w:r>
        <w:t>71</w:t>
      </w:r>
      <w:r>
        <w:fldChar w:fldCharType="end"/>
      </w:r>
    </w:p>
    <w:p>
      <w:pPr>
        <w:pStyle w:val="TOC8"/>
        <w:rPr>
          <w:rFonts w:asciiTheme="minorHAnsi" w:eastAsiaTheme="minorEastAsia" w:hAnsiTheme="minorHAnsi" w:cstheme="minorBidi"/>
          <w:szCs w:val="22"/>
        </w:rPr>
      </w:pPr>
      <w:r>
        <w:t>18EC.</w:t>
      </w:r>
      <w:r>
        <w:tab/>
        <w:t>Prescribed incidents involving physical force</w:t>
      </w:r>
      <w:r>
        <w:tab/>
      </w:r>
      <w:r>
        <w:fldChar w:fldCharType="begin"/>
      </w:r>
      <w:r>
        <w:instrText xml:space="preserve"> PAGEREF _Toc206081348 \h </w:instrText>
      </w:r>
      <w:r>
        <w:fldChar w:fldCharType="separate"/>
      </w:r>
      <w:r>
        <w:t>73</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_Toc206081349 \h </w:instrText>
      </w:r>
      <w:r>
        <w:fldChar w:fldCharType="separate"/>
      </w:r>
      <w:r>
        <w:t>74</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_Toc206081350 \h </w:instrText>
      </w:r>
      <w:r>
        <w:fldChar w:fldCharType="separate"/>
      </w:r>
      <w:r>
        <w:t>75</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_Toc206081351 \h </w:instrText>
      </w:r>
      <w:r>
        <w:fldChar w:fldCharType="separate"/>
      </w:r>
      <w:r>
        <w:t>75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_Toc206081352 \h </w:instrText>
      </w:r>
      <w:r>
        <w:fldChar w:fldCharType="separate"/>
      </w:r>
      <w:r>
        <w:t>75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_Toc206081353 \h </w:instrText>
      </w:r>
      <w:r>
        <w:fldChar w:fldCharType="separate"/>
      </w:r>
      <w:r>
        <w:t>76</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_Toc206081354 \h </w:instrText>
      </w:r>
      <w:r>
        <w:fldChar w:fldCharType="separate"/>
      </w:r>
      <w:r>
        <w:t>76</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_Toc206081355 \h </w:instrText>
      </w:r>
      <w:r>
        <w:fldChar w:fldCharType="separate"/>
      </w:r>
      <w:r>
        <w:t>77</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_Toc206081356 \h </w:instrText>
      </w:r>
      <w:r>
        <w:fldChar w:fldCharType="separate"/>
      </w:r>
      <w:r>
        <w:t>78</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_Toc206081357 \h </w:instrText>
      </w:r>
      <w:r>
        <w:fldChar w:fldCharType="separate"/>
      </w:r>
      <w:r>
        <w:t>78</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_Toc206081358 \h </w:instrText>
      </w:r>
      <w:r>
        <w:fldChar w:fldCharType="separate"/>
      </w:r>
      <w:r>
        <w:t>78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_Toc206081359 \h </w:instrText>
      </w:r>
      <w:r>
        <w:fldChar w:fldCharType="separate"/>
      </w:r>
      <w:r>
        <w:t>79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_Toc206081360 \h </w:instrText>
      </w:r>
      <w:r>
        <w:fldChar w:fldCharType="separate"/>
      </w:r>
      <w:r>
        <w:t>81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_Toc206081361 \h </w:instrText>
      </w:r>
      <w:r>
        <w:fldChar w:fldCharType="separate"/>
      </w:r>
      <w:r>
        <w:t>82</w:t>
      </w:r>
      <w:r>
        <w:fldChar w:fldCharType="end"/>
      </w:r>
    </w:p>
    <w:p>
      <w:pPr>
        <w:pStyle w:val="TOC8"/>
        <w:rPr>
          <w:rFonts w:asciiTheme="minorHAnsi" w:eastAsiaTheme="minorEastAsia" w:hAnsiTheme="minorHAnsi" w:cstheme="minorBidi"/>
          <w:szCs w:val="22"/>
        </w:rPr>
      </w:pPr>
      <w:r>
        <w:t>24AA.</w:t>
      </w:r>
      <w:r>
        <w:tab/>
        <w:t>Prescribed class of persons (Act s. 152K(2AA)(b))</w:t>
      </w:r>
      <w:r>
        <w:tab/>
      </w:r>
      <w:r>
        <w:fldChar w:fldCharType="begin"/>
      </w:r>
      <w:r>
        <w:instrText xml:space="preserve"> PAGEREF _Toc206081362 \h </w:instrText>
      </w:r>
      <w:r>
        <w:fldChar w:fldCharType="separate"/>
      </w:r>
      <w:r>
        <w:t>84</w:t>
      </w:r>
      <w:r>
        <w:fldChar w:fldCharType="end"/>
      </w:r>
    </w:p>
    <w:p>
      <w:pPr>
        <w:pStyle w:val="TOC8"/>
        <w:rPr>
          <w:rFonts w:asciiTheme="minorHAnsi" w:eastAsiaTheme="minorEastAsia" w:hAnsiTheme="minorHAnsi" w:cstheme="minorBidi"/>
          <w:szCs w:val="22"/>
        </w:rPr>
      </w:pPr>
      <w:r>
        <w:t>24A.</w:t>
      </w:r>
      <w:r>
        <w:tab/>
        <w:t>Electronic means of service of documents under Part 5AA of Act (Act s. 152NZQ(4)(c))</w:t>
      </w:r>
      <w:r>
        <w:tab/>
      </w:r>
      <w:r>
        <w:fldChar w:fldCharType="begin"/>
      </w:r>
      <w:r>
        <w:instrText xml:space="preserve"> PAGEREF _Toc206081363 \h </w:instrText>
      </w:r>
      <w:r>
        <w:fldChar w:fldCharType="separate"/>
      </w:r>
      <w:r>
        <w:t>84</w:t>
      </w:r>
      <w:r>
        <w:fldChar w:fldCharType="end"/>
      </w:r>
    </w:p>
    <w:p>
      <w:pPr>
        <w:pStyle w:val="TOC8"/>
        <w:rPr>
          <w:rFonts w:asciiTheme="minorHAnsi" w:eastAsiaTheme="minorEastAsia" w:hAnsiTheme="minorHAnsi" w:cstheme="minorBidi"/>
          <w:szCs w:val="22"/>
        </w:rPr>
      </w:pPr>
      <w:r>
        <w:t>24B.</w:t>
      </w:r>
      <w:r>
        <w:tab/>
        <w:t>Consent to service of documents under Part 5AA of Act (Act s. 152NZQ(5))</w:t>
      </w:r>
      <w:r>
        <w:tab/>
      </w:r>
      <w:r>
        <w:fldChar w:fldCharType="begin"/>
      </w:r>
      <w:r>
        <w:instrText xml:space="preserve"> PAGEREF _Toc206081364 \h </w:instrText>
      </w:r>
      <w:r>
        <w:fldChar w:fldCharType="separate"/>
      </w:r>
      <w:r>
        <w:t>85</w:t>
      </w:r>
      <w:r>
        <w:fldChar w:fldCharType="end"/>
      </w:r>
    </w:p>
    <w:p>
      <w:pPr>
        <w:pStyle w:val="TOC8"/>
        <w:rPr>
          <w:rFonts w:asciiTheme="minorHAnsi" w:eastAsiaTheme="minorEastAsia" w:hAnsiTheme="minorHAnsi" w:cstheme="minorBidi"/>
          <w:szCs w:val="22"/>
        </w:rPr>
      </w:pPr>
      <w:r>
        <w:t>24C.</w:t>
      </w:r>
      <w:r>
        <w:tab/>
        <w:t>Time when documents under Part 5AA of Act are served (Act s. 152NZR(6))</w:t>
      </w:r>
      <w:r>
        <w:tab/>
      </w:r>
      <w:r>
        <w:fldChar w:fldCharType="begin"/>
      </w:r>
      <w:r>
        <w:instrText xml:space="preserve"> PAGEREF _Toc206081365 \h </w:instrText>
      </w:r>
      <w:r>
        <w:fldChar w:fldCharType="separate"/>
      </w:r>
      <w:r>
        <w:t>86</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_Toc206081366 \h </w:instrText>
      </w:r>
      <w:r>
        <w:fldChar w:fldCharType="separate"/>
      </w:r>
      <w:r>
        <w:t>87</w:t>
      </w:r>
      <w:r>
        <w:fldChar w:fldCharType="end"/>
      </w:r>
    </w:p>
    <w:p>
      <w:pPr>
        <w:pStyle w:val="TOC8"/>
        <w:rPr>
          <w:rFonts w:asciiTheme="minorHAnsi" w:eastAsiaTheme="minorEastAsia" w:hAnsiTheme="minorHAnsi" w:cstheme="minorBidi"/>
          <w:szCs w:val="22"/>
        </w:rPr>
      </w:pPr>
      <w:r>
        <w:t>25B.</w:t>
      </w:r>
      <w:r>
        <w:tab/>
        <w:t>Fee payable for review of decision related to banned drinker orders (Act s. 152YY(1))</w:t>
      </w:r>
      <w:r>
        <w:tab/>
      </w:r>
      <w:r>
        <w:fldChar w:fldCharType="begin"/>
      </w:r>
      <w:r>
        <w:instrText xml:space="preserve"> PAGEREF _Toc206081367 \h </w:instrText>
      </w:r>
      <w:r>
        <w:fldChar w:fldCharType="separate"/>
      </w:r>
      <w:r>
        <w:t>87</w:t>
      </w:r>
      <w:r>
        <w:fldChar w:fldCharType="end"/>
      </w:r>
    </w:p>
    <w:p>
      <w:pPr>
        <w:pStyle w:val="TOC8"/>
        <w:rPr>
          <w:rFonts w:asciiTheme="minorHAnsi" w:eastAsiaTheme="minorEastAsia" w:hAnsiTheme="minorHAnsi" w:cstheme="minorBidi"/>
          <w:szCs w:val="22"/>
        </w:rPr>
      </w:pPr>
      <w:r>
        <w:t>25C.</w:t>
      </w:r>
      <w:r>
        <w:tab/>
        <w:t>Disclosure of information about banned drinker order and banned drinker (Act s. 152ZC(2)(d))</w:t>
      </w:r>
      <w:r>
        <w:tab/>
      </w:r>
      <w:r>
        <w:fldChar w:fldCharType="begin"/>
      </w:r>
      <w:r>
        <w:instrText xml:space="preserve"> PAGEREF _Toc206081368 \h </w:instrText>
      </w:r>
      <w:r>
        <w:fldChar w:fldCharType="separate"/>
      </w:r>
      <w:r>
        <w:t>87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_Toc206081369 \h </w:instrText>
      </w:r>
      <w:r>
        <w:fldChar w:fldCharType="separate"/>
      </w:r>
      <w:r>
        <w:t>88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_Toc206081370 \h </w:instrText>
      </w:r>
      <w:r>
        <w:fldChar w:fldCharType="separate"/>
      </w:r>
      <w:r>
        <w:t>88</w:t>
      </w:r>
      <w:r>
        <w:fldChar w:fldCharType="end"/>
      </w:r>
    </w:p>
    <w:p>
      <w:pPr>
        <w:pStyle w:val="TOC8"/>
        <w:rPr>
          <w:rFonts w:asciiTheme="minorHAnsi" w:eastAsiaTheme="minorEastAsia" w:hAnsiTheme="minorHAnsi" w:cstheme="minorBidi"/>
          <w:szCs w:val="22"/>
        </w:rPr>
      </w:pPr>
      <w:r>
        <w:lastRenderedPageBreak/>
        <w:t>27A.</w:t>
      </w:r>
      <w:r>
        <w:tab/>
        <w:t>Reduction in licence fee for new licences</w:t>
      </w:r>
      <w:r>
        <w:tab/>
      </w:r>
      <w:r>
        <w:fldChar w:fldCharType="begin"/>
      </w:r>
      <w:r>
        <w:instrText xml:space="preserve"> PAGEREF _Toc206081371 \h </w:instrText>
      </w:r>
      <w:r>
        <w:fldChar w:fldCharType="separate"/>
      </w:r>
      <w:r>
        <w:t>90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r>
      <w:r>
        <w:t>Prescribed offences for infringement notices (Act s. 167(2))</w:t>
      </w:r>
      <w:r>
        <w:tab/>
      </w:r>
      <w:r>
        <w:fldChar w:fldCharType="begin"/>
      </w:r>
      <w:r>
        <w:instrText xml:space="preserve"> PAGEREF _Toc206081372 \h </w:instrText>
      </w:r>
      <w:r>
        <w:fldChar w:fldCharType="separate"/>
      </w:r>
      <w:r>
        <w:t>90</w:t>
      </w:r>
      <w:r>
        <w:fldChar w:fldCharType="end"/>
      </w:r>
    </w:p>
    <w:p>
      <w:pPr>
        <w:pStyle w:val="TOC8"/>
        <w:rPr>
          <w:rFonts w:asciiTheme="minorHAnsi" w:eastAsiaTheme="minorEastAsia" w:hAnsiTheme="minorHAnsi" w:cstheme="minorBidi"/>
          <w:szCs w:val="22"/>
        </w:rPr>
      </w:pPr>
      <w:r>
        <w:t>28.</w:t>
      </w:r>
      <w:r>
        <w:tab/>
        <w:t>Protected entertainment precincts (Act s. 175(1E))</w:t>
      </w:r>
      <w:r>
        <w:tab/>
      </w:r>
      <w:r>
        <w:fldChar w:fldCharType="begin"/>
      </w:r>
      <w:r>
        <w:instrText xml:space="preserve"> PAGEREF _Toc206081373 \h </w:instrText>
      </w:r>
      <w:r>
        <w:fldChar w:fldCharType="separate"/>
      </w:r>
      <w:r>
        <w:t>96</w:t>
      </w:r>
      <w:r>
        <w:fldChar w:fldCharType="end"/>
      </w:r>
    </w:p>
    <w:p>
      <w:pPr>
        <w:pStyle w:val="TOC8"/>
        <w:rPr>
          <w:rFonts w:asciiTheme="minorHAnsi" w:eastAsiaTheme="minorEastAsia" w:hAnsiTheme="minorHAnsi" w:cstheme="minorBidi"/>
          <w:szCs w:val="22"/>
        </w:rPr>
      </w:pPr>
      <w:r>
        <w:t>29.</w:t>
      </w:r>
      <w:r>
        <w:tab/>
        <w:t>Banned drinker areas (Act s. 175(1G))</w:t>
      </w:r>
      <w:r>
        <w:tab/>
      </w:r>
      <w:r>
        <w:fldChar w:fldCharType="begin"/>
      </w:r>
      <w:r>
        <w:instrText xml:space="preserve"> PAGEREF _Toc206081374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Schedule 4 — Images of deposited plans showing protected entertainment precincts</w:t>
      </w:r>
    </w:p>
    <w:p>
      <w:pPr>
        <w:pStyle w:val="TOC8"/>
        <w:rPr>
          <w:rFonts w:asciiTheme="minorHAnsi" w:eastAsiaTheme="minorEastAsia" w:hAnsiTheme="minorHAnsi" w:cstheme="minorBidi"/>
          <w:szCs w:val="22"/>
        </w:rPr>
      </w:pPr>
      <w:r>
        <w:t>1.</w:t>
      </w:r>
      <w:r>
        <w:tab/>
        <w:t>Fremantle</w:t>
      </w:r>
      <w:r>
        <w:tab/>
      </w:r>
      <w:r>
        <w:fldChar w:fldCharType="begin"/>
      </w:r>
      <w:r>
        <w:instrText xml:space="preserve"> PAGEREF _Toc206081381 \h </w:instrText>
      </w:r>
      <w:r>
        <w:fldChar w:fldCharType="separate"/>
      </w:r>
      <w:r>
        <w:t>112</w:t>
      </w:r>
      <w:r>
        <w:fldChar w:fldCharType="end"/>
      </w:r>
    </w:p>
    <w:p>
      <w:pPr>
        <w:pStyle w:val="TOC8"/>
        <w:rPr>
          <w:rFonts w:asciiTheme="minorHAnsi" w:eastAsiaTheme="minorEastAsia" w:hAnsiTheme="minorHAnsi" w:cstheme="minorBidi"/>
          <w:szCs w:val="22"/>
        </w:rPr>
      </w:pPr>
      <w:r>
        <w:t>2.</w:t>
      </w:r>
      <w:r>
        <w:tab/>
        <w:t>Hillarys</w:t>
      </w:r>
      <w:r>
        <w:tab/>
      </w:r>
      <w:r>
        <w:fldChar w:fldCharType="begin"/>
      </w:r>
      <w:r>
        <w:instrText xml:space="preserve"> PAGEREF _Toc206081382 \h </w:instrText>
      </w:r>
      <w:r>
        <w:fldChar w:fldCharType="separate"/>
      </w:r>
      <w:r>
        <w:t>113</w:t>
      </w:r>
      <w:r>
        <w:fldChar w:fldCharType="end"/>
      </w:r>
    </w:p>
    <w:p>
      <w:pPr>
        <w:pStyle w:val="TOC8"/>
        <w:rPr>
          <w:rFonts w:asciiTheme="minorHAnsi" w:eastAsiaTheme="minorEastAsia" w:hAnsiTheme="minorHAnsi" w:cstheme="minorBidi"/>
          <w:szCs w:val="22"/>
        </w:rPr>
      </w:pPr>
      <w:r>
        <w:t>3.</w:t>
      </w:r>
      <w:r>
        <w:tab/>
        <w:t>Mandurah</w:t>
      </w:r>
      <w:r>
        <w:tab/>
      </w:r>
      <w:r>
        <w:fldChar w:fldCharType="begin"/>
      </w:r>
      <w:r>
        <w:instrText xml:space="preserve"> PAGEREF _Toc206081383 \h </w:instrText>
      </w:r>
      <w:r>
        <w:fldChar w:fldCharType="separate"/>
      </w:r>
      <w:r>
        <w:t>114</w:t>
      </w:r>
      <w:r>
        <w:fldChar w:fldCharType="end"/>
      </w:r>
    </w:p>
    <w:p>
      <w:pPr>
        <w:pStyle w:val="TOC8"/>
        <w:rPr>
          <w:rFonts w:asciiTheme="minorHAnsi" w:eastAsiaTheme="minorEastAsia" w:hAnsiTheme="minorHAnsi" w:cstheme="minorBidi"/>
          <w:szCs w:val="22"/>
        </w:rPr>
      </w:pPr>
      <w:r>
        <w:t>4.</w:t>
      </w:r>
      <w:r>
        <w:tab/>
        <w:t>Perth and Northbridge</w:t>
      </w:r>
      <w:r>
        <w:tab/>
      </w:r>
      <w:r>
        <w:fldChar w:fldCharType="begin"/>
      </w:r>
      <w:r>
        <w:instrText xml:space="preserve"> PAGEREF _Toc206081384 \h </w:instrText>
      </w:r>
      <w:r>
        <w:fldChar w:fldCharType="separate"/>
      </w:r>
      <w:r>
        <w:t>115</w:t>
      </w:r>
      <w:r>
        <w:fldChar w:fldCharType="end"/>
      </w:r>
    </w:p>
    <w:p>
      <w:pPr>
        <w:pStyle w:val="TOC8"/>
        <w:rPr>
          <w:rFonts w:asciiTheme="minorHAnsi" w:eastAsiaTheme="minorEastAsia" w:hAnsiTheme="minorHAnsi" w:cstheme="minorBidi"/>
          <w:szCs w:val="22"/>
        </w:rPr>
      </w:pPr>
      <w:r>
        <w:t>5.</w:t>
      </w:r>
      <w:r>
        <w:tab/>
        <w:t>Scarborough</w:t>
      </w:r>
      <w:r>
        <w:tab/>
      </w:r>
      <w:r>
        <w:fldChar w:fldCharType="begin"/>
      </w:r>
      <w:r>
        <w:instrText xml:space="preserve"> PAGEREF _Toc206081385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_Toc206081387 \h </w:instrText>
      </w:r>
      <w:r>
        <w:fldChar w:fldCharType="separate"/>
      </w:r>
      <w:r>
        <w:t>117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_Toc206081388 \h </w:instrText>
      </w:r>
      <w:r>
        <w:fldChar w:fldCharType="separate"/>
      </w:r>
      <w:r>
        <w:t>131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_Toc206081389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Liquor Control Act 1988</w:t>
      </w:r>
    </w:p>
    <w:p>
      <w:pPr>
        <w:pStyle w:val="NameofActReg"/>
      </w:pPr>
      <w:r>
        <w:t>Liquor Control Regulations 1989</w:t>
      </w:r>
    </w:p>
    <w:p>
      <w:pPr>
        <w:pStyle w:val="Heading5"/>
        <w:rPr>
          <w:snapToGrid w:val="0"/>
        </w:rPr>
      </w:pPr>
      <w:bookmarkStart w:id="2" w:name="_Toc206081270"/>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pPr>
        <w:pStyle w:val="Footnotesection"/>
      </w:pPr>
      <w:r>
        <w:tab/>
        <w:t>[Regulation 1 amended: Gazette 1 May 2007 p. 1864.]</w:t>
      </w:r>
    </w:p>
    <w:p>
      <w:pPr>
        <w:pStyle w:val="Heading5"/>
        <w:rPr>
          <w:snapToGrid w:val="0"/>
        </w:rPr>
      </w:pPr>
      <w:bookmarkStart w:id="3" w:name="_Toc206081271"/>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pPr>
        <w:pStyle w:val="Heading5"/>
        <w:rPr>
          <w:snapToGrid w:val="0"/>
        </w:rPr>
      </w:pPr>
      <w:bookmarkStart w:id="4" w:name="_Toc206081272"/>
      <w:r>
        <w:rPr>
          <w:rStyle w:val="CharSectno"/>
        </w:rPr>
        <w:t>3</w:t>
      </w:r>
      <w:r>
        <w:rPr>
          <w:snapToGrid w:val="0"/>
        </w:rPr>
        <w:t>.</w:t>
      </w:r>
      <w:r>
        <w:rPr>
          <w:snapToGrid w:val="0"/>
        </w:rPr>
        <w:tab/>
        <w:t>Forms prescribed etc. (Sch. 1)</w:t>
      </w:r>
      <w:bookmarkEnd w:id="4"/>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5" w:name="_Toc206081273"/>
      <w:r>
        <w:rPr>
          <w:rStyle w:val="CharSectno"/>
        </w:rPr>
        <w:lastRenderedPageBreak/>
        <w:t>3A</w:t>
      </w:r>
      <w:r>
        <w:rPr>
          <w:snapToGrid w:val="0"/>
        </w:rPr>
        <w:t>.</w:t>
      </w:r>
      <w:r>
        <w:rPr>
          <w:snapToGrid w:val="0"/>
        </w:rPr>
        <w:tab/>
        <w:t>Terms used</w:t>
      </w:r>
      <w:bookmarkEnd w:id="5"/>
    </w:p>
    <w:p>
      <w:pPr>
        <w:pStyle w:val="Subsection"/>
        <w:keepNext/>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5(1);</w:t>
      </w:r>
    </w:p>
    <w:p>
      <w:pPr>
        <w:pStyle w:val="Defstart"/>
      </w:pPr>
      <w:r>
        <w:tab/>
      </w:r>
      <w:r>
        <w:rPr>
          <w:rStyle w:val="CharDefText"/>
        </w:rPr>
        <w:t>crowd controller</w:t>
      </w:r>
      <w:r>
        <w:t xml:space="preserve"> has the meaning given in section 126C(1);</w:t>
      </w:r>
    </w:p>
    <w:p>
      <w:pPr>
        <w:pStyle w:val="Defstart"/>
      </w:pPr>
      <w:r>
        <w:tab/>
      </w:r>
      <w:r>
        <w:rPr>
          <w:rStyle w:val="CharDefText"/>
        </w:rPr>
        <w:t>Deposited Plan</w:t>
      </w:r>
      <w:r>
        <w:t>, followed by a number, means the deposited plan of that number —</w:t>
      </w:r>
    </w:p>
    <w:p>
      <w:pPr>
        <w:pStyle w:val="Defpara"/>
      </w:pPr>
      <w:r>
        <w:tab/>
        <w:t>(a)</w:t>
      </w:r>
      <w:r>
        <w:tab/>
        <w:t>lodged with the Authority; and</w:t>
      </w:r>
    </w:p>
    <w:p>
      <w:pPr>
        <w:pStyle w:val="Defpara"/>
      </w:pPr>
      <w:r>
        <w:tab/>
        <w:t>(b)</w:t>
      </w:r>
      <w:r>
        <w:tab/>
        <w:t xml:space="preserve">approved by an authorised land officer as defined in the </w:t>
      </w:r>
      <w:r>
        <w:rPr>
          <w:i/>
        </w:rPr>
        <w:t>Land Administration Act 1997</w:t>
      </w:r>
      <w:r>
        <w:t xml:space="preserve"> section 3(1); </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ID system</w:t>
      </w:r>
      <w:r>
        <w:t xml:space="preserve"> has the meaning given in section 152ZI;</w:t>
      </w:r>
    </w:p>
    <w:p>
      <w:pPr>
        <w:pStyle w:val="Defstart"/>
      </w:pPr>
      <w:r>
        <w:tab/>
      </w:r>
      <w:r>
        <w:rPr>
          <w:rStyle w:val="CharDefText"/>
        </w:rPr>
        <w:t>liquor restricted premises</w:t>
      </w:r>
      <w:r>
        <w:t xml:space="preserve"> has the meaning given in section 152N;</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 xml:space="preserve">in relation to a day of the period to which an application for a permit or licence relates, the maximum number of patrons that the person making the application reasonably expects to be in the place or on the premises </w:t>
      </w:r>
      <w:r>
        <w:lastRenderedPageBreak/>
        <w:t>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restricted area</w:t>
      </w:r>
      <w:r>
        <w:t xml:space="preserve"> means an area of the State declared for the purposes of section 175(1a) to be a restricted area;</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lastRenderedPageBreak/>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keepNext/>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 SL 2021/207 r. 4; SL 2023/196 r. 4.]</w:t>
      </w:r>
    </w:p>
    <w:p>
      <w:pPr>
        <w:pStyle w:val="Heading5"/>
        <w:keepLines w:val="0"/>
      </w:pPr>
      <w:bookmarkStart w:id="6" w:name="_Toc206081274"/>
      <w:r>
        <w:rPr>
          <w:rStyle w:val="CharSectno"/>
        </w:rPr>
        <w:t>3AB</w:t>
      </w:r>
      <w:r>
        <w:t>.</w:t>
      </w:r>
      <w:r>
        <w:tab/>
        <w:t xml:space="preserve">Kind of liquor prescribed (mist containing ethanol) (Act s. 3(1) </w:t>
      </w:r>
      <w:r>
        <w:rPr>
          <w:i/>
        </w:rPr>
        <w:t>kind</w:t>
      </w:r>
      <w:r>
        <w:t>)</w:t>
      </w:r>
      <w:bookmarkEnd w:id="6"/>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7" w:name="_Toc206081275"/>
      <w:r>
        <w:rPr>
          <w:rStyle w:val="CharSectno"/>
        </w:rPr>
        <w:t>3AC</w:t>
      </w:r>
      <w:r>
        <w:t>.</w:t>
      </w:r>
      <w:r>
        <w:tab/>
        <w:t xml:space="preserve">Kind of liquor prescribed (aerosol containing ethanol) (Act s. 3(1) </w:t>
      </w:r>
      <w:r>
        <w:rPr>
          <w:i/>
        </w:rPr>
        <w:t>kind</w:t>
      </w:r>
      <w:r>
        <w:t>)</w:t>
      </w:r>
      <w:bookmarkEnd w:id="7"/>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8" w:name="_Toc206081276"/>
      <w:r>
        <w:rPr>
          <w:rStyle w:val="CharSectno"/>
        </w:rPr>
        <w:lastRenderedPageBreak/>
        <w:t>3AD</w:t>
      </w:r>
      <w:r>
        <w:t>.</w:t>
      </w:r>
      <w:r>
        <w:tab/>
        <w:t xml:space="preserve">Kind of liquor prescribed (powdered alcohol) (Act s. 3(1) </w:t>
      </w:r>
      <w:r>
        <w:rPr>
          <w:i/>
        </w:rPr>
        <w:t>kind</w:t>
      </w:r>
      <w:r>
        <w:t>)</w:t>
      </w:r>
      <w:bookmarkEnd w:id="8"/>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9" w:name="_Toc206081277"/>
      <w:r>
        <w:rPr>
          <w:rStyle w:val="CharSectno"/>
        </w:rPr>
        <w:t>4</w:t>
      </w:r>
      <w:r>
        <w:rPr>
          <w:snapToGrid w:val="0"/>
        </w:rPr>
        <w:t>.</w:t>
      </w:r>
      <w:r>
        <w:rPr>
          <w:snapToGrid w:val="0"/>
        </w:rPr>
        <w:tab/>
        <w:t xml:space="preserve">Level prescribed </w:t>
      </w:r>
      <w:r>
        <w:t xml:space="preserve">(Act s. 3(1) </w:t>
      </w:r>
      <w:r>
        <w:rPr>
          <w:i/>
        </w:rPr>
        <w:t>low alcohol liquor</w:t>
      </w:r>
      <w:r>
        <w:t>)</w:t>
      </w:r>
      <w:bookmarkEnd w:id="9"/>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0" w:name="_Toc206081278"/>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0"/>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11" w:name="_Toc206081279"/>
      <w:r>
        <w:rPr>
          <w:rStyle w:val="CharSectno"/>
        </w:rPr>
        <w:t>4A</w:t>
      </w:r>
      <w:r>
        <w:rPr>
          <w:snapToGrid w:val="0"/>
        </w:rPr>
        <w:t>.</w:t>
      </w:r>
      <w:r>
        <w:rPr>
          <w:snapToGrid w:val="0"/>
        </w:rPr>
        <w:tab/>
        <w:t xml:space="preserve">Substances prescribed (food items) </w:t>
      </w:r>
      <w:r>
        <w:t xml:space="preserve">(Act s. 3(1) </w:t>
      </w:r>
      <w:r>
        <w:rPr>
          <w:i/>
        </w:rPr>
        <w:t>liquor</w:t>
      </w:r>
      <w:r>
        <w:t>)</w:t>
      </w:r>
      <w:bookmarkEnd w:id="11"/>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w:t>
      </w:r>
      <w:r>
        <w:lastRenderedPageBreak/>
        <w:t>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12" w:name="_Toc206081280"/>
      <w:r>
        <w:rPr>
          <w:rStyle w:val="CharSectno"/>
        </w:rPr>
        <w:t>4AB</w:t>
      </w:r>
      <w:r>
        <w:t>.</w:t>
      </w:r>
      <w:r>
        <w:tab/>
        <w:t>Substance prescribed (mist containing ethanol) (Act s. 3(1) </w:t>
      </w:r>
      <w:r>
        <w:rPr>
          <w:i/>
        </w:rPr>
        <w:t>liquor</w:t>
      </w:r>
      <w:r>
        <w:t>)</w:t>
      </w:r>
      <w:bookmarkEnd w:id="12"/>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13" w:name="_Toc206081281"/>
      <w:r>
        <w:rPr>
          <w:rStyle w:val="CharSectno"/>
        </w:rPr>
        <w:t>4AC</w:t>
      </w:r>
      <w:r>
        <w:t>.</w:t>
      </w:r>
      <w:r>
        <w:tab/>
        <w:t xml:space="preserve">Substance prescribed (aerosol containing ethanol) (Act s. 3(1) </w:t>
      </w:r>
      <w:r>
        <w:rPr>
          <w:i/>
        </w:rPr>
        <w:t>liquor</w:t>
      </w:r>
      <w:r>
        <w:t>)</w:t>
      </w:r>
      <w:bookmarkEnd w:id="13"/>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lastRenderedPageBreak/>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14" w:name="_Toc206081282"/>
      <w:r>
        <w:rPr>
          <w:rStyle w:val="CharSectno"/>
        </w:rPr>
        <w:t>4AD</w:t>
      </w:r>
      <w:r>
        <w:t>.</w:t>
      </w:r>
      <w:r>
        <w:tab/>
        <w:t xml:space="preserve">Substance prescribed (powdered alcohol) (Act s. 3(1) </w:t>
      </w:r>
      <w:r>
        <w:rPr>
          <w:i/>
        </w:rPr>
        <w:t>liquor</w:t>
      </w:r>
      <w:r>
        <w:t>)</w:t>
      </w:r>
      <w:bookmarkEnd w:id="14"/>
    </w:p>
    <w:p>
      <w:pPr>
        <w:pStyle w:val="Subsection"/>
        <w:keepNext/>
      </w:pPr>
      <w:r>
        <w:tab/>
        <w:t>(1)</w:t>
      </w:r>
      <w:r>
        <w:tab/>
        <w:t xml:space="preserve">In this regulation — </w:t>
      </w:r>
    </w:p>
    <w:p>
      <w:pPr>
        <w:pStyle w:val="Defstart"/>
        <w:keepNex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15" w:name="_Toc206081283"/>
      <w:r>
        <w:rPr>
          <w:rStyle w:val="CharSectno"/>
        </w:rPr>
        <w:t>4AE</w:t>
      </w:r>
      <w:r>
        <w:t>.</w:t>
      </w:r>
      <w:r>
        <w:rPr>
          <w:rStyle w:val="CharSectno"/>
        </w:rPr>
        <w:tab/>
      </w:r>
      <w:r>
        <w:t>Substance prescribed (liqueur chocolate) (Act s. 3(1) liquor)</w:t>
      </w:r>
      <w:bookmarkEnd w:id="15"/>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16" w:name="_Toc206081284"/>
      <w:r>
        <w:rPr>
          <w:rStyle w:val="CharSectno"/>
        </w:rPr>
        <w:lastRenderedPageBreak/>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6"/>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pPr>
        <w:pStyle w:val="IndentI0"/>
        <w:rPr>
          <w:snapToGrid w:val="0"/>
        </w:rPr>
      </w:pPr>
      <w:r>
        <w:rPr>
          <w:snapToGrid w:val="0"/>
        </w:rPr>
        <w:lastRenderedPageBreak/>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17" w:name="_Toc206081285"/>
      <w:r>
        <w:rPr>
          <w:rStyle w:val="CharSectno"/>
        </w:rPr>
        <w:t>5A</w:t>
      </w:r>
      <w:r>
        <w:t>.</w:t>
      </w:r>
      <w:r>
        <w:tab/>
        <w:t xml:space="preserve">Quantities prescribed </w:t>
      </w:r>
      <w:r>
        <w:rPr>
          <w:snapToGrid w:val="0"/>
        </w:rPr>
        <w:t>(Act s.</w:t>
      </w:r>
      <w:r>
        <w:t xml:space="preserve"> 3(1) </w:t>
      </w:r>
      <w:r>
        <w:rPr>
          <w:i/>
        </w:rPr>
        <w:t>sample</w:t>
      </w:r>
      <w:r>
        <w:t>)</w:t>
      </w:r>
      <w:bookmarkEnd w:id="17"/>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18" w:name="_Toc206081286"/>
      <w:r>
        <w:rPr>
          <w:rStyle w:val="CharSectno"/>
        </w:rPr>
        <w:lastRenderedPageBreak/>
        <w:t>5B</w:t>
      </w:r>
      <w:r>
        <w:t>.</w:t>
      </w:r>
      <w:r>
        <w:tab/>
        <w:t xml:space="preserve">Positions of authority in body corporate prescribed </w:t>
      </w:r>
      <w:r>
        <w:rPr>
          <w:snapToGrid w:val="0"/>
        </w:rPr>
        <w:t>(Act s.</w:t>
      </w:r>
      <w:r>
        <w:t> 3(4)(d))</w:t>
      </w:r>
      <w:bookmarkEnd w:id="18"/>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keepNext/>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keepNext/>
        <w:spacing w:before="70"/>
      </w:pPr>
      <w:r>
        <w:lastRenderedPageBreak/>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19" w:name="_Toc206081287"/>
      <w:r>
        <w:rPr>
          <w:rStyle w:val="CharSectno"/>
        </w:rPr>
        <w:t>5C</w:t>
      </w:r>
      <w:r>
        <w:t>.</w:t>
      </w:r>
      <w:r>
        <w:tab/>
        <w:t>Types of special facility licence prescribed (Act s. 4(6))</w:t>
      </w:r>
      <w:bookmarkEnd w:id="19"/>
    </w:p>
    <w:p>
      <w:pPr>
        <w:pStyle w:val="Subsection"/>
        <w:keepNext/>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20" w:name="_Toc206081288"/>
      <w:r>
        <w:rPr>
          <w:rStyle w:val="CharSectno"/>
        </w:rPr>
        <w:t>7</w:t>
      </w:r>
      <w:r>
        <w:rPr>
          <w:snapToGrid w:val="0"/>
        </w:rPr>
        <w:t>.</w:t>
      </w:r>
      <w:r>
        <w:rPr>
          <w:snapToGrid w:val="0"/>
        </w:rPr>
        <w:tab/>
        <w:t>Approved courses (Act s. 6(1)(c))</w:t>
      </w:r>
      <w:bookmarkEnd w:id="20"/>
    </w:p>
    <w:p>
      <w:pPr>
        <w:pStyle w:val="Subsection"/>
        <w:rPr>
          <w:snapToGrid w:val="0"/>
        </w:rPr>
      </w:pPr>
      <w:r>
        <w:rPr>
          <w:snapToGrid w:val="0"/>
        </w:rPr>
        <w:tab/>
      </w:r>
      <w:r>
        <w:rPr>
          <w:snapToGrid w:val="0"/>
        </w:rPr>
        <w:tab/>
        <w:t xml:space="preserve">An educational course of instruction or training that includes as a required element the tasting, sampling or use of liquor is an </w:t>
      </w:r>
      <w:r>
        <w:rPr>
          <w:snapToGrid w:val="0"/>
        </w:rPr>
        <w:lastRenderedPageBreak/>
        <w:t>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21" w:name="_Toc206081289"/>
      <w:r>
        <w:rPr>
          <w:rStyle w:val="CharSectno"/>
        </w:rPr>
        <w:t>8</w:t>
      </w:r>
      <w:r>
        <w:rPr>
          <w:snapToGrid w:val="0"/>
        </w:rPr>
        <w:t>.</w:t>
      </w:r>
      <w:r>
        <w:rPr>
          <w:snapToGrid w:val="0"/>
        </w:rPr>
        <w:tab/>
        <w:t>Exemption from Act, certain sales etc.</w:t>
      </w:r>
      <w:bookmarkEnd w:id="21"/>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keepNext/>
      </w:pPr>
      <w:r>
        <w:tab/>
        <w:t>(c)</w:t>
      </w:r>
      <w:r>
        <w:tab/>
        <w:t xml:space="preserve">subject to subregulation (1AA), 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lastRenderedPageBreak/>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lastRenderedPageBreak/>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lastRenderedPageBreak/>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(1AA)</w:t>
      </w:r>
      <w:r>
        <w:tab/>
        <w:t xml:space="preserve">Subregulation (1)(c) does not apply in relation to the sale or supply of liquor together with flowers, food or other products to be delivered as a gift — </w:t>
      </w:r>
    </w:p>
    <w:p>
      <w:pPr>
        <w:pStyle w:val="Indenta"/>
      </w:pPr>
      <w:r>
        <w:tab/>
        <w:t>(a)</w:t>
      </w:r>
      <w:r>
        <w:tab/>
        <w:t>in a restricted area; or</w:t>
      </w:r>
    </w:p>
    <w:p>
      <w:pPr>
        <w:pStyle w:val="Indenta"/>
      </w:pPr>
      <w:r>
        <w:tab/>
        <w:t>(b)</w:t>
      </w:r>
      <w:r>
        <w:tab/>
        <w:t>to liquor restricted premises.</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lastRenderedPageBreak/>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keepNex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 SL 2021/207 r. 5.]</w:t>
      </w:r>
    </w:p>
    <w:p>
      <w:pPr>
        <w:pStyle w:val="Heading5"/>
      </w:pPr>
      <w:bookmarkStart w:id="22" w:name="_Toc206081290"/>
      <w:r>
        <w:rPr>
          <w:rStyle w:val="CharSectno"/>
        </w:rPr>
        <w:t>8A</w:t>
      </w:r>
      <w:r>
        <w:t>.</w:t>
      </w:r>
      <w:r>
        <w:tab/>
        <w:t>Exemption from Act, consumption at live entertainment venues</w:t>
      </w:r>
      <w:bookmarkEnd w:id="22"/>
    </w:p>
    <w:p>
      <w:pPr>
        <w:pStyle w:val="Subsection"/>
        <w:keepNext/>
        <w:keepLines/>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lastRenderedPageBreak/>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 xml:space="preserve">a refusal of an application under the Act for the approval of a person to occupy a position of authority in a body </w:t>
      </w:r>
      <w:r>
        <w:lastRenderedPageBreak/>
        <w:t>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lastRenderedPageBreak/>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lastRenderedPageBreak/>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lastRenderedPageBreak/>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w:t>
      </w:r>
      <w:r>
        <w:lastRenderedPageBreak/>
        <w:t xml:space="preserve">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23" w:name="_Toc206081291"/>
      <w:r>
        <w:rPr>
          <w:rStyle w:val="CharSectno"/>
        </w:rPr>
        <w:t>8B</w:t>
      </w:r>
      <w:r>
        <w:t>.</w:t>
      </w:r>
      <w:r>
        <w:tab/>
        <w:t>Exemption from Act, sales etc. at certain functions</w:t>
      </w:r>
      <w:bookmarkEnd w:id="23"/>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 xml:space="preserve">the total number of attendees over the course of the function does not exceed 100, and liquor is </w:t>
      </w:r>
      <w:r>
        <w:lastRenderedPageBreak/>
        <w:t>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24" w:name="_Toc206081292"/>
      <w:r>
        <w:rPr>
          <w:rStyle w:val="CharSectno"/>
        </w:rPr>
        <w:t>8C</w:t>
      </w:r>
      <w:r>
        <w:t>.</w:t>
      </w:r>
      <w:r>
        <w:tab/>
        <w:t>Exemption from Act, complimentary supply by business</w:t>
      </w:r>
      <w:bookmarkEnd w:id="24"/>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lastRenderedPageBreak/>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25" w:name="_Toc206081293"/>
      <w:r>
        <w:rPr>
          <w:rStyle w:val="CharSectno"/>
        </w:rPr>
        <w:t>8CA</w:t>
      </w:r>
      <w:r>
        <w:t>.</w:t>
      </w:r>
      <w:r>
        <w:tab/>
        <w:t>Exemption for complimentary supply by tourism businesses</w:t>
      </w:r>
      <w:bookmarkEnd w:id="25"/>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 xml:space="preserve">the person who supplies the liquor to the customer has completed successfully a course of training or an assessment, approved by the Director for the purposes of </w:t>
      </w:r>
      <w:r>
        <w:lastRenderedPageBreak/>
        <w:t>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 restricted area;</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 SL 2021/207 r. 6.]</w:t>
      </w:r>
    </w:p>
    <w:p>
      <w:pPr>
        <w:pStyle w:val="Heading5"/>
        <w:spacing w:before="180"/>
      </w:pPr>
      <w:bookmarkStart w:id="26" w:name="_Toc206081294"/>
      <w:r>
        <w:rPr>
          <w:rStyle w:val="CharSectno"/>
        </w:rPr>
        <w:t>8D</w:t>
      </w:r>
      <w:r>
        <w:t>.</w:t>
      </w:r>
      <w:r>
        <w:tab/>
        <w:t>Exemption from Act, sales etc. at farmers’ markets</w:t>
      </w:r>
      <w:bookmarkEnd w:id="26"/>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lastRenderedPageBreak/>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 xml:space="preserve">a drunk person is not allowed to consume the liquor in the area immediately surrounding the stall in which </w:t>
      </w:r>
      <w:r>
        <w:lastRenderedPageBreak/>
        <w:t>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27" w:name="_Toc206081295"/>
      <w:r>
        <w:rPr>
          <w:rStyle w:val="CharSectno"/>
        </w:rPr>
        <w:t>8E</w:t>
      </w:r>
      <w:r>
        <w:t>.</w:t>
      </w:r>
      <w:r>
        <w:tab/>
        <w:t>Exemption from Act, sales etc. at functions on licensed premises</w:t>
      </w:r>
      <w:bookmarkEnd w:id="27"/>
    </w:p>
    <w:p>
      <w:pPr>
        <w:pStyle w:val="Subsection"/>
        <w:keepNext/>
      </w:pPr>
      <w:r>
        <w:tab/>
        <w:t>(1)</w:t>
      </w:r>
      <w:r>
        <w:tab/>
        <w:t xml:space="preserve">In this regulation — </w:t>
      </w:r>
    </w:p>
    <w:p>
      <w:pPr>
        <w:pStyle w:val="Defstart"/>
        <w:keepNex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lastRenderedPageBreak/>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28" w:name="_Toc206081296"/>
      <w:r>
        <w:rPr>
          <w:rStyle w:val="CharSectno"/>
        </w:rPr>
        <w:t>8F</w:t>
      </w:r>
      <w:r>
        <w:t>.</w:t>
      </w:r>
      <w:r>
        <w:tab/>
        <w:t>Exemption from Act for consumption in on</w:t>
      </w:r>
      <w:r>
        <w:noBreakHyphen/>
        <w:t>demand charter vehicle (Act s. 6(1)(o))</w:t>
      </w:r>
      <w:bookmarkEnd w:id="28"/>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keepNext/>
        <w:spacing w:before="200"/>
      </w:pPr>
      <w:r>
        <w:lastRenderedPageBreak/>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pPr>
      <w:bookmarkStart w:id="29" w:name="_Toc206081297"/>
      <w:r>
        <w:rPr>
          <w:rStyle w:val="CharSectno"/>
        </w:rPr>
        <w:t>8G</w:t>
      </w:r>
      <w:r>
        <w:t>.</w:t>
      </w:r>
      <w:r>
        <w:tab/>
        <w:t>Exemption from Act in relation to liquor competition (Act s. 6(1)(o))</w:t>
      </w:r>
      <w:bookmarkEnd w:id="29"/>
    </w:p>
    <w:p>
      <w:pPr>
        <w:pStyle w:val="Subsection"/>
        <w:keepNext/>
      </w:pPr>
      <w:r>
        <w:tab/>
        <w:t>(1)</w:t>
      </w:r>
      <w:r>
        <w:tab/>
        <w:t xml:space="preserve">In this regulation — </w:t>
      </w:r>
    </w:p>
    <w:p>
      <w:pPr>
        <w:pStyle w:val="Defstart"/>
      </w:pPr>
      <w:r>
        <w:tab/>
      </w:r>
      <w:r>
        <w:rPr>
          <w:rStyle w:val="CharDefText"/>
        </w:rPr>
        <w:t>judge</w:t>
      </w:r>
      <w:r>
        <w:t>, in relation to a liquor competition, means a person who has expertise or expert knowledge in relation to the particular kind and type of liquor entered into the competition;</w:t>
      </w:r>
    </w:p>
    <w:p>
      <w:pPr>
        <w:pStyle w:val="Defstart"/>
      </w:pPr>
      <w:r>
        <w:tab/>
      </w:r>
      <w:r>
        <w:rPr>
          <w:rStyle w:val="CharDefText"/>
        </w:rPr>
        <w:t>liquor competition</w:t>
      </w:r>
      <w:r>
        <w:t xml:space="preserve"> means a competition which has all of the following characteristics — </w:t>
      </w:r>
    </w:p>
    <w:p>
      <w:pPr>
        <w:pStyle w:val="Defpara"/>
      </w:pPr>
      <w:r>
        <w:tab/>
        <w:t>(a)</w:t>
      </w:r>
      <w:r>
        <w:tab/>
        <w:t xml:space="preserve">liquor of a particular kind and type is assessed by a judge in a systematic manner against certain criteria (for example, criteria in relation to colour, appearance, aroma and taste); </w:t>
      </w:r>
    </w:p>
    <w:p>
      <w:pPr>
        <w:pStyle w:val="Defpara"/>
      </w:pPr>
      <w:r>
        <w:tab/>
        <w:t>(b)</w:t>
      </w:r>
      <w:r>
        <w:tab/>
        <w:t>after judgment the liquor is allocated a score;</w:t>
      </w:r>
    </w:p>
    <w:p>
      <w:pPr>
        <w:pStyle w:val="Defpara"/>
      </w:pPr>
      <w:r>
        <w:tab/>
        <w:t>(c)</w:t>
      </w:r>
      <w:r>
        <w:tab/>
        <w:t>a prize or acknowledgment is given in relation to liquor entered into the competition;</w:t>
      </w:r>
    </w:p>
    <w:p>
      <w:pPr>
        <w:pStyle w:val="Defpara"/>
      </w:pPr>
      <w:r>
        <w:tab/>
        <w:t>(d)</w:t>
      </w:r>
      <w:r>
        <w:tab/>
        <w:t>the purposes of the competition include to highlight liquor producers whose liquor exhibits the best quality and to provide a forum to educate liquor producers.</w:t>
      </w:r>
    </w:p>
    <w:p>
      <w:pPr>
        <w:pStyle w:val="Subsection"/>
      </w:pPr>
      <w:r>
        <w:tab/>
        <w:t>(2)</w:t>
      </w:r>
      <w:r>
        <w:tab/>
        <w:t xml:space="preserve">The sale or supply of liquor to, and the consumption of liquor by, a judge who is at least 18 years of age is exempted from the application of the Act if — </w:t>
      </w:r>
    </w:p>
    <w:p>
      <w:pPr>
        <w:pStyle w:val="Indenta"/>
      </w:pPr>
      <w:r>
        <w:tab/>
        <w:t>(a)</w:t>
      </w:r>
      <w:r>
        <w:tab/>
        <w:t xml:space="preserve">the judge is not drunk; and </w:t>
      </w:r>
    </w:p>
    <w:p>
      <w:pPr>
        <w:pStyle w:val="Indenta"/>
      </w:pPr>
      <w:r>
        <w:lastRenderedPageBreak/>
        <w:tab/>
        <w:t>(b)</w:t>
      </w:r>
      <w:r>
        <w:tab/>
        <w:t>the judge is judging a liquor competition; and</w:t>
      </w:r>
    </w:p>
    <w:p>
      <w:pPr>
        <w:pStyle w:val="Indenta"/>
      </w:pPr>
      <w:r>
        <w:tab/>
        <w:t>(c)</w:t>
      </w:r>
      <w:r>
        <w:tab/>
        <w:t>the liquor is sold or supplied by way of sample; and</w:t>
      </w:r>
    </w:p>
    <w:p>
      <w:pPr>
        <w:pStyle w:val="Indenta"/>
      </w:pPr>
      <w:r>
        <w:tab/>
        <w:t>(d)</w:t>
      </w:r>
      <w:r>
        <w:tab/>
        <w:t>the liquor is sold or supplied, and consumed, only for the purposes of the competition.</w:t>
      </w:r>
    </w:p>
    <w:p>
      <w:pPr>
        <w:pStyle w:val="Subsection"/>
      </w:pPr>
      <w:r>
        <w:tab/>
        <w:t>(3)</w:t>
      </w:r>
      <w:r>
        <w:tab/>
        <w:t xml:space="preserve">The sale or supply of liquor to, and the consumption of liquor by, a person who is at least 18 years of age is exempted from the application of the Act if — </w:t>
      </w:r>
    </w:p>
    <w:p>
      <w:pPr>
        <w:pStyle w:val="Indenta"/>
      </w:pPr>
      <w:r>
        <w:tab/>
        <w:t>(a)</w:t>
      </w:r>
      <w:r>
        <w:tab/>
        <w:t>the person is not drunk; and</w:t>
      </w:r>
    </w:p>
    <w:p>
      <w:pPr>
        <w:pStyle w:val="Indenta"/>
        <w:keepNext/>
      </w:pPr>
      <w:r>
        <w:tab/>
        <w:t>(b)</w:t>
      </w:r>
      <w:r>
        <w:tab/>
        <w:t xml:space="preserve">the person is — </w:t>
      </w:r>
    </w:p>
    <w:p>
      <w:pPr>
        <w:pStyle w:val="Indenti"/>
      </w:pPr>
      <w:r>
        <w:tab/>
        <w:t>(i)</w:t>
      </w:r>
      <w:r>
        <w:tab/>
        <w:t>a liquor producer who entered liquor into a liquor competition; or</w:t>
      </w:r>
    </w:p>
    <w:p>
      <w:pPr>
        <w:pStyle w:val="Indenti"/>
      </w:pPr>
      <w:r>
        <w:tab/>
        <w:t>(ii)</w:t>
      </w:r>
      <w:r>
        <w:tab/>
        <w:t>employed or engaged as a steward for the purposes of a liquor competition;</w:t>
      </w:r>
    </w:p>
    <w:p>
      <w:pPr>
        <w:pStyle w:val="Indenta"/>
      </w:pPr>
      <w:r>
        <w:tab/>
      </w:r>
      <w:r>
        <w:tab/>
        <w:t>and</w:t>
      </w:r>
    </w:p>
    <w:p>
      <w:pPr>
        <w:pStyle w:val="Indenta"/>
        <w:keepNext/>
      </w:pPr>
      <w:r>
        <w:tab/>
        <w:t>(c)</w:t>
      </w:r>
      <w:r>
        <w:tab/>
        <w:t>the liquor is sold or supplied by way of sample; and</w:t>
      </w:r>
    </w:p>
    <w:p>
      <w:pPr>
        <w:pStyle w:val="Indenta"/>
      </w:pPr>
      <w:r>
        <w:tab/>
        <w:t>(d)</w:t>
      </w:r>
      <w:r>
        <w:tab/>
        <w:t>the sale or supply, and consumption, of the liquor is incidental to the competition.</w:t>
      </w:r>
    </w:p>
    <w:p>
      <w:pPr>
        <w:pStyle w:val="Footnotesection"/>
        <w:spacing w:before="160"/>
        <w:ind w:left="890" w:hanging="890"/>
      </w:pPr>
      <w:r>
        <w:tab/>
        <w:t>[Regulation 8G inserted: SL 2021/94 r. 4.]</w:t>
      </w:r>
    </w:p>
    <w:p>
      <w:pPr>
        <w:pStyle w:val="Heading5"/>
        <w:spacing w:before="240"/>
        <w:rPr>
          <w:snapToGrid w:val="0"/>
        </w:rPr>
      </w:pPr>
      <w:bookmarkStart w:id="30" w:name="_Toc206081298"/>
      <w:r>
        <w:rPr>
          <w:rStyle w:val="CharSectno"/>
        </w:rPr>
        <w:t>9</w:t>
      </w:r>
      <w:r>
        <w:rPr>
          <w:snapToGrid w:val="0"/>
        </w:rPr>
        <w:t>.</w:t>
      </w:r>
      <w:r>
        <w:rPr>
          <w:snapToGrid w:val="0"/>
        </w:rPr>
        <w:tab/>
        <w:t>Persons who may take and administer oaths and affirmations (Act s. 18(3)(c))</w:t>
      </w:r>
      <w:bookmarkEnd w:id="30"/>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keepNext/>
        <w:spacing w:before="100"/>
        <w:rPr>
          <w:snapToGrid w:val="0"/>
        </w:rPr>
      </w:pPr>
      <w:r>
        <w:rPr>
          <w:snapToGrid w:val="0"/>
        </w:rPr>
        <w:tab/>
        <w:t>(d)</w:t>
      </w:r>
      <w:r>
        <w:rPr>
          <w:snapToGrid w:val="0"/>
        </w:rPr>
        <w:tab/>
        <w:t xml:space="preserve">a </w:t>
      </w:r>
      <w:r>
        <w:t xml:space="preserve">court registrar </w:t>
      </w:r>
      <w:r>
        <w:rPr>
          <w:snapToGrid w:val="0"/>
        </w:rPr>
        <w:t xml:space="preserve">who is a person authorised by the Director under section 15(1)(b) to determine </w:t>
      </w:r>
      <w:r>
        <w:rPr>
          <w:snapToGrid w:val="0"/>
        </w:rPr>
        <w:lastRenderedPageBreak/>
        <w:t>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31" w:name="_Toc206081299"/>
      <w:r>
        <w:rPr>
          <w:rStyle w:val="CharSectno"/>
        </w:rPr>
        <w:t>9AA</w:t>
      </w:r>
      <w:r>
        <w:t>.</w:t>
      </w:r>
      <w:r>
        <w:tab/>
        <w:t xml:space="preserve">Distance prescribed </w:t>
      </w:r>
      <w:r>
        <w:rPr>
          <w:snapToGrid w:val="0"/>
        </w:rPr>
        <w:t>(Act s.</w:t>
      </w:r>
      <w:r>
        <w:t> 36A(2)(b))</w:t>
      </w:r>
      <w:bookmarkEnd w:id="31"/>
    </w:p>
    <w:p>
      <w:pPr>
        <w:pStyle w:val="Subsection"/>
        <w:keepNext/>
      </w:pPr>
      <w:r>
        <w:tab/>
        <w:t>(1)</w:t>
      </w:r>
      <w:r>
        <w:tab/>
        <w:t>For the purpose of section 36A(2)(b) a distance of 15 km is prescribed.</w:t>
      </w:r>
    </w:p>
    <w:p>
      <w:pPr>
        <w:pStyle w:val="Subsection"/>
      </w:pPr>
      <w:r>
        <w:tab/>
        <w:t>(2)</w:t>
      </w:r>
      <w:r>
        <w:tab/>
        <w:t>The distance referred to in subregulation (1) is to be calculated using the shortest route by road.</w:t>
      </w:r>
    </w:p>
    <w:p>
      <w:pPr>
        <w:pStyle w:val="Footnotesection"/>
        <w:ind w:left="890" w:hanging="890"/>
      </w:pPr>
      <w:r>
        <w:tab/>
        <w:t>[Regulation 9AA inserted: Gazette 29 Sep 2000 p. 5549; amended: Gazette 1 May 2007 p. 1888</w:t>
      </w:r>
      <w:r>
        <w:noBreakHyphen/>
        <w:t>9; SL 2025/149 r. 4.]</w:t>
      </w:r>
    </w:p>
    <w:p>
      <w:pPr>
        <w:pStyle w:val="Heading5"/>
      </w:pPr>
      <w:bookmarkStart w:id="32" w:name="_Toc206081300"/>
      <w:r>
        <w:rPr>
          <w:rStyle w:val="CharSectno"/>
        </w:rPr>
        <w:t>9AAA</w:t>
      </w:r>
      <w:r>
        <w:t>.</w:t>
      </w:r>
      <w:r>
        <w:tab/>
        <w:t>Area prescribed (Act s. 36B)</w:t>
      </w:r>
      <w:bookmarkEnd w:id="32"/>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33" w:name="_Toc206081301"/>
      <w:r>
        <w:rPr>
          <w:rStyle w:val="CharSectno"/>
        </w:rPr>
        <w:t>9AAB</w:t>
      </w:r>
      <w:r>
        <w:t>.</w:t>
      </w:r>
      <w:r>
        <w:tab/>
        <w:t>Distance prescribed (Act s. 36B)</w:t>
      </w:r>
      <w:bookmarkEnd w:id="33"/>
    </w:p>
    <w:p>
      <w:pPr>
        <w:pStyle w:val="Subsection"/>
        <w:keepNext/>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34" w:name="_Toc206081302"/>
      <w:r>
        <w:rPr>
          <w:rStyle w:val="CharSectno"/>
        </w:rPr>
        <w:lastRenderedPageBreak/>
        <w:t>9A</w:t>
      </w:r>
      <w:r>
        <w:t>.</w:t>
      </w:r>
      <w:r>
        <w:tab/>
      </w:r>
      <w:r>
        <w:rPr>
          <w:snapToGrid w:val="0"/>
        </w:rPr>
        <w:t>Special facility licence, purposes for which may be granted</w:t>
      </w:r>
      <w:bookmarkEnd w:id="34"/>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lastRenderedPageBreak/>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lastRenderedPageBreak/>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keepNext/>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lastRenderedPageBreak/>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lastRenderedPageBreak/>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lastRenderedPageBreak/>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 xml:space="preserve">means a restaurant that provides room service to persons residing or staying in residential accommodation on the same premises as the restaurant or </w:t>
      </w:r>
      <w:r>
        <w:lastRenderedPageBreak/>
        <w:t>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lastRenderedPageBreak/>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keepNext/>
      </w:pPr>
      <w:r>
        <w:tab/>
        <w:t>(c)</w:t>
      </w:r>
      <w:r>
        <w:tab/>
        <w:t xml:space="preserve">the licensee must dispatch the wine sold — </w:t>
      </w:r>
    </w:p>
    <w:p>
      <w:pPr>
        <w:pStyle w:val="Indenti"/>
        <w:keepNext/>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 xml:space="preserve">2; 22 Oct 2010 p. 5226; 7 Oct 2011 p. 4068-9; 6 Jan 2012 p. 48 </w:t>
      </w:r>
      <w:r>
        <w:lastRenderedPageBreak/>
        <w:t>(disallowed: Gazette 18 Sep 2012 p. 4411); 16 Nov 2012 p. 5658; 10 Jan 2017 p. 142</w:t>
      </w:r>
      <w:r>
        <w:noBreakHyphen/>
        <w:t>3; 3 Feb 2017 p. 1115.]</w:t>
      </w:r>
    </w:p>
    <w:p>
      <w:pPr>
        <w:pStyle w:val="Heading5"/>
      </w:pPr>
      <w:bookmarkStart w:id="35" w:name="_Toc206081303"/>
      <w:r>
        <w:rPr>
          <w:rStyle w:val="CharSectno"/>
        </w:rPr>
        <w:t>9AB</w:t>
      </w:r>
      <w:r>
        <w:t>.</w:t>
      </w:r>
      <w:r>
        <w:tab/>
        <w:t xml:space="preserve">Kind of extended trading permit prescribed </w:t>
      </w:r>
      <w:r>
        <w:rPr>
          <w:snapToGrid w:val="0"/>
        </w:rPr>
        <w:t>(Act s.</w:t>
      </w:r>
      <w:r>
        <w:t> 25(5a))</w:t>
      </w:r>
      <w:bookmarkEnd w:id="35"/>
    </w:p>
    <w:p>
      <w:pPr>
        <w:pStyle w:val="Subsection"/>
        <w:keepNext/>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36" w:name="_Toc206081304"/>
      <w:r>
        <w:rPr>
          <w:rStyle w:val="CharSectno"/>
        </w:rPr>
        <w:t>9B</w:t>
      </w:r>
      <w:r>
        <w:rPr>
          <w:snapToGrid w:val="0"/>
        </w:rPr>
        <w:t>.</w:t>
      </w:r>
      <w:r>
        <w:rPr>
          <w:snapToGrid w:val="0"/>
        </w:rPr>
        <w:tab/>
        <w:t>Special facility licence, effect of as to sale of packaged liquor</w:t>
      </w:r>
      <w:bookmarkEnd w:id="36"/>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37" w:name="_Toc206081305"/>
      <w:r>
        <w:rPr>
          <w:rStyle w:val="CharSectno"/>
        </w:rPr>
        <w:t>9C</w:t>
      </w:r>
      <w:r>
        <w:t>.</w:t>
      </w:r>
      <w:r>
        <w:tab/>
        <w:t>Types of special facility licence prescribed (Act s. 46(6))</w:t>
      </w:r>
      <w:bookmarkEnd w:id="37"/>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keepNext/>
      </w:pPr>
      <w:r>
        <w:lastRenderedPageBreak/>
        <w:tab/>
        <w:t>(k)</w:t>
      </w:r>
      <w:r>
        <w:tab/>
        <w:t>regulation 9A(15) and (16) — room service restaurant;</w:t>
      </w:r>
    </w:p>
    <w:p>
      <w:pPr>
        <w:pStyle w:val="Indenta"/>
        <w:keepNext/>
      </w:pPr>
      <w:r>
        <w:tab/>
        <w:t>(l)</w:t>
      </w:r>
      <w:r>
        <w:tab/>
        <w:t>regulation 9A(22) — auction.</w:t>
      </w:r>
    </w:p>
    <w:p>
      <w:pPr>
        <w:pStyle w:val="Footnotesection"/>
      </w:pPr>
      <w:r>
        <w:tab/>
        <w:t>[Regulation 9C inserted: Gazette 8 Dec 2017 p. 5850.]</w:t>
      </w:r>
    </w:p>
    <w:p>
      <w:pPr>
        <w:pStyle w:val="Heading5"/>
      </w:pPr>
      <w:bookmarkStart w:id="38" w:name="_Toc206081306"/>
      <w:r>
        <w:rPr>
          <w:rStyle w:val="CharSectno"/>
        </w:rPr>
        <w:t>9D</w:t>
      </w:r>
      <w:r>
        <w:t>.</w:t>
      </w:r>
      <w:r>
        <w:tab/>
      </w:r>
      <w:r>
        <w:rPr>
          <w:snapToGrid w:val="0"/>
        </w:rPr>
        <w:t>Act s.</w:t>
      </w:r>
      <w:r>
        <w:t> 33(6b) modified as to occasional licences</w:t>
      </w:r>
      <w:bookmarkEnd w:id="38"/>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39" w:name="_Toc206081307"/>
      <w:r>
        <w:rPr>
          <w:rStyle w:val="CharSectno"/>
        </w:rPr>
        <w:t>9E</w:t>
      </w:r>
      <w:r>
        <w:t>.</w:t>
      </w:r>
      <w:r>
        <w:tab/>
        <w:t>Period prescribed (Act s. 33(6D)(b))</w:t>
      </w:r>
      <w:bookmarkEnd w:id="39"/>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40" w:name="_Toc206081308"/>
      <w:r>
        <w:rPr>
          <w:rStyle w:val="CharSectno"/>
        </w:rPr>
        <w:t>9EA</w:t>
      </w:r>
      <w:r>
        <w:t>.</w:t>
      </w:r>
      <w:r>
        <w:tab/>
        <w:t>Kinds of licence prescribed (Act s. 38(1)(a))</w:t>
      </w:r>
      <w:bookmarkEnd w:id="40"/>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keepNext/>
      </w:pPr>
      <w:r>
        <w:lastRenderedPageBreak/>
        <w:tab/>
        <w:t>(c)</w:t>
      </w:r>
      <w:r>
        <w:tab/>
        <w:t>a casino liquor licence;</w:t>
      </w:r>
    </w:p>
    <w:p>
      <w:pPr>
        <w:pStyle w:val="Indenta"/>
        <w:keepNext/>
      </w:pPr>
      <w:r>
        <w:tab/>
        <w:t>(d)</w:t>
      </w:r>
      <w:r>
        <w:tab/>
        <w:t>a liquor store licence.</w:t>
      </w:r>
    </w:p>
    <w:p>
      <w:pPr>
        <w:pStyle w:val="Footnotesection"/>
        <w:keepNext/>
        <w:ind w:left="890" w:hanging="890"/>
      </w:pPr>
      <w:r>
        <w:tab/>
        <w:t>[Regulation 9EA inserted: Gazette 2 Oct 2018 p. 3800.]</w:t>
      </w:r>
    </w:p>
    <w:p>
      <w:pPr>
        <w:pStyle w:val="Heading5"/>
      </w:pPr>
      <w:bookmarkStart w:id="41" w:name="_Toc206081309"/>
      <w:r>
        <w:rPr>
          <w:rStyle w:val="CharSectno"/>
        </w:rPr>
        <w:t>9F</w:t>
      </w:r>
      <w:r>
        <w:t>.</w:t>
      </w:r>
      <w:r>
        <w:tab/>
        <w:t>Kinds of permit prescribed (Act s. 38(1)(b))</w:t>
      </w:r>
      <w:bookmarkEnd w:id="41"/>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42" w:name="_Toc206081310"/>
      <w:r>
        <w:rPr>
          <w:rStyle w:val="CharSectno"/>
        </w:rPr>
        <w:t>10</w:t>
      </w:r>
      <w:r>
        <w:rPr>
          <w:snapToGrid w:val="0"/>
        </w:rPr>
        <w:t>.</w:t>
      </w:r>
      <w:r>
        <w:rPr>
          <w:snapToGrid w:val="0"/>
        </w:rPr>
        <w:tab/>
        <w:t>Requirements prescribed (Act s. </w:t>
      </w:r>
      <w:r>
        <w:t>57(2)(d)</w:t>
      </w:r>
      <w:r>
        <w:rPr>
          <w:snapToGrid w:val="0"/>
        </w:rPr>
        <w:t>)</w:t>
      </w:r>
      <w:bookmarkEnd w:id="42"/>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keepNext/>
        <w:rPr>
          <w:snapToGrid w:val="0"/>
        </w:rPr>
      </w:pPr>
      <w:r>
        <w:rPr>
          <w:snapToGrid w:val="0"/>
        </w:rPr>
        <w:tab/>
        <w:t>(ii)</w:t>
      </w:r>
      <w:r>
        <w:rPr>
          <w:snapToGrid w:val="0"/>
        </w:rPr>
        <w:tab/>
        <w:t xml:space="preserve">if those premises are not in a convenient location for the sale of the liquor produced, other </w:t>
      </w:r>
      <w:r>
        <w:rPr>
          <w:snapToGrid w:val="0"/>
        </w:rPr>
        <w:lastRenderedPageBreak/>
        <w:t>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43" w:name="_Toc206081311"/>
      <w:r>
        <w:rPr>
          <w:rStyle w:val="CharSectno"/>
        </w:rPr>
        <w:t>10A</w:t>
      </w:r>
      <w:r>
        <w:rPr>
          <w:snapToGrid w:val="0"/>
        </w:rPr>
        <w:t>.</w:t>
      </w:r>
      <w:r>
        <w:rPr>
          <w:snapToGrid w:val="0"/>
        </w:rPr>
        <w:tab/>
        <w:t>Condition prescribed (Act s. 55(2))</w:t>
      </w:r>
      <w:bookmarkEnd w:id="43"/>
    </w:p>
    <w:p>
      <w:pPr>
        <w:pStyle w:val="Subsection"/>
        <w:keepNext/>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44" w:name="_Toc206081312"/>
      <w:r>
        <w:rPr>
          <w:rStyle w:val="CharSectno"/>
        </w:rPr>
        <w:t>10B</w:t>
      </w:r>
      <w:r>
        <w:t>.</w:t>
      </w:r>
      <w:r>
        <w:tab/>
        <w:t>Days for making application prescribed (Act s. 64(1BA))</w:t>
      </w:r>
      <w:bookmarkEnd w:id="44"/>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60 days; or</w:t>
      </w:r>
    </w:p>
    <w:p>
      <w:pPr>
        <w:pStyle w:val="Indenti"/>
      </w:pPr>
      <w:r>
        <w:tab/>
        <w:t>(iii)</w:t>
      </w:r>
      <w:r>
        <w:tab/>
        <w:t>if the anticipated number of patrons is greater than 5 000 — 90 days;</w:t>
      </w:r>
    </w:p>
    <w:p>
      <w:pPr>
        <w:pStyle w:val="Indenta"/>
      </w:pPr>
      <w:r>
        <w:tab/>
      </w:r>
      <w:r>
        <w:tab/>
        <w:t>or</w:t>
      </w:r>
    </w:p>
    <w:p>
      <w:pPr>
        <w:pStyle w:val="Indenta"/>
        <w:keepNext/>
      </w:pPr>
      <w:r>
        <w:lastRenderedPageBreak/>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 amended: SL 2021/94 r. 5.]</w:t>
      </w:r>
    </w:p>
    <w:p>
      <w:pPr>
        <w:pStyle w:val="Heading5"/>
      </w:pPr>
      <w:bookmarkStart w:id="45" w:name="_Toc206081313"/>
      <w:r>
        <w:rPr>
          <w:rStyle w:val="CharSectno"/>
        </w:rPr>
        <w:t>10C</w:t>
      </w:r>
      <w:r>
        <w:t>.</w:t>
      </w:r>
      <w:r>
        <w:tab/>
        <w:t>Prescribed requirements for sale and delivery of packaged liquor or liquor for consumption off licensed premises (Act s. 65(1)(b))</w:t>
      </w:r>
      <w:bookmarkEnd w:id="45"/>
    </w:p>
    <w:p>
      <w:pPr>
        <w:pStyle w:val="Subsection"/>
      </w:pPr>
      <w:r>
        <w:tab/>
        <w:t>(1)</w:t>
      </w:r>
      <w:r>
        <w:tab/>
        <w:t>For the purposes of section 65(1)(b), the requirements relating to the sale and delivery from licensed premises of packaged liquor or liquor for consumption off the licensed premises are set out in this regulation.</w:t>
      </w:r>
    </w:p>
    <w:p>
      <w:pPr>
        <w:pStyle w:val="Subsection"/>
        <w:keepNext/>
      </w:pPr>
      <w:r>
        <w:tab/>
        <w:t>(2)</w:t>
      </w:r>
      <w:r>
        <w:tab/>
        <w:t xml:space="preserve">The licensee must ensure that — </w:t>
      </w:r>
    </w:p>
    <w:p>
      <w:pPr>
        <w:pStyle w:val="Indenta"/>
      </w:pPr>
      <w:r>
        <w:tab/>
        <w:t>(a)</w:t>
      </w:r>
      <w:r>
        <w:tab/>
        <w:t xml:space="preserve">if the sealed containers in which the liquor is delivered are contained in a box, carton or other package — the box, carton or package is labelled, marked or stamped with — </w:t>
      </w:r>
    </w:p>
    <w:p>
      <w:pPr>
        <w:pStyle w:val="Indenti"/>
      </w:pPr>
      <w:r>
        <w:tab/>
        <w:t>(i)</w:t>
      </w:r>
      <w:r>
        <w:tab/>
        <w:t>the name and address of the purchaser; and</w:t>
      </w:r>
    </w:p>
    <w:p>
      <w:pPr>
        <w:pStyle w:val="Indenti"/>
      </w:pPr>
      <w:r>
        <w:tab/>
        <w:t>(ii)</w:t>
      </w:r>
      <w:r>
        <w:tab/>
        <w:t>the name and address of the vendor;</w:t>
      </w:r>
    </w:p>
    <w:p>
      <w:pPr>
        <w:pStyle w:val="Indenta"/>
      </w:pPr>
      <w:r>
        <w:tab/>
      </w:r>
      <w:r>
        <w:tab/>
        <w:t>or</w:t>
      </w:r>
    </w:p>
    <w:p>
      <w:pPr>
        <w:pStyle w:val="Indenta"/>
      </w:pPr>
      <w:r>
        <w:tab/>
        <w:t>(b)</w:t>
      </w:r>
      <w:r>
        <w:tab/>
        <w:t>in any other case — the sealed containers in which the liquor is delivered are each labelled, marked or stamped as described in paragraph (a).</w:t>
      </w:r>
    </w:p>
    <w:p>
      <w:pPr>
        <w:pStyle w:val="Subsection"/>
        <w:keepNext/>
      </w:pPr>
      <w:r>
        <w:tab/>
        <w:t>(3)</w:t>
      </w:r>
      <w:r>
        <w:tab/>
        <w:t xml:space="preserve">The licensee must ensure that the liquor is not left with a person unless — </w:t>
      </w:r>
    </w:p>
    <w:p>
      <w:pPr>
        <w:pStyle w:val="Indenta"/>
      </w:pPr>
      <w:r>
        <w:tab/>
        <w:t>(a)</w:t>
      </w:r>
      <w:r>
        <w:tab/>
        <w:t>the person produces evidence that the person has reached 18 years of age; and</w:t>
      </w:r>
    </w:p>
    <w:p>
      <w:pPr>
        <w:pStyle w:val="Indenta"/>
      </w:pPr>
      <w:r>
        <w:tab/>
        <w:t>(b)</w:t>
      </w:r>
      <w:r>
        <w:tab/>
        <w:t>if the delivery is made on the day on which the liquor is purchased — the person is the purchaser or a person nominated by the purchaser; and</w:t>
      </w:r>
    </w:p>
    <w:p>
      <w:pPr>
        <w:pStyle w:val="Indenta"/>
        <w:keepNext/>
      </w:pPr>
      <w:r>
        <w:lastRenderedPageBreak/>
        <w:tab/>
        <w:t>(c)</w:t>
      </w:r>
      <w:r>
        <w:tab/>
        <w:t xml:space="preserve">if the delivery is made within a banned drinker area — </w:t>
      </w:r>
    </w:p>
    <w:p>
      <w:pPr>
        <w:pStyle w:val="Indenti"/>
      </w:pPr>
      <w:r>
        <w:tab/>
        <w:t>(i)</w:t>
      </w:r>
      <w:r>
        <w:tab/>
        <w:t xml:space="preserve">the person is the purchaser; or </w:t>
      </w:r>
    </w:p>
    <w:p>
      <w:pPr>
        <w:pStyle w:val="Indenti"/>
      </w:pPr>
      <w:r>
        <w:tab/>
        <w:t>(ii)</w:t>
      </w:r>
      <w:r>
        <w:tab/>
        <w:t>the person is a person nominated by the purchaser who was not a banned drinker when the liquor was purchased.</w:t>
      </w:r>
    </w:p>
    <w:p>
      <w:pPr>
        <w:pStyle w:val="Subsection"/>
      </w:pPr>
      <w:r>
        <w:tab/>
        <w:t>(4)</w:t>
      </w:r>
      <w:r>
        <w:tab/>
        <w:t xml:space="preserve">Evidence for the purposes of subregulation (3)(a) consists of — </w:t>
      </w:r>
    </w:p>
    <w:p>
      <w:pPr>
        <w:pStyle w:val="Indenta"/>
      </w:pPr>
      <w:r>
        <w:tab/>
        <w:t>(a)</w:t>
      </w:r>
      <w:r>
        <w:tab/>
        <w:t>a current Australian driver’s licence with a photograph; or</w:t>
      </w:r>
    </w:p>
    <w:p>
      <w:pPr>
        <w:pStyle w:val="Indenta"/>
      </w:pPr>
      <w:r>
        <w:tab/>
        <w:t>(b)</w:t>
      </w:r>
      <w:r>
        <w:tab/>
        <w:t>a current passport; or</w:t>
      </w:r>
    </w:p>
    <w:p>
      <w:pPr>
        <w:pStyle w:val="Indenta"/>
      </w:pPr>
      <w:r>
        <w:tab/>
        <w:t>(c)</w:t>
      </w:r>
      <w:r>
        <w:tab/>
        <w:t>a document referred to in regulation 18A(1A).</w:t>
      </w:r>
    </w:p>
    <w:p>
      <w:pPr>
        <w:pStyle w:val="Subsection"/>
      </w:pPr>
      <w:r>
        <w:tab/>
        <w:t>(5)</w:t>
      </w:r>
      <w:r>
        <w:tab/>
        <w:t xml:space="preserve">The licensee must ensure that the liquor is not left with a person if — </w:t>
      </w:r>
    </w:p>
    <w:p>
      <w:pPr>
        <w:pStyle w:val="Indenta"/>
      </w:pPr>
      <w:r>
        <w:tab/>
        <w:t>(a)</w:t>
      </w:r>
      <w:r>
        <w:tab/>
        <w:t>the speech, balance, coordination or behaviour of the person appears to be noticeably impaired; and</w:t>
      </w:r>
    </w:p>
    <w:p>
      <w:pPr>
        <w:pStyle w:val="Indenta"/>
      </w:pPr>
      <w:r>
        <w:tab/>
        <w:t>(b)</w:t>
      </w:r>
      <w:r>
        <w:tab/>
        <w:t>there are reasonable grounds to suspect that the impairment results from the consumption of liquor.</w:t>
      </w:r>
    </w:p>
    <w:p>
      <w:pPr>
        <w:pStyle w:val="Subsection"/>
        <w:keepNext/>
      </w:pPr>
      <w:r>
        <w:tab/>
        <w:t>(6)</w:t>
      </w:r>
      <w:r>
        <w:tab/>
        <w:t xml:space="preserve">The licensee must ensure that the liquor is not left unattended at premises unless — </w:t>
      </w:r>
    </w:p>
    <w:p>
      <w:pPr>
        <w:pStyle w:val="Indenta"/>
      </w:pPr>
      <w:r>
        <w:tab/>
        <w:t>(a)</w:t>
      </w:r>
      <w:r>
        <w:tab/>
        <w:t>the delivery is made on a day other than the day on which the liquor is purchased; and</w:t>
      </w:r>
    </w:p>
    <w:p>
      <w:pPr>
        <w:pStyle w:val="Indenta"/>
      </w:pPr>
      <w:r>
        <w:tab/>
        <w:t>(b)</w:t>
      </w:r>
      <w:r>
        <w:tab/>
        <w:t>the purchaser authorises the liquor to be left unattended at the premises; and</w:t>
      </w:r>
    </w:p>
    <w:p>
      <w:pPr>
        <w:pStyle w:val="Indenta"/>
      </w:pPr>
      <w:r>
        <w:tab/>
        <w:t>(c)</w:t>
      </w:r>
      <w:r>
        <w:tab/>
        <w:t>the liquor is left in an area that is not visible to passers</w:t>
      </w:r>
      <w:r>
        <w:noBreakHyphen/>
        <w:t>by.</w:t>
      </w:r>
    </w:p>
    <w:p>
      <w:pPr>
        <w:pStyle w:val="Subsection"/>
      </w:pPr>
      <w:r>
        <w:tab/>
        <w:t>(7)</w:t>
      </w:r>
      <w:r>
        <w:tab/>
        <w:t xml:space="preserve">The licensee must ensure that the liquor is not delivered — </w:t>
      </w:r>
    </w:p>
    <w:p>
      <w:pPr>
        <w:pStyle w:val="Indenta"/>
      </w:pPr>
      <w:r>
        <w:tab/>
        <w:t>(a)</w:t>
      </w:r>
      <w:r>
        <w:tab/>
        <w:t>in a restricted area; or</w:t>
      </w:r>
    </w:p>
    <w:p>
      <w:pPr>
        <w:pStyle w:val="Indenta"/>
      </w:pPr>
      <w:r>
        <w:tab/>
        <w:t>(b)</w:t>
      </w:r>
      <w:r>
        <w:tab/>
        <w:t>to liquor restricted premises at which a notice is displayed under section 152S.</w:t>
      </w:r>
    </w:p>
    <w:p>
      <w:pPr>
        <w:pStyle w:val="Subsection"/>
        <w:keepNext/>
      </w:pPr>
      <w:r>
        <w:lastRenderedPageBreak/>
        <w:tab/>
        <w:t>(8)</w:t>
      </w:r>
      <w:r>
        <w:tab/>
        <w:t xml:space="preserve">The licensee must ensure that the liquor is delivered at a time that is — </w:t>
      </w:r>
    </w:p>
    <w:p>
      <w:pPr>
        <w:pStyle w:val="Indenta"/>
      </w:pPr>
      <w:r>
        <w:tab/>
        <w:t>(a)</w:t>
      </w:r>
      <w:r>
        <w:tab/>
        <w:t>within the permitted hours, if any, under the licence; and</w:t>
      </w:r>
    </w:p>
    <w:p>
      <w:pPr>
        <w:pStyle w:val="Indenta"/>
      </w:pPr>
      <w:r>
        <w:tab/>
        <w:t>(b)</w:t>
      </w:r>
      <w:r>
        <w:tab/>
        <w:t xml:space="preserve">in any case — </w:t>
      </w:r>
    </w:p>
    <w:p>
      <w:pPr>
        <w:pStyle w:val="Indenti"/>
      </w:pPr>
      <w:r>
        <w:tab/>
        <w:t>(i)</w:t>
      </w:r>
      <w:r>
        <w:tab/>
        <w:t>if the delivery is made on the day on which the liquor is purchased — between the hours of 9 am and midnight; and</w:t>
      </w:r>
    </w:p>
    <w:p>
      <w:pPr>
        <w:pStyle w:val="Indenti"/>
      </w:pPr>
      <w:r>
        <w:tab/>
        <w:t>(ii)</w:t>
      </w:r>
      <w:r>
        <w:tab/>
        <w:t>otherwise — between the hours of 6 am and midnight.</w:t>
      </w:r>
    </w:p>
    <w:p>
      <w:pPr>
        <w:pStyle w:val="Subsection"/>
      </w:pPr>
      <w:r>
        <w:tab/>
        <w:t>(9)</w:t>
      </w:r>
      <w:r>
        <w:tab/>
        <w:t xml:space="preserve">If the delivery is made on the day on which the liquor is purchased, the licensee must ensure that the liquor is delivered by a person who has completed successfully a course of training or an assessment — </w:t>
      </w:r>
    </w:p>
    <w:p>
      <w:pPr>
        <w:pStyle w:val="Indenta"/>
      </w:pPr>
      <w:r>
        <w:tab/>
        <w:t>(a)</w:t>
      </w:r>
      <w:r>
        <w:tab/>
        <w:t>in responsible practices in the sale, supply and service of liquor; and</w:t>
      </w:r>
    </w:p>
    <w:p>
      <w:pPr>
        <w:pStyle w:val="Indenta"/>
        <w:keepNext/>
      </w:pPr>
      <w:r>
        <w:tab/>
        <w:t>(b)</w:t>
      </w:r>
      <w:r>
        <w:tab/>
        <w:t>approved by the Director for the purposes of this subregulation.</w:t>
      </w:r>
    </w:p>
    <w:p>
      <w:pPr>
        <w:pStyle w:val="Footnotesection"/>
      </w:pPr>
      <w:r>
        <w:tab/>
        <w:t>[Regulation 10C inserted: SL 2021/207 r. 7; amended: SL 2023/196 r. 5.]</w:t>
      </w:r>
    </w:p>
    <w:p>
      <w:pPr>
        <w:pStyle w:val="Heading5"/>
        <w:rPr>
          <w:snapToGrid w:val="0"/>
        </w:rPr>
      </w:pPr>
      <w:bookmarkStart w:id="46" w:name="_Toc206081314"/>
      <w:r>
        <w:rPr>
          <w:rStyle w:val="CharSectno"/>
        </w:rPr>
        <w:t>11</w:t>
      </w:r>
      <w:r>
        <w:rPr>
          <w:snapToGrid w:val="0"/>
        </w:rPr>
        <w:t>.</w:t>
      </w:r>
      <w:r>
        <w:rPr>
          <w:snapToGrid w:val="0"/>
        </w:rPr>
        <w:tab/>
        <w:t>Plans and specifications, requirements for (Act s. 66(4) and (5))</w:t>
      </w:r>
      <w:bookmarkEnd w:id="46"/>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lastRenderedPageBreak/>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keepNext/>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lastRenderedPageBreak/>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7" w:name="_Toc206081315"/>
      <w:r>
        <w:rPr>
          <w:rStyle w:val="CharSectno"/>
        </w:rPr>
        <w:lastRenderedPageBreak/>
        <w:t>13</w:t>
      </w:r>
      <w:r>
        <w:rPr>
          <w:snapToGrid w:val="0"/>
        </w:rPr>
        <w:t>.</w:t>
      </w:r>
      <w:r>
        <w:rPr>
          <w:snapToGrid w:val="0"/>
        </w:rPr>
        <w:tab/>
        <w:t>Records as to applicant, requirements for (Act s. 68(1)(b))</w:t>
      </w:r>
      <w:bookmarkEnd w:id="47"/>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48" w:name="_Toc206081316"/>
      <w:r>
        <w:rPr>
          <w:rStyle w:val="CharSectno"/>
        </w:rPr>
        <w:t>14A</w:t>
      </w:r>
      <w:r>
        <w:t>.</w:t>
      </w:r>
      <w:r>
        <w:tab/>
        <w:t xml:space="preserve">Types etc. of premises prescribed </w:t>
      </w:r>
      <w:r>
        <w:rPr>
          <w:snapToGrid w:val="0"/>
        </w:rPr>
        <w:t>(Act s. 77(5a)(b))</w:t>
      </w:r>
      <w:bookmarkEnd w:id="48"/>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49" w:name="_Toc206081317"/>
      <w:r>
        <w:rPr>
          <w:rStyle w:val="CharSectno"/>
        </w:rPr>
        <w:t>14AA</w:t>
      </w:r>
      <w:r>
        <w:t>.</w:t>
      </w:r>
      <w:r>
        <w:tab/>
        <w:t>Area prescribed (Act s. 77A)</w:t>
      </w:r>
      <w:bookmarkEnd w:id="49"/>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50" w:name="_Toc206081318"/>
      <w:r>
        <w:rPr>
          <w:rStyle w:val="CharSectno"/>
        </w:rPr>
        <w:lastRenderedPageBreak/>
        <w:t>14AAA</w:t>
      </w:r>
      <w:r>
        <w:t>.</w:t>
      </w:r>
      <w:r>
        <w:tab/>
        <w:t>Distance prescribed (Act s. 77A)</w:t>
      </w:r>
      <w:bookmarkEnd w:id="50"/>
    </w:p>
    <w:p>
      <w:pPr>
        <w:pStyle w:val="Subsection"/>
        <w:keepNext/>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keepNext/>
      </w:pPr>
      <w:r>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51" w:name="_Toc206081319"/>
      <w:r>
        <w:rPr>
          <w:rStyle w:val="CharSectno"/>
        </w:rPr>
        <w:t>14AB</w:t>
      </w:r>
      <w:r>
        <w:t>.</w:t>
      </w:r>
      <w:r>
        <w:tab/>
        <w:t xml:space="preserve">Requirement for lodgment of application prescribed </w:t>
      </w:r>
      <w:r>
        <w:rPr>
          <w:snapToGrid w:val="0"/>
        </w:rPr>
        <w:t>(Act s. </w:t>
      </w:r>
      <w:r>
        <w:t>75(1)(b))</w:t>
      </w:r>
      <w:bookmarkEnd w:id="51"/>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60 days before the licence is to take effect; or</w:t>
      </w:r>
    </w:p>
    <w:p>
      <w:pPr>
        <w:pStyle w:val="Indenta"/>
        <w:keepNext/>
      </w:pPr>
      <w:r>
        <w:tab/>
        <w:t>(b)</w:t>
      </w:r>
      <w:r>
        <w:tab/>
        <w:t>if the anticipated number of patrons is greater than 5 000 — not later than 90 days before the licence is to take effect.</w:t>
      </w:r>
    </w:p>
    <w:p>
      <w:pPr>
        <w:pStyle w:val="Footnotesection"/>
        <w:ind w:left="890" w:hanging="890"/>
      </w:pPr>
      <w:r>
        <w:tab/>
        <w:t>[Regulation 14AB inserted: Gazette 1 May 2007 p. 1876</w:t>
      </w:r>
      <w:r>
        <w:noBreakHyphen/>
        <w:t>7; amended: Gazette 22 Oct 2010 p. 5227; SL 2021/94 r. 6.]</w:t>
      </w:r>
    </w:p>
    <w:p>
      <w:pPr>
        <w:pStyle w:val="Heading5"/>
      </w:pPr>
      <w:bookmarkStart w:id="52" w:name="_Toc206081320"/>
      <w:r>
        <w:rPr>
          <w:rStyle w:val="CharSectno"/>
        </w:rPr>
        <w:t>14AC</w:t>
      </w:r>
      <w:r>
        <w:t>.</w:t>
      </w:r>
      <w:r>
        <w:tab/>
        <w:t xml:space="preserve">Requirement for lodgment of application prescribed </w:t>
      </w:r>
      <w:r>
        <w:rPr>
          <w:snapToGrid w:val="0"/>
        </w:rPr>
        <w:t>(Act s. </w:t>
      </w:r>
      <w:r>
        <w:t>76(1)(b))</w:t>
      </w:r>
      <w:bookmarkEnd w:id="52"/>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lastRenderedPageBreak/>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60 days before the permit is to take effect; or</w:t>
      </w:r>
    </w:p>
    <w:p>
      <w:pPr>
        <w:pStyle w:val="Indenta"/>
        <w:keepNext/>
      </w:pPr>
      <w:r>
        <w:tab/>
        <w:t>(b)</w:t>
      </w:r>
      <w:r>
        <w:tab/>
        <w:t>if the anticipated number of patrons is greater than 5 000 — not later than 90 days before the permit is to take effect.</w:t>
      </w:r>
    </w:p>
    <w:p>
      <w:pPr>
        <w:pStyle w:val="Footnotesection"/>
        <w:ind w:left="890" w:hanging="890"/>
      </w:pPr>
      <w:r>
        <w:tab/>
        <w:t>[Regulation 14AC inserted: Gazette 1 May 2007 p. 1877; amended: Gazette 22 Oct 2010 p. 5227; 2 Oct 2018 p. 3801; SL 2021/94 r. 7.]</w:t>
      </w:r>
    </w:p>
    <w:p>
      <w:pPr>
        <w:pStyle w:val="Heading5"/>
        <w:spacing w:before="240"/>
      </w:pPr>
      <w:bookmarkStart w:id="53" w:name="_Toc206081321"/>
      <w:r>
        <w:rPr>
          <w:rStyle w:val="CharSectno"/>
        </w:rPr>
        <w:t>14ADA</w:t>
      </w:r>
      <w:r>
        <w:t>.</w:t>
      </w:r>
      <w:r>
        <w:tab/>
        <w:t>Manager’s approval, application for (Act s. 102B)</w:t>
      </w:r>
      <w:bookmarkEnd w:id="53"/>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54" w:name="_Toc206081322"/>
      <w:r>
        <w:rPr>
          <w:rStyle w:val="CharSectno"/>
        </w:rPr>
        <w:lastRenderedPageBreak/>
        <w:t>14ADB</w:t>
      </w:r>
      <w:r>
        <w:t>.</w:t>
      </w:r>
      <w:r>
        <w:tab/>
        <w:t>Manager’s approval, conditions on (Act s. 102C)</w:t>
      </w:r>
      <w:bookmarkEnd w:id="54"/>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55" w:name="_Toc206081323"/>
      <w:r>
        <w:rPr>
          <w:rStyle w:val="CharSectno"/>
        </w:rPr>
        <w:t>14ADC</w:t>
      </w:r>
      <w:r>
        <w:t>.</w:t>
      </w:r>
      <w:r>
        <w:tab/>
        <w:t>Manager’s approval, duration of (Act s. 102D)</w:t>
      </w:r>
      <w:bookmarkEnd w:id="55"/>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56" w:name="_Toc206081324"/>
      <w:r>
        <w:rPr>
          <w:rStyle w:val="CharSectno"/>
        </w:rPr>
        <w:lastRenderedPageBreak/>
        <w:t>14ADD</w:t>
      </w:r>
      <w:r>
        <w:t>.</w:t>
      </w:r>
      <w:r>
        <w:tab/>
        <w:t>Manager’s approval, renewal of (Act s. 102E)</w:t>
      </w:r>
      <w:bookmarkEnd w:id="56"/>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57" w:name="_Toc206081325"/>
      <w:r>
        <w:rPr>
          <w:rStyle w:val="CharSectno"/>
        </w:rPr>
        <w:t>14ADE</w:t>
      </w:r>
      <w:r>
        <w:t>.</w:t>
      </w:r>
      <w:r>
        <w:tab/>
        <w:t>Approved manager, identification card for</w:t>
      </w:r>
      <w:bookmarkEnd w:id="57"/>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lastRenderedPageBreak/>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58" w:name="_Toc206081326"/>
      <w:r>
        <w:rPr>
          <w:rStyle w:val="CharSectno"/>
        </w:rPr>
        <w:t>14ADF</w:t>
      </w:r>
      <w:r>
        <w:t>.</w:t>
      </w:r>
      <w:r>
        <w:tab/>
        <w:t>Lost etc. identification card, replacement of</w:t>
      </w:r>
      <w:bookmarkEnd w:id="58"/>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59" w:name="_Toc206081327"/>
      <w:r>
        <w:rPr>
          <w:rStyle w:val="CharSectno"/>
        </w:rPr>
        <w:lastRenderedPageBreak/>
        <w:t>14ADG</w:t>
      </w:r>
      <w:r>
        <w:t>.</w:t>
      </w:r>
      <w:r>
        <w:tab/>
        <w:t>Transitioned approvals (Act Sch. 1B)</w:t>
      </w:r>
      <w:bookmarkEnd w:id="59"/>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60" w:name="_Toc206081328"/>
      <w:r>
        <w:rPr>
          <w:rStyle w:val="CharSectno"/>
        </w:rPr>
        <w:t>14AD</w:t>
      </w:r>
      <w:r>
        <w:t>.</w:t>
      </w:r>
      <w:r>
        <w:tab/>
        <w:t xml:space="preserve">Responsible practices in selling etc. liquor, courses on required </w:t>
      </w:r>
      <w:r>
        <w:rPr>
          <w:snapToGrid w:val="0"/>
        </w:rPr>
        <w:t>(Act s. </w:t>
      </w:r>
      <w:r>
        <w:t>103A(1)(a))</w:t>
      </w:r>
      <w:bookmarkEnd w:id="60"/>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lastRenderedPageBreak/>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lastRenderedPageBreak/>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61" w:name="_Toc206081329"/>
      <w:r>
        <w:rPr>
          <w:rStyle w:val="CharSectno"/>
        </w:rPr>
        <w:t>14AE</w:t>
      </w:r>
      <w:r>
        <w:t>.</w:t>
      </w:r>
      <w:r>
        <w:tab/>
        <w:t>Offences for r. 14AD</w:t>
      </w:r>
      <w:bookmarkEnd w:id="61"/>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keepNext/>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lastRenderedPageBreak/>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62" w:name="_Toc206081330"/>
      <w:r>
        <w:rPr>
          <w:rStyle w:val="CharSectno"/>
        </w:rPr>
        <w:t>14AG</w:t>
      </w:r>
      <w:r>
        <w:t>.</w:t>
      </w:r>
      <w:r>
        <w:tab/>
        <w:t>Licensee to maintain register </w:t>
      </w:r>
      <w:r>
        <w:rPr>
          <w:snapToGrid w:val="0"/>
        </w:rPr>
        <w:t>(Act s. </w:t>
      </w:r>
      <w:r>
        <w:t>103A(1)(b))</w:t>
      </w:r>
      <w:bookmarkEnd w:id="62"/>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spacing w:before="120"/>
      </w:pPr>
      <w:r>
        <w:lastRenderedPageBreak/>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63" w:name="_Toc206081331"/>
      <w:r>
        <w:rPr>
          <w:rStyle w:val="CharSectno"/>
        </w:rPr>
        <w:t>16</w:t>
      </w:r>
      <w:r>
        <w:rPr>
          <w:snapToGrid w:val="0"/>
        </w:rPr>
        <w:t>.</w:t>
      </w:r>
      <w:r>
        <w:rPr>
          <w:snapToGrid w:val="0"/>
        </w:rPr>
        <w:tab/>
        <w:t>Amount of liability prescribed (Act s. 107)</w:t>
      </w:r>
      <w:bookmarkEnd w:id="63"/>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64" w:name="_Toc206081332"/>
      <w:r>
        <w:rPr>
          <w:rStyle w:val="CharSectno"/>
        </w:rPr>
        <w:t>16AA</w:t>
      </w:r>
      <w:r>
        <w:t>.</w:t>
      </w:r>
      <w:r>
        <w:tab/>
        <w:t>Quantity and area for offence (Act s. 109A)</w:t>
      </w:r>
      <w:bookmarkEnd w:id="64"/>
    </w:p>
    <w:p>
      <w:pPr>
        <w:pStyle w:val="Subsection"/>
      </w:pPr>
      <w:r>
        <w:tab/>
        <w:t>(1)</w:t>
      </w:r>
      <w:r>
        <w:tab/>
        <w:t xml:space="preserve">In this regulation — </w:t>
      </w:r>
    </w:p>
    <w:p>
      <w:pPr>
        <w:pStyle w:val="Defstart"/>
      </w:pPr>
      <w:r>
        <w:tab/>
      </w:r>
      <w:r>
        <w:rPr>
          <w:rStyle w:val="CharDefText"/>
        </w:rPr>
        <w:t>town</w:t>
      </w:r>
      <w:r>
        <w:t xml:space="preserve"> means land that is a townsite as defined in the </w:t>
      </w:r>
      <w:r>
        <w:rPr>
          <w:i/>
        </w:rPr>
        <w:t>Land Administration Act 1997</w:t>
      </w:r>
      <w:r>
        <w:t xml:space="preserve"> section 3(1).</w:t>
      </w:r>
    </w:p>
    <w:p>
      <w:pPr>
        <w:pStyle w:val="Subsection"/>
      </w:pPr>
      <w:r>
        <w:tab/>
        <w:t>(2)</w:t>
      </w:r>
      <w:r>
        <w:tab/>
        <w:t>For the purposes of this regulation, a reference to a town means the town and the area within 20 km of the boundaries of that town.</w:t>
      </w:r>
    </w:p>
    <w:p>
      <w:pPr>
        <w:pStyle w:val="Subsection"/>
      </w:pPr>
      <w:r>
        <w:tab/>
        <w:t>(3)</w:t>
      </w:r>
      <w:r>
        <w:tab/>
        <w:t xml:space="preserve">For the purposes of section 109A(2) of the Act, a kind of liquor specified in the Table, in a quantity corresponding to that kind in the Table, is prescribed for — </w:t>
      </w:r>
    </w:p>
    <w:p>
      <w:pPr>
        <w:pStyle w:val="Indenta"/>
      </w:pPr>
      <w:r>
        <w:tab/>
        <w:t>(a)</w:t>
      </w:r>
      <w:r>
        <w:tab/>
        <w:t>the towns of Broome, Carnarvon, Derby, Fitzroy Crossing, Halls Creek, Kununurra and Wyndham; and</w:t>
      </w:r>
    </w:p>
    <w:p>
      <w:pPr>
        <w:pStyle w:val="Indenta"/>
        <w:keepNext/>
      </w:pPr>
      <w:r>
        <w:tab/>
        <w:t>(b)</w:t>
      </w:r>
      <w:r>
        <w:tab/>
        <w:t xml:space="preserve">the area within 5 km of an area of the State that is — </w:t>
      </w:r>
    </w:p>
    <w:p>
      <w:pPr>
        <w:pStyle w:val="Indenti"/>
      </w:pPr>
      <w:r>
        <w:tab/>
        <w:t>(i)</w:t>
      </w:r>
      <w:r>
        <w:tab/>
        <w:t>within the local government district of Broome, Carnarvon, Derby</w:t>
      </w:r>
      <w:r>
        <w:noBreakHyphen/>
        <w:t>West Kimberley, Halls Creek or Wyndham</w:t>
      </w:r>
      <w:r>
        <w:noBreakHyphen/>
        <w:t>East Kimberley; and</w:t>
      </w:r>
    </w:p>
    <w:p>
      <w:pPr>
        <w:pStyle w:val="Indenti"/>
      </w:pPr>
      <w:r>
        <w:tab/>
        <w:t>(ii)</w:t>
      </w:r>
      <w:r>
        <w:tab/>
        <w:t>a restricted area.</w:t>
      </w:r>
    </w:p>
    <w:p>
      <w:pPr>
        <w:pStyle w:val="THeadingNAm"/>
      </w:pPr>
      <w:r>
        <w:lastRenderedPageBreak/>
        <w:t>Table</w:t>
      </w:r>
    </w:p>
    <w:tbl>
      <w:tblPr>
        <w:tblW w:w="5970"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1794"/>
        <w:gridCol w:w="1794"/>
      </w:tblGrid>
      <w:tr>
        <w:trPr>
          <w:tblHeader/>
        </w:trPr>
        <w:tc>
          <w:tcPr>
            <w:tcW w:w="2382" w:type="dxa"/>
            <w:vMerge w:val="restart"/>
            <w:noWrap/>
          </w:tcPr>
          <w:p>
            <w:pPr>
              <w:pStyle w:val="TableNAm"/>
              <w:jc w:val="center"/>
              <w:rPr>
                <w:b/>
                <w:bCs/>
                <w:i/>
              </w:rPr>
            </w:pPr>
            <w:r>
              <w:rPr>
                <w:b/>
                <w:bCs/>
                <w:i/>
              </w:rPr>
              <w:t>Kind of liquor</w:t>
            </w:r>
          </w:p>
        </w:tc>
        <w:tc>
          <w:tcPr>
            <w:tcW w:w="3588" w:type="dxa"/>
            <w:gridSpan w:val="2"/>
            <w:noWrap/>
          </w:tcPr>
          <w:p>
            <w:pPr>
              <w:pStyle w:val="TableNAm"/>
              <w:jc w:val="center"/>
              <w:rPr>
                <w:b/>
                <w:bCs/>
                <w:i/>
              </w:rPr>
            </w:pPr>
            <w:r>
              <w:rPr>
                <w:b/>
                <w:bCs/>
                <w:i/>
              </w:rPr>
              <w:t>Quantity of liquor</w:t>
            </w:r>
          </w:p>
        </w:tc>
      </w:tr>
      <w:tr>
        <w:trPr>
          <w:tblHeader/>
        </w:trPr>
        <w:tc>
          <w:tcPr>
            <w:tcW w:w="2382" w:type="dxa"/>
            <w:vMerge/>
            <w:noWrap/>
          </w:tcPr>
          <w:p>
            <w:pPr>
              <w:pStyle w:val="TableNAm"/>
              <w:jc w:val="center"/>
              <w:rPr>
                <w:b/>
                <w:bCs/>
                <w:i/>
              </w:rPr>
            </w:pPr>
          </w:p>
        </w:tc>
        <w:tc>
          <w:tcPr>
            <w:tcW w:w="1794" w:type="dxa"/>
            <w:noWrap/>
          </w:tcPr>
          <w:p>
            <w:pPr>
              <w:pStyle w:val="TableNAm"/>
              <w:jc w:val="center"/>
              <w:rPr>
                <w:bCs/>
              </w:rPr>
            </w:pPr>
            <w:r>
              <w:rPr>
                <w:bCs/>
              </w:rPr>
              <w:t>If carried on its own or with 1 other kind of liquor</w:t>
            </w:r>
          </w:p>
        </w:tc>
        <w:tc>
          <w:tcPr>
            <w:tcW w:w="1794" w:type="dxa"/>
            <w:noWrap/>
          </w:tcPr>
          <w:p>
            <w:pPr>
              <w:pStyle w:val="TableNAm"/>
              <w:jc w:val="center"/>
              <w:rPr>
                <w:bCs/>
              </w:rPr>
            </w:pPr>
            <w:r>
              <w:rPr>
                <w:bCs/>
              </w:rPr>
              <w:t>If carried with 2 or more other kinds of liquor</w:t>
            </w:r>
          </w:p>
        </w:tc>
      </w:tr>
      <w:tr>
        <w:tc>
          <w:tcPr>
            <w:tcW w:w="2382" w:type="dxa"/>
            <w:noWrap/>
          </w:tcPr>
          <w:p>
            <w:pPr>
              <w:pStyle w:val="TableNAm"/>
            </w:pPr>
            <w:r>
              <w:t>Liquor, comprising beer,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rPr>
          <w:cantSplit/>
        </w:trPr>
        <w:tc>
          <w:tcPr>
            <w:tcW w:w="2382" w:type="dxa"/>
            <w:noWrap/>
          </w:tcPr>
          <w:p>
            <w:pPr>
              <w:pStyle w:val="TableNAm"/>
            </w:pPr>
            <w:r>
              <w:t>Liquor, comprising cider,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Any other liquor (including pre</w:t>
            </w:r>
            <w:r>
              <w:noBreakHyphen/>
              <w:t>mixed spirits)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Liquor (including wine) with an alcohol content of greater than 7% and up to and including 15%</w:t>
            </w:r>
          </w:p>
        </w:tc>
        <w:tc>
          <w:tcPr>
            <w:tcW w:w="1794" w:type="dxa"/>
            <w:noWrap/>
            <w:vAlign w:val="bottom"/>
          </w:tcPr>
          <w:p>
            <w:pPr>
              <w:pStyle w:val="TableNAm"/>
              <w:tabs>
                <w:tab w:val="clear" w:pos="567"/>
              </w:tabs>
              <w:ind w:right="379"/>
              <w:jc w:val="right"/>
            </w:pPr>
            <w:r>
              <w:t>2.25 L</w:t>
            </w:r>
          </w:p>
        </w:tc>
        <w:tc>
          <w:tcPr>
            <w:tcW w:w="1794" w:type="dxa"/>
            <w:noWrap/>
            <w:vAlign w:val="bottom"/>
          </w:tcPr>
          <w:p>
            <w:pPr>
              <w:pStyle w:val="TableNAm"/>
              <w:ind w:right="613"/>
              <w:jc w:val="right"/>
            </w:pPr>
            <w:r>
              <w:t>0 L</w:t>
            </w:r>
          </w:p>
        </w:tc>
      </w:tr>
      <w:tr>
        <w:trPr>
          <w:cantSplit/>
        </w:trPr>
        <w:tc>
          <w:tcPr>
            <w:tcW w:w="2382" w:type="dxa"/>
            <w:noWrap/>
          </w:tcPr>
          <w:p>
            <w:pPr>
              <w:pStyle w:val="TableNAm"/>
            </w:pPr>
            <w:r>
              <w:lastRenderedPageBreak/>
              <w:t>Liquor, comprising fortified wine, with an alcohol content greater than 15%</w:t>
            </w:r>
          </w:p>
        </w:tc>
        <w:tc>
          <w:tcPr>
            <w:tcW w:w="1794" w:type="dxa"/>
            <w:noWrap/>
            <w:vAlign w:val="bottom"/>
          </w:tcPr>
          <w:p>
            <w:pPr>
              <w:pStyle w:val="TableNAm"/>
              <w:tabs>
                <w:tab w:val="clear" w:pos="567"/>
              </w:tabs>
              <w:ind w:right="662"/>
              <w:jc w:val="right"/>
            </w:pPr>
            <w:r>
              <w:t>1 L</w:t>
            </w:r>
          </w:p>
        </w:tc>
        <w:tc>
          <w:tcPr>
            <w:tcW w:w="1794" w:type="dxa"/>
            <w:noWrap/>
            <w:vAlign w:val="bottom"/>
          </w:tcPr>
          <w:p>
            <w:pPr>
              <w:pStyle w:val="TableNAm"/>
              <w:ind w:right="613"/>
              <w:jc w:val="right"/>
            </w:pPr>
            <w:r>
              <w:t>0 L</w:t>
            </w:r>
          </w:p>
        </w:tc>
      </w:tr>
      <w:tr>
        <w:trPr>
          <w:cantSplit/>
        </w:trPr>
        <w:tc>
          <w:tcPr>
            <w:tcW w:w="2382" w:type="dxa"/>
            <w:tcBorders>
              <w:top w:val="single" w:sz="4" w:space="0" w:color="auto"/>
              <w:left w:val="single" w:sz="4" w:space="0" w:color="auto"/>
              <w:bottom w:val="single" w:sz="4" w:space="0" w:color="auto"/>
              <w:right w:val="single" w:sz="4" w:space="0" w:color="auto"/>
            </w:tcBorders>
            <w:noWrap/>
          </w:tcPr>
          <w:p>
            <w:pPr>
              <w:pStyle w:val="TableNAm"/>
            </w:pPr>
            <w:r>
              <w:t>Any other liquor (including spirits) with an alcohol content greater than 15%</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tabs>
                <w:tab w:val="clear" w:pos="567"/>
              </w:tabs>
              <w:ind w:right="662"/>
              <w:jc w:val="right"/>
            </w:pPr>
            <w:r>
              <w:t>1 L</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ind w:right="613"/>
              <w:jc w:val="right"/>
            </w:pPr>
            <w:r>
              <w:t>0 L</w:t>
            </w:r>
          </w:p>
        </w:tc>
      </w:tr>
    </w:tbl>
    <w:p>
      <w:pPr>
        <w:pStyle w:val="Footnotesection"/>
      </w:pPr>
      <w:r>
        <w:tab/>
        <w:t>[Regulation 16AA inserted: SL 2021/163 r. 4; amended: SL 2021/207 r. 8; SL 2023/125 r. 4.]</w:t>
      </w:r>
    </w:p>
    <w:p>
      <w:pPr>
        <w:pStyle w:val="Heading5"/>
      </w:pPr>
      <w:bookmarkStart w:id="65" w:name="_Toc206081333"/>
      <w:r>
        <w:rPr>
          <w:rStyle w:val="CharSectno"/>
        </w:rPr>
        <w:t>16AB</w:t>
      </w:r>
      <w:r>
        <w:t>.</w:t>
      </w:r>
      <w:r>
        <w:tab/>
        <w:t>Persons of prescribed class (Act s. 109A(4)(b))</w:t>
      </w:r>
      <w:bookmarkEnd w:id="65"/>
    </w:p>
    <w:p>
      <w:pPr>
        <w:pStyle w:val="Subsection"/>
      </w:pPr>
      <w:r>
        <w:tab/>
      </w:r>
      <w:r>
        <w:tab/>
        <w:t>For the purposes of section 109A(4)(b) of the Act, the following classes of persons are prescribed —</w:t>
      </w:r>
    </w:p>
    <w:p>
      <w:pPr>
        <w:pStyle w:val="Indenta"/>
      </w:pPr>
      <w:r>
        <w:tab/>
        <w:t>(a)</w:t>
      </w:r>
      <w:r>
        <w:tab/>
        <w:t xml:space="preserve">persons who are — </w:t>
      </w:r>
    </w:p>
    <w:p>
      <w:pPr>
        <w:pStyle w:val="Indenti"/>
      </w:pPr>
      <w:r>
        <w:tab/>
        <w:t>(i)</w:t>
      </w:r>
      <w:r>
        <w:tab/>
        <w:t>staying at a place that is at least 40 km from their usual place of residence for a period of at least 1 night; and</w:t>
      </w:r>
    </w:p>
    <w:p>
      <w:pPr>
        <w:pStyle w:val="Indenti"/>
      </w:pPr>
      <w:r>
        <w:tab/>
        <w:t>(ii)</w:t>
      </w:r>
      <w:r>
        <w:tab/>
        <w:t>intending to stay away from their usual place of residence for a period of less than 12 months; and</w:t>
      </w:r>
    </w:p>
    <w:p>
      <w:pPr>
        <w:pStyle w:val="Indenti"/>
      </w:pPr>
      <w:r>
        <w:tab/>
        <w:t>(iii)</w:t>
      </w:r>
      <w:r>
        <w:tab/>
        <w:t>not in the course of travelling on a regular journey between their usual place of residence and their place of work or education; and</w:t>
      </w:r>
    </w:p>
    <w:p>
      <w:pPr>
        <w:pStyle w:val="Indenti"/>
      </w:pPr>
      <w:r>
        <w:lastRenderedPageBreak/>
        <w:tab/>
        <w:t>(iv)</w:t>
      </w:r>
      <w:r>
        <w:tab/>
        <w:t>travelling in the course of a holiday or for leisure, business, to visit friends or relatives, or for any other reason; and</w:t>
      </w:r>
    </w:p>
    <w:p>
      <w:pPr>
        <w:pStyle w:val="Indenti"/>
      </w:pPr>
      <w:r>
        <w:tab/>
        <w:t>(v)</w:t>
      </w:r>
      <w:r>
        <w:tab/>
        <w:t>not usually residents of the local government district of Broome, Carnarvon, Derby</w:t>
      </w:r>
      <w:r>
        <w:noBreakHyphen/>
        <w:t>West Kimberley, Halls Creek or Wyndham</w:t>
      </w:r>
      <w:r>
        <w:noBreakHyphen/>
        <w:t>East Kimberley;</w:t>
      </w:r>
    </w:p>
    <w:p>
      <w:pPr>
        <w:pStyle w:val="Indenta"/>
      </w:pPr>
      <w:r>
        <w:tab/>
        <w:t>(b)</w:t>
      </w:r>
      <w:r>
        <w:tab/>
        <w:t xml:space="preserve">farmers, including — </w:t>
      </w:r>
    </w:p>
    <w:p>
      <w:pPr>
        <w:pStyle w:val="Indenti"/>
      </w:pPr>
      <w:r>
        <w:tab/>
        <w:t>(i)</w:t>
      </w:r>
      <w:r>
        <w:tab/>
        <w:t xml:space="preserve">holders of pastoral leases (as defined in the </w:t>
      </w:r>
      <w:r>
        <w:rPr>
          <w:i/>
        </w:rPr>
        <w:t>Land Administration Act 1997</w:t>
      </w:r>
      <w:r>
        <w:t xml:space="preserve"> section 3(1)); and</w:t>
      </w:r>
    </w:p>
    <w:p>
      <w:pPr>
        <w:pStyle w:val="Indenti"/>
      </w:pPr>
      <w:r>
        <w:tab/>
        <w:t>(ii)</w:t>
      </w:r>
      <w:r>
        <w:tab/>
        <w:t>owners or operators of businesses involving horticulture, viticulture, apiculture, aquaculture, poultry farming, dairy farming or any other form of agriculture or primary production; and</w:t>
      </w:r>
    </w:p>
    <w:p>
      <w:pPr>
        <w:pStyle w:val="Indenti"/>
      </w:pPr>
      <w:r>
        <w:tab/>
        <w:t>(iii)</w:t>
      </w:r>
      <w:r>
        <w:tab/>
        <w:t>employees of persons referred to in subparagraphs (i) and (ii);</w:t>
      </w:r>
    </w:p>
    <w:p>
      <w:pPr>
        <w:pStyle w:val="Indenta"/>
        <w:keepNext/>
      </w:pPr>
      <w:r>
        <w:tab/>
        <w:t>(c)</w:t>
      </w:r>
      <w:r>
        <w:tab/>
        <w:t xml:space="preserve">operators of, or employees or contractors on, worksites — </w:t>
      </w:r>
    </w:p>
    <w:p>
      <w:pPr>
        <w:pStyle w:val="Indenti"/>
      </w:pPr>
      <w:r>
        <w:tab/>
        <w:t>(i)</w:t>
      </w:r>
      <w:r>
        <w:tab/>
        <w:t>in the mining, energy or infrastructure industries; and</w:t>
      </w:r>
    </w:p>
    <w:p>
      <w:pPr>
        <w:pStyle w:val="Indenti"/>
      </w:pPr>
      <w:r>
        <w:tab/>
        <w:t>(ii)</w:t>
      </w:r>
      <w:r>
        <w:tab/>
        <w:t>on which there are no licensed premises.</w:t>
      </w:r>
    </w:p>
    <w:p>
      <w:pPr>
        <w:pStyle w:val="Footnotesection"/>
      </w:pPr>
      <w:r>
        <w:tab/>
        <w:t>[Regulation 16AB inserted: SL 2021/163 r. 4; amended: SL 2023/125 r. 5.]</w:t>
      </w:r>
    </w:p>
    <w:p>
      <w:pPr>
        <w:pStyle w:val="Heading5"/>
      </w:pPr>
      <w:bookmarkStart w:id="66" w:name="_Toc206081334"/>
      <w:r>
        <w:rPr>
          <w:rStyle w:val="CharSectno"/>
        </w:rPr>
        <w:t>16AC</w:t>
      </w:r>
      <w:r>
        <w:t>.</w:t>
      </w:r>
      <w:r>
        <w:tab/>
        <w:t>Vehicles of prescribed class (Act s. 109A(4)(c))</w:t>
      </w:r>
      <w:bookmarkEnd w:id="66"/>
    </w:p>
    <w:p>
      <w:pPr>
        <w:pStyle w:val="Subsection"/>
      </w:pPr>
      <w:r>
        <w:tab/>
      </w:r>
      <w:r>
        <w:tab/>
        <w:t xml:space="preserve">For the purposes of section 109A(4)(c) of the Act, the following classes of vehicles are prescribed — </w:t>
      </w:r>
    </w:p>
    <w:p>
      <w:pPr>
        <w:pStyle w:val="Indenta"/>
      </w:pPr>
      <w:r>
        <w:tab/>
        <w:t>(a)</w:t>
      </w:r>
      <w:r>
        <w:tab/>
        <w:t>a vehicle being operated by a licensee;</w:t>
      </w:r>
    </w:p>
    <w:p>
      <w:pPr>
        <w:pStyle w:val="Indenta"/>
      </w:pPr>
      <w:r>
        <w:tab/>
        <w:t>(b)</w:t>
      </w:r>
      <w:r>
        <w:tab/>
        <w:t>a vehicle being operated by a person referred to in regulation 16AB;</w:t>
      </w:r>
    </w:p>
    <w:p>
      <w:pPr>
        <w:pStyle w:val="Indenta"/>
        <w:keepNext/>
      </w:pPr>
      <w:r>
        <w:lastRenderedPageBreak/>
        <w:tab/>
        <w:t>(c)</w:t>
      </w:r>
      <w:r>
        <w:tab/>
        <w:t>a vehicle being driven by a police officer in the course of duty.</w:t>
      </w:r>
    </w:p>
    <w:p>
      <w:pPr>
        <w:pStyle w:val="Footnotesection"/>
      </w:pPr>
      <w:r>
        <w:tab/>
        <w:t>[Regulation 16AC inserted: SL 2021/163 r. 4.]</w:t>
      </w:r>
    </w:p>
    <w:p>
      <w:pPr>
        <w:pStyle w:val="Heading5"/>
      </w:pPr>
      <w:bookmarkStart w:id="67" w:name="_Toc206081335"/>
      <w:r>
        <w:rPr>
          <w:rStyle w:val="CharSectno"/>
        </w:rPr>
        <w:t>16AD</w:t>
      </w:r>
      <w:r>
        <w:t>.</w:t>
      </w:r>
      <w:r>
        <w:tab/>
        <w:t>Prescribed circumstance (Act s. 109A(4)(d))</w:t>
      </w:r>
      <w:bookmarkEnd w:id="67"/>
    </w:p>
    <w:p>
      <w:pPr>
        <w:pStyle w:val="Subsection"/>
      </w:pPr>
      <w:r>
        <w:tab/>
      </w:r>
      <w:r>
        <w:tab/>
        <w:t xml:space="preserve">For the purposes of section 109A(4)(d) of the Act, the circumstance prescribed is that the liquor was carried in a vehicle in a quantity that does not, for a kind of liquor, exceed the amount calculated using the following formula — </w:t>
      </w:r>
    </w:p>
    <w:p>
      <w:pPr>
        <w:pStyle w:val="Equation"/>
        <w:keepNext/>
        <w:tabs>
          <w:tab w:val="left" w:pos="1418"/>
        </w:tabs>
        <w:spacing w:before="120"/>
      </w:pPr>
      <w:r>
        <w:rPr>
          <w:iCs/>
          <w:noProof w:val="0"/>
        </w:rPr>
        <w:tab/>
      </w:r>
      <m:oMath>
        <m:r>
          <w:rPr>
            <w:rFonts w:ascii="Cambria Math" w:hAnsi="Cambria Math"/>
          </w:rPr>
          <m:t>A</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O</m:t>
        </m:r>
      </m:oMath>
    </w:p>
    <w:p>
      <w:pPr>
        <w:pStyle w:val="MiscellaneousBody"/>
        <w:ind w:left="1418" w:hanging="851"/>
      </w:pPr>
      <w:r>
        <w:tab/>
        <w:t xml:space="preserve">where — </w:t>
      </w:r>
    </w:p>
    <w:p>
      <w:pPr>
        <w:pStyle w:val="MiscellaneousBody"/>
        <w:tabs>
          <w:tab w:val="left" w:pos="1701"/>
        </w:tabs>
        <w:ind w:left="2127" w:hanging="1277"/>
      </w:pPr>
      <w:r>
        <w:tab/>
        <w:t>A</w:t>
      </w:r>
      <w:r>
        <w:tab/>
        <w:t>is the amount;</w:t>
      </w:r>
    </w:p>
    <w:p>
      <w:pPr>
        <w:pStyle w:val="MiscellaneousBody"/>
        <w:tabs>
          <w:tab w:val="left" w:pos="1701"/>
        </w:tabs>
        <w:ind w:left="2127" w:hanging="1277"/>
      </w:pPr>
      <w:r>
        <w:tab/>
        <w:t>Q</w:t>
      </w:r>
      <w:r>
        <w:tab/>
        <w:t>is the quantity prescribed under regulation 16AA(3) for the kind of liquor;</w:t>
      </w:r>
    </w:p>
    <w:p>
      <w:pPr>
        <w:pStyle w:val="MiscellaneousBody"/>
        <w:tabs>
          <w:tab w:val="left" w:pos="1701"/>
        </w:tabs>
        <w:ind w:left="2127" w:hanging="1277"/>
      </w:pPr>
      <w:r>
        <w:tab/>
        <w:t>O</w:t>
      </w:r>
      <w:r>
        <w:tab/>
        <w:t xml:space="preserve">is — </w:t>
      </w:r>
    </w:p>
    <w:p>
      <w:pPr>
        <w:pStyle w:val="MiscellaneousBody"/>
        <w:tabs>
          <w:tab w:val="left" w:pos="2268"/>
        </w:tabs>
        <w:ind w:left="2835" w:hanging="1985"/>
      </w:pPr>
      <w:r>
        <w:tab/>
        <w:t>(a)</w:t>
      </w:r>
      <w:r>
        <w:tab/>
        <w:t>unless paragraph (b) applies, the number of occupants of the vehicle who are legally entitled to purchase liquor;</w:t>
      </w:r>
    </w:p>
    <w:p>
      <w:pPr>
        <w:pStyle w:val="MiscellaneousBody"/>
        <w:tabs>
          <w:tab w:val="left" w:pos="2268"/>
        </w:tabs>
        <w:ind w:left="2835" w:hanging="1985"/>
      </w:pPr>
      <w:r>
        <w:tab/>
        <w:t>(b)</w:t>
      </w:r>
      <w:r>
        <w:tab/>
        <w:t>if the number of occupants of the vehicle who are legally entitled to purchase liquor exceeds 5 — 5.</w:t>
      </w:r>
    </w:p>
    <w:p>
      <w:pPr>
        <w:pStyle w:val="Footnotesection"/>
      </w:pPr>
      <w:r>
        <w:tab/>
        <w:t>[Regulation 16AD inserted: SL 2021/163 r. 4.]</w:t>
      </w:r>
    </w:p>
    <w:p>
      <w:pPr>
        <w:pStyle w:val="Heading5"/>
      </w:pPr>
      <w:bookmarkStart w:id="68" w:name="_Toc206081336"/>
      <w:r>
        <w:rPr>
          <w:rStyle w:val="CharSectno"/>
        </w:rPr>
        <w:t>16A</w:t>
      </w:r>
      <w:r>
        <w:t>.</w:t>
      </w:r>
      <w:r>
        <w:tab/>
        <w:t xml:space="preserve">Sports arenas prescribed (Act s. 110(4B) </w:t>
      </w:r>
      <w:r>
        <w:rPr>
          <w:i/>
        </w:rPr>
        <w:t>sports arena</w:t>
      </w:r>
      <w:r>
        <w:t>)</w:t>
      </w:r>
      <w:bookmarkEnd w:id="68"/>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lastRenderedPageBreak/>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69" w:name="_Toc206081337"/>
      <w:r>
        <w:rPr>
          <w:rStyle w:val="CharSectno"/>
        </w:rPr>
        <w:t>17</w:t>
      </w:r>
      <w:r>
        <w:rPr>
          <w:snapToGrid w:val="0"/>
        </w:rPr>
        <w:t>.</w:t>
      </w:r>
      <w:r>
        <w:rPr>
          <w:snapToGrid w:val="0"/>
        </w:rPr>
        <w:tab/>
        <w:t>Out of bounds area, notice for (Act s. 121(6))</w:t>
      </w:r>
      <w:bookmarkEnd w:id="69"/>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70" w:name="_Toc206081338"/>
      <w:r>
        <w:rPr>
          <w:rStyle w:val="CharSectno"/>
        </w:rPr>
        <w:lastRenderedPageBreak/>
        <w:t>18</w:t>
      </w:r>
      <w:r>
        <w:t>.</w:t>
      </w:r>
      <w:r>
        <w:tab/>
        <w:t>Premises prescribed to be regulated premises (Act s. 122(1)(f))</w:t>
      </w:r>
      <w:bookmarkEnd w:id="70"/>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Indenta"/>
        <w:keepLines/>
      </w:pPr>
      <w:r>
        <w:tab/>
        <w:t>(g)</w:t>
      </w:r>
      <w:r>
        <w:tab/>
        <w:t>premises on which the sale or supply of liquor to, and the consumption of liquor by, a person who is at least 18 years of age is exempted from the application of the Act by regulation 8G.</w:t>
      </w:r>
    </w:p>
    <w:p>
      <w:pPr>
        <w:pStyle w:val="Footnotesection"/>
        <w:spacing w:before="80"/>
        <w:ind w:left="890" w:hanging="890"/>
      </w:pPr>
      <w:r>
        <w:tab/>
        <w:t>[Regulation 18 inserted: Gazette 15 Jul 2011 p. 2965</w:t>
      </w:r>
      <w:r>
        <w:noBreakHyphen/>
        <w:t>6; amended: SL 2021/94 r. 8.]</w:t>
      </w:r>
    </w:p>
    <w:p>
      <w:pPr>
        <w:pStyle w:val="Heading5"/>
        <w:rPr>
          <w:snapToGrid w:val="0"/>
        </w:rPr>
      </w:pPr>
      <w:bookmarkStart w:id="71" w:name="_Toc206081339"/>
      <w:r>
        <w:rPr>
          <w:rStyle w:val="CharSectno"/>
        </w:rPr>
        <w:lastRenderedPageBreak/>
        <w:t>18A</w:t>
      </w:r>
      <w:r>
        <w:rPr>
          <w:snapToGrid w:val="0"/>
        </w:rPr>
        <w:t>.</w:t>
      </w:r>
      <w:r>
        <w:rPr>
          <w:snapToGrid w:val="0"/>
        </w:rPr>
        <w:tab/>
        <w:t>Documents prescribed as evidence of age etc. (Act s. 126(1)(b)(i)(III) and s. 160(1))</w:t>
      </w:r>
      <w:bookmarkEnd w:id="71"/>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keepLines w:val="0"/>
        <w:ind w:left="890" w:hanging="890"/>
      </w:pPr>
      <w:r>
        <w:tab/>
        <w:t>[Regulation 18A inserted: Gazette 22 May 1998 p. 2943; amended: Gazette 1 May 2007 p. 1888</w:t>
      </w:r>
      <w:r>
        <w:noBreakHyphen/>
        <w:t xml:space="preserve">9; 19 Apr 2013 </w:t>
      </w:r>
      <w:r>
        <w:lastRenderedPageBreak/>
        <w:t>p. 1570</w:t>
      </w:r>
      <w:r>
        <w:noBreakHyphen/>
        <w:t xml:space="preserve">1; </w:t>
      </w:r>
      <w:r>
        <w:rPr>
          <w:spacing w:val="-4"/>
        </w:rPr>
        <w:t xml:space="preserve">17 Jun 2014 p. 2000; </w:t>
      </w:r>
      <w:r>
        <w:t>27 Jun 2014 p. 2355; 8 Jan 2015 p. 147; 19 Jan 2018 p. 232.]</w:t>
      </w:r>
    </w:p>
    <w:p>
      <w:pPr>
        <w:pStyle w:val="Heading5"/>
        <w:rPr>
          <w:snapToGrid w:val="0"/>
        </w:rPr>
      </w:pPr>
      <w:bookmarkStart w:id="72" w:name="_Toc206081340"/>
      <w:r>
        <w:rPr>
          <w:rStyle w:val="CharSectno"/>
        </w:rPr>
        <w:t>18B</w:t>
      </w:r>
      <w:r>
        <w:rPr>
          <w:snapToGrid w:val="0"/>
        </w:rPr>
        <w:t>.</w:t>
      </w:r>
      <w:r>
        <w:rPr>
          <w:snapToGrid w:val="0"/>
        </w:rPr>
        <w:tab/>
        <w:t>Proof of age card, issue of etc.</w:t>
      </w:r>
      <w:bookmarkEnd w:id="72"/>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lastRenderedPageBreak/>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73" w:name="_Toc206081341"/>
      <w:r>
        <w:rPr>
          <w:rStyle w:val="CharSectno"/>
        </w:rPr>
        <w:t>18C</w:t>
      </w:r>
      <w:r>
        <w:rPr>
          <w:snapToGrid w:val="0"/>
        </w:rPr>
        <w:t>.</w:t>
      </w:r>
      <w:r>
        <w:rPr>
          <w:snapToGrid w:val="0"/>
        </w:rPr>
        <w:tab/>
        <w:t>Proof of age card, form etc. of (r. 18B)</w:t>
      </w:r>
      <w:bookmarkEnd w:id="73"/>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Lines w:val="0"/>
        <w:spacing w:before="280"/>
        <w:rPr>
          <w:snapToGrid w:val="0"/>
        </w:rPr>
      </w:pPr>
      <w:bookmarkStart w:id="74" w:name="_Toc206081342"/>
      <w:r>
        <w:rPr>
          <w:rStyle w:val="CharSectno"/>
        </w:rPr>
        <w:lastRenderedPageBreak/>
        <w:t>18D</w:t>
      </w:r>
      <w:r>
        <w:rPr>
          <w:snapToGrid w:val="0"/>
        </w:rPr>
        <w:t>.</w:t>
      </w:r>
      <w:r>
        <w:rPr>
          <w:snapToGrid w:val="0"/>
        </w:rPr>
        <w:tab/>
        <w:t>Lost etc. proof of age card, replacement of</w:t>
      </w:r>
      <w:bookmarkEnd w:id="74"/>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75" w:name="_Toc206081343"/>
      <w:r>
        <w:rPr>
          <w:rStyle w:val="CharSectno"/>
        </w:rPr>
        <w:t>18E</w:t>
      </w:r>
      <w:r>
        <w:rPr>
          <w:snapToGrid w:val="0"/>
        </w:rPr>
        <w:t>.</w:t>
      </w:r>
      <w:r>
        <w:rPr>
          <w:snapToGrid w:val="0"/>
        </w:rPr>
        <w:tab/>
        <w:t>Agreement or arrangement prescribed (Act s. 104(2))</w:t>
      </w:r>
      <w:bookmarkEnd w:id="75"/>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76" w:name="_Toc206081344"/>
      <w:r>
        <w:rPr>
          <w:rStyle w:val="CharSectno"/>
        </w:rPr>
        <w:t>18EA</w:t>
      </w:r>
      <w:r>
        <w:t>.</w:t>
      </w:r>
      <w:r>
        <w:tab/>
        <w:t>Information prescribed for websites (Act s. 113A)</w:t>
      </w:r>
      <w:bookmarkEnd w:id="76"/>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keepNext/>
        <w:spacing w:before="60"/>
      </w:pPr>
      <w:r>
        <w:lastRenderedPageBreak/>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77" w:name="_Toc206081345"/>
      <w:r>
        <w:rPr>
          <w:rStyle w:val="CharSectno"/>
        </w:rPr>
        <w:t>18EBA</w:t>
      </w:r>
      <w:r>
        <w:t>.</w:t>
      </w:r>
      <w:r>
        <w:tab/>
        <w:t xml:space="preserve">Persons prescribed (Act s. 115AC(1A), 152K(1A), 152NZC(1), 152NZT(1) </w:t>
      </w:r>
      <w:r>
        <w:rPr>
          <w:i/>
        </w:rPr>
        <w:t>secure webpage</w:t>
      </w:r>
      <w:r>
        <w:t>)</w:t>
      </w:r>
      <w:bookmarkEnd w:id="77"/>
    </w:p>
    <w:p>
      <w:pPr>
        <w:pStyle w:val="Subsection"/>
        <w:keepNext/>
      </w:pPr>
      <w:r>
        <w:tab/>
      </w:r>
      <w:r>
        <w:tab/>
        <w:t xml:space="preserve">For the purposes of the definition of </w:t>
      </w:r>
      <w:r>
        <w:rPr>
          <w:b/>
          <w:i/>
        </w:rPr>
        <w:t>secure webpage</w:t>
      </w:r>
      <w:r>
        <w:t xml:space="preserve"> paragraph (c) in each of sections 115AC(1A), 152K(1A), 152NZC(1) and 152NZT(1),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 amended: SL 2022/217 r. 4.]</w:t>
      </w:r>
    </w:p>
    <w:p>
      <w:pPr>
        <w:pStyle w:val="Heading5"/>
      </w:pPr>
      <w:bookmarkStart w:id="78" w:name="_Toc206081346"/>
      <w:r>
        <w:rPr>
          <w:rStyle w:val="CharSectno"/>
        </w:rPr>
        <w:lastRenderedPageBreak/>
        <w:t>18EBB</w:t>
      </w:r>
      <w:r>
        <w:t>.</w:t>
      </w:r>
      <w:r>
        <w:tab/>
        <w:t>Prescribed class of persons (Act s. 115AC(1AA)(b))</w:t>
      </w:r>
      <w:bookmarkEnd w:id="78"/>
    </w:p>
    <w:p>
      <w:pPr>
        <w:pStyle w:val="Subsection"/>
      </w:pPr>
      <w:r>
        <w:tab/>
      </w:r>
      <w:r>
        <w:tab/>
        <w:t>For the purposes of section 115AC(1AA)(b), a person belongs to a prescribed class of persons if the person is engaged by the Department to create or provide equipment, software, databases or any other thing to be used by responsible persons in identifying persons in relation to whom barring notices are in effect.</w:t>
      </w:r>
    </w:p>
    <w:p>
      <w:pPr>
        <w:pStyle w:val="Footnotesection"/>
      </w:pPr>
      <w:r>
        <w:tab/>
        <w:t>[Regulation 18EBB inserted: SL 2023/196 r. 6.]</w:t>
      </w:r>
    </w:p>
    <w:p>
      <w:pPr>
        <w:pStyle w:val="Heading5"/>
      </w:pPr>
      <w:bookmarkStart w:id="79" w:name="_Toc206081347"/>
      <w:r>
        <w:rPr>
          <w:rStyle w:val="CharSectno"/>
        </w:rPr>
        <w:t>18EB</w:t>
      </w:r>
      <w:r>
        <w:t>.</w:t>
      </w:r>
      <w:r>
        <w:tab/>
        <w:t>Incidents and information prescribed for register (Act s. 116A)</w:t>
      </w:r>
      <w:bookmarkEnd w:id="79"/>
    </w:p>
    <w:p>
      <w:pPr>
        <w:pStyle w:val="Subsection"/>
        <w:keepNext/>
      </w:pPr>
      <w:r>
        <w:tab/>
        <w:t>(1)</w:t>
      </w:r>
      <w:r>
        <w:tab/>
        <w:t>For the purposes of section 116A(1), the following incidents that take place at licensed premises are prescribed —</w:t>
      </w:r>
    </w:p>
    <w:p>
      <w:pPr>
        <w:pStyle w:val="Indenta"/>
        <w:keepNext/>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lastRenderedPageBreak/>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Indenta"/>
      </w:pPr>
      <w:r>
        <w:tab/>
        <w:t>(h)</w:t>
      </w:r>
      <w:r>
        <w:tab/>
        <w:t>if a responsible person in relation to the licensed premises uses the ID system — the ID system does not operate properly;</w:t>
      </w:r>
    </w:p>
    <w:p>
      <w:pPr>
        <w:pStyle w:val="Indenta"/>
      </w:pPr>
      <w:r>
        <w:tab/>
        <w:t>(i)</w:t>
      </w:r>
      <w:r>
        <w:tab/>
        <w:t>if a responsible person in relation to the licensed premises attempts to use the ID system — the ID system is not able to be used (other than because it does not operate properly).</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 xml:space="preserve">details of any action taken by the licensee, a manager or an employee in response to the incident, including any </w:t>
      </w:r>
      <w:r>
        <w:lastRenderedPageBreak/>
        <w:t>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 SL 2023/196 r. 7.]</w:t>
      </w:r>
    </w:p>
    <w:p>
      <w:pPr>
        <w:pStyle w:val="Heading5"/>
      </w:pPr>
      <w:bookmarkStart w:id="80" w:name="_Toc206081348"/>
      <w:r>
        <w:rPr>
          <w:rStyle w:val="CharSectno"/>
        </w:rPr>
        <w:t>18EC</w:t>
      </w:r>
      <w:r>
        <w:t>.</w:t>
      </w:r>
      <w:r>
        <w:tab/>
        <w:t>Prescribed incidents involving physical force</w:t>
      </w:r>
      <w:bookmarkEnd w:id="80"/>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lastRenderedPageBreak/>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81" w:name="_Toc206081349"/>
      <w:r>
        <w:rPr>
          <w:rStyle w:val="CharSectno"/>
        </w:rPr>
        <w:t>18F</w:t>
      </w:r>
      <w:r>
        <w:t>.</w:t>
      </w:r>
      <w:r>
        <w:tab/>
        <w:t>Training courses prescribed (Act s. 121(11)(d))</w:t>
      </w:r>
      <w:bookmarkEnd w:id="81"/>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Lines w:val="0"/>
      </w:pPr>
      <w:bookmarkStart w:id="82" w:name="_Toc206081350"/>
      <w:r>
        <w:rPr>
          <w:rStyle w:val="CharSectno"/>
        </w:rPr>
        <w:lastRenderedPageBreak/>
        <w:t>18G</w:t>
      </w:r>
      <w:r>
        <w:t>.</w:t>
      </w:r>
      <w:r>
        <w:tab/>
        <w:t>Confiscated document, how to be dealt with (Act s. 126(2b))</w:t>
      </w:r>
      <w:bookmarkEnd w:id="82"/>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83" w:name="_Toc206081351"/>
      <w:r>
        <w:rPr>
          <w:rStyle w:val="CharSectno"/>
        </w:rPr>
        <w:t>18H</w:t>
      </w:r>
      <w:r>
        <w:t>.</w:t>
      </w:r>
      <w:r>
        <w:tab/>
        <w:t>Provisions prescribed (Act s. 126E(4))</w:t>
      </w:r>
      <w:bookmarkEnd w:id="83"/>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84" w:name="_Toc206081352"/>
      <w:r>
        <w:rPr>
          <w:rStyle w:val="CharSectno"/>
        </w:rPr>
        <w:t>19</w:t>
      </w:r>
      <w:r>
        <w:rPr>
          <w:snapToGrid w:val="0"/>
        </w:rPr>
        <w:t>.</w:t>
      </w:r>
      <w:r>
        <w:rPr>
          <w:snapToGrid w:val="0"/>
        </w:rPr>
        <w:tab/>
        <w:t>Subsidy, application for</w:t>
      </w:r>
      <w:bookmarkEnd w:id="84"/>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Lines w:val="0"/>
        <w:rPr>
          <w:snapToGrid w:val="0"/>
        </w:rPr>
      </w:pPr>
      <w:bookmarkStart w:id="85" w:name="_Toc206081353"/>
      <w:r>
        <w:rPr>
          <w:rStyle w:val="CharSectno"/>
        </w:rPr>
        <w:lastRenderedPageBreak/>
        <w:t>20</w:t>
      </w:r>
      <w:r>
        <w:rPr>
          <w:snapToGrid w:val="0"/>
        </w:rPr>
        <w:t>.</w:t>
      </w:r>
      <w:r>
        <w:rPr>
          <w:snapToGrid w:val="0"/>
        </w:rPr>
        <w:tab/>
        <w:t xml:space="preserve">Persons prescribed (Act s. 129 </w:t>
      </w:r>
      <w:r>
        <w:rPr>
          <w:i/>
          <w:snapToGrid w:val="0"/>
        </w:rPr>
        <w:t>wholesaler</w:t>
      </w:r>
      <w:r>
        <w:rPr>
          <w:snapToGrid w:val="0"/>
        </w:rPr>
        <w:t>)</w:t>
      </w:r>
      <w:bookmarkEnd w:id="85"/>
    </w:p>
    <w:p>
      <w:pPr>
        <w:pStyle w:val="Subsection"/>
        <w:keepNext/>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86" w:name="_Toc206081354"/>
      <w:r>
        <w:rPr>
          <w:rStyle w:val="CharSectno"/>
        </w:rPr>
        <w:t>21</w:t>
      </w:r>
      <w:r>
        <w:t>.</w:t>
      </w:r>
      <w:r>
        <w:tab/>
        <w:t>Wholesaler, subsidy for (Act s. 130)</w:t>
      </w:r>
      <w:bookmarkEnd w:id="86"/>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lastRenderedPageBreak/>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87" w:name="_Toc206081355"/>
      <w:r>
        <w:rPr>
          <w:rStyle w:val="CharSectno"/>
        </w:rPr>
        <w:t>21A</w:t>
      </w:r>
      <w:r>
        <w:t>.</w:t>
      </w:r>
      <w:r>
        <w:tab/>
        <w:t>Wine producer, subsidy for (Act s. 130)</w:t>
      </w:r>
      <w:bookmarkEnd w:id="87"/>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4.25pt" o:ole="">
            <v:imagedata r:id="rId21" o:title=""/>
          </v:shape>
          <o:OLEObject Type="Embed" ProgID="Equation.3" ShapeID="_x0000_i1025" DrawAspect="Content" ObjectID="_1817107420" r:id="rId22"/>
        </w:obje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lastRenderedPageBreak/>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6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88" w:name="_Toc206081356"/>
      <w:r>
        <w:rPr>
          <w:rStyle w:val="CharSectno"/>
        </w:rPr>
        <w:t>21AC</w:t>
      </w:r>
      <w:r>
        <w:rPr>
          <w:snapToGrid w:val="0"/>
        </w:rPr>
        <w:t>.</w:t>
      </w:r>
      <w:r>
        <w:rPr>
          <w:snapToGrid w:val="0"/>
        </w:rPr>
        <w:tab/>
        <w:t>Subsidy payable once in respect of sale of liquor</w:t>
      </w:r>
      <w:bookmarkEnd w:id="88"/>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89" w:name="_Toc206081357"/>
      <w:r>
        <w:rPr>
          <w:rStyle w:val="CharSectno"/>
        </w:rPr>
        <w:t>21B</w:t>
      </w:r>
      <w:r>
        <w:rPr>
          <w:snapToGrid w:val="0"/>
        </w:rPr>
        <w:t>.</w:t>
      </w:r>
      <w:r>
        <w:rPr>
          <w:snapToGrid w:val="0"/>
        </w:rPr>
        <w:tab/>
        <w:t xml:space="preserve">Subsidy, conditions imposed by Director as to </w:t>
      </w:r>
      <w:r>
        <w:t>(Act s. 130(2))</w:t>
      </w:r>
      <w:bookmarkEnd w:id="89"/>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90" w:name="_Toc206081358"/>
      <w:r>
        <w:rPr>
          <w:rStyle w:val="CharSectno"/>
        </w:rPr>
        <w:t>21C</w:t>
      </w:r>
      <w:r>
        <w:rPr>
          <w:snapToGrid w:val="0"/>
        </w:rPr>
        <w:t>.</w:t>
      </w:r>
      <w:r>
        <w:rPr>
          <w:snapToGrid w:val="0"/>
        </w:rPr>
        <w:tab/>
        <w:t>Licensees prescribed </w:t>
      </w:r>
      <w:r>
        <w:t>(Act s. </w:t>
      </w:r>
      <w:r>
        <w:rPr>
          <w:snapToGrid w:val="0"/>
        </w:rPr>
        <w:t>145(1))</w:t>
      </w:r>
      <w:bookmarkEnd w:id="90"/>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lastRenderedPageBreak/>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91" w:name="_Toc206081359"/>
      <w:r>
        <w:rPr>
          <w:rStyle w:val="CharSectno"/>
        </w:rPr>
        <w:t>22</w:t>
      </w:r>
      <w:r>
        <w:rPr>
          <w:snapToGrid w:val="0"/>
        </w:rPr>
        <w:t>.</w:t>
      </w:r>
      <w:r>
        <w:rPr>
          <w:snapToGrid w:val="0"/>
        </w:rPr>
        <w:tab/>
        <w:t xml:space="preserve">Records prescribed etc. </w:t>
      </w:r>
      <w:r>
        <w:t>(Act s. </w:t>
      </w:r>
      <w:r>
        <w:rPr>
          <w:snapToGrid w:val="0"/>
        </w:rPr>
        <w:t>145)</w:t>
      </w:r>
      <w:bookmarkEnd w:id="91"/>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keepNext/>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keepNext/>
        <w:rPr>
          <w:snapToGrid w:val="0"/>
        </w:rPr>
      </w:pPr>
      <w:r>
        <w:rPr>
          <w:snapToGrid w:val="0"/>
        </w:rPr>
        <w:tab/>
        <w:t>(G)</w:t>
      </w:r>
      <w:r>
        <w:rPr>
          <w:snapToGrid w:val="0"/>
        </w:rPr>
        <w:tab/>
        <w:t xml:space="preserve">each duty or charge which is payable in respect of the liquor but which is not </w:t>
      </w:r>
      <w:r>
        <w:rPr>
          <w:snapToGrid w:val="0"/>
        </w:rPr>
        <w:lastRenderedPageBreak/>
        <w:t>otherwise included in an item in the invoice;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 xml:space="preserve">and a separate statement is to be kept of the amount of liquor sold or otherwise disposed of as referred to in subparagraphs (i) and (ii) where, in respect of one sale </w:t>
      </w:r>
      <w:r>
        <w:rPr>
          <w:snapToGrid w:val="0"/>
        </w:rPr>
        <w:lastRenderedPageBreak/>
        <w:t>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92" w:name="_Toc206081360"/>
      <w:r>
        <w:rPr>
          <w:rStyle w:val="CharSectno"/>
        </w:rPr>
        <w:t>23</w:t>
      </w:r>
      <w:r>
        <w:rPr>
          <w:snapToGrid w:val="0"/>
        </w:rPr>
        <w:t>.</w:t>
      </w:r>
      <w:r>
        <w:rPr>
          <w:snapToGrid w:val="0"/>
        </w:rPr>
        <w:tab/>
        <w:t xml:space="preserve">Returns, verification and lodgment of </w:t>
      </w:r>
      <w:r>
        <w:t>(Act s. 146)</w:t>
      </w:r>
      <w:bookmarkEnd w:id="92"/>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lastRenderedPageBreak/>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93" w:name="_Toc206081361"/>
      <w:r>
        <w:rPr>
          <w:rStyle w:val="CharSectno"/>
        </w:rPr>
        <w:t>24</w:t>
      </w:r>
      <w:r>
        <w:rPr>
          <w:snapToGrid w:val="0"/>
        </w:rPr>
        <w:t>.</w:t>
      </w:r>
      <w:r>
        <w:rPr>
          <w:snapToGrid w:val="0"/>
        </w:rPr>
        <w:tab/>
        <w:t xml:space="preserve">Return of information required etc. </w:t>
      </w:r>
      <w:r>
        <w:t>(Act s. 145)</w:t>
      </w:r>
      <w:bookmarkEnd w:id="93"/>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lastRenderedPageBreak/>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 xml:space="preserve">where the licence is held jointly by 2 or more persons, the full name and address of each such person, and of the person who was the manager of the business </w:t>
      </w:r>
      <w:r>
        <w:rPr>
          <w:snapToGrid w:val="0"/>
        </w:rPr>
        <w:lastRenderedPageBreak/>
        <w:t>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94" w:name="_Toc206081362"/>
      <w:r>
        <w:rPr>
          <w:rStyle w:val="CharSectno"/>
        </w:rPr>
        <w:t>24AA</w:t>
      </w:r>
      <w:r>
        <w:t>.</w:t>
      </w:r>
      <w:r>
        <w:tab/>
        <w:t>Prescribed class of persons (Act s. 152K(2AA)(b))</w:t>
      </w:r>
      <w:bookmarkEnd w:id="94"/>
    </w:p>
    <w:p>
      <w:pPr>
        <w:pStyle w:val="Subsection"/>
      </w:pPr>
      <w:r>
        <w:tab/>
      </w:r>
      <w:r>
        <w:tab/>
        <w:t>For the purposes of section 152K(2AA)(b), a person belongs to a prescribed class of persons if the person is engaged by the Department to create or provide equipment, software, databases or any other thing to be used by responsible persons in identifying persons subject to prohibition orders.</w:t>
      </w:r>
    </w:p>
    <w:p>
      <w:pPr>
        <w:pStyle w:val="Footnotesection"/>
      </w:pPr>
      <w:r>
        <w:tab/>
        <w:t>[Regulation 24AA inserted: SL 2023/196 r. 8.]</w:t>
      </w:r>
    </w:p>
    <w:p>
      <w:pPr>
        <w:pStyle w:val="Heading5"/>
      </w:pPr>
      <w:bookmarkStart w:id="95" w:name="_Toc206081363"/>
      <w:r>
        <w:rPr>
          <w:rStyle w:val="CharSectno"/>
        </w:rPr>
        <w:t>24A</w:t>
      </w:r>
      <w:r>
        <w:t>.</w:t>
      </w:r>
      <w:r>
        <w:tab/>
        <w:t>Electronic means of service of documents under Part 5AA of Act (Act s. 152NZQ(4)(c))</w:t>
      </w:r>
      <w:bookmarkEnd w:id="95"/>
    </w:p>
    <w:p>
      <w:pPr>
        <w:pStyle w:val="Subsection"/>
      </w:pPr>
      <w:r>
        <w:tab/>
      </w:r>
      <w:r>
        <w:tab/>
        <w:t xml:space="preserve">For the purposes of section 152NZQ(4)(c), the other electronic means by which a document may be given to a named person are as follows — </w:t>
      </w:r>
    </w:p>
    <w:p>
      <w:pPr>
        <w:pStyle w:val="Indenta"/>
      </w:pPr>
      <w:r>
        <w:tab/>
        <w:t>(a)</w:t>
      </w:r>
      <w:r>
        <w:tab/>
        <w:t>sending a link to a uniform resource locator (URL) from which the document can be accessed or downloaded to an electronic address provided by the named person;</w:t>
      </w:r>
    </w:p>
    <w:p>
      <w:pPr>
        <w:pStyle w:val="Indenta"/>
      </w:pPr>
      <w:r>
        <w:lastRenderedPageBreak/>
        <w:tab/>
        <w:t>(b)</w:t>
      </w:r>
      <w:r>
        <w:tab/>
        <w:t>sending the document, or a link to a uniform resource locator (URL) from which the document can be accessed or downloaded, to a mobile phone number provided by the named person.</w:t>
      </w:r>
    </w:p>
    <w:p>
      <w:pPr>
        <w:pStyle w:val="Footnotesection"/>
        <w:spacing w:before="100"/>
        <w:ind w:left="890" w:hanging="890"/>
      </w:pPr>
      <w:r>
        <w:tab/>
        <w:t>[Regulation 24A inserted: SL 2022/217 r. 5.]</w:t>
      </w:r>
    </w:p>
    <w:p>
      <w:pPr>
        <w:pStyle w:val="Heading5"/>
      </w:pPr>
      <w:bookmarkStart w:id="96" w:name="_Toc206081364"/>
      <w:r>
        <w:rPr>
          <w:rStyle w:val="CharSectno"/>
        </w:rPr>
        <w:t>24B</w:t>
      </w:r>
      <w:r>
        <w:t>.</w:t>
      </w:r>
      <w:r>
        <w:tab/>
        <w:t>Consent to service of documents under Part 5AA of Act (Act s. 152NZQ(5))</w:t>
      </w:r>
      <w:bookmarkEnd w:id="96"/>
    </w:p>
    <w:p>
      <w:pPr>
        <w:pStyle w:val="Subsection"/>
      </w:pPr>
      <w:r>
        <w:tab/>
        <w:t>(1)</w:t>
      </w:r>
      <w:r>
        <w:tab/>
        <w:t xml:space="preserve">Consent under section 152NZQ(4)(b)(i), (c) or (d) may be given — </w:t>
      </w:r>
    </w:p>
    <w:p>
      <w:pPr>
        <w:pStyle w:val="Indenta"/>
      </w:pPr>
      <w:r>
        <w:tab/>
        <w:t>(a)</w:t>
      </w:r>
      <w:r>
        <w:tab/>
        <w:t>in writing; or</w:t>
      </w:r>
    </w:p>
    <w:p>
      <w:pPr>
        <w:pStyle w:val="Indenta"/>
      </w:pPr>
      <w:r>
        <w:tab/>
        <w:t>(b)</w:t>
      </w:r>
      <w:r>
        <w:tab/>
        <w:t>verbally; or</w:t>
      </w:r>
    </w:p>
    <w:p>
      <w:pPr>
        <w:pStyle w:val="Indenta"/>
      </w:pPr>
      <w:r>
        <w:tab/>
        <w:t>(c)</w:t>
      </w:r>
      <w:r>
        <w:tab/>
        <w:t>by non</w:t>
      </w:r>
      <w:r>
        <w:noBreakHyphen/>
        <w:t>verbal actions that a reasonable person would consider to indicate consent (for example, by gestures).</w:t>
      </w:r>
    </w:p>
    <w:p>
      <w:pPr>
        <w:pStyle w:val="Subsection"/>
      </w:pPr>
      <w:r>
        <w:tab/>
        <w:t>(2)</w:t>
      </w:r>
      <w:r>
        <w:tab/>
        <w:t>A person does not give consent under section 152NZQ(4)(b)(i), (c) or (d) merely because the person gives their personal details following a request under section 152NZM(3).</w:t>
      </w:r>
    </w:p>
    <w:p>
      <w:pPr>
        <w:pStyle w:val="Subsection"/>
      </w:pPr>
      <w:r>
        <w:tab/>
        <w:t>(3)</w:t>
      </w:r>
      <w:r>
        <w:tab/>
        <w:t xml:space="preserve">Consent is taken not to be given under section 152NZQ(4)(b)(i), (c) or (d) if — </w:t>
      </w:r>
    </w:p>
    <w:p>
      <w:pPr>
        <w:pStyle w:val="Indenta"/>
      </w:pPr>
      <w:r>
        <w:tab/>
        <w:t>(a)</w:t>
      </w:r>
      <w:r>
        <w:tab/>
        <w:t>the named person was coerced or pressured to give consent; or</w:t>
      </w:r>
    </w:p>
    <w:p>
      <w:pPr>
        <w:pStyle w:val="Indenta"/>
      </w:pPr>
      <w:r>
        <w:tab/>
        <w:t>(b)</w:t>
      </w:r>
      <w:r>
        <w:tab/>
        <w:t>the named person did not have the capacity to give consent (including as a result of a physical or mental disability, illness or impairment); or</w:t>
      </w:r>
    </w:p>
    <w:p>
      <w:pPr>
        <w:pStyle w:val="Indenta"/>
      </w:pPr>
      <w:r>
        <w:tab/>
        <w:t>(c)</w:t>
      </w:r>
      <w:r>
        <w:tab/>
        <w:t>due to a limited understanding of the language used in communications about consent, the named person did not understand the communications.</w:t>
      </w:r>
    </w:p>
    <w:p>
      <w:pPr>
        <w:pStyle w:val="Subsection"/>
        <w:rPr>
          <w:rStyle w:val="DraftersNotes"/>
        </w:rPr>
      </w:pPr>
      <w:r>
        <w:tab/>
        <w:t>(4)</w:t>
      </w:r>
      <w:r>
        <w:tab/>
        <w:t>This regulation does not limit the circumstances in which consent is not given.</w:t>
      </w:r>
    </w:p>
    <w:p>
      <w:pPr>
        <w:pStyle w:val="Footnotesection"/>
        <w:spacing w:before="100"/>
        <w:ind w:left="890" w:hanging="890"/>
      </w:pPr>
      <w:r>
        <w:tab/>
        <w:t>[Regulation 24B inserted: SL 2022/217 r. 5.]</w:t>
      </w:r>
    </w:p>
    <w:p>
      <w:pPr>
        <w:pStyle w:val="Heading5"/>
      </w:pPr>
      <w:bookmarkStart w:id="97" w:name="_Toc206081365"/>
      <w:r>
        <w:rPr>
          <w:rStyle w:val="CharSectno"/>
        </w:rPr>
        <w:lastRenderedPageBreak/>
        <w:t>24C</w:t>
      </w:r>
      <w:r>
        <w:t>.</w:t>
      </w:r>
      <w:r>
        <w:tab/>
        <w:t>Time when documents under Part 5AA of Act are served (Act s. 152NZR(6))</w:t>
      </w:r>
      <w:bookmarkEnd w:id="97"/>
    </w:p>
    <w:p>
      <w:pPr>
        <w:pStyle w:val="Subsection"/>
      </w:pPr>
      <w:r>
        <w:tab/>
        <w:t>(1)</w:t>
      </w:r>
      <w:r>
        <w:tab/>
        <w:t xml:space="preserve">A document served by giving the document to a named person at an electronic address provided by the named person or by the electronic means referred to in regulation 24A(a) is taken to be served on the named person — </w:t>
      </w:r>
    </w:p>
    <w:p>
      <w:pPr>
        <w:pStyle w:val="Indenta"/>
      </w:pPr>
      <w:r>
        <w:tab/>
        <w:t>(a)</w:t>
      </w:r>
      <w:r>
        <w:tab/>
        <w:t>at the time the document, or the link to a uniform resource locator (URL) from which the document can be accessed or downloaded, is sent to the electronic address; or</w:t>
      </w:r>
    </w:p>
    <w:p>
      <w:pPr>
        <w:pStyle w:val="Indenta"/>
      </w:pPr>
      <w:r>
        <w:tab/>
        <w:t>(b)</w:t>
      </w:r>
      <w:r>
        <w:tab/>
        <w:t>if it is proved that the document or link was delivered to the electronic address at a different time — at the time at which the document or link was delivered.</w:t>
      </w:r>
    </w:p>
    <w:p>
      <w:pPr>
        <w:pStyle w:val="Subsection"/>
      </w:pPr>
      <w:r>
        <w:tab/>
        <w:t>(2)</w:t>
      </w:r>
      <w:r>
        <w:tab/>
        <w:t>Despite subregulation (1), the document is taken not to be served if the sender receives a notification that delivery has failed or it is proved that the document or link was not delivered to the electronic address.</w:t>
      </w:r>
    </w:p>
    <w:p>
      <w:pPr>
        <w:pStyle w:val="Subsection"/>
      </w:pPr>
      <w:r>
        <w:tab/>
        <w:t>(3)</w:t>
      </w:r>
      <w:r>
        <w:tab/>
        <w:t xml:space="preserve">A document served by giving the document to a named person by the electronic means referred to in regulation 24A(b) is taken to be served on the named person — </w:t>
      </w:r>
    </w:p>
    <w:p>
      <w:pPr>
        <w:pStyle w:val="Indenta"/>
      </w:pPr>
      <w:r>
        <w:tab/>
        <w:t>(a)</w:t>
      </w:r>
      <w:r>
        <w:tab/>
        <w:t>at the time the document, or the link to a uniform resource locator (URL) from which the document can be accessed or downloaded, is sent to the mobile phone number; or</w:t>
      </w:r>
    </w:p>
    <w:p>
      <w:pPr>
        <w:pStyle w:val="Indenta"/>
      </w:pPr>
      <w:r>
        <w:tab/>
        <w:t>(b)</w:t>
      </w:r>
      <w:r>
        <w:tab/>
        <w:t>if it is proved that, due to circumstances outside of the named person’s control, the document or link was delivered to the mobile phone number at a different time — at the time at which the document or link was delivered.</w:t>
      </w:r>
    </w:p>
    <w:p>
      <w:pPr>
        <w:pStyle w:val="Subsection"/>
        <w:keepNext/>
      </w:pPr>
      <w:r>
        <w:tab/>
        <w:t>(4)</w:t>
      </w:r>
      <w:r>
        <w:tab/>
        <w:t xml:space="preserve">Despite subregulation (3), the document is taken not to be served if it is proved that, due to circumstances outside of the </w:t>
      </w:r>
      <w:r>
        <w:lastRenderedPageBreak/>
        <w:t>named person’s control, the document or link was not delivered to the mobile phone number.</w:t>
      </w:r>
    </w:p>
    <w:p>
      <w:pPr>
        <w:pStyle w:val="Footnotesection"/>
        <w:spacing w:before="100"/>
        <w:ind w:left="890" w:hanging="890"/>
      </w:pPr>
      <w:r>
        <w:tab/>
        <w:t>[Regulation 24C inserted: SL 2022/217 r. 5.]</w:t>
      </w:r>
    </w:p>
    <w:p>
      <w:pPr>
        <w:pStyle w:val="Heading5"/>
      </w:pPr>
      <w:bookmarkStart w:id="98" w:name="_Toc206081366"/>
      <w:r>
        <w:rPr>
          <w:rStyle w:val="CharSectno"/>
        </w:rPr>
        <w:t>25A</w:t>
      </w:r>
      <w:r>
        <w:t>.</w:t>
      </w:r>
      <w:r>
        <w:tab/>
        <w:t>Class of persons prescribed (Act s. 152P(4)(b))</w:t>
      </w:r>
      <w:bookmarkEnd w:id="98"/>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pPr>
      <w:bookmarkStart w:id="99" w:name="_Toc206081367"/>
      <w:r>
        <w:rPr>
          <w:rStyle w:val="CharSectno"/>
        </w:rPr>
        <w:t>25B</w:t>
      </w:r>
      <w:r>
        <w:t>.</w:t>
      </w:r>
      <w:r>
        <w:tab/>
        <w:t>Fee payable for review of decision related to banned drinker orders (Act s. 152YY(1))</w:t>
      </w:r>
      <w:bookmarkEnd w:id="99"/>
    </w:p>
    <w:p>
      <w:pPr>
        <w:pStyle w:val="Subsection"/>
      </w:pPr>
      <w:r>
        <w:tab/>
        <w:t>(1)</w:t>
      </w:r>
      <w:r>
        <w:tab/>
        <w:t>A fee of $280.50 is payable to the Commission in respect of an application under section 152YY(1).</w:t>
      </w:r>
    </w:p>
    <w:p>
      <w:pPr>
        <w:pStyle w:val="Subsection"/>
      </w:pPr>
      <w:r>
        <w:tab/>
        <w:t>(2)</w:t>
      </w:r>
      <w:r>
        <w:tab/>
        <w:t>The person liable to pay the fee is the applicant.</w:t>
      </w:r>
    </w:p>
    <w:p>
      <w:pPr>
        <w:pStyle w:val="Subsection"/>
      </w:pPr>
      <w:r>
        <w:tab/>
        <w:t>(3)</w:t>
      </w:r>
      <w:r>
        <w:tab/>
        <w:t>The fee must be paid on the day on which the application is made and, if an application under section 152YY(1) is made without payment of the fee, the application is taken not to have been made until the fee has been paid.</w:t>
      </w:r>
    </w:p>
    <w:p>
      <w:pPr>
        <w:pStyle w:val="Subsection"/>
      </w:pPr>
      <w:r>
        <w:tab/>
        <w:t>(4)</w:t>
      </w:r>
      <w:r>
        <w:tab/>
        <w:t>The Director may reduce, waive or refund, in whole or in part, any fee payable under this regulation.</w:t>
      </w:r>
    </w:p>
    <w:p>
      <w:pPr>
        <w:pStyle w:val="Footnotesection"/>
      </w:pPr>
      <w:r>
        <w:tab/>
        <w:t>[Regulation 25B inserted: SL 2023/196 r. 9; amended: SL 2023/196 r. 13; SL 2024/213 r. 12.]</w:t>
      </w:r>
    </w:p>
    <w:p>
      <w:pPr>
        <w:pStyle w:val="Heading5"/>
      </w:pPr>
      <w:bookmarkStart w:id="100" w:name="_Toc206081368"/>
      <w:r>
        <w:rPr>
          <w:rStyle w:val="CharSectno"/>
        </w:rPr>
        <w:t>25C</w:t>
      </w:r>
      <w:r>
        <w:t>.</w:t>
      </w:r>
      <w:r>
        <w:tab/>
        <w:t>Disclosure of information about banned drinker order and banned drinker (Act s. 152ZC(2)(d))</w:t>
      </w:r>
      <w:bookmarkEnd w:id="100"/>
    </w:p>
    <w:p>
      <w:pPr>
        <w:pStyle w:val="Subsection"/>
      </w:pPr>
      <w:r>
        <w:tab/>
      </w:r>
      <w:r>
        <w:tab/>
        <w:t>For the purposes of section 152ZC(2)(d), Scantek Solutions Pty Ltd (ACN 158 339 514) is prescribed in relation to each banned drinker.</w:t>
      </w:r>
    </w:p>
    <w:p>
      <w:pPr>
        <w:pStyle w:val="Footnotesection"/>
      </w:pPr>
      <w:r>
        <w:tab/>
        <w:t>[Regulation 25C inserted: SL 2023/196 r. 9.]</w:t>
      </w:r>
    </w:p>
    <w:p>
      <w:pPr>
        <w:pStyle w:val="Heading5"/>
        <w:rPr>
          <w:snapToGrid w:val="0"/>
        </w:rPr>
      </w:pPr>
      <w:bookmarkStart w:id="101" w:name="_Toc206081369"/>
      <w:r>
        <w:rPr>
          <w:rStyle w:val="CharSectno"/>
        </w:rPr>
        <w:lastRenderedPageBreak/>
        <w:t>25</w:t>
      </w:r>
      <w:r>
        <w:rPr>
          <w:snapToGrid w:val="0"/>
        </w:rPr>
        <w:t>.</w:t>
      </w:r>
      <w:r>
        <w:rPr>
          <w:snapToGrid w:val="0"/>
        </w:rPr>
        <w:tab/>
        <w:t>Money payable under Act, how payable</w:t>
      </w:r>
      <w:bookmarkEnd w:id="101"/>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102" w:name="_Toc206081370"/>
      <w:r>
        <w:rPr>
          <w:rStyle w:val="CharSectno"/>
        </w:rPr>
        <w:t>26</w:t>
      </w:r>
      <w:r>
        <w:rPr>
          <w:snapToGrid w:val="0"/>
        </w:rPr>
        <w:t>.</w:t>
      </w:r>
      <w:r>
        <w:rPr>
          <w:snapToGrid w:val="0"/>
        </w:rPr>
        <w:tab/>
        <w:t>Fees generally (Sch. 3)</w:t>
      </w:r>
      <w:bookmarkEnd w:id="102"/>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$321.00; or</w:t>
      </w:r>
    </w:p>
    <w:p>
      <w:pPr>
        <w:pStyle w:val="Indenta"/>
      </w:pPr>
      <w:r>
        <w:tab/>
        <w:t>(b)</w:t>
      </w:r>
      <w:r>
        <w:tab/>
        <w:t>if 3 or more such permits have been issued — an additional amount of $647.00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lastRenderedPageBreak/>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 xml:space="preserve">3; 21 May 2013 p. 2014; 8 Nov 2013 p. 4977-8; 14 Nov 2014 p. 4284; </w:t>
      </w:r>
      <w:r>
        <w:lastRenderedPageBreak/>
        <w:t>6 Nov 2015 p. 4584; 28 Oct 2016 p. 4913; 10 Nov 2017 p. 5587; 7 Sep 2018 p. 3196; 22 Oct 2019 p. 3724; SL 2022/144 r. 12; SL 2023/156 r. 12; SL 2024/213 r. 13.]</w:t>
      </w:r>
    </w:p>
    <w:p>
      <w:pPr>
        <w:pStyle w:val="Heading5"/>
      </w:pPr>
      <w:bookmarkStart w:id="103" w:name="_Toc206081371"/>
      <w:r>
        <w:rPr>
          <w:rStyle w:val="CharSectno"/>
        </w:rPr>
        <w:t>27A</w:t>
      </w:r>
      <w:r>
        <w:t>.</w:t>
      </w:r>
      <w:r>
        <w:tab/>
        <w:t>Reduction in licence fee for new licences</w:t>
      </w:r>
      <w:bookmarkEnd w:id="103"/>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104" w:name="_Toc206081372"/>
      <w:r>
        <w:rPr>
          <w:rStyle w:val="CharSectno"/>
        </w:rPr>
        <w:t>27</w:t>
      </w:r>
      <w:r>
        <w:rPr>
          <w:snapToGrid w:val="0"/>
        </w:rPr>
        <w:t>.</w:t>
      </w:r>
      <w:r>
        <w:rPr>
          <w:snapToGrid w:val="0"/>
        </w:rPr>
        <w:tab/>
      </w:r>
      <w:r>
        <w:t>Prescribed offences for infringement notices (Act s. 167(2))</w:t>
      </w:r>
      <w:bookmarkEnd w:id="104"/>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lastRenderedPageBreak/>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lastRenderedPageBreak/>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p>
            <w:pPr>
              <w:pStyle w:val="TableNAm"/>
              <w:spacing w:before="100"/>
            </w:pPr>
            <w:r>
              <w:t>s. 119(4)</w:t>
            </w:r>
          </w:p>
          <w:p>
            <w:pPr>
              <w:pStyle w:val="TableNAm"/>
              <w:spacing w:before="100"/>
            </w:pPr>
            <w:r>
              <w:t>s. 119(5)</w:t>
            </w:r>
          </w:p>
        </w:tc>
        <w:tc>
          <w:tcPr>
            <w:tcW w:w="2693" w:type="dxa"/>
          </w:tcPr>
          <w:p>
            <w:pPr>
              <w:pStyle w:val="TableNAm"/>
              <w:spacing w:before="100"/>
            </w:pPr>
            <w:r>
              <w:lastRenderedPageBreak/>
              <w:t>s. 119(7)</w:t>
            </w:r>
          </w:p>
          <w:p>
            <w:pPr>
              <w:pStyle w:val="TableNAm"/>
              <w:spacing w:before="100"/>
            </w:pPr>
            <w:r>
              <w:t>s. 119(11)</w:t>
            </w:r>
          </w:p>
          <w:p>
            <w:pPr>
              <w:pStyle w:val="TableNAm"/>
              <w:spacing w:before="100"/>
            </w:pPr>
            <w:r>
              <w:lastRenderedPageBreak/>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lastRenderedPageBreak/>
              <w:t>s. 152O(1)</w:t>
            </w:r>
          </w:p>
          <w:p>
            <w:pPr>
              <w:pStyle w:val="TableNAm"/>
              <w:spacing w:before="100"/>
            </w:pPr>
            <w:r>
              <w:t>s. 152S(2)</w:t>
            </w:r>
          </w:p>
          <w:p>
            <w:pPr>
              <w:pStyle w:val="TableNAm"/>
              <w:spacing w:before="100"/>
            </w:pPr>
            <w:r>
              <w:t>s. 152S(5)</w:t>
            </w:r>
          </w:p>
          <w:p>
            <w:pPr>
              <w:pStyle w:val="TableNAm"/>
            </w:pPr>
            <w:r>
              <w:t>s. 152T(3)</w:t>
            </w:r>
          </w:p>
          <w:p>
            <w:pPr>
              <w:pStyle w:val="TableNAm"/>
            </w:pPr>
            <w:r>
              <w:t>s. 152ZA(2)</w:t>
            </w:r>
          </w:p>
          <w:p>
            <w:pPr>
              <w:pStyle w:val="TableNAm"/>
            </w:pPr>
            <w:r>
              <w:t>s. 152ZB(1)</w:t>
            </w:r>
          </w:p>
          <w:p>
            <w:pPr>
              <w:pStyle w:val="TableNAm"/>
            </w:pPr>
            <w:r>
              <w:t>s. 152ZD(1)</w:t>
            </w:r>
          </w:p>
          <w:p>
            <w:pPr>
              <w:pStyle w:val="TableNAm"/>
              <w:spacing w:before="100"/>
            </w:pPr>
            <w:r>
              <w:t>s. 152ZJ(1)</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lastRenderedPageBreak/>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lastRenderedPageBreak/>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Liquor Control (Jarlmadangah Burru Restricted Area) Regulations 2019</w:t>
            </w:r>
            <w:r>
              <w:t xml:space="preserve"> regulation 7(1)</w:t>
            </w:r>
          </w:p>
        </w:tc>
      </w:tr>
      <w:tr>
        <w:tc>
          <w:tcPr>
            <w:tcW w:w="5245" w:type="dxa"/>
          </w:tcPr>
          <w:p>
            <w:pPr>
              <w:pStyle w:val="TableNAm"/>
              <w:keepNext/>
              <w:rPr>
                <w:i/>
              </w:rPr>
            </w:pPr>
            <w:r>
              <w:rPr>
                <w:i/>
              </w:rPr>
              <w:t xml:space="preserve">Liquor Control (Jigalong Restricted Area) Regulations 2009 </w:t>
            </w:r>
            <w:r>
              <w:t>regulation 7(1)</w:t>
            </w:r>
          </w:p>
        </w:tc>
      </w:tr>
      <w:tr>
        <w:tc>
          <w:tcPr>
            <w:tcW w:w="5245" w:type="dxa"/>
          </w:tcPr>
          <w:p>
            <w:pPr>
              <w:pStyle w:val="TableNAm"/>
              <w:keepNext/>
              <w:rPr>
                <w:i/>
              </w:rPr>
            </w:pPr>
            <w:r>
              <w:rPr>
                <w:i/>
              </w:rPr>
              <w:t xml:space="preserve">Liquor Control (Joy Springs Restricted Area) Regulations 2023 </w:t>
            </w:r>
            <w:r>
              <w:rPr>
                <w:szCs w:val="24"/>
              </w:rPr>
              <w:t>regulation 6(1)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(Kadjina Restricted Area) Regulations 2020</w:t>
            </w:r>
            <w:r>
              <w:rPr>
                <w:szCs w:val="24"/>
              </w:rPr>
              <w:t xml:space="preserve"> regulation 6(1)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lastRenderedPageBreak/>
              <w:t>Liquor Control (Mingullatharndo Restricted Area) Regulations 2023</w:t>
            </w:r>
            <w:r>
              <w:rPr>
                <w:szCs w:val="24"/>
              </w:rPr>
              <w:t xml:space="preserve"> regulation 6(1)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Liquor Control (Strelley Restricted Area) Regulations 2024</w:t>
            </w:r>
            <w:r>
              <w:rPr>
                <w:i/>
                <w:szCs w:val="24"/>
              </w:rPr>
              <w:t xml:space="preserve"> </w:t>
            </w:r>
            <w:r>
              <w:rPr>
                <w:szCs w:val="24"/>
              </w:rPr>
              <w:t>regulation 6(1)</w:t>
            </w:r>
          </w:p>
        </w:tc>
      </w:tr>
      <w:tr>
        <w:tc>
          <w:tcPr>
            <w:tcW w:w="5245" w:type="dxa"/>
          </w:tcPr>
          <w:p>
            <w:pPr>
              <w:pStyle w:val="TableNAm"/>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lastRenderedPageBreak/>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(Weymul Restricted Area) Regulations 2024</w:t>
            </w:r>
            <w:r>
              <w:t xml:space="preserve"> </w:t>
            </w:r>
            <w:r>
              <w:rPr>
                <w:szCs w:val="24"/>
              </w:rPr>
              <w:t>regulation 6(1)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keepNext/>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 10; SL 2020/218 r. 10; SL 2021/94 r. 9; SL 2023/159 r. 10; SL 2023/174 r. 10; SL 2023/196 r. 10; SL 2024/37 r. 10; SL 2024/138 r. 10; SL 2025/143 r. 8.]</w:t>
      </w:r>
    </w:p>
    <w:p>
      <w:pPr>
        <w:pStyle w:val="Heading5"/>
      </w:pPr>
      <w:bookmarkStart w:id="105" w:name="_Toc206081373"/>
      <w:r>
        <w:rPr>
          <w:rStyle w:val="CharSectno"/>
        </w:rPr>
        <w:lastRenderedPageBreak/>
        <w:t>28</w:t>
      </w:r>
      <w:r>
        <w:t>.</w:t>
      </w:r>
      <w:r>
        <w:tab/>
        <w:t>Protected entertainment precincts (Act s. 175(1E))</w:t>
      </w:r>
      <w:bookmarkEnd w:id="105"/>
    </w:p>
    <w:p>
      <w:pPr>
        <w:pStyle w:val="Ednotesubsection"/>
        <w:keepNext/>
      </w:pPr>
      <w:r>
        <w:tab/>
        <w:t>[(1)</w:t>
      </w:r>
      <w:r>
        <w:tab/>
        <w:t>deleted]</w:t>
      </w:r>
    </w:p>
    <w:p>
      <w:pPr>
        <w:pStyle w:val="Subsection"/>
      </w:pPr>
      <w:r>
        <w:tab/>
        <w:t>(2)</w:t>
      </w:r>
      <w:r>
        <w:tab/>
        <w:t>Each area of the State described in the Table is a protected entertainment precinct.</w:t>
      </w:r>
    </w:p>
    <w:p>
      <w:pPr>
        <w:pStyle w:val="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689"/>
        <w:gridCol w:w="3406"/>
      </w:tblGrid>
      <w:tr>
        <w:trPr>
          <w:tblHeader/>
        </w:trPr>
        <w:tc>
          <w:tcPr>
            <w:tcW w:w="738" w:type="dxa"/>
            <w:noWrap/>
          </w:tcPr>
          <w:p>
            <w:pPr>
              <w:pStyle w:val="TableNAm"/>
              <w:jc w:val="center"/>
              <w:rPr>
                <w:b/>
              </w:rPr>
            </w:pPr>
            <w:r>
              <w:rPr>
                <w:b/>
              </w:rPr>
              <w:t>Item</w:t>
            </w:r>
          </w:p>
        </w:tc>
        <w:tc>
          <w:tcPr>
            <w:tcW w:w="2689" w:type="dxa"/>
            <w:noWrap/>
          </w:tcPr>
          <w:p>
            <w:pPr>
              <w:pStyle w:val="TableNAm"/>
              <w:jc w:val="center"/>
              <w:rPr>
                <w:b/>
              </w:rPr>
            </w:pPr>
            <w:r>
              <w:rPr>
                <w:b/>
              </w:rPr>
              <w:t>Protected entertainment precinct</w:t>
            </w:r>
          </w:p>
        </w:tc>
        <w:tc>
          <w:tcPr>
            <w:tcW w:w="3406" w:type="dxa"/>
            <w:noWrap/>
          </w:tcPr>
          <w:p>
            <w:pPr>
              <w:pStyle w:val="TableNAm"/>
              <w:jc w:val="center"/>
              <w:rPr>
                <w:b/>
              </w:rPr>
            </w:pPr>
            <w:r>
              <w:rPr>
                <w:b/>
              </w:rPr>
              <w:t>Area of the State</w:t>
            </w:r>
          </w:p>
        </w:tc>
      </w:tr>
      <w:tr>
        <w:tc>
          <w:tcPr>
            <w:tcW w:w="738" w:type="dxa"/>
            <w:noWrap/>
          </w:tcPr>
          <w:p>
            <w:pPr>
              <w:pStyle w:val="TableNAm"/>
            </w:pPr>
            <w:r>
              <w:t>1.</w:t>
            </w:r>
          </w:p>
        </w:tc>
        <w:tc>
          <w:tcPr>
            <w:tcW w:w="2689" w:type="dxa"/>
            <w:noWrap/>
          </w:tcPr>
          <w:p>
            <w:pPr>
              <w:pStyle w:val="TableNAm"/>
              <w:rPr>
                <w:rStyle w:val="DraftersNotes"/>
                <w:b w:val="0"/>
                <w:i w:val="0"/>
              </w:rPr>
            </w:pPr>
            <w:r>
              <w:t>Fremantle</w:t>
            </w:r>
          </w:p>
        </w:tc>
        <w:tc>
          <w:tcPr>
            <w:tcW w:w="3406" w:type="dxa"/>
            <w:noWrap/>
          </w:tcPr>
          <w:p>
            <w:pPr>
              <w:pStyle w:val="TableNAm"/>
            </w:pPr>
            <w:r>
              <w:t>The area delineated in red and coloured blue on Deposited Plan 425727 version 1.</w:t>
            </w:r>
          </w:p>
        </w:tc>
      </w:tr>
      <w:tr>
        <w:tc>
          <w:tcPr>
            <w:tcW w:w="738" w:type="dxa"/>
            <w:noWrap/>
          </w:tcPr>
          <w:p>
            <w:pPr>
              <w:pStyle w:val="TableNAm"/>
            </w:pPr>
            <w:r>
              <w:t>2.</w:t>
            </w:r>
          </w:p>
        </w:tc>
        <w:tc>
          <w:tcPr>
            <w:tcW w:w="2689" w:type="dxa"/>
            <w:noWrap/>
          </w:tcPr>
          <w:p>
            <w:pPr>
              <w:pStyle w:val="TableNAm"/>
            </w:pPr>
            <w:r>
              <w:t>Hillarys</w:t>
            </w:r>
          </w:p>
        </w:tc>
        <w:tc>
          <w:tcPr>
            <w:tcW w:w="3406" w:type="dxa"/>
            <w:noWrap/>
          </w:tcPr>
          <w:p>
            <w:pPr>
              <w:pStyle w:val="TableNAm"/>
            </w:pPr>
            <w:r>
              <w:t>The area delineated in red and coloured blue on Deposited Plan 425728 version 2.</w:t>
            </w:r>
          </w:p>
        </w:tc>
      </w:tr>
      <w:tr>
        <w:tc>
          <w:tcPr>
            <w:tcW w:w="738" w:type="dxa"/>
            <w:noWrap/>
          </w:tcPr>
          <w:p>
            <w:pPr>
              <w:pStyle w:val="TableNAm"/>
            </w:pPr>
            <w:r>
              <w:t>3.</w:t>
            </w:r>
          </w:p>
        </w:tc>
        <w:tc>
          <w:tcPr>
            <w:tcW w:w="2689" w:type="dxa"/>
            <w:noWrap/>
          </w:tcPr>
          <w:p>
            <w:pPr>
              <w:pStyle w:val="TableNAm"/>
            </w:pPr>
            <w:r>
              <w:t>Mandurah</w:t>
            </w:r>
          </w:p>
        </w:tc>
        <w:tc>
          <w:tcPr>
            <w:tcW w:w="3406" w:type="dxa"/>
            <w:noWrap/>
          </w:tcPr>
          <w:p>
            <w:pPr>
              <w:pStyle w:val="TableNAm"/>
            </w:pPr>
            <w:r>
              <w:t>The area delineated in red and coloured blue on Deposited Plan 425729 version 1.</w:t>
            </w:r>
          </w:p>
        </w:tc>
      </w:tr>
      <w:tr>
        <w:tc>
          <w:tcPr>
            <w:tcW w:w="738" w:type="dxa"/>
            <w:noWrap/>
          </w:tcPr>
          <w:p>
            <w:pPr>
              <w:pStyle w:val="TableNAm"/>
            </w:pPr>
            <w:r>
              <w:t>4.</w:t>
            </w:r>
          </w:p>
        </w:tc>
        <w:tc>
          <w:tcPr>
            <w:tcW w:w="2689" w:type="dxa"/>
            <w:noWrap/>
          </w:tcPr>
          <w:p>
            <w:pPr>
              <w:pStyle w:val="TableNAm"/>
            </w:pPr>
            <w:r>
              <w:t>Perth and Northbridge</w:t>
            </w:r>
          </w:p>
        </w:tc>
        <w:tc>
          <w:tcPr>
            <w:tcW w:w="3406" w:type="dxa"/>
            <w:noWrap/>
          </w:tcPr>
          <w:p>
            <w:pPr>
              <w:pStyle w:val="TableNAm"/>
            </w:pPr>
            <w:r>
              <w:t>The area delineated in red and coloured blue on Deposited Plan 425730 version 1.</w:t>
            </w:r>
          </w:p>
        </w:tc>
      </w:tr>
      <w:tr>
        <w:tc>
          <w:tcPr>
            <w:tcW w:w="738" w:type="dxa"/>
            <w:noWrap/>
          </w:tcPr>
          <w:p>
            <w:pPr>
              <w:pStyle w:val="TableNAm"/>
            </w:pPr>
            <w:r>
              <w:t>5.</w:t>
            </w:r>
          </w:p>
        </w:tc>
        <w:tc>
          <w:tcPr>
            <w:tcW w:w="2689" w:type="dxa"/>
            <w:noWrap/>
          </w:tcPr>
          <w:p>
            <w:pPr>
              <w:pStyle w:val="TableNAm"/>
            </w:pPr>
            <w:r>
              <w:t>Scarborough</w:t>
            </w:r>
          </w:p>
        </w:tc>
        <w:tc>
          <w:tcPr>
            <w:tcW w:w="3406" w:type="dxa"/>
            <w:noWrap/>
          </w:tcPr>
          <w:p>
            <w:pPr>
              <w:pStyle w:val="TableNAm"/>
            </w:pPr>
            <w:r>
              <w:t>The area delineated in red and coloured blue on Deposited Plan 425731 version 1.</w:t>
            </w:r>
          </w:p>
        </w:tc>
      </w:tr>
    </w:tbl>
    <w:p>
      <w:pPr>
        <w:pStyle w:val="Subsection"/>
      </w:pPr>
      <w:r>
        <w:tab/>
        <w:t>(3)</w:t>
      </w:r>
      <w:r>
        <w:tab/>
        <w:t>An image of each deposited plan referred to in subregulation (2) is shown, for information purposes only, in Schedule 4.</w:t>
      </w:r>
    </w:p>
    <w:p>
      <w:pPr>
        <w:pStyle w:val="Footnotesection"/>
        <w:spacing w:before="100"/>
        <w:ind w:left="890" w:hanging="890"/>
      </w:pPr>
      <w:r>
        <w:tab/>
        <w:t>[Regulation 28 inserted: SL 2022/217 r. 6; amended: SL 2023/196 r. 11; SL 2025/9 r. 4.]</w:t>
      </w:r>
    </w:p>
    <w:p>
      <w:pPr>
        <w:pStyle w:val="Heading5"/>
      </w:pPr>
      <w:bookmarkStart w:id="106" w:name="_Toc206081374"/>
      <w:r>
        <w:rPr>
          <w:rStyle w:val="CharSectno"/>
        </w:rPr>
        <w:lastRenderedPageBreak/>
        <w:t>29</w:t>
      </w:r>
      <w:r>
        <w:t>.</w:t>
      </w:r>
      <w:r>
        <w:tab/>
        <w:t>Banned drinker areas (Act s. 175(1G))</w:t>
      </w:r>
      <w:bookmarkEnd w:id="106"/>
    </w:p>
    <w:p>
      <w:pPr>
        <w:pStyle w:val="Subsection"/>
      </w:pPr>
      <w:r>
        <w:tab/>
        <w:t>(1)</w:t>
      </w:r>
      <w:r>
        <w:tab/>
        <w:t>Each area of the State described in the Table, other than an area described in subregulation (2), is a banned drinker area.</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1701"/>
        <w:gridCol w:w="3402"/>
      </w:tblGrid>
      <w:tr>
        <w:trPr>
          <w:tblHeader/>
        </w:trPr>
        <w:tc>
          <w:tcPr>
            <w:tcW w:w="993" w:type="dxa"/>
          </w:tcPr>
          <w:p>
            <w:pPr>
              <w:pStyle w:val="TableNAm"/>
              <w:jc w:val="center"/>
              <w:rPr>
                <w:b/>
                <w:bCs/>
              </w:rPr>
            </w:pPr>
            <w:r>
              <w:rPr>
                <w:b/>
                <w:bCs/>
              </w:rPr>
              <w:t>Item</w:t>
            </w:r>
          </w:p>
        </w:tc>
        <w:tc>
          <w:tcPr>
            <w:tcW w:w="1701" w:type="dxa"/>
          </w:tcPr>
          <w:p>
            <w:pPr>
              <w:pStyle w:val="TableNAm"/>
              <w:jc w:val="center"/>
              <w:rPr>
                <w:b/>
                <w:bCs/>
              </w:rPr>
            </w:pPr>
            <w:r>
              <w:rPr>
                <w:b/>
                <w:bCs/>
              </w:rPr>
              <w:t xml:space="preserve">Banned drinker area </w:t>
            </w:r>
          </w:p>
        </w:tc>
        <w:tc>
          <w:tcPr>
            <w:tcW w:w="3402" w:type="dxa"/>
          </w:tcPr>
          <w:p>
            <w:pPr>
              <w:pStyle w:val="TableNAm"/>
              <w:jc w:val="center"/>
              <w:rPr>
                <w:b/>
                <w:bCs/>
              </w:rPr>
            </w:pPr>
            <w:r>
              <w:rPr>
                <w:b/>
                <w:bCs/>
              </w:rPr>
              <w:t xml:space="preserve">Area of the State </w:t>
            </w:r>
          </w:p>
        </w:tc>
      </w:tr>
      <w:tr>
        <w:tc>
          <w:tcPr>
            <w:tcW w:w="993" w:type="dxa"/>
          </w:tcPr>
          <w:p>
            <w:pPr>
              <w:pStyle w:val="TableNAm"/>
            </w:pPr>
            <w:r>
              <w:t>1.</w:t>
            </w:r>
          </w:p>
        </w:tc>
        <w:tc>
          <w:tcPr>
            <w:tcW w:w="1701" w:type="dxa"/>
          </w:tcPr>
          <w:p>
            <w:pPr>
              <w:pStyle w:val="TableNAm"/>
            </w:pPr>
            <w:r>
              <w:t xml:space="preserve">Carnarvon and surrounds </w:t>
            </w:r>
          </w:p>
        </w:tc>
        <w:tc>
          <w:tcPr>
            <w:tcW w:w="3402" w:type="dxa"/>
          </w:tcPr>
          <w:p>
            <w:pPr>
              <w:pStyle w:val="TableNAm"/>
            </w:pPr>
            <w:r>
              <w:t>The area delineated in blue and coloured blue on Deposited Plan 426604 version 1.</w:t>
            </w:r>
          </w:p>
        </w:tc>
      </w:tr>
      <w:tr>
        <w:tc>
          <w:tcPr>
            <w:tcW w:w="993" w:type="dxa"/>
          </w:tcPr>
          <w:p>
            <w:pPr>
              <w:pStyle w:val="TableNAm"/>
            </w:pPr>
            <w:r>
              <w:t>2.</w:t>
            </w:r>
          </w:p>
        </w:tc>
        <w:tc>
          <w:tcPr>
            <w:tcW w:w="1701" w:type="dxa"/>
          </w:tcPr>
          <w:p>
            <w:pPr>
              <w:pStyle w:val="TableNAm"/>
            </w:pPr>
            <w:r>
              <w:t xml:space="preserve">Kalgoorlie and surrounds </w:t>
            </w:r>
          </w:p>
        </w:tc>
        <w:tc>
          <w:tcPr>
            <w:tcW w:w="3402" w:type="dxa"/>
          </w:tcPr>
          <w:p>
            <w:pPr>
              <w:pStyle w:val="TableNAm"/>
              <w:rPr>
                <w:rStyle w:val="DraftersNotes"/>
              </w:rPr>
            </w:pPr>
            <w:r>
              <w:t>The area delineated in blue and coloured blue on Deposited Plan 426610 version 1.</w:t>
            </w:r>
          </w:p>
        </w:tc>
      </w:tr>
      <w:tr>
        <w:tc>
          <w:tcPr>
            <w:tcW w:w="993" w:type="dxa"/>
          </w:tcPr>
          <w:p>
            <w:pPr>
              <w:pStyle w:val="TableNAm"/>
            </w:pPr>
            <w:r>
              <w:t>3.</w:t>
            </w:r>
          </w:p>
        </w:tc>
        <w:tc>
          <w:tcPr>
            <w:tcW w:w="1701" w:type="dxa"/>
          </w:tcPr>
          <w:p>
            <w:pPr>
              <w:pStyle w:val="TableNAm"/>
            </w:pPr>
            <w:r>
              <w:t xml:space="preserve">Kimberley region </w:t>
            </w:r>
          </w:p>
        </w:tc>
        <w:tc>
          <w:tcPr>
            <w:tcW w:w="3402" w:type="dxa"/>
          </w:tcPr>
          <w:p>
            <w:pPr>
              <w:pStyle w:val="TableNAm"/>
              <w:rPr>
                <w:rStyle w:val="DraftersNotes"/>
              </w:rPr>
            </w:pPr>
            <w:r>
              <w:t xml:space="preserve">The area delineated in blue and coloured blue on Deposited Plan 426608 version 1. </w:t>
            </w:r>
          </w:p>
        </w:tc>
      </w:tr>
      <w:tr>
        <w:tc>
          <w:tcPr>
            <w:tcW w:w="993" w:type="dxa"/>
          </w:tcPr>
          <w:p>
            <w:pPr>
              <w:pStyle w:val="TableNAm"/>
            </w:pPr>
            <w:r>
              <w:t>4.</w:t>
            </w:r>
          </w:p>
        </w:tc>
        <w:tc>
          <w:tcPr>
            <w:tcW w:w="1701" w:type="dxa"/>
          </w:tcPr>
          <w:p>
            <w:pPr>
              <w:pStyle w:val="TableNAm"/>
            </w:pPr>
            <w:r>
              <w:t xml:space="preserve">Pilbara region </w:t>
            </w:r>
          </w:p>
        </w:tc>
        <w:tc>
          <w:tcPr>
            <w:tcW w:w="3402" w:type="dxa"/>
          </w:tcPr>
          <w:p>
            <w:pPr>
              <w:pStyle w:val="TableNAm"/>
              <w:rPr>
                <w:rStyle w:val="DraftersNotes"/>
              </w:rPr>
            </w:pPr>
            <w:r>
              <w:t xml:space="preserve">The area delineated in blue and coloured blue on Deposited Plan 426609 version 1. </w:t>
            </w:r>
          </w:p>
        </w:tc>
      </w:tr>
    </w:tbl>
    <w:p>
      <w:pPr>
        <w:pStyle w:val="Subsection"/>
      </w:pPr>
      <w:r>
        <w:tab/>
        <w:t>(2)</w:t>
      </w:r>
      <w:r>
        <w:tab/>
        <w:t>For the purposes of subregulation (1), the area is an area in relation to which a special facility licence has been granted in accordance with regulation 9A(1).</w:t>
      </w:r>
    </w:p>
    <w:p>
      <w:pPr>
        <w:pStyle w:val="Footnotesection"/>
      </w:pPr>
      <w:r>
        <w:tab/>
        <w:t>[Regulation 29 inserted: SL 2023/196 r. 12.]</w:t>
      </w:r>
    </w:p>
    <w:p>
      <w:pPr>
        <w:sectPr>
          <w:headerReference w:type="even" r:id="rId23"/>
          <w:headerReference w:type="default" r:id="rId24"/>
          <w:headerReference w:type="first" r:id="rId25"/>
          <w:pgSz w:w="11907" w:h="16840" w:code="9"/>
          <w:pgMar w:top="2381" w:right="2409" w:bottom="3543" w:left="2409" w:header="720" w:footer="3544" w:gutter="0"/>
          <w:pgNumType w:start="1"/>
          <w:cols w:space="720"/>
          <w:noEndnote/>
          <w:titlePg/>
          <w:docGrid w:linePitch="326"/>
        </w:sectPr>
      </w:pPr>
    </w:p>
    <w:p>
      <w:pPr>
        <w:pStyle w:val="yScheduleHeading"/>
      </w:pPr>
      <w:bookmarkStart w:id="107" w:name="_Toc206071306"/>
      <w:bookmarkStart w:id="108" w:name="_Toc206073032"/>
      <w:bookmarkStart w:id="109" w:name="_Toc206081375"/>
      <w:r>
        <w:rPr>
          <w:rStyle w:val="CharSchNo"/>
        </w:rPr>
        <w:lastRenderedPageBreak/>
        <w:t>Schedule 1</w:t>
      </w:r>
      <w:bookmarkEnd w:id="107"/>
      <w:bookmarkEnd w:id="108"/>
      <w:bookmarkEnd w:id="109"/>
    </w:p>
    <w:p>
      <w:pPr>
        <w:pStyle w:val="yShoulderClause"/>
        <w:spacing w:before="60"/>
        <w:rPr>
          <w:snapToGrid w:val="0"/>
        </w:rPr>
      </w:pPr>
      <w:r>
        <w:rPr>
          <w:snapToGrid w:val="0"/>
        </w:rPr>
        <w:t>[Regulation 3]</w:t>
      </w:r>
    </w:p>
    <w:p>
      <w:pPr>
        <w:pStyle w:val="yHeading2"/>
        <w:outlineLvl w:val="9"/>
      </w:pPr>
      <w:bookmarkStart w:id="110" w:name="_Toc206071307"/>
      <w:bookmarkStart w:id="111" w:name="_Toc206073033"/>
      <w:bookmarkStart w:id="112" w:name="_Toc206081376"/>
      <w:r>
        <w:rPr>
          <w:rStyle w:val="CharSchText"/>
        </w:rPr>
        <w:t>Forms</w:t>
      </w:r>
      <w:bookmarkEnd w:id="110"/>
      <w:bookmarkEnd w:id="111"/>
      <w:bookmarkEnd w:id="112"/>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lastRenderedPageBreak/>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lastRenderedPageBreak/>
        <w:t>Form 19A</w:t>
      </w:r>
    </w:p>
    <w:p>
      <w:pPr>
        <w:pStyle w:val="yMiscellaneousHeading"/>
        <w:rPr>
          <w:iCs/>
          <w:snapToGrid w:val="0"/>
          <w:sz w:val="20"/>
        </w:rPr>
      </w:pPr>
      <w:r>
        <w:rPr>
          <w:i/>
          <w:iCs/>
          <w:snapToGrid w:val="0"/>
          <w:sz w:val="20"/>
        </w:rPr>
        <w:t>Liquor Control Act 1988 </w:t>
      </w:r>
      <w:r>
        <w:rPr>
          <w:snapToGrid w:val="0"/>
          <w:sz w:val="20"/>
          <w:vertAlign w:val="superscript"/>
        </w:rPr>
        <w:t>1</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lastRenderedPageBreak/>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lastRenderedPageBreak/>
        <w:t>Form 20</w:t>
      </w:r>
    </w:p>
    <w:p>
      <w:pPr>
        <w:pStyle w:val="yMiscellaneousHeading"/>
        <w:keepLines/>
        <w:rPr>
          <w:iCs/>
          <w:snapToGrid w:val="0"/>
          <w:sz w:val="20"/>
        </w:rPr>
      </w:pPr>
      <w:r>
        <w:rPr>
          <w:i/>
          <w:iCs/>
          <w:snapToGrid w:val="0"/>
          <w:sz w:val="20"/>
        </w:rPr>
        <w:t>Liquor Control Act 1988</w:t>
      </w:r>
      <w:r>
        <w:rPr>
          <w:snapToGrid w:val="0"/>
          <w:sz w:val="20"/>
          <w:vertAlign w:val="superscript"/>
        </w:rPr>
        <w:t> 1</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spacing w:before="120"/>
      </w:pPr>
      <w:r>
        <w:t>[Forms 21 and 22 deleted: Gazette 2 Oct 2018 p. 3801.]</w:t>
      </w:r>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yScheduleHeading"/>
      </w:pPr>
      <w:bookmarkStart w:id="113" w:name="_Toc206071308"/>
      <w:bookmarkStart w:id="114" w:name="_Toc206073034"/>
      <w:bookmarkStart w:id="115" w:name="_Toc206081377"/>
      <w:r>
        <w:rPr>
          <w:rStyle w:val="CharSchNo"/>
        </w:rPr>
        <w:lastRenderedPageBreak/>
        <w:t>Schedule 2</w:t>
      </w:r>
      <w:bookmarkEnd w:id="113"/>
      <w:bookmarkEnd w:id="114"/>
      <w:bookmarkEnd w:id="115"/>
    </w:p>
    <w:p>
      <w:pPr>
        <w:pStyle w:val="yShoulderClause"/>
        <w:spacing w:before="60"/>
        <w:rPr>
          <w:snapToGrid w:val="0"/>
        </w:rPr>
      </w:pPr>
      <w:r>
        <w:rPr>
          <w:snapToGrid w:val="0"/>
        </w:rPr>
        <w:t>[Regulation 13]</w:t>
      </w:r>
    </w:p>
    <w:p>
      <w:pPr>
        <w:pStyle w:val="yHeading2"/>
        <w:spacing w:before="120" w:after="80"/>
      </w:pPr>
      <w:bookmarkStart w:id="116" w:name="_Toc206071309"/>
      <w:bookmarkStart w:id="117" w:name="_Toc206073035"/>
      <w:bookmarkStart w:id="118" w:name="_Toc206081378"/>
      <w:r>
        <w:rPr>
          <w:rStyle w:val="CharSchText"/>
        </w:rPr>
        <w:t>Details of applicant</w:t>
      </w:r>
      <w:bookmarkEnd w:id="116"/>
      <w:bookmarkEnd w:id="117"/>
      <w:bookmarkEnd w:id="118"/>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119" w:name="_Toc206071310"/>
      <w:bookmarkStart w:id="120" w:name="_Toc206073036"/>
      <w:bookmarkStart w:id="121" w:name="_Toc206081379"/>
      <w:r>
        <w:rPr>
          <w:rStyle w:val="CharSchNo"/>
        </w:rPr>
        <w:lastRenderedPageBreak/>
        <w:t>Schedule 3</w:t>
      </w:r>
      <w:r>
        <w:t xml:space="preserve"> — </w:t>
      </w:r>
      <w:r>
        <w:rPr>
          <w:rStyle w:val="CharSchText"/>
        </w:rPr>
        <w:t>Fees</w:t>
      </w:r>
      <w:bookmarkEnd w:id="119"/>
      <w:bookmarkEnd w:id="120"/>
      <w:bookmarkEnd w:id="121"/>
    </w:p>
    <w:p>
      <w:pPr>
        <w:pStyle w:val="yShoulderClause"/>
      </w:pPr>
      <w:r>
        <w:t>[r. 11, 14ADF, 18B, 26 and 27A]</w:t>
      </w:r>
    </w:p>
    <w:p>
      <w:pPr>
        <w:pStyle w:val="yFootnoteheading"/>
      </w:pPr>
      <w:r>
        <w:tab/>
        <w:t>[Heading inserted: SL 2024/213 r. 14.]</w:t>
      </w:r>
    </w:p>
    <w:tbl>
      <w:tblPr>
        <w:tblW w:w="679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46"/>
        <w:gridCol w:w="4819"/>
        <w:gridCol w:w="1134"/>
      </w:tblGrid>
      <w:tr>
        <w:trPr>
          <w:tblHeader/>
        </w:trPr>
        <w:tc>
          <w:tcPr>
            <w:tcW w:w="846" w:type="dxa"/>
            <w:tcBorders>
              <w:top w:val="single" w:sz="4" w:space="0" w:color="auto"/>
              <w:left w:val="single" w:sz="4" w:space="0" w:color="auto"/>
              <w:bottom w:val="single" w:sz="4" w:space="0" w:color="auto"/>
              <w:right w:val="single" w:sz="4" w:space="0" w:color="auto"/>
            </w:tcBorders>
          </w:tcPr>
          <w:p>
            <w:pPr>
              <w:pStyle w:val="yTableNAm"/>
              <w:jc w:val="center"/>
              <w:rPr>
                <w:b/>
                <w:bCs/>
              </w:rPr>
            </w:pPr>
            <w:r>
              <w:rPr>
                <w:b/>
                <w:bCs/>
              </w:rPr>
              <w:t>Item</w:t>
            </w:r>
          </w:p>
        </w:tc>
        <w:tc>
          <w:tcPr>
            <w:tcW w:w="4819" w:type="dxa"/>
            <w:tcBorders>
              <w:left w:val="single" w:sz="4" w:space="0" w:color="auto"/>
            </w:tcBorders>
          </w:tcPr>
          <w:p>
            <w:pPr>
              <w:pStyle w:val="yTableNAm"/>
              <w:jc w:val="center"/>
              <w:rPr>
                <w:b/>
                <w:bCs/>
              </w:rPr>
            </w:pPr>
            <w:r>
              <w:rPr>
                <w:b/>
                <w:bCs/>
              </w:rPr>
              <w:t>Description</w:t>
            </w:r>
          </w:p>
        </w:tc>
        <w:tc>
          <w:tcPr>
            <w:tcW w:w="1134" w:type="dxa"/>
          </w:tcPr>
          <w:p>
            <w:pPr>
              <w:pStyle w:val="yTableNAm"/>
              <w:jc w:val="center"/>
              <w:rPr>
                <w:b/>
                <w:bCs/>
              </w:rPr>
            </w:pPr>
            <w:r>
              <w:rPr>
                <w:b/>
                <w:bCs/>
              </w:rPr>
              <w:t>Fee</w:t>
            </w:r>
            <w:r>
              <w:rPr>
                <w:b/>
                <w:bCs/>
              </w:rPr>
              <w:br/>
              <w:t>$</w:t>
            </w:r>
          </w:p>
        </w:tc>
      </w:tr>
      <w:tr>
        <w:tc>
          <w:tcPr>
            <w:tcW w:w="846" w:type="dxa"/>
            <w:tcBorders>
              <w:top w:val="single" w:sz="4" w:space="0" w:color="auto"/>
            </w:tcBorders>
          </w:tcPr>
          <w:p>
            <w:pPr>
              <w:pStyle w:val="yTableNAm"/>
            </w:pPr>
            <w:r>
              <w:t>1.</w:t>
            </w:r>
          </w:p>
        </w:tc>
        <w:tc>
          <w:tcPr>
            <w:tcW w:w="4819" w:type="dxa"/>
          </w:tcPr>
          <w:p>
            <w:pPr>
              <w:pStyle w:val="yTableNAm"/>
            </w:pPr>
            <w:r>
              <w:t>Application for the grant or removal of a hotel licence, nightclub licence, casino liquor licence, special facility licence or liquor store licence</w:t>
            </w:r>
          </w:p>
        </w:tc>
        <w:tc>
          <w:tcPr>
            <w:tcW w:w="1134" w:type="dxa"/>
            <w:vAlign w:val="bottom"/>
          </w:tcPr>
          <w:p>
            <w:pPr>
              <w:pStyle w:val="yTableNAm"/>
              <w:jc w:val="right"/>
            </w:pPr>
            <w:r>
              <w:t>4 029.00</w:t>
            </w:r>
          </w:p>
        </w:tc>
      </w:tr>
      <w:tr>
        <w:tc>
          <w:tcPr>
            <w:tcW w:w="846" w:type="dxa"/>
          </w:tcPr>
          <w:p>
            <w:pPr>
              <w:pStyle w:val="yTableNAm"/>
            </w:pPr>
            <w:r>
              <w:t>2.</w:t>
            </w:r>
          </w:p>
        </w:tc>
        <w:tc>
          <w:tcPr>
            <w:tcW w:w="4819" w:type="dxa"/>
          </w:tcPr>
          <w:p>
            <w:pPr>
              <w:pStyle w:val="yTableNAm"/>
            </w:pPr>
            <w:r>
              <w:t>Application for the grant or removal of a small bar licence, club licence, restaurant licence, producer’s licence or wholesaler’s licence</w:t>
            </w:r>
          </w:p>
        </w:tc>
        <w:tc>
          <w:tcPr>
            <w:tcW w:w="1134" w:type="dxa"/>
            <w:vAlign w:val="bottom"/>
          </w:tcPr>
          <w:p>
            <w:pPr>
              <w:pStyle w:val="yTableNAm"/>
              <w:jc w:val="right"/>
            </w:pPr>
            <w:r>
              <w:t>1 033.00</w:t>
            </w:r>
          </w:p>
        </w:tc>
      </w:tr>
      <w:tr>
        <w:trPr>
          <w:cantSplit/>
        </w:trPr>
        <w:tc>
          <w:tcPr>
            <w:tcW w:w="846" w:type="dxa"/>
          </w:tcPr>
          <w:p>
            <w:pPr>
              <w:pStyle w:val="yTableNAm"/>
            </w:pPr>
            <w:r>
              <w:t>3.</w:t>
            </w:r>
          </w:p>
        </w:tc>
        <w:tc>
          <w:tcPr>
            <w:tcW w:w="4819" w:type="dxa"/>
          </w:tcPr>
          <w:p>
            <w:pPr>
              <w:pStyle w:val="yTableNAm"/>
            </w:pPr>
            <w:r>
              <w:t>Application for the transfer of a licence</w:t>
            </w:r>
          </w:p>
        </w:tc>
        <w:tc>
          <w:tcPr>
            <w:tcW w:w="1134" w:type="dxa"/>
            <w:vAlign w:val="bottom"/>
          </w:tcPr>
          <w:p>
            <w:pPr>
              <w:pStyle w:val="yTableNAm"/>
              <w:jc w:val="right"/>
            </w:pPr>
            <w:r>
              <w:t>989.00</w:t>
            </w:r>
          </w:p>
        </w:tc>
      </w:tr>
      <w:tr>
        <w:trPr>
          <w:cantSplit/>
        </w:trPr>
        <w:tc>
          <w:tcPr>
            <w:tcW w:w="846" w:type="dxa"/>
          </w:tcPr>
          <w:p>
            <w:pPr>
              <w:pStyle w:val="yTableNAm"/>
            </w:pPr>
            <w:r>
              <w:t>4.</w:t>
            </w:r>
          </w:p>
        </w:tc>
        <w:tc>
          <w:tcPr>
            <w:tcW w:w="4819" w:type="dxa"/>
          </w:tcPr>
          <w:p>
            <w:pPr>
              <w:pStyle w:val="yTableNAm"/>
            </w:pPr>
            <w:r>
              <w:t>Licence fee for any licence other than a club restricted licence</w:t>
            </w:r>
          </w:p>
        </w:tc>
        <w:tc>
          <w:tcPr>
            <w:tcW w:w="1134" w:type="dxa"/>
            <w:vAlign w:val="bottom"/>
          </w:tcPr>
          <w:p>
            <w:pPr>
              <w:pStyle w:val="yTableNAm"/>
              <w:jc w:val="right"/>
            </w:pPr>
            <w:r>
              <w:t>680.50</w:t>
            </w:r>
          </w:p>
        </w:tc>
      </w:tr>
      <w:tr>
        <w:trPr>
          <w:cantSplit/>
        </w:trPr>
        <w:tc>
          <w:tcPr>
            <w:tcW w:w="846" w:type="dxa"/>
          </w:tcPr>
          <w:p>
            <w:pPr>
              <w:pStyle w:val="yTableNAm"/>
            </w:pPr>
            <w:r>
              <w:t>5.</w:t>
            </w:r>
          </w:p>
        </w:tc>
        <w:tc>
          <w:tcPr>
            <w:tcW w:w="4819" w:type="dxa"/>
          </w:tcPr>
          <w:p>
            <w:pPr>
              <w:pStyle w:val="yTableNAm"/>
            </w:pPr>
            <w:r>
              <w:t>Licence fee for a club restricted licence</w:t>
            </w:r>
          </w:p>
        </w:tc>
        <w:tc>
          <w:tcPr>
            <w:tcW w:w="1134" w:type="dxa"/>
            <w:vAlign w:val="bottom"/>
          </w:tcPr>
          <w:p>
            <w:pPr>
              <w:pStyle w:val="yTableNAm"/>
              <w:jc w:val="right"/>
            </w:pPr>
            <w:r>
              <w:t>334.00</w:t>
            </w:r>
          </w:p>
        </w:tc>
      </w:tr>
      <w:tr>
        <w:trPr>
          <w:cantSplit/>
        </w:trPr>
        <w:tc>
          <w:tcPr>
            <w:tcW w:w="846" w:type="dxa"/>
            <w:tcBorders>
              <w:bottom w:val="nil"/>
            </w:tcBorders>
          </w:tcPr>
          <w:p>
            <w:pPr>
              <w:pStyle w:val="yTableNAm"/>
            </w:pPr>
            <w:r>
              <w:t>6.</w:t>
            </w:r>
          </w:p>
        </w:tc>
        <w:tc>
          <w:tcPr>
            <w:tcW w:w="4819" w:type="dxa"/>
            <w:tcBorders>
              <w:bottom w:val="nil"/>
            </w:tcBorders>
          </w:tcPr>
          <w:p>
            <w:pPr>
              <w:pStyle w:val="yTableNAm"/>
            </w:pPr>
            <w:r>
              <w:t xml:space="preserve">Application for an occasional licence if the anticipated number of patrons is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up to 250</w:t>
            </w:r>
          </w:p>
        </w:tc>
        <w:tc>
          <w:tcPr>
            <w:tcW w:w="1134" w:type="dxa"/>
            <w:tcBorders>
              <w:top w:val="nil"/>
              <w:bottom w:val="nil"/>
            </w:tcBorders>
            <w:vAlign w:val="bottom"/>
          </w:tcPr>
          <w:p>
            <w:pPr>
              <w:pStyle w:val="yTableNAm"/>
              <w:jc w:val="right"/>
            </w:pPr>
            <w:r>
              <w:rPr>
                <w:szCs w:val="22"/>
              </w:rPr>
              <w:t>60.50</w:t>
            </w:r>
          </w:p>
        </w:tc>
      </w:tr>
      <w:tr>
        <w:trPr>
          <w:cantSplit/>
        </w:trPr>
        <w:tc>
          <w:tcPr>
            <w:tcW w:w="846" w:type="dxa"/>
            <w:tcBorders>
              <w:top w:val="nil"/>
              <w:bottom w:val="nil"/>
            </w:tcBorders>
          </w:tcPr>
          <w:p/>
        </w:tc>
        <w:tc>
          <w:tcPr>
            <w:tcW w:w="4819" w:type="dxa"/>
            <w:tcBorders>
              <w:top w:val="nil"/>
              <w:bottom w:val="nil"/>
            </w:tcBorders>
          </w:tcPr>
          <w:p>
            <w:pPr>
              <w:pStyle w:val="yTableNAm"/>
            </w:pPr>
            <w:r>
              <w:t>(b)</w:t>
            </w:r>
            <w:r>
              <w:tab/>
              <w:t>between 251 and 500</w:t>
            </w:r>
          </w:p>
        </w:tc>
        <w:tc>
          <w:tcPr>
            <w:tcW w:w="1134" w:type="dxa"/>
            <w:tcBorders>
              <w:top w:val="nil"/>
              <w:bottom w:val="nil"/>
            </w:tcBorders>
            <w:vAlign w:val="bottom"/>
          </w:tcPr>
          <w:p>
            <w:pPr>
              <w:pStyle w:val="yTableNAm"/>
              <w:jc w:val="right"/>
            </w:pPr>
            <w:r>
              <w:rPr>
                <w:szCs w:val="22"/>
              </w:rPr>
              <w:t>126.50</w:t>
            </w:r>
          </w:p>
        </w:tc>
      </w:tr>
      <w:tr>
        <w:trPr>
          <w:cantSplit/>
        </w:trPr>
        <w:tc>
          <w:tcPr>
            <w:tcW w:w="846" w:type="dxa"/>
            <w:tcBorders>
              <w:top w:val="nil"/>
              <w:bottom w:val="nil"/>
            </w:tcBorders>
          </w:tcPr>
          <w:p/>
        </w:tc>
        <w:tc>
          <w:tcPr>
            <w:tcW w:w="4819" w:type="dxa"/>
            <w:tcBorders>
              <w:top w:val="nil"/>
              <w:bottom w:val="nil"/>
            </w:tcBorders>
          </w:tcPr>
          <w:p>
            <w:pPr>
              <w:pStyle w:val="yTableNAm"/>
            </w:pPr>
            <w:r>
              <w:t>(c)</w:t>
            </w:r>
            <w:r>
              <w:tab/>
              <w:t>between 501 and 1 000</w:t>
            </w:r>
          </w:p>
        </w:tc>
        <w:tc>
          <w:tcPr>
            <w:tcW w:w="1134" w:type="dxa"/>
            <w:tcBorders>
              <w:top w:val="nil"/>
              <w:bottom w:val="nil"/>
            </w:tcBorders>
            <w:vAlign w:val="bottom"/>
          </w:tcPr>
          <w:p>
            <w:pPr>
              <w:pStyle w:val="yTableNAm"/>
              <w:jc w:val="right"/>
            </w:pPr>
            <w:r>
              <w:rPr>
                <w:szCs w:val="22"/>
              </w:rPr>
              <w:t>260.50</w:t>
            </w:r>
          </w:p>
        </w:tc>
      </w:tr>
      <w:tr>
        <w:trPr>
          <w:cantSplit/>
        </w:trPr>
        <w:tc>
          <w:tcPr>
            <w:tcW w:w="846" w:type="dxa"/>
            <w:tcBorders>
              <w:top w:val="nil"/>
              <w:bottom w:val="nil"/>
            </w:tcBorders>
          </w:tcPr>
          <w:p/>
        </w:tc>
        <w:tc>
          <w:tcPr>
            <w:tcW w:w="4819" w:type="dxa"/>
            <w:tcBorders>
              <w:top w:val="nil"/>
              <w:bottom w:val="nil"/>
            </w:tcBorders>
          </w:tcPr>
          <w:p>
            <w:pPr>
              <w:pStyle w:val="yTableNAm"/>
            </w:pPr>
            <w:r>
              <w:t>(d)</w:t>
            </w:r>
            <w:r>
              <w:tab/>
              <w:t>between 1 001 and 5 000</w:t>
            </w:r>
          </w:p>
        </w:tc>
        <w:tc>
          <w:tcPr>
            <w:tcW w:w="1134" w:type="dxa"/>
            <w:tcBorders>
              <w:top w:val="nil"/>
              <w:bottom w:val="nil"/>
            </w:tcBorders>
            <w:vAlign w:val="bottom"/>
          </w:tcPr>
          <w:p>
            <w:pPr>
              <w:pStyle w:val="yTableNAm"/>
              <w:jc w:val="right"/>
            </w:pPr>
            <w:r>
              <w:rPr>
                <w:szCs w:val="22"/>
              </w:rPr>
              <w:t>1 324.00</w:t>
            </w:r>
          </w:p>
        </w:tc>
      </w:tr>
      <w:tr>
        <w:trPr>
          <w:cantSplit/>
        </w:trPr>
        <w:tc>
          <w:tcPr>
            <w:tcW w:w="846" w:type="dxa"/>
            <w:tcBorders>
              <w:top w:val="nil"/>
              <w:bottom w:val="nil"/>
            </w:tcBorders>
          </w:tcPr>
          <w:p/>
        </w:tc>
        <w:tc>
          <w:tcPr>
            <w:tcW w:w="4819" w:type="dxa"/>
            <w:tcBorders>
              <w:top w:val="nil"/>
              <w:bottom w:val="nil"/>
            </w:tcBorders>
          </w:tcPr>
          <w:p>
            <w:pPr>
              <w:pStyle w:val="yTableNAm"/>
            </w:pPr>
            <w:r>
              <w:t>(e)</w:t>
            </w:r>
            <w:r>
              <w:tab/>
              <w:t>between 5 001 and 10 000</w:t>
            </w:r>
          </w:p>
        </w:tc>
        <w:tc>
          <w:tcPr>
            <w:tcW w:w="1134" w:type="dxa"/>
            <w:tcBorders>
              <w:top w:val="nil"/>
              <w:bottom w:val="nil"/>
            </w:tcBorders>
            <w:vAlign w:val="bottom"/>
          </w:tcPr>
          <w:p>
            <w:pPr>
              <w:pStyle w:val="yTableNAm"/>
              <w:jc w:val="right"/>
            </w:pPr>
            <w:r>
              <w:rPr>
                <w:szCs w:val="22"/>
              </w:rPr>
              <w:t>2 653.00</w:t>
            </w:r>
          </w:p>
        </w:tc>
      </w:tr>
      <w:tr>
        <w:trPr>
          <w:cantSplit/>
        </w:trPr>
        <w:tc>
          <w:tcPr>
            <w:tcW w:w="846" w:type="dxa"/>
            <w:tcBorders>
              <w:top w:val="nil"/>
            </w:tcBorders>
          </w:tcPr>
          <w:p/>
        </w:tc>
        <w:tc>
          <w:tcPr>
            <w:tcW w:w="4819" w:type="dxa"/>
            <w:tcBorders>
              <w:top w:val="nil"/>
            </w:tcBorders>
          </w:tcPr>
          <w:p>
            <w:pPr>
              <w:pStyle w:val="yTableNAm"/>
            </w:pPr>
            <w:r>
              <w:t>(f)</w:t>
            </w:r>
            <w:r>
              <w:tab/>
              <w:t>over 10 000</w:t>
            </w:r>
          </w:p>
        </w:tc>
        <w:tc>
          <w:tcPr>
            <w:tcW w:w="1134" w:type="dxa"/>
            <w:tcBorders>
              <w:top w:val="nil"/>
            </w:tcBorders>
            <w:vAlign w:val="bottom"/>
          </w:tcPr>
          <w:p>
            <w:pPr>
              <w:pStyle w:val="yTableNAm"/>
              <w:jc w:val="right"/>
            </w:pPr>
            <w:r>
              <w:rPr>
                <w:szCs w:val="22"/>
              </w:rPr>
              <w:t>5 319.00</w:t>
            </w:r>
          </w:p>
        </w:tc>
      </w:tr>
      <w:tr>
        <w:trPr>
          <w:cantSplit/>
        </w:trPr>
        <w:tc>
          <w:tcPr>
            <w:tcW w:w="846" w:type="dxa"/>
            <w:tcBorders>
              <w:bottom w:val="nil"/>
            </w:tcBorders>
          </w:tcPr>
          <w:p>
            <w:pPr>
              <w:pStyle w:val="yTableNAm"/>
              <w:keepNext/>
            </w:pPr>
            <w:r>
              <w:lastRenderedPageBreak/>
              <w:t>7.</w:t>
            </w:r>
          </w:p>
        </w:tc>
        <w:tc>
          <w:tcPr>
            <w:tcW w:w="4819" w:type="dxa"/>
            <w:tcBorders>
              <w:bottom w:val="nil"/>
            </w:tcBorders>
          </w:tcPr>
          <w:p>
            <w:pPr>
              <w:pStyle w:val="yTableNAm"/>
              <w:keepNext/>
            </w:pPr>
            <w:r>
              <w:t xml:space="preserve">Application for extended trading permit for a period of over 21 days — </w:t>
            </w:r>
          </w:p>
        </w:tc>
        <w:tc>
          <w:tcPr>
            <w:tcW w:w="1134" w:type="dxa"/>
            <w:tcBorders>
              <w:bottom w:val="nil"/>
            </w:tcBorders>
            <w:vAlign w:val="bottom"/>
          </w:tcPr>
          <w:p>
            <w:pPr>
              <w:pStyle w:val="yTableNAm"/>
              <w:keepNext/>
              <w:jc w:val="right"/>
            </w:pPr>
          </w:p>
        </w:tc>
      </w:tr>
      <w:tr>
        <w:trPr>
          <w:cantSplit/>
        </w:trPr>
        <w:tc>
          <w:tcPr>
            <w:tcW w:w="846" w:type="dxa"/>
            <w:tcBorders>
              <w:top w:val="nil"/>
              <w:bottom w:val="single" w:sz="4" w:space="0" w:color="auto"/>
            </w:tcBorders>
          </w:tcPr>
          <w:p/>
        </w:tc>
        <w:tc>
          <w:tcPr>
            <w:tcW w:w="4819" w:type="dxa"/>
            <w:tcBorders>
              <w:top w:val="nil"/>
              <w:bottom w:val="single" w:sz="4" w:space="0" w:color="auto"/>
            </w:tcBorders>
          </w:tcPr>
          <w:p>
            <w:pPr>
              <w:pStyle w:val="yTableNAm"/>
              <w:ind w:left="567" w:hanging="567"/>
            </w:pPr>
            <w:r>
              <w:t>(a)</w:t>
            </w:r>
            <w:r>
              <w:tab/>
              <w:t>issued for the purpose referred to in section 60(4)(e)</w:t>
            </w:r>
          </w:p>
        </w:tc>
        <w:tc>
          <w:tcPr>
            <w:tcW w:w="1134" w:type="dxa"/>
            <w:tcBorders>
              <w:top w:val="nil"/>
              <w:bottom w:val="single" w:sz="4" w:space="0" w:color="auto"/>
            </w:tcBorders>
            <w:vAlign w:val="bottom"/>
          </w:tcPr>
          <w:p>
            <w:pPr>
              <w:pStyle w:val="yTableNAm"/>
              <w:jc w:val="right"/>
            </w:pPr>
            <w:r>
              <w:rPr>
                <w:szCs w:val="22"/>
              </w:rPr>
              <w:t>404.50</w:t>
            </w:r>
          </w:p>
        </w:tc>
      </w:tr>
      <w:tr>
        <w:trPr>
          <w:cantSplit/>
        </w:trPr>
        <w:tc>
          <w:tcPr>
            <w:tcW w:w="846" w:type="dxa"/>
            <w:tcBorders>
              <w:top w:val="single" w:sz="4" w:space="0" w:color="auto"/>
              <w:bottom w:val="nil"/>
            </w:tcBorders>
          </w:tcPr>
          <w:p/>
        </w:tc>
        <w:tc>
          <w:tcPr>
            <w:tcW w:w="4819" w:type="dxa"/>
            <w:tcBorders>
              <w:top w:val="single" w:sz="4" w:space="0" w:color="auto"/>
              <w:bottom w:val="nil"/>
            </w:tcBorders>
          </w:tcPr>
          <w:p>
            <w:pPr>
              <w:pStyle w:val="yTableNAm"/>
              <w:ind w:left="567" w:hanging="567"/>
            </w:pPr>
            <w:r>
              <w:t>(b)</w:t>
            </w:r>
            <w:r>
              <w:tab/>
              <w:t>issued for the purpose referred to in section 60(4)(h)</w:t>
            </w:r>
          </w:p>
        </w:tc>
        <w:tc>
          <w:tcPr>
            <w:tcW w:w="1134" w:type="dxa"/>
            <w:tcBorders>
              <w:top w:val="single" w:sz="4" w:space="0" w:color="auto"/>
              <w:bottom w:val="nil"/>
            </w:tcBorders>
            <w:vAlign w:val="bottom"/>
          </w:tcPr>
          <w:p>
            <w:pPr>
              <w:pStyle w:val="yTableNAm"/>
              <w:jc w:val="right"/>
            </w:pPr>
            <w:r>
              <w:t>404.50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(c)</w:t>
            </w:r>
            <w:r>
              <w:tab/>
              <w:t xml:space="preserve">issued for the purpose referred to in section 60(4)(ia) — </w:t>
            </w:r>
          </w:p>
        </w:tc>
        <w:tc>
          <w:tcPr>
            <w:tcW w:w="1134" w:type="dxa"/>
            <w:tcBorders>
              <w:top w:val="nil"/>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w:t>
            </w:r>
            <w:r>
              <w:rPr>
                <w:szCs w:val="22"/>
              </w:rPr>
              <w:tab/>
              <w:t>if no previous application for that purpose has been made by any licensee in respect of the relevant premises</w:t>
            </w:r>
          </w:p>
        </w:tc>
        <w:tc>
          <w:tcPr>
            <w:tcW w:w="1134" w:type="dxa"/>
            <w:tcBorders>
              <w:top w:val="nil"/>
              <w:bottom w:val="nil"/>
            </w:tcBorders>
            <w:vAlign w:val="bottom"/>
          </w:tcPr>
          <w:p>
            <w:pPr>
              <w:pStyle w:val="yTableNAm"/>
              <w:jc w:val="right"/>
            </w:pPr>
            <w:r>
              <w:t>404.50</w:t>
            </w: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(ii)</w:t>
            </w:r>
            <w:r>
              <w:rPr>
                <w:szCs w:val="22"/>
              </w:rPr>
              <w:tab/>
              <w:t>if subparagraph (i) does not apply</w:t>
            </w:r>
          </w:p>
        </w:tc>
        <w:tc>
          <w:tcPr>
            <w:tcW w:w="1134" w:type="dxa"/>
            <w:tcBorders>
              <w:top w:val="nil"/>
              <w:bottom w:val="nil"/>
            </w:tcBorders>
            <w:vAlign w:val="bottom"/>
          </w:tcPr>
          <w:p>
            <w:pPr>
              <w:pStyle w:val="yTableNAm"/>
              <w:jc w:val="right"/>
            </w:pPr>
            <w:r>
              <w:t>340.50</w:t>
            </w:r>
          </w:p>
        </w:tc>
      </w:tr>
      <w:tr>
        <w:trPr>
          <w:cantSplit/>
        </w:trPr>
        <w:tc>
          <w:tcPr>
            <w:tcW w:w="846" w:type="dxa"/>
            <w:tcBorders>
              <w:top w:val="nil"/>
            </w:tcBorders>
          </w:tcPr>
          <w:p/>
        </w:tc>
        <w:tc>
          <w:tcPr>
            <w:tcW w:w="4819" w:type="dxa"/>
            <w:tcBorders>
              <w:top w:val="nil"/>
            </w:tcBorders>
          </w:tcPr>
          <w:p>
            <w:pPr>
              <w:pStyle w:val="yTableNAm"/>
              <w:ind w:left="567" w:hanging="567"/>
              <w:rPr>
                <w:szCs w:val="22"/>
              </w:rPr>
            </w:pPr>
            <w:r>
              <w:rPr>
                <w:szCs w:val="22"/>
              </w:rPr>
              <w:t>(d)</w:t>
            </w:r>
            <w:r>
              <w:rPr>
                <w:szCs w:val="22"/>
              </w:rPr>
              <w:tab/>
              <w:t xml:space="preserve">issued for any </w:t>
            </w:r>
            <w:r>
              <w:t>other</w:t>
            </w:r>
            <w:r>
              <w:rPr>
                <w:szCs w:val="22"/>
              </w:rPr>
              <w:t xml:space="preserve"> purpose</w:t>
            </w:r>
          </w:p>
        </w:tc>
        <w:tc>
          <w:tcPr>
            <w:tcW w:w="1134" w:type="dxa"/>
            <w:tcBorders>
              <w:top w:val="nil"/>
            </w:tcBorders>
            <w:vAlign w:val="bottom"/>
          </w:tcPr>
          <w:p>
            <w:pPr>
              <w:pStyle w:val="yTableNAm"/>
              <w:jc w:val="right"/>
            </w:pPr>
            <w:r>
              <w:t>1 361.50</w:t>
            </w:r>
          </w:p>
        </w:tc>
      </w:tr>
      <w:tr>
        <w:trPr>
          <w:cantSplit/>
        </w:trPr>
        <w:tc>
          <w:tcPr>
            <w:tcW w:w="846" w:type="dxa"/>
            <w:tcBorders>
              <w:bottom w:val="nil"/>
            </w:tcBorders>
          </w:tcPr>
          <w:p>
            <w:pPr>
              <w:pStyle w:val="yTableNAm"/>
            </w:pPr>
            <w:r>
              <w:t>8.</w:t>
            </w:r>
          </w:p>
        </w:tc>
        <w:tc>
          <w:tcPr>
            <w:tcW w:w="4819" w:type="dxa"/>
            <w:tcBorders>
              <w:bottom w:val="nil"/>
            </w:tcBorders>
          </w:tcPr>
          <w:p>
            <w:pPr>
              <w:pStyle w:val="yTableNAm"/>
            </w:pPr>
            <w:r>
              <w:t xml:space="preserve">Application for extended trading permit (in respect of a licence other than a club restricted licence) for a period of 21 days or less if the maximum number of patrons on any day of the period to which the application relates is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(a)</w:t>
            </w:r>
            <w:r>
              <w:tab/>
              <w:t>up to 500</w:t>
            </w:r>
          </w:p>
        </w:tc>
        <w:tc>
          <w:tcPr>
            <w:tcW w:w="1134" w:type="dxa"/>
            <w:tcBorders>
              <w:top w:val="nil"/>
              <w:bottom w:val="nil"/>
            </w:tcBorders>
            <w:vAlign w:val="bottom"/>
          </w:tcPr>
          <w:p>
            <w:pPr>
              <w:pStyle w:val="yTableNAm"/>
              <w:jc w:val="right"/>
            </w:pPr>
            <w:r>
              <w:t>126.50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(b)</w:t>
            </w:r>
            <w:r>
              <w:tab/>
              <w:t>between 501 and 1 000</w:t>
            </w:r>
          </w:p>
        </w:tc>
        <w:tc>
          <w:tcPr>
            <w:tcW w:w="1134" w:type="dxa"/>
            <w:tcBorders>
              <w:top w:val="nil"/>
              <w:bottom w:val="nil"/>
            </w:tcBorders>
            <w:vAlign w:val="bottom"/>
          </w:tcPr>
          <w:p>
            <w:pPr>
              <w:pStyle w:val="yTableNAm"/>
              <w:jc w:val="right"/>
            </w:pPr>
            <w:r>
              <w:t>260.50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(c)</w:t>
            </w:r>
            <w:r>
              <w:tab/>
              <w:t>between 1 001 and 5 000</w:t>
            </w:r>
          </w:p>
        </w:tc>
        <w:tc>
          <w:tcPr>
            <w:tcW w:w="1134" w:type="dxa"/>
            <w:tcBorders>
              <w:top w:val="nil"/>
              <w:bottom w:val="nil"/>
            </w:tcBorders>
            <w:vAlign w:val="bottom"/>
          </w:tcPr>
          <w:p>
            <w:pPr>
              <w:pStyle w:val="yTableNAm"/>
              <w:jc w:val="right"/>
            </w:pPr>
            <w:r>
              <w:t>1 324.00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(d)</w:t>
            </w:r>
            <w:r>
              <w:tab/>
              <w:t>between 5 001 and 10 000</w:t>
            </w:r>
          </w:p>
        </w:tc>
        <w:tc>
          <w:tcPr>
            <w:tcW w:w="1134" w:type="dxa"/>
            <w:tcBorders>
              <w:top w:val="nil"/>
              <w:bottom w:val="nil"/>
            </w:tcBorders>
            <w:vAlign w:val="bottom"/>
          </w:tcPr>
          <w:p>
            <w:pPr>
              <w:pStyle w:val="yTableNAm"/>
              <w:jc w:val="right"/>
            </w:pPr>
            <w:r>
              <w:t>2 653.00</w:t>
            </w:r>
          </w:p>
        </w:tc>
      </w:tr>
      <w:tr>
        <w:trPr>
          <w:cantSplit/>
        </w:trPr>
        <w:tc>
          <w:tcPr>
            <w:tcW w:w="846" w:type="dxa"/>
            <w:tcBorders>
              <w:top w:val="nil"/>
            </w:tcBorders>
          </w:tcPr>
          <w:p/>
        </w:tc>
        <w:tc>
          <w:tcPr>
            <w:tcW w:w="4819" w:type="dxa"/>
            <w:tcBorders>
              <w:top w:val="nil"/>
            </w:tcBorders>
          </w:tcPr>
          <w:p>
            <w:pPr>
              <w:pStyle w:val="yTableNAm"/>
              <w:ind w:left="567" w:hanging="567"/>
            </w:pPr>
            <w:r>
              <w:t>(e)</w:t>
            </w:r>
            <w:r>
              <w:tab/>
              <w:t>over 10 000</w:t>
            </w:r>
          </w:p>
        </w:tc>
        <w:tc>
          <w:tcPr>
            <w:tcW w:w="1134" w:type="dxa"/>
            <w:tcBorders>
              <w:top w:val="nil"/>
            </w:tcBorders>
            <w:vAlign w:val="bottom"/>
          </w:tcPr>
          <w:p>
            <w:pPr>
              <w:pStyle w:val="yTableNAm"/>
              <w:jc w:val="right"/>
            </w:pPr>
            <w:r>
              <w:t>5 319.00</w:t>
            </w:r>
          </w:p>
        </w:tc>
      </w:tr>
      <w:tr>
        <w:trPr>
          <w:cantSplit/>
        </w:trPr>
        <w:tc>
          <w:tcPr>
            <w:tcW w:w="846" w:type="dxa"/>
          </w:tcPr>
          <w:p>
            <w:pPr>
              <w:pStyle w:val="yTableNAm"/>
            </w:pPr>
            <w:r>
              <w:lastRenderedPageBreak/>
              <w:t>9.</w:t>
            </w:r>
          </w:p>
        </w:tc>
        <w:tc>
          <w:tcPr>
            <w:tcW w:w="4819" w:type="dxa"/>
          </w:tcPr>
          <w:p>
            <w:pPr>
              <w:pStyle w:val="yTableNAm"/>
            </w:pPr>
            <w:r>
              <w:t>Application for extended trading permit (in respect of a club restricted licence) for a period of 21 days or less</w:t>
            </w:r>
          </w:p>
        </w:tc>
        <w:tc>
          <w:tcPr>
            <w:tcW w:w="1134" w:type="dxa"/>
            <w:vAlign w:val="bottom"/>
          </w:tcPr>
          <w:p>
            <w:pPr>
              <w:pStyle w:val="yTableNAm"/>
              <w:jc w:val="right"/>
            </w:pPr>
            <w:r>
              <w:t>49.50</w:t>
            </w:r>
          </w:p>
        </w:tc>
      </w:tr>
      <w:tr>
        <w:trPr>
          <w:cantSplit/>
        </w:trPr>
        <w:tc>
          <w:tcPr>
            <w:tcW w:w="846" w:type="dxa"/>
            <w:tcBorders>
              <w:bottom w:val="nil"/>
            </w:tcBorders>
          </w:tcPr>
          <w:p>
            <w:pPr>
              <w:pStyle w:val="yTableNAm"/>
            </w:pPr>
            <w:r>
              <w:t>10.</w:t>
            </w:r>
          </w:p>
        </w:tc>
        <w:tc>
          <w:tcPr>
            <w:tcW w:w="4819" w:type="dxa"/>
            <w:tcBorders>
              <w:bottom w:val="nil"/>
            </w:tcBorders>
          </w:tcPr>
          <w:p>
            <w:pPr>
              <w:pStyle w:val="yTableNAm"/>
            </w:pPr>
            <w:r>
              <w:t xml:space="preserve">Application for manager’s approval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lodged under r. 14DA(3)</w:t>
            </w:r>
          </w:p>
        </w:tc>
        <w:tc>
          <w:tcPr>
            <w:tcW w:w="1134" w:type="dxa"/>
            <w:tcBorders>
              <w:top w:val="nil"/>
              <w:bottom w:val="nil"/>
            </w:tcBorders>
            <w:vAlign w:val="bottom"/>
          </w:tcPr>
          <w:p>
            <w:pPr>
              <w:pStyle w:val="yTableNAm"/>
              <w:jc w:val="right"/>
            </w:pPr>
            <w:r>
              <w:t>207.00</w:t>
            </w:r>
          </w:p>
        </w:tc>
      </w:tr>
      <w:tr>
        <w:trPr>
          <w:cantSplit/>
        </w:trPr>
        <w:tc>
          <w:tcPr>
            <w:tcW w:w="846" w:type="dxa"/>
            <w:tcBorders>
              <w:top w:val="nil"/>
              <w:bottom w:val="nil"/>
            </w:tcBorders>
          </w:tcPr>
          <w:p/>
        </w:tc>
        <w:tc>
          <w:tcPr>
            <w:tcW w:w="4819" w:type="dxa"/>
            <w:tcBorders>
              <w:top w:val="nil"/>
              <w:bottom w:val="nil"/>
            </w:tcBorders>
          </w:tcPr>
          <w:p>
            <w:pPr>
              <w:pStyle w:val="yTableNAm"/>
            </w:pPr>
            <w:r>
              <w:t>(b)</w:t>
            </w:r>
            <w:r>
              <w:tab/>
              <w:t>lodged under r. 14ADA(4)(a)</w:t>
            </w:r>
          </w:p>
        </w:tc>
        <w:tc>
          <w:tcPr>
            <w:tcW w:w="1134" w:type="dxa"/>
            <w:tcBorders>
              <w:top w:val="nil"/>
              <w:bottom w:val="nil"/>
            </w:tcBorders>
            <w:vAlign w:val="bottom"/>
          </w:tcPr>
          <w:p>
            <w:pPr>
              <w:pStyle w:val="yTableNAm"/>
              <w:jc w:val="right"/>
            </w:pPr>
            <w:r>
              <w:t>68.00</w:t>
            </w:r>
          </w:p>
        </w:tc>
      </w:tr>
      <w:tr>
        <w:trPr>
          <w:cantSplit/>
        </w:trPr>
        <w:tc>
          <w:tcPr>
            <w:tcW w:w="846" w:type="dxa"/>
            <w:tcBorders>
              <w:top w:val="nil"/>
            </w:tcBorders>
          </w:tcPr>
          <w:p/>
        </w:tc>
        <w:tc>
          <w:tcPr>
            <w:tcW w:w="4819" w:type="dxa"/>
            <w:tcBorders>
              <w:top w:val="nil"/>
            </w:tcBorders>
          </w:tcPr>
          <w:p>
            <w:pPr>
              <w:pStyle w:val="yTableNAm"/>
            </w:pPr>
            <w:r>
              <w:t>(c)</w:t>
            </w:r>
            <w:r>
              <w:tab/>
              <w:t>lodged under r. 14ADA(4)(b)</w:t>
            </w:r>
          </w:p>
        </w:tc>
        <w:tc>
          <w:tcPr>
            <w:tcW w:w="1134" w:type="dxa"/>
            <w:tcBorders>
              <w:top w:val="nil"/>
            </w:tcBorders>
            <w:vAlign w:val="bottom"/>
          </w:tcPr>
          <w:p>
            <w:pPr>
              <w:pStyle w:val="yTableNAm"/>
              <w:jc w:val="right"/>
            </w:pPr>
            <w:r>
              <w:t>17.50</w:t>
            </w:r>
          </w:p>
        </w:tc>
      </w:tr>
      <w:tr>
        <w:trPr>
          <w:cantSplit/>
        </w:trPr>
        <w:tc>
          <w:tcPr>
            <w:tcW w:w="846" w:type="dxa"/>
            <w:tcBorders>
              <w:bottom w:val="nil"/>
            </w:tcBorders>
          </w:tcPr>
          <w:p>
            <w:pPr>
              <w:pStyle w:val="yTableNAm"/>
            </w:pPr>
            <w:r>
              <w:t>11.</w:t>
            </w:r>
          </w:p>
        </w:tc>
        <w:tc>
          <w:tcPr>
            <w:tcW w:w="4819" w:type="dxa"/>
            <w:tcBorders>
              <w:bottom w:val="nil"/>
            </w:tcBorders>
          </w:tcPr>
          <w:p>
            <w:pPr>
              <w:pStyle w:val="yTableNAm"/>
            </w:pPr>
            <w:r>
              <w:t xml:space="preserve">Application for renewal of manager’s approval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lodged under r. 14ADD(3)(a)</w:t>
            </w:r>
          </w:p>
        </w:tc>
        <w:tc>
          <w:tcPr>
            <w:tcW w:w="1134" w:type="dxa"/>
            <w:tcBorders>
              <w:top w:val="nil"/>
              <w:bottom w:val="nil"/>
            </w:tcBorders>
            <w:vAlign w:val="bottom"/>
          </w:tcPr>
          <w:p>
            <w:pPr>
              <w:pStyle w:val="yTableNAm"/>
              <w:jc w:val="right"/>
            </w:pPr>
            <w:r>
              <w:t>186.50</w:t>
            </w:r>
          </w:p>
        </w:tc>
      </w:tr>
      <w:tr>
        <w:trPr>
          <w:cantSplit/>
        </w:trPr>
        <w:tc>
          <w:tcPr>
            <w:tcW w:w="846" w:type="dxa"/>
            <w:tcBorders>
              <w:top w:val="nil"/>
            </w:tcBorders>
          </w:tcPr>
          <w:p/>
        </w:tc>
        <w:tc>
          <w:tcPr>
            <w:tcW w:w="4819" w:type="dxa"/>
            <w:tcBorders>
              <w:top w:val="nil"/>
            </w:tcBorders>
          </w:tcPr>
          <w:p>
            <w:pPr>
              <w:pStyle w:val="yTableNAm"/>
            </w:pPr>
            <w:r>
              <w:t>(b)</w:t>
            </w:r>
            <w:r>
              <w:tab/>
              <w:t>lodged under r. 14ADD(3)(b)</w:t>
            </w:r>
          </w:p>
        </w:tc>
        <w:tc>
          <w:tcPr>
            <w:tcW w:w="1134" w:type="dxa"/>
            <w:tcBorders>
              <w:top w:val="nil"/>
            </w:tcBorders>
            <w:vAlign w:val="bottom"/>
          </w:tcPr>
          <w:p>
            <w:pPr>
              <w:pStyle w:val="yTableNAm"/>
              <w:jc w:val="right"/>
            </w:pPr>
            <w:r>
              <w:t>145.50</w:t>
            </w:r>
          </w:p>
        </w:tc>
      </w:tr>
      <w:tr>
        <w:trPr>
          <w:cantSplit/>
        </w:trPr>
        <w:tc>
          <w:tcPr>
            <w:tcW w:w="846" w:type="dxa"/>
            <w:tcBorders>
              <w:bottom w:val="nil"/>
            </w:tcBorders>
          </w:tcPr>
          <w:p>
            <w:pPr>
              <w:pStyle w:val="yTableNAm"/>
            </w:pPr>
            <w:r>
              <w:t>12.</w:t>
            </w:r>
          </w:p>
        </w:tc>
        <w:tc>
          <w:tcPr>
            <w:tcW w:w="4819" w:type="dxa"/>
            <w:tcBorders>
              <w:bottom w:val="nil"/>
            </w:tcBorders>
          </w:tcPr>
          <w:p>
            <w:pPr>
              <w:pStyle w:val="yTableNAm"/>
            </w:pPr>
            <w:r>
              <w:t xml:space="preserve">Application for replacement identification card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lodged under r. 14ADF(2)(b)(i)</w:t>
            </w:r>
          </w:p>
        </w:tc>
        <w:tc>
          <w:tcPr>
            <w:tcW w:w="1134" w:type="dxa"/>
            <w:tcBorders>
              <w:top w:val="nil"/>
              <w:bottom w:val="nil"/>
            </w:tcBorders>
            <w:vAlign w:val="bottom"/>
          </w:tcPr>
          <w:p>
            <w:pPr>
              <w:pStyle w:val="yTableNAm"/>
              <w:jc w:val="right"/>
            </w:pPr>
            <w:r>
              <w:t>58.50</w:t>
            </w:r>
          </w:p>
        </w:tc>
      </w:tr>
      <w:tr>
        <w:trPr>
          <w:cantSplit/>
        </w:trPr>
        <w:tc>
          <w:tcPr>
            <w:tcW w:w="846" w:type="dxa"/>
            <w:tcBorders>
              <w:top w:val="nil"/>
            </w:tcBorders>
          </w:tcPr>
          <w:p/>
        </w:tc>
        <w:tc>
          <w:tcPr>
            <w:tcW w:w="4819" w:type="dxa"/>
            <w:tcBorders>
              <w:top w:val="nil"/>
            </w:tcBorders>
          </w:tcPr>
          <w:p>
            <w:pPr>
              <w:pStyle w:val="yTableNAm"/>
            </w:pPr>
            <w:r>
              <w:t>(b)</w:t>
            </w:r>
            <w:r>
              <w:tab/>
              <w:t>lodged under r. 14ADF(2)(b)(ii)</w:t>
            </w:r>
          </w:p>
        </w:tc>
        <w:tc>
          <w:tcPr>
            <w:tcW w:w="1134" w:type="dxa"/>
            <w:tcBorders>
              <w:top w:val="nil"/>
            </w:tcBorders>
            <w:vAlign w:val="bottom"/>
          </w:tcPr>
          <w:p>
            <w:pPr>
              <w:pStyle w:val="yTableNAm"/>
              <w:jc w:val="right"/>
            </w:pPr>
            <w:r>
              <w:t>10.50</w:t>
            </w:r>
          </w:p>
        </w:tc>
      </w:tr>
      <w:tr>
        <w:trPr>
          <w:cantSplit/>
        </w:trPr>
        <w:tc>
          <w:tcPr>
            <w:tcW w:w="846" w:type="dxa"/>
            <w:tcBorders>
              <w:bottom w:val="nil"/>
            </w:tcBorders>
          </w:tcPr>
          <w:p>
            <w:pPr>
              <w:pStyle w:val="yTableNAm"/>
            </w:pPr>
            <w:r>
              <w:t>13.</w:t>
            </w:r>
          </w:p>
        </w:tc>
        <w:tc>
          <w:tcPr>
            <w:tcW w:w="4819" w:type="dxa"/>
            <w:tcBorders>
              <w:bottom w:val="nil"/>
            </w:tcBorders>
          </w:tcPr>
          <w:p>
            <w:pPr>
              <w:pStyle w:val="yTableNAm"/>
            </w:pPr>
            <w:r>
              <w:t xml:space="preserve">Application for approval of person in position of authority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(a)</w:t>
            </w:r>
            <w:r>
              <w:tab/>
              <w:t>under licence other than club licence or club restricted licence</w:t>
            </w:r>
          </w:p>
        </w:tc>
        <w:tc>
          <w:tcPr>
            <w:tcW w:w="1134" w:type="dxa"/>
            <w:tcBorders>
              <w:top w:val="nil"/>
              <w:bottom w:val="nil"/>
            </w:tcBorders>
            <w:vAlign w:val="bottom"/>
          </w:tcPr>
          <w:p>
            <w:pPr>
              <w:pStyle w:val="yTableNAm"/>
              <w:jc w:val="right"/>
            </w:pPr>
            <w:r>
              <w:t>183.50</w:t>
            </w:r>
          </w:p>
        </w:tc>
      </w:tr>
      <w:tr>
        <w:trPr>
          <w:cantSplit/>
        </w:trPr>
        <w:tc>
          <w:tcPr>
            <w:tcW w:w="846" w:type="dxa"/>
            <w:tcBorders>
              <w:top w:val="nil"/>
            </w:tcBorders>
          </w:tcPr>
          <w:p/>
        </w:tc>
        <w:tc>
          <w:tcPr>
            <w:tcW w:w="4819" w:type="dxa"/>
            <w:tcBorders>
              <w:top w:val="nil"/>
            </w:tcBorders>
          </w:tcPr>
          <w:p>
            <w:pPr>
              <w:pStyle w:val="yTableNAm"/>
            </w:pPr>
            <w:r>
              <w:t>(b)</w:t>
            </w:r>
            <w:r>
              <w:tab/>
              <w:t>under club licence or club restricted licence</w:t>
            </w:r>
          </w:p>
        </w:tc>
        <w:tc>
          <w:tcPr>
            <w:tcW w:w="1134" w:type="dxa"/>
            <w:tcBorders>
              <w:top w:val="nil"/>
            </w:tcBorders>
            <w:vAlign w:val="bottom"/>
          </w:tcPr>
          <w:p>
            <w:pPr>
              <w:pStyle w:val="yTableNAm"/>
              <w:jc w:val="right"/>
            </w:pPr>
            <w:r>
              <w:t>125.50</w:t>
            </w:r>
          </w:p>
        </w:tc>
      </w:tr>
      <w:tr>
        <w:trPr>
          <w:cantSplit/>
        </w:trPr>
        <w:tc>
          <w:tcPr>
            <w:tcW w:w="846" w:type="dxa"/>
          </w:tcPr>
          <w:p>
            <w:pPr>
              <w:pStyle w:val="yTableNAm"/>
            </w:pPr>
            <w:r>
              <w:t>14.</w:t>
            </w:r>
          </w:p>
        </w:tc>
        <w:tc>
          <w:tcPr>
            <w:tcW w:w="4819" w:type="dxa"/>
          </w:tcPr>
          <w:p>
            <w:pPr>
              <w:pStyle w:val="yTableNAm"/>
            </w:pPr>
            <w:r>
              <w:t>Application for approval for alteration or redefinition of licensed premises</w:t>
            </w:r>
          </w:p>
        </w:tc>
        <w:tc>
          <w:tcPr>
            <w:tcW w:w="1134" w:type="dxa"/>
            <w:vAlign w:val="bottom"/>
          </w:tcPr>
          <w:p>
            <w:pPr>
              <w:pStyle w:val="yTableNAm"/>
              <w:jc w:val="right"/>
            </w:pPr>
            <w:r>
              <w:t>463.50</w:t>
            </w:r>
          </w:p>
        </w:tc>
      </w:tr>
      <w:tr>
        <w:trPr>
          <w:cantSplit/>
        </w:trPr>
        <w:tc>
          <w:tcPr>
            <w:tcW w:w="846" w:type="dxa"/>
          </w:tcPr>
          <w:p>
            <w:pPr>
              <w:pStyle w:val="yTableNAm"/>
            </w:pPr>
            <w:r>
              <w:t>15.</w:t>
            </w:r>
          </w:p>
        </w:tc>
        <w:tc>
          <w:tcPr>
            <w:tcW w:w="4819" w:type="dxa"/>
          </w:tcPr>
          <w:p>
            <w:pPr>
              <w:pStyle w:val="yTableNAm"/>
            </w:pPr>
            <w:r>
              <w:t>Application for a protection order under section 87(1)</w:t>
            </w:r>
          </w:p>
        </w:tc>
        <w:tc>
          <w:tcPr>
            <w:tcW w:w="1134" w:type="dxa"/>
            <w:vAlign w:val="bottom"/>
          </w:tcPr>
          <w:p>
            <w:pPr>
              <w:pStyle w:val="yTableNAm"/>
              <w:jc w:val="right"/>
            </w:pPr>
            <w:r>
              <w:t>269.50</w:t>
            </w:r>
          </w:p>
        </w:tc>
      </w:tr>
      <w:tr>
        <w:trPr>
          <w:cantSplit/>
        </w:trPr>
        <w:tc>
          <w:tcPr>
            <w:tcW w:w="846" w:type="dxa"/>
          </w:tcPr>
          <w:p>
            <w:pPr>
              <w:pStyle w:val="yTableNAm"/>
            </w:pPr>
            <w:r>
              <w:lastRenderedPageBreak/>
              <w:t>16.</w:t>
            </w:r>
          </w:p>
        </w:tc>
        <w:tc>
          <w:tcPr>
            <w:tcW w:w="4819" w:type="dxa"/>
          </w:tcPr>
          <w:p>
            <w:pPr>
              <w:pStyle w:val="yTableNAm"/>
            </w:pPr>
            <w:r>
              <w:t>Application for duplicate licence</w:t>
            </w:r>
          </w:p>
        </w:tc>
        <w:tc>
          <w:tcPr>
            <w:tcW w:w="1134" w:type="dxa"/>
            <w:vAlign w:val="bottom"/>
          </w:tcPr>
          <w:p>
            <w:pPr>
              <w:pStyle w:val="yTableNAm"/>
              <w:jc w:val="right"/>
            </w:pPr>
            <w:r>
              <w:t>40.00</w:t>
            </w:r>
          </w:p>
        </w:tc>
      </w:tr>
      <w:tr>
        <w:trPr>
          <w:cantSplit/>
        </w:trPr>
        <w:tc>
          <w:tcPr>
            <w:tcW w:w="846" w:type="dxa"/>
          </w:tcPr>
          <w:p>
            <w:pPr>
              <w:pStyle w:val="yTableNAm"/>
            </w:pPr>
            <w:r>
              <w:t>17.</w:t>
            </w:r>
          </w:p>
        </w:tc>
        <w:tc>
          <w:tcPr>
            <w:tcW w:w="4819" w:type="dxa"/>
          </w:tcPr>
          <w:p>
            <w:pPr>
              <w:pStyle w:val="yTableNAm"/>
            </w:pPr>
            <w:r>
              <w:t>Application for approval of change of name of licensed premises</w:t>
            </w:r>
          </w:p>
        </w:tc>
        <w:tc>
          <w:tcPr>
            <w:tcW w:w="1134" w:type="dxa"/>
            <w:vAlign w:val="bottom"/>
          </w:tcPr>
          <w:p>
            <w:pPr>
              <w:pStyle w:val="yTableNAm"/>
              <w:jc w:val="right"/>
            </w:pPr>
            <w:r>
              <w:t>84.50</w:t>
            </w:r>
          </w:p>
        </w:tc>
      </w:tr>
      <w:tr>
        <w:trPr>
          <w:cantSplit/>
        </w:trPr>
        <w:tc>
          <w:tcPr>
            <w:tcW w:w="846" w:type="dxa"/>
            <w:tcBorders>
              <w:bottom w:val="nil"/>
            </w:tcBorders>
          </w:tcPr>
          <w:p>
            <w:pPr>
              <w:pStyle w:val="yTableNAm"/>
            </w:pPr>
            <w:r>
              <w:t>18.</w:t>
            </w:r>
          </w:p>
        </w:tc>
        <w:tc>
          <w:tcPr>
            <w:tcW w:w="4819" w:type="dxa"/>
            <w:tcBorders>
              <w:bottom w:val="nil"/>
            </w:tcBorders>
          </w:tcPr>
          <w:p>
            <w:pPr>
              <w:pStyle w:val="yTableNAm"/>
            </w:pPr>
            <w:r>
              <w:t xml:space="preserve">Application to add, vary or cancel condition of licence or permit (other than club restricted licence)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for a period of over 21 days</w:t>
            </w:r>
          </w:p>
        </w:tc>
        <w:tc>
          <w:tcPr>
            <w:tcW w:w="1134" w:type="dxa"/>
            <w:tcBorders>
              <w:top w:val="nil"/>
              <w:bottom w:val="nil"/>
            </w:tcBorders>
            <w:vAlign w:val="bottom"/>
          </w:tcPr>
          <w:p>
            <w:pPr>
              <w:pStyle w:val="yTableNAm"/>
              <w:jc w:val="right"/>
            </w:pPr>
            <w:r>
              <w:t>276.00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(b)</w:t>
            </w:r>
            <w:r>
              <w:tab/>
              <w:t xml:space="preserve">for a period of 21 days or less if the maximum number of patrons on any day of the period to which the application relates is — </w:t>
            </w:r>
          </w:p>
        </w:tc>
        <w:tc>
          <w:tcPr>
            <w:tcW w:w="1134" w:type="dxa"/>
            <w:tcBorders>
              <w:top w:val="nil"/>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w:t>
            </w:r>
            <w:r>
              <w:rPr>
                <w:szCs w:val="22"/>
              </w:rPr>
              <w:tab/>
              <w:t>up to 500</w:t>
            </w:r>
          </w:p>
        </w:tc>
        <w:tc>
          <w:tcPr>
            <w:tcW w:w="1134" w:type="dxa"/>
            <w:tcBorders>
              <w:top w:val="nil"/>
              <w:bottom w:val="nil"/>
            </w:tcBorders>
            <w:vAlign w:val="bottom"/>
          </w:tcPr>
          <w:p>
            <w:pPr>
              <w:pStyle w:val="yTableNAm"/>
              <w:jc w:val="right"/>
            </w:pPr>
            <w:r>
              <w:t>126.50</w:t>
            </w: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(ii)</w:t>
            </w:r>
            <w:r>
              <w:rPr>
                <w:szCs w:val="22"/>
              </w:rPr>
              <w:tab/>
              <w:t>between 501 and 1 000</w:t>
            </w:r>
          </w:p>
        </w:tc>
        <w:tc>
          <w:tcPr>
            <w:tcW w:w="1134" w:type="dxa"/>
            <w:tcBorders>
              <w:top w:val="nil"/>
              <w:bottom w:val="nil"/>
            </w:tcBorders>
            <w:vAlign w:val="bottom"/>
          </w:tcPr>
          <w:p>
            <w:pPr>
              <w:pStyle w:val="yTableNAm"/>
              <w:jc w:val="right"/>
            </w:pPr>
            <w:r>
              <w:t>260.50</w:t>
            </w: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(iii)</w:t>
            </w:r>
            <w:r>
              <w:rPr>
                <w:szCs w:val="22"/>
              </w:rPr>
              <w:tab/>
              <w:t>between 1 001 and 5 000</w:t>
            </w:r>
          </w:p>
        </w:tc>
        <w:tc>
          <w:tcPr>
            <w:tcW w:w="1134" w:type="dxa"/>
            <w:tcBorders>
              <w:top w:val="nil"/>
              <w:bottom w:val="nil"/>
            </w:tcBorders>
            <w:vAlign w:val="bottom"/>
          </w:tcPr>
          <w:p>
            <w:pPr>
              <w:pStyle w:val="yTableNAm"/>
              <w:jc w:val="right"/>
            </w:pPr>
            <w:r>
              <w:t>1 324.00</w:t>
            </w: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(iv)</w:t>
            </w:r>
            <w:r>
              <w:rPr>
                <w:szCs w:val="22"/>
              </w:rPr>
              <w:tab/>
              <w:t>between 5 001 and 10 000</w:t>
            </w:r>
          </w:p>
        </w:tc>
        <w:tc>
          <w:tcPr>
            <w:tcW w:w="1134" w:type="dxa"/>
            <w:tcBorders>
              <w:top w:val="nil"/>
              <w:bottom w:val="nil"/>
            </w:tcBorders>
            <w:vAlign w:val="bottom"/>
          </w:tcPr>
          <w:p>
            <w:pPr>
              <w:pStyle w:val="yTableNAm"/>
              <w:jc w:val="right"/>
            </w:pPr>
            <w:r>
              <w:t>2 653.00</w:t>
            </w:r>
          </w:p>
        </w:tc>
      </w:tr>
      <w:tr>
        <w:trPr>
          <w:cantSplit/>
        </w:trPr>
        <w:tc>
          <w:tcPr>
            <w:tcW w:w="846" w:type="dxa"/>
            <w:tcBorders>
              <w:top w:val="nil"/>
            </w:tcBorders>
          </w:tcPr>
          <w:p/>
        </w:tc>
        <w:tc>
          <w:tcPr>
            <w:tcW w:w="4819" w:type="dxa"/>
            <w:tcBorders>
              <w:top w:val="nil"/>
            </w:tcBorders>
          </w:tcPr>
          <w:p>
            <w:pPr>
              <w:pStyle w:val="yTableNAm"/>
              <w:tabs>
                <w:tab w:val="clear" w:pos="567"/>
                <w:tab w:val="right" w:pos="878"/>
              </w:tabs>
              <w:ind w:left="1162" w:hanging="1128"/>
              <w:rPr>
                <w:szCs w:val="22"/>
              </w:rPr>
            </w:pPr>
            <w:r>
              <w:rPr>
                <w:szCs w:val="22"/>
              </w:rPr>
              <w:tab/>
              <w:t>(v)</w:t>
            </w:r>
            <w:r>
              <w:rPr>
                <w:szCs w:val="22"/>
              </w:rPr>
              <w:tab/>
              <w:t>over 10 000</w:t>
            </w:r>
          </w:p>
        </w:tc>
        <w:tc>
          <w:tcPr>
            <w:tcW w:w="1134" w:type="dxa"/>
            <w:tcBorders>
              <w:top w:val="nil"/>
            </w:tcBorders>
            <w:vAlign w:val="bottom"/>
          </w:tcPr>
          <w:p>
            <w:pPr>
              <w:pStyle w:val="yTableNAm"/>
              <w:jc w:val="right"/>
            </w:pPr>
            <w:r>
              <w:t>5 319.00</w:t>
            </w:r>
          </w:p>
        </w:tc>
      </w:tr>
      <w:tr>
        <w:trPr>
          <w:cantSplit/>
        </w:trPr>
        <w:tc>
          <w:tcPr>
            <w:tcW w:w="846" w:type="dxa"/>
          </w:tcPr>
          <w:p>
            <w:pPr>
              <w:pStyle w:val="yTableNAm"/>
            </w:pPr>
            <w:r>
              <w:t>19.</w:t>
            </w:r>
          </w:p>
        </w:tc>
        <w:tc>
          <w:tcPr>
            <w:tcW w:w="4819" w:type="dxa"/>
          </w:tcPr>
          <w:p>
            <w:pPr>
              <w:pStyle w:val="yTableNAm"/>
            </w:pPr>
            <w:r>
              <w:t>Application to add, vary or cancel condition of club restricted licence</w:t>
            </w:r>
          </w:p>
        </w:tc>
        <w:tc>
          <w:tcPr>
            <w:tcW w:w="1134" w:type="dxa"/>
            <w:vAlign w:val="bottom"/>
          </w:tcPr>
          <w:p>
            <w:pPr>
              <w:pStyle w:val="yTableNAm"/>
              <w:jc w:val="right"/>
            </w:pPr>
            <w:r>
              <w:t>50.50</w:t>
            </w:r>
          </w:p>
        </w:tc>
      </w:tr>
      <w:tr>
        <w:trPr>
          <w:cantSplit/>
        </w:trPr>
        <w:tc>
          <w:tcPr>
            <w:tcW w:w="846" w:type="dxa"/>
          </w:tcPr>
          <w:p>
            <w:pPr>
              <w:pStyle w:val="yTableNAm"/>
            </w:pPr>
            <w:r>
              <w:t>20.</w:t>
            </w:r>
          </w:p>
        </w:tc>
        <w:tc>
          <w:tcPr>
            <w:tcW w:w="4819" w:type="dxa"/>
          </w:tcPr>
          <w:p>
            <w:pPr>
              <w:pStyle w:val="yTableNAm"/>
            </w:pPr>
            <w:r>
              <w:t>Application under section 62(6) to vary any plans or specifications the subject of a condition</w:t>
            </w:r>
          </w:p>
        </w:tc>
        <w:tc>
          <w:tcPr>
            <w:tcW w:w="1134" w:type="dxa"/>
            <w:vAlign w:val="bottom"/>
          </w:tcPr>
          <w:p>
            <w:pPr>
              <w:pStyle w:val="yTableNAm"/>
              <w:jc w:val="right"/>
            </w:pPr>
            <w:r>
              <w:t>321.00</w:t>
            </w:r>
          </w:p>
        </w:tc>
      </w:tr>
      <w:tr>
        <w:trPr>
          <w:cantSplit/>
        </w:trPr>
        <w:tc>
          <w:tcPr>
            <w:tcW w:w="846" w:type="dxa"/>
          </w:tcPr>
          <w:p>
            <w:pPr>
              <w:pStyle w:val="yTableNAm"/>
            </w:pPr>
            <w:r>
              <w:t>21.</w:t>
            </w:r>
          </w:p>
        </w:tc>
        <w:tc>
          <w:tcPr>
            <w:tcW w:w="4819" w:type="dxa"/>
          </w:tcPr>
          <w:p>
            <w:pPr>
              <w:pStyle w:val="yTableNAm"/>
            </w:pPr>
            <w:r>
              <w:t>Application for approval of agreement or arrangement</w:t>
            </w:r>
          </w:p>
        </w:tc>
        <w:tc>
          <w:tcPr>
            <w:tcW w:w="1134" w:type="dxa"/>
            <w:vAlign w:val="bottom"/>
          </w:tcPr>
          <w:p>
            <w:pPr>
              <w:pStyle w:val="yTableNAm"/>
              <w:jc w:val="right"/>
            </w:pPr>
            <w:r>
              <w:t>269.50</w:t>
            </w:r>
          </w:p>
        </w:tc>
      </w:tr>
      <w:tr>
        <w:trPr>
          <w:cantSplit/>
        </w:trPr>
        <w:tc>
          <w:tcPr>
            <w:tcW w:w="846" w:type="dxa"/>
          </w:tcPr>
          <w:p>
            <w:pPr>
              <w:pStyle w:val="yTableNAm"/>
            </w:pPr>
            <w:r>
              <w:t>22.</w:t>
            </w:r>
          </w:p>
        </w:tc>
        <w:tc>
          <w:tcPr>
            <w:tcW w:w="4819" w:type="dxa"/>
          </w:tcPr>
          <w:p>
            <w:pPr>
              <w:pStyle w:val="yTableNAm"/>
            </w:pPr>
            <w:r>
              <w:t>Application under section 115AD for review of decision to give notice</w:t>
            </w:r>
          </w:p>
        </w:tc>
        <w:tc>
          <w:tcPr>
            <w:tcW w:w="1134" w:type="dxa"/>
            <w:vAlign w:val="bottom"/>
          </w:tcPr>
          <w:p>
            <w:pPr>
              <w:pStyle w:val="yTableNAm"/>
              <w:jc w:val="right"/>
            </w:pPr>
            <w:r>
              <w:t>280.50</w:t>
            </w:r>
          </w:p>
        </w:tc>
      </w:tr>
      <w:tr>
        <w:trPr>
          <w:cantSplit/>
        </w:trPr>
        <w:tc>
          <w:tcPr>
            <w:tcW w:w="846" w:type="dxa"/>
          </w:tcPr>
          <w:p>
            <w:pPr>
              <w:pStyle w:val="yTableNAm"/>
            </w:pPr>
            <w:r>
              <w:lastRenderedPageBreak/>
              <w:t>23.</w:t>
            </w:r>
          </w:p>
        </w:tc>
        <w:tc>
          <w:tcPr>
            <w:tcW w:w="4819" w:type="dxa"/>
          </w:tcPr>
          <w:p>
            <w:pPr>
              <w:pStyle w:val="yTableNAm"/>
            </w:pPr>
            <w:r>
              <w:t>Application under section 152NH(2) for review of decision to make or vary short</w:t>
            </w:r>
            <w:r>
              <w:noBreakHyphen/>
              <w:t>term exclusion order</w:t>
            </w:r>
          </w:p>
        </w:tc>
        <w:tc>
          <w:tcPr>
            <w:tcW w:w="1134" w:type="dxa"/>
            <w:vAlign w:val="bottom"/>
          </w:tcPr>
          <w:p>
            <w:pPr>
              <w:pStyle w:val="yTableNAm"/>
              <w:jc w:val="right"/>
            </w:pPr>
            <w:r>
              <w:t>280.50</w:t>
            </w:r>
          </w:p>
        </w:tc>
      </w:tr>
      <w:tr>
        <w:trPr>
          <w:cantSplit/>
        </w:trPr>
        <w:tc>
          <w:tcPr>
            <w:tcW w:w="846" w:type="dxa"/>
          </w:tcPr>
          <w:p>
            <w:pPr>
              <w:pStyle w:val="yTableNAm"/>
            </w:pPr>
            <w:r>
              <w:t>24.</w:t>
            </w:r>
          </w:p>
        </w:tc>
        <w:tc>
          <w:tcPr>
            <w:tcW w:w="4819" w:type="dxa"/>
          </w:tcPr>
          <w:p>
            <w:pPr>
              <w:pStyle w:val="yTableNAm"/>
            </w:pPr>
            <w:r>
              <w:t>Application under section 119A for approval to conduct non</w:t>
            </w:r>
            <w:r>
              <w:noBreakHyphen/>
              <w:t>liquor business on licensed premises</w:t>
            </w:r>
          </w:p>
        </w:tc>
        <w:tc>
          <w:tcPr>
            <w:tcW w:w="1134" w:type="dxa"/>
            <w:vAlign w:val="bottom"/>
          </w:tcPr>
          <w:p>
            <w:pPr>
              <w:pStyle w:val="yTableNAm"/>
              <w:jc w:val="right"/>
            </w:pPr>
            <w:r>
              <w:t>255.50</w:t>
            </w:r>
          </w:p>
        </w:tc>
      </w:tr>
      <w:tr>
        <w:trPr>
          <w:cantSplit/>
        </w:trPr>
        <w:tc>
          <w:tcPr>
            <w:tcW w:w="846" w:type="dxa"/>
          </w:tcPr>
          <w:p>
            <w:pPr>
              <w:pStyle w:val="yTableNAm"/>
            </w:pPr>
            <w:r>
              <w:t>25.</w:t>
            </w:r>
          </w:p>
        </w:tc>
        <w:tc>
          <w:tcPr>
            <w:tcW w:w="4819" w:type="dxa"/>
          </w:tcPr>
          <w:p>
            <w:pPr>
              <w:pStyle w:val="yTableNAm"/>
            </w:pPr>
            <w:r>
              <w:t>Application under section 152W(3), other than by an occupier of premises, for a liquor restriction declaration in relation to the premises</w:t>
            </w:r>
          </w:p>
        </w:tc>
        <w:tc>
          <w:tcPr>
            <w:tcW w:w="1134" w:type="dxa"/>
            <w:vAlign w:val="bottom"/>
          </w:tcPr>
          <w:p>
            <w:pPr>
              <w:pStyle w:val="yTableNAm"/>
              <w:jc w:val="right"/>
            </w:pPr>
            <w:r>
              <w:t>306.50</w:t>
            </w:r>
          </w:p>
        </w:tc>
      </w:tr>
      <w:tr>
        <w:trPr>
          <w:cantSplit/>
        </w:trPr>
        <w:tc>
          <w:tcPr>
            <w:tcW w:w="846" w:type="dxa"/>
          </w:tcPr>
          <w:p>
            <w:pPr>
              <w:pStyle w:val="yTableNAm"/>
            </w:pPr>
            <w:r>
              <w:t>26.</w:t>
            </w:r>
          </w:p>
        </w:tc>
        <w:tc>
          <w:tcPr>
            <w:tcW w:w="4819" w:type="dxa"/>
          </w:tcPr>
          <w:p>
            <w:pPr>
              <w:pStyle w:val="yTableNAm"/>
            </w:pPr>
            <w:r>
              <w:t>Application under section 126A for approval of entertainment for juveniles on licensed premises</w:t>
            </w:r>
          </w:p>
        </w:tc>
        <w:tc>
          <w:tcPr>
            <w:tcW w:w="1134" w:type="dxa"/>
            <w:vAlign w:val="bottom"/>
          </w:tcPr>
          <w:p>
            <w:pPr>
              <w:pStyle w:val="yTableNAm"/>
              <w:jc w:val="right"/>
            </w:pPr>
            <w:r>
              <w:t>73.50</w:t>
            </w:r>
          </w:p>
        </w:tc>
      </w:tr>
      <w:tr>
        <w:trPr>
          <w:cantSplit/>
        </w:trPr>
        <w:tc>
          <w:tcPr>
            <w:tcW w:w="846" w:type="dxa"/>
          </w:tcPr>
          <w:p>
            <w:pPr>
              <w:pStyle w:val="yTableNAm"/>
            </w:pPr>
            <w:r>
              <w:t>27.</w:t>
            </w:r>
          </w:p>
        </w:tc>
        <w:tc>
          <w:tcPr>
            <w:tcW w:w="4819" w:type="dxa"/>
          </w:tcPr>
          <w:p>
            <w:pPr>
              <w:pStyle w:val="yTableNAm"/>
            </w:pPr>
            <w:r>
              <w:t>Supply of list of licensed premises, or list of owners of licensed premises, in electronic form</w:t>
            </w:r>
          </w:p>
        </w:tc>
        <w:tc>
          <w:tcPr>
            <w:tcW w:w="1134" w:type="dxa"/>
            <w:vAlign w:val="bottom"/>
          </w:tcPr>
          <w:p>
            <w:pPr>
              <w:pStyle w:val="yTableNAm"/>
              <w:jc w:val="right"/>
            </w:pPr>
            <w:r>
              <w:t>67.00</w:t>
            </w:r>
          </w:p>
        </w:tc>
      </w:tr>
      <w:tr>
        <w:trPr>
          <w:cantSplit/>
        </w:trPr>
        <w:tc>
          <w:tcPr>
            <w:tcW w:w="846" w:type="dxa"/>
          </w:tcPr>
          <w:p>
            <w:pPr>
              <w:pStyle w:val="yTableNAm"/>
            </w:pPr>
            <w:r>
              <w:t>28.</w:t>
            </w:r>
          </w:p>
        </w:tc>
        <w:tc>
          <w:tcPr>
            <w:tcW w:w="4819" w:type="dxa"/>
          </w:tcPr>
          <w:p>
            <w:pPr>
              <w:pStyle w:val="yTableNAm"/>
            </w:pPr>
            <w:r>
              <w:t>Supply of address labels for licensed premises</w:t>
            </w:r>
          </w:p>
        </w:tc>
        <w:tc>
          <w:tcPr>
            <w:tcW w:w="1134" w:type="dxa"/>
            <w:vAlign w:val="bottom"/>
          </w:tcPr>
          <w:p>
            <w:pPr>
              <w:pStyle w:val="yTableNAm"/>
              <w:jc w:val="right"/>
            </w:pPr>
            <w:r>
              <w:t>164.50</w:t>
            </w:r>
          </w:p>
        </w:tc>
      </w:tr>
      <w:tr>
        <w:trPr>
          <w:cantSplit/>
        </w:trPr>
        <w:tc>
          <w:tcPr>
            <w:tcW w:w="846" w:type="dxa"/>
          </w:tcPr>
          <w:p>
            <w:pPr>
              <w:pStyle w:val="yTableNAm"/>
            </w:pPr>
            <w:r>
              <w:t>29.</w:t>
            </w:r>
          </w:p>
        </w:tc>
        <w:tc>
          <w:tcPr>
            <w:tcW w:w="4819" w:type="dxa"/>
          </w:tcPr>
          <w:p>
            <w:pPr>
              <w:pStyle w:val="yTableNAm"/>
            </w:pPr>
            <w:r>
              <w:t>Supply of approved heading for advertising an application</w:t>
            </w:r>
          </w:p>
        </w:tc>
        <w:tc>
          <w:tcPr>
            <w:tcW w:w="1134" w:type="dxa"/>
            <w:vAlign w:val="bottom"/>
          </w:tcPr>
          <w:p>
            <w:pPr>
              <w:pStyle w:val="yTableNAm"/>
              <w:jc w:val="right"/>
            </w:pPr>
            <w:r>
              <w:t>30.50</w:t>
            </w:r>
          </w:p>
        </w:tc>
      </w:tr>
      <w:tr>
        <w:trPr>
          <w:cantSplit/>
        </w:trPr>
        <w:tc>
          <w:tcPr>
            <w:tcW w:w="846" w:type="dxa"/>
          </w:tcPr>
          <w:p>
            <w:pPr>
              <w:pStyle w:val="yTableNAm"/>
            </w:pPr>
            <w:r>
              <w:t>30.</w:t>
            </w:r>
          </w:p>
        </w:tc>
        <w:tc>
          <w:tcPr>
            <w:tcW w:w="4819" w:type="dxa"/>
          </w:tcPr>
          <w:p>
            <w:pPr>
              <w:pStyle w:val="yTableNAm"/>
            </w:pPr>
            <w:r>
              <w:t>Supply of copy of plan — per sheet</w:t>
            </w:r>
          </w:p>
        </w:tc>
        <w:tc>
          <w:tcPr>
            <w:tcW w:w="1134" w:type="dxa"/>
            <w:vAlign w:val="bottom"/>
          </w:tcPr>
          <w:p>
            <w:pPr>
              <w:pStyle w:val="yTableNAm"/>
              <w:jc w:val="right"/>
            </w:pPr>
            <w:r>
              <w:t>30.50 (up to a max. of 243.00)</w:t>
            </w:r>
          </w:p>
        </w:tc>
      </w:tr>
      <w:tr>
        <w:trPr>
          <w:cantSplit/>
        </w:trPr>
        <w:tc>
          <w:tcPr>
            <w:tcW w:w="846" w:type="dxa"/>
          </w:tcPr>
          <w:p>
            <w:pPr>
              <w:pStyle w:val="yTableNAm"/>
            </w:pPr>
            <w:r>
              <w:t>31.</w:t>
            </w:r>
          </w:p>
        </w:tc>
        <w:tc>
          <w:tcPr>
            <w:tcW w:w="4819" w:type="dxa"/>
          </w:tcPr>
          <w:p>
            <w:pPr>
              <w:pStyle w:val="yTableNAm"/>
            </w:pPr>
            <w:r>
              <w:t>Supply of certified copy of plan defining licensed premises</w:t>
            </w:r>
          </w:p>
        </w:tc>
        <w:tc>
          <w:tcPr>
            <w:tcW w:w="1134" w:type="dxa"/>
            <w:vAlign w:val="bottom"/>
          </w:tcPr>
          <w:p>
            <w:pPr>
              <w:pStyle w:val="yTableNAm"/>
              <w:jc w:val="right"/>
            </w:pPr>
            <w:r>
              <w:t>45.50</w:t>
            </w:r>
          </w:p>
        </w:tc>
      </w:tr>
      <w:tr>
        <w:trPr>
          <w:cantSplit/>
        </w:trPr>
        <w:tc>
          <w:tcPr>
            <w:tcW w:w="846" w:type="dxa"/>
          </w:tcPr>
          <w:p>
            <w:pPr>
              <w:pStyle w:val="yTableNAm"/>
            </w:pPr>
            <w:r>
              <w:t>32.</w:t>
            </w:r>
          </w:p>
        </w:tc>
        <w:tc>
          <w:tcPr>
            <w:tcW w:w="4819" w:type="dxa"/>
          </w:tcPr>
          <w:p>
            <w:pPr>
              <w:pStyle w:val="yTableNAm"/>
            </w:pPr>
            <w:r>
              <w:t>Supply of copy of a licence, a permit or a decision of the Commission (or the former Liquor Licensing Court) or the Director</w:t>
            </w:r>
          </w:p>
        </w:tc>
        <w:tc>
          <w:tcPr>
            <w:tcW w:w="1134" w:type="dxa"/>
            <w:vAlign w:val="bottom"/>
          </w:tcPr>
          <w:p>
            <w:pPr>
              <w:pStyle w:val="yTableNAm"/>
              <w:jc w:val="right"/>
            </w:pPr>
            <w:r>
              <w:t>30.50</w:t>
            </w:r>
          </w:p>
        </w:tc>
      </w:tr>
      <w:tr>
        <w:trPr>
          <w:cantSplit/>
        </w:trPr>
        <w:tc>
          <w:tcPr>
            <w:tcW w:w="846" w:type="dxa"/>
          </w:tcPr>
          <w:p>
            <w:pPr>
              <w:pStyle w:val="yTableNAm"/>
            </w:pPr>
            <w:r>
              <w:t>33.</w:t>
            </w:r>
          </w:p>
        </w:tc>
        <w:tc>
          <w:tcPr>
            <w:tcW w:w="4819" w:type="dxa"/>
          </w:tcPr>
          <w:p>
            <w:pPr>
              <w:pStyle w:val="yTableNAm"/>
            </w:pPr>
            <w:r>
              <w:t>Certification of a copy of a licence, a permit or a decision of the Commission (or the former Liquor Licensing Court) or the Director</w:t>
            </w:r>
          </w:p>
          <w:p>
            <w:pPr>
              <w:pStyle w:val="yTableNAm"/>
            </w:pPr>
            <w:r>
              <w:rPr>
                <w:sz w:val="20"/>
              </w:rPr>
              <w:t>[In addition to the fee under item 32]</w:t>
            </w:r>
          </w:p>
        </w:tc>
        <w:tc>
          <w:tcPr>
            <w:tcW w:w="1134" w:type="dxa"/>
            <w:vAlign w:val="bottom"/>
          </w:tcPr>
          <w:p>
            <w:pPr>
              <w:pStyle w:val="yTableNAm"/>
              <w:jc w:val="right"/>
            </w:pPr>
            <w:r>
              <w:t>30.50</w:t>
            </w:r>
          </w:p>
          <w:p>
            <w:pPr>
              <w:pStyle w:val="yTableNAm"/>
              <w:jc w:val="right"/>
            </w:pPr>
          </w:p>
        </w:tc>
      </w:tr>
      <w:tr>
        <w:trPr>
          <w:cantSplit/>
        </w:trPr>
        <w:tc>
          <w:tcPr>
            <w:tcW w:w="846" w:type="dxa"/>
          </w:tcPr>
          <w:p>
            <w:pPr>
              <w:pStyle w:val="yTableNAm"/>
            </w:pPr>
            <w:r>
              <w:lastRenderedPageBreak/>
              <w:t>34.</w:t>
            </w:r>
          </w:p>
        </w:tc>
        <w:tc>
          <w:tcPr>
            <w:tcW w:w="4819" w:type="dxa"/>
          </w:tcPr>
          <w:p>
            <w:pPr>
              <w:pStyle w:val="yTableNAm"/>
            </w:pPr>
            <w:r>
              <w:t>Supply of copy of documentation, other than that already prescribed — per page</w:t>
            </w:r>
          </w:p>
        </w:tc>
        <w:tc>
          <w:tcPr>
            <w:tcW w:w="1134" w:type="dxa"/>
            <w:vAlign w:val="bottom"/>
          </w:tcPr>
          <w:p>
            <w:pPr>
              <w:pStyle w:val="yTableNAm"/>
              <w:jc w:val="right"/>
            </w:pPr>
            <w:r>
              <w:t>4.00</w:t>
            </w:r>
          </w:p>
        </w:tc>
      </w:tr>
      <w:tr>
        <w:trPr>
          <w:cantSplit/>
        </w:trPr>
        <w:tc>
          <w:tcPr>
            <w:tcW w:w="846" w:type="dxa"/>
          </w:tcPr>
          <w:p>
            <w:pPr>
              <w:pStyle w:val="yTableNAm"/>
            </w:pPr>
            <w:r>
              <w:t>35.</w:t>
            </w:r>
          </w:p>
        </w:tc>
        <w:tc>
          <w:tcPr>
            <w:tcW w:w="4819" w:type="dxa"/>
          </w:tcPr>
          <w:p>
            <w:pPr>
              <w:pStyle w:val="yTableNAm"/>
            </w:pPr>
            <w:r>
              <w:t>Issue of a summons to a witness</w:t>
            </w:r>
          </w:p>
        </w:tc>
        <w:tc>
          <w:tcPr>
            <w:tcW w:w="1134" w:type="dxa"/>
            <w:vAlign w:val="bottom"/>
          </w:tcPr>
          <w:p>
            <w:pPr>
              <w:pStyle w:val="yTableNAm"/>
              <w:jc w:val="right"/>
            </w:pPr>
            <w:r>
              <w:t>25.00</w:t>
            </w:r>
          </w:p>
        </w:tc>
      </w:tr>
      <w:tr>
        <w:trPr>
          <w:cantSplit/>
        </w:trPr>
        <w:tc>
          <w:tcPr>
            <w:tcW w:w="846" w:type="dxa"/>
          </w:tcPr>
          <w:p>
            <w:pPr>
              <w:pStyle w:val="yTableNAm"/>
            </w:pPr>
            <w:r>
              <w:t>36.</w:t>
            </w:r>
          </w:p>
        </w:tc>
        <w:tc>
          <w:tcPr>
            <w:tcW w:w="4819" w:type="dxa"/>
          </w:tcPr>
          <w:p>
            <w:pPr>
              <w:pStyle w:val="yTableNAm"/>
            </w:pPr>
            <w:r>
              <w:t>Search of the database of records of licences — per licence</w:t>
            </w:r>
          </w:p>
        </w:tc>
        <w:tc>
          <w:tcPr>
            <w:tcW w:w="1134" w:type="dxa"/>
            <w:vAlign w:val="bottom"/>
          </w:tcPr>
          <w:p>
            <w:pPr>
              <w:pStyle w:val="yTableNAm"/>
              <w:jc w:val="right"/>
            </w:pPr>
            <w:r>
              <w:t>45.50</w:t>
            </w:r>
          </w:p>
        </w:tc>
      </w:tr>
      <w:tr>
        <w:trPr>
          <w:cantSplit/>
        </w:trPr>
        <w:tc>
          <w:tcPr>
            <w:tcW w:w="846" w:type="dxa"/>
          </w:tcPr>
          <w:p>
            <w:pPr>
              <w:pStyle w:val="yTableNAm"/>
            </w:pPr>
            <w:r>
              <w:t>37.</w:t>
            </w:r>
          </w:p>
        </w:tc>
        <w:tc>
          <w:tcPr>
            <w:tcW w:w="4819" w:type="dxa"/>
          </w:tcPr>
          <w:p>
            <w:pPr>
              <w:pStyle w:val="yTableNAm"/>
            </w:pPr>
            <w:r>
              <w:t>Full search of a licence record</w:t>
            </w:r>
          </w:p>
        </w:tc>
        <w:tc>
          <w:tcPr>
            <w:tcW w:w="1134" w:type="dxa"/>
            <w:vAlign w:val="bottom"/>
          </w:tcPr>
          <w:p>
            <w:pPr>
              <w:pStyle w:val="yTableNAm"/>
              <w:jc w:val="right"/>
            </w:pPr>
            <w:r>
              <w:t>58.50</w:t>
            </w:r>
          </w:p>
        </w:tc>
      </w:tr>
      <w:tr>
        <w:trPr>
          <w:cantSplit/>
        </w:trPr>
        <w:tc>
          <w:tcPr>
            <w:tcW w:w="846" w:type="dxa"/>
            <w:tcBorders>
              <w:bottom w:val="nil"/>
            </w:tcBorders>
          </w:tcPr>
          <w:p>
            <w:pPr>
              <w:pStyle w:val="yTableNAm"/>
            </w:pPr>
            <w:r>
              <w:t>38.</w:t>
            </w:r>
          </w:p>
        </w:tc>
        <w:tc>
          <w:tcPr>
            <w:tcW w:w="4819" w:type="dxa"/>
            <w:tcBorders>
              <w:bottom w:val="nil"/>
            </w:tcBorders>
          </w:tcPr>
          <w:p>
            <w:pPr>
              <w:pStyle w:val="yTableNAm"/>
            </w:pPr>
            <w:r>
              <w:t xml:space="preserve">Search of postcodes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s>
              <w:ind w:left="601" w:hanging="425"/>
              <w:rPr>
                <w:szCs w:val="22"/>
              </w:rPr>
            </w:pPr>
            <w:r>
              <w:rPr>
                <w:szCs w:val="22"/>
              </w:rPr>
              <w:t>(a)</w:t>
            </w:r>
            <w:r>
              <w:rPr>
                <w:szCs w:val="22"/>
              </w:rPr>
              <w:tab/>
              <w:t>1 to 10 postcodes</w:t>
            </w:r>
          </w:p>
        </w:tc>
        <w:tc>
          <w:tcPr>
            <w:tcW w:w="1134" w:type="dxa"/>
            <w:tcBorders>
              <w:top w:val="nil"/>
              <w:bottom w:val="nil"/>
            </w:tcBorders>
            <w:vAlign w:val="bottom"/>
          </w:tcPr>
          <w:p>
            <w:pPr>
              <w:pStyle w:val="yTableNAm"/>
              <w:jc w:val="right"/>
            </w:pPr>
            <w:r>
              <w:t>45.50</w:t>
            </w:r>
          </w:p>
        </w:tc>
      </w:tr>
      <w:tr>
        <w:trPr>
          <w:cantSplit/>
        </w:trPr>
        <w:tc>
          <w:tcPr>
            <w:tcW w:w="846" w:type="dxa"/>
            <w:tcBorders>
              <w:top w:val="nil"/>
            </w:tcBorders>
          </w:tcPr>
          <w:p/>
        </w:tc>
        <w:tc>
          <w:tcPr>
            <w:tcW w:w="4819" w:type="dxa"/>
            <w:tcBorders>
              <w:top w:val="nil"/>
            </w:tcBorders>
          </w:tcPr>
          <w:p>
            <w:pPr>
              <w:pStyle w:val="yTableNAm"/>
              <w:tabs>
                <w:tab w:val="clear" w:pos="567"/>
              </w:tabs>
              <w:ind w:left="601" w:hanging="425"/>
              <w:rPr>
                <w:szCs w:val="22"/>
              </w:rPr>
            </w:pPr>
            <w:r>
              <w:rPr>
                <w:szCs w:val="22"/>
              </w:rPr>
              <w:t>(b)</w:t>
            </w:r>
            <w:r>
              <w:rPr>
                <w:szCs w:val="22"/>
              </w:rPr>
              <w:tab/>
              <w:t>more than 10 postcodes</w:t>
            </w:r>
          </w:p>
        </w:tc>
        <w:tc>
          <w:tcPr>
            <w:tcW w:w="1134" w:type="dxa"/>
            <w:tcBorders>
              <w:top w:val="nil"/>
            </w:tcBorders>
            <w:vAlign w:val="bottom"/>
          </w:tcPr>
          <w:p>
            <w:pPr>
              <w:pStyle w:val="yTableNAm"/>
              <w:jc w:val="right"/>
            </w:pPr>
            <w:r>
              <w:t>101.00</w:t>
            </w:r>
          </w:p>
        </w:tc>
      </w:tr>
      <w:tr>
        <w:trPr>
          <w:cantSplit/>
        </w:trPr>
        <w:tc>
          <w:tcPr>
            <w:tcW w:w="846" w:type="dxa"/>
          </w:tcPr>
          <w:p>
            <w:pPr>
              <w:pStyle w:val="yTableNAm"/>
            </w:pPr>
            <w:r>
              <w:t>39.</w:t>
            </w:r>
          </w:p>
        </w:tc>
        <w:tc>
          <w:tcPr>
            <w:tcW w:w="4819" w:type="dxa"/>
          </w:tcPr>
          <w:p>
            <w:pPr>
              <w:pStyle w:val="yTableNAm"/>
            </w:pPr>
            <w:r>
              <w:t>For each person who is a party to an application under the Act and in relation to whom a background check is sought from the Police Service</w:t>
            </w:r>
          </w:p>
        </w:tc>
        <w:tc>
          <w:tcPr>
            <w:tcW w:w="1134" w:type="dxa"/>
            <w:vAlign w:val="bottom"/>
          </w:tcPr>
          <w:p>
            <w:pPr>
              <w:pStyle w:val="yTableNAm"/>
              <w:jc w:val="right"/>
            </w:pPr>
            <w:r>
              <w:t>171.00</w:t>
            </w:r>
          </w:p>
        </w:tc>
      </w:tr>
    </w:tbl>
    <w:p>
      <w:pPr>
        <w:pStyle w:val="yFootnotesection"/>
      </w:pPr>
      <w:r>
        <w:tab/>
        <w:t>[Schedule 3 inserted: SL 2024/213 r. 14.]</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yScheduleHeading"/>
      </w:pPr>
      <w:bookmarkStart w:id="122" w:name="_Toc206071311"/>
      <w:bookmarkStart w:id="123" w:name="_Toc206073037"/>
      <w:bookmarkStart w:id="124" w:name="_Toc206081380"/>
      <w:r>
        <w:rPr>
          <w:rStyle w:val="CharSchNo"/>
        </w:rPr>
        <w:lastRenderedPageBreak/>
        <w:t>Schedule 4</w:t>
      </w:r>
      <w:r>
        <w:rPr>
          <w:rStyle w:val="CharSDivNo"/>
        </w:rPr>
        <w:t> </w:t>
      </w:r>
      <w:r>
        <w:t>—</w:t>
      </w:r>
      <w:r>
        <w:rPr>
          <w:rStyle w:val="CharSDivText"/>
        </w:rPr>
        <w:t> </w:t>
      </w:r>
      <w:r>
        <w:rPr>
          <w:rStyle w:val="CharSchText"/>
        </w:rPr>
        <w:t>Images of deposited plans showing protected entertainment precincts</w:t>
      </w:r>
      <w:bookmarkEnd w:id="122"/>
      <w:bookmarkEnd w:id="123"/>
      <w:bookmarkEnd w:id="124"/>
    </w:p>
    <w:p>
      <w:pPr>
        <w:pStyle w:val="yShoulderClause"/>
      </w:pPr>
      <w:r>
        <w:t>[r. 28(3)]</w:t>
      </w:r>
    </w:p>
    <w:p>
      <w:pPr>
        <w:pStyle w:val="yHeading5"/>
      </w:pPr>
      <w:bookmarkStart w:id="125" w:name="_Toc206081381"/>
      <w:r>
        <w:rPr>
          <w:rStyle w:val="CharSClsNo"/>
        </w:rPr>
        <w:t>1</w:t>
      </w:r>
      <w:r>
        <w:t>.</w:t>
      </w:r>
      <w:r>
        <w:tab/>
        <w:t>Fremantle</w:t>
      </w:r>
      <w:bookmarkEnd w:id="125"/>
    </w:p>
    <w:p>
      <w:pPr>
        <w:pStyle w:val="yMiscellaneousBody"/>
      </w:pPr>
      <w:r>
        <w:rPr>
          <w:noProof/>
        </w:rPr>
        <w:drawing>
          <wp:inline distT="0" distB="0" distL="0" distR="0">
            <wp:extent cx="5410953" cy="3751858"/>
            <wp:effectExtent l="0" t="8572"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rot="16200000">
                      <a:off x="0" y="0"/>
                      <a:ext cx="5471346" cy="3793733"/>
                    </a:xfrm>
                    <a:prstGeom prst="rect">
                      <a:avLst/>
                    </a:prstGeom>
                  </pic:spPr>
                </pic:pic>
              </a:graphicData>
            </a:graphic>
          </wp:inline>
        </w:drawing>
      </w:r>
    </w:p>
    <w:p>
      <w:pPr>
        <w:pStyle w:val="yHeading5"/>
      </w:pPr>
      <w:bookmarkStart w:id="126" w:name="_Toc206081382"/>
      <w:r>
        <w:rPr>
          <w:rStyle w:val="CharSClsNo"/>
        </w:rPr>
        <w:lastRenderedPageBreak/>
        <w:t>2</w:t>
      </w:r>
      <w:r>
        <w:t>.</w:t>
      </w:r>
      <w:r>
        <w:tab/>
        <w:t>Hillarys</w:t>
      </w:r>
      <w:bookmarkEnd w:id="126"/>
    </w:p>
    <w:p>
      <w:pPr>
        <w:pStyle w:val="yMiscellaneousBody"/>
        <w:rPr>
          <w:noProof/>
        </w:rPr>
      </w:pPr>
      <w:r>
        <w:rPr>
          <w:noProof/>
        </w:rPr>
        <w:drawing>
          <wp:inline distT="0" distB="0" distL="0" distR="0">
            <wp:extent cx="5437437" cy="3754880"/>
            <wp:effectExtent l="2857"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rot="16200000">
                      <a:off x="0" y="0"/>
                      <a:ext cx="5464002" cy="3773225"/>
                    </a:xfrm>
                    <a:prstGeom prst="rect">
                      <a:avLst/>
                    </a:prstGeom>
                  </pic:spPr>
                </pic:pic>
              </a:graphicData>
            </a:graphic>
          </wp:inline>
        </w:drawing>
      </w:r>
    </w:p>
    <w:p>
      <w:pPr>
        <w:pStyle w:val="yHeading5"/>
      </w:pPr>
      <w:bookmarkStart w:id="127" w:name="_Toc206081383"/>
      <w:r>
        <w:rPr>
          <w:rStyle w:val="CharSClsNo"/>
        </w:rPr>
        <w:lastRenderedPageBreak/>
        <w:t>3</w:t>
      </w:r>
      <w:r>
        <w:t>.</w:t>
      </w:r>
      <w:r>
        <w:tab/>
        <w:t>Mandurah</w:t>
      </w:r>
      <w:bookmarkEnd w:id="127"/>
    </w:p>
    <w:p>
      <w:pPr>
        <w:pStyle w:val="yMiscellaneousBody"/>
        <w:rPr>
          <w:noProof/>
        </w:rPr>
      </w:pPr>
      <w:r>
        <w:rPr>
          <w:noProof/>
        </w:rPr>
        <w:drawing>
          <wp:inline distT="0" distB="0" distL="0" distR="0">
            <wp:extent cx="5403600" cy="3751200"/>
            <wp:effectExtent l="6985"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rot="16200000">
                      <a:off x="0" y="0"/>
                      <a:ext cx="5403600" cy="3751200"/>
                    </a:xfrm>
                    <a:prstGeom prst="rect">
                      <a:avLst/>
                    </a:prstGeom>
                  </pic:spPr>
                </pic:pic>
              </a:graphicData>
            </a:graphic>
          </wp:inline>
        </w:drawing>
      </w:r>
    </w:p>
    <w:p>
      <w:pPr>
        <w:pStyle w:val="yHeading5"/>
      </w:pPr>
      <w:bookmarkStart w:id="128" w:name="_Toc206081384"/>
      <w:r>
        <w:rPr>
          <w:rStyle w:val="CharSClsNo"/>
        </w:rPr>
        <w:lastRenderedPageBreak/>
        <w:t>4</w:t>
      </w:r>
      <w:r>
        <w:t>.</w:t>
      </w:r>
      <w:r>
        <w:tab/>
        <w:t>Perth and Northbridge</w:t>
      </w:r>
      <w:bookmarkEnd w:id="128"/>
    </w:p>
    <w:p>
      <w:pPr>
        <w:pStyle w:val="yMiscellaneousBody"/>
        <w:rPr>
          <w:noProof/>
        </w:rPr>
      </w:pPr>
      <w:r>
        <w:rPr>
          <w:noProof/>
        </w:rPr>
        <w:drawing>
          <wp:inline distT="0" distB="0" distL="0" distR="0">
            <wp:extent cx="5414400" cy="3751200"/>
            <wp:effectExtent l="0" t="6668" r="8573" b="8572"/>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rot="16200000">
                      <a:off x="0" y="0"/>
                      <a:ext cx="5414400" cy="3751200"/>
                    </a:xfrm>
                    <a:prstGeom prst="rect">
                      <a:avLst/>
                    </a:prstGeom>
                  </pic:spPr>
                </pic:pic>
              </a:graphicData>
            </a:graphic>
          </wp:inline>
        </w:drawing>
      </w:r>
    </w:p>
    <w:p>
      <w:pPr>
        <w:pStyle w:val="yHeading5"/>
      </w:pPr>
      <w:bookmarkStart w:id="129" w:name="_Toc206081385"/>
      <w:r>
        <w:rPr>
          <w:rStyle w:val="CharSClsNo"/>
        </w:rPr>
        <w:lastRenderedPageBreak/>
        <w:t>5</w:t>
      </w:r>
      <w:r>
        <w:t>.</w:t>
      </w:r>
      <w:r>
        <w:tab/>
        <w:t>Scarborough</w:t>
      </w:r>
      <w:bookmarkEnd w:id="129"/>
    </w:p>
    <w:p>
      <w:pPr>
        <w:pStyle w:val="yMiscellaneousBody"/>
        <w:rPr>
          <w:noProof/>
        </w:rPr>
      </w:pPr>
      <w:r>
        <w:rPr>
          <w:noProof/>
        </w:rPr>
        <w:drawing>
          <wp:inline distT="0" distB="0" distL="0" distR="0">
            <wp:extent cx="5403600" cy="3751200"/>
            <wp:effectExtent l="6985"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rot="16200000">
                      <a:off x="0" y="0"/>
                      <a:ext cx="5403600" cy="3751200"/>
                    </a:xfrm>
                    <a:prstGeom prst="rect">
                      <a:avLst/>
                    </a:prstGeom>
                  </pic:spPr>
                </pic:pic>
              </a:graphicData>
            </a:graphic>
          </wp:inline>
        </w:drawing>
      </w:r>
    </w:p>
    <w:p>
      <w:pPr>
        <w:pStyle w:val="yFootnotesection"/>
      </w:pPr>
      <w:r>
        <w:tab/>
        <w:t>[Schedule 4 inserted: SL 2022/217 r. 8; amended: SL 2025/9 r. 5.]</w:t>
      </w:r>
    </w:p>
    <w:p>
      <w:pPr>
        <w:pStyle w:val="CentredBaseLine"/>
        <w:jc w:val="center"/>
      </w:pPr>
      <w:r>
        <w:rPr>
          <w:noProof/>
        </w:rPr>
        <w:drawing>
          <wp:inline distT="0" distB="0" distL="0" distR="0">
            <wp:extent cx="933450" cy="171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7"/>
          <w:headerReference w:type="default" r:id="rId38"/>
          <w:pgSz w:w="11907" w:h="16840" w:code="9"/>
          <w:pgMar w:top="2381" w:right="2410" w:bottom="3544" w:left="2410" w:header="720" w:footer="3544" w:gutter="0"/>
          <w:cols w:space="720"/>
        </w:sectPr>
      </w:pPr>
    </w:p>
    <w:p>
      <w:pPr>
        <w:pStyle w:val="nHeading2"/>
      </w:pPr>
      <w:bookmarkStart w:id="130" w:name="_Toc206071317"/>
      <w:bookmarkStart w:id="131" w:name="_Toc206073043"/>
      <w:bookmarkStart w:id="132" w:name="_Toc206081386"/>
      <w:r>
        <w:lastRenderedPageBreak/>
        <w:t>Notes</w:t>
      </w:r>
      <w:bookmarkEnd w:id="130"/>
      <w:bookmarkEnd w:id="131"/>
      <w:bookmarkEnd w:id="132"/>
    </w:p>
    <w:p>
      <w:pPr>
        <w:pStyle w:val="nStatement"/>
      </w:pPr>
      <w:r>
        <w:t xml:space="preserve">This is a compilation of the </w:t>
      </w:r>
      <w:r>
        <w:rPr>
          <w:i/>
          <w:noProof/>
        </w:rPr>
        <w:t>Liquor Control Regulations 1989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3" w:name="_Toc206081387"/>
      <w:r>
        <w:t>Compilation table</w:t>
      </w:r>
      <w:bookmarkEnd w:id="133"/>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Licensing Regulations 1989</w:t>
            </w:r>
            <w:r>
              <w:rPr>
                <w:iCs/>
                <w:vertAlign w:val="superscript"/>
              </w:rPr>
              <w:t> 4</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Liquor Licensing Amendment Regulations 1991</w:t>
            </w:r>
            <w:r>
              <w:rPr>
                <w:vertAlign w:val="superscript"/>
              </w:rPr>
              <w:t> 5</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lastRenderedPageBreak/>
              <w:t xml:space="preserve">Reprint of the </w:t>
            </w:r>
            <w:r>
              <w:rPr>
                <w:b/>
                <w:i/>
              </w:rPr>
              <w:t>Liquor Licensing Regulations 1989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Liquor Licensing Amendment Regulations 2004</w:t>
            </w:r>
            <w:r>
              <w:t xml:space="preserve"> </w:t>
            </w:r>
            <w:r>
              <w:rPr>
                <w:vertAlign w:val="superscript"/>
              </w:rPr>
              <w:t>7</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vertAlign w:val="superscript"/>
              </w:rPr>
            </w:pPr>
            <w:r>
              <w:rPr>
                <w:i/>
              </w:rPr>
              <w:t>Liquor Control Amendment Regulations (No. 2) 2007 </w:t>
            </w:r>
            <w:r>
              <w:rPr>
                <w:vertAlign w:val="superscript"/>
              </w:rPr>
              <w:t>8</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lastRenderedPageBreak/>
              <w:t xml:space="preserve">Reprint 7: The </w:t>
            </w:r>
            <w:r>
              <w:rPr>
                <w:b/>
                <w:i/>
              </w:rPr>
              <w:t>Liquor Control Regulations 1989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lastRenderedPageBreak/>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10) 2011</w:t>
            </w:r>
            <w:r>
              <w:rPr>
                <w:vertAlign w:val="superscript"/>
              </w:rPr>
              <w:t> 9</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Amendment Regulations (No. 2) 2018</w:t>
            </w:r>
          </w:p>
        </w:tc>
        <w:tc>
          <w:tcPr>
            <w:tcW w:w="1276" w:type="dxa"/>
            <w:shd w:val="clear" w:color="auto" w:fill="auto"/>
          </w:tcPr>
          <w:p>
            <w:pPr>
              <w:pStyle w:val="nTable"/>
              <w:spacing w:after="40"/>
            </w:pPr>
            <w:r>
              <w:t>20 Jul 2018 p. 2631</w:t>
            </w:r>
            <w:r>
              <w:noBreakHyphen/>
              <w:t>2</w:t>
            </w:r>
          </w:p>
        </w:tc>
        <w:tc>
          <w:tcPr>
            <w:tcW w:w="2693" w:type="dxa"/>
            <w:shd w:val="clear" w:color="auto" w:fill="auto"/>
          </w:tcPr>
          <w:p>
            <w:pPr>
              <w:pStyle w:val="nTable"/>
              <w:spacing w:after="40"/>
              <w:rPr>
                <w:bCs/>
                <w:snapToGrid w:val="0"/>
              </w:rPr>
            </w:pPr>
            <w:r>
              <w:rPr>
                <w:bCs/>
                <w:snapToGrid w:val="0"/>
              </w:rPr>
              <w:t>r. 1 and 2: 20 Jul 2018 (see r. 2(a));</w:t>
            </w:r>
            <w:r>
              <w:rPr>
                <w:bCs/>
                <w:snapToGrid w:val="0"/>
              </w:rPr>
              <w:br/>
              <w:t>Regulations other than r. 1 and 2: 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rPr>
                <w:bCs/>
                <w:snapToGrid w:val="0"/>
              </w:rPr>
            </w:pPr>
            <w:r>
              <w:t>1 Jan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(Ngurrawaana Restricted Area) Regulations 2018</w:t>
            </w:r>
            <w:r>
              <w:t xml:space="preserve"> Pt. 5</w:t>
            </w:r>
          </w:p>
        </w:tc>
        <w:tc>
          <w:tcPr>
            <w:tcW w:w="1276" w:type="dxa"/>
            <w:shd w:val="clear" w:color="auto" w:fill="auto"/>
          </w:tcPr>
          <w:p>
            <w:pPr>
              <w:pStyle w:val="nTable"/>
              <w:spacing w:after="40"/>
            </w:pPr>
            <w:r>
              <w:t>14 Sep 2018 p. 3317</w:t>
            </w:r>
            <w:r>
              <w:noBreakHyphen/>
              <w:t>19</w:t>
            </w:r>
          </w:p>
        </w:tc>
        <w:tc>
          <w:tcPr>
            <w:tcW w:w="2693" w:type="dxa"/>
            <w:shd w:val="clear" w:color="auto" w:fill="auto"/>
          </w:tcPr>
          <w:p>
            <w:pPr>
              <w:pStyle w:val="nTable"/>
              <w:spacing w:after="40"/>
              <w:rPr>
                <w:bCs/>
                <w:snapToGrid w:val="0"/>
              </w:rPr>
            </w:pPr>
            <w:r>
              <w:rPr>
                <w:bCs/>
                <w:snapToGrid w:val="0"/>
              </w:rPr>
              <w:t>15 Sep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lastRenderedPageBreak/>
              <w:t xml:space="preserve">Liquor Control Amendment Regulations (No. 3) 2018 </w:t>
            </w:r>
          </w:p>
        </w:tc>
        <w:tc>
          <w:tcPr>
            <w:tcW w:w="1276" w:type="dxa"/>
            <w:shd w:val="clear" w:color="auto" w:fill="auto"/>
          </w:tcPr>
          <w:p>
            <w:pPr>
              <w:pStyle w:val="nTable"/>
              <w:spacing w:after="40"/>
            </w:pPr>
            <w:r>
              <w:t>2 Oct 2018 p. 3798</w:t>
            </w:r>
            <w:r>
              <w:noBreakHyphen/>
              <w:t>802</w:t>
            </w:r>
          </w:p>
        </w:tc>
        <w:tc>
          <w:tcPr>
            <w:tcW w:w="2693" w:type="dxa"/>
            <w:shd w:val="clear" w:color="auto" w:fill="auto"/>
          </w:tcPr>
          <w:p>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(Wakathuni Restricted Area) Regulations 2019</w:t>
            </w:r>
            <w:r>
              <w:t xml:space="preserve"> Pt. 5</w:t>
            </w:r>
          </w:p>
        </w:tc>
        <w:tc>
          <w:tcPr>
            <w:tcW w:w="1276" w:type="dxa"/>
            <w:shd w:val="clear" w:color="auto" w:fill="auto"/>
          </w:tcPr>
          <w:p>
            <w:pPr>
              <w:pStyle w:val="nTable"/>
              <w:spacing w:after="40"/>
            </w:pPr>
            <w:r>
              <w:t>14 Jun 2019 p. 1898-900</w:t>
            </w:r>
          </w:p>
        </w:tc>
        <w:tc>
          <w:tcPr>
            <w:tcW w:w="2693" w:type="dxa"/>
            <w:shd w:val="clear" w:color="auto" w:fill="auto"/>
          </w:tcPr>
          <w:p>
            <w:pPr>
              <w:pStyle w:val="nTable"/>
              <w:spacing w:after="40"/>
              <w:rPr>
                <w:bCs/>
                <w:snapToGrid w:val="0"/>
              </w:rPr>
            </w:pPr>
            <w:r>
              <w:rPr>
                <w:bCs/>
                <w:snapToGrid w:val="0"/>
              </w:rPr>
              <w:t>15 Jun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Liquor Control Amendment Regulations 2019</w:t>
            </w:r>
          </w:p>
        </w:tc>
        <w:tc>
          <w:tcPr>
            <w:tcW w:w="1276" w:type="dxa"/>
            <w:shd w:val="clear" w:color="auto" w:fill="auto"/>
          </w:tcPr>
          <w:p>
            <w:pPr>
              <w:pStyle w:val="nTable"/>
              <w:spacing w:after="40"/>
            </w:pPr>
            <w:r>
              <w:t>28 Jun 2019 p. 2491</w:t>
            </w:r>
            <w:r>
              <w:noBreakHyphen/>
              <w:t>2</w:t>
            </w:r>
          </w:p>
        </w:tc>
        <w:tc>
          <w:tcPr>
            <w:tcW w:w="2693" w:type="dxa"/>
            <w:shd w:val="clear" w:color="auto" w:fill="auto"/>
          </w:tcPr>
          <w:p>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Amendment Regulations (No. 2) 2019</w:t>
            </w:r>
            <w:r>
              <w:t xml:space="preserve"> </w:t>
            </w:r>
          </w:p>
        </w:tc>
        <w:tc>
          <w:tcPr>
            <w:tcW w:w="1276" w:type="dxa"/>
            <w:shd w:val="clear" w:color="auto" w:fill="auto"/>
          </w:tcPr>
          <w:p>
            <w:pPr>
              <w:pStyle w:val="nTable"/>
              <w:spacing w:after="40"/>
            </w:pPr>
            <w:r>
              <w:t>1 Nov 2019 p. 3858</w:t>
            </w:r>
            <w:r>
              <w:noBreakHyphen/>
              <w:t>9</w:t>
            </w:r>
          </w:p>
        </w:tc>
        <w:tc>
          <w:tcPr>
            <w:tcW w:w="2693" w:type="dxa"/>
            <w:shd w:val="clear" w:color="auto" w:fill="auto"/>
          </w:tcPr>
          <w:p>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Liquor Control (Jarlmadangah Burru Restricted Area) Regulations 2019 </w:t>
            </w:r>
            <w:r>
              <w:t>Pt. 5</w:t>
            </w:r>
          </w:p>
        </w:tc>
        <w:tc>
          <w:tcPr>
            <w:tcW w:w="1276" w:type="dxa"/>
            <w:shd w:val="clear" w:color="auto" w:fill="auto"/>
          </w:tcPr>
          <w:p>
            <w:pPr>
              <w:pStyle w:val="nTable"/>
              <w:spacing w:after="40"/>
            </w:pPr>
            <w:r>
              <w:t>13 Dec 2019 p. 4241-3</w:t>
            </w:r>
          </w:p>
        </w:tc>
        <w:tc>
          <w:tcPr>
            <w:tcW w:w="2693" w:type="dxa"/>
            <w:shd w:val="clear" w:color="auto" w:fill="auto"/>
          </w:tcPr>
          <w:p>
            <w:pPr>
              <w:pStyle w:val="nTable"/>
              <w:spacing w:after="40"/>
            </w:pPr>
            <w:r>
              <w:t>14 Dec 2019 (see r. 2(b))</w:t>
            </w:r>
          </w:p>
        </w:tc>
      </w:tr>
      <w:tr>
        <w:trPr>
          <w:cantSplit/>
        </w:trPr>
        <w:tc>
          <w:tcPr>
            <w:tcW w:w="3119" w:type="dxa"/>
            <w:tcBorders>
              <w:top w:val="nil"/>
              <w:bottom w:val="nil"/>
            </w:tcBorders>
            <w:shd w:val="clear" w:color="auto" w:fill="auto"/>
          </w:tcPr>
          <w:p>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22 Oct 2019 p. 3720</w:t>
            </w:r>
            <w:r>
              <w:noBreakHyphen/>
              <w:t>9</w:t>
            </w:r>
          </w:p>
        </w:tc>
        <w:tc>
          <w:tcPr>
            <w:tcW w:w="2693" w:type="dxa"/>
            <w:tcBorders>
              <w:top w:val="nil"/>
              <w:bottom w:val="nil"/>
            </w:tcBorders>
            <w:shd w:val="clear" w:color="auto" w:fill="auto"/>
          </w:tcPr>
          <w:p>
            <w:pPr>
              <w:pStyle w:val="nTable"/>
              <w:spacing w:after="40"/>
              <w:rPr>
                <w:bCs/>
                <w:snapToGrid w:val="0"/>
                <w:spacing w:val="-2"/>
              </w:rPr>
            </w:pPr>
            <w:r>
              <w:t>1 Jan 2020 (see r. 2(b))</w:t>
            </w:r>
          </w:p>
        </w:tc>
      </w:tr>
      <w:tr>
        <w:trPr>
          <w:cantSplit/>
        </w:trPr>
        <w:tc>
          <w:tcPr>
            <w:tcW w:w="3119" w:type="dxa"/>
            <w:tcBorders>
              <w:top w:val="nil"/>
              <w:bottom w:val="nil"/>
            </w:tcBorders>
            <w:shd w:val="clear" w:color="auto" w:fill="auto"/>
          </w:tcPr>
          <w:p>
            <w:pPr>
              <w:pStyle w:val="nTable"/>
              <w:spacing w:after="40"/>
            </w:pPr>
            <w:r>
              <w:rPr>
                <w:i/>
              </w:rPr>
              <w:t>Liquor Control (Parnpajinya Restricted Area) Regulations 2020</w:t>
            </w:r>
            <w:r>
              <w:t xml:space="preserve"> Pt. 5</w:t>
            </w:r>
          </w:p>
        </w:tc>
        <w:tc>
          <w:tcPr>
            <w:tcW w:w="1276" w:type="dxa"/>
            <w:tcBorders>
              <w:top w:val="nil"/>
              <w:bottom w:val="nil"/>
            </w:tcBorders>
            <w:shd w:val="clear" w:color="auto" w:fill="auto"/>
          </w:tcPr>
          <w:p>
            <w:pPr>
              <w:pStyle w:val="nTable"/>
              <w:spacing w:after="40"/>
            </w:pPr>
            <w:r>
              <w:t>SL 2020/81 19 Jun 2020</w:t>
            </w:r>
          </w:p>
        </w:tc>
        <w:tc>
          <w:tcPr>
            <w:tcW w:w="2693" w:type="dxa"/>
            <w:tcBorders>
              <w:top w:val="nil"/>
              <w:bottom w:val="nil"/>
            </w:tcBorders>
            <w:shd w:val="clear" w:color="auto" w:fill="auto"/>
          </w:tcPr>
          <w:p>
            <w:pPr>
              <w:pStyle w:val="nTable"/>
              <w:spacing w:after="40"/>
            </w:pPr>
            <w:r>
              <w:t>20 Jun 2020 (see r. 2(b))</w:t>
            </w:r>
          </w:p>
        </w:tc>
      </w:tr>
      <w:tr>
        <w:trPr>
          <w:cantSplit/>
        </w:trPr>
        <w:tc>
          <w:tcPr>
            <w:tcW w:w="3119" w:type="dxa"/>
            <w:tcBorders>
              <w:top w:val="nil"/>
              <w:bottom w:val="nil"/>
            </w:tcBorders>
            <w:shd w:val="clear" w:color="auto" w:fill="auto"/>
          </w:tcPr>
          <w:p>
            <w:pPr>
              <w:pStyle w:val="nTable"/>
              <w:spacing w:after="40"/>
            </w:pPr>
            <w:r>
              <w:rPr>
                <w:i/>
              </w:rPr>
              <w:t>Liquor Control (Kadjina Restricted Area) Regulations 2020</w:t>
            </w:r>
            <w:r>
              <w:t xml:space="preserve"> Pt. 5</w:t>
            </w:r>
          </w:p>
        </w:tc>
        <w:tc>
          <w:tcPr>
            <w:tcW w:w="1276" w:type="dxa"/>
            <w:tcBorders>
              <w:top w:val="nil"/>
              <w:bottom w:val="nil"/>
            </w:tcBorders>
            <w:shd w:val="clear" w:color="auto" w:fill="auto"/>
          </w:tcPr>
          <w:p>
            <w:pPr>
              <w:pStyle w:val="nTable"/>
              <w:spacing w:after="40"/>
            </w:pPr>
            <w:r>
              <w:t>SL 2020/218 6 Nov 2020</w:t>
            </w:r>
          </w:p>
        </w:tc>
        <w:tc>
          <w:tcPr>
            <w:tcW w:w="2693" w:type="dxa"/>
            <w:tcBorders>
              <w:top w:val="nil"/>
              <w:bottom w:val="nil"/>
            </w:tcBorders>
            <w:shd w:val="clear" w:color="auto" w:fill="auto"/>
          </w:tcPr>
          <w:p>
            <w:pPr>
              <w:pStyle w:val="nTable"/>
              <w:spacing w:after="40"/>
            </w:pPr>
            <w:r>
              <w:t>7 Nov 2020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2021</w:t>
            </w:r>
          </w:p>
        </w:tc>
        <w:tc>
          <w:tcPr>
            <w:tcW w:w="1276" w:type="dxa"/>
            <w:tcBorders>
              <w:top w:val="nil"/>
              <w:bottom w:val="nil"/>
            </w:tcBorders>
            <w:shd w:val="clear" w:color="auto" w:fill="auto"/>
          </w:tcPr>
          <w:p>
            <w:pPr>
              <w:pStyle w:val="nTable"/>
              <w:spacing w:after="40"/>
            </w:pPr>
            <w:r>
              <w:t>SL 2021/94 22 Jun 2021</w:t>
            </w:r>
          </w:p>
        </w:tc>
        <w:tc>
          <w:tcPr>
            <w:tcW w:w="2693" w:type="dxa"/>
            <w:tcBorders>
              <w:top w:val="nil"/>
              <w:bottom w:val="nil"/>
            </w:tcBorders>
            <w:shd w:val="clear" w:color="auto" w:fill="auto"/>
          </w:tcPr>
          <w:p>
            <w:pPr>
              <w:pStyle w:val="nTable"/>
              <w:spacing w:after="40"/>
            </w:pPr>
            <w:r>
              <w:rPr>
                <w:bCs/>
                <w:snapToGrid w:val="0"/>
                <w:spacing w:val="-2"/>
              </w:rPr>
              <w:t xml:space="preserve">r. 1 and 2: </w:t>
            </w:r>
            <w:r>
              <w:t>22 Jun 2021</w:t>
            </w:r>
            <w:r>
              <w:rPr>
                <w:bCs/>
                <w:snapToGrid w:val="0"/>
                <w:spacing w:val="-2"/>
              </w:rPr>
              <w:t xml:space="preserve"> (see r. 2(a));</w:t>
            </w:r>
            <w:r>
              <w:rPr>
                <w:bCs/>
                <w:snapToGrid w:val="0"/>
                <w:spacing w:val="-2"/>
              </w:rPr>
              <w:br/>
              <w:t xml:space="preserve">Regulations other than r. 1 and 2: </w:t>
            </w:r>
            <w:r>
              <w:t>23 Jun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(No. 3) 2021</w:t>
            </w:r>
          </w:p>
        </w:tc>
        <w:tc>
          <w:tcPr>
            <w:tcW w:w="1276" w:type="dxa"/>
            <w:tcBorders>
              <w:top w:val="nil"/>
              <w:bottom w:val="nil"/>
            </w:tcBorders>
            <w:shd w:val="clear" w:color="auto" w:fill="auto"/>
          </w:tcPr>
          <w:p>
            <w:pPr>
              <w:pStyle w:val="nTable"/>
              <w:spacing w:after="40"/>
            </w:pPr>
            <w:r>
              <w:t>SL 2021/163 17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17 Sep 2021</w:t>
            </w:r>
            <w:r>
              <w:rPr>
                <w:bCs/>
                <w:snapToGrid w:val="0"/>
                <w:spacing w:val="-2"/>
              </w:rPr>
              <w:t xml:space="preserve"> (see r. 2(a));</w:t>
            </w:r>
            <w:r>
              <w:rPr>
                <w:bCs/>
                <w:snapToGrid w:val="0"/>
                <w:spacing w:val="-2"/>
              </w:rPr>
              <w:br/>
              <w:t xml:space="preserve">Regulations other than r. 1 and 2: </w:t>
            </w:r>
            <w:r>
              <w:t>18 Sep 2021</w:t>
            </w:r>
            <w:r>
              <w:rPr>
                <w:bCs/>
                <w:snapToGrid w:val="0"/>
                <w:spacing w:val="-2"/>
              </w:rPr>
              <w:t xml:space="preserve"> (see r. 2(b) and SL 2021/162 cl. 2)</w:t>
            </w:r>
          </w:p>
        </w:tc>
      </w:tr>
      <w:tr>
        <w:trPr>
          <w:cantSplit/>
        </w:trPr>
        <w:tc>
          <w:tcPr>
            <w:tcW w:w="3119" w:type="dxa"/>
            <w:tcBorders>
              <w:top w:val="nil"/>
              <w:bottom w:val="nil"/>
            </w:tcBorders>
            <w:shd w:val="clear" w:color="auto" w:fill="auto"/>
          </w:tcPr>
          <w:p>
            <w:pPr>
              <w:pStyle w:val="nTable"/>
              <w:spacing w:after="40"/>
              <w:rPr>
                <w:i/>
              </w:rPr>
            </w:pPr>
            <w:r>
              <w:rPr>
                <w:i/>
              </w:rPr>
              <w:lastRenderedPageBreak/>
              <w:t>Liquor Control Amendment Regulations (No. 2) 2021</w:t>
            </w:r>
          </w:p>
        </w:tc>
        <w:tc>
          <w:tcPr>
            <w:tcW w:w="1276" w:type="dxa"/>
            <w:tcBorders>
              <w:top w:val="nil"/>
              <w:bottom w:val="nil"/>
            </w:tcBorders>
            <w:shd w:val="clear" w:color="auto" w:fill="auto"/>
          </w:tcPr>
          <w:p>
            <w:pPr>
              <w:pStyle w:val="nTable"/>
              <w:spacing w:after="40"/>
            </w:pPr>
            <w:r>
              <w:t>SL 2021/207 3 Dec 2021</w:t>
            </w:r>
          </w:p>
        </w:tc>
        <w:tc>
          <w:tcPr>
            <w:tcW w:w="2693" w:type="dxa"/>
            <w:tcBorders>
              <w:top w:val="nil"/>
              <w:bottom w:val="nil"/>
            </w:tcBorders>
            <w:shd w:val="clear" w:color="auto" w:fill="auto"/>
          </w:tcPr>
          <w:p>
            <w:pPr>
              <w:pStyle w:val="nTable"/>
              <w:spacing w:after="40"/>
              <w:rPr>
                <w:bCs/>
                <w:snapToGrid w:val="0"/>
                <w:spacing w:val="-2"/>
              </w:rPr>
            </w:pPr>
            <w:r>
              <w:t>1 Feb 2022 (see r. 2 and SL 2021/198 cl. 2)</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Racing and Gaming Regulations Amendment (Fees and Charges) Regulations 2022</w:t>
            </w:r>
            <w:r>
              <w:t xml:space="preserve"> Pt. 6</w:t>
            </w:r>
          </w:p>
        </w:tc>
        <w:tc>
          <w:tcPr>
            <w:tcW w:w="1276" w:type="dxa"/>
            <w:shd w:val="clear" w:color="auto" w:fill="auto"/>
          </w:tcPr>
          <w:p>
            <w:pPr>
              <w:pStyle w:val="nTable"/>
              <w:keepNext/>
              <w:spacing w:after="40"/>
            </w:pPr>
            <w:r>
              <w:t>SL 2022/144 12 Aug 2022</w:t>
            </w:r>
          </w:p>
        </w:tc>
        <w:tc>
          <w:tcPr>
            <w:tcW w:w="2693" w:type="dxa"/>
            <w:shd w:val="clear" w:color="auto" w:fill="auto"/>
          </w:tcPr>
          <w:p>
            <w:pPr>
              <w:pStyle w:val="nTable"/>
              <w:keepNext/>
              <w:spacing w:after="40"/>
            </w:pPr>
            <w:r>
              <w:t>1 Jan 2023 (see r. 2(b))</w:t>
            </w:r>
          </w:p>
        </w:tc>
      </w:tr>
      <w:tr>
        <w:trPr>
          <w:cantSplit/>
        </w:trPr>
        <w:tc>
          <w:tcPr>
            <w:tcW w:w="3119" w:type="dxa"/>
            <w:tcBorders>
              <w:top w:val="nil"/>
              <w:bottom w:val="nil"/>
            </w:tcBorders>
            <w:shd w:val="clear" w:color="auto" w:fill="auto"/>
          </w:tcPr>
          <w:p>
            <w:pPr>
              <w:pStyle w:val="nTable"/>
              <w:spacing w:after="40"/>
            </w:pPr>
            <w:r>
              <w:rPr>
                <w:i/>
              </w:rPr>
              <w:t>Liquor Control Amendment Regulations 2022</w:t>
            </w:r>
          </w:p>
        </w:tc>
        <w:tc>
          <w:tcPr>
            <w:tcW w:w="1276" w:type="dxa"/>
            <w:tcBorders>
              <w:top w:val="nil"/>
              <w:bottom w:val="nil"/>
            </w:tcBorders>
            <w:shd w:val="clear" w:color="auto" w:fill="auto"/>
          </w:tcPr>
          <w:p>
            <w:pPr>
              <w:pStyle w:val="nTable"/>
              <w:spacing w:after="40"/>
            </w:pPr>
            <w:r>
              <w:t>SL 2022/217 23 Dec 2022</w:t>
            </w:r>
          </w:p>
        </w:tc>
        <w:tc>
          <w:tcPr>
            <w:tcW w:w="2693" w:type="dxa"/>
            <w:tcBorders>
              <w:top w:val="nil"/>
              <w:bottom w:val="nil"/>
            </w:tcBorders>
            <w:shd w:val="clear" w:color="auto" w:fill="auto"/>
          </w:tcPr>
          <w:p>
            <w:pPr>
              <w:pStyle w:val="nTable"/>
              <w:spacing w:after="40"/>
            </w:pPr>
            <w:r>
              <w:t>Pt. 1: 23 Dec 2022 (see r. 2(a));</w:t>
            </w:r>
            <w:r>
              <w:br/>
              <w:t>Pt. 2: 24 Dec 2022 (see r. 2(b));</w:t>
            </w:r>
            <w:r>
              <w:br/>
              <w:t>Pt. 3: 1 Jan 2023 (see r. 2(c) and SL 2022/144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2023</w:t>
            </w:r>
          </w:p>
        </w:tc>
        <w:tc>
          <w:tcPr>
            <w:tcW w:w="1276" w:type="dxa"/>
            <w:tcBorders>
              <w:top w:val="nil"/>
              <w:bottom w:val="nil"/>
            </w:tcBorders>
            <w:shd w:val="clear" w:color="auto" w:fill="auto"/>
          </w:tcPr>
          <w:p>
            <w:pPr>
              <w:pStyle w:val="nTable"/>
              <w:spacing w:after="40"/>
            </w:pPr>
            <w:r>
              <w:t>SL 2023/125</w:t>
            </w:r>
          </w:p>
          <w:p>
            <w:pPr>
              <w:pStyle w:val="nTable"/>
              <w:spacing w:after="40"/>
            </w:pPr>
            <w:r>
              <w:t>9 Aug 2023</w:t>
            </w:r>
          </w:p>
        </w:tc>
        <w:tc>
          <w:tcPr>
            <w:tcW w:w="2693" w:type="dxa"/>
            <w:tcBorders>
              <w:top w:val="nil"/>
              <w:bottom w:val="nil"/>
            </w:tcBorders>
            <w:shd w:val="clear" w:color="auto" w:fill="auto"/>
          </w:tcPr>
          <w:p>
            <w:pPr>
              <w:pStyle w:val="nTable"/>
              <w:spacing w:after="40"/>
            </w:pPr>
            <w:r>
              <w:t>r. 1 and 2: 9 Aug 2023 (see r. 2(a));</w:t>
            </w:r>
          </w:p>
          <w:p>
            <w:pPr>
              <w:pStyle w:val="nTable"/>
              <w:spacing w:after="40"/>
            </w:pPr>
            <w:r>
              <w:rPr>
                <w:bCs/>
                <w:snapToGrid w:val="0"/>
                <w:spacing w:val="-2"/>
              </w:rPr>
              <w:t>Regulations other than r. 1 and 2</w:t>
            </w:r>
            <w:r>
              <w:t>: 10 Aug 2023 (see r. 2(b))</w:t>
            </w:r>
          </w:p>
        </w:tc>
      </w:tr>
      <w:tr>
        <w:trPr>
          <w:cantSplit/>
        </w:trPr>
        <w:tc>
          <w:tcPr>
            <w:tcW w:w="3119" w:type="dxa"/>
            <w:tcBorders>
              <w:top w:val="nil"/>
              <w:bottom w:val="nil"/>
            </w:tcBorders>
            <w:shd w:val="clear" w:color="auto" w:fill="auto"/>
          </w:tcPr>
          <w:p>
            <w:pPr>
              <w:pStyle w:val="nTable"/>
              <w:spacing w:after="40"/>
              <w:rPr>
                <w:i/>
              </w:rPr>
            </w:pPr>
            <w:r>
              <w:rPr>
                <w:bCs/>
                <w:i/>
                <w:noProof/>
              </w:rPr>
              <w:t>Racing</w:t>
            </w:r>
            <w:r>
              <w:rPr>
                <w:i/>
                <w:noProof/>
              </w:rPr>
              <w:t xml:space="preserve"> and Gaming Regulations Amendment (Fees and Charges) Regulations 2023 </w:t>
            </w:r>
            <w:r>
              <w:rPr>
                <w:noProof/>
              </w:rPr>
              <w:t>Pt. 6</w:t>
            </w:r>
          </w:p>
        </w:tc>
        <w:tc>
          <w:tcPr>
            <w:tcW w:w="1276" w:type="dxa"/>
            <w:tcBorders>
              <w:top w:val="nil"/>
              <w:bottom w:val="nil"/>
            </w:tcBorders>
            <w:shd w:val="clear" w:color="auto" w:fill="auto"/>
          </w:tcPr>
          <w:p>
            <w:pPr>
              <w:pStyle w:val="nTable"/>
              <w:spacing w:after="40"/>
            </w:pPr>
            <w:r>
              <w:t>SL 2023/156 18 Oct 2023</w:t>
            </w:r>
          </w:p>
        </w:tc>
        <w:tc>
          <w:tcPr>
            <w:tcW w:w="2693" w:type="dxa"/>
            <w:tcBorders>
              <w:top w:val="nil"/>
              <w:bottom w:val="nil"/>
            </w:tcBorders>
            <w:shd w:val="clear" w:color="auto" w:fill="auto"/>
          </w:tcPr>
          <w:p>
            <w:pPr>
              <w:pStyle w:val="nTable"/>
              <w:spacing w:after="40"/>
            </w:pPr>
            <w:r>
              <w:t>1 Jan 2024 (see r. 2(b))</w:t>
            </w:r>
          </w:p>
        </w:tc>
      </w:tr>
      <w:tr>
        <w:trPr>
          <w:cantSplit/>
        </w:trPr>
        <w:tc>
          <w:tcPr>
            <w:tcW w:w="3119" w:type="dxa"/>
            <w:tcBorders>
              <w:top w:val="nil"/>
              <w:bottom w:val="nil"/>
            </w:tcBorders>
            <w:shd w:val="clear" w:color="auto" w:fill="auto"/>
          </w:tcPr>
          <w:p>
            <w:pPr>
              <w:pStyle w:val="nTable"/>
              <w:spacing w:after="40"/>
            </w:pPr>
            <w:r>
              <w:rPr>
                <w:i/>
              </w:rPr>
              <w:t>Liquor Control (Joy Springs Restricted Area) Regulations 2023</w:t>
            </w:r>
            <w:r>
              <w:t xml:space="preserve"> Pt. 5</w:t>
            </w:r>
          </w:p>
        </w:tc>
        <w:tc>
          <w:tcPr>
            <w:tcW w:w="1276" w:type="dxa"/>
            <w:tcBorders>
              <w:top w:val="nil"/>
              <w:bottom w:val="nil"/>
            </w:tcBorders>
            <w:shd w:val="clear" w:color="auto" w:fill="auto"/>
          </w:tcPr>
          <w:p>
            <w:pPr>
              <w:pStyle w:val="nTable"/>
              <w:spacing w:after="40"/>
            </w:pPr>
            <w:r>
              <w:t>SL 2023/159 18 Oct 2023</w:t>
            </w:r>
          </w:p>
        </w:tc>
        <w:tc>
          <w:tcPr>
            <w:tcW w:w="2693" w:type="dxa"/>
            <w:tcBorders>
              <w:top w:val="nil"/>
              <w:bottom w:val="nil"/>
            </w:tcBorders>
            <w:shd w:val="clear" w:color="auto" w:fill="auto"/>
          </w:tcPr>
          <w:p>
            <w:pPr>
              <w:pStyle w:val="nTable"/>
              <w:spacing w:after="40"/>
            </w:pPr>
            <w:r>
              <w:t>19 Oct 2023 (see r. 2(b))</w:t>
            </w:r>
          </w:p>
        </w:tc>
      </w:tr>
      <w:tr>
        <w:trPr>
          <w:cantSplit/>
        </w:trPr>
        <w:tc>
          <w:tcPr>
            <w:tcW w:w="3119" w:type="dxa"/>
            <w:tcBorders>
              <w:top w:val="nil"/>
              <w:bottom w:val="nil"/>
            </w:tcBorders>
            <w:shd w:val="clear" w:color="auto" w:fill="auto"/>
          </w:tcPr>
          <w:p>
            <w:pPr>
              <w:pStyle w:val="nTable"/>
              <w:spacing w:after="40"/>
            </w:pPr>
            <w:r>
              <w:rPr>
                <w:i/>
              </w:rPr>
              <w:t>Liquor Control (Mingullatharndo Restricted Area) Regulations 2023</w:t>
            </w:r>
            <w:r>
              <w:t xml:space="preserve"> Pt. 5</w:t>
            </w:r>
          </w:p>
        </w:tc>
        <w:tc>
          <w:tcPr>
            <w:tcW w:w="1276" w:type="dxa"/>
            <w:tcBorders>
              <w:top w:val="nil"/>
              <w:bottom w:val="nil"/>
            </w:tcBorders>
            <w:shd w:val="clear" w:color="auto" w:fill="auto"/>
          </w:tcPr>
          <w:p>
            <w:pPr>
              <w:pStyle w:val="nTable"/>
              <w:spacing w:after="40"/>
            </w:pPr>
            <w:r>
              <w:t>SL 2023/174 1 Nov 2023</w:t>
            </w:r>
          </w:p>
        </w:tc>
        <w:tc>
          <w:tcPr>
            <w:tcW w:w="2693" w:type="dxa"/>
            <w:tcBorders>
              <w:top w:val="nil"/>
              <w:bottom w:val="nil"/>
            </w:tcBorders>
            <w:shd w:val="clear" w:color="auto" w:fill="auto"/>
          </w:tcPr>
          <w:p>
            <w:pPr>
              <w:pStyle w:val="nTable"/>
              <w:spacing w:after="40"/>
            </w:pPr>
            <w:r>
              <w:t>2 Nov 2023 (see r. 2(b))</w:t>
            </w:r>
          </w:p>
        </w:tc>
      </w:tr>
      <w:tr>
        <w:trPr>
          <w:cantSplit/>
        </w:trPr>
        <w:tc>
          <w:tcPr>
            <w:tcW w:w="3119" w:type="dxa"/>
            <w:tcBorders>
              <w:top w:val="nil"/>
              <w:bottom w:val="nil"/>
            </w:tcBorders>
            <w:shd w:val="clear" w:color="auto" w:fill="auto"/>
          </w:tcPr>
          <w:p>
            <w:pPr>
              <w:pStyle w:val="nTable"/>
              <w:spacing w:after="40"/>
              <w:rPr>
                <w:iCs/>
              </w:rPr>
            </w:pPr>
            <w:r>
              <w:rPr>
                <w:i/>
              </w:rPr>
              <w:t xml:space="preserve">Liquor Control Amendment Regulations (No. 2) 2023 </w:t>
            </w:r>
            <w:r>
              <w:rPr>
                <w:iCs/>
              </w:rPr>
              <w:t>(other than Pt. 4)</w:t>
            </w:r>
          </w:p>
        </w:tc>
        <w:tc>
          <w:tcPr>
            <w:tcW w:w="1276" w:type="dxa"/>
            <w:tcBorders>
              <w:top w:val="nil"/>
              <w:bottom w:val="nil"/>
            </w:tcBorders>
            <w:shd w:val="clear" w:color="auto" w:fill="auto"/>
          </w:tcPr>
          <w:p>
            <w:pPr>
              <w:pStyle w:val="nTable"/>
              <w:spacing w:after="40"/>
            </w:pPr>
            <w:r>
              <w:t>SL 2023/196 13 Dec 2023</w:t>
            </w:r>
          </w:p>
        </w:tc>
        <w:tc>
          <w:tcPr>
            <w:tcW w:w="2693" w:type="dxa"/>
            <w:tcBorders>
              <w:top w:val="nil"/>
              <w:bottom w:val="nil"/>
            </w:tcBorders>
            <w:shd w:val="clear" w:color="auto" w:fill="auto"/>
          </w:tcPr>
          <w:p>
            <w:pPr>
              <w:pStyle w:val="nTable"/>
              <w:spacing w:after="40"/>
            </w:pPr>
            <w:r>
              <w:t>Pt. 1: 13 Dec 2023 (see r. 2(a));</w:t>
            </w:r>
            <w:r>
              <w:br/>
              <w:t>Pt. 2: 14 Dec 2023 (see r. 2(b))</w:t>
            </w:r>
            <w:r>
              <w:br/>
              <w:t>Pt. 3: 1 Jan 2024 (see r. 2(c))</w:t>
            </w:r>
          </w:p>
        </w:tc>
      </w:tr>
      <w:tr>
        <w:trPr>
          <w:cantSplit/>
        </w:trPr>
        <w:tc>
          <w:tcPr>
            <w:tcW w:w="3119" w:type="dxa"/>
            <w:tcBorders>
              <w:top w:val="nil"/>
              <w:bottom w:val="nil"/>
            </w:tcBorders>
            <w:shd w:val="clear" w:color="auto" w:fill="auto"/>
          </w:tcPr>
          <w:p>
            <w:pPr>
              <w:pStyle w:val="nTable"/>
              <w:spacing w:after="40"/>
              <w:rPr>
                <w:i/>
              </w:rPr>
            </w:pPr>
            <w:r>
              <w:rPr>
                <w:i/>
                <w:noProof/>
              </w:rPr>
              <w:t>Liquor Control (Weymul Restricted Area) Regulations 2024 </w:t>
            </w:r>
            <w:r>
              <w:t>Pt. 5</w:t>
            </w:r>
          </w:p>
        </w:tc>
        <w:tc>
          <w:tcPr>
            <w:tcW w:w="1276" w:type="dxa"/>
            <w:tcBorders>
              <w:top w:val="nil"/>
              <w:bottom w:val="nil"/>
            </w:tcBorders>
            <w:shd w:val="clear" w:color="auto" w:fill="auto"/>
          </w:tcPr>
          <w:p>
            <w:pPr>
              <w:pStyle w:val="nTable"/>
              <w:spacing w:after="40"/>
            </w:pPr>
            <w:r>
              <w:t>SL 2024/37</w:t>
            </w:r>
            <w:r>
              <w:br/>
              <w:t>20 Mar 2024</w:t>
            </w:r>
          </w:p>
        </w:tc>
        <w:tc>
          <w:tcPr>
            <w:tcW w:w="2693" w:type="dxa"/>
            <w:tcBorders>
              <w:top w:val="nil"/>
              <w:bottom w:val="nil"/>
            </w:tcBorders>
            <w:shd w:val="clear" w:color="auto" w:fill="auto"/>
          </w:tcPr>
          <w:p>
            <w:pPr>
              <w:pStyle w:val="nTable"/>
              <w:spacing w:after="40"/>
            </w:pPr>
            <w:r>
              <w:t>21 Mar 2024 (see r. 2(b))</w:t>
            </w:r>
          </w:p>
        </w:tc>
      </w:tr>
      <w:tr>
        <w:trPr>
          <w:cantSplit/>
        </w:trPr>
        <w:tc>
          <w:tcPr>
            <w:tcW w:w="3119" w:type="dxa"/>
            <w:tcBorders>
              <w:top w:val="nil"/>
              <w:bottom w:val="nil"/>
            </w:tcBorders>
            <w:shd w:val="clear" w:color="auto" w:fill="auto"/>
          </w:tcPr>
          <w:p>
            <w:pPr>
              <w:pStyle w:val="nTable"/>
              <w:spacing w:after="40"/>
              <w:rPr>
                <w:iCs/>
                <w:noProof/>
              </w:rPr>
            </w:pPr>
            <w:r>
              <w:rPr>
                <w:i/>
                <w:noProof/>
              </w:rPr>
              <w:t xml:space="preserve">Liquor Control (Strelley Restricted Area) Regulations 2024 </w:t>
            </w:r>
            <w:r>
              <w:rPr>
                <w:iCs/>
                <w:noProof/>
              </w:rPr>
              <w:t>Pt. 5</w:t>
            </w:r>
          </w:p>
        </w:tc>
        <w:tc>
          <w:tcPr>
            <w:tcW w:w="1276" w:type="dxa"/>
            <w:tcBorders>
              <w:top w:val="nil"/>
              <w:bottom w:val="nil"/>
            </w:tcBorders>
            <w:shd w:val="clear" w:color="auto" w:fill="auto"/>
          </w:tcPr>
          <w:p>
            <w:pPr>
              <w:pStyle w:val="nTable"/>
              <w:spacing w:after="40"/>
            </w:pPr>
            <w:r>
              <w:t>SL 2024/138 26 Jun 2024</w:t>
            </w:r>
          </w:p>
        </w:tc>
        <w:tc>
          <w:tcPr>
            <w:tcW w:w="2693" w:type="dxa"/>
            <w:tcBorders>
              <w:top w:val="nil"/>
              <w:bottom w:val="nil"/>
            </w:tcBorders>
            <w:shd w:val="clear" w:color="auto" w:fill="auto"/>
          </w:tcPr>
          <w:p>
            <w:pPr>
              <w:pStyle w:val="nTable"/>
              <w:spacing w:after="40"/>
            </w:pPr>
            <w:r>
              <w:t>27 Jun 2024 (see r. 2(b))</w:t>
            </w:r>
          </w:p>
        </w:tc>
      </w:tr>
      <w:tr>
        <w:trPr>
          <w:cantSplit/>
        </w:trPr>
        <w:tc>
          <w:tcPr>
            <w:tcW w:w="3119" w:type="dxa"/>
            <w:tcBorders>
              <w:top w:val="nil"/>
              <w:bottom w:val="nil"/>
            </w:tcBorders>
            <w:shd w:val="clear" w:color="auto" w:fill="auto"/>
          </w:tcPr>
          <w:p>
            <w:pPr>
              <w:pStyle w:val="nTable"/>
              <w:spacing w:after="40"/>
              <w:rPr>
                <w:i/>
                <w:noProof/>
              </w:rPr>
            </w:pPr>
            <w:r>
              <w:rPr>
                <w:bCs/>
                <w:i/>
                <w:noProof/>
              </w:rPr>
              <w:t>Racing and Gaming Regulations Amendment (Fees and Charges) Regulations 2024</w:t>
            </w:r>
            <w:r>
              <w:rPr>
                <w:bCs/>
                <w:iCs/>
                <w:noProof/>
              </w:rPr>
              <w:t xml:space="preserve"> Pt. 6</w:t>
            </w:r>
          </w:p>
        </w:tc>
        <w:tc>
          <w:tcPr>
            <w:tcW w:w="1276" w:type="dxa"/>
            <w:tcBorders>
              <w:top w:val="nil"/>
              <w:bottom w:val="nil"/>
            </w:tcBorders>
            <w:shd w:val="clear" w:color="auto" w:fill="auto"/>
          </w:tcPr>
          <w:p>
            <w:pPr>
              <w:pStyle w:val="nTable"/>
              <w:spacing w:after="40"/>
            </w:pPr>
            <w:r>
              <w:t>SL 2024/213 16 Oct 2024</w:t>
            </w:r>
          </w:p>
        </w:tc>
        <w:tc>
          <w:tcPr>
            <w:tcW w:w="2693" w:type="dxa"/>
            <w:tcBorders>
              <w:top w:val="nil"/>
              <w:bottom w:val="nil"/>
            </w:tcBorders>
            <w:shd w:val="clear" w:color="auto" w:fill="auto"/>
          </w:tcPr>
          <w:p>
            <w:pPr>
              <w:pStyle w:val="nTable"/>
              <w:spacing w:after="40"/>
            </w:pPr>
            <w:r>
              <w:t>1 Jan 2025 (see r. 2(b))</w:t>
            </w:r>
          </w:p>
        </w:tc>
      </w:tr>
      <w:tr>
        <w:trPr>
          <w:cantSplit/>
        </w:trPr>
        <w:tc>
          <w:tcPr>
            <w:tcW w:w="3119" w:type="dxa"/>
            <w:tcBorders>
              <w:top w:val="nil"/>
              <w:bottom w:val="nil"/>
            </w:tcBorders>
            <w:shd w:val="clear" w:color="auto" w:fill="auto"/>
          </w:tcPr>
          <w:p>
            <w:pPr>
              <w:pStyle w:val="nTable"/>
              <w:spacing w:after="40"/>
              <w:rPr>
                <w:bCs/>
                <w:i/>
                <w:noProof/>
              </w:rPr>
            </w:pPr>
            <w:r>
              <w:rPr>
                <w:i/>
              </w:rPr>
              <w:t>Liquor Control Amendment Regulations 2025</w:t>
            </w:r>
          </w:p>
        </w:tc>
        <w:tc>
          <w:tcPr>
            <w:tcW w:w="1276" w:type="dxa"/>
            <w:tcBorders>
              <w:top w:val="nil"/>
              <w:bottom w:val="nil"/>
            </w:tcBorders>
            <w:shd w:val="clear" w:color="auto" w:fill="auto"/>
          </w:tcPr>
          <w:p>
            <w:pPr>
              <w:pStyle w:val="nTable"/>
              <w:spacing w:after="40"/>
            </w:pPr>
            <w:r>
              <w:t>SL 2025/9 22 Jan 2025</w:t>
            </w:r>
          </w:p>
        </w:tc>
        <w:tc>
          <w:tcPr>
            <w:tcW w:w="2693" w:type="dxa"/>
            <w:tcBorders>
              <w:top w:val="nil"/>
              <w:bottom w:val="nil"/>
            </w:tcBorders>
            <w:shd w:val="clear" w:color="auto" w:fill="auto"/>
          </w:tcPr>
          <w:p>
            <w:pPr>
              <w:pStyle w:val="nTable"/>
              <w:spacing w:after="40"/>
            </w:pPr>
            <w:r>
              <w:t>r. 1 and 2: 22 Jan 2025 (see r. 2(a));</w:t>
            </w:r>
          </w:p>
          <w:p>
            <w:pPr>
              <w:pStyle w:val="nTable"/>
              <w:spacing w:after="40"/>
            </w:pPr>
            <w:r>
              <w:rPr>
                <w:bCs/>
                <w:snapToGrid w:val="0"/>
                <w:spacing w:val="-2"/>
              </w:rPr>
              <w:t>Regulations other than r. 1 and 2</w:t>
            </w:r>
            <w:r>
              <w:t>: 23 Jan 2025 (see r. 2(b))</w:t>
            </w:r>
          </w:p>
        </w:tc>
      </w:tr>
      <w:tr>
        <w:trPr>
          <w:cantSplit/>
        </w:trPr>
        <w:tc>
          <w:tcPr>
            <w:tcW w:w="3119" w:type="dxa"/>
            <w:tcBorders>
              <w:top w:val="nil"/>
              <w:bottom w:val="nil"/>
            </w:tcBorders>
            <w:shd w:val="clear" w:color="auto" w:fill="auto"/>
          </w:tcPr>
          <w:p>
            <w:pPr>
              <w:pStyle w:val="nTable"/>
              <w:spacing w:after="40"/>
              <w:rPr>
                <w:i/>
              </w:rPr>
            </w:pPr>
            <w:r>
              <w:rPr>
                <w:i/>
              </w:rPr>
              <w:t>Racing and Gaming Regulations Amendment (Liquor Control) Regulations (No. 2) 2025</w:t>
            </w:r>
            <w:r>
              <w:rPr>
                <w:iCs/>
              </w:rPr>
              <w:t xml:space="preserve"> Pt. 4</w:t>
            </w:r>
          </w:p>
        </w:tc>
        <w:tc>
          <w:tcPr>
            <w:tcW w:w="1276" w:type="dxa"/>
            <w:tcBorders>
              <w:top w:val="nil"/>
              <w:bottom w:val="nil"/>
            </w:tcBorders>
            <w:shd w:val="clear" w:color="auto" w:fill="auto"/>
          </w:tcPr>
          <w:p>
            <w:pPr>
              <w:pStyle w:val="nTable"/>
              <w:spacing w:after="40"/>
            </w:pPr>
            <w:r>
              <w:t>SL 2025/143 6 Aug 2025</w:t>
            </w:r>
          </w:p>
        </w:tc>
        <w:tc>
          <w:tcPr>
            <w:tcW w:w="2693" w:type="dxa"/>
            <w:tcBorders>
              <w:top w:val="nil"/>
              <w:bottom w:val="nil"/>
            </w:tcBorders>
            <w:shd w:val="clear" w:color="auto" w:fill="auto"/>
          </w:tcPr>
          <w:p>
            <w:pPr>
              <w:pStyle w:val="nTable"/>
              <w:spacing w:after="40"/>
            </w:pPr>
            <w:r>
              <w:t>7 Aug 2025 (see r. 2(b))</w:t>
            </w:r>
          </w:p>
        </w:tc>
      </w:tr>
      <w:tr>
        <w:trPr>
          <w:cantSplit/>
        </w:trPr>
        <w:tc>
          <w:tcPr>
            <w:tcW w:w="3119" w:type="dxa"/>
            <w:tcBorders>
              <w:top w:val="nil"/>
              <w:bottom w:val="single" w:sz="4" w:space="0" w:color="auto"/>
            </w:tcBorders>
            <w:shd w:val="clear" w:color="auto" w:fill="auto"/>
          </w:tcPr>
          <w:p>
            <w:pPr>
              <w:pStyle w:val="nTable"/>
              <w:spacing w:after="40"/>
              <w:rPr>
                <w:i/>
              </w:rPr>
            </w:pPr>
            <w:r>
              <w:rPr>
                <w:i/>
              </w:rPr>
              <w:lastRenderedPageBreak/>
              <w:t>Liquor Control Amendment Regulations (No. 2) 2025</w:t>
            </w:r>
          </w:p>
        </w:tc>
        <w:tc>
          <w:tcPr>
            <w:tcW w:w="1276" w:type="dxa"/>
            <w:tcBorders>
              <w:top w:val="nil"/>
              <w:bottom w:val="single" w:sz="4" w:space="0" w:color="auto"/>
            </w:tcBorders>
            <w:shd w:val="clear" w:color="auto" w:fill="auto"/>
          </w:tcPr>
          <w:p>
            <w:pPr>
              <w:pStyle w:val="nTable"/>
              <w:spacing w:after="40"/>
            </w:pPr>
            <w:r>
              <w:t>SL 2025/149 20 Aug 2025</w:t>
            </w:r>
          </w:p>
        </w:tc>
        <w:tc>
          <w:tcPr>
            <w:tcW w:w="2693" w:type="dxa"/>
            <w:tcBorders>
              <w:top w:val="nil"/>
              <w:bottom w:val="single" w:sz="4" w:space="0" w:color="auto"/>
            </w:tcBorders>
            <w:shd w:val="clear" w:color="auto" w:fill="auto"/>
          </w:tcPr>
          <w:p>
            <w:pPr>
              <w:pStyle w:val="nTable"/>
              <w:spacing w:after="40"/>
            </w:pPr>
            <w:r>
              <w:t>r. 1 and 2: 20 Aug 2025 (see r. 2(a));</w:t>
            </w:r>
            <w:r>
              <w:br/>
            </w:r>
            <w:r>
              <w:rPr>
                <w:bCs/>
                <w:snapToGrid w:val="0"/>
                <w:spacing w:val="-2"/>
              </w:rPr>
              <w:t>Regulations other than r. 1 and 2</w:t>
            </w:r>
            <w:r>
              <w:t>: 21 Aug 2025 (see r. 2(b))</w:t>
            </w:r>
          </w:p>
        </w:tc>
      </w:tr>
    </w:tbl>
    <w:p>
      <w:pPr>
        <w:pStyle w:val="nHeading3"/>
      </w:pPr>
      <w:bookmarkStart w:id="134" w:name="_Toc206081388"/>
      <w:r>
        <w:t>Uncommenced provisions table</w:t>
      </w:r>
      <w:bookmarkEnd w:id="13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single" w:sz="4" w:space="0" w:color="auto"/>
            </w:tcBorders>
          </w:tcPr>
          <w:p>
            <w:pPr>
              <w:pStyle w:val="nTable"/>
              <w:spacing w:after="40"/>
              <w:rPr>
                <w:bCs/>
                <w:iCs/>
                <w:noProof/>
              </w:rPr>
            </w:pPr>
            <w:r>
              <w:rPr>
                <w:bCs/>
                <w:i/>
                <w:noProof/>
              </w:rPr>
              <w:t>Liquor Control Amendment Regulations (No. 2) 2023</w:t>
            </w:r>
            <w:r>
              <w:rPr>
                <w:bCs/>
                <w:iCs/>
                <w:noProof/>
              </w:rPr>
              <w:t xml:space="preserve"> Pt. 4</w:t>
            </w:r>
          </w:p>
        </w:tc>
        <w:tc>
          <w:tcPr>
            <w:tcW w:w="1276" w:type="dxa"/>
            <w:tcBorders>
              <w:top w:val="single" w:sz="8" w:space="0" w:color="auto"/>
              <w:bottom w:val="single" w:sz="4" w:space="0" w:color="auto"/>
            </w:tcBorders>
          </w:tcPr>
          <w:p>
            <w:pPr>
              <w:pStyle w:val="nTable"/>
              <w:spacing w:after="40"/>
            </w:pPr>
            <w:r>
              <w:t>SL 2023/196 13 Dec 2023</w:t>
            </w:r>
          </w:p>
        </w:tc>
        <w:tc>
          <w:tcPr>
            <w:tcW w:w="2693" w:type="dxa"/>
            <w:tcBorders>
              <w:top w:val="single" w:sz="8" w:space="0" w:color="auto"/>
              <w:bottom w:val="single" w:sz="4" w:space="0" w:color="auto"/>
            </w:tcBorders>
          </w:tcPr>
          <w:p>
            <w:pPr>
              <w:pStyle w:val="nTable"/>
              <w:spacing w:after="40"/>
            </w:pPr>
            <w:r>
              <w:t>14 Dec 2025 (see r. 2(d))</w:t>
            </w:r>
          </w:p>
        </w:tc>
      </w:tr>
    </w:tbl>
    <w:p>
      <w:pPr>
        <w:pStyle w:val="nHeading3"/>
        <w:keepLines/>
        <w:widowControl w:val="0"/>
      </w:pPr>
      <w:bookmarkStart w:id="135" w:name="_Toc206081389"/>
      <w:r>
        <w:t>Other notes</w:t>
      </w:r>
      <w:bookmarkEnd w:id="135"/>
    </w:p>
    <w:p>
      <w:pPr>
        <w:pStyle w:val="nNote"/>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Note"/>
      </w:pPr>
      <w:r>
        <w:rPr>
          <w:vertAlign w:val="superscript"/>
        </w:rPr>
        <w:t>2</w:t>
      </w:r>
      <w:r>
        <w:tab/>
        <w:t xml:space="preserve">Repealed by the </w:t>
      </w:r>
      <w:r>
        <w:rPr>
          <w:i/>
        </w:rPr>
        <w:t xml:space="preserve">Tax </w:t>
      </w:r>
      <w:r>
        <w:rPr>
          <w:i/>
          <w:iCs/>
        </w:rPr>
        <w:t>Laws Amendment (Repeal of Inoperative Provisions) Act 2006</w:t>
      </w:r>
      <w:r>
        <w:t xml:space="preserve"> (Cwlth).</w:t>
      </w:r>
    </w:p>
    <w:p>
      <w:pPr>
        <w:pStyle w:val="nNote"/>
      </w:pPr>
      <w:r>
        <w:rPr>
          <w:vertAlign w:val="superscript"/>
        </w:rPr>
        <w:t>3</w:t>
      </w:r>
      <w:r>
        <w:tab/>
        <w:t>Commenced 1 July 2014.</w:t>
      </w:r>
    </w:p>
    <w:p>
      <w:pPr>
        <w:pStyle w:val="nNote"/>
      </w:pPr>
      <w:r>
        <w:rPr>
          <w:vertAlign w:val="superscript"/>
        </w:rPr>
        <w:t>4</w:t>
      </w:r>
      <w:r>
        <w:tab/>
        <w:t xml:space="preserve">Now known as the </w:t>
      </w:r>
      <w:r>
        <w:rPr>
          <w:i/>
          <w:iCs/>
        </w:rPr>
        <w:t>Liquor Control Regulations 1989</w:t>
      </w:r>
      <w:r>
        <w:t>; citation changed (see note under r. 1).</w:t>
      </w:r>
    </w:p>
    <w:p>
      <w:pPr>
        <w:pStyle w:val="nNote"/>
      </w:pPr>
      <w:r>
        <w:rPr>
          <w:vertAlign w:val="superscript"/>
        </w:rPr>
        <w:t>5</w:t>
      </w:r>
      <w:r>
        <w:tab/>
        <w:t xml:space="preserve">Disallowed on 26 Apr 1992, see </w:t>
      </w:r>
      <w:r>
        <w:rPr>
          <w:i/>
        </w:rPr>
        <w:t>Gazette</w:t>
      </w:r>
      <w:r>
        <w:t xml:space="preserve"> 1 May 1992 p. 1844.</w:t>
      </w:r>
    </w:p>
    <w:p>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1</w:t>
      </w:r>
      <w:r>
        <w:t xml:space="preserve"> above). </w:t>
      </w:r>
    </w:p>
    <w:p>
      <w:pPr>
        <w:pStyle w:val="nNote"/>
      </w:pPr>
      <w:r>
        <w:rPr>
          <w:vertAlign w:val="superscript"/>
        </w:rPr>
        <w:t>9</w:t>
      </w:r>
      <w:r>
        <w:tab/>
        <w:t xml:space="preserve">Disallowed on 13 Sep 2012, see </w:t>
      </w:r>
      <w:r>
        <w:rPr>
          <w:i/>
        </w:rPr>
        <w:t>Gazette</w:t>
      </w:r>
      <w:r>
        <w:t xml:space="preserve"> 18 Sep 2012 p. 4411.</w:t>
      </w:r>
    </w:p>
    <w:p>
      <w:pPr>
        <w:sectPr>
          <w:headerReference w:type="even" r:id="rId39"/>
          <w:headerReference w:type="default" r:id="rId40"/>
          <w:pgSz w:w="11907" w:h="16840" w:code="9"/>
          <w:pgMar w:top="2376" w:right="2404" w:bottom="3544" w:left="2404" w:header="720" w:footer="3544" w:gutter="0"/>
          <w:cols w:space="720"/>
          <w:noEndnote/>
          <w:docGrid w:linePitch="326"/>
        </w:sectPr>
      </w:pPr>
    </w:p>
    <w:p>
      <w:pPr>
        <w:pStyle w:val="nHeading2"/>
        <w:rPr>
          <w:sz w:val="28"/>
        </w:rPr>
      </w:pPr>
      <w:bookmarkStart w:id="137" w:name="_Toc206071321"/>
      <w:bookmarkStart w:id="138" w:name="_Toc206073047"/>
      <w:bookmarkStart w:id="139" w:name="_Toc206081390"/>
      <w:r>
        <w:rPr>
          <w:sz w:val="28"/>
        </w:rPr>
        <w:lastRenderedPageBreak/>
        <w:t>Defined terms</w:t>
      </w:r>
      <w:bookmarkEnd w:id="137"/>
      <w:bookmarkEnd w:id="138"/>
      <w:bookmarkEnd w:id="1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w:t>
      </w:r>
    </w:p>
    <w:p>
      <w:pPr>
        <w:pStyle w:val="DefinedTerms"/>
      </w:pPr>
      <w:r>
        <w:t>approval application</w:t>
      </w:r>
      <w:r>
        <w:tab/>
        <w:t>14ADA(1)</w:t>
      </w:r>
    </w:p>
    <w:p>
      <w:pPr>
        <w:pStyle w:val="DefinedTerms"/>
      </w:pPr>
      <w:r>
        <w:t>approved manager</w:t>
      </w:r>
      <w:r>
        <w:tab/>
        <w:t>3A(1)</w:t>
      </w:r>
    </w:p>
    <w:p>
      <w:pPr>
        <w:pStyle w:val="DefinedTerms"/>
      </w:pPr>
      <w:r>
        <w:t>approved provider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18(1)</w:t>
      </w:r>
    </w:p>
    <w:p>
      <w:pPr>
        <w:pStyle w:val="DefinedTerms"/>
      </w:pPr>
      <w:r>
        <w:t>authorised arrangement</w:t>
      </w:r>
      <w:r>
        <w:tab/>
        <w:t>8E(1)</w:t>
      </w:r>
    </w:p>
    <w:p>
      <w:pPr>
        <w:pStyle w:val="DefinedTerms"/>
      </w:pPr>
      <w:r>
        <w:t>Authority</w:t>
      </w:r>
      <w:r>
        <w:tab/>
        <w:t>3A(1)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3A(1)</w:t>
      </w:r>
    </w:p>
    <w:p>
      <w:pPr>
        <w:pStyle w:val="DefinedTerms"/>
      </w:pPr>
      <w:r>
        <w:t>cruise ship</w:t>
      </w:r>
      <w:r>
        <w:tab/>
        <w:t>8(3)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Deposited Plan</w:t>
      </w:r>
      <w:r>
        <w:tab/>
        <w:t>3A(1)</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ID system</w:t>
      </w:r>
      <w:r>
        <w:tab/>
        <w:t>3A(1)</w:t>
      </w:r>
    </w:p>
    <w:p>
      <w:pPr>
        <w:pStyle w:val="DefinedTerms"/>
      </w:pPr>
      <w:r>
        <w:t>inter-State voyage</w:t>
      </w:r>
      <w:r>
        <w:tab/>
        <w:t>8(3)</w:t>
      </w:r>
    </w:p>
    <w:p>
      <w:pPr>
        <w:pStyle w:val="DefinedTerms"/>
      </w:pPr>
      <w:r>
        <w:t>judge</w:t>
      </w:r>
      <w:r>
        <w:tab/>
        <w:t>8G(1)</w:t>
      </w:r>
    </w:p>
    <w:p>
      <w:pPr>
        <w:pStyle w:val="DefinedTerms"/>
      </w:pPr>
      <w:r>
        <w:t>liqueur chocolate</w:t>
      </w:r>
      <w:r>
        <w:tab/>
        <w:t>4AD(1)</w:t>
      </w:r>
    </w:p>
    <w:p>
      <w:pPr>
        <w:pStyle w:val="DefinedTerms"/>
      </w:pPr>
      <w:r>
        <w:t>liquor competition</w:t>
      </w:r>
      <w:r>
        <w:tab/>
        <w:t>8G(1)</w:t>
      </w:r>
    </w:p>
    <w:p>
      <w:pPr>
        <w:pStyle w:val="DefinedTerms"/>
      </w:pPr>
      <w:r>
        <w:t>liquor producer</w:t>
      </w:r>
      <w:r>
        <w:tab/>
        <w:t>8D(1)</w:t>
      </w:r>
    </w:p>
    <w:p>
      <w:pPr>
        <w:pStyle w:val="DefinedTerms"/>
      </w:pPr>
      <w:r>
        <w:t>liquor restricted premises</w:t>
      </w:r>
      <w:r>
        <w:tab/>
        <w:t>3A(1)</w:t>
      </w:r>
    </w:p>
    <w:p>
      <w:pPr>
        <w:pStyle w:val="DefinedTerms"/>
      </w:pPr>
      <w:r>
        <w:t>live entertainment</w:t>
      </w:r>
      <w:r>
        <w:tab/>
        <w:t>8A(1)</w:t>
      </w:r>
    </w:p>
    <w:p>
      <w:pPr>
        <w:pStyle w:val="DefinedTerms"/>
      </w:pPr>
      <w:r>
        <w:lastRenderedPageBreak/>
        <w:t>manager’s approval</w:t>
      </w:r>
      <w:r>
        <w:tab/>
        <w:t>3A(1)</w:t>
      </w:r>
    </w:p>
    <w:p>
      <w:pPr>
        <w:pStyle w:val="DefinedTerms"/>
      </w:pPr>
      <w:r>
        <w:t>maximum number of patrons</w:t>
      </w:r>
      <w:r>
        <w:tab/>
        <w:t>3A(1)</w:t>
      </w:r>
    </w:p>
    <w:p>
      <w:pPr>
        <w:pStyle w:val="DefinedTerms"/>
      </w:pPr>
      <w:r>
        <w:t>metropolitan region</w:t>
      </w:r>
      <w:r>
        <w:tab/>
        <w:t>3A(1)</w:t>
      </w:r>
    </w:p>
    <w:p>
      <w:pPr>
        <w:pStyle w:val="DefinedTerms"/>
      </w:pPr>
      <w:r>
        <w:t>negative determination</w:t>
      </w:r>
      <w:r>
        <w:tab/>
        <w:t>8A(1)</w:t>
      </w:r>
    </w:p>
    <w:p>
      <w:pPr>
        <w:pStyle w:val="DefinedTerms"/>
      </w:pPr>
      <w:r>
        <w:t>notional wholesale selling price</w:t>
      </w:r>
      <w:r>
        <w:tab/>
        <w:t>3A(1)</w:t>
      </w:r>
    </w:p>
    <w:p>
      <w:pPr>
        <w:pStyle w:val="DefinedTerms"/>
      </w:pPr>
      <w:r>
        <w:t>on-demand charter vehicle authorisation</w:t>
      </w:r>
      <w:r>
        <w:tab/>
        <w:t>8F(1)</w:t>
      </w:r>
    </w:p>
    <w:p>
      <w:pPr>
        <w:pStyle w:val="DefinedTerms"/>
      </w:pPr>
      <w:r>
        <w:t>organised function</w:t>
      </w:r>
      <w:r>
        <w:tab/>
        <w:t>8E(1)</w:t>
      </w:r>
    </w:p>
    <w:p>
      <w:pPr>
        <w:pStyle w:val="DefinedTerms"/>
      </w:pPr>
      <w:r>
        <w:t>overseas voyage</w:t>
      </w:r>
      <w:r>
        <w:tab/>
        <w:t>8(3)</w:t>
      </w:r>
    </w:p>
    <w:p>
      <w:pPr>
        <w:pStyle w:val="DefinedTerms"/>
      </w:pPr>
      <w:r>
        <w:t>photograph</w:t>
      </w:r>
      <w:r>
        <w:tab/>
        <w:t>18B(3a), 18C(2)</w:t>
      </w:r>
    </w:p>
    <w:p>
      <w:pPr>
        <w:pStyle w:val="DefinedTerms"/>
      </w:pPr>
      <w:r>
        <w:t>powdered alcohol</w:t>
      </w:r>
      <w:r>
        <w:tab/>
        <w:t>4AD(1)</w:t>
      </w:r>
    </w:p>
    <w:p>
      <w:pPr>
        <w:pStyle w:val="DefinedTerms"/>
      </w:pPr>
      <w:r>
        <w:t>prescribed incident</w:t>
      </w:r>
      <w:r>
        <w:tab/>
        <w:t>3A(1)</w:t>
      </w:r>
    </w:p>
    <w:p>
      <w:pPr>
        <w:pStyle w:val="DefinedTerms"/>
      </w:pPr>
      <w:r>
        <w:t>prescribed permit</w:t>
      </w:r>
      <w:r>
        <w:tab/>
        <w:t>14AC(1)</w:t>
      </w:r>
    </w:p>
    <w:p>
      <w:pPr>
        <w:pStyle w:val="DefinedTerms"/>
      </w:pPr>
      <w:r>
        <w:t>primary producer</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qualifying intra-State voyage</w:t>
      </w:r>
      <w:r>
        <w:tab/>
        <w:t>8(3)</w:t>
      </w:r>
    </w:p>
    <w:p>
      <w:pPr>
        <w:pStyle w:val="DefinedTerms"/>
      </w:pPr>
      <w:r>
        <w:t>qualifying person</w:t>
      </w:r>
      <w:r>
        <w:tab/>
        <w:t>8(3)</w:t>
      </w:r>
    </w:p>
    <w:p>
      <w:pPr>
        <w:pStyle w:val="DefinedTerms"/>
      </w:pPr>
      <w:r>
        <w:t>relevant body corporate</w:t>
      </w:r>
      <w:r>
        <w:tab/>
        <w:t>5B(2), (3), (4)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resident</w:t>
      </w:r>
      <w:r>
        <w:tab/>
        <w:t>8(1), (2)</w:t>
      </w:r>
    </w:p>
    <w:p>
      <w:pPr>
        <w:pStyle w:val="DefinedTerms"/>
      </w:pPr>
      <w:r>
        <w:t>residential care</w:t>
      </w:r>
      <w:r>
        <w:tab/>
        <w:t>8(2)</w:t>
      </w:r>
    </w:p>
    <w:p>
      <w:pPr>
        <w:pStyle w:val="DefinedTerms"/>
      </w:pPr>
      <w:r>
        <w:t>responsible adult</w:t>
      </w:r>
      <w:r>
        <w:tab/>
        <w:t>8A(1), 8F(1)</w:t>
      </w:r>
    </w:p>
    <w:p>
      <w:pPr>
        <w:pStyle w:val="DefinedTerms"/>
      </w:pPr>
      <w:r>
        <w:t>restricted area</w:t>
      </w:r>
      <w:r>
        <w:tab/>
        <w:t>3A(1)</w:t>
      </w:r>
    </w:p>
    <w:p>
      <w:pPr>
        <w:pStyle w:val="DefinedTerms"/>
      </w:pPr>
      <w:r>
        <w:t>restricted material</w:t>
      </w:r>
      <w:r>
        <w:tab/>
        <w:t>8A(1)</w:t>
      </w:r>
    </w:p>
    <w:p>
      <w:pPr>
        <w:pStyle w:val="DefinedTerms"/>
      </w:pPr>
      <w:r>
        <w:t>retail sale</w:t>
      </w:r>
      <w:r>
        <w:tab/>
        <w:t>4A(2)</w:t>
      </w:r>
    </w:p>
    <w:p>
      <w:pPr>
        <w:pStyle w:val="DefinedTerms"/>
      </w:pPr>
      <w:r>
        <w:t>retirement village</w:t>
      </w:r>
      <w:r>
        <w:tab/>
        <w:t>8(2)</w:t>
      </w:r>
    </w:p>
    <w:p>
      <w:pPr>
        <w:pStyle w:val="DefinedTerms"/>
      </w:pPr>
      <w:r>
        <w:t>road</w:t>
      </w:r>
      <w:r>
        <w:tab/>
        <w:t>3A(1)</w:t>
      </w:r>
    </w:p>
    <w:p>
      <w:pPr>
        <w:pStyle w:val="DefinedTerms"/>
      </w:pPr>
      <w:r>
        <w:t>room service restaurant</w:t>
      </w:r>
      <w:r>
        <w:tab/>
        <w:t>9A(17)</w:t>
      </w:r>
    </w:p>
    <w:p>
      <w:pPr>
        <w:pStyle w:val="DefinedTerms"/>
      </w:pPr>
      <w:r>
        <w:t>sale</w:t>
      </w:r>
      <w:r>
        <w:tab/>
        <w:t>5(2)</w:t>
      </w:r>
    </w:p>
    <w:p>
      <w:pPr>
        <w:pStyle w:val="DefinedTerms"/>
      </w:pPr>
      <w:r>
        <w:t>school</w:t>
      </w:r>
      <w:r>
        <w:tab/>
        <w:t>8E(1)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town</w:t>
      </w:r>
      <w:r>
        <w:tab/>
        <w:t>16AA(1)</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lastRenderedPageBreak/>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Pr>
        <w:sectPr>
          <w:headerReference w:type="even" r:id="rId41"/>
          <w:headerReference w:type="default" r:id="rId4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72576" behindDoc="0" locked="0" layoutInCell="1" allowOverlap="1">
                <wp:simplePos x="0" y="0"/>
                <wp:positionH relativeFrom="page">
                  <wp:align>center</wp:align>
                </wp:positionH>
                <wp:positionV relativeFrom="page">
                  <wp:posOffset>7505700</wp:posOffset>
                </wp:positionV>
                <wp:extent cx="127000" cy="647700"/>
                <wp:effectExtent l="0" t="0" r="1905" b="0"/>
                <wp:wrapNone/>
                <wp:docPr id="9"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4F02377" id="_x0000_t202" coordsize="21600,21600" o:spt="202" path="m,l,21600r21600,l21600,xe">
                <v:stroke joinstyle="miter"/>
                <v:path gradientshapeok="t" o:connecttype="rect"/>
              </v:shapetype>
              <v:shape id="Authority" o:spid="_x0000_s1026" type="#_x0000_t202" style="position:absolute;margin-left:0;margin-top:591pt;width:10pt;height:51pt;z-index:25167257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fKlvsD0CAAB4BAAADgAAAAAA&#10;AAAAAAAAAAAuAgAAZHJzL2Uyb0RvYy54bWxQSwECLQAUAAYACAAAACEAY38uG9wAAAAJAQAADwAA&#10;AAAAAAAAAAAAAACXBAAAZHJzL2Rvd25yZXYueG1sUEsFBgAAAAAEAAQA8wAAAKAFAAAAAA==&#10;" stroked="f" strokeweight=".5pt">
                <v:textbox>
                  <w:txbxContent>
                    <w:p w14:paraId="24CD9CA7" w14:textId="4018EDE0" w:rsidR="00110A77" w:rsidRDefault="00EE26A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A4B89">
                        <w:rPr>
                          <w:sz w:val="16"/>
                        </w:rPr>
                        <w:t>2025</w:t>
                      </w:r>
                      <w:r>
                        <w:rPr>
                          <w:sz w:val="16"/>
                        </w:rPr>
                        <w:fldChar w:fldCharType="end"/>
                      </w:r>
                      <w:r>
                        <w:rPr>
                          <w:sz w:val="16"/>
                        </w:rPr>
                        <w:t>.</w:t>
                      </w:r>
                    </w:p>
                    <w:p w14:paraId="7EFF6A90" w14:textId="77777777" w:rsidR="00110A77" w:rsidRDefault="00EE26A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7A8037C" w14:textId="4EF1C5DA" w:rsidR="00110A77" w:rsidRDefault="00EE26A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A4B89">
                        <w:rPr>
                          <w:sz w:val="16"/>
                        </w:rPr>
                        <w:t>2025</w:t>
                      </w:r>
                      <w:r>
                        <w:rPr>
                          <w:sz w:val="16"/>
                        </w:rPr>
                        <w:fldChar w:fldCharType="end"/>
                      </w:r>
                      <w:r>
                        <w:rPr>
                          <w:sz w:val="16"/>
                        </w:rPr>
                        <w:t>.</w:t>
                      </w:r>
                    </w:p>
                    <w:p w14:paraId="739A788C" w14:textId="77777777" w:rsidR="00110A77" w:rsidRDefault="00EE26A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3"/>
      <w:headerReference w:type="default" r:id="rId44"/>
      <w:footerReference w:type="even" r:id="rId45"/>
      <w:footerReference w:type="default" r:id="rId46"/>
      <w:headerReference w:type="first" r:id="rId47"/>
      <w:footerReference w:type="first" r:id="rId4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Aug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14-aq0-00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14-aq0-00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14-aq0-00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Aug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14-aq0-00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14-aq0-00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14-aq0-00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6" w:name="Compilation"/>
    <w:bookmarkEnd w:id="13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0" w:name="DefinedTerms"/>
    <w:bookmarkEnd w:id="140"/>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1" w:name="Coversheet"/>
    <w:bookmarkEnd w:id="1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42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814133811"/>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 w:name="WAFER_20201104122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22907_GUID" w:val="b0060916-6984-40c8-9821-fc64138307e1"/>
    <w:docVar w:name="WAFER_20210621102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2542_GUID" w:val="6dea6647-2480-4301-8bfd-e4c2485e6c9e"/>
    <w:docVar w:name="WAFER_20210916115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15532_GUID" w:val="d1af8b8e-c9ff-4a00-92d7-9e1fe73ec6a8"/>
    <w:docVar w:name="WAFER_20211201104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04146_GUID" w:val="fd564dab-da09-4e4a-880d-d51e93f171a8"/>
    <w:docVar w:name="WAFER_202201241121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141_GUID" w:val="2cbbad30-6da3-47ea-8d1c-56e2e9d27097"/>
    <w:docVar w:name="WAFER_202208091540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055_GUID" w:val="cd2fc6ae-94fc-482e-b7d4-530587ce02a7"/>
    <w:docVar w:name="WAFER_20221220124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028_GUID" w:val="3d6af505-93b7-4066-be4a-e4f47bb3dff3"/>
    <w:docVar w:name="WAFER_20230803144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3144919_GUID" w:val="73a6a266-36c5-4d7a-8e76-07d0c42a765f"/>
    <w:docVar w:name="WAFER_20231017093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7093422_GUID" w:val="a9110920-8a6b-4962-9b23-c78a17ba177b"/>
    <w:docVar w:name="WAFER_202310170935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17093516_GUID" w:val="8e1e8afe-4245-4474-abc0-7ef4ecf67f41"/>
    <w:docVar w:name="WAFER_20231030134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0134801_GUID" w:val="70098155-c863-4003-b79c-9caaf5671d4a"/>
    <w:docVar w:name="WAFER_202312111019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101958_GUID" w:val="4a684c71-5a29-4af9-9b3b-a0cd612d3236"/>
    <w:docVar w:name="WAFER_20231220154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312_GUID" w:val="0c16c765-6921-45f3-a4b7-5c04b966d303"/>
    <w:docVar w:name="WAFER_2024031413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34401_GUID" w:val="b3bdc44d-a9ab-4484-991e-9c38fefd5fd2"/>
    <w:docVar w:name="WAFER_20240621151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51239_GUID" w:val="63d4e016-aa49-43d8-936a-f9459834ffa7"/>
    <w:docVar w:name="WAFER_20241010134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4124_GUID" w:val="1c5abe0c-4779-4bec-b19d-19e0381d3872"/>
    <w:docVar w:name="WAFER_202412230936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093601_GUID" w:val="4b22cd64-35df-4e74-9428-e0dbf454949f"/>
    <w:docVar w:name="WAFER_202501170850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085018_GUID" w:val="9356635c-473c-4a90-ba36-e6b789810ca0"/>
    <w:docVar w:name="WAFER_20250117085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17085052_GUID" w:val="8258404c-a7d1-4354-9814-5ade63d6988a"/>
    <w:docVar w:name="WAFER_202508010935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01093541_GUID" w:val="3f425043-6151-4205-ace9-1fd71d49ccba"/>
    <w:docVar w:name="WAFER_202508141338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14133811_GUID" w:val="348730c7-edd1-4dd9-a864-7ea43da1ae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2017"/>
    <o:shapelayout v:ext="edit">
      <o:idmap v:ext="edit" data="1"/>
    </o:shapelayout>
  </w:shapeDefaults>
  <w:decimalSymbol w:val="."/>
  <w:listSeparator w:val=","/>
  <w15:docId w15:val="{DEDE11C4-8E13-4497-840F-86477C31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wmf"/><Relationship Id="rId39" Type="http://schemas.openxmlformats.org/officeDocument/2006/relationships/header" Target="header16.xml"/><Relationship Id="rId21" Type="http://schemas.openxmlformats.org/officeDocument/2006/relationships/image" Target="media/image2.wmf"/><Relationship Id="rId34" Type="http://schemas.openxmlformats.org/officeDocument/2006/relationships/image" Target="media/image7.png"/><Relationship Id="rId42" Type="http://schemas.openxmlformats.org/officeDocument/2006/relationships/header" Target="header19.xml"/><Relationship Id="rId47" Type="http://schemas.openxmlformats.org/officeDocument/2006/relationships/header" Target="header22.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2.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5.pn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image" Target="media/image9.jpeg"/><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image" Target="media/image8.png"/><Relationship Id="rId43" Type="http://schemas.openxmlformats.org/officeDocument/2006/relationships/header" Target="header20.xml"/><Relationship Id="rId48"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6.png"/><Relationship Id="rId38" Type="http://schemas.openxmlformats.org/officeDocument/2006/relationships/header" Target="header15.xml"/><Relationship Id="rId46" Type="http://schemas.openxmlformats.org/officeDocument/2006/relationships/footer" Target="footer8.xml"/><Relationship Id="rId20" Type="http://schemas.openxmlformats.org/officeDocument/2006/relationships/footer" Target="footer6.xml"/><Relationship Id="rId41"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224399-6DD6-43A4-BC88-7ADEC08D1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31989</Words>
  <Characters>152908</Characters>
  <Application>Microsoft Office Word</Application>
  <DocSecurity>0</DocSecurity>
  <Lines>5272</Lines>
  <Paragraphs>3133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1989 - 14-aq0-00</dc:title>
  <dc:subject/>
  <dc:creator/>
  <cp:keywords/>
  <dc:description/>
  <cp:lastModifiedBy>Master Repository Process</cp:lastModifiedBy>
  <cp:revision>4</cp:revision>
  <cp:lastPrinted>2019-12-05T02:25:00Z</cp:lastPrinted>
  <dcterms:created xsi:type="dcterms:W3CDTF">2025-08-19T03:17:00Z</dcterms:created>
  <dcterms:modified xsi:type="dcterms:W3CDTF">2025-08-19T03:17:00Z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CommencementDate">
    <vt:lpwstr>20250821</vt:lpwstr>
  </property>
  <property fmtid="{D5CDD505-2E9C-101B-9397-08002B2CF9AE}" pid="8" name="CommencementAsAt">
    <vt:filetime>2025-08-20T16:00:00Z</vt:filetime>
  </property>
  <property fmtid="{D5CDD505-2E9C-101B-9397-08002B2CF9AE}" pid="9" name="CommencementYear">
    <vt:lpwstr>2025</vt:lpwstr>
  </property>
  <property fmtid="{D5CDD505-2E9C-101B-9397-08002B2CF9AE}" pid="10" name="AsAtDate">
    <vt:lpwstr>21 Aug 2025</vt:lpwstr>
  </property>
  <property fmtid="{D5CDD505-2E9C-101B-9397-08002B2CF9AE}" pid="11" name="Suffix">
    <vt:lpwstr>14-aq0-00</vt:lpwstr>
  </property>
  <property fmtid="{D5CDD505-2E9C-101B-9397-08002B2CF9AE}" pid="12" name="Official">
    <vt:lpwstr/>
  </property>
</Properties>
</file>