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Control of Vehicles (Off-road Areas) Amendment Act 2025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Control of Vehicles (Off-road Areas) Amendment Act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_Toc206760107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_Toc206760108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_Toc206760109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28A amended</w:t>
      </w:r>
      <w:r>
        <w:tab/>
      </w:r>
      <w:r>
        <w:fldChar w:fldCharType="begin"/>
      </w:r>
      <w:r>
        <w:instrText xml:space="preserve"> PAGEREF _Toc206760110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29A amended</w:t>
      </w:r>
      <w:r>
        <w:tab/>
      </w:r>
      <w:r>
        <w:fldChar w:fldCharType="begin"/>
      </w:r>
      <w:r>
        <w:instrText xml:space="preserve"> PAGEREF _Toc206760111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31 amended</w:t>
      </w:r>
      <w:r>
        <w:tab/>
      </w:r>
      <w:r>
        <w:fldChar w:fldCharType="begin"/>
      </w:r>
      <w:r>
        <w:instrText xml:space="preserve"> PAGEREF _Toc206760112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34 amended</w:t>
      </w:r>
      <w:r>
        <w:tab/>
      </w:r>
      <w:r>
        <w:fldChar w:fldCharType="begin"/>
      </w:r>
      <w:r>
        <w:instrText xml:space="preserve"> PAGEREF _Toc206760113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35 amended</w:t>
      </w:r>
      <w:r>
        <w:tab/>
      </w:r>
      <w:r>
        <w:fldChar w:fldCharType="begin"/>
      </w:r>
      <w:r>
        <w:instrText xml:space="preserve"> PAGEREF _Toc206760114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37 amended</w:t>
      </w:r>
      <w:r>
        <w:tab/>
      </w:r>
      <w:r>
        <w:fldChar w:fldCharType="begin"/>
      </w:r>
      <w:r>
        <w:instrText xml:space="preserve"> PAGEREF _Toc206760115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41 deleted</w:t>
      </w:r>
      <w:r>
        <w:tab/>
      </w:r>
      <w:r>
        <w:fldChar w:fldCharType="begin"/>
      </w:r>
      <w:r>
        <w:instrText xml:space="preserve"> PAGEREF _Toc206760116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 46 amended</w:t>
      </w:r>
      <w:r>
        <w:tab/>
      </w:r>
      <w:r>
        <w:fldChar w:fldCharType="begin"/>
      </w:r>
      <w:r>
        <w:instrText xml:space="preserve"> PAGEREF _Toc206760117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Section 48 amended</w:t>
      </w:r>
      <w:r>
        <w:tab/>
      </w:r>
      <w:r>
        <w:fldChar w:fldCharType="begin"/>
      </w:r>
      <w:r>
        <w:instrText xml:space="preserve"> PAGEREF _Toc206760118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Section 50 inserted</w:t>
      </w:r>
      <w:r>
        <w:tab/>
      </w:r>
      <w:r>
        <w:fldChar w:fldCharType="begin"/>
      </w:r>
      <w:r>
        <w:instrText xml:space="preserve"> PAGEREF _Toc206760119 \h </w:instrText>
      </w:r>
      <w:r>
        <w:fldChar w:fldCharType="separate"/>
      </w:r>
      <w:r>
        <w:t>6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50.</w:t>
      </w:r>
      <w:r>
        <w:rPr>
          <w:noProof/>
        </w:rPr>
        <w:tab/>
        <w:t xml:space="preserve">Transitional provision for </w:t>
      </w:r>
      <w:r>
        <w:rPr>
          <w:i/>
          <w:noProof/>
        </w:rPr>
        <w:t>Control of Vehicles (Off</w:t>
      </w:r>
      <w:r>
        <w:rPr>
          <w:i/>
          <w:noProof/>
        </w:rPr>
        <w:noBreakHyphen/>
        <w:t>road Areas) Amendment Act 2025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_Toc206760120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Various penalties amended</w:t>
      </w:r>
      <w:r>
        <w:tab/>
      </w:r>
      <w:r>
        <w:fldChar w:fldCharType="begin"/>
      </w:r>
      <w:r>
        <w:instrText xml:space="preserve"> PAGEREF _Toc206760121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Various references to “shall” amended</w:t>
      </w:r>
      <w:r>
        <w:tab/>
      </w:r>
      <w:r>
        <w:fldChar w:fldCharType="begin"/>
      </w:r>
      <w:r>
        <w:instrText xml:space="preserve"> PAGEREF _Toc206760122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Control of Vehicles (Off</w:t>
      </w:r>
      <w:r>
        <w:noBreakHyphen/>
        <w:t>road Areas) Amendment Act 2025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8 of 2025</w:t>
      </w:r>
    </w:p>
    <w:p>
      <w:pPr>
        <w:pStyle w:val="LongTitle"/>
      </w:pPr>
      <w:r>
        <w:t xml:space="preserve">An Act to amend the </w:t>
      </w:r>
      <w:r>
        <w:rPr>
          <w:i/>
          <w:iCs/>
        </w:rPr>
        <w:t>Control of Vehicles (Off</w:t>
      </w:r>
      <w:r>
        <w:rPr>
          <w:i/>
          <w:iCs/>
        </w:rPr>
        <w:noBreakHyphen/>
        <w:t>road Areas) Act 1978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22 August 2025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206760107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Control of Vehicles (Off</w:t>
      </w:r>
      <w:r>
        <w:rPr>
          <w:i/>
        </w:rPr>
        <w:noBreakHyphen/>
        <w:t>road Areas) Amendment Act 2025</w:t>
      </w:r>
      <w:r>
        <w:t>.</w:t>
      </w:r>
    </w:p>
    <w:p>
      <w:pPr>
        <w:pStyle w:val="Heading5"/>
      </w:pPr>
      <w:bookmarkStart w:id="4" w:name="_Toc206760108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 (</w:t>
      </w:r>
      <w:r>
        <w:rPr>
          <w:rStyle w:val="CharDefText"/>
        </w:rPr>
        <w:t>assent day</w:t>
      </w:r>
      <w:r>
        <w:t>);</w:t>
      </w:r>
    </w:p>
    <w:p>
      <w:pPr>
        <w:pStyle w:val="Indenta"/>
      </w:pPr>
      <w:r>
        <w:tab/>
        <w:t>(b)</w:t>
      </w:r>
      <w:r>
        <w:tab/>
        <w:t>sections 3, 5(4), 7(2), 9 to 12, 14 and 15 — on the day after assent day;</w:t>
      </w:r>
    </w:p>
    <w:p>
      <w:pPr>
        <w:pStyle w:val="Indenta"/>
      </w:pPr>
      <w:r>
        <w:tab/>
        <w:t>(c)</w:t>
      </w:r>
      <w:r>
        <w:tab/>
        <w:t>the rest of the Act — on a day fixed by proclamation.</w:t>
      </w:r>
    </w:p>
    <w:p>
      <w:pPr>
        <w:pStyle w:val="Heading5"/>
        <w:rPr>
          <w:snapToGrid w:val="0"/>
        </w:rPr>
      </w:pPr>
      <w:bookmarkStart w:id="5" w:name="_Toc20676010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  <w:iCs/>
        </w:rPr>
        <w:t>Control of Vehicles (Off</w:t>
      </w:r>
      <w:r>
        <w:rPr>
          <w:i/>
          <w:iCs/>
        </w:rPr>
        <w:noBreakHyphen/>
        <w:t>road Areas) Act 1978</w:t>
      </w:r>
      <w:r>
        <w:t>.</w:t>
      </w:r>
    </w:p>
    <w:p>
      <w:pPr>
        <w:pStyle w:val="Heading5"/>
      </w:pPr>
      <w:bookmarkStart w:id="6" w:name="_Toc206760110"/>
      <w:r>
        <w:rPr>
          <w:rStyle w:val="CharSectno"/>
        </w:rPr>
        <w:t>4</w:t>
      </w:r>
      <w:r>
        <w:t>.</w:t>
      </w:r>
      <w:r>
        <w:tab/>
        <w:t>Section 28A amended</w:t>
      </w:r>
      <w:bookmarkEnd w:id="6"/>
    </w:p>
    <w:p>
      <w:pPr>
        <w:pStyle w:val="Subsection"/>
      </w:pPr>
      <w:r>
        <w:tab/>
        <w:t>(1)</w:t>
      </w:r>
      <w:r>
        <w:tab/>
        <w:t>Delete section 28A(1)(b).</w:t>
      </w:r>
    </w:p>
    <w:p>
      <w:pPr>
        <w:pStyle w:val="Subsection"/>
      </w:pPr>
      <w:r>
        <w:tab/>
        <w:t>(2)</w:t>
      </w:r>
      <w:r>
        <w:tab/>
        <w:t>In section 28A(2)(b) after “plate”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label</w:t>
      </w:r>
    </w:p>
    <w:p>
      <w:pPr>
        <w:pStyle w:val="BlankClose"/>
      </w:pPr>
    </w:p>
    <w:p>
      <w:pPr>
        <w:pStyle w:val="Heading5"/>
      </w:pPr>
      <w:bookmarkStart w:id="7" w:name="_Toc206760111"/>
      <w:r>
        <w:rPr>
          <w:rStyle w:val="CharSectno"/>
        </w:rPr>
        <w:t>5</w:t>
      </w:r>
      <w:r>
        <w:t>.</w:t>
      </w:r>
      <w:r>
        <w:tab/>
        <w:t>Section 29A amended</w:t>
      </w:r>
      <w:bookmarkEnd w:id="7"/>
    </w:p>
    <w:p>
      <w:pPr>
        <w:pStyle w:val="Subsection"/>
      </w:pPr>
      <w:r>
        <w:tab/>
        <w:t>(1)</w:t>
      </w:r>
      <w:r>
        <w:tab/>
        <w:t>In section 29A(1):</w:t>
      </w:r>
    </w:p>
    <w:p>
      <w:pPr>
        <w:pStyle w:val="Indenta"/>
      </w:pPr>
      <w:r>
        <w:tab/>
        <w:t>(a)</w:t>
      </w:r>
      <w:r>
        <w:tab/>
        <w:t>in paragraph (a) delete “writing”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approved form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 (b) after “plate”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(if any)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29A(2) delete “writing”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approved form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section 29A(3)(b) after “plates”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(if any)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At the end of section 29A(5) insert:</w:t>
      </w:r>
    </w:p>
    <w:p>
      <w:pPr>
        <w:pStyle w:val="BlankOpen"/>
      </w:pPr>
    </w:p>
    <w:p>
      <w:pPr>
        <w:pStyle w:val="zPenstart"/>
      </w:pPr>
      <w:r>
        <w:rPr>
          <w:snapToGrid w:val="0"/>
        </w:rPr>
        <w:tab/>
        <w:t>Penalty for this subsection: a fine of $5 000.</w:t>
      </w:r>
    </w:p>
    <w:p>
      <w:pPr>
        <w:pStyle w:val="BlankClose"/>
      </w:pPr>
    </w:p>
    <w:p>
      <w:pPr>
        <w:pStyle w:val="Heading5"/>
      </w:pPr>
      <w:bookmarkStart w:id="8" w:name="_Toc206760112"/>
      <w:r>
        <w:rPr>
          <w:rStyle w:val="CharSectno"/>
        </w:rPr>
        <w:t>6</w:t>
      </w:r>
      <w:r>
        <w:t>.</w:t>
      </w:r>
      <w:r>
        <w:tab/>
        <w:t>Section 31 amended</w:t>
      </w:r>
      <w:bookmarkEnd w:id="8"/>
    </w:p>
    <w:p>
      <w:pPr>
        <w:pStyle w:val="Subsection"/>
        <w:keepNext/>
      </w:pPr>
      <w:r>
        <w:tab/>
        <w:t>(1)</w:t>
      </w:r>
      <w:r>
        <w:tab/>
        <w:t>In section 31(2) after “plate”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(if any)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31(3)(b) after “plate”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label</w:t>
      </w:r>
    </w:p>
    <w:p>
      <w:pPr>
        <w:pStyle w:val="BlankClose"/>
      </w:pPr>
    </w:p>
    <w:p>
      <w:pPr>
        <w:pStyle w:val="Heading5"/>
      </w:pPr>
      <w:bookmarkStart w:id="9" w:name="_Toc206760113"/>
      <w:r>
        <w:rPr>
          <w:rStyle w:val="CharSectno"/>
        </w:rPr>
        <w:lastRenderedPageBreak/>
        <w:t>7</w:t>
      </w:r>
      <w:r>
        <w:t>.</w:t>
      </w:r>
      <w:r>
        <w:tab/>
        <w:t>Section 34 amended</w:t>
      </w:r>
      <w:bookmarkEnd w:id="9"/>
    </w:p>
    <w:p>
      <w:pPr>
        <w:pStyle w:val="Subsection"/>
        <w:keepNext/>
      </w:pPr>
      <w:r>
        <w:tab/>
        <w:t>(1)</w:t>
      </w:r>
      <w:r>
        <w:tab/>
        <w:t>In section 34(1):</w:t>
      </w:r>
    </w:p>
    <w:p>
      <w:pPr>
        <w:pStyle w:val="Indenta"/>
        <w:keepNext/>
      </w:pPr>
      <w:r>
        <w:tab/>
        <w:t>(a)</w:t>
      </w:r>
      <w:r>
        <w:tab/>
        <w:t>after “plate”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or label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“thereto.”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to the number plate or label.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At the end of section 34(1) insert:</w:t>
      </w:r>
    </w:p>
    <w:p>
      <w:pPr>
        <w:pStyle w:val="BlankOpen"/>
      </w:pPr>
    </w:p>
    <w:p>
      <w:pPr>
        <w:pStyle w:val="zPenstart"/>
      </w:pPr>
      <w:r>
        <w:rPr>
          <w:snapToGrid w:val="0"/>
        </w:rPr>
        <w:tab/>
        <w:t>Penalty for this subsection: a fine of $5 000.</w:t>
      </w:r>
    </w:p>
    <w:p>
      <w:pPr>
        <w:pStyle w:val="BlankClose"/>
      </w:pPr>
    </w:p>
    <w:p>
      <w:pPr>
        <w:pStyle w:val="SectAltNote"/>
      </w:pPr>
      <w:r>
        <w:tab/>
        <w:t>Note: The heading to amended section 34 is to read:</w:t>
      </w:r>
    </w:p>
    <w:p>
      <w:pPr>
        <w:pStyle w:val="SectAltHeading"/>
      </w:pPr>
      <w:r>
        <w:tab/>
      </w:r>
      <w:r>
        <w:tab/>
        <w:t>Number plate or label to be displayed</w:t>
      </w:r>
    </w:p>
    <w:p>
      <w:pPr>
        <w:pStyle w:val="Heading5"/>
      </w:pPr>
      <w:bookmarkStart w:id="10" w:name="_Toc206760114"/>
      <w:r>
        <w:rPr>
          <w:rStyle w:val="CharSectno"/>
        </w:rPr>
        <w:t>8</w:t>
      </w:r>
      <w:r>
        <w:t>.</w:t>
      </w:r>
      <w:r>
        <w:tab/>
        <w:t>Section 35 amended</w:t>
      </w:r>
      <w:bookmarkEnd w:id="10"/>
    </w:p>
    <w:p>
      <w:pPr>
        <w:pStyle w:val="Subsection"/>
      </w:pPr>
      <w:r>
        <w:tab/>
      </w:r>
      <w:r>
        <w:tab/>
        <w:t>In section 35:</w:t>
      </w:r>
    </w:p>
    <w:p>
      <w:pPr>
        <w:pStyle w:val="Indenta"/>
      </w:pPr>
      <w:r>
        <w:tab/>
        <w:t>(a)</w:t>
      </w:r>
      <w:r>
        <w:tab/>
        <w:t>in paragraphs (a) and (b) after “plate” (each occurrence)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or label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(c) after “plate”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(if any)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(c)</w:t>
      </w:r>
      <w:r>
        <w:tab/>
        <w:t>in paragraph (d) delete “plate.”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plate or label issued under this Act.</w:t>
      </w:r>
    </w:p>
    <w:p>
      <w:pPr>
        <w:pStyle w:val="BlankClose"/>
        <w:keepNext/>
      </w:pPr>
    </w:p>
    <w:p>
      <w:pPr>
        <w:pStyle w:val="SectAltNote"/>
      </w:pPr>
      <w:r>
        <w:tab/>
        <w:t>Note: The heading to amended section 35 is to read:</w:t>
      </w:r>
    </w:p>
    <w:p>
      <w:pPr>
        <w:pStyle w:val="SectAltHeading"/>
      </w:pPr>
      <w:r>
        <w:tab/>
      </w:r>
      <w:r>
        <w:tab/>
      </w:r>
      <w:r>
        <w:rPr>
          <w:snapToGrid w:val="0"/>
        </w:rPr>
        <w:t>Other offences concerning number plates and labels</w:t>
      </w:r>
    </w:p>
    <w:p>
      <w:pPr>
        <w:pStyle w:val="Heading5"/>
      </w:pPr>
      <w:bookmarkStart w:id="11" w:name="_Toc206760115"/>
      <w:r>
        <w:rPr>
          <w:rStyle w:val="CharSectno"/>
        </w:rPr>
        <w:t>9</w:t>
      </w:r>
      <w:r>
        <w:t>.</w:t>
      </w:r>
      <w:r>
        <w:tab/>
        <w:t>Section 37 amended</w:t>
      </w:r>
      <w:bookmarkEnd w:id="11"/>
    </w:p>
    <w:p>
      <w:pPr>
        <w:pStyle w:val="Subsection"/>
      </w:pPr>
      <w:r>
        <w:tab/>
        <w:t>(1)</w:t>
      </w:r>
      <w:r>
        <w:tab/>
        <w:t>In section 37(10) delete “not exceeding $50”.</w:t>
      </w:r>
    </w:p>
    <w:p>
      <w:pPr>
        <w:pStyle w:val="Subsection"/>
      </w:pPr>
      <w:r>
        <w:tab/>
        <w:t>(2)</w:t>
      </w:r>
      <w:r>
        <w:tab/>
        <w:t>After section 37(10) insert:</w:t>
      </w:r>
    </w:p>
    <w:p>
      <w:pPr>
        <w:pStyle w:val="BlankOpen"/>
      </w:pPr>
    </w:p>
    <w:p>
      <w:pPr>
        <w:pStyle w:val="zSubsection"/>
      </w:pPr>
      <w:r>
        <w:tab/>
        <w:t>(11)</w:t>
      </w:r>
      <w:r>
        <w:tab/>
      </w:r>
      <w:r>
        <w:rPr>
          <w:snapToGrid w:val="0"/>
        </w:rPr>
        <w:t>The amount of a modified penalty prescribed under subsection (10) for an offence must not exceed 10% of the penalty specified for the offence by this Act or a regulation or local law made under this Act.</w:t>
      </w:r>
    </w:p>
    <w:p>
      <w:pPr>
        <w:pStyle w:val="BlankClose"/>
      </w:pPr>
    </w:p>
    <w:p>
      <w:pPr>
        <w:pStyle w:val="Heading5"/>
      </w:pPr>
      <w:bookmarkStart w:id="12" w:name="_Toc206760116"/>
      <w:r>
        <w:rPr>
          <w:rStyle w:val="CharSectno"/>
        </w:rPr>
        <w:t>10</w:t>
      </w:r>
      <w:r>
        <w:t>.</w:t>
      </w:r>
      <w:r>
        <w:tab/>
        <w:t>Section 41 deleted</w:t>
      </w:r>
      <w:bookmarkEnd w:id="12"/>
    </w:p>
    <w:p>
      <w:pPr>
        <w:pStyle w:val="Subsection"/>
      </w:pPr>
      <w:r>
        <w:tab/>
      </w:r>
      <w:r>
        <w:tab/>
        <w:t>Delete section 41.</w:t>
      </w:r>
    </w:p>
    <w:p>
      <w:pPr>
        <w:pStyle w:val="Heading5"/>
      </w:pPr>
      <w:bookmarkStart w:id="13" w:name="_Toc206760117"/>
      <w:r>
        <w:rPr>
          <w:rStyle w:val="CharSectno"/>
        </w:rPr>
        <w:t>11</w:t>
      </w:r>
      <w:r>
        <w:t>.</w:t>
      </w:r>
      <w:r>
        <w:tab/>
        <w:t>Section 46 amended</w:t>
      </w:r>
      <w:bookmarkEnd w:id="13"/>
    </w:p>
    <w:p>
      <w:pPr>
        <w:pStyle w:val="Subsection"/>
      </w:pPr>
      <w:r>
        <w:tab/>
      </w:r>
      <w:r>
        <w:tab/>
        <w:t>In section 46(2) delete “$100” and insert:</w:t>
      </w:r>
    </w:p>
    <w:p>
      <w:pPr>
        <w:pStyle w:val="BlankOpen"/>
      </w:pPr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$</w:t>
      </w:r>
      <w:r>
        <w:t>500</w:t>
      </w:r>
    </w:p>
    <w:p>
      <w:pPr>
        <w:pStyle w:val="BlankClose"/>
      </w:pPr>
    </w:p>
    <w:p>
      <w:pPr>
        <w:pStyle w:val="Heading5"/>
      </w:pPr>
      <w:bookmarkStart w:id="14" w:name="_Toc206760118"/>
      <w:r>
        <w:rPr>
          <w:rStyle w:val="CharSectno"/>
        </w:rPr>
        <w:t>12</w:t>
      </w:r>
      <w:r>
        <w:t>.</w:t>
      </w:r>
      <w:r>
        <w:tab/>
        <w:t>Section 48 amended</w:t>
      </w:r>
      <w:bookmarkEnd w:id="14"/>
    </w:p>
    <w:p>
      <w:pPr>
        <w:pStyle w:val="Subsection"/>
        <w:keepNext/>
      </w:pPr>
      <w:r>
        <w:tab/>
      </w:r>
      <w:r>
        <w:tab/>
        <w:t>In section 48(2) delete “$100” and insert:</w:t>
      </w:r>
    </w:p>
    <w:p>
      <w:pPr>
        <w:pStyle w:val="BlankOpen"/>
      </w:pPr>
    </w:p>
    <w:p>
      <w:pPr>
        <w:pStyle w:val="Subsection"/>
        <w:keepNext/>
      </w:pPr>
      <w:r>
        <w:rPr>
          <w:snapToGrid w:val="0"/>
        </w:rPr>
        <w:tab/>
      </w:r>
      <w:r>
        <w:rPr>
          <w:snapToGrid w:val="0"/>
        </w:rPr>
        <w:tab/>
        <w:t>$</w:t>
      </w:r>
      <w:r>
        <w:t>500</w:t>
      </w:r>
    </w:p>
    <w:p>
      <w:pPr>
        <w:pStyle w:val="BlankClose"/>
      </w:pPr>
    </w:p>
    <w:p>
      <w:pPr>
        <w:pStyle w:val="Heading5"/>
      </w:pPr>
      <w:bookmarkStart w:id="15" w:name="_Toc206760119"/>
      <w:r>
        <w:rPr>
          <w:rStyle w:val="CharSectno"/>
        </w:rPr>
        <w:lastRenderedPageBreak/>
        <w:t>13</w:t>
      </w:r>
      <w:r>
        <w:t>.</w:t>
      </w:r>
      <w:r>
        <w:tab/>
        <w:t>Section 50 inserted</w:t>
      </w:r>
      <w:bookmarkEnd w:id="15"/>
    </w:p>
    <w:p>
      <w:pPr>
        <w:pStyle w:val="Subsection"/>
      </w:pPr>
      <w:r>
        <w:tab/>
      </w:r>
      <w:r>
        <w:tab/>
        <w:t>After section 49 insert:</w:t>
      </w:r>
    </w:p>
    <w:p>
      <w:pPr>
        <w:pStyle w:val="BlankOpen"/>
      </w:pPr>
    </w:p>
    <w:p>
      <w:pPr>
        <w:pStyle w:val="zHeading5"/>
      </w:pPr>
      <w:bookmarkStart w:id="16" w:name="_Toc206760120"/>
      <w:r>
        <w:t>50.</w:t>
      </w:r>
      <w:r>
        <w:tab/>
        <w:t xml:space="preserve">Transitional provision for </w:t>
      </w:r>
      <w:r>
        <w:rPr>
          <w:i/>
        </w:rPr>
        <w:t>Control of Vehicles (Off</w:t>
      </w:r>
      <w:r>
        <w:rPr>
          <w:i/>
        </w:rPr>
        <w:noBreakHyphen/>
        <w:t>road Areas) Amendment Act 2025</w:t>
      </w:r>
      <w:bookmarkEnd w:id="16"/>
    </w:p>
    <w:p>
      <w:pPr>
        <w:pStyle w:val="zSubsection"/>
      </w:pPr>
      <w:r>
        <w:tab/>
      </w:r>
      <w:r>
        <w:tab/>
        <w:t xml:space="preserve">An amendment made to section 29A(1)(a) or (2) by the </w:t>
      </w:r>
      <w:r>
        <w:rPr>
          <w:i/>
        </w:rPr>
        <w:t>Control of Vehicles (Off</w:t>
      </w:r>
      <w:r>
        <w:rPr>
          <w:i/>
        </w:rPr>
        <w:noBreakHyphen/>
        <w:t>road Areas) Amendment Act 2025</w:t>
      </w:r>
      <w:r>
        <w:t xml:space="preserve"> does not apply to a person who has given notice in writing under that provision before the commencement of the amendment.</w:t>
      </w:r>
    </w:p>
    <w:p>
      <w:pPr>
        <w:pStyle w:val="BlankClose"/>
      </w:pPr>
    </w:p>
    <w:p>
      <w:pPr>
        <w:pStyle w:val="Heading5"/>
      </w:pPr>
      <w:bookmarkStart w:id="17" w:name="_Toc206760121"/>
      <w:r>
        <w:rPr>
          <w:rStyle w:val="CharSectno"/>
        </w:rPr>
        <w:t>14</w:t>
      </w:r>
      <w:r>
        <w:t>.</w:t>
      </w:r>
      <w:r>
        <w:tab/>
        <w:t>Various penalties amended</w:t>
      </w:r>
      <w:bookmarkEnd w:id="17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313"/>
        <w:gridCol w:w="2314"/>
        <w:gridCol w:w="2314"/>
      </w:tblGrid>
      <w:tr>
        <w:trPr>
          <w:tblHeader/>
          <w:jc w:val="center"/>
        </w:trPr>
        <w:tc>
          <w:tcPr>
            <w:tcW w:w="2313" w:type="dxa"/>
            <w:noWrap/>
          </w:tcPr>
          <w:p>
            <w:pPr>
              <w:pStyle w:val="Table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314" w:type="dxa"/>
            <w:noWrap/>
          </w:tcPr>
          <w:p>
            <w:pPr>
              <w:pStyle w:val="TableAm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314" w:type="dxa"/>
            <w:noWrap/>
          </w:tcPr>
          <w:p>
            <w:pPr>
              <w:pStyle w:val="TableAm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6(1)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$500.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6(2)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$1 000.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6(4)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$200.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7(2)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$200.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lastRenderedPageBreak/>
              <w:t>s. 9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$500.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9A(1)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$200 for a first offence and $400 for a second or subsequent offence.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9B(1) and (2)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$400 for a first offence and $800 for a second or subsequent offence.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9C(1)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$400 for a first offence and $800 for a second or subsequent offence.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10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$200.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19(3)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$100.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20(4)</w:t>
            </w:r>
          </w:p>
          <w:p>
            <w:pPr>
              <w:pStyle w:val="TableAm"/>
            </w:pP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$200.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29(11)</w:t>
            </w:r>
          </w:p>
          <w:p>
            <w:pPr>
              <w:pStyle w:val="TableAm"/>
            </w:pP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$200.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lastRenderedPageBreak/>
              <w:t>s. 31(3)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For a first offence a fine not exceeding $40; for any subsequent offence, a fine not exceeding $100.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34(2)</w:t>
            </w:r>
          </w:p>
          <w:p>
            <w:pPr>
              <w:pStyle w:val="TableAm"/>
            </w:pP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$200.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35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$200.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37(8)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$50.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38(6) and (10)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Penalty: $200.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Penalty for this subsection: a fine of $5 000.</w:t>
            </w:r>
          </w:p>
        </w:tc>
      </w:tr>
    </w:tbl>
    <w:p>
      <w:pPr>
        <w:pStyle w:val="Heading5"/>
      </w:pPr>
      <w:bookmarkStart w:id="18" w:name="_Toc206760122"/>
      <w:r>
        <w:rPr>
          <w:rStyle w:val="CharSectno"/>
        </w:rPr>
        <w:t>15</w:t>
      </w:r>
      <w:r>
        <w:t>.</w:t>
      </w:r>
      <w:r>
        <w:tab/>
        <w:t>Various references to “shall” amended</w:t>
      </w:r>
      <w:bookmarkEnd w:id="18"/>
    </w:p>
    <w:p>
      <w:pPr>
        <w:pStyle w:val="Subsection"/>
        <w:keepNext/>
        <w:keepLines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313"/>
        <w:gridCol w:w="2314"/>
        <w:gridCol w:w="2314"/>
      </w:tblGrid>
      <w:tr>
        <w:trPr>
          <w:tblHeader/>
          <w:jc w:val="center"/>
        </w:trPr>
        <w:tc>
          <w:tcPr>
            <w:tcW w:w="2313" w:type="dxa"/>
            <w:noWrap/>
          </w:tcPr>
          <w:p>
            <w:pPr>
              <w:pStyle w:val="Table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314" w:type="dxa"/>
            <w:noWrap/>
          </w:tcPr>
          <w:p>
            <w:pPr>
              <w:pStyle w:val="TableAm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314" w:type="dxa"/>
            <w:noWrap/>
          </w:tcPr>
          <w:p>
            <w:pPr>
              <w:pStyle w:val="TableAm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6(1), (2) and (4)</w:t>
            </w:r>
          </w:p>
          <w:p>
            <w:pPr>
              <w:pStyle w:val="TableAm"/>
            </w:pPr>
            <w:r>
              <w:t>s. 7(2)</w:t>
            </w:r>
          </w:p>
          <w:p>
            <w:pPr>
              <w:pStyle w:val="TableAm"/>
            </w:pPr>
            <w:r>
              <w:t>s. 9</w:t>
            </w:r>
          </w:p>
          <w:p>
            <w:pPr>
              <w:pStyle w:val="TableAm"/>
            </w:pPr>
            <w:r>
              <w:t>s. 9A(1)</w:t>
            </w:r>
          </w:p>
          <w:p>
            <w:pPr>
              <w:pStyle w:val="TableAm"/>
            </w:pPr>
            <w:r>
              <w:lastRenderedPageBreak/>
              <w:t>s. 9B(1) and (2)</w:t>
            </w:r>
          </w:p>
          <w:p>
            <w:pPr>
              <w:pStyle w:val="TableAm"/>
            </w:pPr>
            <w:r>
              <w:t>s. 9C(1)</w:t>
            </w:r>
          </w:p>
          <w:p>
            <w:pPr>
              <w:pStyle w:val="TableAm"/>
            </w:pPr>
            <w:r>
              <w:t>s. 10</w:t>
            </w:r>
          </w:p>
          <w:p>
            <w:pPr>
              <w:pStyle w:val="TableAm"/>
            </w:pPr>
            <w:r>
              <w:t>s. 19(1) and (3)</w:t>
            </w:r>
          </w:p>
          <w:p>
            <w:pPr>
              <w:pStyle w:val="TableAm"/>
            </w:pPr>
            <w:r>
              <w:t>s. 20(4)</w:t>
            </w:r>
          </w:p>
          <w:p>
            <w:pPr>
              <w:pStyle w:val="TableAm"/>
            </w:pPr>
            <w:r>
              <w:t>s. 28A(2) and (6)</w:t>
            </w:r>
          </w:p>
          <w:p>
            <w:pPr>
              <w:pStyle w:val="TableAm"/>
            </w:pPr>
            <w:r>
              <w:t>s. 29(11)</w:t>
            </w:r>
          </w:p>
          <w:p>
            <w:pPr>
              <w:pStyle w:val="TableAm"/>
            </w:pPr>
            <w:r>
              <w:t>s. 29A(1), (2) and (6)</w:t>
            </w:r>
          </w:p>
          <w:p>
            <w:pPr>
              <w:pStyle w:val="TableAm"/>
            </w:pPr>
            <w:r>
              <w:t>s. 31(2) and (3)</w:t>
            </w:r>
          </w:p>
          <w:p>
            <w:pPr>
              <w:pStyle w:val="TableAm"/>
            </w:pPr>
            <w:r>
              <w:t>s. 34(1) and (2)</w:t>
            </w:r>
          </w:p>
          <w:p>
            <w:pPr>
              <w:pStyle w:val="TableAm"/>
            </w:pPr>
            <w:r>
              <w:t>s. 35</w:t>
            </w:r>
          </w:p>
          <w:p>
            <w:pPr>
              <w:pStyle w:val="TableAm"/>
            </w:pPr>
            <w:r>
              <w:t>s. 37(5), (6), (7) and (8)</w:t>
            </w:r>
          </w:p>
          <w:p>
            <w:pPr>
              <w:pStyle w:val="TableAm"/>
            </w:pPr>
            <w:r>
              <w:t>s. 38(4)(d), (6), (7) and (9)</w:t>
            </w:r>
          </w:p>
          <w:p>
            <w:pPr>
              <w:pStyle w:val="TableAm"/>
            </w:pPr>
            <w:r>
              <w:t>s. 48(3)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lastRenderedPageBreak/>
              <w:t>shall (each occurrence)</w:t>
            </w:r>
          </w:p>
        </w:tc>
        <w:tc>
          <w:tcPr>
            <w:tcW w:w="2314" w:type="dxa"/>
            <w:noWrap/>
          </w:tcPr>
          <w:p>
            <w:pPr>
              <w:pStyle w:val="TableAm"/>
              <w:jc w:val="both"/>
            </w:pPr>
            <w:r>
              <w:t>must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7(3)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shall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do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9B(6)</w:t>
            </w:r>
          </w:p>
          <w:p>
            <w:pPr>
              <w:pStyle w:val="TableAm"/>
            </w:pPr>
            <w:r>
              <w:t>s. 20(1)(c)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shall cease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ceases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19(2)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shall not be</w:t>
            </w:r>
          </w:p>
          <w:p>
            <w:pPr>
              <w:pStyle w:val="TableAm"/>
            </w:pPr>
            <w:r>
              <w:t>shall delineate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is not</w:t>
            </w:r>
          </w:p>
          <w:p>
            <w:pPr>
              <w:pStyle w:val="TableAm"/>
            </w:pPr>
            <w:r>
              <w:t>must delineate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20(1)(c)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shall not have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has no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lastRenderedPageBreak/>
              <w:t>s. 29(3), (4), (5) and (6)</w:t>
            </w:r>
          </w:p>
          <w:p>
            <w:pPr>
              <w:pStyle w:val="TableAm"/>
            </w:pPr>
            <w:r>
              <w:t>s. 38(13)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shall be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is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29(5)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shall renew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must renew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29(6)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shall take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takes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37(9)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shall inter alia contain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must include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</w:pPr>
            <w:r>
              <w:t>s. 38(5)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shall have</w:t>
            </w:r>
          </w:p>
          <w:p>
            <w:pPr>
              <w:pStyle w:val="TableAm"/>
            </w:pPr>
            <w:r>
              <w:t>shall be</w:t>
            </w:r>
          </w:p>
          <w:p>
            <w:pPr>
              <w:pStyle w:val="TableAm"/>
            </w:pPr>
            <w:r>
              <w:t>and shall</w:t>
            </w:r>
          </w:p>
        </w:tc>
        <w:tc>
          <w:tcPr>
            <w:tcW w:w="2314" w:type="dxa"/>
            <w:noWrap/>
          </w:tcPr>
          <w:p>
            <w:pPr>
              <w:pStyle w:val="TableAm"/>
            </w:pPr>
            <w:r>
              <w:t>has</w:t>
            </w:r>
          </w:p>
          <w:p>
            <w:pPr>
              <w:pStyle w:val="TableAm"/>
            </w:pPr>
            <w:r>
              <w:t>must be</w:t>
            </w:r>
          </w:p>
          <w:p>
            <w:pPr>
              <w:pStyle w:val="TableAm"/>
            </w:pPr>
            <w:r>
              <w:t>and must</w:t>
            </w:r>
          </w:p>
        </w:tc>
      </w:tr>
      <w:tr>
        <w:trPr>
          <w:jc w:val="center"/>
        </w:trPr>
        <w:tc>
          <w:tcPr>
            <w:tcW w:w="2313" w:type="dxa"/>
            <w:noWrap/>
          </w:tcPr>
          <w:p>
            <w:pPr>
              <w:pStyle w:val="TableAm"/>
              <w:keepNext/>
            </w:pPr>
            <w:r>
              <w:t>s. 38(13)</w:t>
            </w:r>
          </w:p>
        </w:tc>
        <w:tc>
          <w:tcPr>
            <w:tcW w:w="2314" w:type="dxa"/>
            <w:noWrap/>
          </w:tcPr>
          <w:p>
            <w:pPr>
              <w:pStyle w:val="TableAm"/>
              <w:keepNext/>
            </w:pPr>
            <w:r>
              <w:t>shall have been</w:t>
            </w:r>
          </w:p>
        </w:tc>
        <w:tc>
          <w:tcPr>
            <w:tcW w:w="2314" w:type="dxa"/>
            <w:noWrap/>
          </w:tcPr>
          <w:p>
            <w:pPr>
              <w:pStyle w:val="TableAm"/>
              <w:keepNext/>
            </w:pPr>
            <w:r>
              <w:t>is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Control of Vehicles (Off-road Areas) Amendment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Control of Vehicles (Off-road Areas) Amendment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Control of Vehicles (Off-road Areas) Amendment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Control of Vehicles (Off-road Areas) Amendment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Control of Vehicles (Off-road Areas) Amendment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Control of Vehicles (Off-road Areas) Amendment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22124507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5221122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2112236_GUID" w:val="e0569585-79cc-4f41-a94d-c01aeea80062"/>
    <w:docVar w:name="WAFER_202405231513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51330_GUID" w:val="80c64bcd-f839-4cf1-b731-4001842c5e65"/>
    <w:docVar w:name="WAFER_20240610170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0170955_GUID" w:val="c7447b93-0d68-4328-9670-d1c09537b883"/>
    <w:docVar w:name="WAFER_202508221245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22124507_GUID" w:val="69da4506-7c09-40d1-b8b8-bfff07fe13a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2968BACA-C66D-4257-98E4-297A7564D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1242</Words>
  <Characters>5644</Characters>
  <Application>Microsoft Office Word</Application>
  <DocSecurity>0</DocSecurity>
  <Lines>403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6587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of Vehicles (Off-road Areas) Amendment Act 2025 - 00-00-00</dc:title>
  <dc:subject/>
  <dc:creator/>
  <cp:keywords/>
  <dc:description/>
  <cp:lastModifiedBy>Master Repository Process</cp:lastModifiedBy>
  <cp:revision>4</cp:revision>
  <cp:lastPrinted>2025-08-22T03:42:00Z</cp:lastPrinted>
  <dcterms:created xsi:type="dcterms:W3CDTF">2025-08-22T06:19:00Z</dcterms:created>
  <dcterms:modified xsi:type="dcterms:W3CDTF">2025-08-22T06:19:00Z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8 of 2025</vt:lpwstr>
  </property>
  <property fmtid="{D5CDD505-2E9C-101B-9397-08002B2CF9AE}" pid="3" name="DocumentType">
    <vt:lpwstr>Act</vt:lpwstr>
  </property>
  <property fmtid="{D5CDD505-2E9C-101B-9397-08002B2CF9AE}" pid="4" name="AsAtDate">
    <vt:lpwstr>22 Aug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8 of 2025</vt:lpwstr>
  </property>
  <property fmtid="{D5CDD505-2E9C-101B-9397-08002B2CF9AE}" pid="8" name="CommencementDate">
    <vt:lpwstr>20250822</vt:lpwstr>
  </property>
  <property fmtid="{D5CDD505-2E9C-101B-9397-08002B2CF9AE}" pid="9" name="CommencementAsAt">
    <vt:filetime>2025-08-21T16:00:00Z</vt:filetime>
  </property>
  <property fmtid="{D5CDD505-2E9C-101B-9397-08002B2CF9AE}" pid="10" name="CommencementYear">
    <vt:lpwstr>2025</vt:lpwstr>
  </property>
</Properties>
</file>