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Control of Vehicles (Off-road Areas) Act 1978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Control of Vehicles (Off-road Areas) Act 1978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_Toc206690069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_Toc206690070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_Toc206690071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this Act</w:t>
      </w:r>
      <w:r>
        <w:tab/>
      </w:r>
      <w:r>
        <w:fldChar w:fldCharType="begin"/>
      </w:r>
      <w:r>
        <w:instrText xml:space="preserve"> PAGEREF _Toc206690072 \h </w:instrText>
      </w:r>
      <w:r>
        <w:fldChar w:fldCharType="separate"/>
      </w:r>
      <w:r>
        <w:t>4</w:t>
      </w:r>
      <w:r>
        <w:fldChar w:fldCharType="end"/>
      </w:r>
    </w:p>
    <w:p>
      <w:pPr>
        <w:pStyle w:val="TOC8"/>
        <w:rPr>
          <w:rFonts w:asciiTheme="minorHAnsi" w:eastAsiaTheme="minorEastAsia" w:hAnsiTheme="minorHAnsi" w:cstheme="minorBidi"/>
          <w:szCs w:val="22"/>
        </w:rPr>
      </w:pPr>
      <w:r>
        <w:t>4A.</w:t>
      </w:r>
      <w:r>
        <w:tab/>
        <w:t>Delegation by Director General</w:t>
      </w:r>
      <w:r>
        <w:tab/>
      </w:r>
      <w:r>
        <w:fldChar w:fldCharType="begin"/>
      </w:r>
      <w:r>
        <w:instrText xml:space="preserve"> PAGEREF _Toc206690073 \h </w:instrText>
      </w:r>
      <w:r>
        <w:fldChar w:fldCharType="separate"/>
      </w:r>
      <w:r>
        <w:t>4</w:t>
      </w:r>
      <w:r>
        <w:fldChar w:fldCharType="end"/>
      </w:r>
    </w:p>
    <w:p>
      <w:pPr>
        <w:pStyle w:val="TOC8"/>
        <w:rPr>
          <w:rFonts w:asciiTheme="minorHAnsi" w:eastAsiaTheme="minorEastAsia" w:hAnsiTheme="minorHAnsi" w:cstheme="minorBidi"/>
          <w:szCs w:val="22"/>
        </w:rPr>
      </w:pPr>
      <w:r>
        <w:t>4B.</w:t>
      </w:r>
      <w:r>
        <w:tab/>
        <w:t>Agreements for performance of Director General’s functions by others</w:t>
      </w:r>
      <w:r>
        <w:tab/>
      </w:r>
      <w:r>
        <w:fldChar w:fldCharType="begin"/>
      </w:r>
      <w:r>
        <w:instrText xml:space="preserve"> PAGEREF _Toc206690074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Local government’s functions</w:t>
      </w:r>
      <w:r>
        <w:tab/>
      </w:r>
      <w:r>
        <w:fldChar w:fldCharType="begin"/>
      </w:r>
      <w:r>
        <w:instrText xml:space="preserve"> PAGEREF _Toc206690075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Driving and using off</w:t>
      </w:r>
      <w:r>
        <w:rPr>
          <w:snapToGrid w:val="0"/>
        </w:rPr>
        <w:noBreakHyphen/>
        <w:t>road vehicles, offences</w:t>
      </w:r>
      <w:r>
        <w:tab/>
      </w:r>
      <w:r>
        <w:fldChar w:fldCharType="begin"/>
      </w:r>
      <w:r>
        <w:instrText xml:space="preserve"> PAGEREF _Toc206690076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Some vehicles to be registered under this Act</w:t>
      </w:r>
      <w:r>
        <w:tab/>
      </w:r>
      <w:r>
        <w:fldChar w:fldCharType="begin"/>
      </w:r>
      <w:r>
        <w:instrText xml:space="preserve"> PAGEREF _Toc206690077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Exceptions to s. 6(1) and (2), 9A, 9B and 9C</w:t>
      </w:r>
      <w:r>
        <w:tab/>
      </w:r>
      <w:r>
        <w:fldChar w:fldCharType="begin"/>
      </w:r>
      <w:r>
        <w:instrText xml:space="preserve"> PAGEREF _Toc206690078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Dangerous vehicles not to be driven etc.</w:t>
      </w:r>
      <w:r>
        <w:tab/>
      </w:r>
      <w:r>
        <w:fldChar w:fldCharType="begin"/>
      </w:r>
      <w:r>
        <w:instrText xml:space="preserve"> PAGEREF _Toc206690079 \h </w:instrText>
      </w:r>
      <w:r>
        <w:fldChar w:fldCharType="separate"/>
      </w:r>
      <w:r>
        <w:t>10</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Seat belt requirements for vehicles</w:t>
      </w:r>
      <w:r>
        <w:tab/>
      </w:r>
      <w:r>
        <w:fldChar w:fldCharType="begin"/>
      </w:r>
      <w:r>
        <w:instrText xml:space="preserve"> PAGEREF _Toc206690080 \h </w:instrText>
      </w:r>
      <w:r>
        <w:fldChar w:fldCharType="separate"/>
      </w:r>
      <w:r>
        <w:t>11</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Seat belt requirements for people in vehicles</w:t>
      </w:r>
      <w:r>
        <w:tab/>
      </w:r>
      <w:r>
        <w:fldChar w:fldCharType="begin"/>
      </w:r>
      <w:r>
        <w:instrText xml:space="preserve"> PAGEREF _Toc206690081 \h </w:instrText>
      </w:r>
      <w:r>
        <w:fldChar w:fldCharType="separate"/>
      </w:r>
      <w:r>
        <w:t>11</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Motor cycle helmet requirements</w:t>
      </w:r>
      <w:r>
        <w:tab/>
      </w:r>
      <w:r>
        <w:fldChar w:fldCharType="begin"/>
      </w:r>
      <w:r>
        <w:instrText xml:space="preserve"> PAGEREF _Toc206690082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Minimum age for drivers</w:t>
      </w:r>
      <w:r>
        <w:tab/>
      </w:r>
      <w:r>
        <w:fldChar w:fldCharType="begin"/>
      </w:r>
      <w:r>
        <w:instrText xml:space="preserve"> PAGEREF _Toc206690083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Permitted areas, declaring etc.</w:t>
      </w:r>
      <w:r>
        <w:tab/>
      </w:r>
      <w:r>
        <w:fldChar w:fldCharType="begin"/>
      </w:r>
      <w:r>
        <w:instrText xml:space="preserve"> PAGEREF _Toc206690084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Permitted areas, declaring before 6 Jan 1980</w:t>
      </w:r>
      <w:r>
        <w:tab/>
      </w:r>
      <w:r>
        <w:fldChar w:fldCharType="begin"/>
      </w:r>
      <w:r>
        <w:instrText xml:space="preserve"> PAGEREF _Toc206690085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Private land may be declared to be a permitted area</w:t>
      </w:r>
      <w:r>
        <w:tab/>
      </w:r>
      <w:r>
        <w:fldChar w:fldCharType="begin"/>
      </w:r>
      <w:r>
        <w:instrText xml:space="preserve"> PAGEREF _Toc206690086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Permitted area, temporary closure of</w:t>
      </w:r>
      <w:r>
        <w:tab/>
      </w:r>
      <w:r>
        <w:fldChar w:fldCharType="begin"/>
      </w:r>
      <w:r>
        <w:instrText xml:space="preserve"> PAGEREF _Toc206690087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Prohibited areas, establishing etc.</w:t>
      </w:r>
      <w:r>
        <w:tab/>
      </w:r>
      <w:r>
        <w:fldChar w:fldCharType="begin"/>
      </w:r>
      <w:r>
        <w:instrText xml:space="preserve"> PAGEREF _Toc206690088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Advisory Committee, establishment and functions of</w:t>
      </w:r>
      <w:r>
        <w:tab/>
      </w:r>
      <w:r>
        <w:fldChar w:fldCharType="begin"/>
      </w:r>
      <w:r>
        <w:instrText xml:space="preserve"> PAGEREF _Toc206690089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Committee’s functions as to permitted areas, prohibited areas, and use of vehicles</w:t>
      </w:r>
      <w:r>
        <w:tab/>
      </w:r>
      <w:r>
        <w:fldChar w:fldCharType="begin"/>
      </w:r>
      <w:r>
        <w:instrText xml:space="preserve"> PAGEREF _Toc206690090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Permitted and prohibited areas, identifying</w:t>
      </w:r>
      <w:r>
        <w:tab/>
      </w:r>
      <w:r>
        <w:fldChar w:fldCharType="begin"/>
      </w:r>
      <w:r>
        <w:instrText xml:space="preserve"> PAGEREF _Toc206690091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Permitted areas and prohibited areas, application of to vehicles and effect of</w:t>
      </w:r>
      <w:r>
        <w:tab/>
      </w:r>
      <w:r>
        <w:fldChar w:fldCharType="begin"/>
      </w:r>
      <w:r>
        <w:instrText xml:space="preserve"> PAGEREF _Toc206690092 \h </w:instrText>
      </w:r>
      <w:r>
        <w:fldChar w:fldCharType="separate"/>
      </w:r>
      <w:r>
        <w:t>21</w:t>
      </w:r>
      <w:r>
        <w:fldChar w:fldCharType="end"/>
      </w:r>
    </w:p>
    <w:p>
      <w:pPr>
        <w:pStyle w:val="TOC8"/>
        <w:rPr>
          <w:rFonts w:asciiTheme="minorHAnsi" w:eastAsiaTheme="minorEastAsia" w:hAnsiTheme="minorHAnsi" w:cstheme="minorBidi"/>
          <w:szCs w:val="22"/>
        </w:rPr>
      </w:pPr>
      <w:r>
        <w:lastRenderedPageBreak/>
        <w:t>21</w:t>
      </w:r>
      <w:r>
        <w:rPr>
          <w:snapToGrid w:val="0"/>
        </w:rPr>
        <w:t>.</w:t>
      </w:r>
      <w:r>
        <w:rPr>
          <w:snapToGrid w:val="0"/>
        </w:rPr>
        <w:tab/>
        <w:t>Advisory Committee, members and procedure of etc.</w:t>
      </w:r>
      <w:r>
        <w:tab/>
      </w:r>
      <w:r>
        <w:fldChar w:fldCharType="begin"/>
      </w:r>
      <w:r>
        <w:instrText xml:space="preserve"> PAGEREF _Toc206690093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Nominations of candidates for Advisory Committee, Minister may request</w:t>
      </w:r>
      <w:r>
        <w:tab/>
      </w:r>
      <w:r>
        <w:fldChar w:fldCharType="begin"/>
      </w:r>
      <w:r>
        <w:instrText xml:space="preserve"> PAGEREF _Toc206690094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Deputies of members, appointing etc.</w:t>
      </w:r>
      <w:r>
        <w:tab/>
      </w:r>
      <w:r>
        <w:fldChar w:fldCharType="begin"/>
      </w:r>
      <w:r>
        <w:instrText xml:space="preserve"> PAGEREF _Toc206690095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r>
      <w:r>
        <w:rPr>
          <w:i/>
          <w:snapToGrid w:val="0"/>
        </w:rPr>
        <w:t>Public Sector Management Act 1994</w:t>
      </w:r>
      <w:r>
        <w:rPr>
          <w:snapToGrid w:val="0"/>
        </w:rPr>
        <w:t>, application of to members</w:t>
      </w:r>
      <w:r>
        <w:tab/>
      </w:r>
      <w:r>
        <w:fldChar w:fldCharType="begin"/>
      </w:r>
      <w:r>
        <w:instrText xml:space="preserve"> PAGEREF _Toc206690096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Advisory Committee, departments etc. may assist</w:t>
      </w:r>
      <w:r>
        <w:tab/>
      </w:r>
      <w:r>
        <w:fldChar w:fldCharType="begin"/>
      </w:r>
      <w:r>
        <w:instrText xml:space="preserve"> PAGEREF _Toc206690097 \h </w:instrText>
      </w:r>
      <w:r>
        <w:fldChar w:fldCharType="separate"/>
      </w:r>
      <w:r>
        <w:t>27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Sub</w:t>
      </w:r>
      <w:r>
        <w:rPr>
          <w:snapToGrid w:val="0"/>
        </w:rPr>
        <w:noBreakHyphen/>
        <w:t>committees, appointing</w:t>
      </w:r>
      <w:r>
        <w:tab/>
      </w:r>
      <w:r>
        <w:fldChar w:fldCharType="begin"/>
      </w:r>
      <w:r>
        <w:instrText xml:space="preserve"> PAGEREF _Toc206690098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Registration of vehicles, generally</w:t>
      </w:r>
      <w:r>
        <w:tab/>
      </w:r>
      <w:r>
        <w:fldChar w:fldCharType="begin"/>
      </w:r>
      <w:r>
        <w:instrText xml:space="preserve"> PAGEREF _Toc206690099 \h </w:instrText>
      </w:r>
      <w:r>
        <w:fldChar w:fldCharType="separate"/>
      </w:r>
      <w:r>
        <w:t>28</w:t>
      </w:r>
      <w:r>
        <w:fldChar w:fldCharType="end"/>
      </w:r>
    </w:p>
    <w:p>
      <w:pPr>
        <w:pStyle w:val="TOC8"/>
        <w:rPr>
          <w:rFonts w:asciiTheme="minorHAnsi" w:eastAsiaTheme="minorEastAsia" w:hAnsiTheme="minorHAnsi" w:cstheme="minorBidi"/>
          <w:szCs w:val="22"/>
        </w:rPr>
      </w:pPr>
      <w:r>
        <w:t>28A.</w:t>
      </w:r>
      <w:r>
        <w:tab/>
        <w:t>Applying for registration etc. of vehicle</w:t>
      </w:r>
      <w:r>
        <w:tab/>
      </w:r>
      <w:r>
        <w:fldChar w:fldCharType="begin"/>
      </w:r>
      <w:r>
        <w:instrText xml:space="preserve"> PAGEREF _Toc206690100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Registration procedure</w:t>
      </w:r>
      <w:r>
        <w:tab/>
      </w:r>
      <w:r>
        <w:fldChar w:fldCharType="begin"/>
      </w:r>
      <w:r>
        <w:instrText xml:space="preserve"> PAGEREF _Toc206690101 \h </w:instrText>
      </w:r>
      <w:r>
        <w:fldChar w:fldCharType="separate"/>
      </w:r>
      <w:r>
        <w:t>30</w:t>
      </w:r>
      <w:r>
        <w:fldChar w:fldCharType="end"/>
      </w:r>
    </w:p>
    <w:p>
      <w:pPr>
        <w:pStyle w:val="TOC8"/>
        <w:rPr>
          <w:rFonts w:asciiTheme="minorHAnsi" w:eastAsiaTheme="minorEastAsia" w:hAnsiTheme="minorHAnsi" w:cstheme="minorBidi"/>
          <w:szCs w:val="22"/>
        </w:rPr>
      </w:pPr>
      <w:r>
        <w:t>29A.</w:t>
      </w:r>
      <w:r>
        <w:tab/>
        <w:t>Transfer of vehicle registration</w:t>
      </w:r>
      <w:r>
        <w:tab/>
      </w:r>
      <w:r>
        <w:fldChar w:fldCharType="begin"/>
      </w:r>
      <w:r>
        <w:instrText xml:space="preserve"> PAGEREF _Toc206690102 \h </w:instrText>
      </w:r>
      <w:r>
        <w:fldChar w:fldCharType="separate"/>
      </w:r>
      <w:r>
        <w:t>32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Fees for registration, reductions in, refunds of etc.</w:t>
      </w:r>
      <w:r>
        <w:tab/>
      </w:r>
      <w:r>
        <w:fldChar w:fldCharType="begin"/>
      </w:r>
      <w:r>
        <w:instrText xml:space="preserve"> PAGEREF _Toc206690103 \h </w:instrText>
      </w:r>
      <w:r>
        <w:fldChar w:fldCharType="separate"/>
      </w:r>
      <w:r>
        <w:t>34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Registration obtained by dishonoured cheque is void</w:t>
      </w:r>
      <w:r>
        <w:tab/>
      </w:r>
      <w:r>
        <w:fldChar w:fldCharType="begin"/>
      </w:r>
      <w:r>
        <w:instrText xml:space="preserve"> PAGEREF _Toc206690104 \h </w:instrText>
      </w:r>
      <w:r>
        <w:fldChar w:fldCharType="separate"/>
      </w:r>
      <w:r>
        <w:t>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Refund of registration fees</w:t>
      </w:r>
      <w:r>
        <w:tab/>
      </w:r>
      <w:r>
        <w:fldChar w:fldCharType="begin"/>
      </w:r>
      <w:r>
        <w:instrText xml:space="preserve"> PAGEREF _Toc206690105 \h </w:instrText>
      </w:r>
      <w:r>
        <w:fldChar w:fldCharType="separate"/>
      </w:r>
      <w:r>
        <w:t>35</w:t>
      </w:r>
      <w:r>
        <w:fldChar w:fldCharType="end"/>
      </w:r>
    </w:p>
    <w:p>
      <w:pPr>
        <w:pStyle w:val="TOC8"/>
        <w:rPr>
          <w:rFonts w:asciiTheme="minorHAnsi" w:eastAsiaTheme="minorEastAsia" w:hAnsiTheme="minorHAnsi" w:cstheme="minorBidi"/>
          <w:szCs w:val="22"/>
        </w:rPr>
      </w:pPr>
      <w:r>
        <w:t>32A.</w:t>
      </w:r>
      <w:r>
        <w:tab/>
        <w:t>Nominated owner of vehicle, cancelling and changing</w:t>
      </w:r>
      <w:r>
        <w:tab/>
      </w:r>
      <w:r>
        <w:fldChar w:fldCharType="begin"/>
      </w:r>
      <w:r>
        <w:instrText xml:space="preserve"> PAGEREF _Toc206690106 \h </w:instrText>
      </w:r>
      <w:r>
        <w:fldChar w:fldCharType="separate"/>
      </w:r>
      <w:r>
        <w:t>35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Review by SAT of decision on registration</w:t>
      </w:r>
      <w:r>
        <w:tab/>
      </w:r>
      <w:r>
        <w:fldChar w:fldCharType="begin"/>
      </w:r>
      <w:r>
        <w:instrText xml:space="preserve"> PAGEREF _Toc206690107 \h </w:instrText>
      </w:r>
      <w:r>
        <w:fldChar w:fldCharType="separate"/>
      </w:r>
      <w:r>
        <w:t>36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Number plate to be displayed</w:t>
      </w:r>
      <w:r>
        <w:tab/>
      </w:r>
      <w:r>
        <w:fldChar w:fldCharType="begin"/>
      </w:r>
      <w:r>
        <w:instrText xml:space="preserve"> PAGEREF _Toc206690108 \h </w:instrText>
      </w:r>
      <w:r>
        <w:fldChar w:fldCharType="separate"/>
      </w:r>
      <w:r>
        <w:t>36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Other offences concerning number plates</w:t>
      </w:r>
      <w:r>
        <w:tab/>
      </w:r>
      <w:r>
        <w:fldChar w:fldCharType="begin"/>
      </w:r>
      <w:r>
        <w:instrText xml:space="preserve"> PAGEREF _Toc206690109 \h </w:instrText>
      </w:r>
      <w:r>
        <w:fldChar w:fldCharType="separate"/>
      </w:r>
      <w:r>
        <w:t>37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Road law provisions</w:t>
      </w:r>
      <w:r>
        <w:tab/>
      </w:r>
      <w:r>
        <w:fldChar w:fldCharType="begin"/>
      </w:r>
      <w:r>
        <w:instrText xml:space="preserve"> PAGEREF _Toc206690110 \h </w:instrText>
      </w:r>
      <w:r>
        <w:fldChar w:fldCharType="separate"/>
      </w:r>
      <w:r>
        <w:t>37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Infringement notices</w:t>
      </w:r>
      <w:r>
        <w:tab/>
      </w:r>
      <w:r>
        <w:fldChar w:fldCharType="begin"/>
      </w:r>
      <w:r>
        <w:instrText xml:space="preserve"> PAGEREF _Toc206690111 \h </w:instrText>
      </w:r>
      <w:r>
        <w:fldChar w:fldCharType="separate"/>
      </w:r>
      <w:r>
        <w:t>38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Authorised persons</w:t>
      </w:r>
      <w:r>
        <w:tab/>
      </w:r>
      <w:r>
        <w:fldChar w:fldCharType="begin"/>
      </w:r>
      <w:r>
        <w:instrText xml:space="preserve"> PAGEREF _Toc206690112 \h </w:instrText>
      </w:r>
      <w:r>
        <w:fldChar w:fldCharType="separate"/>
      </w:r>
      <w:r>
        <w:t>41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Evidentiary provisions for prosecutions</w:t>
      </w:r>
      <w:r>
        <w:tab/>
      </w:r>
      <w:r>
        <w:fldChar w:fldCharType="begin"/>
      </w:r>
      <w:r>
        <w:instrText xml:space="preserve"> PAGEREF _Toc206690113 \h </w:instrText>
      </w:r>
      <w:r>
        <w:fldChar w:fldCharType="separate"/>
      </w:r>
      <w:r>
        <w:t>47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Prosecutions, who may commence</w:t>
      </w:r>
      <w:r>
        <w:tab/>
      </w:r>
      <w:r>
        <w:fldChar w:fldCharType="begin"/>
      </w:r>
      <w:r>
        <w:instrText xml:space="preserve"> PAGEREF _Toc206690114 \h </w:instrText>
      </w:r>
      <w:r>
        <w:fldChar w:fldCharType="separate"/>
      </w:r>
      <w:r>
        <w:t>48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Detention of vehicles, court may order</w:t>
      </w:r>
      <w:r>
        <w:tab/>
      </w:r>
      <w:r>
        <w:fldChar w:fldCharType="begin"/>
      </w:r>
      <w:r>
        <w:instrText xml:space="preserve"> PAGEREF _Toc206690115 \h </w:instrText>
      </w:r>
      <w:r>
        <w:fldChar w:fldCharType="separate"/>
      </w:r>
      <w:r>
        <w:t>49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Expenses of this Act, appropriation of penalties etc.</w:t>
      </w:r>
      <w:r>
        <w:tab/>
      </w:r>
      <w:r>
        <w:fldChar w:fldCharType="begin"/>
      </w:r>
      <w:r>
        <w:instrText xml:space="preserve"> PAGEREF _Toc206690116 \h </w:instrText>
      </w:r>
      <w:r>
        <w:fldChar w:fldCharType="separate"/>
      </w:r>
      <w:r>
        <w:t>50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Regulations that operate as local laws, Governor may make</w:t>
      </w:r>
      <w:r>
        <w:tab/>
      </w:r>
      <w:r>
        <w:fldChar w:fldCharType="begin"/>
      </w:r>
      <w:r>
        <w:instrText xml:space="preserve"> PAGEREF _Toc206690117 \h </w:instrText>
      </w:r>
      <w:r>
        <w:fldChar w:fldCharType="separate"/>
      </w:r>
      <w:r>
        <w:t>50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Local laws, local government may make</w:t>
      </w:r>
      <w:r>
        <w:tab/>
      </w:r>
      <w:r>
        <w:fldChar w:fldCharType="begin"/>
      </w:r>
      <w:r>
        <w:instrText xml:space="preserve"> PAGEREF _Toc206690118 \h </w:instrText>
      </w:r>
      <w:r>
        <w:fldChar w:fldCharType="separate"/>
      </w:r>
      <w:r>
        <w:t>51</w:t>
      </w:r>
      <w:r>
        <w:fldChar w:fldCharType="end"/>
      </w:r>
    </w:p>
    <w:p>
      <w:pPr>
        <w:pStyle w:val="TOC8"/>
        <w:rPr>
          <w:rFonts w:asciiTheme="minorHAnsi" w:eastAsiaTheme="minorEastAsia" w:hAnsiTheme="minorHAnsi" w:cstheme="minorBidi"/>
          <w:szCs w:val="22"/>
        </w:rPr>
      </w:pPr>
      <w:r>
        <w:t>45A</w:t>
      </w:r>
      <w:r>
        <w:rPr>
          <w:snapToGrid w:val="0"/>
        </w:rPr>
        <w:t>.</w:t>
      </w:r>
      <w:r>
        <w:rPr>
          <w:snapToGrid w:val="0"/>
        </w:rPr>
        <w:tab/>
        <w:t>Model local laws, Governor may make</w:t>
      </w:r>
      <w:r>
        <w:tab/>
      </w:r>
      <w:r>
        <w:fldChar w:fldCharType="begin"/>
      </w:r>
      <w:r>
        <w:instrText xml:space="preserve"> PAGEREF _Toc206690119 \h </w:instrText>
      </w:r>
      <w:r>
        <w:fldChar w:fldCharType="separate"/>
      </w:r>
      <w:r>
        <w:t>51</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Local laws, Governor may amend or repeal</w:t>
      </w:r>
      <w:r>
        <w:tab/>
      </w:r>
      <w:r>
        <w:fldChar w:fldCharType="begin"/>
      </w:r>
      <w:r>
        <w:instrText xml:space="preserve"> PAGEREF _Toc206690120 \h </w:instrText>
      </w:r>
      <w:r>
        <w:fldChar w:fldCharType="separate"/>
      </w:r>
      <w:r>
        <w:t>52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Regulations and local laws, general</w:t>
      </w:r>
      <w:r>
        <w:tab/>
      </w:r>
      <w:r>
        <w:fldChar w:fldCharType="begin"/>
      </w:r>
      <w:r>
        <w:instrText xml:space="preserve"> PAGEREF _Toc206690121 \h </w:instrText>
      </w:r>
      <w:r>
        <w:fldChar w:fldCharType="separate"/>
      </w:r>
      <w:r>
        <w:t>52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Local laws and local planning schemes, Governor may revoke or amend</w:t>
      </w:r>
      <w:r>
        <w:tab/>
      </w:r>
      <w:r>
        <w:fldChar w:fldCharType="begin"/>
      </w:r>
      <w:r>
        <w:instrText xml:space="preserve"> PAGEREF _Toc206690122 \h </w:instrText>
      </w:r>
      <w:r>
        <w:fldChar w:fldCharType="separate"/>
      </w:r>
      <w:r>
        <w:t>53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Regulations</w:t>
      </w:r>
      <w:r>
        <w:tab/>
      </w:r>
      <w:r>
        <w:fldChar w:fldCharType="begin"/>
      </w:r>
      <w:r>
        <w:instrText xml:space="preserve"> PAGEREF _Toc206690123 \h </w:instrText>
      </w:r>
      <w:r>
        <w:fldChar w:fldCharType="separate"/>
      </w:r>
      <w:r>
        <w:t>54</w:t>
      </w:r>
      <w:r>
        <w:fldChar w:fldCharType="end"/>
      </w:r>
    </w:p>
    <w:p>
      <w:pPr>
        <w:pStyle w:val="TOC8"/>
        <w:rPr>
          <w:rFonts w:asciiTheme="minorHAnsi" w:eastAsiaTheme="minorEastAsia" w:hAnsiTheme="minorHAnsi" w:cstheme="minorBidi"/>
          <w:szCs w:val="22"/>
        </w:rPr>
      </w:pPr>
      <w:r>
        <w:lastRenderedPageBreak/>
        <w:t>49.</w:t>
      </w:r>
      <w:r>
        <w:tab/>
        <w:t xml:space="preserve">Transitional provision for </w:t>
      </w:r>
      <w:r>
        <w:rPr>
          <w:i/>
        </w:rPr>
        <w:t>Local Government Legislation Amendment Act 2019</w:t>
      </w:r>
      <w:r>
        <w:tab/>
      </w:r>
      <w:r>
        <w:fldChar w:fldCharType="begin"/>
      </w:r>
      <w:r>
        <w:instrText xml:space="preserve"> PAGEREF _Toc206690124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_Toc206690126 \h </w:instrText>
      </w:r>
      <w:r>
        <w:fldChar w:fldCharType="separate"/>
      </w:r>
      <w:r>
        <w:t>56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_Toc206690127 \h </w:instrText>
      </w:r>
      <w:r>
        <w:fldChar w:fldCharType="separate"/>
      </w:r>
      <w:r>
        <w:t>60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_Toc206690128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800"/>
      </w:pPr>
      <w:r>
        <w:t>Control of Vehicles (Off</w:t>
      </w:r>
      <w:r>
        <w:noBreakHyphen/>
        <w:t>road Areas) Act 1978</w:t>
      </w:r>
    </w:p>
    <w:p>
      <w:pPr>
        <w:pStyle w:val="LongTitle"/>
        <w:rPr>
          <w:snapToGrid w:val="0"/>
        </w:rPr>
      </w:pPr>
      <w:r>
        <w:rPr>
          <w:snapToGrid w:val="0"/>
        </w:rPr>
        <w:t>An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pPr>
        <w:pStyle w:val="Heading5"/>
        <w:rPr>
          <w:snapToGrid w:val="0"/>
        </w:rPr>
      </w:pPr>
      <w:bookmarkStart w:id="2" w:name="_Toc206690069"/>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road Areas) Act 1978</w:t>
      </w:r>
      <w:r>
        <w:rPr>
          <w:snapToGrid w:val="0"/>
        </w:rPr>
        <w:t>.</w:t>
      </w:r>
    </w:p>
    <w:p>
      <w:pPr>
        <w:pStyle w:val="Heading5"/>
        <w:rPr>
          <w:snapToGrid w:val="0"/>
        </w:rPr>
      </w:pPr>
      <w:bookmarkStart w:id="3" w:name="_Toc206690070"/>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The several provisions of this Act shall come into operation on such day or days as is, or are respectively, fixed by proclamation.</w:t>
      </w:r>
    </w:p>
    <w:p>
      <w:pPr>
        <w:pStyle w:val="Heading5"/>
        <w:rPr>
          <w:snapToGrid w:val="0"/>
        </w:rPr>
      </w:pPr>
      <w:bookmarkStart w:id="4" w:name="_Toc206690071"/>
      <w:r>
        <w:rPr>
          <w:rStyle w:val="CharSectno"/>
        </w:rPr>
        <w:t>3</w:t>
      </w:r>
      <w:r>
        <w:rPr>
          <w:snapToGrid w:val="0"/>
        </w:rPr>
        <w:t>.</w:t>
      </w:r>
      <w:r>
        <w:rPr>
          <w:snapToGrid w:val="0"/>
        </w:rPr>
        <w:tab/>
        <w:t>Terms used</w:t>
      </w:r>
      <w:bookmarkEnd w:id="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authorised person</w:t>
      </w:r>
      <w:r>
        <w:t xml:space="preserve"> means a person to whom section 38(1) applies;</w:t>
      </w:r>
    </w:p>
    <w:p>
      <w:pPr>
        <w:pStyle w:val="Defstart"/>
      </w:pPr>
      <w:r>
        <w:rPr>
          <w:b/>
        </w:rPr>
        <w:tab/>
      </w:r>
      <w:r>
        <w:rPr>
          <w:rStyle w:val="CharDefText"/>
        </w:rPr>
        <w:t>certificate of registration</w:t>
      </w:r>
      <w:r>
        <w:t xml:space="preserve"> or </w:t>
      </w:r>
      <w:r>
        <w:rPr>
          <w:rStyle w:val="CharDefText"/>
        </w:rPr>
        <w:t>certificate</w:t>
      </w:r>
      <w:r>
        <w:t xml:space="preserve"> means a certificate issued under section 29;</w:t>
      </w:r>
    </w:p>
    <w:p>
      <w:pPr>
        <w:pStyle w:val="Defstart"/>
      </w:pPr>
      <w:r>
        <w:rPr>
          <w:b/>
        </w:rPr>
        <w:tab/>
      </w:r>
      <w:r>
        <w:rPr>
          <w:rStyle w:val="CharDefText"/>
        </w:rPr>
        <w:t>Committee</w:t>
      </w:r>
      <w:r>
        <w:t xml:space="preserve"> means the Advisory Committee constituted pursuant to section 21;</w:t>
      </w:r>
    </w:p>
    <w:p>
      <w:pPr>
        <w:pStyle w:val="Defstart"/>
      </w:pPr>
      <w:r>
        <w:rPr>
          <w:b/>
        </w:rPr>
        <w:tab/>
      </w:r>
      <w:r>
        <w:rPr>
          <w:rStyle w:val="CharDefText"/>
        </w:rPr>
        <w:t>Department</w:t>
      </w:r>
      <w:r>
        <w:t xml:space="preserve"> means a department of the Public Service of the State;</w:t>
      </w:r>
    </w:p>
    <w:p>
      <w:pPr>
        <w:pStyle w:val="Defstart"/>
      </w:pPr>
      <w:r>
        <w:lastRenderedPageBreak/>
        <w:tab/>
      </w:r>
      <w:r>
        <w:rPr>
          <w:rStyle w:val="CharDefText"/>
        </w:rPr>
        <w:t>Director General</w:t>
      </w:r>
      <w:r>
        <w:t xml:space="preserve"> means the chief executive officer of the department of the Public Service principally assisting the Minister in the administration of this Act;</w:t>
      </w:r>
    </w:p>
    <w:p>
      <w:pPr>
        <w:pStyle w:val="Defstart"/>
      </w:pPr>
      <w:r>
        <w:rPr>
          <w:b/>
        </w:rPr>
        <w:tab/>
      </w:r>
      <w:r>
        <w:rPr>
          <w:rStyle w:val="CharDefText"/>
        </w:rPr>
        <w:t>district</w:t>
      </w:r>
      <w:r>
        <w:t xml:space="preserve"> means, in relation to a local government, the district of that local government plus any other areas which the Governor has declared, under section 5(3), are to be regarded as being part of the district;</w:t>
      </w:r>
    </w:p>
    <w:p>
      <w:pPr>
        <w:pStyle w:val="Defstart"/>
      </w:pPr>
      <w:r>
        <w:rPr>
          <w:b/>
        </w:rPr>
        <w:tab/>
      </w:r>
      <w:r>
        <w:rPr>
          <w:rStyle w:val="CharDefText"/>
        </w:rPr>
        <w:t>drive</w:t>
      </w:r>
      <w:r>
        <w:t xml:space="preserve"> includes riding a vehicle, and </w:t>
      </w:r>
      <w:r>
        <w:rPr>
          <w:rStyle w:val="CharDefText"/>
        </w:rPr>
        <w:t>driver</w:t>
      </w:r>
      <w:r>
        <w:t xml:space="preserve"> includes a rider having the control of a vehicle;</w:t>
      </w:r>
    </w:p>
    <w:p>
      <w:pPr>
        <w:pStyle w:val="Defstart"/>
      </w:pPr>
      <w:r>
        <w:rPr>
          <w:b/>
        </w:rPr>
        <w:tab/>
      </w:r>
      <w:r>
        <w:rPr>
          <w:rStyle w:val="CharDefText"/>
        </w:rPr>
        <w:t>infringement notice</w:t>
      </w:r>
      <w:r>
        <w:t xml:space="preserve"> means a notice of the kind referred to in section 37(1);</w:t>
      </w:r>
    </w:p>
    <w:p>
      <w:pPr>
        <w:pStyle w:val="Defstart"/>
      </w:pPr>
      <w:r>
        <w:tab/>
      </w:r>
      <w:r>
        <w:rPr>
          <w:rStyle w:val="CharDefText"/>
        </w:rPr>
        <w:t>motor car</w:t>
      </w:r>
      <w:r>
        <w:t xml:space="preserve"> means a vehicle that is not a motor cycle and that is designed —</w:t>
      </w:r>
    </w:p>
    <w:p>
      <w:pPr>
        <w:pStyle w:val="Defpara"/>
      </w:pPr>
      <w:r>
        <w:tab/>
        <w:t>(a)</w:t>
      </w:r>
      <w:r>
        <w:tab/>
        <w:t>mainly to carry people; and</w:t>
      </w:r>
    </w:p>
    <w:p>
      <w:pPr>
        <w:pStyle w:val="Defpara"/>
      </w:pPr>
      <w:r>
        <w:tab/>
        <w:t>(b)</w:t>
      </w:r>
      <w:r>
        <w:tab/>
        <w:t>to seat not more than 8 adults (including the driver);</w:t>
      </w:r>
    </w:p>
    <w:p>
      <w:pPr>
        <w:pStyle w:val="Defstart"/>
      </w:pPr>
      <w:r>
        <w:tab/>
      </w:r>
      <w:r>
        <w:rPr>
          <w:rStyle w:val="CharDefText"/>
        </w:rPr>
        <w:t>motor cycle</w:t>
      </w:r>
      <w:r>
        <w:t xml:space="preserve"> means a vehicle that —</w:t>
      </w:r>
    </w:p>
    <w:p>
      <w:pPr>
        <w:pStyle w:val="Defpara"/>
      </w:pPr>
      <w:r>
        <w:tab/>
        <w:t>(a)</w:t>
      </w:r>
      <w:r>
        <w:tab/>
        <w:t>is designed to travel on 2 wheels; or</w:t>
      </w:r>
    </w:p>
    <w:p>
      <w:pPr>
        <w:pStyle w:val="Defpara"/>
      </w:pPr>
      <w:r>
        <w:tab/>
        <w:t>(b)</w:t>
      </w:r>
      <w:r>
        <w:tab/>
        <w:t>although not designed to travel on 2 wheels, is designed so that the driver sits astride it, or part of it, in a manner similar to that customary for a vehicle designed to travel on 2 wheels;</w:t>
      </w:r>
    </w:p>
    <w:p>
      <w:pPr>
        <w:pStyle w:val="Defstart"/>
      </w:pPr>
      <w:r>
        <w:rPr>
          <w:b/>
        </w:rPr>
        <w:tab/>
      </w:r>
      <w:r>
        <w:rPr>
          <w:rStyle w:val="CharDefText"/>
        </w:rPr>
        <w:t>off</w:t>
      </w:r>
      <w:r>
        <w:rPr>
          <w:rStyle w:val="CharDefText"/>
        </w:rPr>
        <w:noBreakHyphen/>
        <w:t>road vehicle</w:t>
      </w:r>
      <w:r>
        <w:t xml:space="preserve"> means a vehicle which is not licensed, deemed to be licensed, or the subject of a permit granted, under the </w:t>
      </w:r>
      <w:r>
        <w:rPr>
          <w:i/>
          <w:iCs/>
        </w:rPr>
        <w:t>Road Traffic (Vehicles) Act 2012</w:t>
      </w:r>
      <w:r>
        <w:t>;</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keepNext/>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3(2), it means only the person nominated;</w:t>
      </w:r>
    </w:p>
    <w:p>
      <w:pPr>
        <w:pStyle w:val="Defstart"/>
      </w:pPr>
      <w:r>
        <w:rPr>
          <w:b/>
        </w:rPr>
        <w:lastRenderedPageBreak/>
        <w:tab/>
      </w:r>
      <w:r>
        <w:rPr>
          <w:rStyle w:val="CharDefText"/>
        </w:rPr>
        <w:t>permitted area</w:t>
      </w:r>
      <w:r>
        <w:t xml:space="preserve"> means an area declared as such by the Minister pursuant to section 12 or to section 13 and specified in a notice published pursuant to section 12;</w:t>
      </w:r>
    </w:p>
    <w:p>
      <w:pPr>
        <w:pStyle w:val="Defstart"/>
      </w:pPr>
      <w:r>
        <w:rPr>
          <w:b/>
        </w:rPr>
        <w:tab/>
      </w:r>
      <w:r>
        <w:rPr>
          <w:rStyle w:val="CharDefText"/>
        </w:rPr>
        <w:t>private land</w:t>
      </w:r>
      <w:r>
        <w:t xml:space="preserve"> means land of a kind to which the provisions of section 39(2)(a) applies, or land to which paragraph (b) of that subsection relates;</w:t>
      </w:r>
    </w:p>
    <w:p>
      <w:pPr>
        <w:pStyle w:val="Defstart"/>
      </w:pPr>
      <w:r>
        <w:rPr>
          <w:b/>
        </w:rPr>
        <w:tab/>
      </w:r>
      <w:r>
        <w:rPr>
          <w:rStyle w:val="CharDefText"/>
        </w:rPr>
        <w:t>prohibited area</w:t>
      </w:r>
      <w:r>
        <w:t xml:space="preserve"> means an area established as such by the Minister and specified in a notice published pursuant to section 16;</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tab/>
      </w:r>
      <w:r>
        <w:rPr>
          <w:rStyle w:val="CharDefText"/>
        </w:rPr>
        <w:t>responsible person</w:t>
      </w:r>
      <w:r>
        <w:t xml:space="preserve">, for a vehicle, means a person responsible for the vehicle under the </w:t>
      </w:r>
      <w:r>
        <w:rPr>
          <w:i/>
          <w:iCs/>
        </w:rPr>
        <w:t>Road Traffic (Administration) Act 2008</w:t>
      </w:r>
      <w:r>
        <w:t xml:space="preserve"> section 6;</w:t>
      </w:r>
    </w:p>
    <w:p>
      <w:pPr>
        <w:pStyle w:val="Defstart"/>
      </w:pPr>
      <w:r>
        <w:rPr>
          <w:b/>
        </w:rPr>
        <w:tab/>
      </w:r>
      <w:r>
        <w:rPr>
          <w:rStyle w:val="CharDefText"/>
        </w:rPr>
        <w:t>road</w:t>
      </w:r>
      <w:r>
        <w:t xml:space="preserve"> means any highway, road or street, open to, or used by, the public;</w:t>
      </w:r>
    </w:p>
    <w:p>
      <w:pPr>
        <w:pStyle w:val="Defstart"/>
      </w:pPr>
      <w:r>
        <w:rPr>
          <w:b/>
        </w:rP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seat belt solely or principally designed to restrain or limit the movement of a person of less than 8 years of age; or</w:t>
      </w:r>
    </w:p>
    <w:p>
      <w:pPr>
        <w:pStyle w:val="Defpara"/>
      </w:pPr>
      <w:r>
        <w:tab/>
        <w:t>(b)</w:t>
      </w:r>
      <w:r>
        <w:tab/>
        <w:t>a seat belt which is damaged, or which is defective and is not capable of being worn or of being properly adjusted or securely fastened;</w:t>
      </w:r>
    </w:p>
    <w:p>
      <w:pPr>
        <w:pStyle w:val="Defstart"/>
        <w:spacing w:before="60"/>
      </w:pPr>
      <w:r>
        <w:rPr>
          <w:b/>
        </w:rPr>
        <w:tab/>
      </w:r>
      <w:r>
        <w:rPr>
          <w:rStyle w:val="CharDefText"/>
        </w:rPr>
        <w:t>seat position</w:t>
      </w:r>
      <w:r>
        <w:t xml:space="preserve"> in relation to a motor vehicle other than a motor cycle, means a seat position intended for one person and, in the case of contiguous seating positions intended for more than one </w:t>
      </w:r>
      <w:r>
        <w:lastRenderedPageBreak/>
        <w:t>person, means each complete space of not less than 410 mm measured along the front of the seat;</w:t>
      </w:r>
    </w:p>
    <w:p>
      <w:pPr>
        <w:pStyle w:val="Defstart"/>
        <w:spacing w:before="60"/>
      </w:pPr>
      <w:r>
        <w:rPr>
          <w:b/>
        </w:rPr>
        <w:tab/>
      </w:r>
      <w:r>
        <w:rPr>
          <w:rStyle w:val="CharDefText"/>
        </w:rPr>
        <w:t>vehicle</w:t>
      </w:r>
      <w:r>
        <w:t xml:space="preserve"> means a vehicle that is propelled by an engine or other mechanical source of power.</w:t>
      </w:r>
    </w:p>
    <w:p>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pPr>
        <w:pStyle w:val="Footnotesection"/>
        <w:keepLines w:val="0"/>
        <w:ind w:left="890" w:hanging="890"/>
      </w:pPr>
      <w:r>
        <w:tab/>
        <w:t>[Section 3 amended: No. 106 of 1981 s. 31 and 34; No. 102 of 1984 s. 4; No. 12 of 1985 s. 3; No. 14 of 1996 s. 4; No. 30 of 1996 s. 13; No. 76 of 1996 s. 23 and 27; No. 39 of 2000 s. 50; No. 28 of 2001 s. 30; No. 7 of 2002 s. 4; No. 28 of 2006 s. 356; No. 8 of 2009 s. 40; No. 8 of 2012 s. 63; No. 16 of 2019 s. 100.]</w:t>
      </w:r>
    </w:p>
    <w:p>
      <w:pPr>
        <w:pStyle w:val="Heading5"/>
        <w:keepNext w:val="0"/>
        <w:keepLines w:val="0"/>
        <w:rPr>
          <w:snapToGrid w:val="0"/>
        </w:rPr>
      </w:pPr>
      <w:bookmarkStart w:id="5" w:name="_Toc206690072"/>
      <w:r>
        <w:rPr>
          <w:rStyle w:val="CharSectno"/>
        </w:rPr>
        <w:t>4</w:t>
      </w:r>
      <w:r>
        <w:rPr>
          <w:snapToGrid w:val="0"/>
        </w:rPr>
        <w:t>.</w:t>
      </w:r>
      <w:r>
        <w:rPr>
          <w:snapToGrid w:val="0"/>
        </w:rPr>
        <w:tab/>
        <w:t>Application of this Act</w:t>
      </w:r>
      <w:bookmarkEnd w:id="5"/>
    </w:p>
    <w:p>
      <w:pPr>
        <w:pStyle w:val="Subsection"/>
        <w:rPr>
          <w:snapToGrid w:val="0"/>
        </w:rPr>
      </w:pPr>
      <w:r>
        <w:rPr>
          <w:snapToGrid w:val="0"/>
        </w:rPr>
        <w:tab/>
        <w:t>(1)</w:t>
      </w:r>
      <w:r>
        <w:rPr>
          <w:snapToGrid w:val="0"/>
        </w:rPr>
        <w:tab/>
        <w:t>Subject to the provisions of this section, the provisions of this Act apply throughout the State.</w:t>
      </w:r>
    </w:p>
    <w:p>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pPr>
        <w:pStyle w:val="Subsection"/>
        <w:rPr>
          <w:snapToGrid w:val="0"/>
        </w:rPr>
      </w:pPr>
      <w:r>
        <w:rPr>
          <w:snapToGrid w:val="0"/>
        </w:rPr>
        <w:tab/>
        <w:t>(3)</w:t>
      </w:r>
      <w:r>
        <w:rPr>
          <w:snapToGrid w:val="0"/>
        </w:rPr>
        <w:tab/>
        <w:t>The Governor may by a subsequent proclamation vary or cancel any proclamation made under subsection (2).</w:t>
      </w:r>
    </w:p>
    <w:p>
      <w:pPr>
        <w:pStyle w:val="Heading5"/>
      </w:pPr>
      <w:bookmarkStart w:id="6" w:name="_Toc206690073"/>
      <w:r>
        <w:rPr>
          <w:rStyle w:val="CharSectno"/>
        </w:rPr>
        <w:t>4A</w:t>
      </w:r>
      <w:r>
        <w:t>.</w:t>
      </w:r>
      <w:r>
        <w:tab/>
        <w:t>Delegation by Director General</w:t>
      </w:r>
      <w:bookmarkEnd w:id="6"/>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lastRenderedPageBreak/>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4A inserted: No. 7 of 2002 s. 5.]</w:t>
      </w:r>
    </w:p>
    <w:p>
      <w:pPr>
        <w:pStyle w:val="Heading5"/>
      </w:pPr>
      <w:bookmarkStart w:id="7" w:name="_Toc206690074"/>
      <w:r>
        <w:rPr>
          <w:rStyle w:val="CharSectno"/>
        </w:rPr>
        <w:t>4B</w:t>
      </w:r>
      <w:r>
        <w:t>.</w:t>
      </w:r>
      <w:r>
        <w:tab/>
        <w:t>Agreements for performance of Director General’s functions by others</w:t>
      </w:r>
      <w:bookmarkEnd w:id="7"/>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keepNext/>
      </w:pPr>
      <w:r>
        <w:lastRenderedPageBreak/>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4B inserted: No. 7 of 2002 s. 5.]</w:t>
      </w:r>
    </w:p>
    <w:p>
      <w:pPr>
        <w:pStyle w:val="Heading5"/>
        <w:keepNext w:val="0"/>
        <w:keepLines w:val="0"/>
        <w:spacing w:before="180"/>
        <w:rPr>
          <w:snapToGrid w:val="0"/>
        </w:rPr>
      </w:pPr>
      <w:bookmarkStart w:id="8" w:name="_Toc206690075"/>
      <w:r>
        <w:rPr>
          <w:rStyle w:val="CharSectno"/>
        </w:rPr>
        <w:t>5</w:t>
      </w:r>
      <w:r>
        <w:rPr>
          <w:snapToGrid w:val="0"/>
        </w:rPr>
        <w:t>.</w:t>
      </w:r>
      <w:r>
        <w:rPr>
          <w:snapToGrid w:val="0"/>
        </w:rPr>
        <w:tab/>
        <w:t>Local government’s functions</w:t>
      </w:r>
      <w:bookmarkEnd w:id="8"/>
    </w:p>
    <w:p>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pPr>
        <w:pStyle w:val="Ednotesubsection"/>
      </w:pPr>
      <w:r>
        <w:tab/>
        <w:t>[(2)</w:t>
      </w:r>
      <w:r>
        <w:tab/>
        <w:t>deleted]</w:t>
      </w:r>
    </w:p>
    <w:p>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pPr>
        <w:pStyle w:val="Ednotesubsection"/>
      </w:pPr>
      <w:r>
        <w:tab/>
        <w:t>[(5)</w:t>
      </w:r>
      <w:r>
        <w:tab/>
        <w:t>deleted]</w:t>
      </w:r>
    </w:p>
    <w:p>
      <w:pPr>
        <w:pStyle w:val="Footnotesection"/>
      </w:pPr>
      <w:r>
        <w:lastRenderedPageBreak/>
        <w:tab/>
        <w:t>[Section 5 amended: No. 106 of 1981 s. 32 and 34; No. 14 of 1996 s. 4; No. 76 of 1996 s. 27; No. 7 of 2002 s. 6; No. 16 of 2019 s. 101.]</w:t>
      </w:r>
    </w:p>
    <w:p>
      <w:pPr>
        <w:pStyle w:val="Heading5"/>
        <w:rPr>
          <w:snapToGrid w:val="0"/>
        </w:rPr>
      </w:pPr>
      <w:bookmarkStart w:id="9" w:name="_Toc206690076"/>
      <w:r>
        <w:rPr>
          <w:rStyle w:val="CharSectno"/>
        </w:rPr>
        <w:t>6</w:t>
      </w:r>
      <w:r>
        <w:rPr>
          <w:snapToGrid w:val="0"/>
        </w:rPr>
        <w:t>.</w:t>
      </w:r>
      <w:r>
        <w:rPr>
          <w:snapToGrid w:val="0"/>
        </w:rPr>
        <w:tab/>
        <w:t>Driving and using off</w:t>
      </w:r>
      <w:r>
        <w:rPr>
          <w:snapToGrid w:val="0"/>
        </w:rPr>
        <w:noBreakHyphen/>
        <w:t>road vehicles, offences</w:t>
      </w:r>
      <w:bookmarkEnd w:id="9"/>
    </w:p>
    <w:p>
      <w:pPr>
        <w:pStyle w:val="Subsection"/>
        <w:rPr>
          <w:snapToGrid w:val="0"/>
        </w:rPr>
      </w:pPr>
      <w:r>
        <w:rPr>
          <w:snapToGrid w:val="0"/>
        </w:rPr>
        <w:tab/>
        <w:t>(1)</w:t>
      </w:r>
      <w:r>
        <w:rPr>
          <w:snapToGrid w:val="0"/>
        </w:rPr>
        <w:tab/>
        <w:t xml:space="preserve">A person </w:t>
      </w:r>
      <w:r>
        <w:t>must</w:t>
      </w:r>
      <w:r>
        <w:rPr>
          <w:snapToGrid w:val="0"/>
        </w:rPr>
        <w:t xml:space="preserve"> not drive or use an off</w:t>
      </w:r>
      <w:r>
        <w:rPr>
          <w:snapToGrid w:val="0"/>
        </w:rPr>
        <w:noBreakHyphen/>
        <w:t>road vehicle in any area to which this section applies otherwise than —</w:t>
      </w:r>
    </w:p>
    <w:p>
      <w:pPr>
        <w:pStyle w:val="Indenta"/>
        <w:rPr>
          <w:snapToGrid w:val="0"/>
        </w:rPr>
      </w:pPr>
      <w:r>
        <w:rPr>
          <w:snapToGrid w:val="0"/>
        </w:rPr>
        <w:tab/>
        <w:t>(a)</w:t>
      </w:r>
      <w:r>
        <w:rPr>
          <w:snapToGrid w:val="0"/>
        </w:rPr>
        <w:tab/>
        <w:t>on private land by consent; or</w:t>
      </w:r>
    </w:p>
    <w:p>
      <w:pPr>
        <w:pStyle w:val="Indenta"/>
        <w:keepNext/>
        <w:rPr>
          <w:snapToGrid w:val="0"/>
        </w:rPr>
      </w:pPr>
      <w:r>
        <w:rPr>
          <w:snapToGrid w:val="0"/>
        </w:rPr>
        <w:tab/>
        <w:t>(b)</w:t>
      </w:r>
      <w:r>
        <w:rPr>
          <w:snapToGrid w:val="0"/>
        </w:rPr>
        <w:tab/>
        <w:t>on land comprised within a permitted area,</w:t>
      </w:r>
    </w:p>
    <w:p>
      <w:pPr>
        <w:pStyle w:val="Subsection"/>
        <w:rPr>
          <w:snapToGrid w:val="0"/>
        </w:rPr>
      </w:pPr>
      <w:r>
        <w:rPr>
          <w:snapToGrid w:val="0"/>
        </w:rPr>
        <w:tab/>
      </w:r>
      <w:r>
        <w:rPr>
          <w:snapToGrid w:val="0"/>
        </w:rPr>
        <w:tab/>
        <w:t>unless permitted to do so pursuant to section 8(4) or deemed to have been permitted to do so pursuant to subsection (5) of that section.</w:t>
      </w:r>
    </w:p>
    <w:p>
      <w:pPr>
        <w:pStyle w:val="Penstart"/>
        <w:rPr>
          <w:snapToGrid w:val="0"/>
        </w:rPr>
      </w:pPr>
      <w:r>
        <w:rPr>
          <w:snapToGrid w:val="0"/>
        </w:rPr>
        <w:tab/>
      </w:r>
      <w:r>
        <w:t>Penalty for this subsection: a fine of $5 000.</w:t>
      </w:r>
    </w:p>
    <w:p>
      <w:pPr>
        <w:pStyle w:val="Subsection"/>
        <w:rPr>
          <w:snapToGrid w:val="0"/>
        </w:rPr>
      </w:pPr>
      <w:r>
        <w:rPr>
          <w:snapToGrid w:val="0"/>
        </w:rPr>
        <w:tab/>
        <w:t>(2)</w:t>
      </w:r>
      <w:r>
        <w:rPr>
          <w:snapToGrid w:val="0"/>
        </w:rPr>
        <w:tab/>
        <w:t xml:space="preserve">A person </w:t>
      </w:r>
      <w:r>
        <w:t>must</w:t>
      </w:r>
      <w:r>
        <w:rPr>
          <w:snapToGrid w:val="0"/>
        </w:rPr>
        <w:t xml:space="preserve"> not drive or use any vehicle to which, or in the circumstances to which, a declaration made and published under section 16 applies on land comprised within a prohibited area to which the declaration relates unless permitted to do so pursuant to section 8(4).</w:t>
      </w:r>
    </w:p>
    <w:p>
      <w:pPr>
        <w:pStyle w:val="Penstart"/>
        <w:rPr>
          <w:snapToGrid w:val="0"/>
        </w:rPr>
      </w:pPr>
      <w:r>
        <w:rPr>
          <w:snapToGrid w:val="0"/>
        </w:rPr>
        <w:tab/>
      </w:r>
      <w:r>
        <w:t>Penalty for this subsection: a fine of $5 000.</w:t>
      </w:r>
    </w:p>
    <w:p>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pPr>
        <w:pStyle w:val="Subsection"/>
        <w:rPr>
          <w:snapToGrid w:val="0"/>
        </w:rPr>
      </w:pPr>
      <w:r>
        <w:rPr>
          <w:snapToGrid w:val="0"/>
        </w:rPr>
        <w:tab/>
        <w:t>(4)</w:t>
      </w:r>
      <w:r>
        <w:rPr>
          <w:snapToGrid w:val="0"/>
        </w:rPr>
        <w:tab/>
        <w:t xml:space="preserve">A person </w:t>
      </w:r>
      <w:r>
        <w:t>must</w:t>
      </w:r>
      <w:r>
        <w:rPr>
          <w:snapToGrid w:val="0"/>
        </w:rPr>
        <w:t xml:space="preserve"> not use or drive an off</w:t>
      </w:r>
      <w:r>
        <w:rPr>
          <w:snapToGrid w:val="0"/>
        </w:rPr>
        <w:noBreakHyphen/>
        <w:t>road vehicle on any land whether or not private land —</w:t>
      </w:r>
    </w:p>
    <w:p>
      <w:pPr>
        <w:pStyle w:val="Indenta"/>
        <w:rPr>
          <w:snapToGrid w:val="0"/>
        </w:rPr>
      </w:pPr>
      <w:r>
        <w:rPr>
          <w:snapToGrid w:val="0"/>
        </w:rPr>
        <w:tab/>
        <w:t>(a)</w:t>
      </w:r>
      <w:r>
        <w:rPr>
          <w:snapToGrid w:val="0"/>
        </w:rPr>
        <w:tab/>
        <w:t>in a manner which creates or causes any undue or excessive noise; or</w:t>
      </w:r>
    </w:p>
    <w:p>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pPr>
        <w:pStyle w:val="Indenta"/>
        <w:rPr>
          <w:snapToGrid w:val="0"/>
        </w:rPr>
      </w:pPr>
      <w:r>
        <w:rPr>
          <w:snapToGrid w:val="0"/>
        </w:rPr>
        <w:lastRenderedPageBreak/>
        <w:tab/>
        <w:t>(c)</w:t>
      </w:r>
      <w:r>
        <w:rPr>
          <w:snapToGrid w:val="0"/>
        </w:rPr>
        <w:tab/>
        <w:t>unless it complies with such other requirements as to the control of noise as may be prescribed.</w:t>
      </w:r>
    </w:p>
    <w:p>
      <w:pPr>
        <w:pStyle w:val="Penstart"/>
        <w:rPr>
          <w:snapToGrid w:val="0"/>
        </w:rPr>
      </w:pPr>
      <w:r>
        <w:rPr>
          <w:snapToGrid w:val="0"/>
        </w:rPr>
        <w:tab/>
      </w:r>
      <w:r>
        <w:t>Penalty for this subsection: a fine of $5 000.</w:t>
      </w:r>
    </w:p>
    <w:p>
      <w:pPr>
        <w:pStyle w:val="Footnotesection"/>
        <w:keepLines w:val="0"/>
        <w:spacing w:before="80"/>
        <w:ind w:left="890" w:hanging="890"/>
      </w:pPr>
      <w:r>
        <w:tab/>
        <w:t>[Section 6 amended: No. 8 of 2025 s. 14 and 15.]</w:t>
      </w:r>
    </w:p>
    <w:p>
      <w:pPr>
        <w:pStyle w:val="Heading5"/>
        <w:rPr>
          <w:snapToGrid w:val="0"/>
        </w:rPr>
      </w:pPr>
      <w:bookmarkStart w:id="10" w:name="_Toc206690077"/>
      <w:r>
        <w:rPr>
          <w:rStyle w:val="CharSectno"/>
        </w:rPr>
        <w:t>7</w:t>
      </w:r>
      <w:r>
        <w:rPr>
          <w:snapToGrid w:val="0"/>
        </w:rPr>
        <w:t>.</w:t>
      </w:r>
      <w:r>
        <w:rPr>
          <w:snapToGrid w:val="0"/>
        </w:rPr>
        <w:tab/>
        <w:t>Some vehicles to be registered under this Act</w:t>
      </w:r>
      <w:bookmarkEnd w:id="10"/>
    </w:p>
    <w:p>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pPr>
        <w:pStyle w:val="Indenta"/>
        <w:rPr>
          <w:snapToGrid w:val="0"/>
        </w:rPr>
      </w:pPr>
      <w:r>
        <w:rPr>
          <w:snapToGrid w:val="0"/>
        </w:rPr>
        <w:tab/>
        <w:t>(a)</w:t>
      </w:r>
      <w:r>
        <w:rPr>
          <w:snapToGrid w:val="0"/>
        </w:rPr>
        <w:tab/>
        <w:t xml:space="preserve">vehicles for the time being licensed under the </w:t>
      </w:r>
      <w:r>
        <w:rPr>
          <w:i/>
          <w:iCs/>
        </w:rPr>
        <w:t>Road Traffic (Vehicles) Act 2012</w:t>
      </w:r>
      <w:r>
        <w:t>; or</w:t>
      </w:r>
    </w:p>
    <w:p>
      <w:pPr>
        <w:pStyle w:val="Indenta"/>
        <w:rPr>
          <w:snapToGrid w:val="0"/>
        </w:rPr>
      </w:pPr>
      <w:r>
        <w:rPr>
          <w:snapToGrid w:val="0"/>
        </w:rPr>
        <w:tab/>
        <w:t>(b)</w:t>
      </w:r>
      <w:r>
        <w:rPr>
          <w:snapToGrid w:val="0"/>
        </w:rPr>
        <w:tab/>
        <w:t>vehicles used exclusively on private land by consent,</w:t>
      </w:r>
    </w:p>
    <w:p>
      <w:pPr>
        <w:pStyle w:val="Subsection"/>
        <w:rPr>
          <w:snapToGrid w:val="0"/>
        </w:rPr>
      </w:pPr>
      <w:r>
        <w:rPr>
          <w:snapToGrid w:val="0"/>
        </w:rPr>
        <w:tab/>
      </w:r>
      <w:r>
        <w:rPr>
          <w:snapToGrid w:val="0"/>
        </w:rPr>
        <w:tab/>
        <w:t>are required to be registered under this Act.</w:t>
      </w:r>
    </w:p>
    <w:p>
      <w:pPr>
        <w:pStyle w:val="Subsection"/>
        <w:rPr>
          <w:snapToGrid w:val="0"/>
        </w:rPr>
      </w:pPr>
      <w:r>
        <w:rPr>
          <w:snapToGrid w:val="0"/>
        </w:rPr>
        <w:tab/>
        <w:t>(2)</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fail to register a vehicle required to be registered under this Act; or</w:t>
      </w:r>
    </w:p>
    <w:p>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pPr>
        <w:pStyle w:val="Penstart"/>
        <w:rPr>
          <w:snapToGrid w:val="0"/>
        </w:rPr>
      </w:pPr>
      <w:r>
        <w:rPr>
          <w:snapToGrid w:val="0"/>
        </w:rPr>
        <w:tab/>
      </w:r>
      <w:r>
        <w:t>Penalty for this subsection: a fine of $5 000.</w:t>
      </w:r>
    </w:p>
    <w:p>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xml:space="preserve">, provide that the requirements of subsection (1) </w:t>
      </w:r>
      <w:r>
        <w:t>do</w:t>
      </w:r>
      <w:r>
        <w:rPr>
          <w:snapToGrid w:val="0"/>
        </w:rPr>
        <w:t xml:space="preserve"> not apply —</w:t>
      </w:r>
    </w:p>
    <w:p>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pPr>
        <w:pStyle w:val="Indenta"/>
        <w:keepNext/>
        <w:rPr>
          <w:snapToGrid w:val="0"/>
        </w:rPr>
      </w:pPr>
      <w:r>
        <w:rPr>
          <w:snapToGrid w:val="0"/>
        </w:rPr>
        <w:tab/>
        <w:t>(b)</w:t>
      </w:r>
      <w:r>
        <w:rPr>
          <w:snapToGrid w:val="0"/>
        </w:rPr>
        <w:tab/>
        <w:t>at any specified time, or in relation to any specified area of the State, place or circumstance,</w:t>
      </w:r>
    </w:p>
    <w:p>
      <w:pPr>
        <w:pStyle w:val="Subsection"/>
        <w:rPr>
          <w:snapToGrid w:val="0"/>
        </w:rPr>
      </w:pPr>
      <w:r>
        <w:rPr>
          <w:snapToGrid w:val="0"/>
        </w:rPr>
        <w:tab/>
      </w:r>
      <w:r>
        <w:rPr>
          <w:snapToGrid w:val="0"/>
        </w:rPr>
        <w:tab/>
        <w:t>and may by a subsequent notice vary or cancel any such notice.</w:t>
      </w:r>
    </w:p>
    <w:p>
      <w:pPr>
        <w:pStyle w:val="Footnotesection"/>
      </w:pPr>
      <w:r>
        <w:tab/>
        <w:t>[Section 7 amended: No. 8 of 2012 s. 64; No. 8 of 2025 s. 14 and 15.]</w:t>
      </w:r>
    </w:p>
    <w:p>
      <w:pPr>
        <w:pStyle w:val="Heading5"/>
        <w:rPr>
          <w:snapToGrid w:val="0"/>
        </w:rPr>
      </w:pPr>
      <w:bookmarkStart w:id="11" w:name="_Toc206690078"/>
      <w:r>
        <w:rPr>
          <w:rStyle w:val="CharSectno"/>
        </w:rPr>
        <w:lastRenderedPageBreak/>
        <w:t>8</w:t>
      </w:r>
      <w:r>
        <w:rPr>
          <w:snapToGrid w:val="0"/>
        </w:rPr>
        <w:t>.</w:t>
      </w:r>
      <w:r>
        <w:rPr>
          <w:snapToGrid w:val="0"/>
        </w:rPr>
        <w:tab/>
        <w:t>Exceptions to s. 6(1) and (2), 9A, 9B and 9C</w:t>
      </w:r>
      <w:bookmarkEnd w:id="11"/>
    </w:p>
    <w:p>
      <w:pPr>
        <w:pStyle w:val="Subsection"/>
        <w:keepNext/>
        <w:rPr>
          <w:snapToGrid w:val="0"/>
        </w:rPr>
      </w:pPr>
      <w:r>
        <w:rPr>
          <w:snapToGrid w:val="0"/>
        </w:rPr>
        <w:tab/>
        <w:t>(1)</w:t>
      </w:r>
      <w:r>
        <w:rPr>
          <w:snapToGrid w:val="0"/>
        </w:rPr>
        <w:tab/>
        <w:t>The driving or use of a vehicle in circumstances that would otherwise be contrary to the provisions of section 6(1) or (2) is permitted —</w:t>
      </w:r>
    </w:p>
    <w:p>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 or</w:t>
      </w:r>
    </w:p>
    <w:p>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 or</w:t>
      </w:r>
    </w:p>
    <w:p>
      <w:pPr>
        <w:pStyle w:val="Indenta"/>
        <w:rPr>
          <w:snapToGrid w:val="0"/>
        </w:rPr>
      </w:pPr>
      <w:r>
        <w:rPr>
          <w:snapToGrid w:val="0"/>
        </w:rPr>
        <w:tab/>
        <w:t>(c)</w:t>
      </w:r>
      <w:r>
        <w:rPr>
          <w:snapToGrid w:val="0"/>
        </w:rPr>
        <w:tab/>
        <w:t xml:space="preserve">by an </w:t>
      </w:r>
      <w:r>
        <w:t>authorised person</w:t>
      </w:r>
      <w:r>
        <w:rPr>
          <w:snapToGrid w:val="0"/>
        </w:rPr>
        <w:t xml:space="preserve"> in the course of his duty; or</w:t>
      </w:r>
    </w:p>
    <w:p>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pPr>
        <w:pStyle w:val="Indenta"/>
        <w:rPr>
          <w:snapToGrid w:val="0"/>
        </w:rPr>
      </w:pPr>
      <w:r>
        <w:rPr>
          <w:snapToGrid w:val="0"/>
        </w:rPr>
        <w:tab/>
        <w:t>(e)</w:t>
      </w:r>
      <w:r>
        <w:rPr>
          <w:snapToGrid w:val="0"/>
        </w:rPr>
        <w:tab/>
        <w:t>where the vehicle is being used for the lawful purposes of a public authority.</w:t>
      </w:r>
    </w:p>
    <w:p>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pPr>
        <w:pStyle w:val="Subsection"/>
        <w:keepNext/>
        <w:keepLines/>
        <w:rPr>
          <w:snapToGrid w:val="0"/>
        </w:rPr>
      </w:pPr>
      <w:r>
        <w:rPr>
          <w:snapToGrid w:val="0"/>
        </w:rPr>
        <w:lastRenderedPageBreak/>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pPr>
        <w:pStyle w:val="Footnotesection"/>
      </w:pPr>
      <w:r>
        <w:tab/>
        <w:t>[Section 8 amended: No. 12 of 1985 s. 4; No. 16 of 2019 s. 104.]</w:t>
      </w:r>
    </w:p>
    <w:p>
      <w:pPr>
        <w:pStyle w:val="Heading5"/>
        <w:rPr>
          <w:snapToGrid w:val="0"/>
        </w:rPr>
      </w:pPr>
      <w:bookmarkStart w:id="12" w:name="_Toc206690079"/>
      <w:r>
        <w:rPr>
          <w:rStyle w:val="CharSectno"/>
        </w:rPr>
        <w:t>9</w:t>
      </w:r>
      <w:r>
        <w:rPr>
          <w:snapToGrid w:val="0"/>
        </w:rPr>
        <w:t>.</w:t>
      </w:r>
      <w:r>
        <w:rPr>
          <w:snapToGrid w:val="0"/>
        </w:rPr>
        <w:tab/>
        <w:t>Dangerous vehicles not to be driven etc.</w:t>
      </w:r>
      <w:bookmarkEnd w:id="12"/>
    </w:p>
    <w:p>
      <w:pPr>
        <w:pStyle w:val="Subsection"/>
        <w:rPr>
          <w:snapToGrid w:val="0"/>
        </w:rPr>
      </w:pPr>
      <w:r>
        <w:rPr>
          <w:snapToGrid w:val="0"/>
        </w:rPr>
        <w:tab/>
      </w:r>
      <w:r>
        <w:rPr>
          <w:snapToGrid w:val="0"/>
        </w:rPr>
        <w:tab/>
        <w:t xml:space="preserve">A person </w:t>
      </w:r>
      <w:r>
        <w:t>must</w:t>
      </w:r>
      <w:r>
        <w:rPr>
          <w:snapToGrid w:val="0"/>
        </w:rPr>
        <w:t xml:space="preserve"> not drive or use on any land to which this Act applies any vehicle so constructed or in such a condition as to be </w:t>
      </w:r>
      <w:r>
        <w:rPr>
          <w:snapToGrid w:val="0"/>
        </w:rPr>
        <w:lastRenderedPageBreak/>
        <w:t>likely to occasion danger to any person or damage to any property.</w:t>
      </w:r>
    </w:p>
    <w:p>
      <w:pPr>
        <w:pStyle w:val="Penstart"/>
        <w:rPr>
          <w:snapToGrid w:val="0"/>
        </w:rPr>
      </w:pPr>
      <w:r>
        <w:rPr>
          <w:snapToGrid w:val="0"/>
        </w:rPr>
        <w:tab/>
      </w:r>
      <w:r>
        <w:t>Penalty: a fine of $5 000.</w:t>
      </w:r>
    </w:p>
    <w:p>
      <w:pPr>
        <w:pStyle w:val="Footnotesection"/>
        <w:keepLines w:val="0"/>
        <w:spacing w:before="80"/>
        <w:ind w:left="890" w:hanging="890"/>
      </w:pPr>
      <w:r>
        <w:tab/>
        <w:t>[Section 9 amended: No. 8 of 2025 s. 14 and 15.]</w:t>
      </w:r>
    </w:p>
    <w:p>
      <w:pPr>
        <w:pStyle w:val="Heading5"/>
        <w:rPr>
          <w:snapToGrid w:val="0"/>
        </w:rPr>
      </w:pPr>
      <w:bookmarkStart w:id="13" w:name="_Toc206690080"/>
      <w:r>
        <w:rPr>
          <w:rStyle w:val="CharSectno"/>
        </w:rPr>
        <w:t>9A</w:t>
      </w:r>
      <w:r>
        <w:rPr>
          <w:snapToGrid w:val="0"/>
        </w:rPr>
        <w:t>.</w:t>
      </w:r>
      <w:r>
        <w:rPr>
          <w:snapToGrid w:val="0"/>
        </w:rPr>
        <w:tab/>
        <w:t>Seat belt requirements for vehicles</w:t>
      </w:r>
      <w:bookmarkEnd w:id="13"/>
    </w:p>
    <w:p>
      <w:pPr>
        <w:pStyle w:val="Subsection"/>
        <w:keepNext/>
        <w:keepLines/>
        <w:rPr>
          <w:snapToGrid w:val="0"/>
        </w:rPr>
      </w:pPr>
      <w:r>
        <w:rPr>
          <w:snapToGrid w:val="0"/>
        </w:rPr>
        <w:tab/>
        <w:t>(1)</w:t>
      </w:r>
      <w:r>
        <w:rPr>
          <w:snapToGrid w:val="0"/>
        </w:rPr>
        <w:tab/>
        <w:t xml:space="preserve">A person </w:t>
      </w:r>
      <w:r>
        <w:t>must</w:t>
      </w:r>
      <w:r>
        <w:rPr>
          <w:snapToGrid w:val="0"/>
        </w:rPr>
        <w:t xml:space="preserve"> not drive or use or permit to be driven or used a vehicle to which this section applies in an area to which this section applies unless the vehicle is equipped with —</w:t>
      </w:r>
    </w:p>
    <w:p>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pPr>
        <w:pStyle w:val="Penstart"/>
        <w:ind w:left="1701" w:hanging="1701"/>
        <w:rPr>
          <w:snapToGrid w:val="0"/>
        </w:rPr>
      </w:pPr>
      <w:r>
        <w:rPr>
          <w:snapToGrid w:val="0"/>
        </w:rPr>
        <w:tab/>
      </w:r>
      <w:r>
        <w:t>Penalty for this subsection: a fine of $5 000.</w:t>
      </w:r>
    </w:p>
    <w:p>
      <w:pPr>
        <w:pStyle w:val="Subsection"/>
        <w:spacing w:before="120"/>
        <w:rPr>
          <w:snapToGrid w:val="0"/>
        </w:rPr>
      </w:pPr>
      <w:r>
        <w:rPr>
          <w:snapToGrid w:val="0"/>
        </w:rPr>
        <w:tab/>
        <w:t>(2)</w:t>
      </w:r>
      <w:r>
        <w:rPr>
          <w:snapToGrid w:val="0"/>
        </w:rPr>
        <w:tab/>
        <w:t>This section applies to motor cars and to off</w:t>
      </w:r>
      <w:r>
        <w:rPr>
          <w:snapToGrid w:val="0"/>
        </w:rPr>
        <w:noBreakHyphen/>
        <w:t>road vehicles but does not apply to motor cycles.</w:t>
      </w:r>
    </w:p>
    <w:p>
      <w:pPr>
        <w:pStyle w:val="Subsection"/>
        <w:spacing w:before="120"/>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9A inserted: No. 12 of 1985 s. 5; amended: No. 28 of 2001 s. 31; No. 8 of 2025 s. 14 and 15.]</w:t>
      </w:r>
    </w:p>
    <w:p>
      <w:pPr>
        <w:pStyle w:val="Heading5"/>
        <w:rPr>
          <w:snapToGrid w:val="0"/>
        </w:rPr>
      </w:pPr>
      <w:bookmarkStart w:id="14" w:name="_Toc206690081"/>
      <w:r>
        <w:rPr>
          <w:rStyle w:val="CharSectno"/>
        </w:rPr>
        <w:t>9B</w:t>
      </w:r>
      <w:r>
        <w:rPr>
          <w:snapToGrid w:val="0"/>
        </w:rPr>
        <w:t>.</w:t>
      </w:r>
      <w:r>
        <w:rPr>
          <w:snapToGrid w:val="0"/>
        </w:rPr>
        <w:tab/>
        <w:t>Seat belt requirements for people in vehicles</w:t>
      </w:r>
      <w:bookmarkEnd w:id="14"/>
    </w:p>
    <w:p>
      <w:pPr>
        <w:pStyle w:val="Subsection"/>
        <w:spacing w:before="120"/>
        <w:rPr>
          <w:snapToGrid w:val="0"/>
        </w:rPr>
      </w:pPr>
      <w:r>
        <w:rPr>
          <w:snapToGrid w:val="0"/>
        </w:rPr>
        <w:tab/>
        <w:t>(1)</w:t>
      </w:r>
      <w:r>
        <w:rPr>
          <w:snapToGrid w:val="0"/>
        </w:rPr>
        <w:tab/>
        <w:t xml:space="preserve">A person </w:t>
      </w:r>
      <w:r>
        <w:t>must</w:t>
      </w:r>
      <w:r>
        <w:rPr>
          <w:snapToGrid w:val="0"/>
        </w:rPr>
        <w:t xml:space="preserve"> not, while occupying a seat position in a motor vehicle to which this section applies and to which a seat belt has been fitted for that seat position, drive or travel as a passenger in an area to which this section applies unless he is wearing that </w:t>
      </w:r>
      <w:r>
        <w:rPr>
          <w:snapToGrid w:val="0"/>
        </w:rPr>
        <w:lastRenderedPageBreak/>
        <w:t>seat belt and the seat belt is properly adjusted and securely fastened.</w:t>
      </w:r>
    </w:p>
    <w:p>
      <w:pPr>
        <w:pStyle w:val="Penstart"/>
        <w:ind w:left="1701" w:hanging="1701"/>
        <w:rPr>
          <w:snapToGrid w:val="0"/>
        </w:rPr>
      </w:pPr>
      <w:r>
        <w:rPr>
          <w:snapToGrid w:val="0"/>
        </w:rPr>
        <w:tab/>
      </w:r>
      <w:r>
        <w:t>Penalty for this subsection: a fine of $5 000.</w:t>
      </w:r>
    </w:p>
    <w:p>
      <w:pPr>
        <w:pStyle w:val="Subsection"/>
        <w:spacing w:before="120"/>
        <w:rPr>
          <w:snapToGrid w:val="0"/>
        </w:rPr>
      </w:pPr>
      <w:r>
        <w:rPr>
          <w:snapToGrid w:val="0"/>
        </w:rPr>
        <w:tab/>
        <w:t>(2)</w:t>
      </w:r>
      <w:r>
        <w:rPr>
          <w:snapToGrid w:val="0"/>
        </w:rPr>
        <w:tab/>
        <w:t xml:space="preserve">A person </w:t>
      </w:r>
      <w:r>
        <w:t>must</w:t>
      </w:r>
      <w:r>
        <w:rPr>
          <w:snapToGrid w:val="0"/>
        </w:rPr>
        <w:t xml:space="preserve">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pPr>
        <w:pStyle w:val="Penstart"/>
        <w:ind w:left="1701" w:hanging="1701"/>
        <w:rPr>
          <w:snapToGrid w:val="0"/>
        </w:rPr>
      </w:pPr>
      <w:r>
        <w:rPr>
          <w:snapToGrid w:val="0"/>
        </w:rPr>
        <w:tab/>
      </w:r>
      <w:r>
        <w:t>Penalty for this subsection: a fine of $5 000.</w:t>
      </w:r>
    </w:p>
    <w:p>
      <w:pPr>
        <w:pStyle w:val="Subsection"/>
        <w:rPr>
          <w:snapToGrid w:val="0"/>
        </w:rPr>
      </w:pPr>
      <w:r>
        <w:rPr>
          <w:snapToGrid w:val="0"/>
        </w:rPr>
        <w:tab/>
        <w:t>(3)</w:t>
      </w:r>
      <w:r>
        <w:rPr>
          <w:snapToGrid w:val="0"/>
        </w:rPr>
        <w:tab/>
        <w:t>This section applies to motor cars and to off</w:t>
      </w:r>
      <w:r>
        <w:rPr>
          <w:snapToGrid w:val="0"/>
        </w:rPr>
        <w:noBreakHyphen/>
        <w:t>road vehicles but does not apply to motor cycles.</w:t>
      </w:r>
    </w:p>
    <w:p>
      <w:pPr>
        <w:pStyle w:val="Subsection"/>
        <w:rPr>
          <w:snapToGrid w:val="0"/>
        </w:rPr>
      </w:pPr>
      <w:r>
        <w:rPr>
          <w:snapToGrid w:val="0"/>
        </w:rPr>
        <w:tab/>
        <w:t>(4)</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pPr>
        <w:pStyle w:val="Indenta"/>
        <w:rPr>
          <w:snapToGrid w:val="0"/>
        </w:rPr>
      </w:pPr>
      <w:r>
        <w:rPr>
          <w:snapToGrid w:val="0"/>
        </w:rPr>
        <w:tab/>
        <w:t>(a)</w:t>
      </w:r>
      <w:r>
        <w:rPr>
          <w:snapToGrid w:val="0"/>
        </w:rPr>
        <w:tab/>
        <w:t>is driving or travelling in a motor vehicle that is travelling backwards; or</w:t>
      </w:r>
    </w:p>
    <w:p>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 or</w:t>
      </w:r>
    </w:p>
    <w:p>
      <w:pPr>
        <w:pStyle w:val="Indenta"/>
        <w:rPr>
          <w:snapToGrid w:val="0"/>
        </w:rPr>
      </w:pPr>
      <w:r>
        <w:rPr>
          <w:snapToGrid w:val="0"/>
        </w:rPr>
        <w:tab/>
        <w:t>(c)</w:t>
      </w:r>
      <w:r>
        <w:rPr>
          <w:snapToGrid w:val="0"/>
        </w:rPr>
        <w:tab/>
        <w:t>is under the age of 3 years; or</w:t>
      </w:r>
    </w:p>
    <w:p>
      <w:pPr>
        <w:pStyle w:val="Indenta"/>
        <w:rPr>
          <w:snapToGrid w:val="0"/>
        </w:rPr>
      </w:pPr>
      <w:r>
        <w:rPr>
          <w:snapToGrid w:val="0"/>
        </w:rPr>
        <w:lastRenderedPageBreak/>
        <w:tab/>
        <w:t>(d)</w:t>
      </w:r>
      <w:r>
        <w:rPr>
          <w:snapToGrid w:val="0"/>
        </w:rPr>
        <w:tab/>
        <w:t>is travelling as a passenger in a motor vehicle and is of or over the age of 70 years.</w:t>
      </w:r>
    </w:p>
    <w:p>
      <w:pPr>
        <w:pStyle w:val="Subsection"/>
        <w:rPr>
          <w:snapToGrid w:val="0"/>
        </w:rPr>
      </w:pPr>
      <w:r>
        <w:rPr>
          <w:snapToGrid w:val="0"/>
        </w:rPr>
        <w:tab/>
        <w:t>(6)</w:t>
      </w:r>
      <w:r>
        <w:rPr>
          <w:snapToGrid w:val="0"/>
        </w:rPr>
        <w:tab/>
        <w:t xml:space="preserve">Where a certificate of the kind referred to in subsection (5)(b) is expressed to be of effect for a specified period, the certificate </w:t>
      </w:r>
      <w:r>
        <w:t>ceases</w:t>
      </w:r>
      <w:r>
        <w:rPr>
          <w:snapToGrid w:val="0"/>
        </w:rPr>
        <w:t xml:space="preserve"> to have effect for the purposes of that subsection at the expiration of the period so specified.</w:t>
      </w:r>
    </w:p>
    <w:p>
      <w:pPr>
        <w:pStyle w:val="Footnotesection"/>
      </w:pPr>
      <w:r>
        <w:tab/>
        <w:t>[Section 9B inserted: No. 12 of 1985 s. 5; amended: No. 28 of 2001 s. 32; No. 84 of 2004 s. 80; No. 8 of 2025 s. 14 and 15.]</w:t>
      </w:r>
    </w:p>
    <w:p>
      <w:pPr>
        <w:pStyle w:val="Heading5"/>
        <w:spacing w:before="180"/>
        <w:rPr>
          <w:snapToGrid w:val="0"/>
        </w:rPr>
      </w:pPr>
      <w:bookmarkStart w:id="15" w:name="_Toc206690082"/>
      <w:r>
        <w:rPr>
          <w:rStyle w:val="CharSectno"/>
        </w:rPr>
        <w:t>9C</w:t>
      </w:r>
      <w:r>
        <w:rPr>
          <w:snapToGrid w:val="0"/>
        </w:rPr>
        <w:t>.</w:t>
      </w:r>
      <w:r>
        <w:rPr>
          <w:snapToGrid w:val="0"/>
        </w:rPr>
        <w:tab/>
        <w:t>Motor cycle helmet requirements</w:t>
      </w:r>
      <w:bookmarkEnd w:id="15"/>
    </w:p>
    <w:p>
      <w:pPr>
        <w:pStyle w:val="Subsection"/>
        <w:rPr>
          <w:snapToGrid w:val="0"/>
        </w:rPr>
      </w:pPr>
      <w:r>
        <w:rPr>
          <w:snapToGrid w:val="0"/>
        </w:rPr>
        <w:tab/>
        <w:t>(1)</w:t>
      </w:r>
      <w:r>
        <w:rPr>
          <w:snapToGrid w:val="0"/>
        </w:rPr>
        <w:tab/>
        <w:t xml:space="preserve">A person </w:t>
      </w:r>
      <w:r>
        <w:t>must</w:t>
      </w:r>
      <w:r>
        <w:rPr>
          <w:snapToGrid w:val="0"/>
        </w:rPr>
        <w:t xml:space="preserve"> not drive or, being a person of not less than 6 years of age, travel as a passenger on a motor cycle in an area to which this section applies unless he is wearing securely on his head a protective helmet of a type and standard prescribed by regulations.</w:t>
      </w:r>
    </w:p>
    <w:p>
      <w:pPr>
        <w:pStyle w:val="Penstart"/>
        <w:ind w:left="1701" w:hanging="1701"/>
        <w:rPr>
          <w:snapToGrid w:val="0"/>
        </w:rPr>
      </w:pPr>
      <w:r>
        <w:rPr>
          <w:snapToGrid w:val="0"/>
        </w:rPr>
        <w:tab/>
      </w:r>
      <w:r>
        <w:t>Penalty for this subsection: a fine of $5 000.</w:t>
      </w:r>
    </w:p>
    <w:p>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pPr>
        <w:pStyle w:val="Subsection"/>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9C inserted: No. 12 of 1985 s. 5; amended: No. 76 of 1996 s. 27; No. 8 of 2025 s. 14 and 15.]</w:t>
      </w:r>
    </w:p>
    <w:p>
      <w:pPr>
        <w:pStyle w:val="Heading5"/>
        <w:spacing w:before="180"/>
        <w:rPr>
          <w:snapToGrid w:val="0"/>
        </w:rPr>
      </w:pPr>
      <w:bookmarkStart w:id="16" w:name="_Toc206690083"/>
      <w:r>
        <w:rPr>
          <w:rStyle w:val="CharSectno"/>
        </w:rPr>
        <w:lastRenderedPageBreak/>
        <w:t>10</w:t>
      </w:r>
      <w:r>
        <w:rPr>
          <w:snapToGrid w:val="0"/>
        </w:rPr>
        <w:t>.</w:t>
      </w:r>
      <w:r>
        <w:rPr>
          <w:snapToGrid w:val="0"/>
        </w:rPr>
        <w:tab/>
        <w:t>Minimum age for drivers</w:t>
      </w:r>
      <w:bookmarkEnd w:id="16"/>
    </w:p>
    <w:p>
      <w:pPr>
        <w:pStyle w:val="Subsection"/>
        <w:rPr>
          <w:snapToGrid w:val="0"/>
        </w:rPr>
      </w:pPr>
      <w:r>
        <w:rPr>
          <w:snapToGrid w:val="0"/>
        </w:rPr>
        <w:tab/>
      </w:r>
      <w:r>
        <w:rPr>
          <w:snapToGrid w:val="0"/>
        </w:rPr>
        <w:tab/>
        <w:t xml:space="preserve">A person </w:t>
      </w:r>
      <w:r>
        <w:t>must</w:t>
      </w:r>
      <w:r>
        <w:rPr>
          <w:snapToGrid w:val="0"/>
        </w:rPr>
        <w:t xml:space="preserve"> not knowingly permit any other person under the age of 8 years to have charge of a vehicle on any land to which this Act applies, otherwise than on private land by consent.</w:t>
      </w:r>
    </w:p>
    <w:p>
      <w:pPr>
        <w:pStyle w:val="Penstart"/>
        <w:rPr>
          <w:snapToGrid w:val="0"/>
        </w:rPr>
      </w:pPr>
      <w:r>
        <w:rPr>
          <w:snapToGrid w:val="0"/>
        </w:rPr>
        <w:tab/>
      </w:r>
      <w:r>
        <w:t>Penalty: a fine of $5 000.</w:t>
      </w:r>
    </w:p>
    <w:p>
      <w:pPr>
        <w:pStyle w:val="Footnotesection"/>
        <w:keepLines w:val="0"/>
        <w:spacing w:before="80"/>
        <w:ind w:left="890" w:hanging="890"/>
      </w:pPr>
      <w:r>
        <w:tab/>
        <w:t>[Section 10 amended: No. 8 of 2025 s. 14 and 15.]</w:t>
      </w:r>
    </w:p>
    <w:p>
      <w:pPr>
        <w:pStyle w:val="Ednotesection"/>
        <w:spacing w:before="160"/>
        <w:ind w:left="890" w:hanging="890"/>
        <w:rPr>
          <w:b/>
        </w:rPr>
      </w:pPr>
      <w:r>
        <w:t>[</w:t>
      </w:r>
      <w:r>
        <w:rPr>
          <w:b/>
        </w:rPr>
        <w:t>11.</w:t>
      </w:r>
      <w:r>
        <w:tab/>
        <w:t>Has not come into operation.]</w:t>
      </w:r>
    </w:p>
    <w:p>
      <w:pPr>
        <w:pStyle w:val="Heading5"/>
        <w:rPr>
          <w:snapToGrid w:val="0"/>
        </w:rPr>
      </w:pPr>
      <w:bookmarkStart w:id="17" w:name="_Toc206690084"/>
      <w:r>
        <w:rPr>
          <w:rStyle w:val="CharSectno"/>
        </w:rPr>
        <w:t>12</w:t>
      </w:r>
      <w:r>
        <w:rPr>
          <w:snapToGrid w:val="0"/>
        </w:rPr>
        <w:t>.</w:t>
      </w:r>
      <w:r>
        <w:rPr>
          <w:snapToGrid w:val="0"/>
        </w:rPr>
        <w:tab/>
        <w:t>Permitted areas, declaring etc.</w:t>
      </w:r>
      <w:bookmarkEnd w:id="17"/>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pPr>
        <w:pStyle w:val="Heading5"/>
        <w:spacing w:before="240"/>
        <w:rPr>
          <w:snapToGrid w:val="0"/>
        </w:rPr>
      </w:pPr>
      <w:bookmarkStart w:id="18" w:name="_Toc206690085"/>
      <w:r>
        <w:rPr>
          <w:rStyle w:val="CharSectno"/>
        </w:rPr>
        <w:t>13</w:t>
      </w:r>
      <w:r>
        <w:rPr>
          <w:snapToGrid w:val="0"/>
        </w:rPr>
        <w:t>.</w:t>
      </w:r>
      <w:r>
        <w:rPr>
          <w:snapToGrid w:val="0"/>
        </w:rPr>
        <w:tab/>
        <w:t>Permitted areas, declaring before 6 Jan 1980</w:t>
      </w:r>
      <w:bookmarkEnd w:id="18"/>
    </w:p>
    <w:p>
      <w:pPr>
        <w:pStyle w:val="Subsection"/>
        <w:rPr>
          <w:snapToGrid w:val="0"/>
        </w:rPr>
      </w:pPr>
      <w:r>
        <w:rPr>
          <w:snapToGrid w:val="0"/>
        </w:rPr>
        <w:tab/>
      </w:r>
      <w:r>
        <w:rPr>
          <w:snapToGrid w:val="0"/>
        </w:rPr>
        <w:tab/>
        <w:t xml:space="preserve">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w:t>
      </w:r>
      <w:r>
        <w:rPr>
          <w:snapToGrid w:val="0"/>
        </w:rPr>
        <w:lastRenderedPageBreak/>
        <w:t>and in relation to any intended variation or cancellation of that permitted area.</w:t>
      </w:r>
    </w:p>
    <w:p>
      <w:pPr>
        <w:pStyle w:val="Footnotesection"/>
      </w:pPr>
      <w:r>
        <w:tab/>
        <w:t>[Section 13 amended: No. 14 of 1996 s. 4.]</w:t>
      </w:r>
    </w:p>
    <w:p>
      <w:pPr>
        <w:pStyle w:val="Heading5"/>
        <w:spacing w:before="240"/>
        <w:rPr>
          <w:snapToGrid w:val="0"/>
        </w:rPr>
      </w:pPr>
      <w:bookmarkStart w:id="19" w:name="_Toc206690086"/>
      <w:r>
        <w:rPr>
          <w:rStyle w:val="CharSectno"/>
        </w:rPr>
        <w:t>14</w:t>
      </w:r>
      <w:r>
        <w:rPr>
          <w:snapToGrid w:val="0"/>
        </w:rPr>
        <w:t>.</w:t>
      </w:r>
      <w:r>
        <w:rPr>
          <w:snapToGrid w:val="0"/>
        </w:rPr>
        <w:tab/>
        <w:t>Private land may be declared to be a permitted area</w:t>
      </w:r>
      <w:bookmarkEnd w:id="19"/>
    </w:p>
    <w:p>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pPr>
        <w:pStyle w:val="Heading5"/>
        <w:rPr>
          <w:snapToGrid w:val="0"/>
        </w:rPr>
      </w:pPr>
      <w:bookmarkStart w:id="20" w:name="_Toc206690087"/>
      <w:r>
        <w:rPr>
          <w:rStyle w:val="CharSectno"/>
        </w:rPr>
        <w:t>15</w:t>
      </w:r>
      <w:r>
        <w:rPr>
          <w:snapToGrid w:val="0"/>
        </w:rPr>
        <w:t>.</w:t>
      </w:r>
      <w:r>
        <w:rPr>
          <w:snapToGrid w:val="0"/>
        </w:rPr>
        <w:tab/>
        <w:t>Permitted area, temporary closure of</w:t>
      </w:r>
      <w:bookmarkEnd w:id="20"/>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pPr>
        <w:pStyle w:val="Heading5"/>
        <w:rPr>
          <w:snapToGrid w:val="0"/>
        </w:rPr>
      </w:pPr>
      <w:bookmarkStart w:id="21" w:name="_Toc206690088"/>
      <w:r>
        <w:rPr>
          <w:rStyle w:val="CharSectno"/>
        </w:rPr>
        <w:t>16</w:t>
      </w:r>
      <w:r>
        <w:rPr>
          <w:snapToGrid w:val="0"/>
        </w:rPr>
        <w:t>.</w:t>
      </w:r>
      <w:r>
        <w:rPr>
          <w:snapToGrid w:val="0"/>
        </w:rPr>
        <w:tab/>
        <w:t>Prohibited areas, establishing etc.</w:t>
      </w:r>
      <w:bookmarkEnd w:id="21"/>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w:t>
      </w:r>
      <w:r>
        <w:rPr>
          <w:snapToGrid w:val="0"/>
        </w:rPr>
        <w:lastRenderedPageBreak/>
        <w:t>pursuant to section 20(2), in relation to specified vehicles or circumstances.</w:t>
      </w:r>
    </w:p>
    <w:p>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pPr>
        <w:pStyle w:val="Subsection"/>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pPr>
        <w:pStyle w:val="Indenta"/>
        <w:rPr>
          <w:snapToGrid w:val="0"/>
        </w:rPr>
      </w:pPr>
      <w:r>
        <w:rPr>
          <w:snapToGrid w:val="0"/>
        </w:rPr>
        <w:tab/>
        <w:t>(a)</w:t>
      </w:r>
      <w:r>
        <w:rPr>
          <w:snapToGrid w:val="0"/>
        </w:rPr>
        <w:tab/>
        <w:t>the need to provide for the protection of livestock or the preservation of any wildlife or flora; or</w:t>
      </w:r>
    </w:p>
    <w:p>
      <w:pPr>
        <w:pStyle w:val="Indenta"/>
        <w:rPr>
          <w:snapToGrid w:val="0"/>
        </w:rPr>
      </w:pPr>
      <w:r>
        <w:rPr>
          <w:snapToGrid w:val="0"/>
        </w:rPr>
        <w:tab/>
        <w:t>(b)</w:t>
      </w:r>
      <w:r>
        <w:rPr>
          <w:snapToGrid w:val="0"/>
        </w:rPr>
        <w:tab/>
        <w:t>the environmentally sensitive nature of the land or things growing on the land; or</w:t>
      </w:r>
    </w:p>
    <w:p>
      <w:pPr>
        <w:pStyle w:val="Indenta"/>
        <w:rPr>
          <w:snapToGrid w:val="0"/>
        </w:rPr>
      </w:pPr>
      <w:r>
        <w:rPr>
          <w:snapToGrid w:val="0"/>
        </w:rPr>
        <w:lastRenderedPageBreak/>
        <w:tab/>
        <w:t>(c)</w:t>
      </w:r>
      <w:r>
        <w:rPr>
          <w:snapToGrid w:val="0"/>
        </w:rPr>
        <w:tab/>
        <w:t>the proximity of any land used for residential purposes, or for purposes likely to be incompatible with the use of vehicles in the vicinity; or</w:t>
      </w:r>
    </w:p>
    <w:p>
      <w:pPr>
        <w:pStyle w:val="Indenta"/>
        <w:keepNext/>
        <w:rPr>
          <w:snapToGrid w:val="0"/>
        </w:rPr>
      </w:pPr>
      <w:r>
        <w:rPr>
          <w:snapToGrid w:val="0"/>
        </w:rPr>
        <w:tab/>
        <w:t>(d)</w:t>
      </w:r>
      <w:r>
        <w:rPr>
          <w:snapToGrid w:val="0"/>
        </w:rPr>
        <w:tab/>
        <w:t xml:space="preserve">the provisions of any local planning </w:t>
      </w:r>
      <w:r>
        <w:t xml:space="preserve">scheme or improvement scheme under the </w:t>
      </w:r>
      <w:r>
        <w:rPr>
          <w:i/>
        </w:rPr>
        <w:t>Planning and Development Act </w:t>
      </w:r>
      <w:r>
        <w:rPr>
          <w:i/>
          <w:szCs w:val="24"/>
        </w:rPr>
        <w:t>2005</w:t>
      </w:r>
      <w:r>
        <w:rPr>
          <w:szCs w:val="24"/>
        </w:rPr>
        <w:t xml:space="preserve"> or the Swan Valley Planning Scheme in force under the </w:t>
      </w:r>
      <w:r>
        <w:rPr>
          <w:i/>
          <w:szCs w:val="24"/>
        </w:rPr>
        <w:t>Swan Valley Planning Act 2020</w:t>
      </w:r>
      <w:r>
        <w:rPr>
          <w:szCs w:val="24"/>
        </w:rPr>
        <w:t>.</w:t>
      </w:r>
    </w:p>
    <w:p>
      <w:pPr>
        <w:pStyle w:val="Footnotesection"/>
      </w:pPr>
      <w:r>
        <w:tab/>
        <w:t>[Section 16 amended: No. 12 of 1985 s. 6; No. 38 of 2005 s. 15; No. 28 of 2010 s. 29; No. 45 of 2020 s. 97.]</w:t>
      </w:r>
    </w:p>
    <w:p>
      <w:pPr>
        <w:pStyle w:val="Heading5"/>
        <w:rPr>
          <w:snapToGrid w:val="0"/>
        </w:rPr>
      </w:pPr>
      <w:bookmarkStart w:id="22" w:name="_Toc206690089"/>
      <w:r>
        <w:rPr>
          <w:rStyle w:val="CharSectno"/>
        </w:rPr>
        <w:t>17</w:t>
      </w:r>
      <w:r>
        <w:rPr>
          <w:snapToGrid w:val="0"/>
        </w:rPr>
        <w:t>.</w:t>
      </w:r>
      <w:r>
        <w:rPr>
          <w:snapToGrid w:val="0"/>
        </w:rPr>
        <w:tab/>
        <w:t>Advisory Committee, establishment and functions of</w:t>
      </w:r>
      <w:bookmarkEnd w:id="22"/>
    </w:p>
    <w:p>
      <w:pPr>
        <w:pStyle w:val="Subsection"/>
        <w:spacing w:before="120"/>
        <w:rPr>
          <w:snapToGrid w:val="0"/>
        </w:rPr>
      </w:pPr>
      <w:r>
        <w:rPr>
          <w:snapToGrid w:val="0"/>
        </w:rPr>
        <w:tab/>
        <w:t>(1)</w:t>
      </w:r>
      <w:r>
        <w:rPr>
          <w:snapToGrid w:val="0"/>
        </w:rPr>
        <w:tab/>
        <w:t>For the purposes of this Act there shall be an Advisory Committee constituted in accordance with section 21.</w:t>
      </w:r>
    </w:p>
    <w:p>
      <w:pPr>
        <w:pStyle w:val="Subsection"/>
        <w:spacing w:before="120"/>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pPr>
        <w:pStyle w:val="Subsection"/>
        <w:spacing w:before="120"/>
        <w:rPr>
          <w:snapToGrid w:val="0"/>
        </w:rPr>
      </w:pPr>
      <w:r>
        <w:rPr>
          <w:snapToGrid w:val="0"/>
        </w:rPr>
        <w:tab/>
        <w:t>(3)</w:t>
      </w:r>
      <w:r>
        <w:rPr>
          <w:snapToGrid w:val="0"/>
        </w:rPr>
        <w:tab/>
        <w:t>The Committee shall —</w:t>
      </w:r>
    </w:p>
    <w:p>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 and</w:t>
      </w:r>
    </w:p>
    <w:p>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pPr>
        <w:pStyle w:val="Indenta"/>
        <w:rPr>
          <w:snapToGrid w:val="0"/>
        </w:rPr>
      </w:pPr>
      <w:r>
        <w:rPr>
          <w:snapToGrid w:val="0"/>
        </w:rPr>
        <w:lastRenderedPageBreak/>
        <w:tab/>
        <w:t>(c)</w:t>
      </w:r>
      <w:r>
        <w:rPr>
          <w:snapToGrid w:val="0"/>
        </w:rPr>
        <w:tab/>
        <w:t>carry on consultations with such bodies or persons as to the effect from time to time of the use of any land by vehicles.</w:t>
      </w:r>
    </w:p>
    <w:p>
      <w:pPr>
        <w:pStyle w:val="Subsection"/>
        <w:spacing w:before="120"/>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pPr>
        <w:pStyle w:val="Subsection"/>
        <w:spacing w:before="120"/>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pPr>
        <w:pStyle w:val="Footnotesection"/>
        <w:ind w:left="890" w:hanging="890"/>
      </w:pPr>
      <w:r>
        <w:tab/>
        <w:t>[Section 17 amended: No. 14 of 1996 s. 4.]</w:t>
      </w:r>
    </w:p>
    <w:p>
      <w:pPr>
        <w:pStyle w:val="Heading5"/>
        <w:keepLines w:val="0"/>
        <w:rPr>
          <w:snapToGrid w:val="0"/>
        </w:rPr>
      </w:pPr>
      <w:bookmarkStart w:id="23" w:name="_Toc206690090"/>
      <w:r>
        <w:rPr>
          <w:rStyle w:val="CharSectno"/>
        </w:rPr>
        <w:t>18</w:t>
      </w:r>
      <w:r>
        <w:rPr>
          <w:snapToGrid w:val="0"/>
        </w:rPr>
        <w:t>.</w:t>
      </w:r>
      <w:r>
        <w:rPr>
          <w:snapToGrid w:val="0"/>
        </w:rPr>
        <w:tab/>
        <w:t>Committee’s functions as to permitted areas, prohibited areas, and use of vehicles</w:t>
      </w:r>
      <w:bookmarkEnd w:id="23"/>
    </w:p>
    <w:p>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pPr>
        <w:pStyle w:val="Subsection"/>
        <w:rPr>
          <w:snapToGrid w:val="0"/>
        </w:rPr>
      </w:pPr>
      <w:r>
        <w:rPr>
          <w:snapToGrid w:val="0"/>
        </w:rPr>
        <w:lastRenderedPageBreak/>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pPr>
        <w:pStyle w:val="Subsection"/>
        <w:keepNext/>
        <w:rPr>
          <w:snapToGrid w:val="0"/>
        </w:rPr>
      </w:pPr>
      <w:r>
        <w:rPr>
          <w:snapToGrid w:val="0"/>
        </w:rPr>
        <w:tab/>
        <w:t>(6)</w:t>
      </w:r>
      <w:r>
        <w:rPr>
          <w:snapToGrid w:val="0"/>
        </w:rPr>
        <w:tab/>
        <w:t>The notice to be published pursuant to subsection (5) shall —</w:t>
      </w:r>
    </w:p>
    <w:p>
      <w:pPr>
        <w:pStyle w:val="Indenta"/>
        <w:rPr>
          <w:snapToGrid w:val="0"/>
        </w:rPr>
      </w:pPr>
      <w:r>
        <w:rPr>
          <w:snapToGrid w:val="0"/>
        </w:rPr>
        <w:tab/>
        <w:t>(a)</w:t>
      </w:r>
      <w:r>
        <w:rPr>
          <w:snapToGrid w:val="0"/>
        </w:rPr>
        <w:tab/>
        <w:t>describe the land to be investigated sufficiently to enable it to be readily determined;</w:t>
      </w:r>
    </w:p>
    <w:p>
      <w:pPr>
        <w:pStyle w:val="Indenta"/>
        <w:rPr>
          <w:snapToGrid w:val="0"/>
        </w:rPr>
      </w:pPr>
      <w:r>
        <w:rPr>
          <w:snapToGrid w:val="0"/>
        </w:rPr>
        <w:tab/>
        <w:t>(b)</w:t>
      </w:r>
      <w:r>
        <w:rPr>
          <w:snapToGrid w:val="0"/>
        </w:rPr>
        <w:tab/>
        <w:t>state the general nature of the proposals;</w:t>
      </w:r>
    </w:p>
    <w:p>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pPr>
        <w:pStyle w:val="Indenta"/>
        <w:spacing w:before="70"/>
        <w:rPr>
          <w:snapToGrid w:val="0"/>
        </w:rPr>
      </w:pPr>
      <w:r>
        <w:rPr>
          <w:snapToGrid w:val="0"/>
        </w:rPr>
        <w:tab/>
        <w:t>(a)</w:t>
      </w:r>
      <w:r>
        <w:rPr>
          <w:snapToGrid w:val="0"/>
        </w:rPr>
        <w:tab/>
        <w:t>any local government —</w:t>
      </w:r>
    </w:p>
    <w:p>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pPr>
        <w:pStyle w:val="Indenti"/>
        <w:spacing w:before="70"/>
        <w:rPr>
          <w:snapToGrid w:val="0"/>
        </w:rPr>
      </w:pPr>
      <w:r>
        <w:rPr>
          <w:snapToGrid w:val="0"/>
        </w:rPr>
        <w:lastRenderedPageBreak/>
        <w:tab/>
        <w:t>(ii)</w:t>
      </w:r>
      <w:r>
        <w:rPr>
          <w:snapToGrid w:val="0"/>
        </w:rPr>
        <w:tab/>
        <w:t>the inhabitants of whose district are by reason of proximity likely to be affected by the proposals;</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pPr>
        <w:pStyle w:val="Footnotesection"/>
        <w:spacing w:before="80"/>
        <w:ind w:left="890" w:hanging="890"/>
      </w:pPr>
      <w:r>
        <w:tab/>
        <w:t>[Section 18 amended: No. 14 of 1996 s. 4; No. 54 of 2003 s. 142.]</w:t>
      </w:r>
    </w:p>
    <w:p>
      <w:pPr>
        <w:pStyle w:val="Heading5"/>
        <w:rPr>
          <w:snapToGrid w:val="0"/>
        </w:rPr>
      </w:pPr>
      <w:bookmarkStart w:id="24" w:name="_Toc206690091"/>
      <w:r>
        <w:rPr>
          <w:rStyle w:val="CharSectno"/>
        </w:rPr>
        <w:t>19</w:t>
      </w:r>
      <w:r>
        <w:rPr>
          <w:snapToGrid w:val="0"/>
        </w:rPr>
        <w:t>.</w:t>
      </w:r>
      <w:r>
        <w:rPr>
          <w:snapToGrid w:val="0"/>
        </w:rPr>
        <w:tab/>
        <w:t>Permitted and prohibited areas, identifying</w:t>
      </w:r>
      <w:bookmarkEnd w:id="24"/>
    </w:p>
    <w:p>
      <w:pPr>
        <w:pStyle w:val="Subsection"/>
        <w:rPr>
          <w:snapToGrid w:val="0"/>
        </w:rPr>
      </w:pPr>
      <w:r>
        <w:rPr>
          <w:snapToGrid w:val="0"/>
        </w:rPr>
        <w:tab/>
        <w:t>(1)</w:t>
      </w:r>
      <w:r>
        <w:rPr>
          <w:snapToGrid w:val="0"/>
        </w:rPr>
        <w:tab/>
        <w:t xml:space="preserve">Where any land is declared to be a permitted area or is established as a prohibited area for the purposes of this Act the Minister </w:t>
      </w:r>
      <w:r>
        <w:t>must</w:t>
      </w:r>
      <w:r>
        <w:rPr>
          <w:snapToGrid w:val="0"/>
        </w:rPr>
        <w:t xml:space="preserve"> as soon as is practicable thereafter —</w:t>
      </w:r>
    </w:p>
    <w:p>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 and</w:t>
      </w:r>
    </w:p>
    <w:p>
      <w:pPr>
        <w:pStyle w:val="Indenti"/>
        <w:spacing w:before="60"/>
        <w:rPr>
          <w:snapToGrid w:val="0"/>
        </w:rPr>
      </w:pPr>
      <w:r>
        <w:rPr>
          <w:snapToGrid w:val="0"/>
        </w:rPr>
        <w:lastRenderedPageBreak/>
        <w:tab/>
        <w:t>(ii)</w:t>
      </w:r>
      <w:r>
        <w:rPr>
          <w:snapToGrid w:val="0"/>
        </w:rPr>
        <w:tab/>
        <w:t>at the office of any local government, the district of which for the purpose of this Act is wholly or partly within the area; and</w:t>
      </w:r>
    </w:p>
    <w:p>
      <w:pPr>
        <w:pStyle w:val="Indenti"/>
        <w:spacing w:before="60"/>
        <w:rPr>
          <w:snapToGrid w:val="0"/>
        </w:rPr>
      </w:pPr>
      <w:r>
        <w:rPr>
          <w:snapToGrid w:val="0"/>
        </w:rPr>
        <w:tab/>
        <w:t>(iii)</w:t>
      </w:r>
      <w:r>
        <w:rPr>
          <w:snapToGrid w:val="0"/>
        </w:rPr>
        <w:tab/>
        <w:t>at such other places likely to be convenient to persons affected by the declaration as he may think fit;</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pPr>
        <w:pStyle w:val="Subsection"/>
        <w:rPr>
          <w:snapToGrid w:val="0"/>
        </w:rPr>
      </w:pPr>
      <w:r>
        <w:rPr>
          <w:snapToGrid w:val="0"/>
        </w:rPr>
        <w:tab/>
        <w:t>(2)</w:t>
      </w:r>
      <w:r>
        <w:rPr>
          <w:snapToGrid w:val="0"/>
        </w:rPr>
        <w:tab/>
        <w:t xml:space="preserve">It </w:t>
      </w:r>
      <w:r>
        <w:t>is not</w:t>
      </w:r>
      <w:r>
        <w:rPr>
          <w:snapToGrid w:val="0"/>
        </w:rPr>
        <w:t xml:space="preserve"> necessary that the boundaries of any permitted area or prohibited area be surveyed or demarcated but where practicable the local government of the district in which the boundary is situated </w:t>
      </w:r>
      <w:r>
        <w:t>must delineate</w:t>
      </w:r>
      <w:r>
        <w:rPr>
          <w:snapToGrid w:val="0"/>
        </w:rPr>
        <w:t xml:space="preserve"> that boundary by the erection or establishment of suitable notices or marks.</w:t>
      </w:r>
    </w:p>
    <w:p>
      <w:pPr>
        <w:pStyle w:val="Subsection"/>
        <w:rPr>
          <w:snapToGrid w:val="0"/>
        </w:rPr>
      </w:pPr>
      <w:r>
        <w:rPr>
          <w:snapToGrid w:val="0"/>
        </w:rPr>
        <w:tab/>
        <w:t>(3)</w:t>
      </w:r>
      <w:r>
        <w:rPr>
          <w:snapToGrid w:val="0"/>
        </w:rPr>
        <w:tab/>
        <w:t xml:space="preserve">A person </w:t>
      </w:r>
      <w:r>
        <w:t>must</w:t>
      </w:r>
      <w:r>
        <w:rPr>
          <w:snapToGrid w:val="0"/>
        </w:rPr>
        <w:t xml:space="preserve"> not destroy, damage, alter, move, or interfere with any notice or mark erected or established pursuant to subsection (2).</w:t>
      </w:r>
    </w:p>
    <w:p>
      <w:pPr>
        <w:pStyle w:val="Penstart"/>
        <w:rPr>
          <w:snapToGrid w:val="0"/>
        </w:rPr>
      </w:pPr>
      <w:r>
        <w:rPr>
          <w:snapToGrid w:val="0"/>
        </w:rPr>
        <w:tab/>
      </w:r>
      <w:r>
        <w:t>Penalty for this subsection: a fine of $5 000.</w:t>
      </w:r>
    </w:p>
    <w:p>
      <w:pPr>
        <w:pStyle w:val="Footnotesection"/>
        <w:keepLines w:val="0"/>
      </w:pPr>
      <w:r>
        <w:tab/>
        <w:t>[Section 19 amended: No. 14 of 1996 s. 4; No. 60 of 2006 s. 128; No. 8 of 2025 s. 14 and 15.]</w:t>
      </w:r>
    </w:p>
    <w:p>
      <w:pPr>
        <w:pStyle w:val="Heading5"/>
        <w:rPr>
          <w:snapToGrid w:val="0"/>
        </w:rPr>
      </w:pPr>
      <w:bookmarkStart w:id="25" w:name="_Toc206690092"/>
      <w:r>
        <w:rPr>
          <w:rStyle w:val="CharSectno"/>
        </w:rPr>
        <w:t>20</w:t>
      </w:r>
      <w:r>
        <w:rPr>
          <w:snapToGrid w:val="0"/>
        </w:rPr>
        <w:t>.</w:t>
      </w:r>
      <w:r>
        <w:rPr>
          <w:snapToGrid w:val="0"/>
        </w:rPr>
        <w:tab/>
        <w:t>Permitted areas and prohibited areas, application of to vehicles and effect of</w:t>
      </w:r>
      <w:bookmarkEnd w:id="25"/>
    </w:p>
    <w:p>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pPr>
        <w:pStyle w:val="Indenta"/>
        <w:keepNext/>
        <w:keepLines/>
        <w:rPr>
          <w:snapToGrid w:val="0"/>
        </w:rPr>
      </w:pPr>
      <w:r>
        <w:rPr>
          <w:snapToGrid w:val="0"/>
        </w:rPr>
        <w:lastRenderedPageBreak/>
        <w:tab/>
        <w:t>(b)</w:t>
      </w:r>
      <w:r>
        <w:rPr>
          <w:snapToGrid w:val="0"/>
        </w:rPr>
        <w:tab/>
        <w:t>may apply so that the area in question is a permitted area in respect of some classes or kinds of vehicles notwithstanding that it is not a permitted area in relation to other vehicles;</w:t>
      </w:r>
    </w:p>
    <w:p>
      <w:pPr>
        <w:pStyle w:val="Indenta"/>
        <w:rPr>
          <w:snapToGrid w:val="0"/>
        </w:rPr>
      </w:pPr>
      <w:r>
        <w:rPr>
          <w:snapToGrid w:val="0"/>
        </w:rPr>
        <w:tab/>
        <w:t>(c)</w:t>
      </w:r>
      <w:r>
        <w:rPr>
          <w:snapToGrid w:val="0"/>
        </w:rPr>
        <w:tab/>
      </w:r>
      <w:r>
        <w:t>has no</w:t>
      </w:r>
      <w:r>
        <w:rPr>
          <w:snapToGrid w:val="0"/>
        </w:rPr>
        <w:t xml:space="preserve"> effect in or in relation to any part of the State, and if in force in relation to any such area </w:t>
      </w:r>
      <w:r>
        <w:t>ceases</w:t>
      </w:r>
      <w:r>
        <w:rPr>
          <w:snapToGrid w:val="0"/>
        </w:rPr>
        <w:t xml:space="preserve"> to have effect, where under the provisions of any other Act or law of the State or of the Commonwealth access thereto or the use of vehicles therein is or becomes prohibited.</w:t>
      </w:r>
    </w:p>
    <w:p>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pPr>
        <w:pStyle w:val="Indenta"/>
        <w:rPr>
          <w:snapToGrid w:val="0"/>
        </w:rPr>
      </w:pPr>
      <w:r>
        <w:rPr>
          <w:snapToGrid w:val="0"/>
        </w:rPr>
        <w:tab/>
        <w:t>(a)</w:t>
      </w:r>
      <w:r>
        <w:rPr>
          <w:snapToGrid w:val="0"/>
        </w:rPr>
        <w:tab/>
        <w:t>may apply in relation to vehicles generally; and</w:t>
      </w:r>
    </w:p>
    <w:p>
      <w:pPr>
        <w:pStyle w:val="Indenta"/>
        <w:rPr>
          <w:snapToGrid w:val="0"/>
        </w:rPr>
      </w:pPr>
      <w:r>
        <w:rPr>
          <w:snapToGrid w:val="0"/>
        </w:rPr>
        <w:tab/>
        <w:t>(b)</w:t>
      </w:r>
      <w:r>
        <w:rPr>
          <w:snapToGrid w:val="0"/>
        </w:rPr>
        <w:tab/>
        <w:t>may apply in relation to vehicles generally except when used in the manner or circumstances therein specified; and</w:t>
      </w:r>
    </w:p>
    <w:p>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pPr>
        <w:pStyle w:val="Subsection"/>
        <w:rPr>
          <w:snapToGrid w:val="0"/>
        </w:rPr>
      </w:pPr>
      <w:r>
        <w:rPr>
          <w:snapToGrid w:val="0"/>
        </w:rPr>
        <w:tab/>
        <w:t>(4)</w:t>
      </w:r>
      <w:r>
        <w:rPr>
          <w:snapToGrid w:val="0"/>
        </w:rPr>
        <w:tab/>
        <w:t xml:space="preserve">Regulations and local laws made under this Act may make provision for the control of vehicles in a permitted area and for the safety and obligations of persons who use vehicles in the area, and a person </w:t>
      </w:r>
      <w:r>
        <w:t>must</w:t>
      </w:r>
      <w:r>
        <w:rPr>
          <w:snapToGrid w:val="0"/>
        </w:rPr>
        <w:t xml:space="preserve"> not drive or use a vehicle in a permitted </w:t>
      </w:r>
      <w:r>
        <w:rPr>
          <w:snapToGrid w:val="0"/>
        </w:rPr>
        <w:lastRenderedPageBreak/>
        <w:t>area unless he complies in all respects with such regulations and local laws and any conditions, restrictions or limitations thereby imposed.</w:t>
      </w:r>
    </w:p>
    <w:p>
      <w:pPr>
        <w:pStyle w:val="Penstart"/>
        <w:rPr>
          <w:snapToGrid w:val="0"/>
        </w:rPr>
      </w:pPr>
      <w:r>
        <w:rPr>
          <w:snapToGrid w:val="0"/>
        </w:rPr>
        <w:tab/>
      </w:r>
      <w:r>
        <w:t>Penalty for this subsection: a fine of $5 000.</w:t>
      </w:r>
    </w:p>
    <w:p>
      <w:pPr>
        <w:pStyle w:val="Footnotesection"/>
        <w:keepLines w:val="0"/>
      </w:pPr>
      <w:r>
        <w:tab/>
        <w:t>[Section 20 amended: No. 14 of 1996 s. 4; No. 8 of 2025 s. 14 and 15.]</w:t>
      </w:r>
    </w:p>
    <w:p>
      <w:pPr>
        <w:pStyle w:val="Heading5"/>
        <w:rPr>
          <w:snapToGrid w:val="0"/>
        </w:rPr>
      </w:pPr>
      <w:bookmarkStart w:id="26" w:name="_Toc206690093"/>
      <w:r>
        <w:rPr>
          <w:rStyle w:val="CharSectno"/>
        </w:rPr>
        <w:t>21</w:t>
      </w:r>
      <w:r>
        <w:rPr>
          <w:snapToGrid w:val="0"/>
        </w:rPr>
        <w:t>.</w:t>
      </w:r>
      <w:r>
        <w:rPr>
          <w:snapToGrid w:val="0"/>
        </w:rPr>
        <w:tab/>
        <w:t>Advisory Committee, members and procedure of etc.</w:t>
      </w:r>
      <w:bookmarkEnd w:id="26"/>
    </w:p>
    <w:p>
      <w:pPr>
        <w:pStyle w:val="Subsection"/>
        <w:rPr>
          <w:snapToGrid w:val="0"/>
        </w:rPr>
      </w:pPr>
      <w:r>
        <w:rPr>
          <w:snapToGrid w:val="0"/>
        </w:rPr>
        <w:tab/>
        <w:t>(1)</w:t>
      </w:r>
      <w:r>
        <w:rPr>
          <w:snapToGrid w:val="0"/>
        </w:rPr>
        <w:tab/>
        <w:t>The Advisory Committee shall consist of 7 permanent members of whom—</w:t>
      </w:r>
    </w:p>
    <w:p>
      <w:pPr>
        <w:pStyle w:val="Indenta"/>
        <w:rPr>
          <w:snapToGrid w:val="0"/>
        </w:rPr>
      </w:pPr>
      <w:r>
        <w:rPr>
          <w:snapToGrid w:val="0"/>
        </w:rPr>
        <w:tab/>
        <w:t>(a)</w:t>
      </w:r>
      <w:r>
        <w:rPr>
          <w:snapToGrid w:val="0"/>
        </w:rPr>
        <w:tab/>
        <w:t>one shall hold office as Chairman of that Committee; and</w:t>
      </w:r>
    </w:p>
    <w:p>
      <w:pPr>
        <w:pStyle w:val="Indenta"/>
      </w:pPr>
      <w:r>
        <w:tab/>
        <w:t>(b)</w:t>
      </w:r>
      <w:r>
        <w:tab/>
        <w:t>2 shall be persons selected from a panel of names submitted to the Minister by the body known as the Western Australian Local Government Association;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 and</w:t>
      </w:r>
    </w:p>
    <w:p>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pPr>
        <w:pStyle w:val="Subsection"/>
        <w:rPr>
          <w:snapToGrid w:val="0"/>
        </w:rPr>
      </w:pPr>
      <w:r>
        <w:rPr>
          <w:snapToGrid w:val="0"/>
        </w:rPr>
        <w:lastRenderedPageBreak/>
        <w:tab/>
        <w:t>(2)</w:t>
      </w:r>
      <w:r>
        <w:rPr>
          <w:snapToGrid w:val="0"/>
        </w:rPr>
        <w:tab/>
        <w:t>The person appointed as Chairman of the Committee shall preside at all meetings at which he is present.</w:t>
      </w:r>
    </w:p>
    <w:p>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pPr>
        <w:pStyle w:val="Subsection"/>
        <w:rPr>
          <w:snapToGrid w:val="0"/>
        </w:rPr>
      </w:pPr>
      <w:r>
        <w:rPr>
          <w:snapToGrid w:val="0"/>
        </w:rPr>
        <w:tab/>
        <w:t>(5)</w:t>
      </w:r>
      <w:r>
        <w:rPr>
          <w:snapToGrid w:val="0"/>
        </w:rPr>
        <w:tab/>
        <w:t>The quorum at any meeting of the Committee shall be constituted by not less than 4 permanent members.</w:t>
      </w:r>
    </w:p>
    <w:p>
      <w:pPr>
        <w:pStyle w:val="Subsection"/>
        <w:rPr>
          <w:snapToGrid w:val="0"/>
        </w:rPr>
      </w:pPr>
      <w:r>
        <w:rPr>
          <w:snapToGrid w:val="0"/>
        </w:rPr>
        <w:tab/>
        <w:t>(6)</w:t>
      </w:r>
      <w:r>
        <w:rPr>
          <w:snapToGrid w:val="0"/>
        </w:rPr>
        <w:tab/>
        <w:t>The permanent members are eligible to attend every meeting of the Committee and to vote on any matter.</w:t>
      </w:r>
    </w:p>
    <w:p>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pPr>
        <w:pStyle w:val="Ednotesubsection"/>
      </w:pPr>
      <w:r>
        <w:tab/>
        <w:t>[(8)</w:t>
      </w:r>
      <w:r>
        <w:tab/>
        <w:t>deleted]</w:t>
      </w:r>
    </w:p>
    <w:p>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xml:space="preserve">, applies, may be paid such remuneration or allowances as the Minister from time to time determines, and any member </w:t>
      </w:r>
      <w:r>
        <w:rPr>
          <w:snapToGrid w:val="0"/>
        </w:rPr>
        <w:lastRenderedPageBreak/>
        <w:t>of the Committee may be reimbursed in respect of expenditure incurred pursuant to this Act in such manner as the Minister may determine.</w:t>
      </w:r>
    </w:p>
    <w:p>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pPr>
        <w:pStyle w:val="Subsection"/>
        <w:keepNext/>
        <w:rPr>
          <w:snapToGrid w:val="0"/>
        </w:rPr>
      </w:pPr>
      <w:r>
        <w:rPr>
          <w:snapToGrid w:val="0"/>
        </w:rPr>
        <w:tab/>
        <w:t>(15)</w:t>
      </w:r>
      <w:r>
        <w:rPr>
          <w:snapToGrid w:val="0"/>
        </w:rPr>
        <w:tab/>
        <w:t>The office of a member becomes vacant if —</w:t>
      </w:r>
    </w:p>
    <w:p>
      <w:pPr>
        <w:pStyle w:val="Indenta"/>
        <w:rPr>
          <w:snapToGrid w:val="0"/>
        </w:rPr>
      </w:pPr>
      <w:r>
        <w:rPr>
          <w:snapToGrid w:val="0"/>
        </w:rPr>
        <w:tab/>
        <w:t>(a)</w:t>
      </w:r>
      <w:r>
        <w:rPr>
          <w:snapToGrid w:val="0"/>
        </w:rPr>
        <w:tab/>
        <w:t>his term of office expires; or</w:t>
      </w:r>
    </w:p>
    <w:p>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 or</w:t>
      </w:r>
    </w:p>
    <w:p>
      <w:pPr>
        <w:pStyle w:val="Indenta"/>
        <w:rPr>
          <w:snapToGrid w:val="0"/>
        </w:rPr>
      </w:pPr>
      <w:r>
        <w:rPr>
          <w:snapToGrid w:val="0"/>
        </w:rPr>
        <w:tab/>
        <w:t>(c)</w:t>
      </w:r>
      <w:r>
        <w:rPr>
          <w:snapToGrid w:val="0"/>
        </w:rPr>
        <w:tab/>
        <w:t>he resigns his office by written notice addressed to the Minister;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removed from office by the Minister on the grounds —</w:t>
      </w:r>
    </w:p>
    <w:p>
      <w:pPr>
        <w:pStyle w:val="Indenti"/>
        <w:rPr>
          <w:snapToGrid w:val="0"/>
        </w:rPr>
      </w:pPr>
      <w:r>
        <w:rPr>
          <w:snapToGrid w:val="0"/>
        </w:rPr>
        <w:tab/>
        <w:t>(i)</w:t>
      </w:r>
      <w:r>
        <w:rPr>
          <w:snapToGrid w:val="0"/>
        </w:rPr>
        <w:tab/>
        <w:t>of neglect of duty, incompetence or misbehaviour; or</w:t>
      </w:r>
    </w:p>
    <w:p>
      <w:pPr>
        <w:pStyle w:val="Indenti"/>
        <w:keepNext/>
        <w:rPr>
          <w:snapToGrid w:val="0"/>
        </w:rPr>
      </w:pPr>
      <w:r>
        <w:rPr>
          <w:snapToGrid w:val="0"/>
        </w:rPr>
        <w:lastRenderedPageBreak/>
        <w:tab/>
        <w:t>(ii)</w:t>
      </w:r>
      <w:r>
        <w:rPr>
          <w:snapToGrid w:val="0"/>
        </w:rPr>
        <w:tab/>
        <w:t>that he has ceased to represent the interest in relation to which he was appointed.</w:t>
      </w:r>
    </w:p>
    <w:p>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pPr>
        <w:pStyle w:val="Footnotesection"/>
      </w:pPr>
      <w:r>
        <w:tab/>
        <w:t>[Section 21 amended: No. 56 of 1986 s. 4; No. 24 of 1990 s. 123; No. 32 of 1994 s. 3(1); No. 49 of 2004 s. 13; No. 28 of 2006 s. 357; No. 18 of 2009 s. 22.]</w:t>
      </w:r>
    </w:p>
    <w:p>
      <w:pPr>
        <w:pStyle w:val="Ednotesection"/>
        <w:rPr>
          <w:b/>
        </w:rPr>
      </w:pPr>
      <w:r>
        <w:t>[</w:t>
      </w:r>
      <w:r>
        <w:rPr>
          <w:b/>
        </w:rPr>
        <w:t>22.</w:t>
      </w:r>
      <w:r>
        <w:tab/>
        <w:t>Deleted: No. 28 of 2006 s. 358.]</w:t>
      </w:r>
    </w:p>
    <w:p>
      <w:pPr>
        <w:pStyle w:val="Heading5"/>
        <w:rPr>
          <w:snapToGrid w:val="0"/>
        </w:rPr>
      </w:pPr>
      <w:bookmarkStart w:id="27" w:name="_Toc206690094"/>
      <w:r>
        <w:rPr>
          <w:rStyle w:val="CharSectno"/>
        </w:rPr>
        <w:t>23</w:t>
      </w:r>
      <w:r>
        <w:rPr>
          <w:snapToGrid w:val="0"/>
        </w:rPr>
        <w:t>.</w:t>
      </w:r>
      <w:r>
        <w:rPr>
          <w:snapToGrid w:val="0"/>
        </w:rPr>
        <w:tab/>
        <w:t>Nominations of candidates for Advisory Committee, Minister may request</w:t>
      </w:r>
      <w:bookmarkEnd w:id="27"/>
    </w:p>
    <w:p>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pPr>
        <w:pStyle w:val="Heading5"/>
        <w:rPr>
          <w:snapToGrid w:val="0"/>
        </w:rPr>
      </w:pPr>
      <w:bookmarkStart w:id="28" w:name="_Toc206690095"/>
      <w:r>
        <w:rPr>
          <w:rStyle w:val="CharSectno"/>
        </w:rPr>
        <w:t>24</w:t>
      </w:r>
      <w:r>
        <w:rPr>
          <w:snapToGrid w:val="0"/>
        </w:rPr>
        <w:t>.</w:t>
      </w:r>
      <w:r>
        <w:rPr>
          <w:snapToGrid w:val="0"/>
        </w:rPr>
        <w:tab/>
        <w:t>Deputies of members, appointing etc.</w:t>
      </w:r>
      <w:bookmarkEnd w:id="28"/>
    </w:p>
    <w:p>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pPr>
        <w:pStyle w:val="Subsection"/>
        <w:rPr>
          <w:snapToGrid w:val="0"/>
        </w:rPr>
      </w:pPr>
      <w:r>
        <w:rPr>
          <w:snapToGrid w:val="0"/>
        </w:rPr>
        <w:lastRenderedPageBreak/>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pPr>
        <w:pStyle w:val="Footnotesection"/>
      </w:pPr>
      <w:r>
        <w:tab/>
        <w:t>[Section 24 amended: No. 56 of 1986 s. 5.]</w:t>
      </w:r>
    </w:p>
    <w:p>
      <w:pPr>
        <w:pStyle w:val="Heading5"/>
        <w:rPr>
          <w:snapToGrid w:val="0"/>
        </w:rPr>
      </w:pPr>
      <w:bookmarkStart w:id="29" w:name="_Toc206690096"/>
      <w:r>
        <w:rPr>
          <w:rStyle w:val="CharSectno"/>
        </w:rPr>
        <w:t>25</w:t>
      </w:r>
      <w:r>
        <w:rPr>
          <w:snapToGrid w:val="0"/>
        </w:rPr>
        <w:t>.</w:t>
      </w:r>
      <w:r>
        <w:rPr>
          <w:snapToGrid w:val="0"/>
        </w:rPr>
        <w:tab/>
      </w:r>
      <w:r>
        <w:rPr>
          <w:i/>
          <w:snapToGrid w:val="0"/>
        </w:rPr>
        <w:t>Public Sector Management Act 1994</w:t>
      </w:r>
      <w:r>
        <w:rPr>
          <w:snapToGrid w:val="0"/>
        </w:rPr>
        <w:t>, application of to members</w:t>
      </w:r>
      <w:bookmarkEnd w:id="29"/>
    </w:p>
    <w:p>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pPr>
        <w:pStyle w:val="Footnotesection"/>
      </w:pPr>
      <w:r>
        <w:tab/>
        <w:t>[Section 25 amended: No. 32 of 1994 s. 3(1).]</w:t>
      </w:r>
    </w:p>
    <w:p>
      <w:pPr>
        <w:pStyle w:val="Heading5"/>
        <w:rPr>
          <w:snapToGrid w:val="0"/>
        </w:rPr>
      </w:pPr>
      <w:bookmarkStart w:id="30" w:name="_Toc206690097"/>
      <w:r>
        <w:rPr>
          <w:rStyle w:val="CharSectno"/>
        </w:rPr>
        <w:t>26</w:t>
      </w:r>
      <w:r>
        <w:rPr>
          <w:snapToGrid w:val="0"/>
        </w:rPr>
        <w:t>.</w:t>
      </w:r>
      <w:r>
        <w:rPr>
          <w:snapToGrid w:val="0"/>
        </w:rPr>
        <w:tab/>
        <w:t>Advisory Committee, departments etc. may assist</w:t>
      </w:r>
      <w:bookmarkEnd w:id="30"/>
    </w:p>
    <w:p>
      <w:pPr>
        <w:pStyle w:val="Subsection"/>
        <w:rPr>
          <w:snapToGrid w:val="0"/>
        </w:rPr>
      </w:pPr>
      <w:r>
        <w:rPr>
          <w:snapToGrid w:val="0"/>
        </w:rPr>
        <w:tab/>
      </w:r>
      <w:r>
        <w:rPr>
          <w:snapToGrid w:val="0"/>
        </w:rPr>
        <w:tab/>
        <w:t xml:space="preserve">All Departments and all instrumentalities of the Government of the State and all other authorities, whether corporate or not corporate, established or administered pursuant to any Act </w:t>
      </w:r>
      <w:r>
        <w:rPr>
          <w:snapToGrid w:val="0"/>
        </w:rPr>
        <w:lastRenderedPageBreak/>
        <w:t>(including any local government) are hereby authorised to give to the Committee such assistance in the carrying out of its functions as is reasonably practical.</w:t>
      </w:r>
    </w:p>
    <w:p>
      <w:pPr>
        <w:pStyle w:val="Footnotesection"/>
      </w:pPr>
      <w:r>
        <w:tab/>
        <w:t>[Section 26 amended: No. 14 of 1996 s. 4.]</w:t>
      </w:r>
    </w:p>
    <w:p>
      <w:pPr>
        <w:pStyle w:val="Heading5"/>
        <w:rPr>
          <w:snapToGrid w:val="0"/>
        </w:rPr>
      </w:pPr>
      <w:bookmarkStart w:id="31" w:name="_Toc206690098"/>
      <w:r>
        <w:rPr>
          <w:rStyle w:val="CharSectno"/>
        </w:rPr>
        <w:t>27</w:t>
      </w:r>
      <w:r>
        <w:rPr>
          <w:snapToGrid w:val="0"/>
        </w:rPr>
        <w:t>.</w:t>
      </w:r>
      <w:r>
        <w:rPr>
          <w:snapToGrid w:val="0"/>
        </w:rPr>
        <w:tab/>
        <w:t>Sub</w:t>
      </w:r>
      <w:r>
        <w:rPr>
          <w:snapToGrid w:val="0"/>
        </w:rPr>
        <w:noBreakHyphen/>
        <w:t>committees, appointing</w:t>
      </w:r>
      <w:bookmarkEnd w:id="31"/>
    </w:p>
    <w:p>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pPr>
        <w:pStyle w:val="Heading5"/>
        <w:rPr>
          <w:snapToGrid w:val="0"/>
        </w:rPr>
      </w:pPr>
      <w:bookmarkStart w:id="32" w:name="_Toc206690099"/>
      <w:r>
        <w:rPr>
          <w:rStyle w:val="CharSectno"/>
        </w:rPr>
        <w:t>28</w:t>
      </w:r>
      <w:r>
        <w:rPr>
          <w:snapToGrid w:val="0"/>
        </w:rPr>
        <w:t>.</w:t>
      </w:r>
      <w:r>
        <w:rPr>
          <w:snapToGrid w:val="0"/>
        </w:rPr>
        <w:tab/>
        <w:t>Registration of vehicles, generally</w:t>
      </w:r>
      <w:bookmarkEnd w:id="32"/>
    </w:p>
    <w:p>
      <w:pPr>
        <w:pStyle w:val="Subsection"/>
      </w:pPr>
      <w:r>
        <w:tab/>
        <w:t>(1)</w:t>
      </w:r>
      <w:r>
        <w:tab/>
        <w:t>The scheme of registration of vehicles under this Act is to be administered by the Director General, who is to maintain a separate financial record in relation to that scheme.</w:t>
      </w:r>
    </w:p>
    <w:p>
      <w:pPr>
        <w:pStyle w:val="Subsection"/>
        <w:keepNext/>
        <w:keepLines/>
        <w:rPr>
          <w:snapToGrid w:val="0"/>
        </w:rPr>
      </w:pPr>
      <w:r>
        <w:rPr>
          <w:snapToGrid w:val="0"/>
        </w:rPr>
        <w:tab/>
        <w:t>(2)</w:t>
      </w:r>
      <w:r>
        <w:rPr>
          <w:snapToGrid w:val="0"/>
        </w:rPr>
        <w:tab/>
        <w:t>The Director General shall maintain a register of the particulars of —</w:t>
      </w:r>
    </w:p>
    <w:p>
      <w:pPr>
        <w:pStyle w:val="Indenta"/>
        <w:rPr>
          <w:snapToGrid w:val="0"/>
        </w:rPr>
      </w:pPr>
      <w:r>
        <w:rPr>
          <w:snapToGrid w:val="0"/>
        </w:rPr>
        <w:tab/>
        <w:t>(a)</w:t>
      </w:r>
      <w:r>
        <w:rPr>
          <w:snapToGrid w:val="0"/>
        </w:rPr>
        <w:tab/>
        <w:t>the registrations of vehicles and renewals thereof effected under this Act; and</w:t>
      </w:r>
    </w:p>
    <w:p>
      <w:pPr>
        <w:pStyle w:val="Indenta"/>
        <w:rPr>
          <w:snapToGrid w:val="0"/>
        </w:rPr>
      </w:pPr>
      <w:r>
        <w:rPr>
          <w:snapToGrid w:val="0"/>
        </w:rPr>
        <w:tab/>
        <w:t>(b)</w:t>
      </w:r>
      <w:r>
        <w:rPr>
          <w:snapToGrid w:val="0"/>
        </w:rPr>
        <w:tab/>
        <w:t>transfers of registration effected under this Act.</w:t>
      </w:r>
    </w:p>
    <w:p>
      <w:pPr>
        <w:pStyle w:val="Ednotesubsection"/>
      </w:pPr>
      <w:r>
        <w:tab/>
        <w:t>[(3)</w:t>
      </w:r>
      <w:r>
        <w:tab/>
        <w:t>deleted]</w:t>
      </w:r>
    </w:p>
    <w:p>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pPr>
        <w:pStyle w:val="Subsection"/>
        <w:rPr>
          <w:snapToGrid w:val="0"/>
        </w:rPr>
      </w:pPr>
      <w:r>
        <w:rPr>
          <w:snapToGrid w:val="0"/>
        </w:rPr>
        <w:lastRenderedPageBreak/>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pPr>
        <w:pStyle w:val="Footnotesection"/>
        <w:ind w:left="890" w:hanging="890"/>
      </w:pPr>
      <w:r>
        <w:tab/>
        <w:t>[Section 28 amended: No. 106 of 1981 s. 34; No. 76 of 1996 s. 27; No. 39 of 2000 s. 51; No. 7 of 2002 s. 8.]</w:t>
      </w:r>
    </w:p>
    <w:p>
      <w:pPr>
        <w:pStyle w:val="Heading5"/>
      </w:pPr>
      <w:bookmarkStart w:id="33" w:name="_Toc206690100"/>
      <w:r>
        <w:rPr>
          <w:rStyle w:val="CharSectno"/>
        </w:rPr>
        <w:t>28A</w:t>
      </w:r>
      <w:r>
        <w:t>.</w:t>
      </w:r>
      <w:r>
        <w:tab/>
        <w:t>Applying for registration etc. of vehicle</w:t>
      </w:r>
      <w:bookmarkEnd w:id="33"/>
    </w:p>
    <w:p>
      <w:pPr>
        <w:pStyle w:val="Subsection"/>
      </w:pPr>
      <w:r>
        <w:tab/>
        <w:t>(1)</w:t>
      </w:r>
      <w:r>
        <w:tab/>
        <w:t>An owner of a vehicle may apply for the registration, renewal of registration or transfer of registration of a vehicle under this Act by —</w:t>
      </w:r>
    </w:p>
    <w:p>
      <w:pPr>
        <w:pStyle w:val="Indenta"/>
      </w:pPr>
      <w:r>
        <w:tab/>
        <w:t>(a)</w:t>
      </w:r>
      <w:r>
        <w:tab/>
      </w:r>
      <w:r>
        <w:rPr>
          <w:snapToGrid w:val="0"/>
        </w:rPr>
        <w:t>submitting an application in a form approved by the Director General; and</w:t>
      </w:r>
    </w:p>
    <w:p>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pPr>
        <w:pStyle w:val="Indenta"/>
      </w:pPr>
      <w:r>
        <w:tab/>
        <w:t>(c)</w:t>
      </w:r>
      <w:r>
        <w:tab/>
        <w:t>paying any fee that would be required by section 29.</w:t>
      </w:r>
    </w:p>
    <w:p>
      <w:pPr>
        <w:pStyle w:val="Subsection"/>
        <w:spacing w:before="120"/>
      </w:pPr>
      <w:r>
        <w:tab/>
        <w:t>(2)</w:t>
      </w:r>
      <w:r>
        <w:tab/>
        <w:t>Upon an application under subsection (1), the Director General must —</w:t>
      </w:r>
    </w:p>
    <w:p>
      <w:pPr>
        <w:pStyle w:val="Indenta"/>
      </w:pPr>
      <w:r>
        <w:tab/>
        <w:t>(a)</w:t>
      </w:r>
      <w:r>
        <w:tab/>
        <w:t>register, renew the registration of, or transfer the registration of, a vehicle; and</w:t>
      </w:r>
    </w:p>
    <w:p>
      <w:pPr>
        <w:pStyle w:val="Indenta"/>
      </w:pPr>
      <w:r>
        <w:lastRenderedPageBreak/>
        <w:tab/>
        <w:t>(b)</w:t>
      </w:r>
      <w:r>
        <w:tab/>
        <w:t>issue to the owner a certificate of that registration, and on payment of the prescribed fee a number plate displaying the symbols or numbers or the symbols and numbers allotted to the vehicle by the Director General,</w:t>
      </w:r>
    </w:p>
    <w:p>
      <w:pPr>
        <w:pStyle w:val="Subsection"/>
        <w:spacing w:before="120"/>
      </w:pPr>
      <w:r>
        <w:tab/>
      </w:r>
      <w:r>
        <w:tab/>
        <w:t>if, in the case of an application by an individual the applicant has attained the age of 18 years.</w:t>
      </w:r>
    </w:p>
    <w:p>
      <w:pPr>
        <w:pStyle w:val="Subsection"/>
        <w:spacing w:before="120"/>
      </w:pPr>
      <w:r>
        <w:tab/>
        <w:t>(3)</w:t>
      </w:r>
      <w:r>
        <w:tab/>
        <w:t>A vehicle cannot be registered in the name of more than one person at a particular time.</w:t>
      </w:r>
    </w:p>
    <w:p>
      <w:pPr>
        <w:pStyle w:val="Subsection"/>
        <w:spacing w:before="120"/>
      </w:pPr>
      <w:r>
        <w:tab/>
        <w:t>(4)</w:t>
      </w:r>
      <w:r>
        <w:tab/>
        <w:t>Any one of 2 or more owners may apply for the issue or transfer of a registration and the application is to be signed by each of them.</w:t>
      </w:r>
    </w:p>
    <w:p>
      <w:pPr>
        <w:pStyle w:val="Subsection"/>
        <w:spacing w:before="120"/>
      </w:pPr>
      <w:r>
        <w:tab/>
        <w:t>(5)</w:t>
      </w:r>
      <w:r>
        <w:tab/>
        <w:t>An application under subsection (4) is to be regarded as notice of the nomination of the applicant for the purposes of section 3(2).</w:t>
      </w:r>
    </w:p>
    <w:p>
      <w:pPr>
        <w:pStyle w:val="Subsection"/>
        <w:spacing w:before="120"/>
        <w:rPr>
          <w:snapToGrid w:val="0"/>
        </w:rPr>
      </w:pPr>
      <w:r>
        <w:rPr>
          <w:snapToGrid w:val="0"/>
        </w:rPr>
        <w:tab/>
        <w:t>(6)</w:t>
      </w:r>
      <w:r>
        <w:rPr>
          <w:snapToGrid w:val="0"/>
        </w:rPr>
        <w:tab/>
      </w:r>
      <w:r>
        <w:t>The Director General must refund any amount paid by a person in connection with</w:t>
      </w:r>
      <w:r>
        <w:rPr>
          <w:snapToGrid w:val="0"/>
        </w:rPr>
        <w:t xml:space="preserve"> an application under this section that is refused.</w:t>
      </w:r>
    </w:p>
    <w:p>
      <w:pPr>
        <w:pStyle w:val="Footnotesection"/>
      </w:pPr>
      <w:r>
        <w:tab/>
        <w:t>[Section 28A inserted: No. 39 of 2000 s. 52; amended: No. 8 of 2025 s. 15.]</w:t>
      </w:r>
    </w:p>
    <w:p>
      <w:pPr>
        <w:pStyle w:val="Heading5"/>
        <w:keepNext w:val="0"/>
        <w:keepLines w:val="0"/>
        <w:spacing w:before="180"/>
        <w:rPr>
          <w:snapToGrid w:val="0"/>
        </w:rPr>
      </w:pPr>
      <w:bookmarkStart w:id="34" w:name="_Toc206690101"/>
      <w:r>
        <w:rPr>
          <w:rStyle w:val="CharSectno"/>
        </w:rPr>
        <w:t>29</w:t>
      </w:r>
      <w:r>
        <w:rPr>
          <w:snapToGrid w:val="0"/>
        </w:rPr>
        <w:t>.</w:t>
      </w:r>
      <w:r>
        <w:rPr>
          <w:snapToGrid w:val="0"/>
        </w:rPr>
        <w:tab/>
        <w:t>Registration procedure</w:t>
      </w:r>
      <w:bookmarkEnd w:id="34"/>
    </w:p>
    <w:p>
      <w:pPr>
        <w:pStyle w:val="Ednotesubsection"/>
        <w:keepNext/>
        <w:keepLines/>
        <w:spacing w:before="120"/>
      </w:pPr>
      <w:r>
        <w:tab/>
        <w:t>[(1), (2)</w:t>
      </w:r>
      <w:r>
        <w:tab/>
        <w:t>deleted]</w:t>
      </w:r>
    </w:p>
    <w:p>
      <w:pPr>
        <w:pStyle w:val="Subsection"/>
        <w:spacing w:before="120"/>
        <w:rPr>
          <w:snapToGrid w:val="0"/>
        </w:rPr>
      </w:pPr>
      <w:r>
        <w:rPr>
          <w:snapToGrid w:val="0"/>
        </w:rPr>
        <w:tab/>
        <w:t>(3)</w:t>
      </w:r>
      <w:r>
        <w:rPr>
          <w:snapToGrid w:val="0"/>
        </w:rPr>
        <w:tab/>
        <w:t xml:space="preserve">The registration of a vehicle granted under section 28A </w:t>
      </w:r>
      <w:r>
        <w:t>is</w:t>
      </w:r>
      <w:r>
        <w:rPr>
          <w:snapToGrid w:val="0"/>
        </w:rPr>
        <w:t xml:space="preserve"> valid for such period of not less than 6 months and not more than 18 months as is determined by the Director General and specified in the certificate of registration.</w:t>
      </w:r>
    </w:p>
    <w:p>
      <w:pPr>
        <w:pStyle w:val="Subsection"/>
        <w:spacing w:before="180"/>
        <w:rPr>
          <w:snapToGrid w:val="0"/>
        </w:rPr>
      </w:pPr>
      <w:r>
        <w:rPr>
          <w:snapToGrid w:val="0"/>
        </w:rPr>
        <w:tab/>
        <w:t>(4)</w:t>
      </w:r>
      <w:r>
        <w:rPr>
          <w:snapToGrid w:val="0"/>
        </w:rPr>
        <w:tab/>
        <w:t xml:space="preserve">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w:t>
      </w:r>
      <w:r>
        <w:t>is</w:t>
      </w:r>
      <w:r>
        <w:rPr>
          <w:snapToGrid w:val="0"/>
        </w:rPr>
        <w:t xml:space="preserve"> payable in specified circumstances.</w:t>
      </w:r>
    </w:p>
    <w:p>
      <w:pPr>
        <w:pStyle w:val="Subsection"/>
        <w:spacing w:before="180"/>
        <w:rPr>
          <w:snapToGrid w:val="0"/>
        </w:rPr>
      </w:pPr>
      <w:r>
        <w:rPr>
          <w:snapToGrid w:val="0"/>
        </w:rPr>
        <w:lastRenderedPageBreak/>
        <w:tab/>
        <w:t>(5)</w:t>
      </w:r>
      <w:r>
        <w:rPr>
          <w:snapToGrid w:val="0"/>
        </w:rPr>
        <w:tab/>
        <w:t>Subject to the provisions of section 28, where an application for the renewal of the registration of a vehicle is made</w:t>
      </w:r>
      <w:r>
        <w:t xml:space="preserve"> under section 28A</w:t>
      </w:r>
      <w:r>
        <w:rPr>
          <w:snapToGrid w:val="0"/>
        </w:rPr>
        <w:t>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15 days immediately succeeding the day on which the registration expired,</w:t>
      </w:r>
    </w:p>
    <w:p>
      <w:pPr>
        <w:pStyle w:val="Subsection"/>
        <w:spacing w:before="180"/>
        <w:rPr>
          <w:snapToGrid w:val="0"/>
        </w:rPr>
      </w:pPr>
      <w:r>
        <w:rPr>
          <w:snapToGrid w:val="0"/>
        </w:rPr>
        <w:tab/>
      </w:r>
      <w:r>
        <w:rPr>
          <w:snapToGrid w:val="0"/>
        </w:rPr>
        <w:tab/>
        <w:t xml:space="preserve">the Director General </w:t>
      </w:r>
      <w:r>
        <w:t>must renew</w:t>
      </w:r>
      <w:r>
        <w:rPr>
          <w:snapToGrid w:val="0"/>
        </w:rPr>
        <w:t xml:space="preserve"> the registration for a period of 12 months and the renewal </w:t>
      </w:r>
      <w:r>
        <w:t>is</w:t>
      </w:r>
      <w:r>
        <w:rPr>
          <w:snapToGrid w:val="0"/>
        </w:rPr>
        <w:t xml:space="preserve"> deemed to be a continuation of the registration and to have effect on and from the day next succeeding the day on which the registration expires or expired.</w:t>
      </w:r>
    </w:p>
    <w:p>
      <w:pPr>
        <w:pStyle w:val="Subsection"/>
        <w:spacing w:before="180"/>
        <w:rPr>
          <w:snapToGrid w:val="0"/>
        </w:rPr>
      </w:pPr>
      <w:r>
        <w:rPr>
          <w:snapToGrid w:val="0"/>
        </w:rPr>
        <w:tab/>
        <w:t>(6)</w:t>
      </w:r>
      <w:r>
        <w:rPr>
          <w:snapToGrid w:val="0"/>
        </w:rPr>
        <w:tab/>
        <w:t xml:space="preserve">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w:t>
      </w:r>
      <w:r>
        <w:t>takes</w:t>
      </w:r>
      <w:r>
        <w:rPr>
          <w:snapToGrid w:val="0"/>
        </w:rPr>
        <w:t xml:space="preserve"> effect on and from the day on which it is effected and the fee payable </w:t>
      </w:r>
      <w:r>
        <w:t>is</w:t>
      </w:r>
      <w:r>
        <w:rPr>
          <w:snapToGrid w:val="0"/>
        </w:rPr>
        <w:t xml:space="preserve"> the fee applicable to a full 12 month period.</w:t>
      </w:r>
    </w:p>
    <w:p>
      <w:pPr>
        <w:pStyle w:val="Ednotesubsection"/>
        <w:spacing w:before="180"/>
      </w:pPr>
      <w:r>
        <w:tab/>
        <w:t>[(7)-(10)</w:t>
      </w:r>
      <w:r>
        <w:tab/>
        <w:t>deleted]</w:t>
      </w:r>
    </w:p>
    <w:p>
      <w:pPr>
        <w:pStyle w:val="Subsection"/>
        <w:keepLines/>
        <w:spacing w:before="180"/>
        <w:rPr>
          <w:snapToGrid w:val="0"/>
        </w:rPr>
      </w:pPr>
      <w:r>
        <w:rPr>
          <w:snapToGrid w:val="0"/>
        </w:rPr>
        <w:tab/>
        <w:t>(11)</w:t>
      </w:r>
      <w:r>
        <w:rPr>
          <w:snapToGrid w:val="0"/>
        </w:rPr>
        <w:tab/>
        <w:t xml:space="preserve">A person </w:t>
      </w:r>
      <w:bookmarkStart w:id="35" w:name="_Hlk206493287"/>
      <w:r>
        <w:t>must</w:t>
      </w:r>
      <w:bookmarkEnd w:id="35"/>
      <w:r>
        <w:rPr>
          <w:snapToGrid w:val="0"/>
        </w:rPr>
        <w:t xml:space="preserve"> not, whether on his own behalf or on behalf of any other person, knowingly make any false or misleading statement in relation to the registration of a vehicle under this Act, or to any application in respect thereof.</w:t>
      </w:r>
    </w:p>
    <w:p>
      <w:pPr>
        <w:pStyle w:val="Penstart"/>
        <w:rPr>
          <w:snapToGrid w:val="0"/>
        </w:rPr>
      </w:pPr>
      <w:r>
        <w:rPr>
          <w:snapToGrid w:val="0"/>
        </w:rPr>
        <w:tab/>
      </w:r>
      <w:r>
        <w:t>Penalty for this subsection: a fine of $5 000.</w:t>
      </w:r>
    </w:p>
    <w:p>
      <w:pPr>
        <w:pStyle w:val="Footnotesection"/>
      </w:pPr>
      <w:r>
        <w:tab/>
        <w:t>[Section 29 amended: No. 106 of 1981 s. 34; No. 76 of 1996 s. 27; No. 39 of 2000 s. 53; No. 7 of 2002 s. 9; No. 8 of 2025 s. 14 and 15.]</w:t>
      </w:r>
    </w:p>
    <w:p>
      <w:pPr>
        <w:pStyle w:val="Heading5"/>
      </w:pPr>
      <w:bookmarkStart w:id="36" w:name="_Toc206690102"/>
      <w:r>
        <w:rPr>
          <w:rStyle w:val="CharSectno"/>
        </w:rPr>
        <w:lastRenderedPageBreak/>
        <w:t>29A</w:t>
      </w:r>
      <w:r>
        <w:t>.</w:t>
      </w:r>
      <w:r>
        <w:tab/>
        <w:t>Transfer of vehicle registration</w:t>
      </w:r>
      <w:bookmarkEnd w:id="36"/>
    </w:p>
    <w:p>
      <w:pPr>
        <w:pStyle w:val="Subsection"/>
      </w:pPr>
      <w:r>
        <w:tab/>
        <w:t>(1)</w:t>
      </w:r>
      <w:r>
        <w:tab/>
        <w:t>Where a person to whom a certificate of registration of a vehicle has been granted ceases to be the owner of the vehicle, the person must —</w:t>
      </w:r>
    </w:p>
    <w:p>
      <w:pPr>
        <w:pStyle w:val="Indenta"/>
      </w:pPr>
      <w:r>
        <w:tab/>
        <w:t>(a)</w:t>
      </w:r>
      <w:r>
        <w:tab/>
        <w:t>within 7 days of ceasing to be the owner give notice in writing to the Director General of the name and address of the new owner of the vehicle; and</w:t>
      </w:r>
    </w:p>
    <w:p>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pPr>
        <w:pStyle w:val="Subsection"/>
        <w:rPr>
          <w:snapToGrid w:val="0"/>
        </w:rPr>
      </w:pPr>
      <w:r>
        <w:tab/>
        <w:t>(2)</w:t>
      </w:r>
      <w:r>
        <w:tab/>
        <w:t>A person who becomes the owner of a vehicle in respect of which a certificate of registration has been granted must</w:t>
      </w:r>
      <w:r>
        <w:rPr>
          <w:snapToGrid w:val="0"/>
        </w:rPr>
        <w:t>, within 14 days after becoming the owner, give notice in writing to the Director General of that fact.</w:t>
      </w:r>
    </w:p>
    <w:p>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pPr>
        <w:pStyle w:val="Indenta"/>
      </w:pPr>
      <w:r>
        <w:tab/>
        <w:t>(a)</w:t>
      </w:r>
      <w:r>
        <w:tab/>
        <w:t>an application for the transfer of the registration to the new owner be made under section 28A; or</w:t>
      </w:r>
    </w:p>
    <w:p>
      <w:pPr>
        <w:pStyle w:val="Indenta"/>
        <w:rPr>
          <w:sz w:val="22"/>
        </w:rPr>
      </w:pPr>
      <w:r>
        <w:tab/>
        <w:t>(b)</w:t>
      </w:r>
      <w:r>
        <w:tab/>
        <w:t>the number plates issued in respect of the vehicle be delivered up to the Director General.</w:t>
      </w:r>
    </w:p>
    <w:p>
      <w:pPr>
        <w:pStyle w:val="Subsection"/>
        <w:keepNext/>
      </w:pPr>
      <w:r>
        <w:lastRenderedPageBreak/>
        <w:tab/>
        <w:t>(4)</w:t>
      </w:r>
      <w:r>
        <w:tab/>
        <w:t>In subsection (3)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3(2); or</w:t>
      </w:r>
    </w:p>
    <w:p>
      <w:pPr>
        <w:pStyle w:val="Indenta"/>
      </w:pPr>
      <w:r>
        <w:tab/>
        <w:t>(c)</w:t>
      </w:r>
      <w:r>
        <w:tab/>
        <w:t>there is more than one owner of the vehicle and there is good reason why a person was not nominated under section 3(2); or</w:t>
      </w:r>
    </w:p>
    <w:p>
      <w:pPr>
        <w:pStyle w:val="Indenta"/>
      </w:pPr>
      <w:r>
        <w:tab/>
        <w:t>(d)</w:t>
      </w:r>
      <w:r>
        <w:tab/>
        <w:t>there was some other good reason why the application for the transfer of the registration was not made.</w:t>
      </w:r>
    </w:p>
    <w:p>
      <w:pPr>
        <w:pStyle w:val="Penstart"/>
      </w:pPr>
      <w:r>
        <w:rPr>
          <w:snapToGrid w:val="0"/>
        </w:rPr>
        <w:tab/>
        <w:t>Penalty for this subsection: a fine of $5 000.</w:t>
      </w:r>
    </w:p>
    <w:p>
      <w:pPr>
        <w:pStyle w:val="Subsection"/>
        <w:rPr>
          <w:snapToGrid w:val="0"/>
        </w:rPr>
      </w:pPr>
      <w:r>
        <w:tab/>
        <w:t>(6)</w:t>
      </w:r>
      <w:r>
        <w:tab/>
      </w:r>
      <w:r>
        <w:rPr>
          <w:snapToGrid w:val="0"/>
        </w:rPr>
        <w:t xml:space="preserve">The other subsections of this section do not apply if a person to whom a certificate of registration in respect of a vehicle has been issued dies, and in that case the Director General </w:t>
      </w:r>
      <w:r>
        <w:t>must</w:t>
      </w:r>
      <w:r>
        <w:rPr>
          <w:snapToGrid w:val="0"/>
        </w:rPr>
        <w:t xml:space="preserve"> on an application under section 28A, if any, by the executor or administrator of the estate of that person endorse on the certificate the transfer of the registration to that executor or administrator.</w:t>
      </w:r>
    </w:p>
    <w:p>
      <w:pPr>
        <w:pStyle w:val="Footnotesection"/>
      </w:pPr>
      <w:r>
        <w:tab/>
        <w:t>[Section 29A inserted: No. 39 of 2000 s. 54; amended: No. 8 of 2025 s. 5(4) and 15.]</w:t>
      </w:r>
    </w:p>
    <w:p>
      <w:pPr>
        <w:pStyle w:val="Heading5"/>
        <w:spacing w:before="240"/>
        <w:rPr>
          <w:snapToGrid w:val="0"/>
        </w:rPr>
      </w:pPr>
      <w:bookmarkStart w:id="37" w:name="_Toc206690103"/>
      <w:r>
        <w:rPr>
          <w:rStyle w:val="CharSectno"/>
        </w:rPr>
        <w:lastRenderedPageBreak/>
        <w:t>30</w:t>
      </w:r>
      <w:r>
        <w:rPr>
          <w:snapToGrid w:val="0"/>
        </w:rPr>
        <w:t>.</w:t>
      </w:r>
      <w:r>
        <w:rPr>
          <w:snapToGrid w:val="0"/>
        </w:rPr>
        <w:tab/>
        <w:t>Fees for registration, reductions in, refunds of etc.</w:t>
      </w:r>
      <w:bookmarkEnd w:id="37"/>
    </w:p>
    <w:p>
      <w:pPr>
        <w:pStyle w:val="Subsection"/>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pPr>
        <w:pStyle w:val="Indenta"/>
        <w:rPr>
          <w:snapToGrid w:val="0"/>
        </w:rPr>
      </w:pPr>
      <w:r>
        <w:rPr>
          <w:snapToGrid w:val="0"/>
        </w:rPr>
        <w:tab/>
        <w:t>(a)</w:t>
      </w:r>
      <w:r>
        <w:rPr>
          <w:snapToGrid w:val="0"/>
        </w:rPr>
        <w:tab/>
        <w:t>shall forthwith upon demand refund the amount of the excess to the person to whom the certificate of registration was issued;</w:t>
      </w:r>
    </w:p>
    <w:p>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pPr>
        <w:pStyle w:val="Footnotesection"/>
        <w:ind w:left="890" w:hanging="890"/>
      </w:pPr>
      <w:r>
        <w:tab/>
        <w:t>[Section 30 amended: No. 106 of 1981 s. 34; No. 76 of 1996 s. 27.]</w:t>
      </w:r>
    </w:p>
    <w:p>
      <w:pPr>
        <w:pStyle w:val="Heading5"/>
        <w:keepNext w:val="0"/>
        <w:keepLines w:val="0"/>
        <w:spacing w:before="180"/>
        <w:rPr>
          <w:snapToGrid w:val="0"/>
        </w:rPr>
      </w:pPr>
      <w:bookmarkStart w:id="38" w:name="_Toc206690104"/>
      <w:r>
        <w:rPr>
          <w:rStyle w:val="CharSectno"/>
        </w:rPr>
        <w:t>31</w:t>
      </w:r>
      <w:r>
        <w:rPr>
          <w:snapToGrid w:val="0"/>
        </w:rPr>
        <w:t>.</w:t>
      </w:r>
      <w:r>
        <w:rPr>
          <w:snapToGrid w:val="0"/>
        </w:rPr>
        <w:tab/>
        <w:t>Registration obtained by dishonoured cheque is void</w:t>
      </w:r>
      <w:bookmarkEnd w:id="38"/>
    </w:p>
    <w:p>
      <w:pPr>
        <w:pStyle w:val="Subsection"/>
        <w:spacing w:before="120"/>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pPr>
        <w:pStyle w:val="Subsection"/>
        <w:rPr>
          <w:snapToGrid w:val="0"/>
        </w:rPr>
      </w:pPr>
      <w:r>
        <w:rPr>
          <w:snapToGrid w:val="0"/>
        </w:rPr>
        <w:lastRenderedPageBreak/>
        <w:tab/>
        <w:t>(2)</w:t>
      </w:r>
      <w:r>
        <w:rPr>
          <w:snapToGrid w:val="0"/>
        </w:rPr>
        <w:tab/>
        <w:t xml:space="preserve">The person to whom a certificate of registration is issued in the circumstances referred to in subsection (1) </w:t>
      </w:r>
      <w:r>
        <w:t>must</w:t>
      </w:r>
      <w:r>
        <w:rPr>
          <w:snapToGrid w:val="0"/>
        </w:rPr>
        <w:t>, on demand made by or on behalf of the Director General forthwith deliver the certificate of registration and the number plate relating to that registration to the Director General.</w:t>
      </w:r>
    </w:p>
    <w:p>
      <w:pPr>
        <w:pStyle w:val="Subsection"/>
        <w:rPr>
          <w:snapToGrid w:val="0"/>
        </w:rPr>
      </w:pPr>
      <w:r>
        <w:rPr>
          <w:snapToGrid w:val="0"/>
        </w:rPr>
        <w:tab/>
        <w:t>(3)</w:t>
      </w:r>
      <w:r>
        <w:rPr>
          <w:snapToGrid w:val="0"/>
        </w:rPr>
        <w:tab/>
        <w:t xml:space="preserve">A person to whom a certificate of registration is so issued </w:t>
      </w:r>
      <w:r>
        <w:t>must</w:t>
      </w:r>
      <w:r>
        <w:rPr>
          <w:snapToGrid w:val="0"/>
        </w:rPr>
        <w:t xml:space="preserve"> not, after demand so made, —</w:t>
      </w:r>
    </w:p>
    <w:p>
      <w:pPr>
        <w:pStyle w:val="Indenta"/>
        <w:rPr>
          <w:snapToGrid w:val="0"/>
        </w:rPr>
      </w:pPr>
      <w:r>
        <w:rPr>
          <w:snapToGrid w:val="0"/>
        </w:rPr>
        <w:tab/>
        <w:t>(a)</w:t>
      </w:r>
      <w:r>
        <w:rPr>
          <w:snapToGrid w:val="0"/>
        </w:rPr>
        <w:tab/>
        <w:t>fail so to deliver the certificate of registration or the number plate; or</w:t>
      </w:r>
    </w:p>
    <w:p>
      <w:pPr>
        <w:pStyle w:val="Indenta"/>
        <w:rPr>
          <w:snapToGrid w:val="0"/>
        </w:rPr>
      </w:pPr>
      <w:r>
        <w:rPr>
          <w:snapToGrid w:val="0"/>
        </w:rPr>
        <w:tab/>
        <w:t>(b)</w:t>
      </w:r>
      <w:r>
        <w:rPr>
          <w:snapToGrid w:val="0"/>
        </w:rPr>
        <w:tab/>
        <w:t>use or continue to use, or allow any other person the use of, the certificate of registration or the number plate relating to that registration.</w:t>
      </w:r>
    </w:p>
    <w:p>
      <w:pPr>
        <w:pStyle w:val="Penstart"/>
        <w:ind w:left="1701" w:hanging="1701"/>
        <w:rPr>
          <w:snapToGrid w:val="0"/>
        </w:rPr>
      </w:pPr>
      <w:r>
        <w:rPr>
          <w:snapToGrid w:val="0"/>
        </w:rPr>
        <w:tab/>
      </w:r>
      <w:r>
        <w:t>Penalty for this subsection: a fine of $5 000.</w:t>
      </w:r>
    </w:p>
    <w:p>
      <w:pPr>
        <w:pStyle w:val="Footnotesection"/>
        <w:spacing w:before="100"/>
        <w:ind w:left="890" w:hanging="890"/>
      </w:pPr>
      <w:r>
        <w:tab/>
        <w:t>[Section 31 amended: No. 106 of 1981 s. 34; No. 76 of 1996 s. 27; No. 24 of 2000 s. 48; No. 8 of 2025 s. 14 and 15.]</w:t>
      </w:r>
    </w:p>
    <w:p>
      <w:pPr>
        <w:pStyle w:val="Heading5"/>
        <w:spacing w:before="180"/>
        <w:rPr>
          <w:snapToGrid w:val="0"/>
        </w:rPr>
      </w:pPr>
      <w:bookmarkStart w:id="39" w:name="_Toc206690105"/>
      <w:r>
        <w:rPr>
          <w:rStyle w:val="CharSectno"/>
        </w:rPr>
        <w:t>32</w:t>
      </w:r>
      <w:r>
        <w:rPr>
          <w:snapToGrid w:val="0"/>
        </w:rPr>
        <w:t>.</w:t>
      </w:r>
      <w:r>
        <w:rPr>
          <w:snapToGrid w:val="0"/>
        </w:rPr>
        <w:tab/>
        <w:t>Refund of registration fees</w:t>
      </w:r>
      <w:bookmarkEnd w:id="39"/>
    </w:p>
    <w:p>
      <w:pPr>
        <w:pStyle w:val="Subsection"/>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pPr>
        <w:pStyle w:val="Subsection"/>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pPr>
        <w:pStyle w:val="Footnotesection"/>
        <w:spacing w:before="80"/>
        <w:ind w:left="890" w:hanging="890"/>
      </w:pPr>
      <w:r>
        <w:tab/>
        <w:t>[Section 32 amended: No. 106 of 1981 s. 34; No. 76 of 1996 s. 27.]</w:t>
      </w:r>
    </w:p>
    <w:p>
      <w:pPr>
        <w:pStyle w:val="Heading5"/>
        <w:keepLines w:val="0"/>
        <w:spacing w:before="240"/>
      </w:pPr>
      <w:bookmarkStart w:id="40" w:name="_Toc206690106"/>
      <w:r>
        <w:rPr>
          <w:rStyle w:val="CharSectno"/>
        </w:rPr>
        <w:t>32A</w:t>
      </w:r>
      <w:r>
        <w:t>.</w:t>
      </w:r>
      <w:r>
        <w:tab/>
        <w:t>Nominated owner of vehicle, cancelling and changing</w:t>
      </w:r>
      <w:bookmarkEnd w:id="40"/>
    </w:p>
    <w:p>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pPr>
        <w:pStyle w:val="Subsection"/>
      </w:pPr>
      <w:r>
        <w:lastRenderedPageBreak/>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3(2); and</w:t>
      </w:r>
    </w:p>
    <w:p>
      <w:pPr>
        <w:pStyle w:val="Indenta"/>
      </w:pPr>
      <w:r>
        <w:tab/>
        <w:t>(c)</w:t>
      </w:r>
      <w:r>
        <w:tab/>
        <w:t>the Director General is to vary the registration in accordance with the application by changing the name of the person in whose name the vehicle is registered.</w:t>
      </w:r>
    </w:p>
    <w:p>
      <w:pPr>
        <w:pStyle w:val="Footnotesection"/>
        <w:ind w:left="890" w:hanging="890"/>
      </w:pPr>
      <w:r>
        <w:tab/>
        <w:t>[Section 32A inserted: No. 39 of 2000 s. 55.]</w:t>
      </w:r>
    </w:p>
    <w:p>
      <w:pPr>
        <w:pStyle w:val="Heading5"/>
        <w:rPr>
          <w:snapToGrid w:val="0"/>
        </w:rPr>
      </w:pPr>
      <w:bookmarkStart w:id="41" w:name="_Toc206690107"/>
      <w:r>
        <w:rPr>
          <w:rStyle w:val="CharSectno"/>
        </w:rPr>
        <w:t>33</w:t>
      </w:r>
      <w:r>
        <w:rPr>
          <w:snapToGrid w:val="0"/>
        </w:rPr>
        <w:t>.</w:t>
      </w:r>
      <w:r>
        <w:rPr>
          <w:snapToGrid w:val="0"/>
        </w:rPr>
        <w:tab/>
        <w:t>Review by SAT of decision on registration</w:t>
      </w:r>
      <w:bookmarkEnd w:id="41"/>
    </w:p>
    <w:p>
      <w:pPr>
        <w:pStyle w:val="Subsection"/>
        <w:rPr>
          <w:snapToGrid w:val="0"/>
        </w:rPr>
      </w:pPr>
      <w:r>
        <w:rPr>
          <w:snapToGrid w:val="0"/>
        </w:rPr>
        <w:tab/>
      </w:r>
      <w:r>
        <w:rPr>
          <w:snapToGrid w:val="0"/>
        </w:rPr>
        <w:tab/>
        <w:t>There is a right to apply to the State Administrative Tribunal for a review of a decision —</w:t>
      </w:r>
    </w:p>
    <w:p>
      <w:pPr>
        <w:pStyle w:val="Indenta"/>
        <w:rPr>
          <w:snapToGrid w:val="0"/>
        </w:rPr>
      </w:pPr>
      <w:r>
        <w:rPr>
          <w:snapToGrid w:val="0"/>
        </w:rPr>
        <w:tab/>
        <w:t>(a)</w:t>
      </w:r>
      <w:r>
        <w:rPr>
          <w:snapToGrid w:val="0"/>
        </w:rPr>
        <w:tab/>
        <w:t>to refuse a registration, or the renewal or a transfer of a registration, under this Act; or</w:t>
      </w:r>
    </w:p>
    <w:p>
      <w:pPr>
        <w:pStyle w:val="Indenta"/>
        <w:rPr>
          <w:snapToGrid w:val="0"/>
        </w:rPr>
      </w:pPr>
      <w:r>
        <w:rPr>
          <w:snapToGrid w:val="0"/>
        </w:rPr>
        <w:tab/>
        <w:t>(b)</w:t>
      </w:r>
      <w:r>
        <w:rPr>
          <w:snapToGrid w:val="0"/>
        </w:rPr>
        <w:tab/>
        <w:t>to suspend a registration.</w:t>
      </w:r>
    </w:p>
    <w:p>
      <w:pPr>
        <w:pStyle w:val="Footnotesection"/>
      </w:pPr>
      <w:r>
        <w:tab/>
        <w:t>[Section 33 inserted: No. 55 of 2004 s. 147.]</w:t>
      </w:r>
    </w:p>
    <w:p>
      <w:pPr>
        <w:pStyle w:val="Heading5"/>
        <w:rPr>
          <w:snapToGrid w:val="0"/>
        </w:rPr>
      </w:pPr>
      <w:bookmarkStart w:id="42" w:name="_Toc206690108"/>
      <w:r>
        <w:rPr>
          <w:rStyle w:val="CharSectno"/>
        </w:rPr>
        <w:t>34</w:t>
      </w:r>
      <w:r>
        <w:rPr>
          <w:snapToGrid w:val="0"/>
        </w:rPr>
        <w:t>.</w:t>
      </w:r>
      <w:r>
        <w:rPr>
          <w:snapToGrid w:val="0"/>
        </w:rPr>
        <w:tab/>
        <w:t>Number plate to be displayed</w:t>
      </w:r>
      <w:bookmarkEnd w:id="42"/>
    </w:p>
    <w:p>
      <w:pPr>
        <w:pStyle w:val="Subsection"/>
        <w:rPr>
          <w:snapToGrid w:val="0"/>
        </w:rPr>
      </w:pPr>
      <w:r>
        <w:rPr>
          <w:snapToGrid w:val="0"/>
        </w:rPr>
        <w:tab/>
        <w:t>(1)</w:t>
      </w:r>
      <w:r>
        <w:rPr>
          <w:snapToGrid w:val="0"/>
        </w:rPr>
        <w:tab/>
        <w:t xml:space="preserve">A person </w:t>
      </w:r>
      <w:r>
        <w:t>must</w:t>
      </w:r>
      <w:r>
        <w:rPr>
          <w:snapToGrid w:val="0"/>
        </w:rPr>
        <w:t xml:space="preserve">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pPr>
        <w:pStyle w:val="Penstart"/>
      </w:pPr>
      <w:r>
        <w:rPr>
          <w:snapToGrid w:val="0"/>
        </w:rPr>
        <w:tab/>
        <w:t>Penalty for this subsection: a fine of $5 000.</w:t>
      </w:r>
    </w:p>
    <w:p>
      <w:pPr>
        <w:pStyle w:val="Subsection"/>
        <w:rPr>
          <w:snapToGrid w:val="0"/>
        </w:rPr>
      </w:pPr>
      <w:r>
        <w:rPr>
          <w:snapToGrid w:val="0"/>
        </w:rPr>
        <w:tab/>
        <w:t>(2)</w:t>
      </w:r>
      <w:r>
        <w:rPr>
          <w:snapToGrid w:val="0"/>
        </w:rPr>
        <w:tab/>
        <w:t xml:space="preserve">A person </w:t>
      </w:r>
      <w:r>
        <w:t>must</w:t>
      </w:r>
      <w:r>
        <w:rPr>
          <w:snapToGrid w:val="0"/>
        </w:rPr>
        <w:t xml:space="preserve"> not drive or use a vehicle licensed under the </w:t>
      </w:r>
      <w:r>
        <w:rPr>
          <w:i/>
          <w:iCs/>
        </w:rPr>
        <w:t>Road Traffic (Vehicles) Act 2012</w:t>
      </w:r>
      <w:r>
        <w:t xml:space="preserve">, </w:t>
      </w:r>
      <w:r>
        <w:rPr>
          <w:snapToGrid w:val="0"/>
        </w:rPr>
        <w:t xml:space="preserve">on any land (except in the circumstances prescribed under that Act, on private land by </w:t>
      </w:r>
      <w:r>
        <w:rPr>
          <w:snapToGrid w:val="0"/>
        </w:rPr>
        <w:lastRenderedPageBreak/>
        <w:t>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pPr>
        <w:pStyle w:val="Penstart"/>
        <w:rPr>
          <w:snapToGrid w:val="0"/>
        </w:rPr>
      </w:pPr>
      <w:r>
        <w:rPr>
          <w:snapToGrid w:val="0"/>
        </w:rPr>
        <w:tab/>
      </w:r>
      <w:r>
        <w:t>Penalty for this subsection: a fine of $5 000.</w:t>
      </w:r>
    </w:p>
    <w:p>
      <w:pPr>
        <w:pStyle w:val="Footnotesection"/>
      </w:pPr>
      <w:r>
        <w:tab/>
        <w:t>[Section 34 amended: No. 106 of 1981 s. 34; No. 76 of 1996 s. 27; No. 7 of 2002 s. 10; No. 8 of 2012 s. 66; No. 8 of 2025 s. 7(2), 14 and 15.]</w:t>
      </w:r>
    </w:p>
    <w:p>
      <w:pPr>
        <w:pStyle w:val="Heading5"/>
        <w:rPr>
          <w:snapToGrid w:val="0"/>
        </w:rPr>
      </w:pPr>
      <w:bookmarkStart w:id="43" w:name="_Toc206690109"/>
      <w:r>
        <w:rPr>
          <w:rStyle w:val="CharSectno"/>
        </w:rPr>
        <w:t>35</w:t>
      </w:r>
      <w:r>
        <w:rPr>
          <w:snapToGrid w:val="0"/>
        </w:rPr>
        <w:t>.</w:t>
      </w:r>
      <w:r>
        <w:rPr>
          <w:snapToGrid w:val="0"/>
        </w:rPr>
        <w:tab/>
        <w:t>Other offences concerning number plates</w:t>
      </w:r>
      <w:bookmarkEnd w:id="43"/>
    </w:p>
    <w:p>
      <w:pPr>
        <w:pStyle w:val="Subsection"/>
        <w:rPr>
          <w:snapToGrid w:val="0"/>
        </w:rPr>
      </w:pPr>
      <w:r>
        <w:rPr>
          <w:snapToGrid w:val="0"/>
        </w:rPr>
        <w:tab/>
      </w:r>
      <w:r>
        <w:rPr>
          <w:snapToGrid w:val="0"/>
        </w:rPr>
        <w:tab/>
        <w:t xml:space="preserve">A person </w:t>
      </w:r>
      <w:r>
        <w:t>must</w:t>
      </w:r>
      <w:r>
        <w:rPr>
          <w:snapToGrid w:val="0"/>
        </w:rPr>
        <w:t xml:space="preserve"> not —</w:t>
      </w:r>
    </w:p>
    <w:p>
      <w:pPr>
        <w:pStyle w:val="Indenta"/>
        <w:spacing w:before="120"/>
        <w:rPr>
          <w:snapToGrid w:val="0"/>
        </w:rPr>
      </w:pPr>
      <w:r>
        <w:rPr>
          <w:snapToGrid w:val="0"/>
        </w:rPr>
        <w:tab/>
        <w:t>(a)</w:t>
      </w:r>
      <w:r>
        <w:rPr>
          <w:snapToGrid w:val="0"/>
        </w:rPr>
        <w:tab/>
        <w:t>wilfully alter or deface any number plate issued under this Act; or</w:t>
      </w:r>
    </w:p>
    <w:p>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 or</w:t>
      </w:r>
    </w:p>
    <w:p>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pPr>
        <w:pStyle w:val="Penstart"/>
        <w:rPr>
          <w:snapToGrid w:val="0"/>
        </w:rPr>
      </w:pPr>
      <w:r>
        <w:rPr>
          <w:snapToGrid w:val="0"/>
        </w:rPr>
        <w:tab/>
      </w:r>
      <w:r>
        <w:t>Penalty: a fine of $5 000.</w:t>
      </w:r>
    </w:p>
    <w:p>
      <w:pPr>
        <w:pStyle w:val="Footnotesection"/>
      </w:pPr>
      <w:r>
        <w:tab/>
        <w:t>[Section 35 amended: No. 39 of 2000 s. 56; No. 8 of 2025 s. 14 and 15.]</w:t>
      </w:r>
    </w:p>
    <w:p>
      <w:pPr>
        <w:pStyle w:val="Heading5"/>
        <w:rPr>
          <w:snapToGrid w:val="0"/>
        </w:rPr>
      </w:pPr>
      <w:bookmarkStart w:id="44" w:name="_Toc206690110"/>
      <w:r>
        <w:rPr>
          <w:rStyle w:val="CharSectno"/>
        </w:rPr>
        <w:t>36</w:t>
      </w:r>
      <w:r>
        <w:rPr>
          <w:snapToGrid w:val="0"/>
        </w:rPr>
        <w:t>.</w:t>
      </w:r>
      <w:r>
        <w:rPr>
          <w:snapToGrid w:val="0"/>
        </w:rPr>
        <w:tab/>
        <w:t>Road law provisions</w:t>
      </w:r>
      <w:bookmarkEnd w:id="44"/>
    </w:p>
    <w:p>
      <w:pPr>
        <w:pStyle w:val="Subsection"/>
        <w:rPr>
          <w:snapToGrid w:val="0"/>
        </w:rPr>
      </w:pPr>
      <w:r>
        <w:rPr>
          <w:snapToGrid w:val="0"/>
        </w:rPr>
        <w:tab/>
      </w:r>
      <w:r>
        <w:rPr>
          <w:snapToGrid w:val="0"/>
        </w:rPr>
        <w:tab/>
        <w:t xml:space="preserve">In the application of the provisions of </w:t>
      </w:r>
      <w:r>
        <w:t xml:space="preserve">a road law as defined in the </w:t>
      </w:r>
      <w:r>
        <w:rPr>
          <w:i/>
          <w:iCs/>
        </w:rPr>
        <w:t>Road Traffic (Administration) Act 2008</w:t>
      </w:r>
      <w:r>
        <w:t xml:space="preserve"> section 4 </w:t>
      </w:r>
      <w:r>
        <w:rPr>
          <w:snapToGrid w:val="0"/>
        </w:rPr>
        <w:t xml:space="preserve">to vehicles </w:t>
      </w:r>
      <w:r>
        <w:rPr>
          <w:snapToGrid w:val="0"/>
        </w:rPr>
        <w:lastRenderedPageBreak/>
        <w:t>to which this Act applies or to persons using vehicles in circumstances to which this Act applies —</w:t>
      </w:r>
    </w:p>
    <w:p>
      <w:pPr>
        <w:pStyle w:val="Indenta"/>
        <w:rPr>
          <w:snapToGrid w:val="0"/>
        </w:rPr>
      </w:pPr>
      <w:r>
        <w:rPr>
          <w:snapToGrid w:val="0"/>
        </w:rPr>
        <w:tab/>
        <w:t>(a)</w:t>
      </w:r>
      <w:r>
        <w:rPr>
          <w:snapToGrid w:val="0"/>
        </w:rPr>
        <w:tab/>
        <w:t xml:space="preserve">the obligations set out in section 54(6) and section 56(1) of </w:t>
      </w:r>
      <w:r>
        <w:t xml:space="preserve">the </w:t>
      </w:r>
      <w:r>
        <w:rPr>
          <w:i/>
          <w:iCs/>
        </w:rPr>
        <w:t xml:space="preserve">Road Traffic Act 1974 </w:t>
      </w:r>
      <w:r>
        <w:rPr>
          <w:snapToGrid w:val="0"/>
        </w:rPr>
        <w:t>shall be deemed to extend to and in relation to the use of a vehicle otherwise than on a road; and</w:t>
      </w:r>
    </w:p>
    <w:p>
      <w:pPr>
        <w:pStyle w:val="Indenta"/>
        <w:rPr>
          <w:snapToGrid w:val="0"/>
        </w:rPr>
      </w:pPr>
      <w:r>
        <w:rPr>
          <w:snapToGrid w:val="0"/>
        </w:rPr>
        <w:tab/>
        <w:t>(b)</w:t>
      </w:r>
      <w:r>
        <w:rPr>
          <w:snapToGrid w:val="0"/>
        </w:rPr>
        <w:tab/>
        <w:t xml:space="preserve">any reference </w:t>
      </w:r>
      <w:r>
        <w:t xml:space="preserve">to a police officer in the </w:t>
      </w:r>
      <w:r>
        <w:rPr>
          <w:i/>
          <w:iCs/>
        </w:rPr>
        <w:t>Road Traffic (Administration) Act 2008</w:t>
      </w:r>
      <w:r>
        <w:t xml:space="preserve"> section 32, 33, 34 or 48 or the </w:t>
      </w:r>
      <w:r>
        <w:rPr>
          <w:i/>
          <w:iCs/>
        </w:rPr>
        <w:t>Road Traffic Act 1974</w:t>
      </w:r>
      <w:r>
        <w:t xml:space="preserve"> section 54, 55 or 57 </w:t>
      </w:r>
      <w:r>
        <w:rPr>
          <w:snapToGrid w:val="0"/>
        </w:rPr>
        <w:t xml:space="preserve">shall be construed as a reference to an </w:t>
      </w:r>
      <w:r>
        <w:t>authorised person</w:t>
      </w:r>
      <w:r>
        <w:rPr>
          <w:snapToGrid w:val="0"/>
        </w:rPr>
        <w:t xml:space="preserve"> within the meaning of this Act.</w:t>
      </w:r>
    </w:p>
    <w:p>
      <w:pPr>
        <w:pStyle w:val="Footnotesection"/>
      </w:pPr>
      <w:r>
        <w:tab/>
        <w:t>[Section 36 amended: No. 106 of 1981 s. 33; No. 8 of 2012 s. 67; No. 16 of 2019 s. 104.]</w:t>
      </w:r>
    </w:p>
    <w:p>
      <w:pPr>
        <w:pStyle w:val="Ednotesection"/>
      </w:pPr>
      <w:r>
        <w:t>[</w:t>
      </w:r>
      <w:r>
        <w:rPr>
          <w:b/>
        </w:rPr>
        <w:t>36A.</w:t>
      </w:r>
      <w:r>
        <w:tab/>
        <w:t>Deleted: No. 76 of 1996 s. 25.]</w:t>
      </w:r>
    </w:p>
    <w:p>
      <w:pPr>
        <w:pStyle w:val="Heading5"/>
        <w:keepNext w:val="0"/>
        <w:keepLines w:val="0"/>
        <w:rPr>
          <w:snapToGrid w:val="0"/>
        </w:rPr>
      </w:pPr>
      <w:bookmarkStart w:id="45" w:name="_Toc206690111"/>
      <w:r>
        <w:rPr>
          <w:rStyle w:val="CharSectno"/>
        </w:rPr>
        <w:t>37</w:t>
      </w:r>
      <w:r>
        <w:rPr>
          <w:snapToGrid w:val="0"/>
        </w:rPr>
        <w:t>.</w:t>
      </w:r>
      <w:r>
        <w:rPr>
          <w:snapToGrid w:val="0"/>
        </w:rPr>
        <w:tab/>
        <w:t>Infringement notices</w:t>
      </w:r>
      <w:bookmarkEnd w:id="45"/>
    </w:p>
    <w:p>
      <w:pPr>
        <w:pStyle w:val="Subsection"/>
        <w:rPr>
          <w:snapToGrid w:val="0"/>
        </w:rPr>
      </w:pPr>
      <w:r>
        <w:rPr>
          <w:snapToGrid w:val="0"/>
        </w:rPr>
        <w:tab/>
        <w:t>(1)</w:t>
      </w:r>
      <w:r>
        <w:rPr>
          <w:snapToGrid w:val="0"/>
        </w:rPr>
        <w:tab/>
        <w:t xml:space="preserve">Where an </w:t>
      </w:r>
      <w:r>
        <w:t>authorised person</w:t>
      </w:r>
      <w:r>
        <w:rPr>
          <w:snapToGrid w:val="0"/>
        </w:rPr>
        <w:t xml:space="preserve">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w:t>
      </w:r>
      <w:r>
        <w:rPr>
          <w:snapToGrid w:val="0"/>
        </w:rPr>
        <w:lastRenderedPageBreak/>
        <w:t>vehicle or leaving it in or on the vehicle, then, unless within 21 days after the date of the service of the infringement notice —</w:t>
      </w:r>
    </w:p>
    <w:p>
      <w:pPr>
        <w:pStyle w:val="Indenta"/>
        <w:rPr>
          <w:snapToGrid w:val="0"/>
        </w:rPr>
      </w:pPr>
      <w:r>
        <w:rPr>
          <w:snapToGrid w:val="0"/>
        </w:rPr>
        <w:tab/>
        <w:t>(a)</w:t>
      </w:r>
      <w:r>
        <w:rPr>
          <w:snapToGrid w:val="0"/>
        </w:rPr>
        <w:tab/>
        <w:t>the modified penalty is paid; or</w:t>
      </w:r>
    </w:p>
    <w:p>
      <w:pPr>
        <w:pStyle w:val="Indenta"/>
        <w:rPr>
          <w:snapToGrid w:val="0"/>
        </w:rPr>
      </w:pPr>
      <w:r>
        <w:rPr>
          <w:snapToGrid w:val="0"/>
        </w:rPr>
        <w:tab/>
        <w:t>(b)</w:t>
      </w:r>
      <w:r>
        <w:rPr>
          <w:snapToGrid w:val="0"/>
        </w:rPr>
        <w:tab/>
        <w:t>the</w:t>
      </w:r>
      <w:r>
        <w:t xml:space="preserve"> responsible person</w:t>
      </w:r>
      <w:r>
        <w:rPr>
          <w:snapToGrid w:val="0"/>
        </w:rPr>
        <w:t> —</w:t>
      </w:r>
    </w:p>
    <w:p>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 xml:space="preserve">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w:t>
      </w:r>
      <w:r>
        <w:t>must</w:t>
      </w:r>
      <w:r>
        <w:rPr>
          <w:snapToGrid w:val="0"/>
        </w:rPr>
        <w:t xml:space="preserve"> be refunded.</w:t>
      </w:r>
    </w:p>
    <w:p>
      <w:pPr>
        <w:pStyle w:val="Subsection"/>
      </w:pPr>
      <w:r>
        <w:lastRenderedPageBreak/>
        <w:tab/>
        <w:t>(5a)</w:t>
      </w:r>
      <w:r>
        <w:tab/>
        <w:t>In subsection (5) —</w:t>
      </w:r>
    </w:p>
    <w:p>
      <w:pPr>
        <w:pStyle w:val="Defstart"/>
      </w:pPr>
      <w:r>
        <w:tab/>
      </w:r>
      <w:r>
        <w:rPr>
          <w:rStyle w:val="CharDefText"/>
        </w:rPr>
        <w:t>alleged offender</w:t>
      </w:r>
      <w:r>
        <w:t>, in relation to an infringement notice addressed to and served on a responsible person under subsection (3), means the responsible person.</w:t>
      </w:r>
    </w:p>
    <w:p>
      <w:pPr>
        <w:pStyle w:val="Subsection"/>
        <w:rPr>
          <w:snapToGrid w:val="0"/>
        </w:rPr>
      </w:pPr>
      <w:r>
        <w:rPr>
          <w:snapToGrid w:val="0"/>
        </w:rPr>
        <w:tab/>
        <w:t>(6)</w:t>
      </w:r>
      <w:r>
        <w:rPr>
          <w:snapToGrid w:val="0"/>
        </w:rPr>
        <w:tab/>
        <w:t xml:space="preserve">Where a modified penalty has been paid pursuant to an infringement notice and the notice has not been withdrawn as provided by subsection (5), proceedings </w:t>
      </w:r>
      <w:r>
        <w:t>must</w:t>
      </w:r>
      <w:r>
        <w:rPr>
          <w:snapToGrid w:val="0"/>
        </w:rPr>
        <w:t xml:space="preserve"> not be brought against any person with respect to the offence alleged in the notice.</w:t>
      </w:r>
    </w:p>
    <w:p>
      <w:pPr>
        <w:pStyle w:val="Subsection"/>
        <w:rPr>
          <w:snapToGrid w:val="0"/>
        </w:rPr>
      </w:pPr>
      <w:r>
        <w:rPr>
          <w:snapToGrid w:val="0"/>
        </w:rPr>
        <w:tab/>
        <w:t>(7)</w:t>
      </w:r>
      <w:r>
        <w:rPr>
          <w:snapToGrid w:val="0"/>
        </w:rPr>
        <w:tab/>
        <w:t xml:space="preserve">The payment of a modified penalty pursuant to an infringement notice constitutes a conviction of an offence, but </w:t>
      </w:r>
      <w:r>
        <w:t>must</w:t>
      </w:r>
      <w:r>
        <w:rPr>
          <w:snapToGrid w:val="0"/>
        </w:rPr>
        <w:t xml:space="preserve">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w:t>
      </w:r>
      <w:r>
        <w:t>must</w:t>
      </w:r>
      <w:r>
        <w:rPr>
          <w:snapToGrid w:val="0"/>
        </w:rPr>
        <w:t xml:space="preserve"> not remove any infringement notice relating to the offence affixed to the vehicle or left in or on the vehicle by an authorised person.</w:t>
      </w:r>
    </w:p>
    <w:p>
      <w:pPr>
        <w:pStyle w:val="Penstart"/>
        <w:rPr>
          <w:snapToGrid w:val="0"/>
        </w:rPr>
      </w:pPr>
      <w:r>
        <w:rPr>
          <w:snapToGrid w:val="0"/>
        </w:rPr>
        <w:tab/>
      </w:r>
      <w:r>
        <w:t>Penalty for this subsection: a fine of $5 000.</w:t>
      </w:r>
    </w:p>
    <w:p>
      <w:pPr>
        <w:pStyle w:val="Subsection"/>
        <w:rPr>
          <w:snapToGrid w:val="0"/>
        </w:rPr>
      </w:pPr>
      <w:r>
        <w:rPr>
          <w:snapToGrid w:val="0"/>
        </w:rPr>
        <w:tab/>
        <w:t>(9)</w:t>
      </w:r>
      <w:r>
        <w:rPr>
          <w:snapToGrid w:val="0"/>
        </w:rPr>
        <w:tab/>
        <w:t xml:space="preserve">An infringement notice served under subsection (2) </w:t>
      </w:r>
      <w:r>
        <w:t>must include</w:t>
      </w:r>
      <w:r>
        <w:rPr>
          <w:snapToGrid w:val="0"/>
        </w:rPr>
        <w:t xml:space="preserve"> a short statement of the effect of subsection (3).</w:t>
      </w:r>
    </w:p>
    <w:p>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for any contravention specified therein and may prescribe differing penalties for the same offence according to the circumstances by which the offence is attended.</w:t>
      </w:r>
    </w:p>
    <w:p>
      <w:pPr>
        <w:pStyle w:val="Subsection"/>
      </w:pPr>
      <w:r>
        <w:tab/>
        <w:t>(11)</w:t>
      </w:r>
      <w:r>
        <w:tab/>
      </w:r>
      <w:r>
        <w:rPr>
          <w:snapToGrid w:val="0"/>
        </w:rPr>
        <w:t>The amount of a modified penalty prescribed under subsection (10) for an offence must not exceed 10% of the penalty specified for the offence by this Act or a regulation or local law made under this Act.</w:t>
      </w:r>
    </w:p>
    <w:p>
      <w:pPr>
        <w:pStyle w:val="Footnotesection"/>
      </w:pPr>
      <w:r>
        <w:lastRenderedPageBreak/>
        <w:tab/>
        <w:t>[Section 37 amended: No. 14 of 1996 s. 4; No. 39 of 2000 s. 57; No. 84 of 2004 s. 80; No. 16 of 2019 s. 104; No. 8 of 2025 s. 9, 14 and 15.]</w:t>
      </w:r>
    </w:p>
    <w:p>
      <w:pPr>
        <w:pStyle w:val="Heading5"/>
        <w:rPr>
          <w:snapToGrid w:val="0"/>
        </w:rPr>
      </w:pPr>
      <w:bookmarkStart w:id="46" w:name="_Toc206690112"/>
      <w:r>
        <w:rPr>
          <w:rStyle w:val="CharSectno"/>
        </w:rPr>
        <w:t>38</w:t>
      </w:r>
      <w:r>
        <w:rPr>
          <w:snapToGrid w:val="0"/>
        </w:rPr>
        <w:t>.</w:t>
      </w:r>
      <w:r>
        <w:rPr>
          <w:snapToGrid w:val="0"/>
        </w:rPr>
        <w:tab/>
        <w:t>Authorised persons</w:t>
      </w:r>
      <w:bookmarkEnd w:id="46"/>
    </w:p>
    <w:p>
      <w:pPr>
        <w:pStyle w:val="Subsection"/>
        <w:rPr>
          <w:snapToGrid w:val="0"/>
        </w:rPr>
      </w:pPr>
      <w:r>
        <w:rPr>
          <w:snapToGrid w:val="0"/>
        </w:rPr>
        <w:tab/>
        <w:t>(1)</w:t>
      </w:r>
      <w:r>
        <w:rPr>
          <w:snapToGrid w:val="0"/>
        </w:rPr>
        <w:tab/>
        <w:t xml:space="preserve">For the purposes of this Act an </w:t>
      </w:r>
      <w:r>
        <w:t>authorised person</w:t>
      </w:r>
      <w:r>
        <w:rPr>
          <w:snapToGrid w:val="0"/>
        </w:rPr>
        <w:t xml:space="preserve">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 xml:space="preserve">any person appointed as such </w:t>
      </w:r>
      <w:r>
        <w:t>under</w:t>
      </w:r>
      <w:r>
        <w:rPr>
          <w:snapToGrid w:val="0"/>
        </w:rPr>
        <w:t xml:space="preserve"> subsection (2) within the area of jurisdiction entrusted to him by the appointment;</w:t>
      </w:r>
    </w:p>
    <w:p>
      <w:pPr>
        <w:pStyle w:val="Indenta"/>
        <w:rPr>
          <w:snapToGrid w:val="0"/>
        </w:rPr>
      </w:pPr>
      <w:r>
        <w:rPr>
          <w:snapToGrid w:val="0"/>
        </w:rPr>
        <w:tab/>
        <w:t>(c)</w:t>
      </w:r>
      <w:r>
        <w:rPr>
          <w:snapToGrid w:val="0"/>
        </w:rPr>
        <w:tab/>
        <w:t xml:space="preserve">any person appointed as such </w:t>
      </w:r>
      <w:r>
        <w:t>under</w:t>
      </w:r>
      <w:r>
        <w:rPr>
          <w:snapToGrid w:val="0"/>
        </w:rPr>
        <w:t xml:space="preserve"> subsection (3) within the area of jurisdiction entrusted to him by the appointment.</w:t>
      </w:r>
    </w:p>
    <w:p>
      <w:pPr>
        <w:pStyle w:val="Subsection"/>
        <w:rPr>
          <w:snapToGrid w:val="0"/>
        </w:rPr>
      </w:pPr>
      <w:r>
        <w:rPr>
          <w:snapToGrid w:val="0"/>
        </w:rPr>
        <w:tab/>
        <w:t>(2)</w:t>
      </w:r>
      <w:r>
        <w:rPr>
          <w:snapToGrid w:val="0"/>
        </w:rPr>
        <w:tab/>
        <w:t>The Minister may appoint any person who is or acts in the office of —</w:t>
      </w:r>
    </w:p>
    <w:p>
      <w:pPr>
        <w:pStyle w:val="Indenta"/>
      </w:pPr>
      <w:r>
        <w:tab/>
        <w:t>(a)</w:t>
      </w:r>
      <w:r>
        <w:tab/>
        <w:t xml:space="preserve">an inspector, under the </w:t>
      </w:r>
      <w:r>
        <w:rPr>
          <w:i/>
        </w:rPr>
        <w:t>Environmental Protection Act 1986</w:t>
      </w:r>
      <w:r>
        <w:t>;</w:t>
      </w:r>
      <w:r>
        <w:rPr>
          <w:snapToGrid w:val="0"/>
        </w:rPr>
        <w:t xml:space="preserve"> or</w:t>
      </w:r>
    </w:p>
    <w:p>
      <w:pPr>
        <w:pStyle w:val="Indenta"/>
      </w:pPr>
      <w:r>
        <w:tab/>
        <w:t>(b)</w:t>
      </w:r>
      <w:r>
        <w:tab/>
        <w:t xml:space="preserve">a conservation and land management officer, forest officer, wildlife officer or ranger, under the </w:t>
      </w:r>
      <w:r>
        <w:rPr>
          <w:i/>
        </w:rPr>
        <w:t>Conservation and Land Management Act 1984</w:t>
      </w:r>
      <w:r>
        <w:t>;</w:t>
      </w:r>
      <w:r>
        <w:rPr>
          <w:snapToGrid w:val="0"/>
        </w:rPr>
        <w:t xml:space="preserve"> or</w:t>
      </w:r>
    </w:p>
    <w:p>
      <w:pPr>
        <w:pStyle w:val="Ednotepara"/>
        <w:rPr>
          <w:snapToGrid w:val="0"/>
        </w:rPr>
      </w:pPr>
      <w:r>
        <w:rPr>
          <w:snapToGrid w:val="0"/>
        </w:rPr>
        <w:tab/>
        <w:t>[(c), (d)</w:t>
      </w:r>
      <w:r>
        <w:rPr>
          <w:snapToGrid w:val="0"/>
        </w:rPr>
        <w:tab/>
        <w:t>deleted]</w:t>
      </w:r>
    </w:p>
    <w:p>
      <w:pPr>
        <w:pStyle w:val="Indenta"/>
      </w:pPr>
      <w:r>
        <w:tab/>
        <w:t>(e)</w:t>
      </w:r>
      <w:r>
        <w:tab/>
        <w:t xml:space="preserve">an honorary warden, under the </w:t>
      </w:r>
      <w:r>
        <w:rPr>
          <w:i/>
        </w:rPr>
        <w:t>Aboriginal Heritage Act 1972</w:t>
      </w:r>
      <w:r>
        <w:t>; or</w:t>
      </w:r>
    </w:p>
    <w:p>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 or</w:t>
      </w:r>
    </w:p>
    <w:p>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pPr>
        <w:pStyle w:val="Indenta"/>
      </w:pPr>
      <w:r>
        <w:tab/>
        <w:t>(ga)</w:t>
      </w:r>
      <w:r>
        <w:tab/>
        <w:t xml:space="preserve">a person who is authorised by the CEO under the </w:t>
      </w:r>
      <w:r>
        <w:rPr>
          <w:i/>
          <w:iCs/>
        </w:rPr>
        <w:t>Road Traffic (Administration) Act 2008</w:t>
      </w:r>
      <w:r>
        <w:t xml:space="preserve"> section 22 to perform a function that can be performed by a warden; or</w:t>
      </w:r>
    </w:p>
    <w:p>
      <w:pPr>
        <w:pStyle w:val="Indenta"/>
        <w:keepNext/>
        <w:rPr>
          <w:snapToGrid w:val="0"/>
        </w:rPr>
      </w:pPr>
      <w:r>
        <w:rPr>
          <w:snapToGrid w:val="0"/>
        </w:rPr>
        <w:lastRenderedPageBreak/>
        <w:tab/>
        <w:t>(h)</w:t>
      </w:r>
      <w:r>
        <w:rPr>
          <w:snapToGrid w:val="0"/>
        </w:rPr>
        <w:tab/>
        <w:t>a prescribed officer of a public authority,</w:t>
      </w:r>
    </w:p>
    <w:p>
      <w:pPr>
        <w:pStyle w:val="Subsection"/>
        <w:rPr>
          <w:snapToGrid w:val="0"/>
        </w:rPr>
      </w:pPr>
      <w:r>
        <w:rPr>
          <w:snapToGrid w:val="0"/>
        </w:rPr>
        <w:tab/>
      </w:r>
      <w:r>
        <w:rPr>
          <w:snapToGrid w:val="0"/>
        </w:rPr>
        <w:tab/>
        <w:t xml:space="preserve">to be an </w:t>
      </w:r>
      <w:r>
        <w:t>authorised person</w:t>
      </w:r>
      <w:r>
        <w:rPr>
          <w:snapToGrid w:val="0"/>
        </w:rPr>
        <w:t xml:space="preserve"> for the purposes of this Act either in respect of the whole of the State or any part thereof defined in the appointment.</w:t>
      </w:r>
    </w:p>
    <w:p>
      <w:pPr>
        <w:pStyle w:val="Subsection"/>
      </w:pPr>
      <w:r>
        <w:tab/>
        <w:t>(3)</w:t>
      </w:r>
      <w:r>
        <w:tab/>
        <w:t xml:space="preserve">A person is appointed as an authorised person under this subsection if the person is appointed under the </w:t>
      </w:r>
      <w:r>
        <w:rPr>
          <w:i/>
        </w:rPr>
        <w:t>Local Government Act 1995</w:t>
      </w:r>
      <w:r>
        <w:t xml:space="preserve"> section 9.10(2) to be an authorised person for the purposes of this Act either in respect of the whole of a district or any part of a district specified in the appointment.</w:t>
      </w:r>
    </w:p>
    <w:p>
      <w:pPr>
        <w:pStyle w:val="Subsection"/>
        <w:keepNext/>
        <w:rPr>
          <w:snapToGrid w:val="0"/>
        </w:rPr>
      </w:pPr>
      <w:r>
        <w:rPr>
          <w:snapToGrid w:val="0"/>
        </w:rPr>
        <w:tab/>
        <w:t>(4)</w:t>
      </w:r>
      <w:r>
        <w:rPr>
          <w:snapToGrid w:val="0"/>
        </w:rPr>
        <w:tab/>
        <w:t xml:space="preserve">A person who is appointed as an authorised </w:t>
      </w:r>
      <w:r>
        <w:t>person under subsection (2) or (3) —</w:t>
      </w:r>
    </w:p>
    <w:p>
      <w:pPr>
        <w:pStyle w:val="Indenta"/>
        <w:rPr>
          <w:snapToGrid w:val="0"/>
        </w:rPr>
      </w:pPr>
      <w:r>
        <w:rPr>
          <w:snapToGrid w:val="0"/>
        </w:rPr>
        <w:tab/>
        <w:t>(a)</w:t>
      </w:r>
      <w:r>
        <w:rPr>
          <w:snapToGrid w:val="0"/>
        </w:rPr>
        <w:tab/>
        <w:t xml:space="preserve">has within the area of jurisdiction entrusted to him by the appointment the duties and powers of an </w:t>
      </w:r>
      <w:r>
        <w:t>authorised person</w:t>
      </w:r>
      <w:r>
        <w:rPr>
          <w:snapToGrid w:val="0"/>
        </w:rPr>
        <w:t xml:space="preserve"> under this Act, and may exercise such powers within that area; and</w:t>
      </w:r>
    </w:p>
    <w:p>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 and</w:t>
      </w:r>
    </w:p>
    <w:p>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pPr>
        <w:pStyle w:val="Indenta"/>
        <w:rPr>
          <w:snapToGrid w:val="0"/>
        </w:rPr>
      </w:pPr>
      <w:r>
        <w:rPr>
          <w:snapToGrid w:val="0"/>
        </w:rPr>
        <w:tab/>
        <w:t>(d)</w:t>
      </w:r>
      <w:r>
        <w:rPr>
          <w:snapToGrid w:val="0"/>
        </w:rPr>
        <w:tab/>
      </w:r>
      <w:r>
        <w:t>must</w:t>
      </w:r>
      <w:r>
        <w:rPr>
          <w:snapToGrid w:val="0"/>
        </w:rPr>
        <w:t xml:space="preserve"> be issued with a certificate of his appointment as an </w:t>
      </w:r>
      <w:r>
        <w:t>authorised person</w:t>
      </w:r>
      <w:r>
        <w:rPr>
          <w:snapToGrid w:val="0"/>
        </w:rPr>
        <w:t xml:space="preserve"> in the prescribed form, evidencing the area of jurisdiction entrusted to him under this Act, which he </w:t>
      </w:r>
      <w:r>
        <w:t>must</w:t>
      </w:r>
      <w:r>
        <w:rPr>
          <w:snapToGrid w:val="0"/>
        </w:rPr>
        <w:t>, on reasonable demand, produce for inspection by any person.</w:t>
      </w:r>
    </w:p>
    <w:p>
      <w:pPr>
        <w:pStyle w:val="Subsection"/>
      </w:pPr>
      <w:r>
        <w:lastRenderedPageBreak/>
        <w:tab/>
        <w:t>(4A)</w:t>
      </w:r>
      <w:r>
        <w:tab/>
        <w:t>Subsection (4)(d) does not apply in the case of a person appointed as an authorised person under subsection (3).</w:t>
      </w:r>
    </w:p>
    <w:p>
      <w:pPr>
        <w:pStyle w:val="Subsection"/>
        <w:rPr>
          <w:snapToGrid w:val="0"/>
        </w:rPr>
      </w:pPr>
      <w:r>
        <w:rPr>
          <w:snapToGrid w:val="0"/>
        </w:rPr>
        <w:tab/>
        <w:t>(5)</w:t>
      </w:r>
      <w:r>
        <w:rPr>
          <w:snapToGrid w:val="0"/>
        </w:rPr>
        <w:tab/>
        <w:t xml:space="preserve">The Minister may appoint any person to be an honorary inspector under this Act, and a person so appointed </w:t>
      </w:r>
      <w:r>
        <w:t>has</w:t>
      </w:r>
      <w:r>
        <w:rPr>
          <w:snapToGrid w:val="0"/>
        </w:rPr>
        <w:t xml:space="preserve"> within the area of jurisdiction entrusted to him by the appointment the powers conferred on an honorary inspector by this Act, including the power to issue infringement notices, and the duty to report to the local government contraventions of this Act, and any such person </w:t>
      </w:r>
      <w:r>
        <w:t>must be</w:t>
      </w:r>
      <w:r>
        <w:rPr>
          <w:snapToGrid w:val="0"/>
        </w:rPr>
        <w:t xml:space="preserve"> issued with a certificate of his appointment in the prescribed form </w:t>
      </w:r>
      <w:r>
        <w:t>and must</w:t>
      </w:r>
      <w:r>
        <w:rPr>
          <w:snapToGrid w:val="0"/>
        </w:rPr>
        <w:t>, on reasonable demand, produce that certificate for inspection.</w:t>
      </w:r>
    </w:p>
    <w:p>
      <w:pPr>
        <w:pStyle w:val="Subsection"/>
        <w:keepNext/>
        <w:rPr>
          <w:snapToGrid w:val="0"/>
        </w:rPr>
      </w:pPr>
      <w:r>
        <w:rPr>
          <w:snapToGrid w:val="0"/>
        </w:rPr>
        <w:tab/>
        <w:t>(6)</w:t>
      </w:r>
      <w:r>
        <w:rPr>
          <w:snapToGrid w:val="0"/>
        </w:rPr>
        <w:tab/>
        <w:t xml:space="preserve">A person </w:t>
      </w:r>
      <w:r>
        <w:t>must</w:t>
      </w:r>
      <w:r>
        <w:rPr>
          <w:snapToGrid w:val="0"/>
        </w:rPr>
        <w:t xml:space="preserve"> not wilfully obstruct any </w:t>
      </w:r>
      <w:r>
        <w:t>authorised person</w:t>
      </w:r>
      <w:r>
        <w:rPr>
          <w:snapToGrid w:val="0"/>
        </w:rPr>
        <w:t xml:space="preserve"> or an honorary inspector acting in the execution of this Act.</w:t>
      </w:r>
    </w:p>
    <w:p>
      <w:pPr>
        <w:pStyle w:val="Penstart"/>
        <w:spacing w:before="120"/>
        <w:rPr>
          <w:snapToGrid w:val="0"/>
        </w:rPr>
      </w:pPr>
      <w:r>
        <w:rPr>
          <w:snapToGrid w:val="0"/>
        </w:rPr>
        <w:tab/>
      </w:r>
      <w:r>
        <w:t>Penalty for this subsection: a fine of $5 000.</w:t>
      </w:r>
    </w:p>
    <w:p>
      <w:pPr>
        <w:pStyle w:val="Subsection"/>
        <w:rPr>
          <w:snapToGrid w:val="0"/>
        </w:rPr>
      </w:pPr>
      <w:r>
        <w:rPr>
          <w:snapToGrid w:val="0"/>
        </w:rPr>
        <w:tab/>
        <w:t>(7)</w:t>
      </w:r>
      <w:r>
        <w:rPr>
          <w:snapToGrid w:val="0"/>
        </w:rPr>
        <w:tab/>
        <w:t xml:space="preserve">Where an </w:t>
      </w:r>
      <w:r>
        <w:t>authorised person</w:t>
      </w:r>
      <w:r>
        <w:rPr>
          <w:snapToGrid w:val="0"/>
        </w:rPr>
        <w:t xml:space="preserve"> or an honorary inspector has reasonable grounds to believe that a person has contravened or that a vehicle contravenes, or was used or driven in contravention of, the provisions of this Act, </w:t>
      </w:r>
      <w:r>
        <w:t xml:space="preserve">the authorised person </w:t>
      </w:r>
      <w:r>
        <w:rPr>
          <w:snapToGrid w:val="0"/>
        </w:rPr>
        <w:t xml:space="preserve">or inspector may stop that person or vehicle and may request that person to furnish his name and address to </w:t>
      </w:r>
      <w:r>
        <w:t>the authorised person</w:t>
      </w:r>
      <w:r>
        <w:rPr>
          <w:snapToGrid w:val="0"/>
        </w:rPr>
        <w:t xml:space="preserve">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w:t>
      </w:r>
      <w:r>
        <w:t>the authorised person</w:t>
      </w:r>
      <w:r>
        <w:rPr>
          <w:snapToGrid w:val="0"/>
        </w:rPr>
        <w:t xml:space="preserve"> or inspector reasonably believes to be false, he </w:t>
      </w:r>
      <w:r>
        <w:t>must</w:t>
      </w:r>
      <w:r>
        <w:rPr>
          <w:snapToGrid w:val="0"/>
        </w:rPr>
        <w:t xml:space="preserve"> be treated as having wilfully obstructed </w:t>
      </w:r>
      <w:r>
        <w:t>the authorised person</w:t>
      </w:r>
      <w:r>
        <w:rPr>
          <w:snapToGrid w:val="0"/>
        </w:rPr>
        <w:t xml:space="preserve"> or inspector for the purposes of subsection (6).</w:t>
      </w:r>
    </w:p>
    <w:p>
      <w:pPr>
        <w:pStyle w:val="Subsection"/>
        <w:keepNext/>
        <w:rPr>
          <w:snapToGrid w:val="0"/>
        </w:rPr>
      </w:pPr>
      <w:r>
        <w:rPr>
          <w:snapToGrid w:val="0"/>
        </w:rPr>
        <w:tab/>
        <w:t>(8)</w:t>
      </w:r>
      <w:r>
        <w:rPr>
          <w:snapToGrid w:val="0"/>
        </w:rPr>
        <w:tab/>
        <w:t xml:space="preserve">An </w:t>
      </w:r>
      <w:r>
        <w:t>authorised person</w:t>
      </w:r>
      <w:r>
        <w:rPr>
          <w:snapToGrid w:val="0"/>
        </w:rPr>
        <w:t xml:space="preserve">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w:t>
      </w:r>
      <w:r>
        <w:rPr>
          <w:snapToGrid w:val="0"/>
        </w:rPr>
        <w:lastRenderedPageBreak/>
        <w:t>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pPr>
        <w:pStyle w:val="Indenta"/>
        <w:rPr>
          <w:snapToGrid w:val="0"/>
        </w:rPr>
      </w:pPr>
      <w:r>
        <w:rPr>
          <w:snapToGrid w:val="0"/>
        </w:rPr>
        <w:tab/>
        <w:t>(a)</w:t>
      </w:r>
      <w:r>
        <w:rPr>
          <w:snapToGrid w:val="0"/>
        </w:rPr>
        <w:tab/>
        <w:t>the defects specified in the notice have been remedied or the requirements specified in the notice have been met; and</w:t>
      </w:r>
    </w:p>
    <w:p>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pPr>
        <w:pStyle w:val="Subsection"/>
        <w:spacing w:before="120"/>
        <w:rPr>
          <w:snapToGrid w:val="0"/>
        </w:rPr>
      </w:pPr>
      <w:r>
        <w:rPr>
          <w:snapToGrid w:val="0"/>
        </w:rPr>
        <w:tab/>
        <w:t>(9)</w:t>
      </w:r>
      <w:r>
        <w:rPr>
          <w:snapToGrid w:val="0"/>
        </w:rPr>
        <w:tab/>
        <w:t xml:space="preserve">Where an authorised </w:t>
      </w:r>
      <w:r>
        <w:t>person under</w:t>
      </w:r>
      <w:r>
        <w:rPr>
          <w:snapToGrid w:val="0"/>
        </w:rPr>
        <w:t xml:space="preserve"> subsection (8) orders a driver to discontinue using a vehicle </w:t>
      </w:r>
      <w:r>
        <w:t>for which the driver is not a responsible person</w:t>
      </w:r>
      <w:r>
        <w:rPr>
          <w:snapToGrid w:val="0"/>
        </w:rPr>
        <w:t xml:space="preserve"> the driver </w:t>
      </w:r>
      <w:r>
        <w:t>must</w:t>
      </w:r>
      <w:r>
        <w:rPr>
          <w:snapToGrid w:val="0"/>
        </w:rPr>
        <w:t xml:space="preserve"> bring the notice to the</w:t>
      </w:r>
      <w:r>
        <w:t xml:space="preserve"> attention of a responsible person</w:t>
      </w:r>
      <w:r>
        <w:rPr>
          <w:snapToGrid w:val="0"/>
        </w:rPr>
        <w:t>.</w:t>
      </w:r>
    </w:p>
    <w:p>
      <w:pPr>
        <w:pStyle w:val="Subsection"/>
        <w:keepNext/>
        <w:spacing w:before="120"/>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pPr>
        <w:pStyle w:val="Penstart"/>
        <w:rPr>
          <w:snapToGrid w:val="0"/>
        </w:rPr>
      </w:pPr>
      <w:r>
        <w:rPr>
          <w:snapToGrid w:val="0"/>
        </w:rPr>
        <w:tab/>
      </w:r>
      <w:r>
        <w:t>Penalty for this subsection: a fine of $5 000.</w:t>
      </w:r>
    </w:p>
    <w:p>
      <w:pPr>
        <w:pStyle w:val="Subsection"/>
        <w:keepLines/>
        <w:spacing w:before="120"/>
        <w:rPr>
          <w:snapToGrid w:val="0"/>
        </w:rPr>
      </w:pPr>
      <w:r>
        <w:rPr>
          <w:snapToGrid w:val="0"/>
        </w:rPr>
        <w:tab/>
        <w:t>(11)</w:t>
      </w:r>
      <w:r>
        <w:rPr>
          <w:snapToGrid w:val="0"/>
        </w:rPr>
        <w:tab/>
        <w:t xml:space="preserve">An </w:t>
      </w:r>
      <w:r>
        <w:t>authorised person</w:t>
      </w:r>
      <w:r>
        <w:rPr>
          <w:snapToGrid w:val="0"/>
        </w:rPr>
        <w:t xml:space="preserve"> may without warrant stop, seize and detain any vehicle which he has reason to believe contravenes, or was used or driven in contravention of the provisions of this Act if —</w:t>
      </w:r>
    </w:p>
    <w:p>
      <w:pPr>
        <w:pStyle w:val="Indenta"/>
        <w:rPr>
          <w:snapToGrid w:val="0"/>
        </w:rPr>
      </w:pPr>
      <w:r>
        <w:rPr>
          <w:snapToGrid w:val="0"/>
        </w:rPr>
        <w:lastRenderedPageBreak/>
        <w:tab/>
        <w:t>(a)</w:t>
      </w:r>
      <w:r>
        <w:rPr>
          <w:snapToGrid w:val="0"/>
        </w:rPr>
        <w:tab/>
        <w:t xml:space="preserve">the vehicle appears to him to be neither licensed under the </w:t>
      </w:r>
      <w:r>
        <w:rPr>
          <w:i/>
          <w:iCs/>
        </w:rPr>
        <w:t>Road Traffic (Vehicles) Act 2012</w:t>
      </w:r>
      <w:r>
        <w:rPr>
          <w:iCs/>
        </w:rPr>
        <w:t>,</w:t>
      </w:r>
      <w:r>
        <w:rPr>
          <w:snapToGrid w:val="0"/>
        </w:rPr>
        <w:t xml:space="preserve"> nor registered under this Act; and</w:t>
      </w:r>
    </w:p>
    <w:p>
      <w:pPr>
        <w:pStyle w:val="Indenta"/>
        <w:keepNext/>
        <w:rPr>
          <w:snapToGrid w:val="0"/>
        </w:rPr>
      </w:pPr>
      <w:r>
        <w:rPr>
          <w:snapToGrid w:val="0"/>
        </w:rPr>
        <w:tab/>
        <w:t>(b)</w:t>
      </w:r>
      <w:r>
        <w:rPr>
          <w:snapToGrid w:val="0"/>
        </w:rPr>
        <w:tab/>
        <w:t xml:space="preserve">the identity of </w:t>
      </w:r>
      <w:r>
        <w:t xml:space="preserve">a responsible person for, or a driver of, </w:t>
      </w:r>
      <w:r>
        <w:rPr>
          <w:snapToGrid w:val="0"/>
        </w:rPr>
        <w:t xml:space="preserve">the vehicle can not be established to the satisfaction of that </w:t>
      </w:r>
      <w:r>
        <w:t>authorised person,</w:t>
      </w:r>
    </w:p>
    <w:p>
      <w:pPr>
        <w:pStyle w:val="Subsection"/>
        <w:spacing w:before="120"/>
        <w:rPr>
          <w:snapToGrid w:val="0"/>
        </w:rPr>
      </w:pPr>
      <w:r>
        <w:rPr>
          <w:snapToGrid w:val="0"/>
        </w:rPr>
        <w:tab/>
      </w:r>
      <w:r>
        <w:rPr>
          <w:snapToGrid w:val="0"/>
        </w:rPr>
        <w:tab/>
        <w:t>and may cause the vehicle to be conveyed to a place of safe custody until such time as it may be dealt with according to law.</w:t>
      </w:r>
    </w:p>
    <w:p>
      <w:pPr>
        <w:pStyle w:val="Subsection"/>
        <w:keepNext/>
        <w:rPr>
          <w:snapToGrid w:val="0"/>
        </w:rPr>
      </w:pPr>
      <w:r>
        <w:rPr>
          <w:snapToGrid w:val="0"/>
        </w:rPr>
        <w:tab/>
        <w:t>(12)</w:t>
      </w:r>
      <w:r>
        <w:rPr>
          <w:snapToGrid w:val="0"/>
        </w:rPr>
        <w:tab/>
        <w:t>Any member of the Police Force may without warrant stop, seize and detain —</w:t>
      </w:r>
    </w:p>
    <w:p>
      <w:pPr>
        <w:pStyle w:val="Indenta"/>
        <w:rPr>
          <w:snapToGrid w:val="0"/>
        </w:rPr>
      </w:pPr>
      <w:r>
        <w:rPr>
          <w:snapToGrid w:val="0"/>
        </w:rPr>
        <w:tab/>
        <w:t>(a)</w:t>
      </w:r>
      <w:r>
        <w:rPr>
          <w:snapToGrid w:val="0"/>
        </w:rPr>
        <w:tab/>
        <w:t>any off</w:t>
      </w:r>
      <w:r>
        <w:rPr>
          <w:snapToGrid w:val="0"/>
        </w:rPr>
        <w:noBreakHyphen/>
        <w:t>road vehicle; or</w:t>
      </w:r>
    </w:p>
    <w:p>
      <w:pPr>
        <w:pStyle w:val="Indenta"/>
        <w:keepNext/>
        <w:rPr>
          <w:snapToGrid w:val="0"/>
        </w:rPr>
      </w:pPr>
      <w:r>
        <w:rPr>
          <w:snapToGrid w:val="0"/>
        </w:rPr>
        <w:tab/>
        <w:t>(b)</w:t>
      </w:r>
      <w:r>
        <w:rPr>
          <w:snapToGrid w:val="0"/>
        </w:rPr>
        <w:tab/>
        <w:t xml:space="preserve">any vehicle licensed under the </w:t>
      </w:r>
      <w:r>
        <w:rPr>
          <w:i/>
          <w:iCs/>
        </w:rPr>
        <w:t xml:space="preserve">Road Traffic (Vehicles) Act 2012, </w:t>
      </w:r>
      <w:r>
        <w:rPr>
          <w:snapToGrid w:val="0"/>
        </w:rPr>
        <w:t>when in use otherwise than on a road or private land by consent,</w:t>
      </w:r>
    </w:p>
    <w:p>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pPr>
        <w:pStyle w:val="Subsection"/>
        <w:rPr>
          <w:snapToGrid w:val="0"/>
        </w:rPr>
      </w:pPr>
      <w:r>
        <w:rPr>
          <w:snapToGrid w:val="0"/>
        </w:rPr>
        <w:tab/>
        <w:t>(13)</w:t>
      </w:r>
      <w:r>
        <w:rPr>
          <w:snapToGrid w:val="0"/>
        </w:rPr>
        <w:tab/>
        <w:t xml:space="preserve">No </w:t>
      </w:r>
      <w:r>
        <w:t>authorised person</w:t>
      </w:r>
      <w:r>
        <w:rPr>
          <w:snapToGrid w:val="0"/>
        </w:rPr>
        <w:t xml:space="preserve"> or other person acting in the performance of his duties </w:t>
      </w:r>
      <w:r>
        <w:t>is</w:t>
      </w:r>
      <w:r>
        <w:rPr>
          <w:snapToGrid w:val="0"/>
        </w:rPr>
        <w:t xml:space="preserve"> liable for anything done or seizure made under this Act for which there </w:t>
      </w:r>
      <w:r>
        <w:t>is</w:t>
      </w:r>
      <w:r>
        <w:rPr>
          <w:snapToGrid w:val="0"/>
        </w:rPr>
        <w:t xml:space="preserve"> reasonable cause, nor in respect of any loss or damage, however arising, during any period in which a vehicle is detained under this Act.</w:t>
      </w:r>
    </w:p>
    <w:p>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pPr>
        <w:pStyle w:val="Subsection"/>
        <w:keepNext/>
      </w:pPr>
      <w:r>
        <w:lastRenderedPageBreak/>
        <w:tab/>
        <w:t>(15)</w:t>
      </w:r>
      <w:r>
        <w:tab/>
        <w:t>If a vehicle is seized under subsection (11), it may be detained until the authorised person is satisfied —</w:t>
      </w:r>
    </w:p>
    <w:p>
      <w:pPr>
        <w:pStyle w:val="Indenta"/>
      </w:pPr>
      <w:r>
        <w:tab/>
        <w:t>(a)</w:t>
      </w:r>
      <w:r>
        <w:tab/>
        <w:t xml:space="preserve">that it is licensed under the </w:t>
      </w:r>
      <w:r>
        <w:rPr>
          <w:i/>
          <w:iCs/>
        </w:rPr>
        <w:t xml:space="preserve">Road Traffic (Vehicles) Act 2012 </w:t>
      </w:r>
      <w:r>
        <w:t>or registered under this Act; or</w:t>
      </w:r>
    </w:p>
    <w:p>
      <w:pPr>
        <w:pStyle w:val="Indenta"/>
        <w:keepNext/>
      </w:pPr>
      <w:r>
        <w:tab/>
        <w:t>(b)</w:t>
      </w:r>
      <w:r>
        <w:tab/>
        <w:t>as to the identity of the owner or driver,</w:t>
      </w:r>
    </w:p>
    <w:p>
      <w:pPr>
        <w:pStyle w:val="Subsection"/>
      </w:pPr>
      <w:r>
        <w:tab/>
      </w:r>
      <w:r>
        <w:tab/>
        <w:t>or until an order is made under section 42, whichever happens first.</w:t>
      </w:r>
    </w:p>
    <w:p>
      <w:pPr>
        <w:pStyle w:val="Subsection"/>
      </w:pPr>
      <w:r>
        <w:tab/>
        <w:t>(16)</w:t>
      </w:r>
      <w:r>
        <w:tab/>
        <w:t>A person claiming to be a responsible person for a vehicle seized under subsection (11) or (12) may apply to the Magistrates Court for an order that the vehicle be delivered to him.</w:t>
      </w:r>
    </w:p>
    <w:p>
      <w:pPr>
        <w:pStyle w:val="Subsection"/>
        <w:keepNext/>
      </w:pPr>
      <w:r>
        <w:tab/>
        <w:t>(17)</w:t>
      </w:r>
      <w:r>
        <w:tab/>
        <w:t>A vehicle detained —</w:t>
      </w:r>
    </w:p>
    <w:p>
      <w:pPr>
        <w:pStyle w:val="Indenta"/>
      </w:pPr>
      <w:r>
        <w:tab/>
        <w:t>(a)</w:t>
      </w:r>
      <w:r>
        <w:tab/>
        <w:t>under subsection (11) or (12) by a member of the Police Force; or</w:t>
      </w:r>
    </w:p>
    <w:p>
      <w:pPr>
        <w:pStyle w:val="Indenta"/>
        <w:keepNext/>
      </w:pPr>
      <w:r>
        <w:tab/>
        <w:t>(b)</w:t>
      </w:r>
      <w:r>
        <w:tab/>
        <w:t>under subsection (11) by an authorised person appointed under subsection (2),</w:t>
      </w:r>
    </w:p>
    <w:p>
      <w:pPr>
        <w:pStyle w:val="Subsection"/>
      </w:pPr>
      <w:r>
        <w:tab/>
      </w:r>
      <w:r>
        <w:tab/>
        <w:t>is to be taken to be detained in the name of the Director General.</w:t>
      </w:r>
    </w:p>
    <w:p>
      <w:pPr>
        <w:pStyle w:val="Subsection"/>
        <w:keepNext/>
      </w:pPr>
      <w:r>
        <w:tab/>
        <w:t>(18)</w:t>
      </w:r>
      <w:r>
        <w:tab/>
        <w:t>A vehicle detained under subsection (11) by an authorised person appointed under subsection (3) is taken to be detained by the local government concerned.</w:t>
      </w:r>
    </w:p>
    <w:p>
      <w:pPr>
        <w:pStyle w:val="Footnotesection"/>
        <w:keepLines w:val="0"/>
      </w:pPr>
      <w:r>
        <w:tab/>
        <w:t>[Section 38 amended: No. 106 of 1981 s. 34; No. 24 of 1995 s. 53; No. 53 of 1994 s. 264; No. 14 of 1996 s. 4; No. 76 of 1996 s. 26 and 27; No. 39 of 2000 s. 58 and 59; No. 59 of 2004 s. 141; No. 28 of 2006 s. 359; No. 8 of 2012 s. 68; No. 16 of 2019 s. 102 and 104; No. 27 of 2021 s. 345(2); No. 23 of 2023 s. 26; No. 8 of 2025 s. 14 and 15.]</w:t>
      </w:r>
    </w:p>
    <w:p>
      <w:pPr>
        <w:pStyle w:val="Heading5"/>
        <w:rPr>
          <w:snapToGrid w:val="0"/>
        </w:rPr>
      </w:pPr>
      <w:bookmarkStart w:id="47" w:name="_Toc206690113"/>
      <w:r>
        <w:rPr>
          <w:rStyle w:val="CharSectno"/>
        </w:rPr>
        <w:lastRenderedPageBreak/>
        <w:t>39</w:t>
      </w:r>
      <w:r>
        <w:rPr>
          <w:snapToGrid w:val="0"/>
        </w:rPr>
        <w:t>.</w:t>
      </w:r>
      <w:r>
        <w:rPr>
          <w:snapToGrid w:val="0"/>
        </w:rPr>
        <w:tab/>
        <w:t>Evidentiary provisions for prosecutions</w:t>
      </w:r>
      <w:bookmarkEnd w:id="47"/>
    </w:p>
    <w:p>
      <w:pPr>
        <w:pStyle w:val="Subsection"/>
        <w:keepNext/>
        <w:rPr>
          <w:snapToGrid w:val="0"/>
        </w:rPr>
      </w:pPr>
      <w:r>
        <w:rPr>
          <w:snapToGrid w:val="0"/>
        </w:rPr>
        <w:tab/>
        <w:t>(1)</w:t>
      </w:r>
      <w:r>
        <w:rPr>
          <w:snapToGrid w:val="0"/>
        </w:rPr>
        <w:tab/>
        <w:t>In any proceedings for an offence against this Act —</w:t>
      </w:r>
    </w:p>
    <w:p>
      <w:pPr>
        <w:pStyle w:val="Indenta"/>
        <w:keepNext/>
        <w:rPr>
          <w:snapToGrid w:val="0"/>
        </w:rPr>
      </w:pPr>
      <w:r>
        <w:rPr>
          <w:snapToGrid w:val="0"/>
        </w:rPr>
        <w:tab/>
        <w:t>(a)</w:t>
      </w:r>
      <w:r>
        <w:rPr>
          <w:snapToGrid w:val="0"/>
        </w:rPr>
        <w:tab/>
        <w:t>an averment in the prosecution notice that —</w:t>
      </w:r>
    </w:p>
    <w:p>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 or</w:t>
      </w:r>
    </w:p>
    <w:p>
      <w:pPr>
        <w:pStyle w:val="Indenti"/>
        <w:rPr>
          <w:snapToGrid w:val="0"/>
        </w:rPr>
      </w:pPr>
      <w:r>
        <w:rPr>
          <w:snapToGrid w:val="0"/>
        </w:rPr>
        <w:tab/>
        <w:t>(ii)</w:t>
      </w:r>
      <w:r>
        <w:rPr>
          <w:snapToGrid w:val="0"/>
        </w:rPr>
        <w:tab/>
        <w:t xml:space="preserve">a vehicle was not licensed under the </w:t>
      </w:r>
      <w:r>
        <w:rPr>
          <w:i/>
          <w:iCs/>
        </w:rPr>
        <w:t>Road Traffic (Vehicles) Act 2012</w:t>
      </w:r>
      <w:r>
        <w:t>; or</w:t>
      </w:r>
    </w:p>
    <w:p>
      <w:pPr>
        <w:pStyle w:val="Indenti"/>
        <w:keepNext/>
        <w:rPr>
          <w:snapToGrid w:val="0"/>
        </w:rPr>
      </w:pPr>
      <w:r>
        <w:rPr>
          <w:snapToGrid w:val="0"/>
        </w:rPr>
        <w:tab/>
        <w:t>(iii)</w:t>
      </w:r>
      <w:r>
        <w:rPr>
          <w:snapToGrid w:val="0"/>
        </w:rPr>
        <w:tab/>
        <w:t>a vehicle was not registered under this Act,</w:t>
      </w:r>
    </w:p>
    <w:p>
      <w:pPr>
        <w:pStyle w:val="Indenta"/>
        <w:rPr>
          <w:snapToGrid w:val="0"/>
        </w:rPr>
      </w:pPr>
      <w:r>
        <w:rPr>
          <w:snapToGrid w:val="0"/>
        </w:rPr>
        <w:tab/>
      </w:r>
      <w:r>
        <w:rPr>
          <w:snapToGrid w:val="0"/>
        </w:rPr>
        <w:tab/>
        <w:t>shall be deemed to be proved in the absence of proof to the contrary; and</w:t>
      </w:r>
    </w:p>
    <w:p>
      <w:pPr>
        <w:pStyle w:val="Indenta"/>
        <w:keepNext/>
        <w:rPr>
          <w:snapToGrid w:val="0"/>
        </w:rPr>
      </w:pPr>
      <w:r>
        <w:rPr>
          <w:snapToGrid w:val="0"/>
        </w:rPr>
        <w:tab/>
        <w:t>(b)</w:t>
      </w:r>
      <w:r>
        <w:rPr>
          <w:snapToGrid w:val="0"/>
        </w:rPr>
        <w:tab/>
        <w:t>the onus of proving that —</w:t>
      </w:r>
    </w:p>
    <w:p>
      <w:pPr>
        <w:pStyle w:val="Indenti"/>
        <w:rPr>
          <w:snapToGrid w:val="0"/>
        </w:rPr>
      </w:pPr>
      <w:r>
        <w:rPr>
          <w:snapToGrid w:val="0"/>
        </w:rPr>
        <w:tab/>
        <w:t>(i)</w:t>
      </w:r>
      <w:r>
        <w:rPr>
          <w:snapToGrid w:val="0"/>
        </w:rPr>
        <w:tab/>
        <w:t>any place at which a vehicle was driven or used is situate on private land, or is within a permitted area; or</w:t>
      </w:r>
    </w:p>
    <w:p>
      <w:pPr>
        <w:pStyle w:val="Indenti"/>
        <w:keepNext/>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pPr>
        <w:pStyle w:val="Indenta"/>
        <w:rPr>
          <w:snapToGrid w:val="0"/>
        </w:rPr>
      </w:pPr>
      <w:r>
        <w:rPr>
          <w:snapToGrid w:val="0"/>
        </w:rPr>
        <w:tab/>
      </w:r>
      <w:r>
        <w:rPr>
          <w:snapToGrid w:val="0"/>
        </w:rPr>
        <w:tab/>
        <w:t>is on the person alleging that to be the case; and</w:t>
      </w:r>
    </w:p>
    <w:p>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pPr>
        <w:pStyle w:val="Indenta"/>
        <w:rPr>
          <w:snapToGrid w:val="0"/>
        </w:rPr>
      </w:pPr>
      <w:r>
        <w:rPr>
          <w:snapToGrid w:val="0"/>
        </w:rPr>
        <w:tab/>
        <w:t>(a)</w:t>
      </w:r>
      <w:r>
        <w:rPr>
          <w:snapToGrid w:val="0"/>
        </w:rPr>
        <w:tab/>
        <w:t>it is shown that the land in question was —</w:t>
      </w:r>
    </w:p>
    <w:p>
      <w:pPr>
        <w:pStyle w:val="Indenti"/>
        <w:rPr>
          <w:snapToGrid w:val="0"/>
        </w:rPr>
      </w:pPr>
      <w:r>
        <w:rPr>
          <w:snapToGrid w:val="0"/>
        </w:rPr>
        <w:lastRenderedPageBreak/>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 or</w:t>
      </w:r>
    </w:p>
    <w:p>
      <w:pPr>
        <w:pStyle w:val="Indenti"/>
        <w:rPr>
          <w:snapToGrid w:val="0"/>
        </w:rPr>
      </w:pPr>
      <w:r>
        <w:rPr>
          <w:snapToGrid w:val="0"/>
        </w:rPr>
        <w:tab/>
        <w:t>(ii)</w:t>
      </w:r>
      <w:r>
        <w:rPr>
          <w:snapToGrid w:val="0"/>
        </w:rPr>
        <w:tab/>
        <w:t>land the subject of any conditional purchase agreement or of any lease from the Crown; or</w:t>
      </w:r>
    </w:p>
    <w:p>
      <w:pPr>
        <w:pStyle w:val="Indenti"/>
        <w:rPr>
          <w:snapToGrid w:val="0"/>
        </w:rPr>
      </w:pPr>
      <w:r>
        <w:rPr>
          <w:snapToGrid w:val="0"/>
        </w:rPr>
        <w:tab/>
        <w:t>(iii)</w:t>
      </w:r>
      <w:r>
        <w:rPr>
          <w:snapToGrid w:val="0"/>
        </w:rPr>
        <w:tab/>
        <w:t>land comprised in a reserve under any Act and leased for any purpose; or</w:t>
      </w:r>
    </w:p>
    <w:p>
      <w:pPr>
        <w:pStyle w:val="Indenti"/>
        <w:keepNext/>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pPr>
        <w:pStyle w:val="Indenta"/>
        <w:keepNext/>
        <w:keepLines/>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pPr>
        <w:pStyle w:val="Footnotesection"/>
        <w:keepLines w:val="0"/>
      </w:pPr>
      <w:r>
        <w:tab/>
        <w:t>[Section 39 amended: No. 14 of 1996 s. 4; No. 31 of 1997 s. 17; No. 84 of 2004 s. 80; No. 8 of 2012 s. 69.]</w:t>
      </w:r>
    </w:p>
    <w:p>
      <w:pPr>
        <w:pStyle w:val="Heading5"/>
        <w:spacing w:before="240"/>
        <w:rPr>
          <w:snapToGrid w:val="0"/>
        </w:rPr>
      </w:pPr>
      <w:bookmarkStart w:id="48" w:name="_Toc206690114"/>
      <w:r>
        <w:rPr>
          <w:rStyle w:val="CharSectno"/>
        </w:rPr>
        <w:t>40</w:t>
      </w:r>
      <w:r>
        <w:rPr>
          <w:snapToGrid w:val="0"/>
        </w:rPr>
        <w:t>.</w:t>
      </w:r>
      <w:r>
        <w:rPr>
          <w:snapToGrid w:val="0"/>
        </w:rPr>
        <w:tab/>
        <w:t>Prosecutions, who may commence</w:t>
      </w:r>
      <w:bookmarkEnd w:id="48"/>
    </w:p>
    <w:p>
      <w:pPr>
        <w:pStyle w:val="Subsection"/>
        <w:keepNext/>
        <w:rPr>
          <w:snapToGrid w:val="0"/>
        </w:rPr>
      </w:pPr>
      <w:r>
        <w:rPr>
          <w:snapToGrid w:val="0"/>
        </w:rPr>
        <w:tab/>
      </w:r>
      <w:r>
        <w:rPr>
          <w:snapToGrid w:val="0"/>
        </w:rPr>
        <w:tab/>
        <w:t xml:space="preserve">All proceedings for offences under this Act may be instituted by any person aggrieved, or by any employee of a local government or other </w:t>
      </w:r>
      <w:r>
        <w:t>authorised person</w:t>
      </w:r>
      <w:r>
        <w:rPr>
          <w:snapToGrid w:val="0"/>
        </w:rPr>
        <w:t>.</w:t>
      </w:r>
    </w:p>
    <w:p>
      <w:pPr>
        <w:pStyle w:val="Footnotesection"/>
      </w:pPr>
      <w:r>
        <w:tab/>
        <w:t>[Section 40 amended: No. 14 of 1996 s. 4; No. 59 of 2004 s. 141; No. 16 of 2019 s. 104.]</w:t>
      </w:r>
    </w:p>
    <w:p>
      <w:pPr>
        <w:pStyle w:val="Ednotesection"/>
        <w:rPr>
          <w:b/>
        </w:rPr>
      </w:pPr>
      <w:r>
        <w:t>[</w:t>
      </w:r>
      <w:r>
        <w:rPr>
          <w:b/>
        </w:rPr>
        <w:t>41.</w:t>
      </w:r>
      <w:r>
        <w:tab/>
        <w:t>Deleted: No. 8 of 2025 s. 10.]</w:t>
      </w:r>
    </w:p>
    <w:p>
      <w:pPr>
        <w:pStyle w:val="Heading5"/>
        <w:spacing w:before="240"/>
        <w:rPr>
          <w:snapToGrid w:val="0"/>
        </w:rPr>
      </w:pPr>
      <w:bookmarkStart w:id="49" w:name="_Toc206690115"/>
      <w:r>
        <w:rPr>
          <w:rStyle w:val="CharSectno"/>
        </w:rPr>
        <w:lastRenderedPageBreak/>
        <w:t>42</w:t>
      </w:r>
      <w:r>
        <w:rPr>
          <w:snapToGrid w:val="0"/>
        </w:rPr>
        <w:t>.</w:t>
      </w:r>
      <w:r>
        <w:rPr>
          <w:snapToGrid w:val="0"/>
        </w:rPr>
        <w:tab/>
        <w:t>Detention of vehicles, court may order</w:t>
      </w:r>
      <w:bookmarkEnd w:id="49"/>
    </w:p>
    <w:p>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pPr>
        <w:pStyle w:val="Indenta"/>
        <w:rPr>
          <w:snapToGrid w:val="0"/>
        </w:rPr>
      </w:pPr>
      <w:r>
        <w:rPr>
          <w:snapToGrid w:val="0"/>
        </w:rPr>
        <w:tab/>
        <w:t>(a)</w:t>
      </w:r>
      <w:r>
        <w:rPr>
          <w:snapToGrid w:val="0"/>
        </w:rPr>
        <w:tab/>
        <w:t>for a period not exceeding 12 months; or</w:t>
      </w:r>
    </w:p>
    <w:p>
      <w:pPr>
        <w:pStyle w:val="Indenta"/>
        <w:keepNext/>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pPr>
        <w:pStyle w:val="Subsection"/>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pPr>
        <w:pStyle w:val="Subsection"/>
        <w:keepNext/>
        <w:keepLines/>
        <w:rPr>
          <w:snapToGrid w:val="0"/>
        </w:rPr>
      </w:pPr>
      <w:r>
        <w:rPr>
          <w:snapToGrid w:val="0"/>
        </w:rPr>
        <w:tab/>
        <w:t>(2)</w:t>
      </w:r>
      <w:r>
        <w:rPr>
          <w:snapToGrid w:val="0"/>
        </w:rPr>
        <w:tab/>
        <w:t>Where any vehicle is detained by or on behalf of the Director General or a local government pursuant to this Act and —</w:t>
      </w:r>
    </w:p>
    <w:p>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pPr>
        <w:pStyle w:val="Indenta"/>
        <w:rPr>
          <w:snapToGrid w:val="0"/>
        </w:rPr>
      </w:pPr>
      <w:r>
        <w:rPr>
          <w:snapToGrid w:val="0"/>
        </w:rPr>
        <w:tab/>
        <w:t>(c)</w:t>
      </w:r>
      <w:r>
        <w:rPr>
          <w:snapToGrid w:val="0"/>
        </w:rPr>
        <w:tab/>
        <w:t>the vehicle is not recovered from the custody of the Director General or that local government within a prescribed period,</w:t>
      </w:r>
    </w:p>
    <w:p>
      <w:pPr>
        <w:pStyle w:val="Subsection"/>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pPr>
        <w:pStyle w:val="Footnotesection"/>
      </w:pPr>
      <w:r>
        <w:lastRenderedPageBreak/>
        <w:tab/>
        <w:t>[Section 42 amended: No. 106 of 1981 s. 34; No. 14 of 1996 s. 4; No. 76 of 1996 s. 27; No. 39 of 2000 s. 59; No. 59 of 2004 s. 141.]</w:t>
      </w:r>
    </w:p>
    <w:p>
      <w:pPr>
        <w:pStyle w:val="Heading5"/>
        <w:rPr>
          <w:snapToGrid w:val="0"/>
        </w:rPr>
      </w:pPr>
      <w:bookmarkStart w:id="50" w:name="_Toc206690116"/>
      <w:r>
        <w:rPr>
          <w:rStyle w:val="CharSectno"/>
        </w:rPr>
        <w:t>43</w:t>
      </w:r>
      <w:r>
        <w:rPr>
          <w:snapToGrid w:val="0"/>
        </w:rPr>
        <w:t>.</w:t>
      </w:r>
      <w:r>
        <w:rPr>
          <w:snapToGrid w:val="0"/>
        </w:rPr>
        <w:tab/>
        <w:t>Expenses of this Act, appropriation of penalties etc.</w:t>
      </w:r>
      <w:bookmarkEnd w:id="50"/>
    </w:p>
    <w:p>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pPr>
        <w:pStyle w:val="Subsection"/>
        <w:keepNext/>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purpose account under the </w:t>
      </w:r>
      <w:r>
        <w:rPr>
          <w:i/>
          <w:iCs/>
        </w:rPr>
        <w:t>Financial Management Act 2006</w:t>
      </w:r>
      <w:r>
        <w:t xml:space="preserve"> section 16 </w:t>
      </w:r>
      <w:r>
        <w:rPr>
          <w:snapToGrid w:val="0"/>
        </w:rPr>
        <w:t>and called the “Off</w:t>
      </w:r>
      <w:r>
        <w:rPr>
          <w:snapToGrid w:val="0"/>
        </w:rPr>
        <w:noBreakHyphen/>
        <w:t>Road Vehicles Account” which shall be dealt with in such manner as the Minister, with approval of the Treasurer, may direct.</w:t>
      </w:r>
    </w:p>
    <w:p>
      <w:pPr>
        <w:pStyle w:val="Footnotesection"/>
      </w:pPr>
      <w:r>
        <w:tab/>
        <w:t>[Section 43 amended: No. 106 of 1981 s. 34; No. 78 of 1995 s. 17; No. 49 of 1996 s. 64; No. 76 of 1996 s. 27; No. 7 of 2002 s. 11(1); No. 77 of 2006 Sch. 1 cl. 34.]</w:t>
      </w:r>
    </w:p>
    <w:p>
      <w:pPr>
        <w:pStyle w:val="Heading5"/>
        <w:rPr>
          <w:snapToGrid w:val="0"/>
        </w:rPr>
      </w:pPr>
      <w:bookmarkStart w:id="51" w:name="_Toc206690117"/>
      <w:r>
        <w:rPr>
          <w:rStyle w:val="CharSectno"/>
        </w:rPr>
        <w:t>44</w:t>
      </w:r>
      <w:r>
        <w:rPr>
          <w:snapToGrid w:val="0"/>
        </w:rPr>
        <w:t>.</w:t>
      </w:r>
      <w:r>
        <w:rPr>
          <w:snapToGrid w:val="0"/>
        </w:rPr>
        <w:tab/>
        <w:t>Regulations that operate as local laws, Governor may make</w:t>
      </w:r>
      <w:bookmarkEnd w:id="51"/>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lastRenderedPageBreak/>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pPr>
        <w:pStyle w:val="Footnotesection"/>
      </w:pPr>
      <w:r>
        <w:tab/>
        <w:t>[Section 44 inserted: No. 14 of 1996 s. 4.]</w:t>
      </w:r>
    </w:p>
    <w:p>
      <w:pPr>
        <w:pStyle w:val="Heading5"/>
        <w:rPr>
          <w:snapToGrid w:val="0"/>
        </w:rPr>
      </w:pPr>
      <w:bookmarkStart w:id="52" w:name="_Toc206690118"/>
      <w:r>
        <w:rPr>
          <w:rStyle w:val="CharSectno"/>
        </w:rPr>
        <w:t>45</w:t>
      </w:r>
      <w:r>
        <w:rPr>
          <w:snapToGrid w:val="0"/>
        </w:rPr>
        <w:t>.</w:t>
      </w:r>
      <w:r>
        <w:rPr>
          <w:snapToGrid w:val="0"/>
        </w:rPr>
        <w:tab/>
        <w:t>Local laws, local government may make</w:t>
      </w:r>
      <w:bookmarkEnd w:id="52"/>
    </w:p>
    <w:p>
      <w:pPr>
        <w:pStyle w:val="Subsection"/>
        <w:keepNext/>
        <w:keepLines/>
        <w:rPr>
          <w:snapToGrid w:val="0"/>
        </w:rPr>
      </w:pPr>
      <w:r>
        <w:rPr>
          <w:snapToGrid w:val="0"/>
        </w:rPr>
        <w:tab/>
      </w:r>
      <w:r>
        <w:rPr>
          <w:snapToGrid w:val="0"/>
        </w:rPr>
        <w:tab/>
        <w:t>A local government may make local laws —</w:t>
      </w:r>
    </w:p>
    <w:p>
      <w:pPr>
        <w:pStyle w:val="Indenta"/>
        <w:rPr>
          <w:snapToGrid w:val="0"/>
        </w:rPr>
      </w:pPr>
      <w:r>
        <w:rPr>
          <w:snapToGrid w:val="0"/>
        </w:rPr>
        <w:tab/>
        <w:t>(a)</w:t>
      </w:r>
      <w:r>
        <w:rPr>
          <w:snapToGrid w:val="0"/>
        </w:rPr>
        <w:tab/>
        <w:t>for its district and any other area that is to be regarded, for the purposes of this Act, as being within that district; and</w:t>
      </w:r>
    </w:p>
    <w:p>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pPr>
        <w:pStyle w:val="Indenta"/>
        <w:rPr>
          <w:snapToGrid w:val="0"/>
        </w:rPr>
      </w:pPr>
      <w:r>
        <w:rPr>
          <w:snapToGrid w:val="0"/>
        </w:rPr>
        <w:tab/>
        <w:t>(c)</w:t>
      </w:r>
      <w:r>
        <w:rPr>
          <w:snapToGrid w:val="0"/>
        </w:rPr>
        <w:tab/>
        <w:t>for the purposes permitted by this Act.</w:t>
      </w:r>
    </w:p>
    <w:p>
      <w:pPr>
        <w:pStyle w:val="Footnotesection"/>
        <w:keepLines w:val="0"/>
      </w:pPr>
      <w:r>
        <w:tab/>
        <w:t>[Section 45 inserted: No. 14 of 1996 s. 4.]</w:t>
      </w:r>
    </w:p>
    <w:p>
      <w:pPr>
        <w:pStyle w:val="Heading5"/>
        <w:rPr>
          <w:snapToGrid w:val="0"/>
        </w:rPr>
      </w:pPr>
      <w:bookmarkStart w:id="53" w:name="_Toc206690119"/>
      <w:r>
        <w:rPr>
          <w:rStyle w:val="CharSectno"/>
        </w:rPr>
        <w:t>45A</w:t>
      </w:r>
      <w:r>
        <w:rPr>
          <w:snapToGrid w:val="0"/>
        </w:rPr>
        <w:t>.</w:t>
      </w:r>
      <w:r>
        <w:rPr>
          <w:snapToGrid w:val="0"/>
        </w:rPr>
        <w:tab/>
        <w:t>Model local laws, Governor may make</w:t>
      </w:r>
      <w:bookmarkEnd w:id="53"/>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lastRenderedPageBreak/>
        <w:tab/>
        <w:t>[Section 45A inserted: No. 14 of 1996 s. 4.]</w:t>
      </w:r>
    </w:p>
    <w:p>
      <w:pPr>
        <w:pStyle w:val="Heading5"/>
        <w:rPr>
          <w:snapToGrid w:val="0"/>
        </w:rPr>
      </w:pPr>
      <w:bookmarkStart w:id="54" w:name="_Toc206690120"/>
      <w:r>
        <w:rPr>
          <w:rStyle w:val="CharSectno"/>
        </w:rPr>
        <w:t>45B</w:t>
      </w:r>
      <w:r>
        <w:rPr>
          <w:snapToGrid w:val="0"/>
        </w:rPr>
        <w:t>.</w:t>
      </w:r>
      <w:r>
        <w:rPr>
          <w:snapToGrid w:val="0"/>
        </w:rPr>
        <w:tab/>
        <w:t>Local laws, Governor may amend or repeal</w:t>
      </w:r>
      <w:bookmarkEnd w:id="54"/>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[Section 45B inserted: No. 14 of 1996 s. 4.]</w:t>
      </w:r>
    </w:p>
    <w:p>
      <w:pPr>
        <w:pStyle w:val="Heading5"/>
        <w:rPr>
          <w:snapToGrid w:val="0"/>
        </w:rPr>
      </w:pPr>
      <w:bookmarkStart w:id="55" w:name="_Toc206690121"/>
      <w:r>
        <w:rPr>
          <w:rStyle w:val="CharSectno"/>
        </w:rPr>
        <w:t>46</w:t>
      </w:r>
      <w:r>
        <w:rPr>
          <w:snapToGrid w:val="0"/>
        </w:rPr>
        <w:t>.</w:t>
      </w:r>
      <w:r>
        <w:rPr>
          <w:snapToGrid w:val="0"/>
        </w:rPr>
        <w:tab/>
        <w:t>Regulations and local laws, general</w:t>
      </w:r>
      <w:bookmarkEnd w:id="55"/>
    </w:p>
    <w:p>
      <w:pPr>
        <w:pStyle w:val="Subsection"/>
        <w:rPr>
          <w:snapToGrid w:val="0"/>
        </w:rPr>
      </w:pPr>
      <w:r>
        <w:rPr>
          <w:snapToGrid w:val="0"/>
        </w:rPr>
        <w:tab/>
        <w:t>(1)</w:t>
      </w:r>
      <w:r>
        <w:rPr>
          <w:snapToGrid w:val="0"/>
        </w:rPr>
        <w:tab/>
        <w:t>Any regulation made under section 44 or local law made under this Act may be so made —</w:t>
      </w:r>
    </w:p>
    <w:p>
      <w:pPr>
        <w:pStyle w:val="Indenta"/>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 and</w:t>
      </w:r>
    </w:p>
    <w:p>
      <w:pPr>
        <w:pStyle w:val="Indenta"/>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lastRenderedPageBreak/>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pPr>
        <w:pStyle w:val="Subsection"/>
        <w:rPr>
          <w:snapToGrid w:val="0"/>
        </w:rPr>
      </w:pPr>
      <w:r>
        <w:rPr>
          <w:snapToGrid w:val="0"/>
        </w:rPr>
        <w:tab/>
        <w:t>(2)</w:t>
      </w:r>
      <w:r>
        <w:rPr>
          <w:snapToGrid w:val="0"/>
        </w:rPr>
        <w:tab/>
        <w:t>Any regulation made under section 44 or local law may make provision for the imposition of penalties not exceeding $</w:t>
      </w:r>
      <w:r>
        <w:t>500</w:t>
      </w:r>
      <w:r>
        <w:rPr>
          <w:snapToGrid w:val="0"/>
        </w:rPr>
        <w:t xml:space="preserve"> in respect of any contravention.</w:t>
      </w:r>
    </w:p>
    <w:p>
      <w:pPr>
        <w:pStyle w:val="Subsection"/>
        <w:spacing w:before="120"/>
        <w:rPr>
          <w:snapToGrid w:val="0"/>
        </w:rPr>
      </w:pPr>
      <w:r>
        <w:rPr>
          <w:snapToGrid w:val="0"/>
        </w:rPr>
        <w:tab/>
        <w:t>(3)</w:t>
      </w:r>
      <w:r>
        <w:rPr>
          <w:snapToGrid w:val="0"/>
        </w:rPr>
        <w:tab/>
        <w:t xml:space="preserve">Where in relation to a regulation made under section 44 or local law made under this Act the expression </w:t>
      </w:r>
      <w:r>
        <w:rPr>
          <w:b/>
          <w:i/>
          <w:snapToGrid w:val="0"/>
        </w:rPr>
        <w:t>specified</w:t>
      </w:r>
      <w:r>
        <w:rPr>
          <w:snapToGrid w:val="0"/>
        </w:rPr>
        <w:t xml:space="preserve"> is used, the expression, unless the context requires otherwise, means specified in that regulation or local law.</w:t>
      </w:r>
    </w:p>
    <w:p>
      <w:pPr>
        <w:pStyle w:val="Footnotesection"/>
        <w:keepLines w:val="0"/>
        <w:spacing w:before="80"/>
        <w:ind w:left="890" w:hanging="890"/>
      </w:pPr>
      <w:r>
        <w:tab/>
        <w:t>[Section 46 amended: No. 14 of 1996 s. 4; No. 8 of 2025 s. 11.]</w:t>
      </w:r>
    </w:p>
    <w:p>
      <w:pPr>
        <w:pStyle w:val="Heading5"/>
        <w:keepNext w:val="0"/>
        <w:keepLines w:val="0"/>
        <w:spacing w:before="180"/>
        <w:rPr>
          <w:snapToGrid w:val="0"/>
        </w:rPr>
      </w:pPr>
      <w:bookmarkStart w:id="56" w:name="_Toc206690122"/>
      <w:r>
        <w:rPr>
          <w:rStyle w:val="CharSectno"/>
        </w:rPr>
        <w:t>47</w:t>
      </w:r>
      <w:r>
        <w:rPr>
          <w:snapToGrid w:val="0"/>
        </w:rPr>
        <w:t>.</w:t>
      </w:r>
      <w:r>
        <w:rPr>
          <w:snapToGrid w:val="0"/>
        </w:rPr>
        <w:tab/>
        <w:t>Local laws and local planning schemes, Governor may revoke or amend</w:t>
      </w:r>
      <w:bookmarkEnd w:id="56"/>
    </w:p>
    <w:p>
      <w:pPr>
        <w:pStyle w:val="Subsection"/>
        <w:spacing w:before="120"/>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t xml:space="preserve">, or the Swan Valley Planning Scheme has been or is made under the </w:t>
      </w:r>
      <w:r>
        <w:rPr>
          <w:i/>
          <w:szCs w:val="24"/>
        </w:rPr>
        <w:t>Swan Valley Planning Act 2020</w:t>
      </w:r>
      <w:r>
        <w:t xml:space="preserve">, </w:t>
      </w:r>
      <w:r>
        <w:rPr>
          <w:snapToGrid w:val="0"/>
        </w:rPr>
        <w:t xml:space="preserve">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pPr>
        <w:pStyle w:val="Subsection"/>
        <w:keepNext/>
        <w:spacing w:before="120"/>
        <w:rPr>
          <w:snapToGrid w:val="0"/>
        </w:rPr>
      </w:pPr>
      <w:r>
        <w:rPr>
          <w:snapToGrid w:val="0"/>
        </w:rPr>
        <w:tab/>
        <w:t>(2)</w:t>
      </w:r>
      <w:r>
        <w:rPr>
          <w:snapToGrid w:val="0"/>
        </w:rPr>
        <w:tab/>
        <w:t xml:space="preserve">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w:t>
      </w:r>
      <w:r>
        <w:rPr>
          <w:snapToGrid w:val="0"/>
        </w:rPr>
        <w:lastRenderedPageBreak/>
        <w:t>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spacing w:before="80"/>
        <w:ind w:left="890" w:hanging="890"/>
      </w:pPr>
      <w:r>
        <w:tab/>
        <w:t>[Section 47 amended: No. 14 of 1996 s. 4; No. 38 of 2005 s. 15; No. 45 of 2020 s. 98.]</w:t>
      </w:r>
    </w:p>
    <w:p>
      <w:pPr>
        <w:pStyle w:val="Heading5"/>
        <w:rPr>
          <w:snapToGrid w:val="0"/>
        </w:rPr>
      </w:pPr>
      <w:bookmarkStart w:id="57" w:name="_Toc206690123"/>
      <w:r>
        <w:rPr>
          <w:rStyle w:val="CharSectno"/>
        </w:rPr>
        <w:t>48</w:t>
      </w:r>
      <w:r>
        <w:rPr>
          <w:snapToGrid w:val="0"/>
        </w:rPr>
        <w:t>.</w:t>
      </w:r>
      <w:r>
        <w:rPr>
          <w:snapToGrid w:val="0"/>
        </w:rPr>
        <w:tab/>
        <w:t>Regulations</w:t>
      </w:r>
      <w:bookmarkEnd w:id="57"/>
    </w:p>
    <w:p>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w:t>
      </w:r>
      <w:r>
        <w:t>500</w:t>
      </w:r>
      <w:r>
        <w:rPr>
          <w:snapToGrid w:val="0"/>
        </w:rPr>
        <w:t xml:space="preserve"> in respect of a breach of any of the regulations.</w:t>
      </w:r>
    </w:p>
    <w:p>
      <w:pPr>
        <w:pStyle w:val="Subsection"/>
        <w:rPr>
          <w:snapToGrid w:val="0"/>
        </w:rPr>
      </w:pPr>
      <w:r>
        <w:rPr>
          <w:snapToGrid w:val="0"/>
        </w:rPr>
        <w:tab/>
        <w:t>(3)</w:t>
      </w:r>
      <w:r>
        <w:rPr>
          <w:snapToGrid w:val="0"/>
        </w:rPr>
        <w:tab/>
        <w:t xml:space="preserve">The regulations may require that any information or form required to be given or furnished thereunder </w:t>
      </w:r>
      <w:r>
        <w:t>must</w:t>
      </w:r>
      <w:r>
        <w:rPr>
          <w:snapToGrid w:val="0"/>
        </w:rPr>
        <w:t xml:space="preserve"> be verified by statutory declaration.</w:t>
      </w:r>
    </w:p>
    <w:p>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pPr>
        <w:pStyle w:val="Footnotesection"/>
      </w:pPr>
      <w:r>
        <w:tab/>
        <w:t>[Section 48 amended: No. 14 of 1996 s. 4; No. 8 of 2025 s. 12 and 15.]</w:t>
      </w:r>
    </w:p>
    <w:p>
      <w:pPr>
        <w:pStyle w:val="Heading5"/>
      </w:pPr>
      <w:bookmarkStart w:id="58" w:name="_Toc206690124"/>
      <w:r>
        <w:rPr>
          <w:rStyle w:val="CharSectno"/>
        </w:rPr>
        <w:t>49</w:t>
      </w:r>
      <w:r>
        <w:t>.</w:t>
      </w:r>
      <w:r>
        <w:tab/>
        <w:t xml:space="preserve">Transitional provision for </w:t>
      </w:r>
      <w:r>
        <w:rPr>
          <w:i/>
        </w:rPr>
        <w:t>Local Government Legislation Amendment Act 2019</w:t>
      </w:r>
      <w:bookmarkEnd w:id="58"/>
    </w:p>
    <w:p>
      <w:pPr>
        <w:pStyle w:val="Subsection"/>
      </w:pPr>
      <w:r>
        <w:tab/>
        <w:t>(1)</w:t>
      </w:r>
      <w:r>
        <w:tab/>
        <w:t xml:space="preserve">This section applies to a person who, immediately before the day on which the </w:t>
      </w:r>
      <w:r>
        <w:rPr>
          <w:i/>
        </w:rPr>
        <w:t>Local Government Legislation Amendment Act 2019</w:t>
      </w:r>
      <w:r>
        <w:t xml:space="preserve"> section 102 comes into operation, was a person appointed under section 38(3).</w:t>
      </w:r>
    </w:p>
    <w:p>
      <w:pPr>
        <w:pStyle w:val="Subsection"/>
        <w:keepNext/>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w:t>
      </w:r>
      <w:r>
        <w:lastRenderedPageBreak/>
        <w:t>the person’s appointment under section 38(3) immediately before the day referred to in subsection (1).</w:t>
      </w:r>
    </w:p>
    <w:p>
      <w:pPr>
        <w:pStyle w:val="Footnotesection"/>
        <w:keepNext/>
      </w:pPr>
      <w:r>
        <w:tab/>
        <w:t>[Section 49 inserted: No. 16 of 2019 s. 103.]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59" w:name="_Toc206426979"/>
      <w:bookmarkStart w:id="60" w:name="_Toc206429531"/>
      <w:bookmarkStart w:id="61" w:name="_Toc206508888"/>
      <w:bookmarkStart w:id="62" w:name="_Toc206572490"/>
      <w:bookmarkStart w:id="63" w:name="_Toc206690125"/>
      <w:r>
        <w:lastRenderedPageBreak/>
        <w:t>Notes</w:t>
      </w:r>
      <w:bookmarkEnd w:id="59"/>
      <w:bookmarkEnd w:id="60"/>
      <w:bookmarkEnd w:id="61"/>
      <w:bookmarkEnd w:id="62"/>
      <w:bookmarkEnd w:id="63"/>
    </w:p>
    <w:p>
      <w:pPr>
        <w:pStyle w:val="nStatement"/>
      </w:pPr>
      <w:r>
        <w:t xml:space="preserve">This is a compilation of the </w:t>
      </w:r>
      <w:r>
        <w:rPr>
          <w:i/>
          <w:noProof/>
        </w:rPr>
        <w:t>Control of Vehicles (Off-road Areas) Act 1978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4" w:name="_Toc206690126"/>
      <w:r>
        <w:t>Compilation table</w:t>
      </w:r>
      <w:bookmarkEnd w:id="64"/>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324"/>
        <w:gridCol w:w="1134"/>
        <w:gridCol w:w="1134"/>
        <w:gridCol w:w="2496"/>
      </w:tblGrid>
      <w:tr>
        <w:trPr>
          <w:tblHeader/>
        </w:trPr>
        <w:tc>
          <w:tcPr>
            <w:tcW w:w="2324"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9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Control of Vehicles (Off</w:t>
            </w:r>
            <w:r>
              <w:rPr>
                <w:i/>
              </w:rPr>
              <w:noBreakHyphen/>
              <w:t>road Areas) Act 1978</w:t>
            </w:r>
          </w:p>
        </w:tc>
        <w:tc>
          <w:tcPr>
            <w:tcW w:w="1134" w:type="dxa"/>
          </w:tcPr>
          <w:p>
            <w:pPr>
              <w:pStyle w:val="nTable"/>
              <w:spacing w:before="60" w:after="60"/>
            </w:pPr>
            <w:r>
              <w:t>117 of 1978</w:t>
            </w:r>
          </w:p>
        </w:tc>
        <w:tc>
          <w:tcPr>
            <w:tcW w:w="1134" w:type="dxa"/>
          </w:tcPr>
          <w:p>
            <w:pPr>
              <w:pStyle w:val="nTable"/>
              <w:spacing w:before="60" w:after="60"/>
            </w:pPr>
            <w:r>
              <w:t>12 Dec 1978</w:t>
            </w:r>
          </w:p>
        </w:tc>
        <w:tc>
          <w:tcPr>
            <w:tcW w:w="2496" w:type="dxa"/>
          </w:tcPr>
          <w:p>
            <w:pPr>
              <w:pStyle w:val="nTable"/>
              <w:spacing w:before="60" w:after="60"/>
              <w:rPr>
                <w:vertAlign w:val="superscript"/>
              </w:rPr>
            </w:pPr>
            <w:r>
              <w:t xml:space="preserve">Act other than s. 11: 5 Oct 1979 (see s. 2 and </w:t>
            </w:r>
            <w:r>
              <w:rPr>
                <w:i/>
              </w:rPr>
              <w:t>Gazette</w:t>
            </w:r>
            <w:r>
              <w:t xml:space="preserve"> 5 Oct 1979 p. 3079)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rPr>
              <w:t xml:space="preserve">Acts Amendment (Traffic Board) Act 1981 </w:t>
            </w:r>
            <w:r>
              <w:t>Pt. VII</w:t>
            </w:r>
          </w:p>
        </w:tc>
        <w:tc>
          <w:tcPr>
            <w:tcW w:w="1134" w:type="dxa"/>
          </w:tcPr>
          <w:p>
            <w:pPr>
              <w:pStyle w:val="nTable"/>
              <w:spacing w:before="60" w:after="60"/>
            </w:pPr>
            <w:r>
              <w:t>106 of 1981</w:t>
            </w:r>
          </w:p>
        </w:tc>
        <w:tc>
          <w:tcPr>
            <w:tcW w:w="1134" w:type="dxa"/>
          </w:tcPr>
          <w:p>
            <w:pPr>
              <w:pStyle w:val="nTable"/>
              <w:spacing w:before="60" w:after="60"/>
            </w:pPr>
            <w:r>
              <w:t>4 Dec 1981</w:t>
            </w:r>
          </w:p>
        </w:tc>
        <w:tc>
          <w:tcPr>
            <w:tcW w:w="2496" w:type="dxa"/>
          </w:tcPr>
          <w:p>
            <w:pPr>
              <w:pStyle w:val="nTable"/>
              <w:spacing w:before="60" w:after="60"/>
            </w:pPr>
            <w:r>
              <w:t xml:space="preserve">2 Feb 1982 (see s. 2 and </w:t>
            </w:r>
            <w:r>
              <w:rPr>
                <w:i/>
              </w:rPr>
              <w:t>Gazette</w:t>
            </w:r>
            <w:r>
              <w:t xml:space="preserve"> 2 Feb 1982 p. 393)</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rPr>
              <w:t xml:space="preserve">Acts Amendment and Repeal (Credit) Act 1984 </w:t>
            </w:r>
            <w:r>
              <w:t>Pt. III</w:t>
            </w:r>
          </w:p>
        </w:tc>
        <w:tc>
          <w:tcPr>
            <w:tcW w:w="1134" w:type="dxa"/>
          </w:tcPr>
          <w:p>
            <w:pPr>
              <w:pStyle w:val="nTable"/>
              <w:spacing w:before="60" w:after="60"/>
            </w:pPr>
            <w:r>
              <w:t>102 of 1984</w:t>
            </w:r>
          </w:p>
        </w:tc>
        <w:tc>
          <w:tcPr>
            <w:tcW w:w="1134" w:type="dxa"/>
          </w:tcPr>
          <w:p>
            <w:pPr>
              <w:pStyle w:val="nTable"/>
              <w:spacing w:before="60" w:after="60"/>
            </w:pPr>
            <w:r>
              <w:t>19 Dec 1984</w:t>
            </w:r>
          </w:p>
        </w:tc>
        <w:tc>
          <w:tcPr>
            <w:tcW w:w="2496" w:type="dxa"/>
          </w:tcPr>
          <w:p>
            <w:pPr>
              <w:pStyle w:val="nTable"/>
              <w:spacing w:before="60" w:after="60"/>
            </w:pPr>
            <w:r>
              <w:t xml:space="preserve">31 Mar 1985 (see s. 2 and </w:t>
            </w:r>
            <w:r>
              <w:rPr>
                <w:i/>
              </w:rPr>
              <w:t>Gazette</w:t>
            </w:r>
            <w:r>
              <w:t xml:space="preserve"> 8 Mar 1985 p. 867)</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Control of Vehicles (Off</w:t>
            </w:r>
            <w:r>
              <w:rPr>
                <w:i/>
              </w:rPr>
              <w:noBreakHyphen/>
              <w:t>road Areas) Amendment Act 1985</w:t>
            </w:r>
          </w:p>
        </w:tc>
        <w:tc>
          <w:tcPr>
            <w:tcW w:w="1134" w:type="dxa"/>
          </w:tcPr>
          <w:p>
            <w:pPr>
              <w:pStyle w:val="nTable"/>
              <w:spacing w:before="60" w:after="60"/>
            </w:pPr>
            <w:r>
              <w:t>12 of 1985</w:t>
            </w:r>
          </w:p>
        </w:tc>
        <w:tc>
          <w:tcPr>
            <w:tcW w:w="1134" w:type="dxa"/>
          </w:tcPr>
          <w:p>
            <w:pPr>
              <w:pStyle w:val="nTable"/>
              <w:spacing w:before="60" w:after="60"/>
            </w:pPr>
            <w:r>
              <w:t>12 Apr 1985</w:t>
            </w:r>
          </w:p>
        </w:tc>
        <w:tc>
          <w:tcPr>
            <w:tcW w:w="2496" w:type="dxa"/>
          </w:tcPr>
          <w:p>
            <w:pPr>
              <w:pStyle w:val="nTable"/>
              <w:spacing w:before="60" w:after="60"/>
            </w:pPr>
            <w:r>
              <w:t>s. 1 and 2: 12 Apr 1985;</w:t>
            </w:r>
            <w:r>
              <w:br/>
              <w:t xml:space="preserve">Act other than s. 1 and 2: 1 Dec 1985 (see s. 2 and </w:t>
            </w:r>
            <w:r>
              <w:rPr>
                <w:i/>
              </w:rPr>
              <w:t>Gazette</w:t>
            </w:r>
            <w:r>
              <w:t xml:space="preserve"> 1 Nov 1985 p. 4189)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rPr>
              <w:t>Control of Vehicles (Off</w:t>
            </w:r>
            <w:r>
              <w:rPr>
                <w:i/>
              </w:rPr>
              <w:noBreakHyphen/>
              <w:t>road Areas) Amendment Act 1986</w:t>
            </w:r>
          </w:p>
        </w:tc>
        <w:tc>
          <w:tcPr>
            <w:tcW w:w="1134" w:type="dxa"/>
          </w:tcPr>
          <w:p>
            <w:pPr>
              <w:pStyle w:val="nTable"/>
              <w:spacing w:before="60" w:after="60"/>
            </w:pPr>
            <w:r>
              <w:t>56 of 1986</w:t>
            </w:r>
          </w:p>
        </w:tc>
        <w:tc>
          <w:tcPr>
            <w:tcW w:w="1134" w:type="dxa"/>
          </w:tcPr>
          <w:p>
            <w:pPr>
              <w:pStyle w:val="nTable"/>
              <w:spacing w:before="60" w:after="60"/>
            </w:pPr>
            <w:r>
              <w:t>26 Nov 1986</w:t>
            </w:r>
          </w:p>
        </w:tc>
        <w:tc>
          <w:tcPr>
            <w:tcW w:w="2496" w:type="dxa"/>
          </w:tcPr>
          <w:p>
            <w:pPr>
              <w:pStyle w:val="nTable"/>
              <w:spacing w:before="60" w:after="60"/>
            </w:pPr>
            <w:r>
              <w:t>s. 1 and 2: 26 Nov 1986;</w:t>
            </w:r>
            <w:r>
              <w:br/>
              <w:t xml:space="preserve">Act other than s. 1 and 2: 15 May 1987 (see s. 2 and </w:t>
            </w:r>
            <w:r>
              <w:rPr>
                <w:i/>
              </w:rPr>
              <w:t>Gazette</w:t>
            </w:r>
            <w:r>
              <w:t xml:space="preserve"> 15 May 1987 p. 2119)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Guardianship and Administration Act 1990</w:t>
            </w:r>
            <w:r>
              <w:t xml:space="preserve"> s. 123</w:t>
            </w:r>
          </w:p>
        </w:tc>
        <w:tc>
          <w:tcPr>
            <w:tcW w:w="1134" w:type="dxa"/>
          </w:tcPr>
          <w:p>
            <w:pPr>
              <w:pStyle w:val="nTable"/>
              <w:spacing w:before="60" w:after="60"/>
            </w:pPr>
            <w:r>
              <w:t>24 of 1990</w:t>
            </w:r>
          </w:p>
        </w:tc>
        <w:tc>
          <w:tcPr>
            <w:tcW w:w="1134" w:type="dxa"/>
          </w:tcPr>
          <w:p>
            <w:pPr>
              <w:pStyle w:val="nTable"/>
              <w:spacing w:before="60" w:after="60"/>
            </w:pPr>
            <w:r>
              <w:t>7 Sep 1990</w:t>
            </w:r>
          </w:p>
        </w:tc>
        <w:tc>
          <w:tcPr>
            <w:tcW w:w="2496" w:type="dxa"/>
          </w:tcPr>
          <w:p>
            <w:pPr>
              <w:pStyle w:val="nTable"/>
              <w:spacing w:before="60" w:after="60"/>
            </w:pPr>
            <w:r>
              <w:t xml:space="preserve">20 Oct 1992 (see s. 2 and </w:t>
            </w:r>
            <w:r>
              <w:rPr>
                <w:i/>
              </w:rPr>
              <w:t>Gazette</w:t>
            </w:r>
            <w:r>
              <w:t xml:space="preserve"> 2 Oct 1992 p. 4811)</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Acts Amendment (Public Sector Management) Act 1994</w:t>
            </w:r>
            <w:r>
              <w:t xml:space="preserve"> s. 3(1)</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496" w:type="dxa"/>
          </w:tcPr>
          <w:p>
            <w:pPr>
              <w:pStyle w:val="nTable"/>
              <w:spacing w:before="60" w:after="6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Fish Resources Management Act 1994</w:t>
            </w:r>
            <w:r>
              <w:t xml:space="preserve"> s. 264</w:t>
            </w:r>
          </w:p>
        </w:tc>
        <w:tc>
          <w:tcPr>
            <w:tcW w:w="1134" w:type="dxa"/>
          </w:tcPr>
          <w:p>
            <w:pPr>
              <w:pStyle w:val="nTable"/>
              <w:spacing w:before="60" w:after="60"/>
            </w:pPr>
            <w:r>
              <w:t>53 of 1994</w:t>
            </w:r>
          </w:p>
        </w:tc>
        <w:tc>
          <w:tcPr>
            <w:tcW w:w="1134" w:type="dxa"/>
          </w:tcPr>
          <w:p>
            <w:pPr>
              <w:pStyle w:val="nTable"/>
              <w:spacing w:before="60" w:after="60"/>
            </w:pPr>
            <w:r>
              <w:t>2 Nov 1994</w:t>
            </w:r>
          </w:p>
        </w:tc>
        <w:tc>
          <w:tcPr>
            <w:tcW w:w="2496" w:type="dxa"/>
          </w:tcPr>
          <w:p>
            <w:pPr>
              <w:pStyle w:val="nTable"/>
              <w:spacing w:before="60" w:after="60"/>
            </w:pPr>
            <w:r>
              <w:t xml:space="preserve">1 Oct 1995 (see s.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Planning Legislation Amendment Act (No. 2) 1994</w:t>
            </w:r>
            <w:r>
              <w:t xml:space="preserve"> s. 46(6)</w:t>
            </w:r>
          </w:p>
        </w:tc>
        <w:tc>
          <w:tcPr>
            <w:tcW w:w="1134" w:type="dxa"/>
          </w:tcPr>
          <w:p>
            <w:pPr>
              <w:pStyle w:val="nTable"/>
              <w:spacing w:before="60" w:after="60"/>
            </w:pPr>
            <w:r>
              <w:t>84 of 1994</w:t>
            </w:r>
          </w:p>
        </w:tc>
        <w:tc>
          <w:tcPr>
            <w:tcW w:w="1134" w:type="dxa"/>
          </w:tcPr>
          <w:p>
            <w:pPr>
              <w:pStyle w:val="nTable"/>
              <w:spacing w:before="60" w:after="60"/>
            </w:pPr>
            <w:r>
              <w:t>13 Jan 1995</w:t>
            </w:r>
          </w:p>
        </w:tc>
        <w:tc>
          <w:tcPr>
            <w:tcW w:w="2496" w:type="dxa"/>
          </w:tcPr>
          <w:p>
            <w:pPr>
              <w:pStyle w:val="nTable"/>
              <w:spacing w:before="60" w:after="6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lastRenderedPageBreak/>
              <w:t>Aboriginal Heritage Amendment Act 1995</w:t>
            </w:r>
            <w:r>
              <w:t xml:space="preserve"> s. 53</w:t>
            </w:r>
          </w:p>
        </w:tc>
        <w:tc>
          <w:tcPr>
            <w:tcW w:w="1134" w:type="dxa"/>
          </w:tcPr>
          <w:p>
            <w:pPr>
              <w:pStyle w:val="nTable"/>
              <w:keepNext/>
              <w:spacing w:before="60" w:after="60"/>
            </w:pPr>
            <w:r>
              <w:t>24 of 1995</w:t>
            </w:r>
          </w:p>
        </w:tc>
        <w:tc>
          <w:tcPr>
            <w:tcW w:w="1134" w:type="dxa"/>
          </w:tcPr>
          <w:p>
            <w:pPr>
              <w:pStyle w:val="nTable"/>
              <w:keepNext/>
              <w:spacing w:before="60" w:after="60"/>
            </w:pPr>
            <w:r>
              <w:t>30 Jun 1995</w:t>
            </w:r>
          </w:p>
        </w:tc>
        <w:tc>
          <w:tcPr>
            <w:tcW w:w="2496" w:type="dxa"/>
          </w:tcPr>
          <w:p>
            <w:pPr>
              <w:pStyle w:val="nTable"/>
              <w:keepNext/>
              <w:spacing w:before="60" w:after="60"/>
            </w:pPr>
            <w:r>
              <w:t>1 Jul 1995 (see s. 2 and </w:t>
            </w:r>
            <w:r>
              <w:rPr>
                <w:i/>
              </w:rPr>
              <w:t>Gazette</w:t>
            </w:r>
            <w:r>
              <w:t xml:space="preserve"> 30 Jun 1995 p. 2781)</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Sentencing (Consequential Provisions) Act 1995</w:t>
            </w:r>
            <w:r>
              <w:t xml:space="preserve"> Pt. 14</w:t>
            </w:r>
          </w:p>
        </w:tc>
        <w:tc>
          <w:tcPr>
            <w:tcW w:w="1134" w:type="dxa"/>
          </w:tcPr>
          <w:p>
            <w:pPr>
              <w:pStyle w:val="nTable"/>
              <w:spacing w:before="60" w:after="60"/>
            </w:pPr>
            <w:r>
              <w:t>78 of 1995</w:t>
            </w:r>
          </w:p>
        </w:tc>
        <w:tc>
          <w:tcPr>
            <w:tcW w:w="1134" w:type="dxa"/>
          </w:tcPr>
          <w:p>
            <w:pPr>
              <w:pStyle w:val="nTable"/>
              <w:spacing w:before="60" w:after="60"/>
            </w:pPr>
            <w:r>
              <w:t>16 Jan 1996</w:t>
            </w:r>
          </w:p>
        </w:tc>
        <w:tc>
          <w:tcPr>
            <w:tcW w:w="2496" w:type="dxa"/>
          </w:tcPr>
          <w:p>
            <w:pPr>
              <w:pStyle w:val="nTable"/>
              <w:spacing w:before="60" w:after="6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Local Government (Consequential Amendments) Act 1996</w:t>
            </w:r>
            <w:r>
              <w:t xml:space="preserve"> s. 4</w:t>
            </w:r>
          </w:p>
        </w:tc>
        <w:tc>
          <w:tcPr>
            <w:tcW w:w="1134" w:type="dxa"/>
          </w:tcPr>
          <w:p>
            <w:pPr>
              <w:pStyle w:val="nTable"/>
              <w:spacing w:before="60" w:after="60"/>
            </w:pPr>
            <w:r>
              <w:t>14 of 1996</w:t>
            </w:r>
          </w:p>
        </w:tc>
        <w:tc>
          <w:tcPr>
            <w:tcW w:w="1134" w:type="dxa"/>
          </w:tcPr>
          <w:p>
            <w:pPr>
              <w:pStyle w:val="nTable"/>
              <w:spacing w:before="60" w:after="60"/>
            </w:pPr>
            <w:r>
              <w:t>28 Jun 1996</w:t>
            </w:r>
          </w:p>
        </w:tc>
        <w:tc>
          <w:tcPr>
            <w:tcW w:w="2496" w:type="dxa"/>
          </w:tcPr>
          <w:p>
            <w:pPr>
              <w:pStyle w:val="nTable"/>
              <w:spacing w:before="60" w:after="60"/>
            </w:pPr>
            <w:r>
              <w:t>1 Jul 1996 (see s. 2)</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Consumer Credit (Western Australia) Act 1996</w:t>
            </w:r>
            <w:r>
              <w:t xml:space="preserve"> s. 13</w:t>
            </w:r>
          </w:p>
        </w:tc>
        <w:tc>
          <w:tcPr>
            <w:tcW w:w="1134" w:type="dxa"/>
          </w:tcPr>
          <w:p>
            <w:pPr>
              <w:pStyle w:val="nTable"/>
              <w:spacing w:before="60" w:after="60"/>
            </w:pPr>
            <w:r>
              <w:t>30 of 1996</w:t>
            </w:r>
          </w:p>
        </w:tc>
        <w:tc>
          <w:tcPr>
            <w:tcW w:w="1134" w:type="dxa"/>
          </w:tcPr>
          <w:p>
            <w:pPr>
              <w:pStyle w:val="nTable"/>
              <w:spacing w:before="60" w:after="60"/>
            </w:pPr>
            <w:r>
              <w:t>10 Sep 1996</w:t>
            </w:r>
          </w:p>
        </w:tc>
        <w:tc>
          <w:tcPr>
            <w:tcW w:w="2496" w:type="dxa"/>
          </w:tcPr>
          <w:p>
            <w:pPr>
              <w:pStyle w:val="nTable"/>
              <w:spacing w:before="60" w:after="60"/>
            </w:pPr>
            <w:r>
              <w:t>1 Nov 1996 (see s. 2)</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Financial Legislation Amendment Act 1996</w:t>
            </w:r>
            <w:r>
              <w:t xml:space="preserve"> s. 64</w:t>
            </w:r>
          </w:p>
        </w:tc>
        <w:tc>
          <w:tcPr>
            <w:tcW w:w="1134" w:type="dxa"/>
          </w:tcPr>
          <w:p>
            <w:pPr>
              <w:pStyle w:val="nTable"/>
              <w:spacing w:before="60" w:after="60"/>
            </w:pPr>
            <w:r>
              <w:t>49 of 1996</w:t>
            </w:r>
          </w:p>
        </w:tc>
        <w:tc>
          <w:tcPr>
            <w:tcW w:w="1134" w:type="dxa"/>
          </w:tcPr>
          <w:p>
            <w:pPr>
              <w:pStyle w:val="nTable"/>
              <w:spacing w:before="60" w:after="60"/>
            </w:pPr>
            <w:r>
              <w:t>25 Oct 1996</w:t>
            </w:r>
          </w:p>
        </w:tc>
        <w:tc>
          <w:tcPr>
            <w:tcW w:w="2496" w:type="dxa"/>
          </w:tcPr>
          <w:p>
            <w:pPr>
              <w:pStyle w:val="nTable"/>
              <w:spacing w:before="60" w:after="60"/>
            </w:pPr>
            <w:r>
              <w:t>25 Oct 1996 (see s. 2(1))</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Road Traffic Amendment Act 1996</w:t>
            </w:r>
            <w:r>
              <w:t xml:space="preserve"> Pt. 3 Div. 2</w:t>
            </w:r>
          </w:p>
        </w:tc>
        <w:tc>
          <w:tcPr>
            <w:tcW w:w="1134" w:type="dxa"/>
          </w:tcPr>
          <w:p>
            <w:pPr>
              <w:pStyle w:val="nTable"/>
              <w:spacing w:before="60" w:after="60"/>
            </w:pPr>
            <w:r>
              <w:t>76 of 1996</w:t>
            </w:r>
          </w:p>
        </w:tc>
        <w:tc>
          <w:tcPr>
            <w:tcW w:w="1134" w:type="dxa"/>
          </w:tcPr>
          <w:p>
            <w:pPr>
              <w:pStyle w:val="nTable"/>
              <w:spacing w:before="60" w:after="60"/>
            </w:pPr>
            <w:r>
              <w:t>14 Nov 1996</w:t>
            </w:r>
          </w:p>
        </w:tc>
        <w:tc>
          <w:tcPr>
            <w:tcW w:w="2496" w:type="dxa"/>
          </w:tcPr>
          <w:p>
            <w:pPr>
              <w:pStyle w:val="nTable"/>
              <w:spacing w:before="60" w:after="60"/>
            </w:pPr>
            <w:r>
              <w:t xml:space="preserve">1 Feb 1997 (see s. 2 and </w:t>
            </w:r>
            <w:r>
              <w:rPr>
                <w:i/>
              </w:rPr>
              <w:t>Gazette</w:t>
            </w:r>
            <w:r>
              <w:t xml:space="preserve"> 31 Jan 1997 p. 613)</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Acts Amendment (Land Administration) Act 1997</w:t>
            </w:r>
            <w:r>
              <w:t xml:space="preserve"> Pt. 15</w:t>
            </w:r>
          </w:p>
        </w:tc>
        <w:tc>
          <w:tcPr>
            <w:tcW w:w="1134" w:type="dxa"/>
          </w:tcPr>
          <w:p>
            <w:pPr>
              <w:pStyle w:val="nTable"/>
              <w:spacing w:before="60" w:after="60"/>
            </w:pPr>
            <w:r>
              <w:t>31 of 1997</w:t>
            </w:r>
          </w:p>
        </w:tc>
        <w:tc>
          <w:tcPr>
            <w:tcW w:w="1134" w:type="dxa"/>
          </w:tcPr>
          <w:p>
            <w:pPr>
              <w:pStyle w:val="nTable"/>
              <w:spacing w:before="60" w:after="60"/>
            </w:pPr>
            <w:r>
              <w:t>3 Oct 1997</w:t>
            </w:r>
          </w:p>
        </w:tc>
        <w:tc>
          <w:tcPr>
            <w:tcW w:w="2496" w:type="dxa"/>
          </w:tcPr>
          <w:p>
            <w:pPr>
              <w:pStyle w:val="nTable"/>
              <w:spacing w:before="60" w:after="6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pPr>
            <w:r>
              <w:rPr>
                <w:b/>
              </w:rPr>
              <w:t xml:space="preserve">Reprint of the </w:t>
            </w:r>
            <w:r>
              <w:rPr>
                <w:b/>
                <w:i/>
              </w:rPr>
              <w:t>Control of Vehicles (Off-road Areas) Act 1978</w:t>
            </w:r>
            <w:r>
              <w:rPr>
                <w:b/>
              </w:rPr>
              <w:t xml:space="preserve"> as at 5 Mar 1999</w:t>
            </w:r>
            <w:r>
              <w:t xml:space="preserve"> </w:t>
            </w:r>
            <w:r>
              <w:br/>
              <w:t xml:space="preserve">(includes amendments listed above) (correction to reprint in </w:t>
            </w:r>
            <w:r>
              <w:rPr>
                <w:i/>
              </w:rPr>
              <w:t>Gazette</w:t>
            </w:r>
            <w:r>
              <w:t xml:space="preserve"> 18 May 1999 p. 1965)</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rPr>
              <w:t>Statutes (Repeals and Minor Amendments) Act 2000</w:t>
            </w:r>
            <w:r>
              <w:t xml:space="preserve"> s. 48</w:t>
            </w:r>
          </w:p>
        </w:tc>
        <w:tc>
          <w:tcPr>
            <w:tcW w:w="1134" w:type="dxa"/>
          </w:tcPr>
          <w:p>
            <w:pPr>
              <w:pStyle w:val="nTable"/>
              <w:spacing w:before="60" w:after="60"/>
            </w:pPr>
            <w:r>
              <w:t>24 of 2000</w:t>
            </w:r>
          </w:p>
        </w:tc>
        <w:tc>
          <w:tcPr>
            <w:tcW w:w="1134" w:type="dxa"/>
          </w:tcPr>
          <w:p>
            <w:pPr>
              <w:pStyle w:val="nTable"/>
              <w:spacing w:before="60" w:after="60"/>
            </w:pPr>
            <w:r>
              <w:t>4 Jul 2000</w:t>
            </w:r>
          </w:p>
        </w:tc>
        <w:tc>
          <w:tcPr>
            <w:tcW w:w="2496" w:type="dxa"/>
          </w:tcPr>
          <w:p>
            <w:pPr>
              <w:pStyle w:val="nTable"/>
              <w:spacing w:before="60" w:after="60"/>
            </w:pPr>
            <w:r>
              <w:t>4 Jul 2000 (see s. 2)</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snapToGrid w:val="0"/>
              </w:rPr>
              <w:t>Road Traffic Amendment Act 2000</w:t>
            </w:r>
            <w:r>
              <w:rPr>
                <w:snapToGrid w:val="0"/>
              </w:rPr>
              <w:t xml:space="preserve"> Pt. 3 Div. 1</w:t>
            </w:r>
          </w:p>
        </w:tc>
        <w:tc>
          <w:tcPr>
            <w:tcW w:w="1134" w:type="dxa"/>
          </w:tcPr>
          <w:p>
            <w:pPr>
              <w:pStyle w:val="nTable"/>
              <w:spacing w:before="60" w:after="60"/>
            </w:pPr>
            <w:r>
              <w:t>39 of 2000</w:t>
            </w:r>
          </w:p>
        </w:tc>
        <w:tc>
          <w:tcPr>
            <w:tcW w:w="1134" w:type="dxa"/>
          </w:tcPr>
          <w:p>
            <w:pPr>
              <w:pStyle w:val="nTable"/>
              <w:spacing w:before="60" w:after="60"/>
            </w:pPr>
            <w:r>
              <w:t>10 Oct 2000</w:t>
            </w:r>
          </w:p>
        </w:tc>
        <w:tc>
          <w:tcPr>
            <w:tcW w:w="2496" w:type="dxa"/>
          </w:tcPr>
          <w:p>
            <w:pPr>
              <w:pStyle w:val="nTable"/>
              <w:spacing w:before="60" w:after="60"/>
            </w:pPr>
            <w:r>
              <w:t xml:space="preserve">1 Jan 2006 (see s. 2 and </w:t>
            </w:r>
            <w:r>
              <w:rPr>
                <w:i/>
              </w:rPr>
              <w:t xml:space="preserve">Gazette </w:t>
            </w:r>
            <w:r>
              <w:t>23 Dec 2005 p. 6244</w:t>
            </w:r>
            <w:r>
              <w:noBreakHyphen/>
              <w:t>5)</w:t>
            </w:r>
          </w:p>
        </w:tc>
      </w:tr>
      <w:tr>
        <w:tblPrEx>
          <w:tblBorders>
            <w:top w:val="none" w:sz="0" w:space="0" w:color="auto"/>
            <w:bottom w:val="none" w:sz="0" w:space="0" w:color="auto"/>
            <w:insideH w:val="none" w:sz="0" w:space="0" w:color="auto"/>
          </w:tblBorders>
        </w:tblPrEx>
        <w:tc>
          <w:tcPr>
            <w:tcW w:w="2324" w:type="dxa"/>
          </w:tcPr>
          <w:p>
            <w:pPr>
              <w:pStyle w:val="nTable"/>
              <w:spacing w:before="60" w:after="60"/>
            </w:pPr>
            <w:r>
              <w:rPr>
                <w:i/>
              </w:rPr>
              <w:t>Road Traffic Amendment (Vehicle Licensing) Act 2001</w:t>
            </w:r>
            <w:r>
              <w:t xml:space="preserve"> Pt. 3 Div. 2</w:t>
            </w:r>
          </w:p>
        </w:tc>
        <w:tc>
          <w:tcPr>
            <w:tcW w:w="1134" w:type="dxa"/>
          </w:tcPr>
          <w:p>
            <w:pPr>
              <w:pStyle w:val="nTable"/>
              <w:spacing w:before="60" w:after="60"/>
            </w:pPr>
            <w:r>
              <w:t>28 of 2001</w:t>
            </w:r>
          </w:p>
        </w:tc>
        <w:tc>
          <w:tcPr>
            <w:tcW w:w="1134" w:type="dxa"/>
          </w:tcPr>
          <w:p>
            <w:pPr>
              <w:pStyle w:val="nTable"/>
              <w:spacing w:before="60" w:after="60"/>
            </w:pPr>
            <w:r>
              <w:t>21 Dec 2001</w:t>
            </w:r>
          </w:p>
        </w:tc>
        <w:tc>
          <w:tcPr>
            <w:tcW w:w="2496" w:type="dxa"/>
          </w:tcPr>
          <w:p>
            <w:pPr>
              <w:pStyle w:val="nTable"/>
              <w:spacing w:before="60" w:after="60"/>
            </w:pPr>
            <w:r>
              <w:t xml:space="preserve">4 Dec 2006 (see s. 2 and </w:t>
            </w:r>
            <w:r>
              <w:rPr>
                <w:i/>
              </w:rPr>
              <w:t>Gazette</w:t>
            </w:r>
            <w:r>
              <w:t xml:space="preserve"> 28 Nov 2006 p. 4889)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vertAlign w:val="superscript"/>
              </w:rPr>
            </w:pPr>
            <w:r>
              <w:rPr>
                <w:i/>
                <w:snapToGrid w:val="0"/>
                <w:spacing w:val="6"/>
              </w:rPr>
              <w:t>Machinery of Government (Planning and Infrastructure) Amendment Act 2002</w:t>
            </w:r>
            <w:r>
              <w:rPr>
                <w:snapToGrid w:val="0"/>
                <w:spacing w:val="6"/>
              </w:rPr>
              <w:t xml:space="preserve"> Pt. 2 </w:t>
            </w:r>
            <w:r>
              <w:rPr>
                <w:snapToGrid w:val="0"/>
                <w:spacing w:val="6"/>
                <w:vertAlign w:val="superscript"/>
              </w:rPr>
              <w:t>1</w:t>
            </w:r>
          </w:p>
        </w:tc>
        <w:tc>
          <w:tcPr>
            <w:tcW w:w="1134" w:type="dxa"/>
          </w:tcPr>
          <w:p>
            <w:pPr>
              <w:pStyle w:val="nTable"/>
              <w:spacing w:before="60" w:after="60"/>
            </w:pPr>
            <w:r>
              <w:rPr>
                <w:snapToGrid w:val="0"/>
              </w:rPr>
              <w:t>7 of 2002</w:t>
            </w:r>
          </w:p>
        </w:tc>
        <w:tc>
          <w:tcPr>
            <w:tcW w:w="1134" w:type="dxa"/>
          </w:tcPr>
          <w:p>
            <w:pPr>
              <w:pStyle w:val="nTable"/>
              <w:spacing w:before="60" w:after="60"/>
            </w:pPr>
            <w:r>
              <w:t>19 Jun 2002</w:t>
            </w:r>
          </w:p>
        </w:tc>
        <w:tc>
          <w:tcPr>
            <w:tcW w:w="2496" w:type="dxa"/>
          </w:tcPr>
          <w:p>
            <w:pPr>
              <w:pStyle w:val="nTable"/>
              <w:spacing w:before="60" w:after="60"/>
            </w:pPr>
            <w:r>
              <w:t xml:space="preserve">1 Jul 2002 (see s. 2 and </w:t>
            </w:r>
            <w:r>
              <w:rPr>
                <w:i/>
              </w:rPr>
              <w:t>Gazette</w:t>
            </w:r>
            <w:r>
              <w:t xml:space="preserve"> 28 Jun 2002 p. 3037)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pPr>
            <w:r>
              <w:rPr>
                <w:b/>
              </w:rPr>
              <w:t xml:space="preserve">Reprint of the </w:t>
            </w:r>
            <w:r>
              <w:rPr>
                <w:b/>
                <w:i/>
              </w:rPr>
              <w:t>Control of Vehicles (Off-road Areas) Act 1978</w:t>
            </w:r>
            <w:r>
              <w:rPr>
                <w:b/>
              </w:rPr>
              <w:t xml:space="preserve"> as at 2 Aug 2002</w:t>
            </w:r>
            <w:r>
              <w:t xml:space="preserve"> (includes amendments listed above except those in the </w:t>
            </w:r>
            <w:r>
              <w:rPr>
                <w:i/>
                <w:snapToGrid w:val="0"/>
              </w:rPr>
              <w:t>Road Traffic Amendment Act 2000</w:t>
            </w:r>
            <w:r>
              <w:t xml:space="preserve"> and the </w:t>
            </w:r>
            <w:r>
              <w:rPr>
                <w:i/>
              </w:rPr>
              <w:t>Road Traffic Amendment (Vehicle Licensing) Act 2001</w:t>
            </w:r>
            <w:r>
              <w:t>)</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pPr>
            <w:r>
              <w:rPr>
                <w:i/>
              </w:rPr>
              <w:lastRenderedPageBreak/>
              <w:t>Environmental Protection Amendment Act 2003</w:t>
            </w:r>
            <w:r>
              <w:t xml:space="preserve"> s. 142</w:t>
            </w:r>
          </w:p>
        </w:tc>
        <w:tc>
          <w:tcPr>
            <w:tcW w:w="1134" w:type="dxa"/>
          </w:tcPr>
          <w:p>
            <w:pPr>
              <w:pStyle w:val="nTable"/>
              <w:spacing w:before="60" w:after="60"/>
            </w:pPr>
            <w:r>
              <w:t>54 of 2003</w:t>
            </w:r>
          </w:p>
        </w:tc>
        <w:tc>
          <w:tcPr>
            <w:tcW w:w="1134" w:type="dxa"/>
          </w:tcPr>
          <w:p>
            <w:pPr>
              <w:pStyle w:val="nTable"/>
              <w:spacing w:before="60" w:after="60"/>
            </w:pPr>
            <w:r>
              <w:t>20 Oct 2003</w:t>
            </w:r>
          </w:p>
        </w:tc>
        <w:tc>
          <w:tcPr>
            <w:tcW w:w="2496" w:type="dxa"/>
          </w:tcPr>
          <w:p>
            <w:pPr>
              <w:pStyle w:val="nTable"/>
              <w:spacing w:before="60" w:after="60"/>
            </w:pPr>
            <w:r>
              <w:t xml:space="preserve">19 Nov 2003 (see s. 2 and </w:t>
            </w:r>
            <w:r>
              <w:rPr>
                <w:i/>
              </w:rPr>
              <w:t>Gazette</w:t>
            </w:r>
            <w:r>
              <w:t xml:space="preserve"> 18 Nov 2003 p. 4723)</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rPr>
                <w:i/>
              </w:rPr>
            </w:pPr>
            <w:r>
              <w:rPr>
                <w:i/>
              </w:rPr>
              <w:t xml:space="preserve">Local Government Amendment Act 2004 </w:t>
            </w:r>
            <w:r>
              <w:t>s. 13</w:t>
            </w:r>
          </w:p>
        </w:tc>
        <w:tc>
          <w:tcPr>
            <w:tcW w:w="1134" w:type="dxa"/>
          </w:tcPr>
          <w:p>
            <w:pPr>
              <w:pStyle w:val="nTable"/>
              <w:spacing w:before="60" w:after="60"/>
            </w:pPr>
            <w:r>
              <w:rPr>
                <w:snapToGrid w:val="0"/>
              </w:rPr>
              <w:t>49 of 2004</w:t>
            </w:r>
          </w:p>
        </w:tc>
        <w:tc>
          <w:tcPr>
            <w:tcW w:w="1134" w:type="dxa"/>
          </w:tcPr>
          <w:p>
            <w:pPr>
              <w:pStyle w:val="nTable"/>
              <w:spacing w:before="60" w:after="60"/>
            </w:pPr>
            <w:r>
              <w:t>12 Nov 2004</w:t>
            </w:r>
          </w:p>
        </w:tc>
        <w:tc>
          <w:tcPr>
            <w:tcW w:w="2496" w:type="dxa"/>
          </w:tcPr>
          <w:p>
            <w:pPr>
              <w:pStyle w:val="nTable"/>
              <w:spacing w:before="60" w:after="60"/>
            </w:pPr>
            <w:r>
              <w:t xml:space="preserve">1 Apr 2005 (see s. 2 and </w:t>
            </w:r>
            <w:r>
              <w:rPr>
                <w:i/>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rPr>
                <w:i/>
                <w:snapToGrid w:val="0"/>
              </w:rPr>
            </w:pPr>
            <w:r>
              <w:rPr>
                <w:i/>
                <w:snapToGrid w:val="0"/>
              </w:rPr>
              <w:t>Courts Legislation Amendment and Repeal Act 2004</w:t>
            </w:r>
            <w:r>
              <w:rPr>
                <w:snapToGrid w:val="0"/>
              </w:rPr>
              <w:t xml:space="preserve"> s. 141 </w:t>
            </w:r>
            <w:r>
              <w:rPr>
                <w:snapToGrid w:val="0"/>
                <w:vertAlign w:val="superscript"/>
              </w:rPr>
              <w:t>2</w:t>
            </w:r>
          </w:p>
        </w:tc>
        <w:tc>
          <w:tcPr>
            <w:tcW w:w="1134" w:type="dxa"/>
          </w:tcPr>
          <w:p>
            <w:pPr>
              <w:pStyle w:val="nTable"/>
              <w:spacing w:before="60" w:after="60"/>
            </w:pPr>
            <w:r>
              <w:rPr>
                <w:snapToGrid w:val="0"/>
              </w:rPr>
              <w:t>59 of 2004 (as amended by No. 2 of 2008 s. 77(13))</w:t>
            </w:r>
          </w:p>
        </w:tc>
        <w:tc>
          <w:tcPr>
            <w:tcW w:w="1134" w:type="dxa"/>
          </w:tcPr>
          <w:p>
            <w:pPr>
              <w:pStyle w:val="nTable"/>
              <w:spacing w:before="60" w:after="60"/>
            </w:pPr>
            <w:r>
              <w:t>23 Nov 2004</w:t>
            </w:r>
          </w:p>
        </w:tc>
        <w:tc>
          <w:tcPr>
            <w:tcW w:w="2496" w:type="dxa"/>
          </w:tcPr>
          <w:p>
            <w:pPr>
              <w:pStyle w:val="nTable"/>
              <w:spacing w:before="60" w:after="6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rPr>
                <w:i/>
              </w:rPr>
            </w:pPr>
            <w:r>
              <w:rPr>
                <w:i/>
                <w:snapToGrid w:val="0"/>
              </w:rPr>
              <w:t xml:space="preserve">State Administrative Tribunal (Conferral of Jurisdiction) Amendment and Repeal Act 2004 </w:t>
            </w:r>
            <w:r>
              <w:rPr>
                <w:snapToGrid w:val="0"/>
              </w:rPr>
              <w:t>Pt. 2 Div. 26</w:t>
            </w:r>
            <w:r>
              <w:rPr>
                <w:snapToGrid w:val="0"/>
                <w:vertAlign w:val="superscript"/>
              </w:rPr>
              <w:t> 3</w:t>
            </w:r>
          </w:p>
        </w:tc>
        <w:tc>
          <w:tcPr>
            <w:tcW w:w="1134" w:type="dxa"/>
          </w:tcPr>
          <w:p>
            <w:pPr>
              <w:pStyle w:val="nTable"/>
              <w:spacing w:before="60" w:after="60"/>
            </w:pPr>
            <w:r>
              <w:t>55 of 2004</w:t>
            </w:r>
          </w:p>
        </w:tc>
        <w:tc>
          <w:tcPr>
            <w:tcW w:w="1134" w:type="dxa"/>
          </w:tcPr>
          <w:p>
            <w:pPr>
              <w:pStyle w:val="nTable"/>
              <w:spacing w:before="60" w:after="60"/>
            </w:pPr>
            <w:r>
              <w:t>24 Nov 2004</w:t>
            </w:r>
          </w:p>
        </w:tc>
        <w:tc>
          <w:tcPr>
            <w:tcW w:w="2496" w:type="dxa"/>
          </w:tcPr>
          <w:p>
            <w:pPr>
              <w:pStyle w:val="nTable"/>
              <w:spacing w:before="60" w:after="6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before="60" w:after="60"/>
              <w:rPr>
                <w:snapToGrid w:val="0"/>
              </w:rPr>
            </w:pPr>
            <w:r>
              <w:rPr>
                <w:snapToGrid w:val="0"/>
              </w:rPr>
              <w:t>84 of 2004</w:t>
            </w:r>
          </w:p>
        </w:tc>
        <w:tc>
          <w:tcPr>
            <w:tcW w:w="1134" w:type="dxa"/>
          </w:tcPr>
          <w:p>
            <w:pPr>
              <w:pStyle w:val="nTable"/>
              <w:spacing w:before="60" w:after="60"/>
            </w:pPr>
            <w:r>
              <w:t>16 Dec 2004</w:t>
            </w:r>
          </w:p>
        </w:tc>
        <w:tc>
          <w:tcPr>
            <w:tcW w:w="2496" w:type="dxa"/>
          </w:tcPr>
          <w:p>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snapToGrid w:val="0"/>
                <w:vertAlign w:val="superscript"/>
              </w:rPr>
            </w:pPr>
            <w:r>
              <w:rPr>
                <w:i/>
                <w:snapToGrid w:val="0"/>
              </w:rPr>
              <w:t>Planning and Development (Consequential and Transitional Provisions) Act 2005</w:t>
            </w:r>
            <w:r>
              <w:rPr>
                <w:snapToGrid w:val="0"/>
              </w:rPr>
              <w:t xml:space="preserve"> s. 15</w:t>
            </w:r>
          </w:p>
        </w:tc>
        <w:tc>
          <w:tcPr>
            <w:tcW w:w="1134" w:type="dxa"/>
          </w:tcPr>
          <w:p>
            <w:pPr>
              <w:pStyle w:val="nTable"/>
              <w:spacing w:before="60" w:after="60"/>
              <w:rPr>
                <w:snapToGrid w:val="0"/>
              </w:rPr>
            </w:pPr>
            <w:r>
              <w:rPr>
                <w:snapToGrid w:val="0"/>
              </w:rPr>
              <w:t>38 of 2005</w:t>
            </w:r>
          </w:p>
        </w:tc>
        <w:tc>
          <w:tcPr>
            <w:tcW w:w="1134" w:type="dxa"/>
          </w:tcPr>
          <w:p>
            <w:pPr>
              <w:pStyle w:val="nTable"/>
              <w:spacing w:before="60" w:after="60"/>
            </w:pPr>
            <w:r>
              <w:t>12 Dec 2005</w:t>
            </w:r>
          </w:p>
        </w:tc>
        <w:tc>
          <w:tcPr>
            <w:tcW w:w="2496" w:type="dxa"/>
          </w:tcPr>
          <w:p>
            <w:pPr>
              <w:pStyle w:val="nTable"/>
              <w:spacing w:before="60" w:after="6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rPr>
                <w:snapToGrid w:val="0"/>
              </w:rPr>
            </w:pPr>
            <w:r>
              <w:rPr>
                <w:b/>
              </w:rPr>
              <w:t xml:space="preserve">Reprint 3: The </w:t>
            </w:r>
            <w:r>
              <w:rPr>
                <w:b/>
                <w:i/>
              </w:rPr>
              <w:t>Control of Vehicles (Off-road Areas) Act 1978</w:t>
            </w:r>
            <w:r>
              <w:rPr>
                <w:b/>
              </w:rPr>
              <w:t xml:space="preserve"> as at 17 Feb 2006</w:t>
            </w:r>
            <w:r>
              <w:t xml:space="preserve"> (includes amendments listed above except those in the </w:t>
            </w:r>
            <w:r>
              <w:rPr>
                <w:i/>
              </w:rPr>
              <w:t xml:space="preserve">Road Traffic Amendment (Vehicle Licensing) Act 2001 </w:t>
            </w:r>
            <w:r>
              <w:t xml:space="preserve">and the </w:t>
            </w:r>
            <w:r>
              <w:rPr>
                <w:i/>
                <w:snapToGrid w:val="0"/>
              </w:rPr>
              <w:t>Planning and Development (Consequential and Transitional Provisions) Act 2005</w:t>
            </w:r>
            <w:r>
              <w:t>)</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i/>
                <w:snapToGrid w:val="0"/>
              </w:rPr>
            </w:pPr>
            <w:r>
              <w:rPr>
                <w:i/>
                <w:snapToGrid w:val="0"/>
              </w:rPr>
              <w:t xml:space="preserve">Machinery of Government (Miscellaneous Amendments) Act 2006 </w:t>
            </w:r>
            <w:r>
              <w:rPr>
                <w:snapToGrid w:val="0"/>
              </w:rPr>
              <w:t>Pt. 12 Div. 2</w:t>
            </w:r>
          </w:p>
        </w:tc>
        <w:tc>
          <w:tcPr>
            <w:tcW w:w="1134" w:type="dxa"/>
          </w:tcPr>
          <w:p>
            <w:pPr>
              <w:pStyle w:val="nTable"/>
              <w:spacing w:before="60" w:after="60"/>
              <w:rPr>
                <w:snapToGrid w:val="0"/>
              </w:rPr>
            </w:pPr>
            <w:r>
              <w:rPr>
                <w:snapToGrid w:val="0"/>
              </w:rPr>
              <w:t>28 of 2006</w:t>
            </w:r>
          </w:p>
        </w:tc>
        <w:tc>
          <w:tcPr>
            <w:tcW w:w="1134" w:type="dxa"/>
          </w:tcPr>
          <w:p>
            <w:pPr>
              <w:pStyle w:val="nTable"/>
              <w:spacing w:before="60" w:after="60"/>
            </w:pPr>
            <w:r>
              <w:t>26 Jun 2006</w:t>
            </w:r>
          </w:p>
        </w:tc>
        <w:tc>
          <w:tcPr>
            <w:tcW w:w="2496" w:type="dxa"/>
          </w:tcPr>
          <w:p>
            <w:pPr>
              <w:pStyle w:val="nTable"/>
              <w:spacing w:before="60" w:after="6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i/>
                <w:snapToGrid w:val="0"/>
              </w:rPr>
            </w:pPr>
            <w:r>
              <w:rPr>
                <w:i/>
                <w:snapToGrid w:val="0"/>
              </w:rPr>
              <w:t>Land Information Authority Act 2006</w:t>
            </w:r>
            <w:r>
              <w:rPr>
                <w:snapToGrid w:val="0"/>
              </w:rPr>
              <w:t xml:space="preserve"> s. 128 </w:t>
            </w:r>
          </w:p>
        </w:tc>
        <w:tc>
          <w:tcPr>
            <w:tcW w:w="1134" w:type="dxa"/>
          </w:tcPr>
          <w:p>
            <w:pPr>
              <w:pStyle w:val="nTable"/>
              <w:spacing w:before="60" w:after="60"/>
              <w:rPr>
                <w:snapToGrid w:val="0"/>
              </w:rPr>
            </w:pPr>
            <w:r>
              <w:rPr>
                <w:snapToGrid w:val="0"/>
              </w:rPr>
              <w:t>60 of 2006</w:t>
            </w:r>
          </w:p>
        </w:tc>
        <w:tc>
          <w:tcPr>
            <w:tcW w:w="1134" w:type="dxa"/>
          </w:tcPr>
          <w:p>
            <w:pPr>
              <w:pStyle w:val="nTable"/>
              <w:spacing w:before="60" w:after="60"/>
            </w:pPr>
            <w:r>
              <w:rPr>
                <w:snapToGrid w:val="0"/>
              </w:rPr>
              <w:t>16 Nov 2006</w:t>
            </w:r>
          </w:p>
        </w:tc>
        <w:tc>
          <w:tcPr>
            <w:tcW w:w="2496" w:type="dxa"/>
          </w:tcPr>
          <w:p>
            <w:pPr>
              <w:pStyle w:val="nTable"/>
              <w:spacing w:before="60" w:after="60"/>
              <w:rPr>
                <w:snapToGrid w:val="0"/>
              </w:rPr>
            </w:pPr>
            <w:r>
              <w:rPr>
                <w:snapToGrid w:val="0"/>
              </w:rPr>
              <w:t xml:space="preserve">1 Jan 2007 (see s. 2(1) and </w:t>
            </w:r>
            <w:r>
              <w:rPr>
                <w:i/>
                <w:iCs/>
                <w:snapToGrid w:val="0"/>
              </w:rPr>
              <w:t xml:space="preserve">Gazette </w:t>
            </w:r>
            <w:r>
              <w:rPr>
                <w:snapToGrid w:val="0"/>
              </w:rPr>
              <w:t>8 Dec 2006 p. 5369)</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i/>
                <w:snapToGrid w:val="0"/>
              </w:rPr>
            </w:pPr>
            <w:r>
              <w:rPr>
                <w:i/>
                <w:snapToGrid w:val="0"/>
              </w:rPr>
              <w:t xml:space="preserve">Financial Legislation Amendment and Repeal Act 2006 </w:t>
            </w:r>
            <w:r>
              <w:rPr>
                <w:iCs/>
                <w:snapToGrid w:val="0"/>
              </w:rPr>
              <w:t>Sch. 1 cl. 34</w:t>
            </w:r>
          </w:p>
        </w:tc>
        <w:tc>
          <w:tcPr>
            <w:tcW w:w="1134" w:type="dxa"/>
          </w:tcPr>
          <w:p>
            <w:pPr>
              <w:pStyle w:val="nTable"/>
              <w:spacing w:before="60" w:after="60"/>
              <w:rPr>
                <w:snapToGrid w:val="0"/>
              </w:rPr>
            </w:pPr>
            <w:r>
              <w:rPr>
                <w:snapToGrid w:val="0"/>
              </w:rPr>
              <w:t xml:space="preserve">77 of 2006 </w:t>
            </w:r>
          </w:p>
        </w:tc>
        <w:tc>
          <w:tcPr>
            <w:tcW w:w="1134" w:type="dxa"/>
          </w:tcPr>
          <w:p>
            <w:pPr>
              <w:pStyle w:val="nTable"/>
              <w:spacing w:before="60" w:after="60"/>
              <w:rPr>
                <w:snapToGrid w:val="0"/>
              </w:rPr>
            </w:pPr>
            <w:r>
              <w:rPr>
                <w:snapToGrid w:val="0"/>
              </w:rPr>
              <w:t>21 Dec 2006</w:t>
            </w:r>
          </w:p>
        </w:tc>
        <w:tc>
          <w:tcPr>
            <w:tcW w:w="2496" w:type="dxa"/>
          </w:tcPr>
          <w:p>
            <w:pPr>
              <w:pStyle w:val="nTable"/>
              <w:spacing w:before="60" w:after="6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rPr>
                <w:snapToGrid w:val="0"/>
              </w:rPr>
            </w:pPr>
            <w:r>
              <w:rPr>
                <w:b/>
              </w:rPr>
              <w:t xml:space="preserve">Reprint 4: The </w:t>
            </w:r>
            <w:r>
              <w:rPr>
                <w:b/>
                <w:i/>
              </w:rPr>
              <w:t>Control of Vehicles (Off-road Areas) Act 1978</w:t>
            </w:r>
            <w:r>
              <w:rPr>
                <w:b/>
              </w:rPr>
              <w:t xml:space="preserve"> as at 20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after="40"/>
              <w:ind w:right="113"/>
              <w:rPr>
                <w:iCs/>
              </w:rPr>
            </w:pPr>
            <w:r>
              <w:rPr>
                <w:i/>
              </w:rPr>
              <w:lastRenderedPageBreak/>
              <w:t>Statutes (Repeals and Miscellaneous Amendments) Act 2009</w:t>
            </w:r>
            <w:r>
              <w:rPr>
                <w:iCs/>
              </w:rPr>
              <w:t xml:space="preserve"> s. 40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496"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after="40"/>
              <w:rPr>
                <w:iCs/>
                <w:snapToGrid w:val="0"/>
              </w:rPr>
            </w:pPr>
            <w:r>
              <w:rPr>
                <w:i/>
                <w:snapToGrid w:val="0"/>
              </w:rPr>
              <w:t>Acts Amendment (Bankruptcy) Act 2009</w:t>
            </w:r>
            <w:r>
              <w:rPr>
                <w:iCs/>
                <w:snapToGrid w:val="0"/>
              </w:rPr>
              <w:t xml:space="preserve"> s. 22</w:t>
            </w:r>
          </w:p>
        </w:tc>
        <w:tc>
          <w:tcPr>
            <w:tcW w:w="1134" w:type="dxa"/>
          </w:tcPr>
          <w:p>
            <w:pPr>
              <w:pStyle w:val="nTable"/>
              <w:spacing w:after="40"/>
            </w:pPr>
            <w:r>
              <w:t>18 of 2009</w:t>
            </w:r>
          </w:p>
        </w:tc>
        <w:tc>
          <w:tcPr>
            <w:tcW w:w="1134" w:type="dxa"/>
          </w:tcPr>
          <w:p>
            <w:pPr>
              <w:pStyle w:val="nTable"/>
              <w:spacing w:after="40"/>
            </w:pPr>
            <w:r>
              <w:t>16 Sep 2009</w:t>
            </w:r>
          </w:p>
        </w:tc>
        <w:tc>
          <w:tcPr>
            <w:tcW w:w="2496"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after="40"/>
              <w:rPr>
                <w:i/>
                <w:snapToGrid w:val="0"/>
              </w:rPr>
            </w:pPr>
            <w:r>
              <w:rPr>
                <w:i/>
                <w:snapToGrid w:val="0"/>
              </w:rPr>
              <w:t>Approvals and Related Reforms (No. 4) (Planning) Act 2010</w:t>
            </w:r>
            <w:r>
              <w:t xml:space="preserve"> s. 29</w:t>
            </w:r>
          </w:p>
        </w:tc>
        <w:tc>
          <w:tcPr>
            <w:tcW w:w="1134" w:type="dxa"/>
          </w:tcPr>
          <w:p>
            <w:pPr>
              <w:pStyle w:val="nTable"/>
              <w:spacing w:after="40"/>
            </w:pPr>
            <w:r>
              <w:rPr>
                <w:snapToGrid w:val="0"/>
              </w:rPr>
              <w:t>28 of 2010</w:t>
            </w:r>
          </w:p>
        </w:tc>
        <w:tc>
          <w:tcPr>
            <w:tcW w:w="1134" w:type="dxa"/>
          </w:tcPr>
          <w:p>
            <w:pPr>
              <w:pStyle w:val="nTable"/>
              <w:spacing w:after="40"/>
            </w:pPr>
            <w:r>
              <w:rPr>
                <w:snapToGrid w:val="0"/>
              </w:rPr>
              <w:t>19 Aug 2010</w:t>
            </w:r>
          </w:p>
        </w:tc>
        <w:tc>
          <w:tcPr>
            <w:tcW w:w="2496" w:type="dxa"/>
          </w:tcPr>
          <w:p>
            <w:pPr>
              <w:pStyle w:val="nTable"/>
              <w:spacing w:after="40"/>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after="40"/>
              <w:rPr>
                <w:i/>
                <w:snapToGrid w:val="0"/>
              </w:rPr>
            </w:pPr>
            <w:r>
              <w:rPr>
                <w:i/>
                <w:snapToGrid w:val="0"/>
              </w:rPr>
              <w:t xml:space="preserve">Road Traffic Legislation Amendment Act 2012 </w:t>
            </w:r>
            <w:r>
              <w:rPr>
                <w:snapToGrid w:val="0"/>
              </w:rPr>
              <w:t>Pt. 4 Div. 10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496" w:type="dxa"/>
          </w:tcPr>
          <w:p>
            <w:pPr>
              <w:pStyle w:val="nTable"/>
              <w:spacing w:after="40"/>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5: The </w:t>
            </w:r>
            <w:r>
              <w:rPr>
                <w:b/>
                <w:i/>
              </w:rPr>
              <w:t>Control of Vehicles (Off-road Areas) Act 1978</w:t>
            </w:r>
            <w:r>
              <w:rPr>
                <w:b/>
              </w:rPr>
              <w:t xml:space="preserve"> as at 7 Sep 2012</w:t>
            </w:r>
            <w:r>
              <w:t xml:space="preserve"> (includes amendments listed above except those in the </w:t>
            </w:r>
            <w:r>
              <w:rPr>
                <w:i/>
                <w:snapToGrid w:val="0"/>
              </w:rPr>
              <w:t xml:space="preserve">Road Traffic Legislation Amendment Act 2012 </w:t>
            </w:r>
            <w:r>
              <w:rPr>
                <w:snapToGrid w:val="0"/>
              </w:rPr>
              <w:t>Pt. 4 Div. </w:t>
            </w:r>
            <w:r>
              <w:t>10)</w:t>
            </w:r>
          </w:p>
        </w:tc>
      </w:tr>
      <w:tr>
        <w:trPr>
          <w:cantSplit/>
        </w:trPr>
        <w:tc>
          <w:tcPr>
            <w:tcW w:w="2324" w:type="dxa"/>
            <w:tcBorders>
              <w:top w:val="nil"/>
              <w:bottom w:val="nil"/>
            </w:tcBorders>
          </w:tcPr>
          <w:p>
            <w:pPr>
              <w:pStyle w:val="nTable"/>
              <w:spacing w:after="40"/>
            </w:pPr>
            <w:r>
              <w:rPr>
                <w:i/>
                <w:snapToGrid w:val="0"/>
              </w:rPr>
              <w:t>Local Government Legislation Amendment Act 2019</w:t>
            </w:r>
            <w:r>
              <w:rPr>
                <w:snapToGrid w:val="0"/>
              </w:rPr>
              <w:t xml:space="preserve"> Pt. 4 Div. 4</w:t>
            </w:r>
          </w:p>
        </w:tc>
        <w:tc>
          <w:tcPr>
            <w:tcW w:w="1134" w:type="dxa"/>
            <w:tcBorders>
              <w:top w:val="nil"/>
              <w:bottom w:val="nil"/>
            </w:tcBorders>
          </w:tcPr>
          <w:p>
            <w:pPr>
              <w:pStyle w:val="nTable"/>
              <w:spacing w:after="40"/>
            </w:pPr>
            <w:r>
              <w:t>16 of 2019</w:t>
            </w:r>
          </w:p>
        </w:tc>
        <w:tc>
          <w:tcPr>
            <w:tcW w:w="1134" w:type="dxa"/>
            <w:tcBorders>
              <w:top w:val="nil"/>
              <w:bottom w:val="nil"/>
            </w:tcBorders>
            <w:shd w:val="clear" w:color="auto" w:fill="auto"/>
          </w:tcPr>
          <w:p>
            <w:pPr>
              <w:pStyle w:val="nTable"/>
              <w:spacing w:after="40"/>
            </w:pPr>
            <w:r>
              <w:t>5 Jul 2019</w:t>
            </w:r>
          </w:p>
        </w:tc>
        <w:tc>
          <w:tcPr>
            <w:tcW w:w="2496" w:type="dxa"/>
            <w:tcBorders>
              <w:top w:val="nil"/>
              <w:bottom w:val="nil"/>
            </w:tcBorders>
            <w:shd w:val="clear" w:color="auto" w:fill="auto"/>
          </w:tcPr>
          <w:p>
            <w:pPr>
              <w:pStyle w:val="nTable"/>
              <w:spacing w:after="40"/>
            </w:pPr>
            <w:r>
              <w:t>7 Nov 2020 (see s. 2(b) and SL 2020/212 cl. 2)</w:t>
            </w:r>
          </w:p>
        </w:tc>
      </w:tr>
      <w:tr>
        <w:trPr>
          <w:cantSplit/>
        </w:trPr>
        <w:tc>
          <w:tcPr>
            <w:tcW w:w="2324" w:type="dxa"/>
            <w:tcBorders>
              <w:top w:val="nil"/>
              <w:bottom w:val="nil"/>
            </w:tcBorders>
          </w:tcPr>
          <w:p>
            <w:pPr>
              <w:pStyle w:val="nTable"/>
              <w:spacing w:after="40"/>
              <w:rPr>
                <w:i/>
                <w:snapToGrid w:val="0"/>
              </w:rPr>
            </w:pPr>
            <w:r>
              <w:rPr>
                <w:i/>
                <w:snapToGrid w:val="0"/>
              </w:rPr>
              <w:t>Swan Valley Planning Act 2020</w:t>
            </w:r>
            <w:r>
              <w:rPr>
                <w:snapToGrid w:val="0"/>
              </w:rPr>
              <w:t xml:space="preserve"> Pt. 10 Div. 1</w:t>
            </w:r>
          </w:p>
        </w:tc>
        <w:tc>
          <w:tcPr>
            <w:tcW w:w="1134" w:type="dxa"/>
            <w:tcBorders>
              <w:top w:val="nil"/>
              <w:bottom w:val="nil"/>
            </w:tcBorders>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496" w:type="dxa"/>
            <w:tcBorders>
              <w:top w:val="nil"/>
              <w:bottom w:val="nil"/>
            </w:tcBorders>
            <w:shd w:val="clear" w:color="auto" w:fill="auto"/>
          </w:tcPr>
          <w:p>
            <w:pPr>
              <w:pStyle w:val="nTable"/>
              <w:spacing w:after="40"/>
            </w:pPr>
            <w:r>
              <w:rPr>
                <w:snapToGrid w:val="0"/>
              </w:rPr>
              <w:t>1 Aug 2021 (see s. 2(1)(e) and SL 2021/124 cl. 2)</w:t>
            </w:r>
          </w:p>
        </w:tc>
      </w:tr>
      <w:tr>
        <w:trPr>
          <w:cantSplit/>
        </w:trPr>
        <w:tc>
          <w:tcPr>
            <w:tcW w:w="2324" w:type="dxa"/>
            <w:tcBorders>
              <w:top w:val="nil"/>
              <w:bottom w:val="nil"/>
            </w:tcBorders>
          </w:tcPr>
          <w:p>
            <w:pPr>
              <w:pStyle w:val="nTable"/>
              <w:spacing w:after="40"/>
              <w:rPr>
                <w:i/>
                <w:snapToGrid w:val="0"/>
              </w:rPr>
            </w:pPr>
            <w:r>
              <w:rPr>
                <w:i/>
              </w:rPr>
              <w:t>Aboriginal Cultural Heritage Act 2021</w:t>
            </w:r>
            <w:r>
              <w:t xml:space="preserve"> s. 345</w:t>
            </w:r>
          </w:p>
        </w:tc>
        <w:tc>
          <w:tcPr>
            <w:tcW w:w="1134" w:type="dxa"/>
            <w:tcBorders>
              <w:top w:val="nil"/>
              <w:bottom w:val="nil"/>
            </w:tcBorders>
          </w:tcPr>
          <w:p>
            <w:pPr>
              <w:pStyle w:val="nTable"/>
              <w:spacing w:after="40"/>
            </w:pPr>
            <w:r>
              <w:t>27 of 2021</w:t>
            </w:r>
          </w:p>
        </w:tc>
        <w:tc>
          <w:tcPr>
            <w:tcW w:w="1134" w:type="dxa"/>
            <w:tcBorders>
              <w:top w:val="nil"/>
              <w:bottom w:val="nil"/>
            </w:tcBorders>
            <w:shd w:val="clear" w:color="auto" w:fill="auto"/>
          </w:tcPr>
          <w:p>
            <w:pPr>
              <w:pStyle w:val="nTable"/>
              <w:spacing w:after="40"/>
            </w:pPr>
            <w:r>
              <w:t>22 Dec 2021</w:t>
            </w:r>
          </w:p>
        </w:tc>
        <w:tc>
          <w:tcPr>
            <w:tcW w:w="2496" w:type="dxa"/>
            <w:tcBorders>
              <w:top w:val="nil"/>
              <w:bottom w:val="nil"/>
            </w:tcBorders>
            <w:shd w:val="clear" w:color="auto" w:fill="auto"/>
          </w:tcPr>
          <w:p>
            <w:pPr>
              <w:pStyle w:val="nTable"/>
              <w:spacing w:after="40"/>
              <w:rPr>
                <w:snapToGrid w:val="0"/>
              </w:rPr>
            </w:pPr>
            <w:r>
              <w:t>1 Jul 2023 (see s. 2(e) and SL 2023/40 cl. 2(b))</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after="40"/>
              <w:rPr>
                <w:i/>
              </w:rPr>
            </w:pPr>
            <w:r>
              <w:rPr>
                <w:i/>
                <w:snapToGrid w:val="0"/>
              </w:rPr>
              <w:t>Aboriginal Heritage Legislation Amendment and Repeal Act 2023</w:t>
            </w:r>
            <w:r>
              <w:rPr>
                <w:iCs/>
                <w:snapToGrid w:val="0"/>
              </w:rPr>
              <w:t xml:space="preserve"> s. 26</w:t>
            </w:r>
          </w:p>
        </w:tc>
        <w:tc>
          <w:tcPr>
            <w:tcW w:w="1134" w:type="dxa"/>
          </w:tcPr>
          <w:p>
            <w:pPr>
              <w:pStyle w:val="nTable"/>
              <w:spacing w:after="40"/>
            </w:pPr>
            <w:r>
              <w:t>23 of 2023</w:t>
            </w:r>
          </w:p>
        </w:tc>
        <w:tc>
          <w:tcPr>
            <w:tcW w:w="1134" w:type="dxa"/>
            <w:shd w:val="clear" w:color="auto" w:fill="auto"/>
          </w:tcPr>
          <w:p>
            <w:pPr>
              <w:pStyle w:val="nTable"/>
              <w:spacing w:after="40"/>
            </w:pPr>
            <w:r>
              <w:t>24 Oct 2023</w:t>
            </w:r>
          </w:p>
        </w:tc>
        <w:tc>
          <w:tcPr>
            <w:tcW w:w="2496" w:type="dxa"/>
            <w:shd w:val="clear" w:color="auto" w:fill="auto"/>
          </w:tcPr>
          <w:p>
            <w:pPr>
              <w:pStyle w:val="nTable"/>
              <w:spacing w:after="40"/>
            </w:pPr>
            <w:r>
              <w:rPr>
                <w:snapToGrid w:val="0"/>
              </w:rPr>
              <w:t>15 Nov 2023 (see s. 2(d) and SL 2023/161 cl. 2)</w:t>
            </w:r>
          </w:p>
        </w:tc>
      </w:tr>
      <w:tr>
        <w:tblPrEx>
          <w:tblBorders>
            <w:top w:val="none" w:sz="0" w:space="0" w:color="auto"/>
            <w:bottom w:val="none" w:sz="0" w:space="0" w:color="auto"/>
            <w:insideH w:val="none" w:sz="0" w:space="0" w:color="auto"/>
          </w:tblBorders>
        </w:tblPrEx>
        <w:trPr>
          <w:cantSplit/>
        </w:trPr>
        <w:tc>
          <w:tcPr>
            <w:tcW w:w="2324" w:type="dxa"/>
            <w:tcBorders>
              <w:bottom w:val="single" w:sz="4" w:space="0" w:color="auto"/>
            </w:tcBorders>
          </w:tcPr>
          <w:p>
            <w:pPr>
              <w:pStyle w:val="nTable"/>
              <w:spacing w:before="60" w:after="60"/>
              <w:ind w:right="113"/>
              <w:rPr>
                <w:iCs/>
              </w:rPr>
            </w:pPr>
            <w:r>
              <w:rPr>
                <w:i/>
              </w:rPr>
              <w:t>Control of Vehicles (Off</w:t>
            </w:r>
            <w:r>
              <w:rPr>
                <w:i/>
              </w:rPr>
              <w:noBreakHyphen/>
              <w:t>road Areas) Amendment Act 2025</w:t>
            </w:r>
            <w:r>
              <w:rPr>
                <w:iCs/>
              </w:rPr>
              <w:t xml:space="preserve"> (other than s.</w:t>
            </w:r>
            <w:r>
              <w:rPr>
                <w:i/>
              </w:rPr>
              <w:t> </w:t>
            </w:r>
            <w:r>
              <w:rPr>
                <w:iCs/>
              </w:rPr>
              <w:t>4, 5(1)-(3), 6, 7(1), 8 and 13)</w:t>
            </w:r>
          </w:p>
        </w:tc>
        <w:tc>
          <w:tcPr>
            <w:tcW w:w="1134" w:type="dxa"/>
            <w:tcBorders>
              <w:bottom w:val="single" w:sz="4" w:space="0" w:color="auto"/>
            </w:tcBorders>
          </w:tcPr>
          <w:p>
            <w:pPr>
              <w:pStyle w:val="nTable"/>
              <w:spacing w:before="60" w:after="60"/>
            </w:pPr>
            <w:r>
              <w:t>8 of 2025</w:t>
            </w:r>
          </w:p>
        </w:tc>
        <w:tc>
          <w:tcPr>
            <w:tcW w:w="1134" w:type="dxa"/>
            <w:tcBorders>
              <w:bottom w:val="single" w:sz="4" w:space="0" w:color="auto"/>
            </w:tcBorders>
          </w:tcPr>
          <w:p>
            <w:pPr>
              <w:pStyle w:val="nTable"/>
              <w:spacing w:before="60" w:after="60"/>
            </w:pPr>
            <w:r>
              <w:t>22 Aug 2025</w:t>
            </w:r>
          </w:p>
        </w:tc>
        <w:tc>
          <w:tcPr>
            <w:tcW w:w="2496" w:type="dxa"/>
            <w:tcBorders>
              <w:bottom w:val="single" w:sz="4" w:space="0" w:color="auto"/>
            </w:tcBorders>
          </w:tcPr>
          <w:p>
            <w:pPr>
              <w:pStyle w:val="nTable"/>
              <w:spacing w:before="60" w:after="60"/>
            </w:pPr>
            <w:r>
              <w:t>s. 1 and 2: 22 Aug 2025 (see s. 2(a));</w:t>
            </w:r>
            <w:r>
              <w:br/>
              <w:t>s. 3, 5(4), 7(2), 9-12, 14 and 15: 23 Aug 2025 (see s. 2(b))</w:t>
            </w:r>
          </w:p>
        </w:tc>
      </w:tr>
    </w:tbl>
    <w:p>
      <w:pPr>
        <w:pStyle w:val="nHeading3"/>
      </w:pPr>
      <w:bookmarkStart w:id="65" w:name="_Toc206690127"/>
      <w:r>
        <w:lastRenderedPageBreak/>
        <w:t>Uncommenced provisions table</w:t>
      </w:r>
      <w:bookmarkEnd w:id="65"/>
    </w:p>
    <w:p>
      <w:pPr>
        <w:pStyle w:val="nStatement"/>
        <w:keepNext/>
        <w:spacing w:after="240"/>
      </w:pPr>
      <w:r>
        <w:t xml:space="preserve">To view the text of the uncommenced provisions see </w:t>
      </w:r>
      <w:r>
        <w:rPr>
          <w:i/>
        </w:rPr>
        <w:t>Acts as passed</w:t>
      </w:r>
      <w:r>
        <w:t xml:space="preserve">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24"/>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24" w:type="dxa"/>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rPr>
                <w:vertAlign w:val="superscript"/>
              </w:rPr>
            </w:pPr>
            <w:r>
              <w:rPr>
                <w:i/>
                <w:snapToGrid w:val="0"/>
              </w:rPr>
              <w:t>Control of Vehicles (Off</w:t>
            </w:r>
            <w:r>
              <w:rPr>
                <w:i/>
                <w:snapToGrid w:val="0"/>
              </w:rPr>
              <w:noBreakHyphen/>
              <w:t>road Areas) Act 1978</w:t>
            </w:r>
            <w:r>
              <w:rPr>
                <w:snapToGrid w:val="0"/>
              </w:rPr>
              <w:t xml:space="preserve"> s. 11</w:t>
            </w:r>
          </w:p>
        </w:tc>
        <w:tc>
          <w:tcPr>
            <w:tcW w:w="1134" w:type="dxa"/>
            <w:tcBorders>
              <w:top w:val="single" w:sz="8" w:space="0" w:color="auto"/>
              <w:bottom w:val="nil"/>
            </w:tcBorders>
          </w:tcPr>
          <w:p>
            <w:pPr>
              <w:pStyle w:val="nTable"/>
              <w:spacing w:after="40"/>
            </w:pPr>
            <w:r>
              <w:rPr>
                <w:snapToGrid w:val="0"/>
              </w:rPr>
              <w:t>117 of 1978 (as amended by No. 7 of 2002 s. 7 and No. 8 of 2012 s. 65)</w:t>
            </w:r>
          </w:p>
        </w:tc>
        <w:tc>
          <w:tcPr>
            <w:tcW w:w="1134" w:type="dxa"/>
            <w:tcBorders>
              <w:top w:val="single" w:sz="8" w:space="0" w:color="auto"/>
              <w:bottom w:val="nil"/>
            </w:tcBorders>
          </w:tcPr>
          <w:p>
            <w:pPr>
              <w:pStyle w:val="nTable"/>
              <w:spacing w:after="40"/>
            </w:pPr>
            <w:r>
              <w:t>12 Dec 1978</w:t>
            </w:r>
          </w:p>
        </w:tc>
        <w:tc>
          <w:tcPr>
            <w:tcW w:w="2524" w:type="dxa"/>
            <w:tcBorders>
              <w:top w:val="single" w:sz="8" w:space="0" w:color="auto"/>
              <w:bottom w:val="nil"/>
            </w:tcBorders>
          </w:tcPr>
          <w:p>
            <w:pPr>
              <w:pStyle w:val="nTable"/>
              <w:spacing w:after="40"/>
            </w:pPr>
            <w:r>
              <w:t>To be proclaimed (see s. 2)</w:t>
            </w:r>
          </w:p>
        </w:tc>
      </w:tr>
      <w:tr>
        <w:trPr>
          <w:cantSplit/>
        </w:trPr>
        <w:tc>
          <w:tcPr>
            <w:tcW w:w="2268" w:type="dxa"/>
            <w:tcBorders>
              <w:top w:val="nil"/>
              <w:bottom w:val="nil"/>
            </w:tcBorders>
          </w:tcPr>
          <w:p>
            <w:pPr>
              <w:pStyle w:val="nTable"/>
              <w:spacing w:after="40"/>
              <w:ind w:right="113"/>
              <w:rPr>
                <w:i/>
                <w:snapToGrid w:val="0"/>
              </w:rPr>
            </w:pPr>
            <w:r>
              <w:rPr>
                <w:i/>
                <w:snapToGrid w:val="0"/>
              </w:rPr>
              <w:t>Aquatic Resources Management Act 2016</w:t>
            </w:r>
            <w:r>
              <w:rPr>
                <w:snapToGrid w:val="0"/>
              </w:rPr>
              <w:t xml:space="preserve"> s. 365</w:t>
            </w:r>
          </w:p>
        </w:tc>
        <w:tc>
          <w:tcPr>
            <w:tcW w:w="1134" w:type="dxa"/>
            <w:tcBorders>
              <w:top w:val="nil"/>
              <w:bottom w:val="nil"/>
            </w:tcBorders>
          </w:tcPr>
          <w:p>
            <w:pPr>
              <w:pStyle w:val="nTable"/>
              <w:spacing w:after="40"/>
              <w:rPr>
                <w:snapToGrid w:val="0"/>
              </w:rPr>
            </w:pPr>
            <w:r>
              <w:t>53 of 2016</w:t>
            </w:r>
          </w:p>
        </w:tc>
        <w:tc>
          <w:tcPr>
            <w:tcW w:w="1134" w:type="dxa"/>
            <w:tcBorders>
              <w:top w:val="nil"/>
              <w:bottom w:val="nil"/>
            </w:tcBorders>
          </w:tcPr>
          <w:p>
            <w:pPr>
              <w:pStyle w:val="nTable"/>
              <w:spacing w:after="40"/>
            </w:pPr>
            <w:r>
              <w:t>29 Nov 2016</w:t>
            </w:r>
          </w:p>
        </w:tc>
        <w:tc>
          <w:tcPr>
            <w:tcW w:w="2524" w:type="dxa"/>
            <w:tcBorders>
              <w:top w:val="nil"/>
              <w:bottom w:val="nil"/>
            </w:tcBorders>
          </w:tcPr>
          <w:p>
            <w:pPr>
              <w:pStyle w:val="nTable"/>
              <w:spacing w:after="40"/>
            </w:pPr>
            <w:r>
              <w:rPr>
                <w:snapToGrid w:val="0"/>
              </w:rPr>
              <w:t>To be proclaimed (see s. 2(b))</w:t>
            </w:r>
          </w:p>
        </w:tc>
      </w:tr>
      <w:tr>
        <w:trPr>
          <w:cantSplit/>
        </w:trPr>
        <w:tc>
          <w:tcPr>
            <w:tcW w:w="2268" w:type="dxa"/>
            <w:tcBorders>
              <w:top w:val="nil"/>
              <w:bottom w:val="single" w:sz="4" w:space="0" w:color="auto"/>
            </w:tcBorders>
          </w:tcPr>
          <w:p>
            <w:pPr>
              <w:pStyle w:val="nTable"/>
              <w:spacing w:after="40"/>
              <w:ind w:right="113"/>
              <w:rPr>
                <w:iCs/>
                <w:snapToGrid w:val="0"/>
              </w:rPr>
            </w:pPr>
            <w:r>
              <w:rPr>
                <w:i/>
              </w:rPr>
              <w:t>Control of Vehicles (Off</w:t>
            </w:r>
            <w:r>
              <w:rPr>
                <w:i/>
              </w:rPr>
              <w:noBreakHyphen/>
              <w:t>road Areas) Amendment Act 2025</w:t>
            </w:r>
            <w:r>
              <w:rPr>
                <w:iCs/>
              </w:rPr>
              <w:t xml:space="preserve"> s.</w:t>
            </w:r>
            <w:r>
              <w:rPr>
                <w:i/>
              </w:rPr>
              <w:t> </w:t>
            </w:r>
            <w:r>
              <w:rPr>
                <w:iCs/>
              </w:rPr>
              <w:t>4, 5(1)-(3), 6, 7(1), 8 and 13</w:t>
            </w:r>
          </w:p>
        </w:tc>
        <w:tc>
          <w:tcPr>
            <w:tcW w:w="1134" w:type="dxa"/>
            <w:tcBorders>
              <w:top w:val="nil"/>
              <w:bottom w:val="single" w:sz="4" w:space="0" w:color="auto"/>
            </w:tcBorders>
          </w:tcPr>
          <w:p>
            <w:pPr>
              <w:pStyle w:val="nTable"/>
              <w:spacing w:after="40"/>
            </w:pPr>
            <w:r>
              <w:t>8 of 2025</w:t>
            </w:r>
          </w:p>
        </w:tc>
        <w:tc>
          <w:tcPr>
            <w:tcW w:w="1134" w:type="dxa"/>
            <w:tcBorders>
              <w:top w:val="nil"/>
              <w:bottom w:val="single" w:sz="4" w:space="0" w:color="auto"/>
            </w:tcBorders>
          </w:tcPr>
          <w:p>
            <w:pPr>
              <w:pStyle w:val="nTable"/>
              <w:spacing w:after="40"/>
            </w:pPr>
            <w:r>
              <w:t>22 Aug 2025</w:t>
            </w:r>
          </w:p>
        </w:tc>
        <w:tc>
          <w:tcPr>
            <w:tcW w:w="2524" w:type="dxa"/>
            <w:tcBorders>
              <w:top w:val="nil"/>
              <w:bottom w:val="single" w:sz="4" w:space="0" w:color="auto"/>
            </w:tcBorders>
          </w:tcPr>
          <w:p>
            <w:pPr>
              <w:pStyle w:val="nTable"/>
              <w:spacing w:after="40"/>
              <w:rPr>
                <w:snapToGrid w:val="0"/>
              </w:rPr>
            </w:pPr>
            <w:r>
              <w:rPr>
                <w:snapToGrid w:val="0"/>
              </w:rPr>
              <w:t>To be proclaimed (see s. 2(c))</w:t>
            </w:r>
          </w:p>
        </w:tc>
      </w:tr>
    </w:tbl>
    <w:p>
      <w:pPr>
        <w:pStyle w:val="nHeading3"/>
      </w:pPr>
      <w:bookmarkStart w:id="66" w:name="_Toc206690128"/>
      <w:r>
        <w:t>Other notes</w:t>
      </w:r>
      <w:bookmarkEnd w:id="66"/>
    </w:p>
    <w:p>
      <w:pPr>
        <w:pStyle w:val="nNote"/>
        <w:rPr>
          <w:snapToGrid w:val="0"/>
        </w:rPr>
      </w:pPr>
      <w:r>
        <w:rPr>
          <w:vertAlign w:val="superscript"/>
        </w:rPr>
        <w:t>1</w:t>
      </w:r>
      <w:r>
        <w:rPr>
          <w:snapToGrid w:val="0"/>
        </w:rPr>
        <w:tab/>
        <w:t xml:space="preserve">The </w:t>
      </w:r>
      <w:r>
        <w:rPr>
          <w:i/>
          <w:snapToGrid w:val="0"/>
        </w:rPr>
        <w:t>Machinery of Government (Planning and Infrastructure) Amendment Act 2002</w:t>
      </w:r>
      <w:r>
        <w:rPr>
          <w:snapToGrid w:val="0"/>
        </w:rPr>
        <w:t xml:space="preserve"> s. 11(2) and (3) are transitional provisions that are of no further effect.</w:t>
      </w:r>
    </w:p>
    <w:p>
      <w:pPr>
        <w:pStyle w:val="nNote"/>
        <w:rPr>
          <w:snapToGrid w:val="0"/>
        </w:rPr>
      </w:pPr>
      <w:r>
        <w:rPr>
          <w:vertAlign w:val="superscript"/>
        </w:rPr>
        <w:t>2</w:t>
      </w:r>
      <w:r>
        <w:tab/>
      </w:r>
      <w:r>
        <w:rPr>
          <w:snapToGrid w:val="0"/>
        </w:rPr>
        <w:t xml:space="preserve">The </w:t>
      </w:r>
      <w:r>
        <w:rPr>
          <w:i/>
          <w:snapToGrid w:val="0"/>
        </w:rPr>
        <w:t>Courts Legislation Amendment and Repeal Act 2004</w:t>
      </w:r>
      <w:r>
        <w:rPr>
          <w:snapToGrid w:val="0"/>
        </w:rPr>
        <w:t xml:space="preserve"> Sch. 2 cl. 12 was repealed by the </w:t>
      </w:r>
      <w:r>
        <w:rPr>
          <w:i/>
          <w:iCs/>
          <w:snapToGrid w:val="0"/>
        </w:rPr>
        <w:t>Criminal Law and Evidence Amendment Act 2008</w:t>
      </w:r>
      <w:r>
        <w:rPr>
          <w:snapToGrid w:val="0"/>
        </w:rPr>
        <w:t xml:space="preserve"> s. 77(13).</w:t>
      </w:r>
    </w:p>
    <w:p>
      <w:pPr>
        <w:pStyle w:val="nNote"/>
        <w:keepNext/>
        <w:keepLines/>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68" w:name="_Toc206426983"/>
      <w:bookmarkStart w:id="69" w:name="_Toc206429535"/>
      <w:bookmarkStart w:id="70" w:name="_Toc206508892"/>
      <w:bookmarkStart w:id="71" w:name="_Toc206572494"/>
      <w:bookmarkStart w:id="72" w:name="_Toc206690129"/>
      <w:r>
        <w:rPr>
          <w:sz w:val="28"/>
        </w:rPr>
        <w:lastRenderedPageBreak/>
        <w:t>Defined terms</w:t>
      </w:r>
      <w:bookmarkEnd w:id="68"/>
      <w:bookmarkEnd w:id="69"/>
      <w:bookmarkEnd w:id="70"/>
      <w:bookmarkEnd w:id="71"/>
      <w:bookmarkEnd w:id="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37(5a)</w:t>
      </w:r>
    </w:p>
    <w:p>
      <w:pPr>
        <w:pStyle w:val="DefinedTerms"/>
      </w:pPr>
      <w:r>
        <w:t>authorised person</w:t>
      </w:r>
      <w:r>
        <w:tab/>
        <w:t>3(1)</w:t>
      </w:r>
    </w:p>
    <w:p>
      <w:pPr>
        <w:pStyle w:val="DefinedTerms"/>
      </w:pPr>
      <w:r>
        <w:t>certificate</w:t>
      </w:r>
      <w:r>
        <w:tab/>
        <w:t>3(1)</w:t>
      </w:r>
    </w:p>
    <w:p>
      <w:pPr>
        <w:pStyle w:val="DefinedTerms"/>
      </w:pPr>
      <w:r>
        <w:t>certificate of registration</w:t>
      </w:r>
      <w:r>
        <w:tab/>
        <w:t>3(1)</w:t>
      </w:r>
    </w:p>
    <w:p>
      <w:pPr>
        <w:pStyle w:val="DefinedTerms"/>
      </w:pPr>
      <w:r>
        <w:t>Committee</w:t>
      </w:r>
      <w:r>
        <w:tab/>
        <w:t>3(1)</w:t>
      </w:r>
    </w:p>
    <w:p>
      <w:pPr>
        <w:pStyle w:val="DefinedTerms"/>
      </w:pPr>
      <w:r>
        <w:t>Department</w:t>
      </w:r>
      <w:r>
        <w:tab/>
        <w:t>3(1)</w:t>
      </w:r>
    </w:p>
    <w:p>
      <w:pPr>
        <w:pStyle w:val="DefinedTerms"/>
      </w:pPr>
      <w:r>
        <w:t>Director General</w:t>
      </w:r>
      <w:r>
        <w:tab/>
        <w:t>3(1)</w:t>
      </w:r>
    </w:p>
    <w:p>
      <w:pPr>
        <w:pStyle w:val="DefinedTerms"/>
      </w:pPr>
      <w:r>
        <w:t>district</w:t>
      </w:r>
      <w:r>
        <w:tab/>
        <w:t>3(1)</w:t>
      </w:r>
    </w:p>
    <w:p>
      <w:pPr>
        <w:pStyle w:val="DefinedTerms"/>
      </w:pPr>
      <w:r>
        <w:t>drive</w:t>
      </w:r>
      <w:r>
        <w:tab/>
        <w:t>3(1)</w:t>
      </w:r>
    </w:p>
    <w:p>
      <w:pPr>
        <w:pStyle w:val="DefinedTerms"/>
      </w:pPr>
      <w:r>
        <w:t>driver</w:t>
      </w:r>
      <w:r>
        <w:tab/>
        <w:t>3(1)</w:t>
      </w:r>
    </w:p>
    <w:p>
      <w:pPr>
        <w:pStyle w:val="DefinedTerms"/>
      </w:pPr>
      <w:r>
        <w:t>infringement notice</w:t>
      </w:r>
      <w:r>
        <w:tab/>
        <w:t>3(1)</w:t>
      </w:r>
    </w:p>
    <w:p>
      <w:pPr>
        <w:pStyle w:val="DefinedTerms"/>
      </w:pPr>
      <w:r>
        <w:t>motor car</w:t>
      </w:r>
      <w:r>
        <w:tab/>
        <w:t>3(1)</w:t>
      </w:r>
    </w:p>
    <w:p>
      <w:pPr>
        <w:pStyle w:val="DefinedTerms"/>
      </w:pPr>
      <w:r>
        <w:t>motor cycle</w:t>
      </w:r>
      <w:r>
        <w:tab/>
        <w:t>3(1)</w:t>
      </w:r>
    </w:p>
    <w:p>
      <w:pPr>
        <w:pStyle w:val="DefinedTerms"/>
      </w:pPr>
      <w:r>
        <w:t>new owner</w:t>
      </w:r>
      <w:r>
        <w:tab/>
        <w:t>29A(4)</w:t>
      </w:r>
    </w:p>
    <w:p>
      <w:pPr>
        <w:pStyle w:val="DefinedTerms"/>
      </w:pPr>
      <w:r>
        <w:t>off</w:t>
      </w:r>
      <w:r>
        <w:noBreakHyphen/>
        <w:t>road vehicle</w:t>
      </w:r>
      <w:r>
        <w:tab/>
        <w:t>3(1)</w:t>
      </w:r>
    </w:p>
    <w:p>
      <w:pPr>
        <w:pStyle w:val="DefinedTerms"/>
      </w:pPr>
      <w:r>
        <w:t>owner</w:t>
      </w:r>
      <w:r>
        <w:tab/>
        <w:t>3(1)</w:t>
      </w:r>
    </w:p>
    <w:p>
      <w:pPr>
        <w:pStyle w:val="DefinedTerms"/>
      </w:pPr>
      <w:r>
        <w:t>permitted area</w:t>
      </w:r>
      <w:r>
        <w:tab/>
        <w:t>3(1)</w:t>
      </w:r>
    </w:p>
    <w:p>
      <w:pPr>
        <w:pStyle w:val="DefinedTerms"/>
      </w:pPr>
      <w:r>
        <w:t>private land</w:t>
      </w:r>
      <w:r>
        <w:tab/>
        <w:t>3(1)</w:t>
      </w:r>
    </w:p>
    <w:p>
      <w:pPr>
        <w:pStyle w:val="DefinedTerms"/>
      </w:pPr>
      <w:r>
        <w:t>prohibited area</w:t>
      </w:r>
      <w:r>
        <w:tab/>
        <w:t>3(1)</w:t>
      </w:r>
    </w:p>
    <w:p>
      <w:pPr>
        <w:pStyle w:val="DefinedTerms"/>
      </w:pPr>
      <w:r>
        <w:t>public authority</w:t>
      </w:r>
      <w:r>
        <w:tab/>
        <w:t>3(1)</w:t>
      </w:r>
    </w:p>
    <w:p>
      <w:pPr>
        <w:pStyle w:val="DefinedTerms"/>
      </w:pPr>
      <w:r>
        <w:t>responsible person</w:t>
      </w:r>
      <w:r>
        <w:tab/>
        <w:t>3(1)</w:t>
      </w:r>
    </w:p>
    <w:p>
      <w:pPr>
        <w:pStyle w:val="DefinedTerms"/>
      </w:pPr>
      <w:r>
        <w:t>road</w:t>
      </w:r>
      <w:r>
        <w:tab/>
        <w:t>3(1)</w:t>
      </w:r>
    </w:p>
    <w:p>
      <w:pPr>
        <w:pStyle w:val="DefinedTerms"/>
      </w:pPr>
      <w:r>
        <w:t>seat belt</w:t>
      </w:r>
      <w:r>
        <w:tab/>
        <w:t>3(1)</w:t>
      </w:r>
    </w:p>
    <w:p>
      <w:pPr>
        <w:pStyle w:val="DefinedTerms"/>
      </w:pPr>
      <w:r>
        <w:t>seat position</w:t>
      </w:r>
      <w:r>
        <w:tab/>
        <w:t>3(1)</w:t>
      </w:r>
    </w:p>
    <w:p>
      <w:pPr>
        <w:pStyle w:val="DefinedTerms"/>
      </w:pPr>
      <w:r>
        <w:t>vehicle</w:t>
      </w:r>
      <w:r>
        <w:tab/>
        <w:t>3(1)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Aug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Aug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Aug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3" w:name="DefinedTerms"/>
    <w:bookmarkEnd w:id="7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4" w:name="Coversheet"/>
    <w:bookmarkEnd w:id="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59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092543"/>
    <w:docVar w:name="WAFER_20131217142932" w:val="RemoveTocBookmarks,RemoveUnusedBookmarks,RemoveLanguageTags,UsedStyles,ResetPageSize,UpdateArrangement"/>
    <w:docVar w:name="WAFER_20131217142932_GUID" w:val="8aede0fc-ff03-4ab2-9eb0-ddbd4968851a"/>
    <w:docVar w:name="WAFER_20150401143524" w:val="ResetPageSize,UpdateArrangement,UpdateNTable"/>
    <w:docVar w:name="WAFER_20150401143524_GUID" w:val="460667e0-faf2-4deb-9331-d3f3a012d25d"/>
    <w:docVar w:name="WAFER_20150401144006" w:val="ResetPageSize,UpdateArrangement,UpdateNTable"/>
    <w:docVar w:name="WAFER_20150401144006_GUID" w:val="638bcb77-22a2-4fec-b42a-8c03ca4b7864"/>
    <w:docVar w:name="WAFER_20151102161953" w:val="UpdateStyles,UsedStyles"/>
    <w:docVar w:name="WAFER_20151102161953_GUID" w:val="488cffec-6f32-4fe9-9e8c-fb656cf7556b"/>
    <w:docVar w:name="WAFER_202002120902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0252_GUID" w:val="d176a224-a656-4f10-bae4-27deaea8a194"/>
    <w:docVar w:name="WAFER_20201015163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3952_GUID" w:val="34538d1a-e844-42ce-9522-f06599499db0"/>
    <w:docVar w:name="WAFER_20201209152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025_GUID" w:val="4ab11dbf-f23b-4bdf-aceb-747706c2925a"/>
    <w:docVar w:name="WAFER_20210715111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458_GUID" w:val="bc85fc8e-2b36-4241-bc3c-018e24c57142"/>
    <w:docVar w:name="WAFER_202107271110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040_GUID" w:val="dfeace2a-a2ad-47cc-870f-655dd1fbb294"/>
    <w:docVar w:name="WAFER_20211221101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1051_GUID" w:val="74dea2ae-d4bf-42a0-afb6-eb1028258d01"/>
    <w:docVar w:name="WAFER_20230515102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2004_GUID" w:val="e3c0f9f2-acd0-46f5-b73f-ce435ac09cd6"/>
    <w:docVar w:name="WAFER_202306271058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846_GUID" w:val="67e867a9-190d-4c41-a271-85264aeebd9f"/>
    <w:docVar w:name="WAFER_20231019104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04313_GUID" w:val="2916a246-e2b6-4ae3-8fdb-6e70678032b5"/>
    <w:docVar w:name="WAFER_20231027133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33311_GUID" w:val="d2509358-79ac-47d2-aa70-8846fed9f2ac"/>
    <w:docVar w:name="WAFER_202311091134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13418_GUID" w:val="597d2481-8c9d-4dc7-bb91-c5cd1919fb05"/>
    <w:docVar w:name="WAFER_202312220925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2543_GUID" w:val="3a85aafb-46c4-4a73-b56a-174bb6b02a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5953"/>
    <o:shapelayout v:ext="edit">
      <o:idmap v:ext="edit" data="1"/>
    </o:shapelayout>
  </w:shapeDefaults>
  <w:decimalSymbol w:val="."/>
  <w:listSeparator w:val=","/>
  <w15:docId w15:val="{DA1D0AB2-1E10-4710-A941-B6C311978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18148</Words>
  <Characters>82395</Characters>
  <Application>Microsoft Office Word</Application>
  <DocSecurity>0</DocSecurity>
  <Lines>2226</Lines>
  <Paragraphs>1047</Paragraphs>
  <ScaleCrop>false</ScaleCrop>
  <HeadingPairs>
    <vt:vector size="2" baseType="variant">
      <vt:variant>
        <vt:lpstr>Title</vt:lpstr>
      </vt:variant>
      <vt:variant>
        <vt:i4>1</vt:i4>
      </vt:variant>
    </vt:vector>
  </HeadingPairs>
  <TitlesOfParts>
    <vt:vector size="1" baseType="lpstr">
      <vt:lpstr>Control of Vehicles (Off-road Areas) Act 1978</vt:lpstr>
    </vt:vector>
  </TitlesOfParts>
  <Manager/>
  <Company/>
  <LinksUpToDate>false</LinksUpToDate>
  <CharactersWithSpaces>99496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1978 - 05-l0-00</dc:title>
  <dc:subject/>
  <dc:creator/>
  <cp:keywords/>
  <dc:description/>
  <cp:lastModifiedBy>Master Repository Process</cp:lastModifiedBy>
  <cp:revision>4</cp:revision>
  <cp:lastPrinted>2012-09-13T06:31:00Z</cp:lastPrinted>
  <dcterms:created xsi:type="dcterms:W3CDTF">2025-08-22T06:34:00Z</dcterms:created>
  <dcterms:modified xsi:type="dcterms:W3CDTF">2025-08-22T06:34:00Z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DocumentType">
    <vt:lpwstr>Act</vt:lpwstr>
  </property>
  <property fmtid="{D5CDD505-2E9C-101B-9397-08002B2CF9AE}" pid="4" name="OwlsUID">
    <vt:i4>179</vt:i4>
  </property>
  <property fmtid="{D5CDD505-2E9C-101B-9397-08002B2CF9AE}" pid="5" name="ReprintNo">
    <vt:lpwstr>5</vt:lpwstr>
  </property>
  <property fmtid="{D5CDD505-2E9C-101B-9397-08002B2CF9AE}" pid="6" name="ReprintedAsAt">
    <vt:filetime>2012-09-06T16:00:00Z</vt:filetime>
  </property>
  <property fmtid="{D5CDD505-2E9C-101B-9397-08002B2CF9AE}" pid="7" name="AsAtDate">
    <vt:lpwstr>23 Aug 2025</vt:lpwstr>
  </property>
  <property fmtid="{D5CDD505-2E9C-101B-9397-08002B2CF9AE}" pid="8" name="Suffix">
    <vt:lpwstr>05-l0-00</vt:lpwstr>
  </property>
  <property fmtid="{D5CDD505-2E9C-101B-9397-08002B2CF9AE}" pid="9" name="Official">
    <vt:lpwstr/>
  </property>
  <property fmtid="{D5CDD505-2E9C-101B-9397-08002B2CF9AE}" pid="10" name="CommencementDate">
    <vt:lpwstr>20250823</vt:lpwstr>
  </property>
  <property fmtid="{D5CDD505-2E9C-101B-9397-08002B2CF9AE}" pid="11" name="CommencementAsAt">
    <vt:filetime>2025-08-22T16:00:00Z</vt:filetime>
  </property>
  <property fmtid="{D5CDD505-2E9C-101B-9397-08002B2CF9AE}" pid="12" name="CommencementYear">
    <vt:lpwstr>2025</vt:lpwstr>
  </property>
</Properties>
</file>