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rPr>
          <w:noProof/>
        </w:rPr>
        <w:br/>
        <w:t>Petroleum and Geothermal Energy Resources Act 1967</w:t>
      </w:r>
      <w:r>
        <w:rPr>
          <w:noProof/>
        </w:rPr>
        <w:br/>
        <w:t>Petroleum (Submerged Lands)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(Transfer of Royalty Administration)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(Transfer of Royalty Administration)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_Toc207206455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_Toc207206456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 xml:space="preserve">Mining Regulations 1981 </w:t>
      </w:r>
      <w:r>
        <w:rPr>
          <w:iCs/>
        </w:rP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_Toc207206458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_Toc207206459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28A deleted</w:t>
      </w:r>
      <w:r>
        <w:tab/>
      </w:r>
      <w:r>
        <w:fldChar w:fldCharType="begin"/>
      </w:r>
      <w:r>
        <w:instrText xml:space="preserve"> PAGEREF _Toc207206460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59A amended</w:t>
      </w:r>
      <w:r>
        <w:tab/>
      </w:r>
      <w:r>
        <w:fldChar w:fldCharType="begin"/>
      </w:r>
      <w:r>
        <w:instrText xml:space="preserve"> PAGEREF _Toc207206461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59B amended</w:t>
      </w:r>
      <w:r>
        <w:tab/>
      </w:r>
      <w:r>
        <w:fldChar w:fldCharType="begin"/>
      </w:r>
      <w:r>
        <w:instrText xml:space="preserve"> PAGEREF _Toc207206462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Part V Division 5 deleted</w:t>
      </w:r>
      <w:r>
        <w:tab/>
      </w:r>
      <w:r>
        <w:fldChar w:fldCharType="begin"/>
      </w:r>
      <w:r>
        <w:instrText xml:space="preserve"> PAGEREF _Toc207206463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96 amended</w:t>
      </w:r>
      <w:r>
        <w:tab/>
      </w:r>
      <w:r>
        <w:fldChar w:fldCharType="begin"/>
      </w:r>
      <w:r>
        <w:instrText xml:space="preserve"> PAGEREF _Toc207206464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96CB deleted</w:t>
      </w:r>
      <w:r>
        <w:tab/>
      </w:r>
      <w:r>
        <w:fldChar w:fldCharType="begin"/>
      </w:r>
      <w:r>
        <w:instrText xml:space="preserve"> PAGEREF _Toc207206465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105 amended</w:t>
      </w:r>
      <w:r>
        <w:tab/>
      </w:r>
      <w:r>
        <w:fldChar w:fldCharType="begin"/>
      </w:r>
      <w:r>
        <w:instrText xml:space="preserve"> PAGEREF _Toc207206466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111 amended</w:t>
      </w:r>
      <w:r>
        <w:tab/>
      </w:r>
      <w:r>
        <w:fldChar w:fldCharType="begin"/>
      </w:r>
      <w:r>
        <w:instrText xml:space="preserve"> PAGEREF _Toc207206467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113 deleted</w:t>
      </w:r>
      <w:r>
        <w:tab/>
      </w:r>
      <w:r>
        <w:fldChar w:fldCharType="begin"/>
      </w:r>
      <w:r>
        <w:instrText xml:space="preserve"> PAGEREF _Toc207206468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Petroleum and Geothermal Energy Resources (Resource Management and Administration) Regulations 2015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_Toc207206470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94A amended</w:t>
      </w:r>
      <w:r>
        <w:tab/>
      </w:r>
      <w:r>
        <w:fldChar w:fldCharType="begin"/>
      </w:r>
      <w:r>
        <w:instrText xml:space="preserve"> PAGEREF _Toc207206471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4 — </w:t>
      </w:r>
      <w:r>
        <w:rPr>
          <w:i/>
        </w:rPr>
        <w:t>Petroleum (Submerged Lands) (Resource Management and Administration) Regulations 2015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_Toc207206473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93A amended</w:t>
      </w:r>
      <w:r>
        <w:tab/>
      </w:r>
      <w:r>
        <w:fldChar w:fldCharType="begin"/>
      </w:r>
      <w:r>
        <w:instrText xml:space="preserve"> PAGEREF _Toc207206474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Mining Act 1978</w:t>
      </w:r>
      <w:r>
        <w:br/>
      </w:r>
      <w:r>
        <w:rPr>
          <w:iCs/>
        </w:rPr>
        <w:t>Petroleum and Geothermal Energy Resources Act 1967</w:t>
      </w:r>
      <w:r>
        <w:rPr>
          <w:iCs/>
        </w:rPr>
        <w:br/>
        <w:t>Petroleum (Submerged Lands) Act 1982</w:t>
      </w:r>
    </w:p>
    <w:p>
      <w:pPr>
        <w:pStyle w:val="NameofActReg"/>
      </w:pPr>
      <w:r>
        <w:t>Mines and Petroleum Regulations Amendment (Transfer of Royalty Administration)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7097205"/>
      <w:bookmarkStart w:id="3" w:name="_Toc207097343"/>
      <w:bookmarkStart w:id="4" w:name="_Toc207097483"/>
      <w:bookmarkStart w:id="5" w:name="_Toc207097668"/>
      <w:bookmarkStart w:id="6" w:name="_Toc20720645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207097206"/>
      <w:bookmarkStart w:id="8" w:name="_Toc207206455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Mines and Petroleum Regulations Amendment (Transfer of Royalty Administration) Regulations 2025</w:t>
      </w:r>
      <w:r>
        <w:t>.</w:t>
      </w:r>
    </w:p>
    <w:p>
      <w:pPr>
        <w:pStyle w:val="Heading5"/>
        <w:rPr>
          <w:spacing w:val="-2"/>
        </w:rPr>
      </w:pPr>
      <w:bookmarkStart w:id="10" w:name="_Toc207097207"/>
      <w:bookmarkStart w:id="11" w:name="_Toc2072064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2025.</w:t>
      </w:r>
    </w:p>
    <w:p>
      <w:pPr>
        <w:pStyle w:val="Heading2"/>
      </w:pPr>
      <w:bookmarkStart w:id="12" w:name="_Toc207097208"/>
      <w:bookmarkStart w:id="13" w:name="_Toc207097346"/>
      <w:bookmarkStart w:id="14" w:name="_Toc207097486"/>
      <w:bookmarkStart w:id="15" w:name="_Toc207097671"/>
      <w:bookmarkStart w:id="16" w:name="_Toc20720645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Mining Regulations 1981 </w:t>
      </w:r>
      <w:r>
        <w:rPr>
          <w:rStyle w:val="CharPartText"/>
          <w:iCs/>
        </w:rPr>
        <w:t>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207097209"/>
      <w:bookmarkStart w:id="18" w:name="_Toc2072064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Mining Regulations 1981</w:t>
      </w:r>
      <w:r>
        <w:t>.</w:t>
      </w:r>
    </w:p>
    <w:p>
      <w:pPr>
        <w:pStyle w:val="Heading5"/>
      </w:pPr>
      <w:bookmarkStart w:id="19" w:name="_Toc207097210"/>
      <w:bookmarkStart w:id="20" w:name="_Toc207206459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In regulation 2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quarterly period</w:t>
      </w:r>
    </w:p>
    <w:p>
      <w:pPr>
        <w:pStyle w:val="DeleteListSub"/>
        <w:rPr>
          <w:b/>
          <w:i/>
        </w:rPr>
      </w:pPr>
      <w:r>
        <w:rPr>
          <w:b/>
          <w:i/>
        </w:rPr>
        <w:t>royalty return</w:t>
      </w:r>
    </w:p>
    <w:p>
      <w:pPr>
        <w:pStyle w:val="Subsection"/>
      </w:pPr>
      <w:r>
        <w:tab/>
        <w:t>(2)</w:t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additional rent</w:t>
      </w:r>
      <w:r>
        <w:t xml:space="preserve"> has the meaning given in section 120E(1);</w:t>
      </w:r>
    </w:p>
    <w:p>
      <w:pPr>
        <w:pStyle w:val="BlankClose"/>
      </w:pPr>
    </w:p>
    <w:p>
      <w:pPr>
        <w:pStyle w:val="Heading5"/>
      </w:pPr>
      <w:bookmarkStart w:id="21" w:name="_Toc207097211"/>
      <w:bookmarkStart w:id="22" w:name="_Toc207206460"/>
      <w:r>
        <w:rPr>
          <w:rStyle w:val="CharSectno"/>
        </w:rPr>
        <w:t>5</w:t>
      </w:r>
      <w:r>
        <w:t>.</w:t>
      </w:r>
      <w:r>
        <w:tab/>
        <w:t>Regulation 28A deleted</w:t>
      </w:r>
      <w:bookmarkEnd w:id="21"/>
      <w:bookmarkEnd w:id="22"/>
    </w:p>
    <w:p>
      <w:pPr>
        <w:pStyle w:val="Subsection"/>
      </w:pPr>
      <w:r>
        <w:tab/>
      </w:r>
      <w:r>
        <w:tab/>
        <w:t>Delete regulation 28A.</w:t>
      </w:r>
    </w:p>
    <w:p>
      <w:pPr>
        <w:pStyle w:val="Heading5"/>
      </w:pPr>
      <w:bookmarkStart w:id="23" w:name="_Toc207097212"/>
      <w:bookmarkStart w:id="24" w:name="_Toc207206461"/>
      <w:r>
        <w:rPr>
          <w:rStyle w:val="CharSectno"/>
        </w:rPr>
        <w:t>6</w:t>
      </w:r>
      <w:r>
        <w:t>.</w:t>
      </w:r>
      <w:r>
        <w:tab/>
        <w:t>Regulation 59A amended</w:t>
      </w:r>
      <w:bookmarkEnd w:id="23"/>
      <w:bookmarkEnd w:id="24"/>
    </w:p>
    <w:p>
      <w:pPr>
        <w:pStyle w:val="Subsection"/>
      </w:pPr>
      <w:r>
        <w:tab/>
      </w:r>
      <w:r>
        <w:tab/>
        <w:t>At the end of regulation 59A(4) insert:</w:t>
      </w:r>
    </w:p>
    <w:p>
      <w:pPr>
        <w:pStyle w:val="BlankOpen"/>
      </w:pPr>
    </w:p>
    <w:p>
      <w:pPr>
        <w:pStyle w:val="zPermNoteHeading"/>
      </w:pPr>
      <w:r>
        <w:tab/>
        <w:t>Note for this subregulation:</w:t>
      </w:r>
    </w:p>
    <w:p>
      <w:pPr>
        <w:pStyle w:val="zPermNoteText"/>
      </w:pPr>
      <w:r>
        <w:tab/>
      </w:r>
      <w:r>
        <w:tab/>
        <w:t xml:space="preserve">The </w:t>
      </w:r>
      <w:r>
        <w:rPr>
          <w:i/>
          <w:iCs/>
        </w:rPr>
        <w:t>Mining (Royalties) Regulations 2025</w:t>
      </w:r>
      <w:r>
        <w:t xml:space="preserve"> prescribe requirements for documents related to, or connected with, a royalty or additional rent under Part 5A of the Act.</w:t>
      </w:r>
    </w:p>
    <w:p>
      <w:pPr>
        <w:pStyle w:val="BlankClose"/>
      </w:pPr>
    </w:p>
    <w:p>
      <w:pPr>
        <w:pStyle w:val="Heading5"/>
      </w:pPr>
      <w:bookmarkStart w:id="25" w:name="_Toc207097213"/>
      <w:bookmarkStart w:id="26" w:name="_Toc207206462"/>
      <w:r>
        <w:rPr>
          <w:rStyle w:val="CharSectno"/>
        </w:rPr>
        <w:t>7</w:t>
      </w:r>
      <w:r>
        <w:t>.</w:t>
      </w:r>
      <w:r>
        <w:tab/>
        <w:t>Regulation 59B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In regulation 59B(1) in the definition of </w:t>
      </w:r>
      <w:r>
        <w:rPr>
          <w:b/>
          <w:i/>
        </w:rPr>
        <w:t>mining tenement document</w:t>
      </w:r>
      <w:r>
        <w:t xml:space="preserve"> delete “section 162(3A) of the Act.”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162(3A).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After regulation 59B(1)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This regulation does not apply to a mining tenement document that relates to, or is connected with, a royalty or additional rent under Part 5A of the Act.</w:t>
      </w:r>
    </w:p>
    <w:p>
      <w:pPr>
        <w:pStyle w:val="BlankClose"/>
      </w:pPr>
    </w:p>
    <w:p>
      <w:pPr>
        <w:pStyle w:val="Heading5"/>
      </w:pPr>
      <w:bookmarkStart w:id="27" w:name="_Toc207097214"/>
      <w:bookmarkStart w:id="28" w:name="_Toc207206463"/>
      <w:r>
        <w:rPr>
          <w:rStyle w:val="CharSectno"/>
        </w:rPr>
        <w:t>8</w:t>
      </w:r>
      <w:r>
        <w:t>.</w:t>
      </w:r>
      <w:r>
        <w:tab/>
        <w:t>Part V Division 5 deleted</w:t>
      </w:r>
      <w:bookmarkEnd w:id="27"/>
      <w:bookmarkEnd w:id="28"/>
    </w:p>
    <w:p>
      <w:pPr>
        <w:pStyle w:val="Subsection"/>
      </w:pPr>
      <w:r>
        <w:tab/>
      </w:r>
      <w:r>
        <w:tab/>
        <w:t>Delete Part V Division 5.</w:t>
      </w:r>
    </w:p>
    <w:p>
      <w:pPr>
        <w:pStyle w:val="Heading5"/>
      </w:pPr>
      <w:bookmarkStart w:id="29" w:name="_Toc207097215"/>
      <w:bookmarkStart w:id="30" w:name="_Toc207206464"/>
      <w:r>
        <w:rPr>
          <w:rStyle w:val="CharSectno"/>
        </w:rPr>
        <w:t>9</w:t>
      </w:r>
      <w:r>
        <w:t>.</w:t>
      </w:r>
      <w:r>
        <w:tab/>
        <w:t>Regulation 96 amended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>In regulation 96(1)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production report</w:t>
      </w:r>
      <w:r>
        <w:t xml:space="preserve"> has the meaning given in the </w:t>
      </w:r>
      <w:r>
        <w:rPr>
          <w:i/>
          <w:iCs/>
        </w:rPr>
        <w:t>Mining (Royalties) Regulations 2025</w:t>
      </w:r>
      <w:r>
        <w:t xml:space="preserve"> regulation 3;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96(1) in the definition of </w:t>
      </w:r>
      <w:r>
        <w:rPr>
          <w:b/>
          <w:i/>
        </w:rPr>
        <w:t>mining information</w:t>
      </w:r>
      <w:r>
        <w:t xml:space="preserve"> paragraph (a)(iv) delete “report furnished under regulation 85A(1) or (2),”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report,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96(4a) delete “report furnished under regulation 85A(1).”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report.</w:t>
      </w:r>
    </w:p>
    <w:p>
      <w:pPr>
        <w:pStyle w:val="BlankClose"/>
      </w:pPr>
    </w:p>
    <w:p>
      <w:pPr>
        <w:pStyle w:val="Heading5"/>
      </w:pPr>
      <w:bookmarkStart w:id="31" w:name="_Toc207097216"/>
      <w:bookmarkStart w:id="32" w:name="_Toc207206465"/>
      <w:r>
        <w:rPr>
          <w:rStyle w:val="CharSectno"/>
        </w:rPr>
        <w:t>10</w:t>
      </w:r>
      <w:r>
        <w:t>.</w:t>
      </w:r>
      <w:r>
        <w:tab/>
        <w:t>Regulation 96CB deleted</w:t>
      </w:r>
      <w:bookmarkEnd w:id="31"/>
      <w:bookmarkEnd w:id="32"/>
    </w:p>
    <w:p>
      <w:pPr>
        <w:pStyle w:val="Subsection"/>
      </w:pPr>
      <w:r>
        <w:tab/>
      </w:r>
      <w:r>
        <w:tab/>
        <w:t>Delete regulation 96CB.</w:t>
      </w:r>
    </w:p>
    <w:p>
      <w:pPr>
        <w:pStyle w:val="Heading5"/>
      </w:pPr>
      <w:bookmarkStart w:id="33" w:name="_Toc207097217"/>
      <w:bookmarkStart w:id="34" w:name="_Toc207206466"/>
      <w:r>
        <w:rPr>
          <w:rStyle w:val="CharSectno"/>
        </w:rPr>
        <w:lastRenderedPageBreak/>
        <w:t>11</w:t>
      </w:r>
      <w:r>
        <w:t>.</w:t>
      </w:r>
      <w:r>
        <w:tab/>
        <w:t>Regulation 105 amended</w:t>
      </w:r>
      <w:bookmarkEnd w:id="33"/>
      <w:bookmarkEnd w:id="34"/>
    </w:p>
    <w:p>
      <w:pPr>
        <w:pStyle w:val="Subsection"/>
      </w:pPr>
      <w:r>
        <w:tab/>
      </w:r>
      <w:r>
        <w:tab/>
        <w:t>After regulation 105(3)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>Subregulation (2) does not apply to a document issued in relation to, or in connection with, a royalty or additional rent under Part 5A of the Act.</w:t>
      </w:r>
    </w:p>
    <w:p>
      <w:pPr>
        <w:pStyle w:val="BlankClose"/>
      </w:pPr>
    </w:p>
    <w:p>
      <w:pPr>
        <w:pStyle w:val="Heading5"/>
      </w:pPr>
      <w:bookmarkStart w:id="35" w:name="_Toc207097218"/>
      <w:bookmarkStart w:id="36" w:name="_Toc207206467"/>
      <w:r>
        <w:rPr>
          <w:rStyle w:val="CharSectno"/>
        </w:rPr>
        <w:t>12</w:t>
      </w:r>
      <w:r>
        <w:t>.</w:t>
      </w:r>
      <w:r>
        <w:tab/>
        <w:t>Regulation 111 amended</w:t>
      </w:r>
      <w:bookmarkEnd w:id="35"/>
      <w:bookmarkEnd w:id="36"/>
    </w:p>
    <w:p>
      <w:pPr>
        <w:pStyle w:val="Subsection"/>
      </w:pPr>
      <w:r>
        <w:tab/>
      </w:r>
      <w:r>
        <w:tab/>
        <w:t>After regulation 111(1) insert:</w:t>
      </w:r>
    </w:p>
    <w:p>
      <w:pPr>
        <w:pStyle w:val="BlankOpen"/>
      </w:pPr>
    </w:p>
    <w:p>
      <w:pPr>
        <w:pStyle w:val="zPermNoteHeading"/>
      </w:pPr>
      <w:r>
        <w:tab/>
        <w:t>Note for this subregulation:</w:t>
      </w:r>
    </w:p>
    <w:p>
      <w:pPr>
        <w:pStyle w:val="zPermNoteText"/>
      </w:pPr>
      <w:r>
        <w:tab/>
      </w:r>
      <w:r>
        <w:tab/>
        <w:t xml:space="preserve">The </w:t>
      </w:r>
      <w:r>
        <w:rPr>
          <w:i/>
          <w:iCs/>
        </w:rPr>
        <w:t>Mining (Royalties) Regulations 2025</w:t>
      </w:r>
      <w:r>
        <w:t xml:space="preserve"> prescribe requirements for documents related to, or connected with, a royalty or additional rent under Part 5A of the Act.</w:t>
      </w:r>
    </w:p>
    <w:p>
      <w:pPr>
        <w:pStyle w:val="BlankClose"/>
      </w:pPr>
    </w:p>
    <w:p>
      <w:pPr>
        <w:pStyle w:val="Heading5"/>
      </w:pPr>
      <w:bookmarkStart w:id="37" w:name="_Toc207097219"/>
      <w:bookmarkStart w:id="38" w:name="_Toc207206468"/>
      <w:r>
        <w:rPr>
          <w:rStyle w:val="CharSectno"/>
        </w:rPr>
        <w:t>13</w:t>
      </w:r>
      <w:r>
        <w:t>.</w:t>
      </w:r>
      <w:r>
        <w:tab/>
        <w:t>Regulation 113 deleted</w:t>
      </w:r>
      <w:bookmarkEnd w:id="37"/>
      <w:bookmarkEnd w:id="38"/>
    </w:p>
    <w:p>
      <w:pPr>
        <w:pStyle w:val="Subsection"/>
      </w:pPr>
      <w:r>
        <w:tab/>
      </w:r>
      <w:r>
        <w:tab/>
        <w:t>Delete regulation 113.</w:t>
      </w:r>
    </w:p>
    <w:p>
      <w:pPr>
        <w:pStyle w:val="Heading2"/>
      </w:pPr>
      <w:bookmarkStart w:id="39" w:name="_Toc207097220"/>
      <w:bookmarkStart w:id="40" w:name="_Toc207097358"/>
      <w:bookmarkStart w:id="41" w:name="_Toc207097498"/>
      <w:bookmarkStart w:id="42" w:name="_Toc207097683"/>
      <w:bookmarkStart w:id="43" w:name="_Toc20720646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Petroleum and Geothermal Energy Resources (Resource Management and Administration) Regulations 2015</w:t>
      </w:r>
      <w:r>
        <w:rPr>
          <w:rStyle w:val="CharPartText"/>
        </w:rPr>
        <w:t xml:space="preserve"> amended</w:t>
      </w:r>
      <w:bookmarkEnd w:id="39"/>
      <w:bookmarkEnd w:id="40"/>
      <w:bookmarkEnd w:id="41"/>
      <w:bookmarkEnd w:id="42"/>
      <w:bookmarkEnd w:id="43"/>
    </w:p>
    <w:p>
      <w:pPr>
        <w:pStyle w:val="Heading5"/>
      </w:pPr>
      <w:bookmarkStart w:id="44" w:name="_Toc207097221"/>
      <w:bookmarkStart w:id="45" w:name="_Toc207206470"/>
      <w:r>
        <w:rPr>
          <w:rStyle w:val="CharSectno"/>
        </w:rPr>
        <w:t>14</w:t>
      </w:r>
      <w:r>
        <w:t>.</w:t>
      </w:r>
      <w:r>
        <w:tab/>
        <w:t>Regulations amended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 xml:space="preserve">Part amends </w:t>
      </w:r>
      <w:r>
        <w:t xml:space="preserve">the </w:t>
      </w:r>
      <w:r>
        <w:rPr>
          <w:i/>
        </w:rPr>
        <w:t>Petroleum and Geothermal Energy Resources (Resource Management and Administration) Regulations 2015</w:t>
      </w:r>
      <w:r>
        <w:t>.</w:t>
      </w:r>
    </w:p>
    <w:p>
      <w:pPr>
        <w:pStyle w:val="Heading5"/>
      </w:pPr>
      <w:bookmarkStart w:id="46" w:name="_Toc207097222"/>
      <w:bookmarkStart w:id="47" w:name="_Toc207206471"/>
      <w:r>
        <w:rPr>
          <w:rStyle w:val="CharSectno"/>
        </w:rPr>
        <w:t>15</w:t>
      </w:r>
      <w:r>
        <w:t>.</w:t>
      </w:r>
      <w:r>
        <w:tab/>
        <w:t>Regulation 94A amended</w:t>
      </w:r>
      <w:bookmarkEnd w:id="46"/>
      <w:bookmarkEnd w:id="47"/>
    </w:p>
    <w:p>
      <w:pPr>
        <w:pStyle w:val="Subsection"/>
      </w:pPr>
      <w:r>
        <w:tab/>
        <w:t>(1)</w:t>
      </w:r>
      <w:r>
        <w:tab/>
        <w:t>In regulation 94A(1)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Department of Finance</w:t>
      </w:r>
    </w:p>
    <w:p>
      <w:pPr>
        <w:pStyle w:val="DeleteListSub"/>
        <w:rPr>
          <w:b/>
          <w:i/>
        </w:rPr>
      </w:pPr>
      <w:r>
        <w:rPr>
          <w:b/>
          <w:i/>
        </w:rPr>
        <w:t>Department of Finance worker</w:t>
      </w:r>
    </w:p>
    <w:p>
      <w:pPr>
        <w:pStyle w:val="DeleteListSub"/>
        <w:rPr>
          <w:b/>
          <w:i/>
        </w:rPr>
      </w:pPr>
      <w:r>
        <w:rPr>
          <w:b/>
          <w:i/>
        </w:rPr>
        <w:t>Director General of Finance</w:t>
      </w:r>
    </w:p>
    <w:p>
      <w:pPr>
        <w:pStyle w:val="DeleteListSub"/>
        <w:rPr>
          <w:b/>
          <w:i/>
        </w:rPr>
      </w:pPr>
      <w:r>
        <w:rPr>
          <w:b/>
          <w:i/>
        </w:rPr>
        <w:t>royalties activities</w:t>
      </w:r>
    </w:p>
    <w:p>
      <w:pPr>
        <w:pStyle w:val="Subsection"/>
      </w:pPr>
      <w:r>
        <w:tab/>
        <w:t>(2)</w:t>
      </w:r>
      <w:r>
        <w:tab/>
        <w:t>In regulation 94A(1)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CEO</w:t>
      </w:r>
      <w:r>
        <w:t xml:space="preserve"> means the chief executive officer of the Department of Treasury and Finance;</w:t>
      </w:r>
    </w:p>
    <w:p>
      <w:pPr>
        <w:pStyle w:val="zDefstart"/>
      </w:pPr>
      <w:r>
        <w:tab/>
      </w:r>
      <w:r>
        <w:rPr>
          <w:rStyle w:val="CharDefText"/>
        </w:rPr>
        <w:t>Department of Mines, Petroleum and Exploration worker</w:t>
      </w:r>
      <w:r>
        <w:t xml:space="preserve"> means a public service officer, or other individual, employed or engaged in, or who otherwise holds a position in, the department of the Public Service principally assisting in the administration of the Act;</w:t>
      </w:r>
    </w:p>
    <w:p>
      <w:pPr>
        <w:pStyle w:val="zDefstart"/>
      </w:pPr>
      <w:r>
        <w:tab/>
      </w:r>
      <w:r>
        <w:rPr>
          <w:rStyle w:val="CharDefText"/>
        </w:rPr>
        <w:t>Department of Treasury and Finance</w:t>
      </w:r>
      <w:r>
        <w:t xml:space="preserve"> means the department of the Public Service principally assisting in the administration of the </w:t>
      </w:r>
      <w:r>
        <w:rPr>
          <w:i/>
        </w:rPr>
        <w:t>Taxation Administration Act 2003</w:t>
      </w:r>
      <w:r>
        <w:t>;</w:t>
      </w:r>
    </w:p>
    <w:p>
      <w:pPr>
        <w:pStyle w:val="zDefstart"/>
      </w:pPr>
      <w:r>
        <w:tab/>
      </w:r>
      <w:r>
        <w:rPr>
          <w:rStyle w:val="CharDefText"/>
        </w:rPr>
        <w:t>Department of Treasury and Finance worker</w:t>
      </w:r>
      <w:r>
        <w:t xml:space="preserve"> means a public service officer, or other individual, employed or </w:t>
      </w:r>
      <w:r>
        <w:lastRenderedPageBreak/>
        <w:t>engaged in, or who otherwise holds a position in, the Department of Treasury and Finance;</w:t>
      </w:r>
    </w:p>
    <w:p>
      <w:pPr>
        <w:pStyle w:val="zDefstart"/>
      </w:pPr>
      <w:r>
        <w:tab/>
      </w:r>
      <w:r>
        <w:rPr>
          <w:rStyle w:val="CharDefText"/>
        </w:rPr>
        <w:t>royalties function</w:t>
      </w:r>
      <w:r>
        <w:t xml:space="preserve"> means a function for, or in connection with, the administration or collection of royalties under the Act.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94A(2)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Minister may make documentary information available to a Department of Treasury and Finance worker for the purposes of, or in relation to, the performance of a royalties function.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94A(3):</w:t>
      </w:r>
    </w:p>
    <w:p>
      <w:pPr>
        <w:pStyle w:val="Indenta"/>
      </w:pPr>
      <w:r>
        <w:tab/>
        <w:t>(a)</w:t>
      </w:r>
      <w:r>
        <w:tab/>
        <w:t>delete “under subregulation (2), a Department of Finance”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 a Department of Treasury and Finance worker under subregulation (2), the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“royalties activities.”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performing a royalties function.</w:t>
      </w:r>
    </w:p>
    <w:p>
      <w:pPr>
        <w:pStyle w:val="BlankClose"/>
      </w:pPr>
    </w:p>
    <w:p>
      <w:pPr>
        <w:pStyle w:val="Subsection"/>
        <w:rPr>
          <w:b/>
          <w:bCs/>
        </w:rPr>
      </w:pPr>
      <w:r>
        <w:tab/>
        <w:t>(5)</w:t>
      </w:r>
      <w:r>
        <w:tab/>
        <w:t>Delete regulation 94A(4)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A Department of Treasury and Finance worker may only disclose documentary information under subregulation (3) to — </w:t>
      </w:r>
    </w:p>
    <w:p>
      <w:pPr>
        <w:pStyle w:val="zIndenta"/>
      </w:pPr>
      <w:r>
        <w:tab/>
        <w:t>(a)</w:t>
      </w:r>
      <w:r>
        <w:tab/>
        <w:t>another Department of Treasury and Finance worker; or</w:t>
      </w:r>
    </w:p>
    <w:p>
      <w:pPr>
        <w:pStyle w:val="zIndenta"/>
      </w:pPr>
      <w:r>
        <w:lastRenderedPageBreak/>
        <w:tab/>
        <w:t>(b)</w:t>
      </w:r>
      <w:r>
        <w:tab/>
        <w:t>a Department of Mines, Petroleum and Exploration worker; or</w:t>
      </w:r>
    </w:p>
    <w:p>
      <w:pPr>
        <w:pStyle w:val="zIndenta"/>
      </w:pPr>
      <w:r>
        <w:tab/>
        <w:t>(c)</w:t>
      </w:r>
      <w:r>
        <w:tab/>
        <w:t>the CEO; or</w:t>
      </w:r>
    </w:p>
    <w:p>
      <w:pPr>
        <w:pStyle w:val="zIndenta"/>
      </w:pPr>
      <w:r>
        <w:tab/>
        <w:t>(d)</w:t>
      </w:r>
      <w:r>
        <w:tab/>
        <w:t>the Minister for Finance; or</w:t>
      </w:r>
    </w:p>
    <w:p>
      <w:pPr>
        <w:pStyle w:val="zIndenta"/>
      </w:pPr>
      <w:r>
        <w:tab/>
        <w:t>(e)</w:t>
      </w:r>
      <w:r>
        <w:tab/>
        <w:t>another Minister.</w:t>
      </w:r>
    </w:p>
    <w:p>
      <w:pPr>
        <w:pStyle w:val="BlankClose"/>
      </w:pPr>
    </w:p>
    <w:p>
      <w:pPr>
        <w:pStyle w:val="Subsection"/>
      </w:pPr>
      <w:r>
        <w:tab/>
        <w:t>(6)</w:t>
      </w:r>
      <w:r>
        <w:tab/>
        <w:t>In regulation 94A(5):</w:t>
      </w:r>
    </w:p>
    <w:p>
      <w:pPr>
        <w:pStyle w:val="Indenta"/>
      </w:pPr>
      <w:r>
        <w:tab/>
        <w:t>(a)</w:t>
      </w:r>
      <w:r>
        <w:tab/>
        <w:t>after “Department of” (1</w:t>
      </w:r>
      <w:r>
        <w:rPr>
          <w:vertAlign w:val="superscript"/>
        </w:rPr>
        <w:t>st</w:t>
      </w:r>
      <w:r>
        <w:t> 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Treasury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“that was made available by the Minister”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made available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(a) after “Department of”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Treasury and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(b)(i) delete “the purpose of”.</w:t>
      </w:r>
    </w:p>
    <w:p>
      <w:pPr>
        <w:pStyle w:val="Subsection"/>
      </w:pPr>
      <w:r>
        <w:tab/>
        <w:t>(7)</w:t>
      </w:r>
      <w:r>
        <w:tab/>
        <w:t>In regulation 94A(6) delete “royalties activities.”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royalties function.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94A is to read:</w:t>
      </w:r>
    </w:p>
    <w:p>
      <w:pPr>
        <w:pStyle w:val="SectAltHeading"/>
      </w:pPr>
      <w:r>
        <w:tab/>
      </w:r>
      <w:r>
        <w:tab/>
        <w:t>Release of documentary information to Department of Treasury and Finance workers for royalties functions</w:t>
      </w:r>
    </w:p>
    <w:p>
      <w:pPr>
        <w:pStyle w:val="Heading2"/>
      </w:pPr>
      <w:bookmarkStart w:id="48" w:name="_Toc207097223"/>
      <w:bookmarkStart w:id="49" w:name="_Toc207097361"/>
      <w:bookmarkStart w:id="50" w:name="_Toc207097501"/>
      <w:bookmarkStart w:id="51" w:name="_Toc207097686"/>
      <w:bookmarkStart w:id="52" w:name="_Toc207206472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(Submerged Lands) (Resource Management and Administration) Regulations 2015</w:t>
      </w:r>
      <w:r>
        <w:rPr>
          <w:rStyle w:val="CharPartText"/>
        </w:rPr>
        <w:t xml:space="preserve"> amended</w:t>
      </w:r>
      <w:bookmarkEnd w:id="48"/>
      <w:bookmarkEnd w:id="49"/>
      <w:bookmarkEnd w:id="50"/>
      <w:bookmarkEnd w:id="51"/>
      <w:bookmarkEnd w:id="52"/>
    </w:p>
    <w:p>
      <w:pPr>
        <w:pStyle w:val="Heading5"/>
      </w:pPr>
      <w:bookmarkStart w:id="53" w:name="_Toc207097224"/>
      <w:bookmarkStart w:id="54" w:name="_Toc207206473"/>
      <w:r>
        <w:rPr>
          <w:rStyle w:val="CharSectno"/>
        </w:rPr>
        <w:t>16</w:t>
      </w:r>
      <w:r>
        <w:t>.</w:t>
      </w:r>
      <w:r>
        <w:tab/>
        <w:t>Regulations amended</w:t>
      </w:r>
      <w:bookmarkEnd w:id="53"/>
      <w:bookmarkEnd w:id="5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 (Submerged Lands) (Resource Management and Administration) Regulations 2015</w:t>
      </w:r>
      <w:r>
        <w:t>.</w:t>
      </w:r>
    </w:p>
    <w:p>
      <w:pPr>
        <w:pStyle w:val="Heading5"/>
      </w:pPr>
      <w:bookmarkStart w:id="55" w:name="_Toc207097225"/>
      <w:bookmarkStart w:id="56" w:name="_Toc207206474"/>
      <w:r>
        <w:rPr>
          <w:rStyle w:val="CharSectno"/>
        </w:rPr>
        <w:t>17</w:t>
      </w:r>
      <w:r>
        <w:t>.</w:t>
      </w:r>
      <w:r>
        <w:tab/>
        <w:t>Regulation 93A amended</w:t>
      </w:r>
      <w:bookmarkEnd w:id="55"/>
      <w:bookmarkEnd w:id="56"/>
    </w:p>
    <w:p>
      <w:pPr>
        <w:pStyle w:val="Subsection"/>
      </w:pPr>
      <w:r>
        <w:tab/>
        <w:t>(1)</w:t>
      </w:r>
      <w:r>
        <w:tab/>
        <w:t>In regulation 93A(1)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Department of Finance</w:t>
      </w:r>
    </w:p>
    <w:p>
      <w:pPr>
        <w:pStyle w:val="DeleteListSub"/>
        <w:rPr>
          <w:b/>
          <w:i/>
        </w:rPr>
      </w:pPr>
      <w:r>
        <w:rPr>
          <w:b/>
          <w:i/>
        </w:rPr>
        <w:t>Department of Finance worker</w:t>
      </w:r>
    </w:p>
    <w:p>
      <w:pPr>
        <w:pStyle w:val="DeleteListSub"/>
        <w:rPr>
          <w:b/>
          <w:i/>
        </w:rPr>
      </w:pPr>
      <w:r>
        <w:rPr>
          <w:b/>
          <w:i/>
        </w:rPr>
        <w:t>Director General of Finance</w:t>
      </w:r>
    </w:p>
    <w:p>
      <w:pPr>
        <w:pStyle w:val="DeleteListSub"/>
        <w:rPr>
          <w:b/>
          <w:i/>
        </w:rPr>
      </w:pPr>
      <w:r>
        <w:rPr>
          <w:b/>
          <w:i/>
        </w:rPr>
        <w:t>royalties activities</w:t>
      </w:r>
    </w:p>
    <w:p>
      <w:pPr>
        <w:pStyle w:val="Subsection"/>
      </w:pPr>
      <w:r>
        <w:tab/>
        <w:t>(2)</w:t>
      </w:r>
      <w:r>
        <w:tab/>
        <w:t>In regulation 93A(1)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CEO</w:t>
      </w:r>
      <w:r>
        <w:t xml:space="preserve"> means the chief executive officer of the Department of Treasury and Finance;</w:t>
      </w:r>
    </w:p>
    <w:p>
      <w:pPr>
        <w:pStyle w:val="zDefstart"/>
      </w:pPr>
      <w:r>
        <w:tab/>
      </w:r>
      <w:r>
        <w:rPr>
          <w:rStyle w:val="CharDefText"/>
        </w:rPr>
        <w:t>Department of Mines, Petroleum and Exploration worker</w:t>
      </w:r>
      <w:r>
        <w:t xml:space="preserve"> means a public service officer, or other individual, employed or engaged in, or who otherwise holds a position in, the department of the Public Service principally assisting in the administration of the Act;</w:t>
      </w:r>
    </w:p>
    <w:p>
      <w:pPr>
        <w:pStyle w:val="zDefstart"/>
      </w:pPr>
      <w:r>
        <w:tab/>
      </w:r>
      <w:r>
        <w:rPr>
          <w:rStyle w:val="CharDefText"/>
        </w:rPr>
        <w:t>Department of Treasury and Finance</w:t>
      </w:r>
      <w:r>
        <w:t xml:space="preserve"> means the department of the Public Service principally assisting in the administration of the </w:t>
      </w:r>
      <w:r>
        <w:rPr>
          <w:i/>
        </w:rPr>
        <w:t>Taxation Administration Act 2003</w:t>
      </w:r>
      <w:r>
        <w:t xml:space="preserve">; </w:t>
      </w:r>
    </w:p>
    <w:p>
      <w:pPr>
        <w:pStyle w:val="zDefstart"/>
      </w:pPr>
      <w:r>
        <w:tab/>
      </w:r>
      <w:r>
        <w:rPr>
          <w:rStyle w:val="CharDefText"/>
        </w:rPr>
        <w:t>Department of Treasury and Finance worker</w:t>
      </w:r>
      <w:r>
        <w:t xml:space="preserve"> means a public service officer, or other individual, employed or engaged in, or who otherwise holds a position in, the Department of Treasury and Finance;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royalties function</w:t>
      </w:r>
      <w:r>
        <w:t xml:space="preserve"> means a function for, or in connection with, the administration or collection of royalties under the Act.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93A(2)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Minister may make documentary information available to a Department of Treasury and Finance worker for the purposes of, or in relation to, the performance of a royalties function.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93A(3):</w:t>
      </w:r>
    </w:p>
    <w:p>
      <w:pPr>
        <w:pStyle w:val="Indenta"/>
      </w:pPr>
      <w:r>
        <w:tab/>
        <w:t>(a)</w:t>
      </w:r>
      <w:r>
        <w:tab/>
        <w:t>delete “under subregulation (2), a Department of Finance”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 a Department of Treasury and Finance worker under subregulation (2), the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“royalties activities.”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performing a royalties function.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Delete regulation 93A(4)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A Department of Treasury and Finance worker may only disclose documentary information under subregulation (3) to — </w:t>
      </w:r>
    </w:p>
    <w:p>
      <w:pPr>
        <w:pStyle w:val="zIndenta"/>
      </w:pPr>
      <w:r>
        <w:tab/>
        <w:t>(a)</w:t>
      </w:r>
      <w:r>
        <w:tab/>
        <w:t>another Department of Treasury and Finance worker; or</w:t>
      </w:r>
    </w:p>
    <w:p>
      <w:pPr>
        <w:pStyle w:val="zIndenta"/>
        <w:keepNext/>
      </w:pPr>
      <w:r>
        <w:lastRenderedPageBreak/>
        <w:tab/>
        <w:t>(b)</w:t>
      </w:r>
      <w:r>
        <w:tab/>
        <w:t>a Department of Mines, Petroleum and Exploration worker; or</w:t>
      </w:r>
    </w:p>
    <w:p>
      <w:pPr>
        <w:pStyle w:val="zIndenta"/>
      </w:pPr>
      <w:r>
        <w:tab/>
        <w:t>(c)</w:t>
      </w:r>
      <w:r>
        <w:tab/>
        <w:t>the CEO; or</w:t>
      </w:r>
    </w:p>
    <w:p>
      <w:pPr>
        <w:pStyle w:val="zIndenta"/>
      </w:pPr>
      <w:r>
        <w:tab/>
        <w:t>(d)</w:t>
      </w:r>
      <w:r>
        <w:tab/>
        <w:t xml:space="preserve">the Minister for Finance; or </w:t>
      </w:r>
    </w:p>
    <w:p>
      <w:pPr>
        <w:pStyle w:val="zIndenta"/>
      </w:pPr>
      <w:r>
        <w:tab/>
        <w:t>(e)</w:t>
      </w:r>
      <w:r>
        <w:tab/>
        <w:t>another Minister.</w:t>
      </w:r>
    </w:p>
    <w:p>
      <w:pPr>
        <w:pStyle w:val="BlankClose"/>
      </w:pPr>
    </w:p>
    <w:p>
      <w:pPr>
        <w:pStyle w:val="Subsection"/>
      </w:pPr>
      <w:r>
        <w:tab/>
        <w:t>(6)</w:t>
      </w:r>
      <w:r>
        <w:tab/>
        <w:t>In regulation 93A(5):</w:t>
      </w:r>
    </w:p>
    <w:p>
      <w:pPr>
        <w:pStyle w:val="Indenta"/>
      </w:pPr>
      <w:r>
        <w:tab/>
        <w:t>(a)</w:t>
      </w:r>
      <w:r>
        <w:tab/>
        <w:t>after “Department of” (1</w:t>
      </w:r>
      <w:r>
        <w:rPr>
          <w:vertAlign w:val="superscript"/>
        </w:rPr>
        <w:t>st</w:t>
      </w:r>
      <w:r>
        <w:t xml:space="preserve"> occurrence)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Treasury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“that was made available by the Minister”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made available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(a) after “Department of”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Treasury and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(b)(i) delete “the purpose of”.</w:t>
      </w:r>
    </w:p>
    <w:p>
      <w:pPr>
        <w:pStyle w:val="Subsection"/>
      </w:pPr>
      <w:r>
        <w:tab/>
        <w:t>(7)</w:t>
      </w:r>
      <w:r>
        <w:tab/>
        <w:t>In regulation 93A(6) delete “royalties activities.”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royalties function.</w:t>
      </w:r>
    </w:p>
    <w:p>
      <w:pPr>
        <w:pStyle w:val="BlankClose"/>
      </w:pPr>
    </w:p>
    <w:p>
      <w:pPr>
        <w:pStyle w:val="SectAltNote"/>
      </w:pPr>
      <w:r>
        <w:lastRenderedPageBreak/>
        <w:tab/>
        <w:t>Note: The heading to amended regulation 93A is to read:</w:t>
      </w:r>
    </w:p>
    <w:p>
      <w:pPr>
        <w:pStyle w:val="SectAltHeading"/>
        <w:keepNext/>
      </w:pPr>
      <w:r>
        <w:tab/>
      </w:r>
      <w:r>
        <w:tab/>
        <w:t>Release of documentary information to Department of Treasury and Finance workers for royalties functions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127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(Transfer of Royalty Administration)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(Transfer of Royalty Administration)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(Transfer of Royalty Administration)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(Transfer of Royalty Administration)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4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61039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081152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08115237_GUID" w:val="c4433819-0296-496c-b557-b15def16f637"/>
    <w:docVar w:name="WAFER_202508151323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15132307_GUID" w:val="cd3b6d55-9281-4d3b-a58b-6c10493ffdd0"/>
    <w:docVar w:name="WAFER_202508261039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6103913_GUID" w:val="59701e61-f936-464e-92ee-c124bd26e5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6F4E7E24-8162-49CC-836F-E6A36A16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1538</Words>
  <Characters>8756</Characters>
  <Application>Microsoft Office Word</Application>
  <DocSecurity>0</DocSecurity>
  <Lines>350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and Petroleum Regulations Amendment (Transfer of Royalty Administration)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2025-08-27T09:18:00Z</dcterms:created>
  <dcterms:modified xsi:type="dcterms:W3CDTF">2025-08-27T09:18:00Z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55514</vt:lpwstr>
  </property>
  <property fmtid="{D5CDD505-2E9C-101B-9397-08002B2CF9AE}" pid="3" name="DocumentType">
    <vt:lpwstr>Reg</vt:lpwstr>
  </property>
  <property fmtid="{D5CDD505-2E9C-101B-9397-08002B2CF9AE}" pid="4" name="AsAtDate">
    <vt:lpwstr>28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2025/153</vt:lpwstr>
  </property>
  <property fmtid="{D5CDD505-2E9C-101B-9397-08002B2CF9AE}" pid="8" name="PublishDate">
    <vt:lpwstr>28 Aug 2025</vt:lpwstr>
  </property>
  <property fmtid="{D5CDD505-2E9C-101B-9397-08002B2CF9AE}" pid="9" name="CommencementDate">
    <vt:lpwstr>20250828</vt:lpwstr>
  </property>
  <property fmtid="{D5CDD505-2E9C-101B-9397-08002B2CF9AE}" pid="10" name="CommencementAsAt">
    <vt:filetime>2025-08-27T16:00:00Z</vt:filetime>
  </property>
  <property fmtid="{D5CDD505-2E9C-101B-9397-08002B2CF9AE}" pid="11" name="CommencementYear">
    <vt:lpwstr>2025</vt:lpwstr>
  </property>
</Properties>
</file>