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_Toc207030253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_Toc207030254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offshore</w:t>
      </w:r>
      <w:r>
        <w:tab/>
      </w:r>
      <w:r>
        <w:fldChar w:fldCharType="begin"/>
      </w:r>
      <w:r>
        <w:instrText xml:space="preserve"> PAGEREF _Toc207030255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_Toc207030256 \h </w:instrText>
      </w:r>
      <w:r>
        <w:fldChar w:fldCharType="separate"/>
      </w:r>
      <w:r>
        <w:t>2</w:t>
      </w:r>
      <w:r>
        <w:fldChar w:fldCharType="end"/>
      </w:r>
    </w:p>
    <w:p>
      <w:pPr>
        <w:pStyle w:val="TOC8"/>
        <w:rPr>
          <w:rFonts w:asciiTheme="minorHAnsi" w:eastAsiaTheme="minorEastAsia" w:hAnsiTheme="minorHAnsi" w:cstheme="minorBidi"/>
          <w:szCs w:val="22"/>
        </w:rPr>
      </w:pPr>
      <w:r>
        <w:t>3B.</w:t>
      </w:r>
      <w:r>
        <w:tab/>
        <w:t>Day of service</w:t>
      </w:r>
      <w:r>
        <w:tab/>
      </w:r>
      <w:r>
        <w:fldChar w:fldCharType="begin"/>
      </w:r>
      <w:r>
        <w:instrText xml:space="preserve"> PAGEREF _Toc207030257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_Toc207030258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Construction Industry Long Service Leave Payments Board established</w:t>
      </w:r>
      <w:r>
        <w:tab/>
      </w:r>
      <w:r>
        <w:fldChar w:fldCharType="begin"/>
      </w:r>
      <w:r>
        <w:instrText xml:space="preserve"> PAGEREF _Toc207030260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_Toc207030261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_Toc207030262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w:t>
      </w:r>
      <w:r>
        <w:tab/>
      </w:r>
      <w:r>
        <w:fldChar w:fldCharType="begin"/>
      </w:r>
      <w:r>
        <w:instrText xml:space="preserve"> PAGEREF _Toc207030263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allowances</w:t>
      </w:r>
      <w:r>
        <w:tab/>
      </w:r>
      <w:r>
        <w:fldChar w:fldCharType="begin"/>
      </w:r>
      <w:r>
        <w:instrText xml:space="preserve"> PAGEREF _Toc207030264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Board and disclosure of interest</w:t>
      </w:r>
      <w:r>
        <w:tab/>
      </w:r>
      <w:r>
        <w:fldChar w:fldCharType="begin"/>
      </w:r>
      <w:r>
        <w:instrText xml:space="preserve"> PAGEREF _Toc207030265 \h </w:instrText>
      </w:r>
      <w:r>
        <w:fldChar w:fldCharType="separate"/>
      </w:r>
      <w:r>
        <w:t>15</w:t>
      </w:r>
      <w:r>
        <w:fldChar w:fldCharType="end"/>
      </w:r>
    </w:p>
    <w:p>
      <w:pPr>
        <w:pStyle w:val="TOC8"/>
        <w:rPr>
          <w:rFonts w:asciiTheme="minorHAnsi" w:eastAsiaTheme="minorEastAsia" w:hAnsiTheme="minorHAnsi" w:cstheme="minorBidi"/>
          <w:szCs w:val="22"/>
        </w:rPr>
      </w:pPr>
      <w:r>
        <w:t>10A.</w:t>
      </w:r>
      <w:r>
        <w:tab/>
        <w:t>Decision without meeting</w:t>
      </w:r>
      <w:r>
        <w:tab/>
      </w:r>
      <w:r>
        <w:fldChar w:fldCharType="begin"/>
      </w:r>
      <w:r>
        <w:instrText xml:space="preserve"> PAGEREF _Toc207030266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require Board to give information</w:t>
      </w:r>
      <w:r>
        <w:tab/>
      </w:r>
      <w:r>
        <w:fldChar w:fldCharType="begin"/>
      </w:r>
      <w:r>
        <w:instrText xml:space="preserve"> PAGEREF _Toc207030267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w:t>
      </w:r>
      <w:r>
        <w:tab/>
      </w:r>
      <w:r>
        <w:fldChar w:fldCharType="begin"/>
      </w:r>
      <w:r>
        <w:instrText xml:space="preserve"> PAGEREF _Toc207030268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Staff</w:t>
      </w:r>
      <w:r>
        <w:tab/>
      </w:r>
      <w:r>
        <w:fldChar w:fldCharType="begin"/>
      </w:r>
      <w:r>
        <w:instrText xml:space="preserve"> PAGEREF _Toc207030269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_Toc207030270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Board</w:t>
      </w:r>
      <w:r>
        <w:tab/>
      </w:r>
      <w:r>
        <w:fldChar w:fldCharType="begin"/>
      </w:r>
      <w:r>
        <w:instrText xml:space="preserve"> PAGEREF _Toc207030271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borrow and guarantee</w:t>
      </w:r>
      <w:r>
        <w:tab/>
      </w:r>
      <w:r>
        <w:fldChar w:fldCharType="begin"/>
      </w:r>
      <w:r>
        <w:instrText xml:space="preserve"> PAGEREF _Toc207030272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Notification of certain contracts to be given to Minister</w:t>
      </w:r>
      <w:r>
        <w:tab/>
      </w:r>
      <w:r>
        <w:fldChar w:fldCharType="begin"/>
      </w:r>
      <w:r>
        <w:instrText xml:space="preserve"> PAGEREF _Toc207030273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_Toc207030274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Investigations by actuary</w:t>
      </w:r>
      <w:r>
        <w:tab/>
      </w:r>
      <w:r>
        <w:fldChar w:fldCharType="begin"/>
      </w:r>
      <w:r>
        <w:instrText xml:space="preserve"> PAGEREF _Toc207030275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 to long service leave and pay</w:t>
      </w:r>
    </w:p>
    <w:p>
      <w:pPr>
        <w:pStyle w:val="TOC8"/>
        <w:rPr>
          <w:rFonts w:asciiTheme="minorHAnsi" w:eastAsiaTheme="minorEastAsia" w:hAnsiTheme="minorHAnsi" w:cstheme="minorBidi"/>
          <w:szCs w:val="22"/>
        </w:rPr>
      </w:pPr>
      <w:r>
        <w:t>21</w:t>
      </w:r>
      <w:r>
        <w:rPr>
          <w:snapToGrid w:val="0"/>
        </w:rPr>
        <w:t>.</w:t>
      </w:r>
      <w:r>
        <w:rPr>
          <w:snapToGrid w:val="0"/>
        </w:rPr>
        <w:tab/>
        <w:t>Entitlement to paid long service leave and pay</w:t>
      </w:r>
      <w:r>
        <w:tab/>
      </w:r>
      <w:r>
        <w:fldChar w:fldCharType="begin"/>
      </w:r>
      <w:r>
        <w:instrText xml:space="preserve"> PAGEREF _Toc207030277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Lump sum payments</w:t>
      </w:r>
      <w:r>
        <w:tab/>
      </w:r>
      <w:r>
        <w:fldChar w:fldCharType="begin"/>
      </w:r>
      <w:r>
        <w:instrText xml:space="preserve"> PAGEREF _Toc207030278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Cessation of continuous service entitlement</w:t>
      </w:r>
      <w:r>
        <w:tab/>
      </w:r>
      <w:r>
        <w:fldChar w:fldCharType="begin"/>
      </w:r>
      <w:r>
        <w:instrText xml:space="preserve"> PAGEREF _Toc207030279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Taking of leave</w:t>
      </w:r>
      <w:r>
        <w:tab/>
      </w:r>
      <w:r>
        <w:fldChar w:fldCharType="begin"/>
      </w:r>
      <w:r>
        <w:instrText xml:space="preserve"> PAGEREF _Toc207030280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r>
      <w:r>
        <w:t>Proportional leave in advance after 7 years’ service</w:t>
      </w:r>
      <w:r>
        <w:tab/>
      </w:r>
      <w:r>
        <w:fldChar w:fldCharType="begin"/>
      </w:r>
      <w:r>
        <w:instrText xml:space="preserve"> PAGEREF _Toc207030281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when due</w:t>
      </w:r>
      <w:r>
        <w:tab/>
      </w:r>
      <w:r>
        <w:fldChar w:fldCharType="begin"/>
      </w:r>
      <w:r>
        <w:instrText xml:space="preserve"> PAGEREF _Toc207030282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on other employment</w:t>
      </w:r>
      <w:r>
        <w:tab/>
      </w:r>
      <w:r>
        <w:fldChar w:fldCharType="begin"/>
      </w:r>
      <w:r>
        <w:instrText xml:space="preserve"> PAGEREF _Toc207030283 \h </w:instrText>
      </w:r>
      <w:r>
        <w:fldChar w:fldCharType="separate"/>
      </w:r>
      <w:r>
        <w:t>27</w:t>
      </w:r>
      <w:r>
        <w:fldChar w:fldCharType="end"/>
      </w:r>
    </w:p>
    <w:p>
      <w:pPr>
        <w:pStyle w:val="TOC8"/>
        <w:rPr>
          <w:rFonts w:asciiTheme="minorHAnsi" w:eastAsiaTheme="minorEastAsia" w:hAnsiTheme="minorHAnsi" w:cstheme="minorBidi"/>
          <w:szCs w:val="22"/>
        </w:rPr>
      </w:pPr>
      <w:r>
        <w:t>29.</w:t>
      </w:r>
      <w:r>
        <w:tab/>
        <w:t>Public holidays</w:t>
      </w:r>
      <w:r>
        <w:tab/>
      </w:r>
      <w:r>
        <w:fldChar w:fldCharType="begin"/>
      </w:r>
      <w:r>
        <w:instrText xml:space="preserve"> PAGEREF _Toc207030284 \h </w:instrText>
      </w:r>
      <w:r>
        <w:fldChar w:fldCharType="separate"/>
      </w:r>
      <w:r>
        <w:t>28</w:t>
      </w:r>
      <w:r>
        <w:fldChar w:fldCharType="end"/>
      </w:r>
    </w:p>
    <w:p>
      <w:pPr>
        <w:pStyle w:val="TOC8"/>
        <w:rPr>
          <w:rFonts w:asciiTheme="minorHAnsi" w:eastAsiaTheme="minorEastAsia" w:hAnsiTheme="minorHAnsi" w:cstheme="minorBidi"/>
          <w:szCs w:val="22"/>
        </w:rPr>
      </w:pPr>
      <w:r>
        <w:t>29A.</w:t>
      </w:r>
      <w:r>
        <w:rPr>
          <w:snapToGrid w:val="0"/>
        </w:rPr>
        <w:tab/>
        <w:t>Reciprocal arrangements</w:t>
      </w:r>
      <w:r>
        <w:tab/>
      </w:r>
      <w:r>
        <w:fldChar w:fldCharType="begin"/>
      </w:r>
      <w:r>
        <w:instrText xml:space="preserve"> PAGEREF _Toc207030285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w:t>
      </w:r>
    </w:p>
    <w:p>
      <w:pPr>
        <w:pStyle w:val="TOC8"/>
        <w:rPr>
          <w:rFonts w:asciiTheme="minorHAnsi" w:eastAsiaTheme="minorEastAsia" w:hAnsiTheme="minorHAnsi" w:cstheme="minorBidi"/>
          <w:szCs w:val="22"/>
        </w:rPr>
      </w:pPr>
      <w:r>
        <w:t>30</w:t>
      </w:r>
      <w:r>
        <w:rPr>
          <w:snapToGrid w:val="0"/>
        </w:rPr>
        <w:t>.</w:t>
      </w:r>
      <w:r>
        <w:rPr>
          <w:snapToGrid w:val="0"/>
        </w:rPr>
        <w:tab/>
      </w:r>
      <w:r>
        <w:t>Registration of employers</w:t>
      </w:r>
      <w:r>
        <w:tab/>
      </w:r>
      <w:r>
        <w:fldChar w:fldCharType="begin"/>
      </w:r>
      <w:r>
        <w:instrText xml:space="preserve"> PAGEREF _Toc207030287 \h </w:instrText>
      </w:r>
      <w:r>
        <w:fldChar w:fldCharType="separate"/>
      </w:r>
      <w:r>
        <w:t>31</w:t>
      </w:r>
      <w:r>
        <w:fldChar w:fldCharType="end"/>
      </w:r>
    </w:p>
    <w:p>
      <w:pPr>
        <w:pStyle w:val="TOC8"/>
        <w:rPr>
          <w:rFonts w:asciiTheme="minorHAnsi" w:eastAsiaTheme="minorEastAsia" w:hAnsiTheme="minorHAnsi" w:cstheme="minorBidi"/>
          <w:szCs w:val="22"/>
        </w:rPr>
      </w:pPr>
      <w:r>
        <w:t>31A.</w:t>
      </w:r>
      <w:r>
        <w:tab/>
        <w:t>Registration of employees</w:t>
      </w:r>
      <w:r>
        <w:tab/>
      </w:r>
      <w:r>
        <w:fldChar w:fldCharType="begin"/>
      </w:r>
      <w:r>
        <w:instrText xml:space="preserve"> PAGEREF _Toc207030288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Return to be made by employer</w:t>
      </w:r>
      <w:r>
        <w:tab/>
      </w:r>
      <w:r>
        <w:fldChar w:fldCharType="begin"/>
      </w:r>
      <w:r>
        <w:instrText xml:space="preserve"> PAGEREF _Toc207030289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Employer to maintain record of employees</w:t>
      </w:r>
      <w:r>
        <w:tab/>
      </w:r>
      <w:r>
        <w:fldChar w:fldCharType="begin"/>
      </w:r>
      <w:r>
        <w:instrText xml:space="preserve"> PAGEREF _Toc207030290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 employer</w:t>
      </w:r>
      <w:r>
        <w:tab/>
      </w:r>
      <w:r>
        <w:fldChar w:fldCharType="begin"/>
      </w:r>
      <w:r>
        <w:instrText xml:space="preserve"> PAGEREF _Toc207030291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Contribution by employer and assessment by Board</w:t>
      </w:r>
      <w:r>
        <w:tab/>
      </w:r>
      <w:r>
        <w:fldChar w:fldCharType="begin"/>
      </w:r>
      <w:r>
        <w:instrText xml:space="preserve"> PAGEREF _Toc207030292 \h </w:instrText>
      </w:r>
      <w:r>
        <w:fldChar w:fldCharType="separate"/>
      </w:r>
      <w:r>
        <w:t>34</w:t>
      </w:r>
      <w:r>
        <w:fldChar w:fldCharType="end"/>
      </w:r>
    </w:p>
    <w:p>
      <w:pPr>
        <w:pStyle w:val="TOC8"/>
        <w:rPr>
          <w:rFonts w:asciiTheme="minorHAnsi" w:eastAsiaTheme="minorEastAsia" w:hAnsiTheme="minorHAnsi" w:cstheme="minorBidi"/>
          <w:szCs w:val="22"/>
        </w:rPr>
      </w:pPr>
      <w:r>
        <w:t>35A.</w:t>
      </w:r>
      <w:r>
        <w:tab/>
        <w:t>Penalty for late payment</w:t>
      </w:r>
      <w:r>
        <w:tab/>
      </w:r>
      <w:r>
        <w:fldChar w:fldCharType="begin"/>
      </w:r>
      <w:r>
        <w:instrText xml:space="preserve"> PAGEREF _Toc207030293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Register of employers and register of employees</w:t>
      </w:r>
      <w:r>
        <w:tab/>
      </w:r>
      <w:r>
        <w:fldChar w:fldCharType="begin"/>
      </w:r>
      <w:r>
        <w:instrText xml:space="preserve"> PAGEREF _Toc207030294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Employer leaving Western Australia</w:t>
      </w:r>
      <w:r>
        <w:tab/>
      </w:r>
      <w:r>
        <w:fldChar w:fldCharType="begin"/>
      </w:r>
      <w:r>
        <w:instrText xml:space="preserve"> PAGEREF _Toc207030295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of long service leave contribution</w:t>
      </w:r>
      <w:r>
        <w:tab/>
      </w:r>
      <w:r>
        <w:fldChar w:fldCharType="begin"/>
      </w:r>
      <w:r>
        <w:instrText xml:space="preserve"> PAGEREF _Toc207030296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 to give notice</w:t>
      </w:r>
      <w:r>
        <w:tab/>
      </w:r>
      <w:r>
        <w:fldChar w:fldCharType="begin"/>
      </w:r>
      <w:r>
        <w:instrText xml:space="preserve"> PAGEREF _Toc207030297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Agent for absentee principal winding up business</w:t>
      </w:r>
      <w:r>
        <w:tab/>
      </w:r>
      <w:r>
        <w:fldChar w:fldCharType="begin"/>
      </w:r>
      <w:r>
        <w:instrText xml:space="preserve"> PAGEREF _Toc207030298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Where long service leave charges are not paid during lifetime</w:t>
      </w:r>
      <w:r>
        <w:tab/>
      </w:r>
      <w:r>
        <w:fldChar w:fldCharType="begin"/>
      </w:r>
      <w:r>
        <w:instrText xml:space="preserve"> PAGEREF _Toc207030299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for payment of long service leave charges by executors or administrators</w:t>
      </w:r>
      <w:r>
        <w:tab/>
      </w:r>
      <w:r>
        <w:fldChar w:fldCharType="begin"/>
      </w:r>
      <w:r>
        <w:instrText xml:space="preserve"> PAGEREF _Toc207030300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Contributions by joint employers</w:t>
      </w:r>
      <w:r>
        <w:tab/>
      </w:r>
      <w:r>
        <w:fldChar w:fldCharType="begin"/>
      </w:r>
      <w:r>
        <w:instrText xml:space="preserve"> PAGEREF _Toc207030301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penalties no relief from contributions</w:t>
      </w:r>
      <w:r>
        <w:tab/>
      </w:r>
      <w:r>
        <w:fldChar w:fldCharType="begin"/>
      </w:r>
      <w:r>
        <w:instrText xml:space="preserve"> PAGEREF _Toc207030302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44</w:t>
      </w:r>
      <w:r>
        <w:rPr>
          <w:snapToGrid w:val="0"/>
        </w:rPr>
        <w:t>.</w:t>
      </w:r>
      <w:r>
        <w:rPr>
          <w:snapToGrid w:val="0"/>
        </w:rPr>
        <w:tab/>
        <w:t>Inspectors</w:t>
      </w:r>
      <w:r>
        <w:tab/>
      </w:r>
      <w:r>
        <w:fldChar w:fldCharType="begin"/>
      </w:r>
      <w:r>
        <w:instrText xml:space="preserve"> PAGEREF _Toc207030304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obtain information and evidence</w:t>
      </w:r>
      <w:r>
        <w:tab/>
      </w:r>
      <w:r>
        <w:fldChar w:fldCharType="begin"/>
      </w:r>
      <w:r>
        <w:instrText xml:space="preserve"> PAGEREF _Toc207030305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Access to books etc.</w:t>
      </w:r>
      <w:r>
        <w:tab/>
      </w:r>
      <w:r>
        <w:fldChar w:fldCharType="begin"/>
      </w:r>
      <w:r>
        <w:instrText xml:space="preserve"> PAGEREF _Toc207030306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Proceedings for offences against this Act</w:t>
      </w:r>
      <w:r>
        <w:tab/>
      </w:r>
      <w:r>
        <w:fldChar w:fldCharType="begin"/>
      </w:r>
      <w:r>
        <w:instrText xml:space="preserve"> PAGEREF _Toc207030307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Institution of proceedings</w:t>
      </w:r>
      <w:r>
        <w:tab/>
      </w:r>
      <w:r>
        <w:fldChar w:fldCharType="begin"/>
      </w:r>
      <w:r>
        <w:instrText xml:space="preserve"> PAGEREF _Toc207030308 \h </w:instrText>
      </w:r>
      <w:r>
        <w:fldChar w:fldCharType="separate"/>
      </w:r>
      <w:r>
        <w:t>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w:t>
      </w:r>
      <w:r>
        <w:tab/>
      </w:r>
      <w:r>
        <w:fldChar w:fldCharType="begin"/>
      </w:r>
      <w:r>
        <w:instrText xml:space="preserve"> PAGEREF _Toc207030309 \h </w:instrText>
      </w:r>
      <w:r>
        <w:fldChar w:fldCharType="separate"/>
      </w:r>
      <w:r>
        <w:t>43</w:t>
      </w:r>
      <w:r>
        <w:fldChar w:fldCharType="end"/>
      </w:r>
    </w:p>
    <w:p>
      <w:pPr>
        <w:pStyle w:val="TOC8"/>
        <w:rPr>
          <w:rFonts w:asciiTheme="minorHAnsi" w:eastAsiaTheme="minorEastAsia" w:hAnsiTheme="minorHAnsi" w:cstheme="minorBidi"/>
          <w:szCs w:val="22"/>
        </w:rPr>
      </w:pPr>
      <w:r>
        <w:t>50.</w:t>
      </w:r>
      <w:r>
        <w:tab/>
        <w:t>Review of Board’s decision</w:t>
      </w:r>
      <w:r>
        <w:tab/>
      </w:r>
      <w:r>
        <w:fldChar w:fldCharType="begin"/>
      </w:r>
      <w:r>
        <w:instrText xml:space="preserve"> PAGEREF _Toc207030310 \h </w:instrText>
      </w:r>
      <w:r>
        <w:fldChar w:fldCharType="separate"/>
      </w:r>
      <w:r>
        <w:t>45</w:t>
      </w:r>
      <w:r>
        <w:fldChar w:fldCharType="end"/>
      </w:r>
    </w:p>
    <w:p>
      <w:pPr>
        <w:pStyle w:val="TOC8"/>
        <w:rPr>
          <w:rFonts w:asciiTheme="minorHAnsi" w:eastAsiaTheme="minorEastAsia" w:hAnsiTheme="minorHAnsi" w:cstheme="minorBidi"/>
          <w:szCs w:val="22"/>
        </w:rPr>
      </w:pPr>
      <w:r>
        <w:t>51A.</w:t>
      </w:r>
      <w:r>
        <w:tab/>
        <w:t>Procedure on review</w:t>
      </w:r>
      <w:r>
        <w:tab/>
      </w:r>
      <w:r>
        <w:fldChar w:fldCharType="begin"/>
      </w:r>
      <w:r>
        <w:instrText xml:space="preserve"> PAGEREF _Toc207030311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Employee accumulating continuous service in more than one capacity</w:t>
      </w:r>
      <w:r>
        <w:tab/>
      </w:r>
      <w:r>
        <w:fldChar w:fldCharType="begin"/>
      </w:r>
      <w:r>
        <w:instrText xml:space="preserve"> PAGEREF _Toc207030312 \h </w:instrText>
      </w:r>
      <w:r>
        <w:fldChar w:fldCharType="separate"/>
      </w:r>
      <w:r>
        <w:t>47</w:t>
      </w:r>
      <w:r>
        <w:fldChar w:fldCharType="end"/>
      </w:r>
    </w:p>
    <w:p>
      <w:pPr>
        <w:pStyle w:val="TOC8"/>
        <w:rPr>
          <w:rFonts w:asciiTheme="minorHAnsi" w:eastAsiaTheme="minorEastAsia" w:hAnsiTheme="minorHAnsi" w:cstheme="minorBidi"/>
          <w:szCs w:val="22"/>
        </w:rPr>
      </w:pPr>
      <w:r>
        <w:t>52.</w:t>
      </w:r>
      <w:r>
        <w:tab/>
        <w:t>Obstructing inspector or other person</w:t>
      </w:r>
      <w:r>
        <w:tab/>
      </w:r>
      <w:r>
        <w:fldChar w:fldCharType="begin"/>
      </w:r>
      <w:r>
        <w:instrText xml:space="preserve"> PAGEREF _Toc207030313 \h </w:instrText>
      </w:r>
      <w:r>
        <w:fldChar w:fldCharType="separate"/>
      </w:r>
      <w:r>
        <w:t>48</w:t>
      </w:r>
      <w:r>
        <w:fldChar w:fldCharType="end"/>
      </w:r>
    </w:p>
    <w:p>
      <w:pPr>
        <w:pStyle w:val="TOC8"/>
        <w:rPr>
          <w:rFonts w:asciiTheme="minorHAnsi" w:eastAsiaTheme="minorEastAsia" w:hAnsiTheme="minorHAnsi" w:cstheme="minorBidi"/>
          <w:szCs w:val="22"/>
        </w:rPr>
      </w:pPr>
      <w:r>
        <w:t>53.</w:t>
      </w:r>
      <w:r>
        <w:tab/>
        <w:t>Protection of persons giving information under this Act</w:t>
      </w:r>
      <w:r>
        <w:tab/>
      </w:r>
      <w:r>
        <w:fldChar w:fldCharType="begin"/>
      </w:r>
      <w:r>
        <w:instrText xml:space="preserve"> PAGEREF _Toc207030314 \h </w:instrText>
      </w:r>
      <w:r>
        <w:fldChar w:fldCharType="separate"/>
      </w:r>
      <w:r>
        <w:t>49</w:t>
      </w:r>
      <w:r>
        <w:fldChar w:fldCharType="end"/>
      </w:r>
    </w:p>
    <w:p>
      <w:pPr>
        <w:pStyle w:val="TOC8"/>
        <w:rPr>
          <w:rFonts w:asciiTheme="minorHAnsi" w:eastAsiaTheme="minorEastAsia" w:hAnsiTheme="minorHAnsi" w:cstheme="minorBidi"/>
          <w:szCs w:val="22"/>
        </w:rPr>
      </w:pPr>
      <w:r>
        <w:t>54A.</w:t>
      </w:r>
      <w:r>
        <w:tab/>
        <w:t>Remedies for breach of section 53</w:t>
      </w:r>
      <w:r>
        <w:tab/>
      </w:r>
      <w:r>
        <w:fldChar w:fldCharType="begin"/>
      </w:r>
      <w:r>
        <w:instrText xml:space="preserve"> PAGEREF _Toc207030315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Secrecy</w:t>
      </w:r>
      <w:r>
        <w:tab/>
      </w:r>
      <w:r>
        <w:fldChar w:fldCharType="begin"/>
      </w:r>
      <w:r>
        <w:instrText xml:space="preserve"> PAGEREF _Toc207030316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other Act or industrial instrument</w:t>
      </w:r>
      <w:r>
        <w:tab/>
      </w:r>
      <w:r>
        <w:fldChar w:fldCharType="begin"/>
      </w:r>
      <w:r>
        <w:instrText xml:space="preserve"> PAGEREF _Toc207030317 \h </w:instrText>
      </w:r>
      <w:r>
        <w:fldChar w:fldCharType="separate"/>
      </w:r>
      <w:r>
        <w:t>51</w:t>
      </w:r>
      <w:r>
        <w:fldChar w:fldCharType="end"/>
      </w:r>
    </w:p>
    <w:p>
      <w:pPr>
        <w:pStyle w:val="TOC8"/>
        <w:rPr>
          <w:rFonts w:asciiTheme="minorHAnsi" w:eastAsiaTheme="minorEastAsia" w:hAnsiTheme="minorHAnsi" w:cstheme="minorBidi"/>
          <w:szCs w:val="22"/>
        </w:rPr>
      </w:pPr>
      <w:r>
        <w:t>56.</w:t>
      </w:r>
      <w:r>
        <w:tab/>
        <w:t>Transitional provisions</w:t>
      </w:r>
      <w:r>
        <w:tab/>
      </w:r>
      <w:r>
        <w:fldChar w:fldCharType="begin"/>
      </w:r>
      <w:r>
        <w:instrText xml:space="preserve"> PAGEREF _Toc207030318 \h </w:instrText>
      </w:r>
      <w:r>
        <w:fldChar w:fldCharType="separate"/>
      </w:r>
      <w:r>
        <w:t>51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_Toc207030319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 Transitional provisions</w:t>
      </w:r>
    </w:p>
    <w:p>
      <w:pPr>
        <w:pStyle w:val="TOC4"/>
        <w:tabs>
          <w:tab w:val="right" w:leader="dot" w:pos="7077"/>
        </w:tabs>
        <w:rPr>
          <w:rFonts w:asciiTheme="minorHAnsi" w:eastAsiaTheme="minorEastAsia" w:hAnsiTheme="minorHAnsi" w:cstheme="minorBidi"/>
          <w:b w:val="0"/>
          <w:szCs w:val="22"/>
        </w:rPr>
      </w:pPr>
      <w:r>
        <w:t>Division 1 — The appointed day</w:t>
      </w:r>
    </w:p>
    <w:p>
      <w:pPr>
        <w:pStyle w:val="TOC8"/>
        <w:rPr>
          <w:rFonts w:asciiTheme="minorHAnsi" w:eastAsiaTheme="minorEastAsia" w:hAnsiTheme="minorHAnsi" w:cstheme="minorBidi"/>
          <w:szCs w:val="22"/>
        </w:rPr>
      </w:pPr>
      <w:r>
        <w:t>1.</w:t>
      </w:r>
      <w:r>
        <w:tab/>
        <w:t>Employees’ service before application for registration</w:t>
      </w:r>
      <w:r>
        <w:tab/>
      </w:r>
      <w:r>
        <w:fldChar w:fldCharType="begin"/>
      </w:r>
      <w:r>
        <w:instrText xml:space="preserve"> PAGEREF _Toc207030322 \h </w:instrText>
      </w:r>
      <w:r>
        <w:fldChar w:fldCharType="separate"/>
      </w:r>
      <w:r>
        <w:t>53</w:t>
      </w:r>
      <w:r>
        <w:fldChar w:fldCharType="end"/>
      </w:r>
    </w:p>
    <w:p>
      <w:pPr>
        <w:pStyle w:val="TOC8"/>
        <w:rPr>
          <w:rFonts w:asciiTheme="minorHAnsi" w:eastAsiaTheme="minorEastAsia" w:hAnsiTheme="minorHAnsi" w:cstheme="minorBidi"/>
          <w:szCs w:val="22"/>
        </w:rPr>
      </w:pPr>
      <w:r>
        <w:t>2.</w:t>
      </w:r>
      <w:r>
        <w:tab/>
        <w:t>Employers to pay Board contributions for some employees</w:t>
      </w:r>
      <w:r>
        <w:tab/>
      </w:r>
      <w:r>
        <w:fldChar w:fldCharType="begin"/>
      </w:r>
      <w:r>
        <w:instrText xml:space="preserve"> PAGEREF _Toc207030323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snapToGrid w:val="0"/>
        </w:rPr>
        <w:t xml:space="preserve">The </w:t>
      </w:r>
      <w:r>
        <w:rPr>
          <w:i/>
          <w:iCs/>
          <w:snapToGrid w:val="0"/>
        </w:rPr>
        <w:t>Labour Relations Legislation Amendment Act 2006</w:t>
      </w:r>
    </w:p>
    <w:p>
      <w:pPr>
        <w:pStyle w:val="TOC8"/>
        <w:rPr>
          <w:rFonts w:asciiTheme="minorHAnsi" w:eastAsiaTheme="minorEastAsia" w:hAnsiTheme="minorHAnsi" w:cstheme="minorBidi"/>
          <w:szCs w:val="22"/>
        </w:rPr>
      </w:pPr>
      <w:r>
        <w:t>3.</w:t>
      </w:r>
      <w:r>
        <w:tab/>
        <w:t>Service prior to commencement day</w:t>
      </w:r>
      <w:r>
        <w:tab/>
      </w:r>
      <w:r>
        <w:fldChar w:fldCharType="begin"/>
      </w:r>
      <w:r>
        <w:instrText xml:space="preserve"> PAGEREF _Toc207030325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Construction Industry Portable Paid Long Service Leave Amendment Act 2025</w:t>
      </w:r>
    </w:p>
    <w:p>
      <w:pPr>
        <w:pStyle w:val="TOC6"/>
        <w:tabs>
          <w:tab w:val="right" w:leader="dot" w:pos="7077"/>
        </w:tabs>
        <w:rPr>
          <w:rFonts w:asciiTheme="minorHAnsi" w:eastAsiaTheme="minorEastAsia" w:hAnsiTheme="minorHAnsi" w:cstheme="minorBidi"/>
          <w:b w:val="0"/>
          <w:sz w:val="22"/>
          <w:szCs w:val="22"/>
        </w:rPr>
      </w:pPr>
      <w:r>
        <w:t>Subdivision 1 — Preliminary and transitional regulations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_Toc207030328 \h </w:instrText>
      </w:r>
      <w:r>
        <w:fldChar w:fldCharType="separate"/>
      </w:r>
      <w:r>
        <w:t>55</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ab/>
      </w:r>
      <w:r>
        <w:fldChar w:fldCharType="begin"/>
      </w:r>
      <w:r>
        <w:instrText xml:space="preserve"> PAGEREF _Toc207030329 \h </w:instrText>
      </w:r>
      <w:r>
        <w:fldChar w:fldCharType="separate"/>
      </w:r>
      <w:r>
        <w:t>55</w:t>
      </w:r>
      <w:r>
        <w:fldChar w:fldCharType="end"/>
      </w:r>
    </w:p>
    <w:p>
      <w:pPr>
        <w:pStyle w:val="TOC8"/>
        <w:rPr>
          <w:rFonts w:asciiTheme="minorHAnsi" w:eastAsiaTheme="minorEastAsia" w:hAnsiTheme="minorHAnsi" w:cstheme="minorBidi"/>
          <w:szCs w:val="22"/>
        </w:rPr>
      </w:pPr>
      <w:r>
        <w:t>6.</w:t>
      </w:r>
      <w:r>
        <w:tab/>
        <w:t>Transitional regulations</w:t>
      </w:r>
      <w:r>
        <w:tab/>
      </w:r>
      <w:r>
        <w:fldChar w:fldCharType="begin"/>
      </w:r>
      <w:r>
        <w:instrText xml:space="preserve"> PAGEREF _Toc207030330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Amendments relating to employees stood down or on workers compensation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_Toc207030332 \h </w:instrText>
      </w:r>
      <w:r>
        <w:fldChar w:fldCharType="separate"/>
      </w:r>
      <w:r>
        <w:t>56</w:t>
      </w:r>
      <w:r>
        <w:fldChar w:fldCharType="end"/>
      </w:r>
    </w:p>
    <w:p>
      <w:pPr>
        <w:pStyle w:val="TOC8"/>
        <w:rPr>
          <w:rFonts w:asciiTheme="minorHAnsi" w:eastAsiaTheme="minorEastAsia" w:hAnsiTheme="minorHAnsi" w:cstheme="minorBidi"/>
          <w:szCs w:val="22"/>
        </w:rPr>
      </w:pPr>
      <w:r>
        <w:t>8.</w:t>
      </w:r>
      <w:r>
        <w:tab/>
        <w:t>Application of Act to employees stood down during pre</w:t>
      </w:r>
      <w:r>
        <w:noBreakHyphen/>
        <w:t>commencement period</w:t>
      </w:r>
      <w:r>
        <w:tab/>
      </w:r>
      <w:r>
        <w:fldChar w:fldCharType="begin"/>
      </w:r>
      <w:r>
        <w:instrText xml:space="preserve"> PAGEREF _Toc207030333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9.</w:t>
      </w:r>
      <w:r>
        <w:tab/>
        <w:t>Application of Act to employees on workers compensation before commencement day</w:t>
      </w:r>
      <w:r>
        <w:tab/>
      </w:r>
      <w:r>
        <w:fldChar w:fldCharType="begin"/>
      </w:r>
      <w:r>
        <w:instrText xml:space="preserve"> PAGEREF _Toc207030334 \h </w:instrText>
      </w:r>
      <w:r>
        <w:fldChar w:fldCharType="separate"/>
      </w:r>
      <w:r>
        <w:t>57</w:t>
      </w:r>
      <w:r>
        <w:fldChar w:fldCharType="end"/>
      </w:r>
    </w:p>
    <w:p>
      <w:pPr>
        <w:pStyle w:val="TOC8"/>
        <w:rPr>
          <w:rFonts w:asciiTheme="minorHAnsi" w:eastAsiaTheme="minorEastAsia" w:hAnsiTheme="minorHAnsi" w:cstheme="minorBidi"/>
          <w:szCs w:val="22"/>
        </w:rPr>
      </w:pPr>
      <w:r>
        <w:t>10.</w:t>
      </w:r>
      <w:r>
        <w:tab/>
        <w:t>Re</w:t>
      </w:r>
      <w:r>
        <w:noBreakHyphen/>
        <w:t>registration of particular employees</w:t>
      </w:r>
      <w:r>
        <w:tab/>
      </w:r>
      <w:r>
        <w:fldChar w:fldCharType="begin"/>
      </w:r>
      <w:r>
        <w:instrText xml:space="preserve"> PAGEREF _Toc207030335 \h </w:instrText>
      </w:r>
      <w:r>
        <w:fldChar w:fldCharType="separate"/>
      </w:r>
      <w:r>
        <w:t>58</w:t>
      </w:r>
      <w:r>
        <w:fldChar w:fldCharType="end"/>
      </w:r>
    </w:p>
    <w:p>
      <w:pPr>
        <w:pStyle w:val="TOC8"/>
        <w:rPr>
          <w:rFonts w:asciiTheme="minorHAnsi" w:eastAsiaTheme="minorEastAsia" w:hAnsiTheme="minorHAnsi" w:cstheme="minorBidi"/>
          <w:szCs w:val="22"/>
        </w:rPr>
      </w:pPr>
      <w:r>
        <w:t>11.</w:t>
      </w:r>
      <w:r>
        <w:tab/>
        <w:t>Board may set aside decision and make different decision</w:t>
      </w:r>
      <w:r>
        <w:tab/>
      </w:r>
      <w:r>
        <w:fldChar w:fldCharType="begin"/>
      </w:r>
      <w:r>
        <w:instrText xml:space="preserve"> PAGEREF _Toc207030336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_Toc207030338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_Toc207030339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_Toc207030340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2" w:name="_Toc206749255"/>
      <w:bookmarkStart w:id="3" w:name="_Toc207015276"/>
      <w:bookmarkStart w:id="4" w:name="_Toc20703025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703025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snapToGrid w:val="0"/>
        </w:rPr>
        <w:t>.</w:t>
      </w:r>
    </w:p>
    <w:p>
      <w:pPr>
        <w:pStyle w:val="Heading5"/>
        <w:rPr>
          <w:snapToGrid w:val="0"/>
        </w:rPr>
      </w:pPr>
      <w:bookmarkStart w:id="6" w:name="_Toc20703025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pPr>
      <w:bookmarkStart w:id="7" w:name="_Toc207030255"/>
      <w:r>
        <w:rPr>
          <w:rStyle w:val="CharSectno"/>
        </w:rPr>
        <w:t>3A</w:t>
      </w:r>
      <w:r>
        <w:t>.</w:t>
      </w:r>
      <w:r>
        <w:tab/>
        <w:t>Application offshore</w:t>
      </w:r>
      <w:bookmarkEnd w:id="7"/>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No. 53 of 2011 s. 4.]</w:t>
      </w:r>
    </w:p>
    <w:p>
      <w:pPr>
        <w:pStyle w:val="Heading5"/>
        <w:rPr>
          <w:snapToGrid w:val="0"/>
        </w:rPr>
      </w:pPr>
      <w:bookmarkStart w:id="8" w:name="_Toc20703025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w:t>
      </w:r>
      <w:r>
        <w:t xml:space="preserve">Act —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 xml:space="preserve">provides for training in a classification of work referred to in a prescribed industrial instrument relating to the </w:t>
      </w:r>
      <w:r>
        <w:lastRenderedPageBreak/>
        <w:t>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lastRenderedPageBreak/>
        <w:tab/>
        <w:t>(v)</w:t>
      </w:r>
      <w:r>
        <w:tab/>
        <w:t>works for the conveyance, treatment or disposal of sewage or of the effluent from any premises; and</w:t>
      </w:r>
    </w:p>
    <w:p>
      <w:pPr>
        <w:pStyle w:val="Defsubpara"/>
        <w:keepLines w:val="0"/>
      </w:pPr>
      <w:r>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keepLines w:val="0"/>
      </w:pPr>
      <w:r>
        <w:tab/>
        <w:t>(xvi)</w:t>
      </w:r>
      <w:r>
        <w:tab/>
        <w:t>structures, fixtures or works for use on or for the use of any buildings or works of a kind referred to in subparagraphs (i) to (xv);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lastRenderedPageBreak/>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pPr>
      <w:r>
        <w:tab/>
      </w:r>
      <w:r>
        <w:rPr>
          <w:rStyle w:val="CharDefText"/>
        </w:rPr>
        <w:t>day of service</w:t>
      </w:r>
      <w:r>
        <w:t xml:space="preserve"> has the meaning given in section 3B;</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lastRenderedPageBreak/>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chairperson;</w:t>
      </w:r>
    </w:p>
    <w:p>
      <w:pPr>
        <w:pStyle w:val="Defstart"/>
      </w:pPr>
      <w:r>
        <w:tab/>
      </w:r>
      <w:r>
        <w:rPr>
          <w:rStyle w:val="CharDefText"/>
        </w:rPr>
        <w:t>on workers compensation</w:t>
      </w:r>
      <w:r>
        <w:t xml:space="preserve"> has the meaning given in subsection (3C);</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pPr>
      <w:r>
        <w:tab/>
      </w:r>
      <w:r>
        <w:rPr>
          <w:rStyle w:val="CharDefText"/>
        </w:rPr>
        <w:t>stood down</w:t>
      </w:r>
      <w:r>
        <w:t xml:space="preserve"> has the meaning given in subsection (3B);</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lastRenderedPageBreak/>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pPr>
      <w:r>
        <w:tab/>
        <w:t>(3B)</w:t>
      </w:r>
      <w:r>
        <w:tab/>
        <w:t xml:space="preserve">An employee is </w:t>
      </w:r>
      <w:r>
        <w:rPr>
          <w:rStyle w:val="CharDefText"/>
        </w:rPr>
        <w:t>stood down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1 of the following applies in relation to that employment — </w:t>
      </w:r>
    </w:p>
    <w:p>
      <w:pPr>
        <w:pStyle w:val="Indenti"/>
      </w:pPr>
      <w:r>
        <w:tab/>
        <w:t>(i)</w:t>
      </w:r>
      <w:r>
        <w:tab/>
        <w:t xml:space="preserve">the employee was given a jobkeeper enabling stand down direction authorised by the </w:t>
      </w:r>
      <w:r>
        <w:rPr>
          <w:iCs/>
        </w:rPr>
        <w:t>Fair Work Act 2009</w:t>
      </w:r>
      <w:r>
        <w:t xml:space="preserve"> (Commonwealth) repealed section 789GDC for the day;</w:t>
      </w:r>
    </w:p>
    <w:p>
      <w:pPr>
        <w:pStyle w:val="Indenti"/>
      </w:pPr>
      <w:r>
        <w:tab/>
        <w:t>(ii)</w:t>
      </w:r>
      <w:r>
        <w:tab/>
        <w:t xml:space="preserve">the employee is stood down for the day under the </w:t>
      </w:r>
      <w:r>
        <w:rPr>
          <w:i/>
          <w:iCs/>
        </w:rPr>
        <w:t>Fair Work Act 2009</w:t>
      </w:r>
      <w:r>
        <w:t xml:space="preserve"> (Commonwealth) section 524(1);</w:t>
      </w:r>
    </w:p>
    <w:p>
      <w:pPr>
        <w:pStyle w:val="Indenti"/>
      </w:pPr>
      <w:r>
        <w:tab/>
        <w:t>(iii)</w:t>
      </w:r>
      <w:r>
        <w:tab/>
        <w:t>the employee is stood down for the day under an industrial instrument;</w:t>
      </w:r>
    </w:p>
    <w:p>
      <w:pPr>
        <w:pStyle w:val="Indenti"/>
      </w:pPr>
      <w:r>
        <w:tab/>
        <w:t>(iv)</w:t>
      </w:r>
      <w:r>
        <w:tab/>
        <w:t>the employee is stood down for the day in prescribed circumstances.</w:t>
      </w:r>
    </w:p>
    <w:p>
      <w:pPr>
        <w:pStyle w:val="Subsection"/>
      </w:pPr>
      <w:r>
        <w:lastRenderedPageBreak/>
        <w:tab/>
        <w:t>(3C)</w:t>
      </w:r>
      <w:r>
        <w:tab/>
        <w:t xml:space="preserve">An employee is </w:t>
      </w:r>
      <w:r>
        <w:rPr>
          <w:rStyle w:val="CharDefText"/>
        </w:rPr>
        <w:t>on workers compensation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the employee is entitled to receive income compensation under the </w:t>
      </w:r>
      <w:r>
        <w:rPr>
          <w:i/>
        </w:rPr>
        <w:t xml:space="preserve">Workers Compensation and Injury Management Act 2023 </w:t>
      </w:r>
      <w:r>
        <w:t>Part 2 Division 3 for a period that includes the day.</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No. 30 of 1989 s. 4; No. 14 of 1996 s. 4; No. 57 of 1997 s. 38; No. 10 of 2001 s. 44; No. 36 of 2006 s. 44; No. 53 of 2011 s. 5; No. 12 of 2025 s. 4, 9 and 19.]</w:t>
      </w:r>
    </w:p>
    <w:p>
      <w:pPr>
        <w:pStyle w:val="Heading5"/>
        <w:spacing w:before="400"/>
      </w:pPr>
      <w:bookmarkStart w:id="9" w:name="_Toc206736515"/>
      <w:bookmarkStart w:id="10" w:name="_Toc206737732"/>
      <w:bookmarkStart w:id="11" w:name="_Toc206751574"/>
      <w:bookmarkStart w:id="12" w:name="_Toc207030257"/>
      <w:r>
        <w:rPr>
          <w:rStyle w:val="CharSectno"/>
        </w:rPr>
        <w:lastRenderedPageBreak/>
        <w:t>3B</w:t>
      </w:r>
      <w:r>
        <w:t>.</w:t>
      </w:r>
      <w:r>
        <w:tab/>
        <w:t>Day of service</w:t>
      </w:r>
      <w:bookmarkEnd w:id="9"/>
      <w:bookmarkEnd w:id="10"/>
      <w:bookmarkEnd w:id="11"/>
      <w:bookmarkEnd w:id="12"/>
    </w:p>
    <w:p>
      <w:pPr>
        <w:pStyle w:val="Subsection"/>
        <w:keepNext/>
      </w:pPr>
      <w:r>
        <w:tab/>
        <w:t>(1)</w:t>
      </w:r>
      <w:r>
        <w:tab/>
        <w:t xml:space="preserve">A </w:t>
      </w:r>
      <w:r>
        <w:rPr>
          <w:rStyle w:val="CharDefText"/>
        </w:rPr>
        <w:t>day of service</w:t>
      </w:r>
      <w:r>
        <w:t xml:space="preserve"> is — </w:t>
      </w:r>
    </w:p>
    <w:p>
      <w:pPr>
        <w:pStyle w:val="Indenta"/>
      </w:pPr>
      <w:r>
        <w:tab/>
        <w:t>(a)</w:t>
      </w:r>
      <w:r>
        <w:tab/>
        <w:t xml:space="preserve">a day in respect of which an employee is entitled to receive ordinary pay, including a day on which the employee is — </w:t>
      </w:r>
    </w:p>
    <w:p>
      <w:pPr>
        <w:pStyle w:val="Indenti"/>
      </w:pPr>
      <w:r>
        <w:tab/>
        <w:t>(i)</w:t>
      </w:r>
      <w:r>
        <w:tab/>
        <w:t>on long service leave under this Act; or</w:t>
      </w:r>
    </w:p>
    <w:p>
      <w:pPr>
        <w:pStyle w:val="Indenti"/>
      </w:pPr>
      <w:r>
        <w:tab/>
        <w:t>(ii)</w:t>
      </w:r>
      <w:r>
        <w:tab/>
        <w:t>on annual leave in excess of 4 weeks in any period of 12 months; or</w:t>
      </w:r>
    </w:p>
    <w:p>
      <w:pPr>
        <w:pStyle w:val="Indenti"/>
      </w:pPr>
      <w:r>
        <w:tab/>
        <w:t>(iii)</w:t>
      </w:r>
      <w:r>
        <w:tab/>
        <w:t>on paid sick leave;</w:t>
      </w:r>
    </w:p>
    <w:p>
      <w:pPr>
        <w:pStyle w:val="Indenta"/>
      </w:pPr>
      <w:r>
        <w:tab/>
      </w:r>
      <w:r>
        <w:tab/>
        <w:t>or</w:t>
      </w:r>
    </w:p>
    <w:p>
      <w:pPr>
        <w:pStyle w:val="Indenta"/>
      </w:pPr>
      <w:r>
        <w:tab/>
        <w:t>(b)</w:t>
      </w:r>
      <w:r>
        <w:tab/>
        <w:t xml:space="preserve">a day in respect of which an employee is stood down, if the employee is — </w:t>
      </w:r>
    </w:p>
    <w:p>
      <w:pPr>
        <w:pStyle w:val="Indenti"/>
      </w:pPr>
      <w:r>
        <w:tab/>
        <w:t>(i)</w:t>
      </w:r>
      <w:r>
        <w:tab/>
        <w:t>not employed on a casual basis; or</w:t>
      </w:r>
    </w:p>
    <w:p>
      <w:pPr>
        <w:pStyle w:val="Indenti"/>
      </w:pPr>
      <w:r>
        <w:tab/>
        <w:t>(ii)</w:t>
      </w:r>
      <w:r>
        <w:tab/>
        <w:t>employed on a casual basis and has worked in that employment on a regular and systematic basis during the period of 12 months ending on the day;</w:t>
      </w:r>
    </w:p>
    <w:p>
      <w:pPr>
        <w:pStyle w:val="Indenta"/>
      </w:pPr>
      <w:r>
        <w:tab/>
      </w:r>
      <w:r>
        <w:tab/>
        <w:t>or</w:t>
      </w:r>
    </w:p>
    <w:p>
      <w:pPr>
        <w:pStyle w:val="Indenta"/>
      </w:pPr>
      <w:r>
        <w:tab/>
        <w:t>(c)</w:t>
      </w:r>
      <w:r>
        <w:tab/>
        <w:t>a day in respect of which an employee is on workers compensation.</w:t>
      </w:r>
    </w:p>
    <w:p>
      <w:pPr>
        <w:pStyle w:val="Subsection"/>
      </w:pPr>
      <w:r>
        <w:tab/>
        <w:t>(2)</w:t>
      </w:r>
      <w:r>
        <w:tab/>
        <w:t>If an employee is stood down for a period exceeding 1 day, the reference in subsection (1)(b)(ii) to the day is a reference to the first day of the period for which the employee is stood down.</w:t>
      </w:r>
    </w:p>
    <w:p>
      <w:pPr>
        <w:pStyle w:val="Footnotesection"/>
      </w:pPr>
      <w:r>
        <w:tab/>
        <w:t>[Section 3B inserted: No. 12 of 2025 s. 5.]</w:t>
      </w:r>
    </w:p>
    <w:p>
      <w:pPr>
        <w:pStyle w:val="Heading5"/>
        <w:spacing w:before="400"/>
        <w:rPr>
          <w:snapToGrid w:val="0"/>
        </w:rPr>
      </w:pPr>
      <w:bookmarkStart w:id="13" w:name="_Toc207030258"/>
      <w:r>
        <w:rPr>
          <w:rStyle w:val="CharSectno"/>
        </w:rPr>
        <w:t>4</w:t>
      </w:r>
      <w:r>
        <w:rPr>
          <w:snapToGrid w:val="0"/>
        </w:rPr>
        <w:t>.</w:t>
      </w:r>
      <w:r>
        <w:rPr>
          <w:snapToGrid w:val="0"/>
        </w:rPr>
        <w:tab/>
        <w:t>Crown bound</w:t>
      </w:r>
      <w:bookmarkEnd w:id="13"/>
    </w:p>
    <w:p>
      <w:pPr>
        <w:pStyle w:val="Subsection"/>
        <w:rPr>
          <w:snapToGrid w:val="0"/>
        </w:rPr>
      </w:pPr>
      <w:r>
        <w:rPr>
          <w:snapToGrid w:val="0"/>
        </w:rPr>
        <w:tab/>
      </w:r>
      <w:r>
        <w:rPr>
          <w:snapToGrid w:val="0"/>
        </w:rPr>
        <w:tab/>
        <w:t>This Act binds the Crown in right of the State.</w:t>
      </w:r>
    </w:p>
    <w:p>
      <w:pPr>
        <w:pStyle w:val="Heading2"/>
      </w:pPr>
      <w:bookmarkStart w:id="14" w:name="_Toc206749261"/>
      <w:bookmarkStart w:id="15" w:name="_Toc207015283"/>
      <w:bookmarkStart w:id="16" w:name="_Toc207030259"/>
      <w:r>
        <w:rPr>
          <w:rStyle w:val="CharPartNo"/>
        </w:rPr>
        <w:lastRenderedPageBreak/>
        <w:t>Part II</w:t>
      </w:r>
      <w:r>
        <w:rPr>
          <w:rStyle w:val="CharDivNo"/>
        </w:rPr>
        <w:t> </w:t>
      </w:r>
      <w:r>
        <w:t>—</w:t>
      </w:r>
      <w:r>
        <w:rPr>
          <w:rStyle w:val="CharDivText"/>
        </w:rPr>
        <w:t> </w:t>
      </w:r>
      <w:r>
        <w:rPr>
          <w:rStyle w:val="CharPartText"/>
        </w:rPr>
        <w:t>Administration</w:t>
      </w:r>
      <w:bookmarkEnd w:id="14"/>
      <w:bookmarkEnd w:id="15"/>
      <w:bookmarkEnd w:id="16"/>
    </w:p>
    <w:p>
      <w:pPr>
        <w:pStyle w:val="Heading5"/>
        <w:rPr>
          <w:snapToGrid w:val="0"/>
        </w:rPr>
      </w:pPr>
      <w:bookmarkStart w:id="17" w:name="_Toc207030260"/>
      <w:r>
        <w:rPr>
          <w:rStyle w:val="CharSectno"/>
        </w:rPr>
        <w:t>5</w:t>
      </w:r>
      <w:r>
        <w:rPr>
          <w:snapToGrid w:val="0"/>
        </w:rPr>
        <w:t>.</w:t>
      </w:r>
      <w:r>
        <w:rPr>
          <w:snapToGrid w:val="0"/>
        </w:rPr>
        <w:tab/>
        <w:t>Construction Industry Long Service Leave Payments Board established</w:t>
      </w:r>
      <w:bookmarkEnd w:id="17"/>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8" w:name="_Toc207030261"/>
      <w:r>
        <w:rPr>
          <w:rStyle w:val="CharSectno"/>
        </w:rPr>
        <w:t>6</w:t>
      </w:r>
      <w:r>
        <w:rPr>
          <w:snapToGrid w:val="0"/>
        </w:rPr>
        <w:t>.</w:t>
      </w:r>
      <w:r>
        <w:rPr>
          <w:snapToGrid w:val="0"/>
        </w:rPr>
        <w:tab/>
        <w:t>Membership of Board</w:t>
      </w:r>
      <w:bookmarkEnd w:id="18"/>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 xml:space="preserve">one person who shall be </w:t>
      </w:r>
      <w:r>
        <w:t>chairperson;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lastRenderedPageBreak/>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Indenta"/>
      </w:pPr>
      <w:r>
        <w:tab/>
        <w:t>(b)</w:t>
      </w:r>
      <w:r>
        <w:tab/>
        <w:t xml:space="preserve">the Minister is not to appoint a person under subsection (1)(d) until a person referred to in </w:t>
      </w:r>
      <w:r>
        <w:lastRenderedPageBreak/>
        <w:t>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No. 8 of 2009 s. 39; No. 53 of 2011 s. 6; No. 12 of 2025 s. 10.]</w:t>
      </w:r>
    </w:p>
    <w:p>
      <w:pPr>
        <w:pStyle w:val="Heading5"/>
        <w:rPr>
          <w:snapToGrid w:val="0"/>
        </w:rPr>
      </w:pPr>
      <w:bookmarkStart w:id="19" w:name="_Toc207030262"/>
      <w:r>
        <w:rPr>
          <w:rStyle w:val="CharSectno"/>
        </w:rPr>
        <w:t>7</w:t>
      </w:r>
      <w:r>
        <w:rPr>
          <w:snapToGrid w:val="0"/>
        </w:rPr>
        <w:t>.</w:t>
      </w:r>
      <w:r>
        <w:rPr>
          <w:snapToGrid w:val="0"/>
        </w:rPr>
        <w:tab/>
        <w:t>Acting members</w:t>
      </w:r>
      <w:bookmarkEnd w:id="19"/>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chairperson or a member appointed under section 6(1)(d) or (e) is absent or temporarily incapable of fulfilling the duties of a member; or</w:t>
      </w:r>
    </w:p>
    <w:p>
      <w:pPr>
        <w:pStyle w:val="Indenta"/>
      </w:pPr>
      <w:r>
        <w:lastRenderedPageBreak/>
        <w:tab/>
        <w:t>(b)</w:t>
      </w:r>
      <w:r>
        <w:tab/>
        <w:t>the office of the chairperson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 xml:space="preserve">The appointment of a person as an acting member or as acting </w:t>
      </w:r>
      <w:r>
        <w:t>chairperson</w:t>
      </w:r>
      <w:r>
        <w:rPr>
          <w:snapToGrid w:val="0"/>
        </w:rPr>
        <w:t xml:space="preserve">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No. 53 of 2011 s. 7; No. 12 of 2025 s. 11.]</w:t>
      </w:r>
    </w:p>
    <w:p>
      <w:pPr>
        <w:pStyle w:val="Heading5"/>
        <w:rPr>
          <w:snapToGrid w:val="0"/>
        </w:rPr>
      </w:pPr>
      <w:bookmarkStart w:id="20" w:name="_Toc207030263"/>
      <w:r>
        <w:rPr>
          <w:rStyle w:val="CharSectno"/>
        </w:rPr>
        <w:t>8</w:t>
      </w:r>
      <w:r>
        <w:rPr>
          <w:snapToGrid w:val="0"/>
        </w:rPr>
        <w:t>.</w:t>
      </w:r>
      <w:r>
        <w:rPr>
          <w:snapToGrid w:val="0"/>
        </w:rPr>
        <w:tab/>
        <w:t>Vacation of office</w:t>
      </w:r>
      <w:bookmarkEnd w:id="20"/>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keepNext/>
        <w:rPr>
          <w:snapToGrid w:val="0"/>
        </w:rPr>
      </w:pPr>
      <w:r>
        <w:rPr>
          <w:snapToGrid w:val="0"/>
        </w:rPr>
        <w:lastRenderedPageBreak/>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No. 18 of 2009 s. 21; No. 53 of 2011 s. 8.]</w:t>
      </w:r>
    </w:p>
    <w:p>
      <w:pPr>
        <w:pStyle w:val="Heading5"/>
        <w:rPr>
          <w:snapToGrid w:val="0"/>
        </w:rPr>
      </w:pPr>
      <w:bookmarkStart w:id="21" w:name="_Toc207030264"/>
      <w:r>
        <w:rPr>
          <w:rStyle w:val="CharSectno"/>
        </w:rPr>
        <w:t>9</w:t>
      </w:r>
      <w:r>
        <w:rPr>
          <w:snapToGrid w:val="0"/>
        </w:rPr>
        <w:t>.</w:t>
      </w:r>
      <w:r>
        <w:rPr>
          <w:snapToGrid w:val="0"/>
        </w:rPr>
        <w:tab/>
        <w:t>Fees and allowances</w:t>
      </w:r>
      <w:bookmarkEnd w:id="21"/>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pPr>
      <w:r>
        <w:tab/>
        <w:t>(1A)</w:t>
      </w:r>
      <w:r>
        <w:tab/>
        <w:t>If a member so requests, the Board may pay a fee or allowance to which the member is entitled to the principal employer of the member.</w:t>
      </w:r>
    </w:p>
    <w:p>
      <w:pPr>
        <w:pStyle w:val="Subsection"/>
      </w:pPr>
      <w:r>
        <w:tab/>
        <w:t>(1B)</w:t>
      </w:r>
      <w:r>
        <w:tab/>
        <w:t>Payment of a fee or allowance at a member’s request under subsection (1A) does not affect the member’s duty to act as a member of the Board under this Act.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 xml:space="preserve">Public Sector </w:t>
      </w:r>
      <w:r>
        <w:rPr>
          <w:i/>
          <w:snapToGrid w:val="0"/>
        </w:rPr>
        <w:lastRenderedPageBreak/>
        <w:t>Management Act 1994</w:t>
      </w:r>
      <w:r>
        <w:rPr>
          <w:snapToGrid w:val="0"/>
        </w:rPr>
        <w:t xml:space="preserve"> or any other Act applying to persons as officers of the Public Service or employees of a State instrumentality applicable to that member or affect or prejudice the application to </w:t>
      </w:r>
      <w:r>
        <w:t>the member</w:t>
      </w:r>
      <w:r>
        <w:rPr>
          <w:snapToGrid w:val="0"/>
        </w:rPr>
        <w:t xml:space="preserve"> of those provisions if they applied to </w:t>
      </w:r>
      <w:r>
        <w:t>the member</w:t>
      </w:r>
      <w:r>
        <w:rPr>
          <w:snapToGrid w:val="0"/>
        </w:rPr>
        <w:t xml:space="preserve"> at the time of the acceptance of, or acting in, that office.</w:t>
      </w:r>
    </w:p>
    <w:p>
      <w:pPr>
        <w:pStyle w:val="Footnotesection"/>
      </w:pPr>
      <w:r>
        <w:tab/>
        <w:t>[Section 9 amended: No. 32 of 1994 s. 3(2); No. 39 of 2010 s. 89; No. 12 of 2025 s. 12.]</w:t>
      </w:r>
    </w:p>
    <w:p>
      <w:pPr>
        <w:pStyle w:val="Heading5"/>
        <w:rPr>
          <w:snapToGrid w:val="0"/>
        </w:rPr>
      </w:pPr>
      <w:bookmarkStart w:id="22" w:name="_Toc207030265"/>
      <w:r>
        <w:rPr>
          <w:rStyle w:val="CharSectno"/>
        </w:rPr>
        <w:t>10</w:t>
      </w:r>
      <w:r>
        <w:rPr>
          <w:snapToGrid w:val="0"/>
        </w:rPr>
        <w:t>.</w:t>
      </w:r>
      <w:r>
        <w:rPr>
          <w:snapToGrid w:val="0"/>
        </w:rPr>
        <w:tab/>
        <w:t>Meetings of Board and disclosure of interest</w:t>
      </w:r>
      <w:bookmarkEnd w:id="22"/>
    </w:p>
    <w:p>
      <w:pPr>
        <w:pStyle w:val="Subsection"/>
        <w:rPr>
          <w:snapToGrid w:val="0"/>
        </w:rPr>
      </w:pPr>
      <w:r>
        <w:rPr>
          <w:snapToGrid w:val="0"/>
        </w:rPr>
        <w:tab/>
        <w:t>(1)</w:t>
      </w:r>
      <w:r>
        <w:rPr>
          <w:snapToGrid w:val="0"/>
        </w:rPr>
        <w:tab/>
        <w:t xml:space="preserve">The </w:t>
      </w:r>
      <w:r>
        <w:t>chairperson</w:t>
      </w:r>
      <w:r>
        <w:rPr>
          <w:snapToGrid w:val="0"/>
        </w:rPr>
        <w:t xml:space="preserve"> may, and shall whenever so requested by the Minister or by not less than 2 members, convene a meeting of the Board to be held at a time and place determined by the </w:t>
      </w:r>
      <w:r>
        <w:t>chairperson.</w:t>
      </w:r>
    </w:p>
    <w:p>
      <w:pPr>
        <w:pStyle w:val="Subsection"/>
      </w:pPr>
      <w:r>
        <w:tab/>
        <w:t>(2)</w:t>
      </w:r>
      <w:r>
        <w:tab/>
        <w:t>The chairperson must preside at any meeting of the Board at which the chairperson is present.</w:t>
      </w:r>
    </w:p>
    <w:p>
      <w:pPr>
        <w:pStyle w:val="Subsection"/>
      </w:pPr>
      <w:r>
        <w:tab/>
        <w:t>(3)</w:t>
      </w:r>
      <w:r>
        <w:tab/>
        <w:t xml:space="preserve">If the chairperson is not present at a meeting of the Board the following person must preside at the meeting — </w:t>
      </w:r>
    </w:p>
    <w:p>
      <w:pPr>
        <w:pStyle w:val="Indenta"/>
      </w:pPr>
      <w:r>
        <w:tab/>
        <w:t>(a)</w:t>
      </w:r>
      <w:r>
        <w:tab/>
        <w:t>if a person has been appointed under section 7(3) to act in the place of the chairperson — that person;</w:t>
      </w:r>
    </w:p>
    <w:p>
      <w:pPr>
        <w:pStyle w:val="Indenta"/>
      </w:pPr>
      <w:r>
        <w:tab/>
        <w:t>(b)</w:t>
      </w:r>
      <w:r>
        <w:tab/>
        <w:t>otherwise — the member elected by the members present to preside at the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 xml:space="preserve">A member who has a pecuniary interest, whether direct or indirect, in any matter to be considered by the Board shall declare the nature of that interest at every meeting at which the </w:t>
      </w:r>
      <w:r>
        <w:rPr>
          <w:snapToGrid w:val="0"/>
        </w:rPr>
        <w:lastRenderedPageBreak/>
        <w:t>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Subsection"/>
      </w:pPr>
      <w:r>
        <w:tab/>
        <w:t>(10)</w:t>
      </w:r>
      <w:r>
        <w:tab/>
        <w:t>The presence of a member at a meeting of the Board need not be by attendance in person but may be by that member and each other member at the meeting being simultaneously in contact by telephone or other means of instantaneous communication.</w:t>
      </w:r>
    </w:p>
    <w:p>
      <w:pPr>
        <w:pStyle w:val="Footnotesection"/>
      </w:pPr>
      <w:r>
        <w:tab/>
        <w:t>[Section 10 amended: No. 12 of 2025 s. 13.]</w:t>
      </w:r>
    </w:p>
    <w:p>
      <w:pPr>
        <w:pStyle w:val="Heading5"/>
      </w:pPr>
      <w:bookmarkStart w:id="23" w:name="_Toc206736537"/>
      <w:bookmarkStart w:id="24" w:name="_Toc206737754"/>
      <w:bookmarkStart w:id="25" w:name="_Toc206751596"/>
      <w:bookmarkStart w:id="26" w:name="_Toc207030266"/>
      <w:r>
        <w:rPr>
          <w:rStyle w:val="CharSectno"/>
        </w:rPr>
        <w:t>10A</w:t>
      </w:r>
      <w:r>
        <w:t>.</w:t>
      </w:r>
      <w:r>
        <w:tab/>
        <w:t>Decision without meeting</w:t>
      </w:r>
      <w:bookmarkEnd w:id="23"/>
      <w:bookmarkEnd w:id="24"/>
      <w:bookmarkEnd w:id="25"/>
      <w:bookmarkEnd w:id="26"/>
    </w:p>
    <w:p>
      <w:pPr>
        <w:pStyle w:val="Subsection"/>
      </w:pPr>
      <w:r>
        <w:tab/>
      </w:r>
      <w:r>
        <w:tab/>
        <w:t>A decision in writing signed or otherwise assented to in writing by each member has the same effect as if it had been made at a meeting of the Board.</w:t>
      </w:r>
    </w:p>
    <w:p>
      <w:pPr>
        <w:pStyle w:val="Footnotesection"/>
      </w:pPr>
      <w:r>
        <w:tab/>
        <w:t>[Section 10A inserted: No. 12 of 2025 s. 14.]</w:t>
      </w:r>
    </w:p>
    <w:p>
      <w:pPr>
        <w:pStyle w:val="Heading5"/>
        <w:rPr>
          <w:snapToGrid w:val="0"/>
        </w:rPr>
      </w:pPr>
      <w:bookmarkStart w:id="27" w:name="_Toc207030267"/>
      <w:r>
        <w:rPr>
          <w:rStyle w:val="CharSectno"/>
        </w:rPr>
        <w:t>11</w:t>
      </w:r>
      <w:r>
        <w:rPr>
          <w:snapToGrid w:val="0"/>
        </w:rPr>
        <w:t>.</w:t>
      </w:r>
      <w:r>
        <w:rPr>
          <w:snapToGrid w:val="0"/>
        </w:rPr>
        <w:tab/>
        <w:t>Minister may require Board to give information</w:t>
      </w:r>
      <w:bookmarkEnd w:id="2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28" w:name="_Toc207030268"/>
      <w:r>
        <w:rPr>
          <w:rStyle w:val="CharSectno"/>
        </w:rPr>
        <w:t>12</w:t>
      </w:r>
      <w:r>
        <w:rPr>
          <w:snapToGrid w:val="0"/>
        </w:rPr>
        <w:t>.</w:t>
      </w:r>
      <w:r>
        <w:rPr>
          <w:snapToGrid w:val="0"/>
        </w:rPr>
        <w:tab/>
        <w:t>Indemnity</w:t>
      </w:r>
      <w:bookmarkEnd w:id="28"/>
    </w:p>
    <w:p>
      <w:pPr>
        <w:pStyle w:val="Subsection"/>
        <w:spacing w:before="150"/>
        <w:rPr>
          <w:snapToGrid w:val="0"/>
        </w:rPr>
      </w:pPr>
      <w:r>
        <w:rPr>
          <w:snapToGrid w:val="0"/>
        </w:rPr>
        <w:tab/>
      </w:r>
      <w:r>
        <w:rPr>
          <w:snapToGrid w:val="0"/>
        </w:rPr>
        <w:tab/>
        <w:t xml:space="preserve">A person who is or was a member or acting member is not personally liable for anything done or omitted in good faith in, </w:t>
      </w:r>
      <w:r>
        <w:rPr>
          <w:snapToGrid w:val="0"/>
        </w:rPr>
        <w:lastRenderedPageBreak/>
        <w:t>or in connection with, the exercise or purported exercise of any power, or the carrying out of any duty or function as a member.</w:t>
      </w:r>
    </w:p>
    <w:p>
      <w:pPr>
        <w:pStyle w:val="Heading5"/>
        <w:rPr>
          <w:snapToGrid w:val="0"/>
        </w:rPr>
      </w:pPr>
      <w:bookmarkStart w:id="29" w:name="_Toc207030269"/>
      <w:r>
        <w:rPr>
          <w:rStyle w:val="CharSectno"/>
        </w:rPr>
        <w:t>13</w:t>
      </w:r>
      <w:r>
        <w:rPr>
          <w:snapToGrid w:val="0"/>
        </w:rPr>
        <w:t>.</w:t>
      </w:r>
      <w:r>
        <w:rPr>
          <w:snapToGrid w:val="0"/>
        </w:rPr>
        <w:tab/>
        <w:t>Staff</w:t>
      </w:r>
      <w:bookmarkEnd w:id="29"/>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30" w:name="_Toc207030270"/>
      <w:r>
        <w:rPr>
          <w:rStyle w:val="CharSectno"/>
        </w:rPr>
        <w:t>14</w:t>
      </w:r>
      <w:r>
        <w:rPr>
          <w:snapToGrid w:val="0"/>
        </w:rPr>
        <w:t>.</w:t>
      </w:r>
      <w:r>
        <w:rPr>
          <w:snapToGrid w:val="0"/>
        </w:rPr>
        <w:tab/>
        <w:t>Functions of Board</w:t>
      </w:r>
      <w:bookmarkEnd w:id="30"/>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31" w:name="_Toc207030271"/>
      <w:r>
        <w:rPr>
          <w:rStyle w:val="CharSectno"/>
        </w:rPr>
        <w:t>15</w:t>
      </w:r>
      <w:r>
        <w:rPr>
          <w:snapToGrid w:val="0"/>
        </w:rPr>
        <w:t>.</w:t>
      </w:r>
      <w:r>
        <w:rPr>
          <w:snapToGrid w:val="0"/>
        </w:rPr>
        <w:tab/>
        <w:t>Funds of Board</w:t>
      </w:r>
      <w:bookmarkEnd w:id="31"/>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keepNext/>
        <w:rPr>
          <w:snapToGrid w:val="0"/>
        </w:rPr>
      </w:pPr>
      <w:r>
        <w:rPr>
          <w:snapToGrid w:val="0"/>
        </w:rPr>
        <w:lastRenderedPageBreak/>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No. 30 of 1989 s. 5; No. 1 of 1997 s. 18.]</w:t>
      </w:r>
    </w:p>
    <w:p>
      <w:pPr>
        <w:pStyle w:val="Heading5"/>
        <w:rPr>
          <w:snapToGrid w:val="0"/>
        </w:rPr>
      </w:pPr>
      <w:bookmarkStart w:id="32" w:name="_Toc207030272"/>
      <w:r>
        <w:rPr>
          <w:rStyle w:val="CharSectno"/>
        </w:rPr>
        <w:t>16</w:t>
      </w:r>
      <w:r>
        <w:rPr>
          <w:snapToGrid w:val="0"/>
        </w:rPr>
        <w:t>.</w:t>
      </w:r>
      <w:r>
        <w:rPr>
          <w:snapToGrid w:val="0"/>
        </w:rPr>
        <w:tab/>
        <w:t>Power to borrow and guarantee</w:t>
      </w:r>
      <w:bookmarkEnd w:id="3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lastRenderedPageBreak/>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No. 4 of 1986, s. 4; No. 6 of 1993 s. 11; No. 49 of 1996 s. 64; No. 77 of 2006 s. 4.]</w:t>
      </w:r>
    </w:p>
    <w:p>
      <w:pPr>
        <w:pStyle w:val="Heading5"/>
        <w:rPr>
          <w:snapToGrid w:val="0"/>
        </w:rPr>
      </w:pPr>
      <w:bookmarkStart w:id="33" w:name="_Toc207030273"/>
      <w:r>
        <w:rPr>
          <w:rStyle w:val="CharSectno"/>
        </w:rPr>
        <w:t>17</w:t>
      </w:r>
      <w:r>
        <w:rPr>
          <w:snapToGrid w:val="0"/>
        </w:rPr>
        <w:t>.</w:t>
      </w:r>
      <w:r>
        <w:rPr>
          <w:snapToGrid w:val="0"/>
        </w:rPr>
        <w:tab/>
        <w:t>Notification of certain contracts to be given to Minister</w:t>
      </w:r>
      <w:bookmarkEnd w:id="33"/>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34" w:name="_Toc20703027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No. 4 of 1986 s. 4; amended: No. 77 of 2006 Sch. 1 cl. 31.]</w:t>
      </w:r>
    </w:p>
    <w:p>
      <w:pPr>
        <w:pStyle w:val="Heading5"/>
        <w:rPr>
          <w:snapToGrid w:val="0"/>
        </w:rPr>
      </w:pPr>
      <w:bookmarkStart w:id="35" w:name="_Toc207030275"/>
      <w:r>
        <w:rPr>
          <w:rStyle w:val="CharSectno"/>
        </w:rPr>
        <w:t>19</w:t>
      </w:r>
      <w:r>
        <w:rPr>
          <w:snapToGrid w:val="0"/>
        </w:rPr>
        <w:t>.</w:t>
      </w:r>
      <w:r>
        <w:rPr>
          <w:snapToGrid w:val="0"/>
        </w:rPr>
        <w:tab/>
        <w:t>Investigations by actuary</w:t>
      </w:r>
      <w:bookmarkEnd w:id="35"/>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lastRenderedPageBreak/>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No. 4 of 1986 s. 4.]</w:t>
      </w:r>
    </w:p>
    <w:p>
      <w:pPr>
        <w:pStyle w:val="Heading2"/>
      </w:pPr>
      <w:bookmarkStart w:id="36" w:name="_Toc206749277"/>
      <w:bookmarkStart w:id="37" w:name="_Toc207015300"/>
      <w:bookmarkStart w:id="38" w:name="_Toc207030276"/>
      <w:r>
        <w:rPr>
          <w:rStyle w:val="CharPartNo"/>
        </w:rPr>
        <w:lastRenderedPageBreak/>
        <w:t>Part III</w:t>
      </w:r>
      <w:r>
        <w:rPr>
          <w:rStyle w:val="CharDivNo"/>
        </w:rPr>
        <w:t> </w:t>
      </w:r>
      <w:r>
        <w:t>—</w:t>
      </w:r>
      <w:r>
        <w:rPr>
          <w:rStyle w:val="CharDivText"/>
        </w:rPr>
        <w:t> </w:t>
      </w:r>
      <w:r>
        <w:rPr>
          <w:rStyle w:val="CharPartText"/>
        </w:rPr>
        <w:t>Entitlement to long service leave and pay</w:t>
      </w:r>
      <w:bookmarkEnd w:id="36"/>
      <w:bookmarkEnd w:id="37"/>
      <w:bookmarkEnd w:id="38"/>
    </w:p>
    <w:p>
      <w:pPr>
        <w:pStyle w:val="Heading5"/>
        <w:rPr>
          <w:snapToGrid w:val="0"/>
        </w:rPr>
      </w:pPr>
      <w:bookmarkStart w:id="39" w:name="_Toc207030277"/>
      <w:r>
        <w:rPr>
          <w:rStyle w:val="CharSectno"/>
        </w:rPr>
        <w:t>21</w:t>
      </w:r>
      <w:r>
        <w:rPr>
          <w:snapToGrid w:val="0"/>
        </w:rPr>
        <w:t>.</w:t>
      </w:r>
      <w:r>
        <w:rPr>
          <w:snapToGrid w:val="0"/>
        </w:rPr>
        <w:tab/>
        <w:t>Entitlement to paid long service leave and pay</w:t>
      </w:r>
      <w:bookmarkEnd w:id="39"/>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w:t>
      </w:r>
      <w:r>
        <w:lastRenderedPageBreak/>
        <w:t xml:space="preserve">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pPr>
      <w:r>
        <w:tab/>
      </w:r>
      <w:r>
        <w:rPr>
          <w:rStyle w:val="CharDefText"/>
        </w:rPr>
        <w:t>ordinary pay</w:t>
      </w:r>
      <w:r>
        <w:t xml:space="preserve"> means the average ordinary pay, as defined in section 3, of the person over the period in which the person completed their most recent 220 days of service in the construction industry.</w:t>
      </w:r>
    </w:p>
    <w:p>
      <w:pPr>
        <w:pStyle w:val="Footnotesection"/>
        <w:keepLines w:val="0"/>
        <w:ind w:left="890" w:hanging="890"/>
      </w:pPr>
      <w:r>
        <w:tab/>
        <w:t>[Section 21 amended: No. 30 of 1989 s. 6; No. 36 of 2006 s. 45; No. 53 of 2011 s. 9; No. 12 of 2025 s. 6.]</w:t>
      </w:r>
    </w:p>
    <w:p>
      <w:pPr>
        <w:pStyle w:val="Heading5"/>
        <w:spacing w:before="260"/>
        <w:rPr>
          <w:snapToGrid w:val="0"/>
        </w:rPr>
      </w:pPr>
      <w:bookmarkStart w:id="40" w:name="_Toc207030278"/>
      <w:r>
        <w:rPr>
          <w:rStyle w:val="CharSectno"/>
        </w:rPr>
        <w:t>22</w:t>
      </w:r>
      <w:r>
        <w:rPr>
          <w:snapToGrid w:val="0"/>
        </w:rPr>
        <w:t>.</w:t>
      </w:r>
      <w:r>
        <w:rPr>
          <w:snapToGrid w:val="0"/>
        </w:rPr>
        <w:tab/>
        <w:t>Lump sum payments</w:t>
      </w:r>
      <w:bookmarkEnd w:id="40"/>
    </w:p>
    <w:p>
      <w:pPr>
        <w:pStyle w:val="Subsection"/>
        <w:spacing w:before="180"/>
        <w:rPr>
          <w:snapToGrid w:val="0"/>
        </w:rPr>
      </w:pPr>
      <w:r>
        <w:rPr>
          <w:snapToGrid w:val="0"/>
        </w:rPr>
        <w:tab/>
        <w:t>(1)</w:t>
      </w:r>
      <w:r>
        <w:rPr>
          <w:snapToGrid w:val="0"/>
        </w:rPr>
        <w:tab/>
        <w:t xml:space="preserve">Subject to section 24A(1), an employee who for any reason terminates </w:t>
      </w:r>
      <w:r>
        <w:t>the employee’s</w:t>
      </w:r>
      <w:r>
        <w:rPr>
          <w:snapToGrid w:val="0"/>
        </w:rPr>
        <w:t xml:space="preserve"> employment in the construction industry, or whose employment in the construction industry is terminated for any reason other than serious misconduct by </w:t>
      </w:r>
      <w:r>
        <w:t xml:space="preserve">the </w:t>
      </w:r>
      <w:r>
        <w:lastRenderedPageBreak/>
        <w:t>employee,</w:t>
      </w:r>
      <w:r>
        <w:rPr>
          <w:snapToGrid w:val="0"/>
        </w:rPr>
        <w:t xml:space="preserve"> is entitled to a lump sum payment in respect of service in the construction industry as follows —</w:t>
      </w:r>
    </w:p>
    <w:p>
      <w:pPr>
        <w:pStyle w:val="Indenta"/>
        <w:rPr>
          <w:snapToGrid w:val="0"/>
        </w:rPr>
      </w:pPr>
      <w:r>
        <w:rPr>
          <w:snapToGrid w:val="0"/>
        </w:rPr>
        <w:tab/>
        <w:t>(a)</w:t>
      </w:r>
      <w:r>
        <w:rPr>
          <w:snapToGrid w:val="0"/>
        </w:rPr>
        <w:tab/>
        <w:t xml:space="preserve">where </w:t>
      </w:r>
      <w:r>
        <w:t>the employee</w:t>
      </w:r>
      <w:r>
        <w:rPr>
          <w:snapToGrid w:val="0"/>
        </w:rPr>
        <w:t xml:space="preserv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 xml:space="preserve">where </w:t>
      </w:r>
      <w:r>
        <w:t>the employee</w:t>
      </w:r>
      <w:r>
        <w:rPr>
          <w:snapToGrid w:val="0"/>
        </w:rPr>
        <w:t xml:space="preserv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Indenta"/>
      </w:pPr>
      <w:r>
        <w:tab/>
      </w:r>
      <w:r>
        <w:tab/>
        <w:t>or</w:t>
      </w:r>
    </w:p>
    <w:p>
      <w:pPr>
        <w:pStyle w:val="Indenta"/>
      </w:pPr>
      <w:r>
        <w:tab/>
        <w:t>(c)</w:t>
      </w:r>
      <w:r>
        <w:tab/>
        <w:t>where the employee has completed at least 55 days of service but less than 7 years of service and is totally and permanently incapacitated for work in the construction industry, a sum which bears the same proportion to the money value of the entitlement referred to in section 21(1)(a) as the period of service completed bears to 10 years; or</w:t>
      </w:r>
    </w:p>
    <w:p>
      <w:pPr>
        <w:pStyle w:val="Indenta"/>
      </w:pPr>
      <w:r>
        <w:tab/>
        <w:t>(d)</w:t>
      </w:r>
      <w:r>
        <w:tab/>
        <w:t>where the employee has completed at least 55 days of service but less than 7 years of service and has been diagnosed with an illness that is likely to result in the death of the employee within a period of 12 months of the date of application for payment, a sum which bears the same proportion to the money value of the entitlement referred to in section 21(1)(a) as the period of service completed bears to 10 years.</w:t>
      </w:r>
    </w:p>
    <w:p>
      <w:pPr>
        <w:pStyle w:val="Subsection"/>
      </w:pPr>
      <w:r>
        <w:lastRenderedPageBreak/>
        <w:tab/>
        <w:t>(1A)</w:t>
      </w:r>
      <w:r>
        <w:tab/>
        <w:t>A payment must not be made under subsection (1)(c) or (d) unless the Board has been given evidence by a medical practitioner of the employee’s incapacitation or diagnosis.</w:t>
      </w:r>
    </w:p>
    <w:p>
      <w:pPr>
        <w:pStyle w:val="Subsection"/>
      </w:pPr>
      <w:r>
        <w:tab/>
        <w:t>(1B)</w:t>
      </w:r>
      <w:r>
        <w:tab/>
        <w:t xml:space="preserve">In subsection (1A)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Subsection"/>
        <w:rPr>
          <w:snapToGrid w:val="0"/>
        </w:rPr>
      </w:pPr>
      <w:r>
        <w:rPr>
          <w:snapToGrid w:val="0"/>
        </w:rPr>
        <w:tab/>
        <w:t>(2)</w:t>
      </w:r>
      <w:r>
        <w:rPr>
          <w:snapToGrid w:val="0"/>
        </w:rPr>
        <w:tab/>
        <w:t xml:space="preserve">Where an employee dies after completing at least 7 years of service in the construction industry, in respect of such period of the employee’s service as had not formed part of the period of an entitlement under section 21(1) taken by </w:t>
      </w:r>
      <w:r>
        <w:t>the employee</w:t>
      </w:r>
      <w:r>
        <w:rPr>
          <w:snapToGrid w:val="0"/>
        </w:rPr>
        <w:t xml:space="preserve">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(2A)</w:t>
      </w:r>
      <w:r>
        <w:tab/>
        <w:t>Subsection (2B) applies if an employee dies after completing at least 55 days of service but less than 7 years of service in the construction industry.</w:t>
      </w:r>
    </w:p>
    <w:p>
      <w:pPr>
        <w:pStyle w:val="Subsection"/>
      </w:pPr>
      <w:r>
        <w:tab/>
        <w:t>(2B)</w:t>
      </w:r>
      <w:r>
        <w:tab/>
        <w:t xml:space="preserve">Upon application by a relevant party for the deceased employee, a lump sum which bears the same proportion to the money value of the entitlement referred to in section 21(1)(a) as that period of </w:t>
      </w:r>
      <w:r>
        <w:lastRenderedPageBreak/>
        <w:t>service bears to 10 years must be paid to a relevant party for the deceased employee, as the Board thinks fit.</w:t>
      </w:r>
    </w:p>
    <w:p>
      <w:pPr>
        <w:pStyle w:val="Subsection"/>
      </w:pPr>
      <w:r>
        <w:tab/>
        <w:t>(2C)</w:t>
      </w:r>
      <w:r>
        <w:tab/>
        <w:t xml:space="preserve">In subsection (2B) — </w:t>
      </w:r>
    </w:p>
    <w:p>
      <w:pPr>
        <w:pStyle w:val="Defstart"/>
      </w:pPr>
      <w:r>
        <w:tab/>
      </w:r>
      <w:r>
        <w:rPr>
          <w:rStyle w:val="CharDefText"/>
        </w:rPr>
        <w:t>relevant party</w:t>
      </w:r>
      <w:r>
        <w:t xml:space="preserve">, for a deceased employee, means — </w:t>
      </w:r>
    </w:p>
    <w:p>
      <w:pPr>
        <w:pStyle w:val="Defpara"/>
      </w:pPr>
      <w:r>
        <w:tab/>
        <w:t>(a)</w:t>
      </w:r>
      <w:r>
        <w:tab/>
        <w:t>any person who was the spouse or de facto partner of the employee immediately before the death of the employee and who, in the opinion of the Board, was financially dependent on that employee at that time; or</w:t>
      </w:r>
    </w:p>
    <w:p>
      <w:pPr>
        <w:pStyle w:val="Defpara"/>
      </w:pPr>
      <w:r>
        <w:tab/>
        <w:t>(b)</w:t>
      </w:r>
      <w:r>
        <w:tab/>
        <w:t>the estate of the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No. 30 of 1989 s. 7; amended: No. 28 of 2003 s. 23; No. 36 of 2006 s. 46; No. 53 of 2011 s. 10; No. 12 of 2025 s. 15.]</w:t>
      </w:r>
    </w:p>
    <w:p>
      <w:pPr>
        <w:pStyle w:val="Heading5"/>
        <w:rPr>
          <w:snapToGrid w:val="0"/>
        </w:rPr>
      </w:pPr>
      <w:bookmarkStart w:id="41" w:name="_Toc207030279"/>
      <w:r>
        <w:rPr>
          <w:rStyle w:val="CharSectno"/>
        </w:rPr>
        <w:t>23</w:t>
      </w:r>
      <w:r>
        <w:rPr>
          <w:snapToGrid w:val="0"/>
        </w:rPr>
        <w:t>.</w:t>
      </w:r>
      <w:r>
        <w:rPr>
          <w:snapToGrid w:val="0"/>
        </w:rPr>
        <w:tab/>
        <w:t>Cessation of continuous service entitlement</w:t>
      </w:r>
      <w:bookmarkEnd w:id="41"/>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lastRenderedPageBreak/>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No. 53 of 2011 s. 11.]</w:t>
      </w:r>
    </w:p>
    <w:p>
      <w:pPr>
        <w:pStyle w:val="Heading5"/>
        <w:rPr>
          <w:snapToGrid w:val="0"/>
        </w:rPr>
      </w:pPr>
      <w:bookmarkStart w:id="42" w:name="_Toc207030280"/>
      <w:r>
        <w:rPr>
          <w:rStyle w:val="CharSectno"/>
        </w:rPr>
        <w:t>24</w:t>
      </w:r>
      <w:r>
        <w:rPr>
          <w:snapToGrid w:val="0"/>
        </w:rPr>
        <w:t>.</w:t>
      </w:r>
      <w:r>
        <w:rPr>
          <w:snapToGrid w:val="0"/>
        </w:rPr>
        <w:tab/>
        <w:t>Taking of leave</w:t>
      </w:r>
      <w:bookmarkEnd w:id="42"/>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No. 30 of 1989 s. 8; No. 53 of 2011 s. 12.]</w:t>
      </w:r>
    </w:p>
    <w:p>
      <w:pPr>
        <w:pStyle w:val="Heading5"/>
        <w:rPr>
          <w:snapToGrid w:val="0"/>
        </w:rPr>
      </w:pPr>
      <w:bookmarkStart w:id="43" w:name="_Toc207030281"/>
      <w:r>
        <w:rPr>
          <w:rStyle w:val="CharSectno"/>
        </w:rPr>
        <w:t>24A</w:t>
      </w:r>
      <w:r>
        <w:rPr>
          <w:snapToGrid w:val="0"/>
        </w:rPr>
        <w:t>.</w:t>
      </w:r>
      <w:r>
        <w:rPr>
          <w:snapToGrid w:val="0"/>
        </w:rPr>
        <w:tab/>
      </w:r>
      <w:r>
        <w:t>Proportional leave in advance after 7 years’ service</w:t>
      </w:r>
      <w:bookmarkEnd w:id="43"/>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 xml:space="preserve">weeks bears to 10 years, and where leave is so taken, the employee is not entitled to further long service leave </w:t>
      </w:r>
      <w:r>
        <w:rPr>
          <w:snapToGrid w:val="0"/>
        </w:rPr>
        <w:lastRenderedPageBreak/>
        <w:t>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No. 30 of 1989 s. 9; amended: No. 36 of 2006 s. 47; No. 12 of 2025 s. 20.]</w:t>
      </w:r>
    </w:p>
    <w:p>
      <w:pPr>
        <w:pStyle w:val="Heading5"/>
        <w:rPr>
          <w:snapToGrid w:val="0"/>
        </w:rPr>
      </w:pPr>
      <w:bookmarkStart w:id="44" w:name="_Toc207030282"/>
      <w:r>
        <w:rPr>
          <w:rStyle w:val="CharSectno"/>
        </w:rPr>
        <w:t>25</w:t>
      </w:r>
      <w:r>
        <w:rPr>
          <w:snapToGrid w:val="0"/>
        </w:rPr>
        <w:t>.</w:t>
      </w:r>
      <w:r>
        <w:rPr>
          <w:snapToGrid w:val="0"/>
        </w:rPr>
        <w:tab/>
        <w:t>Payment when due</w:t>
      </w:r>
      <w:bookmarkEnd w:id="4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No. 30 of 1989 s. 10.]</w:t>
      </w:r>
    </w:p>
    <w:p>
      <w:pPr>
        <w:pStyle w:val="Ednotesection"/>
        <w:ind w:left="890" w:hanging="890"/>
      </w:pPr>
      <w:r>
        <w:t>[</w:t>
      </w:r>
      <w:r>
        <w:rPr>
          <w:b/>
        </w:rPr>
        <w:t>27.</w:t>
      </w:r>
      <w:r>
        <w:rPr>
          <w:b/>
        </w:rPr>
        <w:tab/>
      </w:r>
      <w:r>
        <w:t>Deleted: No. 36 of 2006 s. 48.]</w:t>
      </w:r>
    </w:p>
    <w:p>
      <w:pPr>
        <w:pStyle w:val="Heading5"/>
        <w:rPr>
          <w:snapToGrid w:val="0"/>
        </w:rPr>
      </w:pPr>
      <w:bookmarkStart w:id="45" w:name="_Toc207030283"/>
      <w:r>
        <w:rPr>
          <w:rStyle w:val="CharSectno"/>
        </w:rPr>
        <w:t>28</w:t>
      </w:r>
      <w:r>
        <w:rPr>
          <w:snapToGrid w:val="0"/>
        </w:rPr>
        <w:t>.</w:t>
      </w:r>
      <w:r>
        <w:rPr>
          <w:snapToGrid w:val="0"/>
        </w:rPr>
        <w:tab/>
        <w:t>Prohibition on other employment</w:t>
      </w:r>
      <w:bookmarkEnd w:id="45"/>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 xml:space="preserve">The Board may by notice in writing permit an employee who is on long service leave to be employed in the construction industry during that period subject to such terms and conditions </w:t>
      </w:r>
      <w:r>
        <w:rPr>
          <w:snapToGrid w:val="0"/>
        </w:rPr>
        <w:lastRenderedPageBreak/>
        <w:t>(including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For the purposes of subsections (1) and (2), a person is not engaged or employed in employment for hire or reward in respect of a day if the person is — </w:t>
      </w:r>
    </w:p>
    <w:p>
      <w:pPr>
        <w:pStyle w:val="Indenta"/>
      </w:pPr>
      <w:r>
        <w:tab/>
        <w:t>(a)</w:t>
      </w:r>
      <w:r>
        <w:tab/>
        <w:t>on workers compensation in respect of that day; and</w:t>
      </w:r>
    </w:p>
    <w:p>
      <w:pPr>
        <w:pStyle w:val="Indenta"/>
      </w:pPr>
      <w:r>
        <w:tab/>
        <w:t>(b)</w:t>
      </w:r>
      <w:r>
        <w:tab/>
        <w:t>absent from their employment on that day.</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No. 53 of 2011 s. 13; No. 12 of 2025 s. 7.]</w:t>
      </w:r>
    </w:p>
    <w:p>
      <w:pPr>
        <w:pStyle w:val="Heading5"/>
      </w:pPr>
      <w:bookmarkStart w:id="46" w:name="_Toc207030284"/>
      <w:r>
        <w:rPr>
          <w:rStyle w:val="CharSectno"/>
        </w:rPr>
        <w:t>29</w:t>
      </w:r>
      <w:r>
        <w:t>.</w:t>
      </w:r>
      <w:r>
        <w:tab/>
        <w:t>Public holidays</w:t>
      </w:r>
      <w:bookmarkEnd w:id="4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No. 36 of 2006 s. 49.]</w:t>
      </w:r>
    </w:p>
    <w:p>
      <w:pPr>
        <w:pStyle w:val="Heading5"/>
        <w:rPr>
          <w:snapToGrid w:val="0"/>
        </w:rPr>
      </w:pPr>
      <w:bookmarkStart w:id="47" w:name="_Toc207030285"/>
      <w:r>
        <w:rPr>
          <w:rStyle w:val="CharSectno"/>
        </w:rPr>
        <w:lastRenderedPageBreak/>
        <w:t>29A</w:t>
      </w:r>
      <w:r>
        <w:t>.</w:t>
      </w:r>
      <w:r>
        <w:rPr>
          <w:snapToGrid w:val="0"/>
        </w:rPr>
        <w:tab/>
        <w:t>Reciprocal arrangements</w:t>
      </w:r>
      <w:bookmarkEnd w:id="47"/>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No. 30 of 1989 s. 11; amended: No. 14 of 1996 s. 4.]</w:t>
      </w:r>
    </w:p>
    <w:p>
      <w:pPr>
        <w:pStyle w:val="Heading2"/>
      </w:pPr>
      <w:bookmarkStart w:id="48" w:name="_Toc206749287"/>
      <w:bookmarkStart w:id="49" w:name="_Toc207015310"/>
      <w:bookmarkStart w:id="50" w:name="_Toc207030286"/>
      <w:r>
        <w:rPr>
          <w:rStyle w:val="CharPartNo"/>
        </w:rPr>
        <w:lastRenderedPageBreak/>
        <w:t>Part IV</w:t>
      </w:r>
      <w:r>
        <w:rPr>
          <w:rStyle w:val="CharDivNo"/>
        </w:rPr>
        <w:t> </w:t>
      </w:r>
      <w:r>
        <w:t>—</w:t>
      </w:r>
      <w:r>
        <w:rPr>
          <w:rStyle w:val="CharDivText"/>
        </w:rPr>
        <w:t> </w:t>
      </w:r>
      <w:r>
        <w:rPr>
          <w:rStyle w:val="CharPartText"/>
        </w:rPr>
        <w:t>Registration</w:t>
      </w:r>
      <w:bookmarkEnd w:id="48"/>
      <w:bookmarkEnd w:id="49"/>
      <w:bookmarkEnd w:id="50"/>
    </w:p>
    <w:p>
      <w:pPr>
        <w:pStyle w:val="Heading5"/>
        <w:rPr>
          <w:snapToGrid w:val="0"/>
        </w:rPr>
      </w:pPr>
      <w:bookmarkStart w:id="51" w:name="_Toc207030287"/>
      <w:r>
        <w:rPr>
          <w:rStyle w:val="CharSectno"/>
        </w:rPr>
        <w:t>30</w:t>
      </w:r>
      <w:r>
        <w:rPr>
          <w:snapToGrid w:val="0"/>
        </w:rPr>
        <w:t>.</w:t>
      </w:r>
      <w:r>
        <w:rPr>
          <w:snapToGrid w:val="0"/>
        </w:rPr>
        <w:tab/>
      </w:r>
      <w:r>
        <w:t>Registration of employers</w:t>
      </w:r>
      <w:bookmarkEnd w:id="51"/>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lastRenderedPageBreak/>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No. 53 of 2011 s. 14.]</w:t>
      </w:r>
    </w:p>
    <w:p>
      <w:pPr>
        <w:pStyle w:val="Heading5"/>
        <w:spacing w:before="260"/>
      </w:pPr>
      <w:bookmarkStart w:id="52" w:name="_Toc207030288"/>
      <w:r>
        <w:rPr>
          <w:rStyle w:val="CharSectno"/>
        </w:rPr>
        <w:t>31A</w:t>
      </w:r>
      <w:r>
        <w:t>.</w:t>
      </w:r>
      <w:r>
        <w:tab/>
        <w:t>Registration of employees</w:t>
      </w:r>
      <w:bookmarkEnd w:id="52"/>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lastRenderedPageBreak/>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No. 53 of 2011 s. 15.]</w:t>
      </w:r>
    </w:p>
    <w:p>
      <w:pPr>
        <w:pStyle w:val="Heading5"/>
        <w:rPr>
          <w:snapToGrid w:val="0"/>
        </w:rPr>
      </w:pPr>
      <w:bookmarkStart w:id="53" w:name="_Toc207030289"/>
      <w:r>
        <w:rPr>
          <w:rStyle w:val="CharSectno"/>
        </w:rPr>
        <w:t>31</w:t>
      </w:r>
      <w:r>
        <w:rPr>
          <w:snapToGrid w:val="0"/>
        </w:rPr>
        <w:t>.</w:t>
      </w:r>
      <w:r>
        <w:rPr>
          <w:snapToGrid w:val="0"/>
        </w:rPr>
        <w:tab/>
        <w:t>Return to be made by employer</w:t>
      </w:r>
      <w:bookmarkEnd w:id="53"/>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Footnotesection"/>
      </w:pPr>
      <w:r>
        <w:tab/>
        <w:t>[Section 31 amended: No. 53 of 2011 s. 16.]</w:t>
      </w:r>
    </w:p>
    <w:p>
      <w:pPr>
        <w:pStyle w:val="Heading5"/>
        <w:keepLines w:val="0"/>
        <w:rPr>
          <w:snapToGrid w:val="0"/>
        </w:rPr>
      </w:pPr>
      <w:bookmarkStart w:id="54" w:name="_Toc207030290"/>
      <w:r>
        <w:rPr>
          <w:rStyle w:val="CharSectno"/>
        </w:rPr>
        <w:lastRenderedPageBreak/>
        <w:t>32</w:t>
      </w:r>
      <w:r>
        <w:rPr>
          <w:snapToGrid w:val="0"/>
        </w:rPr>
        <w:t>.</w:t>
      </w:r>
      <w:r>
        <w:rPr>
          <w:snapToGrid w:val="0"/>
        </w:rPr>
        <w:tab/>
        <w:t>Employer to maintain record of employees</w:t>
      </w:r>
      <w:bookmarkEnd w:id="54"/>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Footnotesection"/>
      </w:pPr>
      <w:r>
        <w:tab/>
        <w:t>[Section 32 amended: No. 53 of 2011 s. 17.]</w:t>
      </w:r>
    </w:p>
    <w:p>
      <w:pPr>
        <w:pStyle w:val="Heading5"/>
        <w:rPr>
          <w:snapToGrid w:val="0"/>
        </w:rPr>
      </w:pPr>
      <w:bookmarkStart w:id="55" w:name="_Toc207030291"/>
      <w:r>
        <w:rPr>
          <w:rStyle w:val="CharSectno"/>
        </w:rPr>
        <w:t>33</w:t>
      </w:r>
      <w:r>
        <w:rPr>
          <w:snapToGrid w:val="0"/>
        </w:rPr>
        <w:t>.</w:t>
      </w:r>
      <w:r>
        <w:rPr>
          <w:snapToGrid w:val="0"/>
        </w:rPr>
        <w:tab/>
        <w:t>Exempt employer</w:t>
      </w:r>
      <w:bookmarkEnd w:id="55"/>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56" w:name="_Toc207030292"/>
      <w:r>
        <w:rPr>
          <w:rStyle w:val="CharSectno"/>
        </w:rPr>
        <w:t>34</w:t>
      </w:r>
      <w:r>
        <w:rPr>
          <w:snapToGrid w:val="0"/>
        </w:rPr>
        <w:t>.</w:t>
      </w:r>
      <w:r>
        <w:rPr>
          <w:snapToGrid w:val="0"/>
        </w:rPr>
        <w:tab/>
        <w:t>Contribution by employer and assessment by Board</w:t>
      </w:r>
      <w:bookmarkEnd w:id="56"/>
    </w:p>
    <w:p>
      <w:pPr>
        <w:pStyle w:val="Subsection"/>
        <w:rPr>
          <w:snapToGrid w:val="0"/>
        </w:rPr>
      </w:pPr>
      <w:r>
        <w:rPr>
          <w:snapToGrid w:val="0"/>
        </w:rPr>
        <w:tab/>
        <w:t>(1)</w:t>
      </w:r>
      <w:r>
        <w:rPr>
          <w:snapToGrid w:val="0"/>
        </w:rPr>
        <w:tab/>
        <w:t xml:space="preserve">On and from the appointed day an employer shall pay to the Board in respect of a person employed by him as an employee and in respect of each week or part of a week during which that person is so employed such amounts by way of contributions as </w:t>
      </w:r>
      <w:r>
        <w:rPr>
          <w:snapToGrid w:val="0"/>
        </w:rPr>
        <w:lastRenderedPageBreak/>
        <w:t>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lastRenderedPageBreak/>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No. 53 of 2011 s. 18.]</w:t>
      </w:r>
    </w:p>
    <w:p>
      <w:pPr>
        <w:pStyle w:val="Heading5"/>
      </w:pPr>
      <w:bookmarkStart w:id="57" w:name="_Toc207030293"/>
      <w:r>
        <w:rPr>
          <w:rStyle w:val="CharSectno"/>
        </w:rPr>
        <w:t>35A</w:t>
      </w:r>
      <w:r>
        <w:t>.</w:t>
      </w:r>
      <w:r>
        <w:tab/>
        <w:t>Penalty for late payment</w:t>
      </w:r>
      <w:bookmarkEnd w:id="57"/>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No. 53 of 2011 s. 19.]</w:t>
      </w:r>
    </w:p>
    <w:p>
      <w:pPr>
        <w:pStyle w:val="Heading5"/>
        <w:rPr>
          <w:snapToGrid w:val="0"/>
        </w:rPr>
      </w:pPr>
      <w:bookmarkStart w:id="58" w:name="_Toc207030294"/>
      <w:r>
        <w:rPr>
          <w:rStyle w:val="CharSectno"/>
        </w:rPr>
        <w:t>35</w:t>
      </w:r>
      <w:r>
        <w:rPr>
          <w:snapToGrid w:val="0"/>
        </w:rPr>
        <w:t>.</w:t>
      </w:r>
      <w:r>
        <w:rPr>
          <w:snapToGrid w:val="0"/>
        </w:rPr>
        <w:tab/>
        <w:t>Register of employers and register of employees</w:t>
      </w:r>
      <w:bookmarkEnd w:id="58"/>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lastRenderedPageBreak/>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59" w:name="_Toc207030295"/>
      <w:r>
        <w:rPr>
          <w:rStyle w:val="CharSectno"/>
        </w:rPr>
        <w:t>36</w:t>
      </w:r>
      <w:r>
        <w:rPr>
          <w:snapToGrid w:val="0"/>
        </w:rPr>
        <w:t>.</w:t>
      </w:r>
      <w:r>
        <w:rPr>
          <w:snapToGrid w:val="0"/>
        </w:rPr>
        <w:tab/>
        <w:t>Employer leaving Western Australia</w:t>
      </w:r>
      <w:bookmarkEnd w:id="59"/>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60" w:name="_Toc207030296"/>
      <w:r>
        <w:rPr>
          <w:rStyle w:val="CharSectno"/>
        </w:rPr>
        <w:t>37</w:t>
      </w:r>
      <w:r>
        <w:rPr>
          <w:snapToGrid w:val="0"/>
        </w:rPr>
        <w:t>.</w:t>
      </w:r>
      <w:r>
        <w:rPr>
          <w:snapToGrid w:val="0"/>
        </w:rPr>
        <w:tab/>
        <w:t>Recovery of long service leave contribution</w:t>
      </w:r>
      <w:bookmarkEnd w:id="60"/>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61" w:name="_Toc207030297"/>
      <w:r>
        <w:rPr>
          <w:rStyle w:val="CharSectno"/>
        </w:rPr>
        <w:t>38</w:t>
      </w:r>
      <w:r>
        <w:rPr>
          <w:snapToGrid w:val="0"/>
        </w:rPr>
        <w:t>.</w:t>
      </w:r>
      <w:r>
        <w:rPr>
          <w:snapToGrid w:val="0"/>
        </w:rPr>
        <w:tab/>
        <w:t>Liquidator to give notice</w:t>
      </w:r>
      <w:bookmarkEnd w:id="61"/>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Subsection"/>
        <w:rPr>
          <w:snapToGrid w:val="0"/>
        </w:rPr>
      </w:pPr>
      <w:r>
        <w:rPr>
          <w:snapToGrid w:val="0"/>
        </w:rPr>
        <w:lastRenderedPageBreak/>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No. 10 of 2001 s. 45; No. 53 of 2011 s. 20.]</w:t>
      </w:r>
    </w:p>
    <w:p>
      <w:pPr>
        <w:pStyle w:val="Heading5"/>
        <w:rPr>
          <w:snapToGrid w:val="0"/>
        </w:rPr>
      </w:pPr>
      <w:bookmarkStart w:id="62" w:name="_Toc207030298"/>
      <w:r>
        <w:rPr>
          <w:rStyle w:val="CharSectno"/>
        </w:rPr>
        <w:t>39</w:t>
      </w:r>
      <w:r>
        <w:rPr>
          <w:snapToGrid w:val="0"/>
        </w:rPr>
        <w:t>.</w:t>
      </w:r>
      <w:r>
        <w:rPr>
          <w:snapToGrid w:val="0"/>
        </w:rPr>
        <w:tab/>
        <w:t>Agent for absentee principal winding up business</w:t>
      </w:r>
      <w:bookmarkEnd w:id="62"/>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63" w:name="_Toc207030299"/>
      <w:r>
        <w:rPr>
          <w:rStyle w:val="CharSectno"/>
        </w:rPr>
        <w:t>40</w:t>
      </w:r>
      <w:r>
        <w:rPr>
          <w:snapToGrid w:val="0"/>
        </w:rPr>
        <w:t>.</w:t>
      </w:r>
      <w:r>
        <w:rPr>
          <w:snapToGrid w:val="0"/>
        </w:rPr>
        <w:tab/>
        <w:t>Where long service leave charges are not paid during lifetime</w:t>
      </w:r>
      <w:bookmarkEnd w:id="63"/>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lastRenderedPageBreak/>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64" w:name="_Toc207030300"/>
      <w:r>
        <w:rPr>
          <w:rStyle w:val="CharSectno"/>
        </w:rPr>
        <w:t>41</w:t>
      </w:r>
      <w:r>
        <w:rPr>
          <w:snapToGrid w:val="0"/>
        </w:rPr>
        <w:t>.</w:t>
      </w:r>
      <w:r>
        <w:rPr>
          <w:snapToGrid w:val="0"/>
        </w:rPr>
        <w:tab/>
        <w:t>Provisions for payment of long service leave charges by executors or administrators</w:t>
      </w:r>
      <w:bookmarkEnd w:id="64"/>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lastRenderedPageBreak/>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65" w:name="_Toc207030301"/>
      <w:r>
        <w:rPr>
          <w:rStyle w:val="CharSectno"/>
        </w:rPr>
        <w:t>42</w:t>
      </w:r>
      <w:r>
        <w:rPr>
          <w:snapToGrid w:val="0"/>
        </w:rPr>
        <w:t>.</w:t>
      </w:r>
      <w:r>
        <w:rPr>
          <w:snapToGrid w:val="0"/>
        </w:rPr>
        <w:tab/>
        <w:t>Contributions by joint employers</w:t>
      </w:r>
      <w:bookmarkEnd w:id="65"/>
    </w:p>
    <w:p>
      <w:pPr>
        <w:pStyle w:val="Subsection"/>
        <w:spacing w:before="120"/>
        <w:rPr>
          <w:snapToGrid w:val="0"/>
        </w:rPr>
      </w:pPr>
      <w:r>
        <w:rPr>
          <w:snapToGrid w:val="0"/>
        </w:rPr>
        <w:tab/>
      </w:r>
      <w:r>
        <w:rPr>
          <w:snapToGrid w:val="0"/>
        </w:rPr>
        <w:tab/>
        <w:t xml:space="preserve">Where 2 or more persons jointly employ an employee, they shall each be liable for the whole of the long service leave </w:t>
      </w:r>
      <w:r>
        <w:rPr>
          <w:snapToGrid w:val="0"/>
        </w:rPr>
        <w:lastRenderedPageBreak/>
        <w:t>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66" w:name="_Toc207030302"/>
      <w:r>
        <w:rPr>
          <w:rStyle w:val="CharSectno"/>
        </w:rPr>
        <w:t>43</w:t>
      </w:r>
      <w:r>
        <w:rPr>
          <w:snapToGrid w:val="0"/>
        </w:rPr>
        <w:t>.</w:t>
      </w:r>
      <w:r>
        <w:rPr>
          <w:snapToGrid w:val="0"/>
        </w:rPr>
        <w:tab/>
        <w:t>Payment of penalties no relief from contributions</w:t>
      </w:r>
      <w:bookmarkEnd w:id="66"/>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67" w:name="_Toc206749304"/>
      <w:bookmarkStart w:id="68" w:name="_Toc207015327"/>
      <w:bookmarkStart w:id="69" w:name="_Toc207030303"/>
      <w:r>
        <w:rPr>
          <w:rStyle w:val="CharPartNo"/>
        </w:rPr>
        <w:lastRenderedPageBreak/>
        <w:t>Part V</w:t>
      </w:r>
      <w:r>
        <w:rPr>
          <w:rStyle w:val="CharDivNo"/>
        </w:rPr>
        <w:t> </w:t>
      </w:r>
      <w:r>
        <w:t>—</w:t>
      </w:r>
      <w:r>
        <w:rPr>
          <w:rStyle w:val="CharDivText"/>
        </w:rPr>
        <w:t> </w:t>
      </w:r>
      <w:r>
        <w:rPr>
          <w:rStyle w:val="CharPartText"/>
        </w:rPr>
        <w:t>Miscellaneous</w:t>
      </w:r>
      <w:bookmarkEnd w:id="67"/>
      <w:bookmarkEnd w:id="68"/>
      <w:bookmarkEnd w:id="69"/>
    </w:p>
    <w:p>
      <w:pPr>
        <w:pStyle w:val="Heading5"/>
        <w:rPr>
          <w:snapToGrid w:val="0"/>
        </w:rPr>
      </w:pPr>
      <w:bookmarkStart w:id="70" w:name="_Toc207030304"/>
      <w:r>
        <w:rPr>
          <w:rStyle w:val="CharSectno"/>
        </w:rPr>
        <w:t>44</w:t>
      </w:r>
      <w:r>
        <w:rPr>
          <w:snapToGrid w:val="0"/>
        </w:rPr>
        <w:t>.</w:t>
      </w:r>
      <w:r>
        <w:rPr>
          <w:snapToGrid w:val="0"/>
        </w:rPr>
        <w:tab/>
        <w:t>Inspectors</w:t>
      </w:r>
      <w:bookmarkEnd w:id="70"/>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71" w:name="_Toc207030305"/>
      <w:r>
        <w:rPr>
          <w:rStyle w:val="CharSectno"/>
        </w:rPr>
        <w:t>45</w:t>
      </w:r>
      <w:r>
        <w:rPr>
          <w:snapToGrid w:val="0"/>
        </w:rPr>
        <w:t>.</w:t>
      </w:r>
      <w:r>
        <w:rPr>
          <w:snapToGrid w:val="0"/>
        </w:rPr>
        <w:tab/>
        <w:t>Power to obtain information and evidence</w:t>
      </w:r>
      <w:bookmarkEnd w:id="71"/>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w:t>
      </w:r>
      <w:r>
        <w:lastRenderedPageBreak/>
        <w:t xml:space="preserve">the </w:t>
      </w:r>
      <w:r>
        <w:rPr>
          <w:i/>
        </w:rPr>
        <w:t>Industrial Legislation Amendment Act 2011</w:t>
      </w:r>
      <w:r>
        <w:t xml:space="preserve"> section 21 unless the person was charged with an offence in respect of that contravention.</w:t>
      </w:r>
    </w:p>
    <w:p>
      <w:pPr>
        <w:pStyle w:val="Footnotesection"/>
      </w:pPr>
      <w:r>
        <w:tab/>
        <w:t>[Section 45 amended: No. 53 of 2011 s. 21.]</w:t>
      </w:r>
    </w:p>
    <w:p>
      <w:pPr>
        <w:pStyle w:val="Heading5"/>
        <w:rPr>
          <w:snapToGrid w:val="0"/>
        </w:rPr>
      </w:pPr>
      <w:bookmarkStart w:id="72" w:name="_Toc207030306"/>
      <w:r>
        <w:rPr>
          <w:rStyle w:val="CharSectno"/>
        </w:rPr>
        <w:t>46</w:t>
      </w:r>
      <w:r>
        <w:rPr>
          <w:snapToGrid w:val="0"/>
        </w:rPr>
        <w:t>.</w:t>
      </w:r>
      <w:r>
        <w:rPr>
          <w:snapToGrid w:val="0"/>
        </w:rPr>
        <w:tab/>
        <w:t>Access to books etc.</w:t>
      </w:r>
      <w:bookmarkEnd w:id="72"/>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73" w:name="_Toc207030307"/>
      <w:r>
        <w:rPr>
          <w:rStyle w:val="CharSectno"/>
        </w:rPr>
        <w:t>47</w:t>
      </w:r>
      <w:r>
        <w:rPr>
          <w:snapToGrid w:val="0"/>
        </w:rPr>
        <w:t>.</w:t>
      </w:r>
      <w:r>
        <w:rPr>
          <w:snapToGrid w:val="0"/>
        </w:rPr>
        <w:tab/>
        <w:t>Proceedings for offences against this Act</w:t>
      </w:r>
      <w:bookmarkEnd w:id="7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74" w:name="_Toc207030308"/>
      <w:r>
        <w:rPr>
          <w:rStyle w:val="CharSectno"/>
        </w:rPr>
        <w:t>48</w:t>
      </w:r>
      <w:r>
        <w:rPr>
          <w:snapToGrid w:val="0"/>
        </w:rPr>
        <w:t>.</w:t>
      </w:r>
      <w:r>
        <w:rPr>
          <w:snapToGrid w:val="0"/>
        </w:rPr>
        <w:tab/>
        <w:t>Institution of proceedings</w:t>
      </w:r>
      <w:bookmarkEnd w:id="74"/>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No. 84 of 2004 s. 80.]</w:t>
      </w:r>
    </w:p>
    <w:p>
      <w:pPr>
        <w:pStyle w:val="Heading5"/>
        <w:rPr>
          <w:snapToGrid w:val="0"/>
        </w:rPr>
      </w:pPr>
      <w:bookmarkStart w:id="75" w:name="_Toc207030309"/>
      <w:r>
        <w:rPr>
          <w:rStyle w:val="CharSectno"/>
        </w:rPr>
        <w:t>49</w:t>
      </w:r>
      <w:r>
        <w:rPr>
          <w:snapToGrid w:val="0"/>
        </w:rPr>
        <w:t>.</w:t>
      </w:r>
      <w:r>
        <w:rPr>
          <w:snapToGrid w:val="0"/>
        </w:rPr>
        <w:tab/>
        <w:t>Evidence</w:t>
      </w:r>
      <w:bookmarkEnd w:id="75"/>
    </w:p>
    <w:p>
      <w:pPr>
        <w:pStyle w:val="Subsection"/>
        <w:keepNext/>
        <w:rPr>
          <w:snapToGrid w:val="0"/>
        </w:rPr>
      </w:pPr>
      <w:r>
        <w:rPr>
          <w:snapToGrid w:val="0"/>
        </w:rPr>
        <w:tab/>
        <w:t>(1)</w:t>
      </w:r>
      <w:r>
        <w:rPr>
          <w:snapToGrid w:val="0"/>
        </w:rPr>
        <w:tab/>
        <w:t xml:space="preserve">For the purposes of any proceedings against a person for the recovery of contributions or surcharges under this Act, a </w:t>
      </w:r>
      <w:r>
        <w:rPr>
          <w:snapToGrid w:val="0"/>
        </w:rPr>
        <w:lastRenderedPageBreak/>
        <w:t>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 xml:space="preserve">In any proceedings against a person for failing or neglecting duly to furnish a return, a certificate in writing purporting to be signed by the chief executive officer certifying that the return </w:t>
      </w:r>
      <w:r>
        <w:rPr>
          <w:snapToGrid w:val="0"/>
        </w:rPr>
        <w:lastRenderedPageBreak/>
        <w:t>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No. 30 of 1989 s. 12; No. 84 of 2004 s. 82; No. 53 of 2011 s. 22.]</w:t>
      </w:r>
    </w:p>
    <w:p>
      <w:pPr>
        <w:pStyle w:val="Heading5"/>
      </w:pPr>
      <w:bookmarkStart w:id="76" w:name="_Toc207030310"/>
      <w:r>
        <w:rPr>
          <w:rStyle w:val="CharSectno"/>
        </w:rPr>
        <w:t>50</w:t>
      </w:r>
      <w:r>
        <w:t>.</w:t>
      </w:r>
      <w:r>
        <w:tab/>
        <w:t>Review of Board’s decision</w:t>
      </w:r>
      <w:bookmarkEnd w:id="76"/>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lastRenderedPageBreak/>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No. 53 of 2011 s. 23.]</w:t>
      </w:r>
    </w:p>
    <w:p>
      <w:pPr>
        <w:pStyle w:val="Heading5"/>
      </w:pPr>
      <w:bookmarkStart w:id="77" w:name="_Toc207030311"/>
      <w:r>
        <w:rPr>
          <w:rStyle w:val="CharSectno"/>
        </w:rPr>
        <w:t>51A</w:t>
      </w:r>
      <w:r>
        <w:t>.</w:t>
      </w:r>
      <w:r>
        <w:tab/>
        <w:t>Procedure on review</w:t>
      </w:r>
      <w:bookmarkEnd w:id="77"/>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w:t>
      </w:r>
      <w:r>
        <w:lastRenderedPageBreak/>
        <w:t xml:space="preserve">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No. 53 of 2011 s. 23.]</w:t>
      </w:r>
    </w:p>
    <w:p>
      <w:pPr>
        <w:pStyle w:val="Heading5"/>
        <w:rPr>
          <w:snapToGrid w:val="0"/>
        </w:rPr>
      </w:pPr>
      <w:bookmarkStart w:id="78" w:name="_Toc207030312"/>
      <w:r>
        <w:rPr>
          <w:rStyle w:val="CharSectno"/>
        </w:rPr>
        <w:t>51</w:t>
      </w:r>
      <w:r>
        <w:rPr>
          <w:snapToGrid w:val="0"/>
        </w:rPr>
        <w:t>.</w:t>
      </w:r>
      <w:r>
        <w:rPr>
          <w:snapToGrid w:val="0"/>
        </w:rPr>
        <w:tab/>
        <w:t>Employee accumulating continuous service in more than one capacity</w:t>
      </w:r>
      <w:bookmarkEnd w:id="78"/>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keepNext/>
      </w:pPr>
      <w:r>
        <w:lastRenderedPageBreak/>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No. 36 of 2006 s. 50; No. 53 of 2011 s. 24.]</w:t>
      </w:r>
    </w:p>
    <w:p>
      <w:pPr>
        <w:pStyle w:val="Heading5"/>
      </w:pPr>
      <w:bookmarkStart w:id="79" w:name="_Toc207030313"/>
      <w:r>
        <w:rPr>
          <w:rStyle w:val="CharSectno"/>
        </w:rPr>
        <w:t>52</w:t>
      </w:r>
      <w:r>
        <w:t>.</w:t>
      </w:r>
      <w:r>
        <w:tab/>
        <w:t>Obstructing inspector or other person</w:t>
      </w:r>
      <w:bookmarkEnd w:id="79"/>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Footnotesection"/>
      </w:pPr>
      <w:r>
        <w:tab/>
        <w:t>[Section 52 inserted: No. 53 of 2011 s. 25.]</w:t>
      </w:r>
    </w:p>
    <w:p>
      <w:pPr>
        <w:pStyle w:val="Heading5"/>
      </w:pPr>
      <w:bookmarkStart w:id="80" w:name="_Toc207030314"/>
      <w:r>
        <w:rPr>
          <w:rStyle w:val="CharSectno"/>
        </w:rPr>
        <w:lastRenderedPageBreak/>
        <w:t>53</w:t>
      </w:r>
      <w:r>
        <w:t>.</w:t>
      </w:r>
      <w:r>
        <w:tab/>
        <w:t>Protection of persons giving information under this Act</w:t>
      </w:r>
      <w:bookmarkEnd w:id="80"/>
    </w:p>
    <w:p>
      <w:pPr>
        <w:pStyle w:val="Subsection"/>
        <w:keepNext/>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Footnotesection"/>
      </w:pPr>
      <w:r>
        <w:tab/>
        <w:t>[Section 53 inserted: No. 53 of 2011 s. 26.]</w:t>
      </w:r>
    </w:p>
    <w:p>
      <w:pPr>
        <w:pStyle w:val="Heading5"/>
      </w:pPr>
      <w:bookmarkStart w:id="81" w:name="_Toc207030315"/>
      <w:r>
        <w:rPr>
          <w:rStyle w:val="CharSectno"/>
        </w:rPr>
        <w:t>54A</w:t>
      </w:r>
      <w:r>
        <w:t>.</w:t>
      </w:r>
      <w:r>
        <w:tab/>
        <w:t>Remedies for breach of section 53</w:t>
      </w:r>
      <w:bookmarkEnd w:id="81"/>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lastRenderedPageBreak/>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keepNext/>
      </w:pPr>
      <w:r>
        <w:lastRenderedPageBreak/>
        <w:tab/>
        <w:t>(8)</w:t>
      </w:r>
      <w:r>
        <w:tab/>
        <w:t>A person must comply with an order made against the person under this section.</w:t>
      </w:r>
    </w:p>
    <w:p>
      <w:pPr>
        <w:pStyle w:val="Penstart"/>
        <w:keepNext/>
      </w:pPr>
      <w:r>
        <w:tab/>
        <w:t>Penalty: a fine of $5 000 and a daily penalty of $500.</w:t>
      </w:r>
    </w:p>
    <w:p>
      <w:pPr>
        <w:pStyle w:val="Footnotesection"/>
        <w:spacing w:before="100"/>
      </w:pPr>
      <w:r>
        <w:tab/>
        <w:t>[Section 54A inserted: No. 53 of 2011 s. 26.]</w:t>
      </w:r>
    </w:p>
    <w:p>
      <w:pPr>
        <w:pStyle w:val="Heading5"/>
        <w:spacing w:before="180"/>
        <w:rPr>
          <w:snapToGrid w:val="0"/>
        </w:rPr>
      </w:pPr>
      <w:bookmarkStart w:id="82" w:name="_Toc207030316"/>
      <w:r>
        <w:rPr>
          <w:rStyle w:val="CharSectno"/>
        </w:rPr>
        <w:t>54</w:t>
      </w:r>
      <w:r>
        <w:rPr>
          <w:snapToGrid w:val="0"/>
        </w:rPr>
        <w:t>.</w:t>
      </w:r>
      <w:r>
        <w:rPr>
          <w:snapToGrid w:val="0"/>
        </w:rPr>
        <w:tab/>
        <w:t>Secrecy</w:t>
      </w:r>
      <w:bookmarkEnd w:id="82"/>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83" w:name="_Toc207030317"/>
      <w:r>
        <w:rPr>
          <w:rStyle w:val="CharSectno"/>
        </w:rPr>
        <w:t>55</w:t>
      </w:r>
      <w:r>
        <w:rPr>
          <w:snapToGrid w:val="0"/>
        </w:rPr>
        <w:t>.</w:t>
      </w:r>
      <w:r>
        <w:rPr>
          <w:snapToGrid w:val="0"/>
        </w:rPr>
        <w:tab/>
        <w:t>Effect of other Act or industrial instrument</w:t>
      </w:r>
      <w:bookmarkEnd w:id="83"/>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No. 53 of 2011 s. 27.]</w:t>
      </w:r>
    </w:p>
    <w:p>
      <w:pPr>
        <w:pStyle w:val="Heading5"/>
      </w:pPr>
      <w:bookmarkStart w:id="84" w:name="_Toc207030318"/>
      <w:r>
        <w:rPr>
          <w:rStyle w:val="CharSectno"/>
        </w:rPr>
        <w:t>56</w:t>
      </w:r>
      <w:r>
        <w:t>.</w:t>
      </w:r>
      <w:r>
        <w:tab/>
        <w:t>Transitional provisions</w:t>
      </w:r>
      <w:bookmarkEnd w:id="84"/>
    </w:p>
    <w:p>
      <w:pPr>
        <w:pStyle w:val="Subsection"/>
      </w:pPr>
      <w:r>
        <w:tab/>
      </w:r>
      <w:r>
        <w:tab/>
      </w:r>
      <w:r>
        <w:rPr>
          <w:snapToGrid w:val="0"/>
        </w:rPr>
        <w:t>The provisions of the Schedule have effect in relation to the several matters specified in it.</w:t>
      </w:r>
    </w:p>
    <w:p>
      <w:pPr>
        <w:pStyle w:val="Footnotesection"/>
      </w:pPr>
      <w:r>
        <w:tab/>
        <w:t>[Section 56 inserted: No. 36 of 2006 s. 51.]</w:t>
      </w:r>
    </w:p>
    <w:p>
      <w:pPr>
        <w:pStyle w:val="Heading5"/>
        <w:rPr>
          <w:snapToGrid w:val="0"/>
        </w:rPr>
      </w:pPr>
      <w:bookmarkStart w:id="85" w:name="_Toc207030319"/>
      <w:r>
        <w:rPr>
          <w:rStyle w:val="CharSectno"/>
        </w:rPr>
        <w:t>57</w:t>
      </w:r>
      <w:r>
        <w:rPr>
          <w:snapToGrid w:val="0"/>
        </w:rPr>
        <w:t>.</w:t>
      </w:r>
      <w:r>
        <w:rPr>
          <w:snapToGrid w:val="0"/>
        </w:rPr>
        <w:tab/>
        <w:t>Regulations</w:t>
      </w:r>
      <w:bookmarkEnd w:id="85"/>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lastRenderedPageBreak/>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6" w:name="_Toc206749321"/>
      <w:bookmarkStart w:id="87" w:name="_Toc207015344"/>
      <w:bookmarkStart w:id="88" w:name="_Toc207030320"/>
      <w:r>
        <w:rPr>
          <w:rStyle w:val="CharSchNo"/>
        </w:rPr>
        <w:lastRenderedPageBreak/>
        <w:t>Schedule</w:t>
      </w:r>
      <w:r>
        <w:t> — </w:t>
      </w:r>
      <w:r>
        <w:rPr>
          <w:rStyle w:val="CharSchText"/>
        </w:rPr>
        <w:t>Transitional provisions</w:t>
      </w:r>
      <w:bookmarkEnd w:id="86"/>
      <w:bookmarkEnd w:id="87"/>
      <w:bookmarkEnd w:id="88"/>
    </w:p>
    <w:p>
      <w:pPr>
        <w:pStyle w:val="yShoulderClause"/>
      </w:pPr>
      <w:r>
        <w:t>[s. 56]</w:t>
      </w:r>
    </w:p>
    <w:p>
      <w:pPr>
        <w:pStyle w:val="yFootnoteheading"/>
        <w:spacing w:before="60"/>
      </w:pPr>
      <w:r>
        <w:rPr>
          <w:snapToGrid w:val="0"/>
        </w:rPr>
        <w:tab/>
        <w:t>[Heading ame</w:t>
      </w:r>
      <w:r>
        <w:rPr>
          <w:iCs/>
          <w:snapToGrid w:val="0"/>
        </w:rPr>
        <w:t>n</w:t>
      </w:r>
      <w:r>
        <w:rPr>
          <w:snapToGrid w:val="0"/>
        </w:rPr>
        <w:t>ded: No. 36 of 2006 s. 52(a) and (b).]</w:t>
      </w:r>
    </w:p>
    <w:p>
      <w:pPr>
        <w:pStyle w:val="yHeading3"/>
      </w:pPr>
      <w:bookmarkStart w:id="89" w:name="_Toc206749322"/>
      <w:bookmarkStart w:id="90" w:name="_Toc207015345"/>
      <w:bookmarkStart w:id="91" w:name="_Toc207030321"/>
      <w:r>
        <w:rPr>
          <w:rStyle w:val="CharSDivNo"/>
        </w:rPr>
        <w:t>Division 1</w:t>
      </w:r>
      <w:r>
        <w:t> — </w:t>
      </w:r>
      <w:r>
        <w:rPr>
          <w:rStyle w:val="CharSDivText"/>
        </w:rPr>
        <w:t>The appointed day</w:t>
      </w:r>
      <w:bookmarkEnd w:id="89"/>
      <w:bookmarkEnd w:id="90"/>
      <w:bookmarkEnd w:id="91"/>
    </w:p>
    <w:p>
      <w:pPr>
        <w:pStyle w:val="yFootnoteheading"/>
        <w:rPr>
          <w:snapToGrid w:val="0"/>
        </w:rPr>
      </w:pPr>
      <w:r>
        <w:rPr>
          <w:snapToGrid w:val="0"/>
        </w:rPr>
        <w:tab/>
        <w:t>[Heading amended: No. 36 of 2006 s. 52(c).]</w:t>
      </w:r>
    </w:p>
    <w:p>
      <w:pPr>
        <w:pStyle w:val="yHeading5"/>
      </w:pPr>
      <w:bookmarkStart w:id="92" w:name="_Toc207030322"/>
      <w:r>
        <w:rPr>
          <w:rStyle w:val="CharSClsNo"/>
        </w:rPr>
        <w:t>1</w:t>
      </w:r>
      <w:r>
        <w:t>.</w:t>
      </w:r>
      <w:r>
        <w:tab/>
        <w:t>Employees’ service before application for registration</w:t>
      </w:r>
      <w:bookmarkEnd w:id="92"/>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93" w:name="_Toc207030323"/>
      <w:r>
        <w:t>2.</w:t>
      </w:r>
      <w:r>
        <w:tab/>
        <w:t>Employers to pay Board contributions for some employees</w:t>
      </w:r>
      <w:bookmarkEnd w:id="93"/>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94" w:name="_Toc206749325"/>
      <w:bookmarkStart w:id="95" w:name="_Toc207015348"/>
      <w:bookmarkStart w:id="96" w:name="_Toc207030324"/>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94"/>
      <w:bookmarkEnd w:id="95"/>
      <w:bookmarkEnd w:id="96"/>
    </w:p>
    <w:p>
      <w:pPr>
        <w:pStyle w:val="yFootnoteheading"/>
        <w:rPr>
          <w:snapToGrid w:val="0"/>
        </w:rPr>
      </w:pPr>
      <w:r>
        <w:tab/>
      </w:r>
      <w:r>
        <w:rPr>
          <w:snapToGrid w:val="0"/>
        </w:rPr>
        <w:t>[Heading inserted: No. 36 of 2006 s. 52(d).]</w:t>
      </w:r>
    </w:p>
    <w:p>
      <w:pPr>
        <w:pStyle w:val="yHeading5"/>
      </w:pPr>
      <w:bookmarkStart w:id="97" w:name="_Toc207030325"/>
      <w:r>
        <w:rPr>
          <w:rStyle w:val="CharSClsNo"/>
        </w:rPr>
        <w:t>3</w:t>
      </w:r>
      <w:r>
        <w:t>.</w:t>
      </w:r>
      <w:r>
        <w:rPr>
          <w:b w:val="0"/>
        </w:rPr>
        <w:tab/>
      </w:r>
      <w:r>
        <w:t>Service prior to commencement day</w:t>
      </w:r>
      <w:bookmarkEnd w:id="97"/>
    </w:p>
    <w:p>
      <w:pPr>
        <w:pStyle w:val="ySubsection"/>
        <w:keepNext/>
        <w:spacing w:before="120"/>
      </w:pPr>
      <w:r>
        <w:rPr>
          <w:snapToGrid w:val="0"/>
        </w:rPr>
        <w:tab/>
        <w:t>(1)</w:t>
      </w:r>
      <w:r>
        <w:rPr>
          <w:snapToGrid w:val="0"/>
        </w:rPr>
        <w:tab/>
        <w:t xml:space="preserve">If an employee has completed at least 9 but less than 15 years service in the construction industry prior to the commencement day, then, </w:t>
      </w:r>
      <w:r>
        <w:rPr>
          <w:snapToGrid w:val="0"/>
        </w:rPr>
        <w:lastRenderedPageBreak/>
        <w:t>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[Clause 3 inserted: No. 36 of 2006 s. 52(d).]</w:t>
      </w:r>
    </w:p>
    <w:p>
      <w:pPr>
        <w:pStyle w:val="yHeading3"/>
      </w:pPr>
      <w:bookmarkStart w:id="98" w:name="_Toc199510553"/>
      <w:bookmarkStart w:id="99" w:name="_Toc199512132"/>
      <w:bookmarkStart w:id="100" w:name="_Toc199513349"/>
      <w:bookmarkStart w:id="101" w:name="_Toc200968055"/>
      <w:bookmarkStart w:id="102" w:name="_Toc206736519"/>
      <w:bookmarkStart w:id="103" w:name="_Toc206737736"/>
      <w:bookmarkStart w:id="104" w:name="_Toc206751203"/>
      <w:bookmarkStart w:id="105" w:name="_Toc206751578"/>
      <w:bookmarkStart w:id="106" w:name="_Toc207015350"/>
      <w:bookmarkStart w:id="107" w:name="_Toc207030326"/>
      <w:r>
        <w:rPr>
          <w:rStyle w:val="CharSDivNo"/>
        </w:rPr>
        <w:lastRenderedPageBreak/>
        <w:t>Division 3</w:t>
      </w:r>
      <w:r>
        <w:t> — </w:t>
      </w:r>
      <w:r>
        <w:rPr>
          <w:rStyle w:val="CharSDivText"/>
          <w:bCs/>
          <w:i/>
        </w:rPr>
        <w:t>Construction Industry Portable Paid Long Service Leave Amendment Act 2025</w:t>
      </w:r>
      <w:bookmarkEnd w:id="98"/>
      <w:bookmarkEnd w:id="99"/>
      <w:bookmarkEnd w:id="100"/>
      <w:bookmarkEnd w:id="101"/>
      <w:bookmarkEnd w:id="102"/>
      <w:bookmarkEnd w:id="103"/>
      <w:bookmarkEnd w:id="104"/>
      <w:bookmarkEnd w:id="105"/>
      <w:bookmarkEnd w:id="106"/>
      <w:bookmarkEnd w:id="107"/>
    </w:p>
    <w:p>
      <w:pPr>
        <w:pStyle w:val="yFootnoteheading"/>
        <w:keepNext/>
        <w:rPr>
          <w:snapToGrid w:val="0"/>
        </w:rPr>
      </w:pPr>
      <w:bookmarkStart w:id="108" w:name="_Toc199510554"/>
      <w:bookmarkStart w:id="109" w:name="_Toc199512133"/>
      <w:bookmarkStart w:id="110" w:name="_Toc199513350"/>
      <w:bookmarkStart w:id="111" w:name="_Toc200968056"/>
      <w:bookmarkStart w:id="112" w:name="_Toc206736520"/>
      <w:bookmarkStart w:id="113" w:name="_Toc206737737"/>
      <w:bookmarkStart w:id="114" w:name="_Toc206751204"/>
      <w:bookmarkStart w:id="115" w:name="_Toc206751579"/>
      <w:r>
        <w:tab/>
      </w:r>
      <w:r>
        <w:rPr>
          <w:snapToGrid w:val="0"/>
        </w:rPr>
        <w:t>[Heading inserted: No. 12 of 2025 s. 8.]</w:t>
      </w:r>
    </w:p>
    <w:p>
      <w:pPr>
        <w:pStyle w:val="yHeading4"/>
      </w:pPr>
      <w:bookmarkStart w:id="116" w:name="_Toc207015351"/>
      <w:bookmarkStart w:id="117" w:name="_Toc207030327"/>
      <w:r>
        <w:t>Subdivision 1 — Preliminary and transitional regulations</w:t>
      </w:r>
      <w:bookmarkEnd w:id="108"/>
      <w:bookmarkEnd w:id="109"/>
      <w:bookmarkEnd w:id="110"/>
      <w:bookmarkEnd w:id="111"/>
      <w:bookmarkEnd w:id="112"/>
      <w:bookmarkEnd w:id="113"/>
      <w:bookmarkEnd w:id="114"/>
      <w:bookmarkEnd w:id="115"/>
      <w:bookmarkEnd w:id="116"/>
      <w:bookmarkEnd w:id="117"/>
    </w:p>
    <w:p>
      <w:pPr>
        <w:pStyle w:val="yFootnoteheading"/>
        <w:keepNext/>
        <w:rPr>
          <w:snapToGrid w:val="0"/>
        </w:rPr>
      </w:pPr>
      <w:bookmarkStart w:id="118" w:name="_Toc206736521"/>
      <w:bookmarkStart w:id="119" w:name="_Toc206737738"/>
      <w:bookmarkStart w:id="120" w:name="_Toc206751580"/>
      <w:r>
        <w:tab/>
      </w:r>
      <w:r>
        <w:rPr>
          <w:snapToGrid w:val="0"/>
        </w:rPr>
        <w:t>[Heading inserted: No. 12 of 2025 s. 8.]</w:t>
      </w:r>
    </w:p>
    <w:p>
      <w:pPr>
        <w:pStyle w:val="yHeading5"/>
      </w:pPr>
      <w:bookmarkStart w:id="121" w:name="_Toc207030328"/>
      <w:r>
        <w:rPr>
          <w:rStyle w:val="CharSClsNo"/>
        </w:rPr>
        <w:t>4</w:t>
      </w:r>
      <w:r>
        <w:t>.</w:t>
      </w:r>
      <w:r>
        <w:tab/>
        <w:t>Terms used</w:t>
      </w:r>
      <w:bookmarkEnd w:id="118"/>
      <w:bookmarkEnd w:id="119"/>
      <w:bookmarkEnd w:id="120"/>
      <w:bookmarkEnd w:id="121"/>
    </w:p>
    <w:p>
      <w:pPr>
        <w:pStyle w:val="ySubsection"/>
        <w:keepNext/>
      </w:pPr>
      <w:r>
        <w:tab/>
      </w:r>
      <w:r>
        <w:tab/>
        <w:t xml:space="preserve">In this Subdivision — </w:t>
      </w:r>
    </w:p>
    <w:p>
      <w:pPr>
        <w:pStyle w:val="yDefstart"/>
      </w:pPr>
      <w:r>
        <w:tab/>
      </w:r>
      <w:r>
        <w:rPr>
          <w:rStyle w:val="CharDefText"/>
        </w:rPr>
        <w:t>amendment Act</w:t>
      </w:r>
      <w:r>
        <w:t xml:space="preserve"> means the </w:t>
      </w:r>
      <w:r>
        <w:rPr>
          <w:i/>
          <w:iCs/>
        </w:rPr>
        <w:t>Construction Industry Portable Paid Long Service Leave Amendment Act 2025</w:t>
      </w:r>
      <w:r>
        <w:t>;</w:t>
      </w:r>
    </w:p>
    <w:p>
      <w:pPr>
        <w:pStyle w:val="yDefstart"/>
      </w:pPr>
      <w:r>
        <w:tab/>
      </w:r>
      <w:r>
        <w:rPr>
          <w:rStyle w:val="CharDefText"/>
        </w:rPr>
        <w:t>transitional regulations</w:t>
      </w:r>
      <w:r>
        <w:t xml:space="preserve"> means regulations made under clause 6(2).</w:t>
      </w:r>
    </w:p>
    <w:p>
      <w:pPr>
        <w:pStyle w:val="yFootnotesection"/>
      </w:pPr>
      <w:bookmarkStart w:id="122" w:name="_Toc206736522"/>
      <w:bookmarkStart w:id="123" w:name="_Toc206737739"/>
      <w:bookmarkStart w:id="124" w:name="_Toc206751581"/>
      <w:r>
        <w:tab/>
        <w:t>[Clause 4 inserted: No. 12 of 2025 s. 8.]</w:t>
      </w:r>
    </w:p>
    <w:p>
      <w:pPr>
        <w:pStyle w:val="yHeading5"/>
      </w:pPr>
      <w:bookmarkStart w:id="125" w:name="_Toc207030329"/>
      <w:r>
        <w:rPr>
          <w:rStyle w:val="CharSClsNo"/>
        </w:rPr>
        <w:t>5</w:t>
      </w:r>
      <w:r>
        <w:t>.</w:t>
      </w:r>
      <w:r>
        <w:tab/>
        <w:t xml:space="preserve">Application of </w:t>
      </w:r>
      <w:r>
        <w:rPr>
          <w:i/>
        </w:rPr>
        <w:t>Interpretation Act 1984</w:t>
      </w:r>
      <w:bookmarkEnd w:id="122"/>
      <w:bookmarkEnd w:id="123"/>
      <w:bookmarkEnd w:id="124"/>
      <w:bookmarkEnd w:id="125"/>
    </w:p>
    <w:p>
      <w:pPr>
        <w:pStyle w:val="ySubsection"/>
      </w:pPr>
      <w:r>
        <w:tab/>
      </w:r>
      <w:r>
        <w:tab/>
        <w:t xml:space="preserve">The </w:t>
      </w:r>
      <w:r>
        <w:rPr>
          <w:i/>
        </w:rPr>
        <w:t>Interpretation Act 1984</w:t>
      </w:r>
      <w:r>
        <w:t xml:space="preserve"> Part V applies in relation to amendments made by the amendment Act subject to this Division and transitional regulations.</w:t>
      </w:r>
    </w:p>
    <w:p>
      <w:pPr>
        <w:pStyle w:val="yFootnotesection"/>
      </w:pPr>
      <w:bookmarkStart w:id="126" w:name="_Toc206736523"/>
      <w:bookmarkStart w:id="127" w:name="_Toc206737740"/>
      <w:bookmarkStart w:id="128" w:name="_Toc206751582"/>
      <w:r>
        <w:tab/>
        <w:t>[Clause 5 inserted: No. 12 of 2025 s. 8.]</w:t>
      </w:r>
    </w:p>
    <w:p>
      <w:pPr>
        <w:pStyle w:val="yHeading5"/>
      </w:pPr>
      <w:bookmarkStart w:id="129" w:name="_Toc207030330"/>
      <w:r>
        <w:rPr>
          <w:rStyle w:val="CharSClsNo"/>
        </w:rPr>
        <w:t>6</w:t>
      </w:r>
      <w:r>
        <w:t>.</w:t>
      </w:r>
      <w:r>
        <w:tab/>
        <w:t>Transitional regulations</w:t>
      </w:r>
      <w:bookmarkEnd w:id="126"/>
      <w:bookmarkEnd w:id="127"/>
      <w:bookmarkEnd w:id="128"/>
      <w:bookmarkEnd w:id="129"/>
    </w:p>
    <w:p>
      <w:pPr>
        <w:pStyle w:val="ySubsection"/>
      </w:pPr>
      <w:r>
        <w:tab/>
        <w:t>(1)</w:t>
      </w:r>
      <w:r>
        <w:tab/>
        <w:t xml:space="preserve">In this clause — </w:t>
      </w:r>
    </w:p>
    <w:p>
      <w:pPr>
        <w:pStyle w:val="yDefstart"/>
      </w:pPr>
      <w:r>
        <w:tab/>
      </w:r>
      <w:r>
        <w:rPr>
          <w:rStyle w:val="CharDefText"/>
        </w:rPr>
        <w:t>publication day</w:t>
      </w:r>
      <w:r>
        <w:t xml:space="preserve">, for transitional regulations, means the day on which the regulations are published in accordance with the </w:t>
      </w:r>
      <w:r>
        <w:rPr>
          <w:i/>
        </w:rPr>
        <w:t>Interpretation Act 1984</w:t>
      </w:r>
      <w:r>
        <w:t xml:space="preserve"> section 41(1)(a);</w:t>
      </w:r>
    </w:p>
    <w:p>
      <w:pPr>
        <w:pStyle w:val="yDefstart"/>
      </w:pPr>
      <w:r>
        <w:tab/>
      </w:r>
      <w:r>
        <w:rPr>
          <w:rStyle w:val="CharDefText"/>
        </w:rPr>
        <w:t>specified</w:t>
      </w:r>
      <w:r>
        <w:t xml:space="preserve"> means specified or described in transitional regulations;</w:t>
      </w:r>
    </w:p>
    <w:p>
      <w:pPr>
        <w:pStyle w:val="yDefstart"/>
      </w:pPr>
      <w:r>
        <w:tab/>
      </w:r>
      <w:r>
        <w:rPr>
          <w:rStyle w:val="CharDefText"/>
        </w:rPr>
        <w:t>transitional matter</w:t>
      </w:r>
      <w:r>
        <w:t xml:space="preserve"> means a matter or issue of a transitional, savings or application nature.</w:t>
      </w:r>
    </w:p>
    <w:p>
      <w:pPr>
        <w:pStyle w:val="ySubsection"/>
      </w:pPr>
      <w:r>
        <w:tab/>
        <w:t>(2)</w:t>
      </w:r>
      <w:r>
        <w:tab/>
        <w:t>Regulations may prescribe anything required, necessary or convenient to be prescribed in relation to a transitional matter in connection with the enactment of, or any amendment made by, the amendment Act.</w:t>
      </w:r>
    </w:p>
    <w:p>
      <w:pPr>
        <w:pStyle w:val="ySubsection"/>
        <w:keepNext/>
      </w:pPr>
      <w:r>
        <w:lastRenderedPageBreak/>
        <w:tab/>
        <w:t>(3)</w:t>
      </w:r>
      <w:r>
        <w:tab/>
        <w:t xml:space="preserve">Without limiting subclause (2), transitional regulations may provide for specified provisions of this Act or another written law — </w:t>
      </w:r>
    </w:p>
    <w:p>
      <w:pPr>
        <w:pStyle w:val="yIndenta"/>
      </w:pPr>
      <w:r>
        <w:tab/>
        <w:t>(a)</w:t>
      </w:r>
      <w:r>
        <w:tab/>
        <w:t>not to apply to, or in relation to, a specified matter or thing; or</w:t>
      </w:r>
    </w:p>
    <w:p>
      <w:pPr>
        <w:pStyle w:val="yIndenta"/>
      </w:pPr>
      <w:r>
        <w:tab/>
        <w:t>(b)</w:t>
      </w:r>
      <w:r>
        <w:tab/>
        <w:t>to apply with specified modifications to, or in relation to, a specified matter or thing.</w:t>
      </w:r>
    </w:p>
    <w:p>
      <w:pPr>
        <w:pStyle w:val="ySubsection"/>
      </w:pPr>
      <w:r>
        <w:tab/>
        <w:t>(4)</w:t>
      </w:r>
      <w:r>
        <w:tab/>
        <w:t>If transitional regulations provide that a specified state of affairs is taken to have existed, or not to have existed, on and after a day that is earlier than publication day but not earlier than the day on which the amendment Act Part 2 comes into operation, the transitional regulations have effect according to their terms.</w:t>
      </w:r>
    </w:p>
    <w:p>
      <w:pPr>
        <w:pStyle w:val="ySubsection"/>
      </w:pPr>
      <w:r>
        <w:tab/>
        <w:t>(5)</w:t>
      </w:r>
      <w:r>
        <w:tab/>
        <w:t xml:space="preserve">If transitional regulations contain a provision referred to in subclause (4), the provision does not operate so as — </w:t>
      </w:r>
    </w:p>
    <w:p>
      <w:pPr>
        <w:pStyle w:val="yIndenta"/>
      </w:pPr>
      <w:r>
        <w:tab/>
        <w:t>(a)</w:t>
      </w:r>
      <w:r>
        <w:tab/>
        <w:t>to affect in a manner prejudicial to a person (other than the State or an authority of the State) the rights of that person existing before publication day; or</w:t>
      </w:r>
    </w:p>
    <w:p>
      <w:pPr>
        <w:pStyle w:val="yIndenta"/>
      </w:pPr>
      <w:r>
        <w:tab/>
        <w:t>(b)</w:t>
      </w:r>
      <w:r>
        <w:tab/>
        <w:t>to impose liabilities on a person (other than the State or an authority of the State) in respect of an act done or omission made before publication day.</w:t>
      </w:r>
    </w:p>
    <w:p>
      <w:pPr>
        <w:pStyle w:val="yFootnotesection"/>
      </w:pPr>
      <w:bookmarkStart w:id="130" w:name="_Toc199510558"/>
      <w:bookmarkStart w:id="131" w:name="_Toc199512137"/>
      <w:bookmarkStart w:id="132" w:name="_Toc199513354"/>
      <w:bookmarkStart w:id="133" w:name="_Toc200968060"/>
      <w:bookmarkStart w:id="134" w:name="_Toc206736524"/>
      <w:bookmarkStart w:id="135" w:name="_Toc206737741"/>
      <w:bookmarkStart w:id="136" w:name="_Toc206751208"/>
      <w:bookmarkStart w:id="137" w:name="_Toc206751583"/>
      <w:r>
        <w:tab/>
        <w:t>[Clause 6 inserted: No. 12 of 2025 s. 8.]</w:t>
      </w:r>
    </w:p>
    <w:p>
      <w:pPr>
        <w:pStyle w:val="yHeading4"/>
      </w:pPr>
      <w:bookmarkStart w:id="138" w:name="_Toc207015355"/>
      <w:bookmarkStart w:id="139" w:name="_Toc207030331"/>
      <w:r>
        <w:t>Subdivision 2 — Amendments relating to employees stood down or on workers compensation</w:t>
      </w:r>
      <w:bookmarkEnd w:id="130"/>
      <w:bookmarkEnd w:id="131"/>
      <w:bookmarkEnd w:id="132"/>
      <w:bookmarkEnd w:id="133"/>
      <w:bookmarkEnd w:id="134"/>
      <w:bookmarkEnd w:id="135"/>
      <w:bookmarkEnd w:id="136"/>
      <w:bookmarkEnd w:id="137"/>
      <w:bookmarkEnd w:id="138"/>
      <w:bookmarkEnd w:id="139"/>
    </w:p>
    <w:p>
      <w:pPr>
        <w:pStyle w:val="yFootnoteheading"/>
        <w:rPr>
          <w:snapToGrid w:val="0"/>
        </w:rPr>
      </w:pPr>
      <w:bookmarkStart w:id="140" w:name="_Toc206736525"/>
      <w:bookmarkStart w:id="141" w:name="_Toc206737742"/>
      <w:bookmarkStart w:id="142" w:name="_Toc206751584"/>
      <w:r>
        <w:tab/>
      </w:r>
      <w:r>
        <w:rPr>
          <w:snapToGrid w:val="0"/>
        </w:rPr>
        <w:t>[Heading inserted: No. 12 of 2025 s. 8.]</w:t>
      </w:r>
    </w:p>
    <w:p>
      <w:pPr>
        <w:pStyle w:val="yHeading5"/>
      </w:pPr>
      <w:bookmarkStart w:id="143" w:name="_Toc207030332"/>
      <w:r>
        <w:rPr>
          <w:rStyle w:val="CharSClsNo"/>
        </w:rPr>
        <w:t>7</w:t>
      </w:r>
      <w:r>
        <w:t>.</w:t>
      </w:r>
      <w:r>
        <w:tab/>
        <w:t>Terms used</w:t>
      </w:r>
      <w:bookmarkEnd w:id="140"/>
      <w:bookmarkEnd w:id="141"/>
      <w:bookmarkEnd w:id="142"/>
      <w:bookmarkEnd w:id="143"/>
    </w:p>
    <w:p>
      <w:pPr>
        <w:pStyle w:val="ySubsection"/>
      </w:pPr>
      <w:r>
        <w:tab/>
        <w:t>(1)</w:t>
      </w:r>
      <w:r>
        <w:tab/>
        <w:t xml:space="preserve">In this Subdivision — </w:t>
      </w:r>
    </w:p>
    <w:p>
      <w:pPr>
        <w:pStyle w:val="yDefstart"/>
      </w:pPr>
      <w:r>
        <w:tab/>
      </w:r>
      <w:r>
        <w:rPr>
          <w:rStyle w:val="CharDefText"/>
        </w:rPr>
        <w:t>amendment Act</w:t>
      </w:r>
      <w:r>
        <w:t xml:space="preserve"> means the </w:t>
      </w:r>
      <w:r>
        <w:rPr>
          <w:i/>
        </w:rPr>
        <w:t>Construction Industry Portable Paid Long Service Leave Amendment Act 2025</w:t>
      </w:r>
      <w:r>
        <w:t>;</w:t>
      </w:r>
    </w:p>
    <w:p>
      <w:pPr>
        <w:pStyle w:val="yDefstart"/>
      </w:pPr>
      <w:r>
        <w:tab/>
      </w:r>
      <w:r>
        <w:rPr>
          <w:rStyle w:val="CharDefText"/>
        </w:rPr>
        <w:t>commencement day</w:t>
      </w:r>
      <w:r>
        <w:t xml:space="preserve"> means the day on which the amendment Act section 8 comes into operation;</w:t>
      </w:r>
    </w:p>
    <w:p>
      <w:pPr>
        <w:pStyle w:val="yDefstart"/>
      </w:pPr>
      <w:r>
        <w:tab/>
      </w:r>
      <w:r>
        <w:rPr>
          <w:rStyle w:val="CharDefText"/>
        </w:rPr>
        <w:t>on workers compensation (1981 Act)</w:t>
      </w:r>
      <w:r>
        <w:t xml:space="preserve"> has the meaning given in subclause (2).</w:t>
      </w:r>
    </w:p>
    <w:p>
      <w:pPr>
        <w:pStyle w:val="ySubsection"/>
        <w:keepNext/>
      </w:pPr>
      <w:r>
        <w:lastRenderedPageBreak/>
        <w:tab/>
        <w:t>(2)</w:t>
      </w:r>
      <w:r>
        <w:tab/>
        <w:t xml:space="preserve">An employee was </w:t>
      </w:r>
      <w:r>
        <w:rPr>
          <w:rStyle w:val="CharDefText"/>
        </w:rPr>
        <w:t>on workers compensation (1981 Act)</w:t>
      </w:r>
      <w:r>
        <w:t xml:space="preserve"> in respect of a day if — </w:t>
      </w:r>
    </w:p>
    <w:p>
      <w:pPr>
        <w:pStyle w:val="yIndenta"/>
      </w:pPr>
      <w:r>
        <w:tab/>
        <w:t>(a)</w:t>
      </w:r>
      <w:r>
        <w:tab/>
        <w:t>the employee was employed by an employer on the day; and</w:t>
      </w:r>
    </w:p>
    <w:p>
      <w:pPr>
        <w:pStyle w:val="yIndenta"/>
      </w:pPr>
      <w:r>
        <w:tab/>
        <w:t>(b)</w:t>
      </w:r>
      <w:r>
        <w:tab/>
        <w:t>the employee would usually work in that employment on the day; and</w:t>
      </w:r>
    </w:p>
    <w:p>
      <w:pPr>
        <w:pStyle w:val="yIndenta"/>
      </w:pPr>
      <w:r>
        <w:tab/>
        <w:t>(c)</w:t>
      </w:r>
      <w:r>
        <w:tab/>
        <w:t xml:space="preserve">the employee was entitled to receive weekly payments of compensation calculated and varied under the </w:t>
      </w:r>
      <w:r>
        <w:rPr>
          <w:i/>
        </w:rPr>
        <w:t>Workers’ Compensation and Injury Management Act 1981</w:t>
      </w:r>
      <w:r>
        <w:t xml:space="preserve"> Schedule 1 for a period that includes the day.</w:t>
      </w:r>
    </w:p>
    <w:p>
      <w:pPr>
        <w:pStyle w:val="yFootnotesection"/>
      </w:pPr>
      <w:bookmarkStart w:id="144" w:name="_Toc206736526"/>
      <w:bookmarkStart w:id="145" w:name="_Toc206737743"/>
      <w:bookmarkStart w:id="146" w:name="_Toc206751585"/>
      <w:r>
        <w:tab/>
        <w:t>[Clause 7 inserted: No. 12 of 2025 s. 8.]</w:t>
      </w:r>
    </w:p>
    <w:p>
      <w:pPr>
        <w:pStyle w:val="yHeading5"/>
      </w:pPr>
      <w:bookmarkStart w:id="147" w:name="_Toc207030333"/>
      <w:r>
        <w:rPr>
          <w:rStyle w:val="CharSClsNo"/>
        </w:rPr>
        <w:t>8</w:t>
      </w:r>
      <w:r>
        <w:t>.</w:t>
      </w:r>
      <w:r>
        <w:tab/>
        <w:t>Application of Act to employees stood down during pre</w:t>
      </w:r>
      <w:r>
        <w:noBreakHyphen/>
        <w:t>commencement period</w:t>
      </w:r>
      <w:bookmarkEnd w:id="144"/>
      <w:bookmarkEnd w:id="145"/>
      <w:bookmarkEnd w:id="146"/>
      <w:bookmarkEnd w:id="147"/>
    </w:p>
    <w:p>
      <w:pPr>
        <w:pStyle w:val="ySubsection"/>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April 2020 and ending immediately before commencement day.</w:t>
      </w:r>
    </w:p>
    <w:p>
      <w:pPr>
        <w:pStyle w:val="ySubsection"/>
      </w:pPr>
      <w:r>
        <w:tab/>
        <w:t>(2)</w:t>
      </w:r>
      <w:r>
        <w:tab/>
        <w:t>This clause applies in relation to an employee who, during the pre</w:t>
      </w:r>
      <w:r>
        <w:noBreakHyphen/>
        <w:t>commencement period, was stood down in respect of a day.</w:t>
      </w:r>
    </w:p>
    <w:p>
      <w:pPr>
        <w:pStyle w:val="ySubsection"/>
      </w:pPr>
      <w:r>
        <w:tab/>
        <w:t>(3)</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 </w:t>
      </w:r>
    </w:p>
    <w:p>
      <w:pPr>
        <w:pStyle w:val="yIndenta"/>
      </w:pPr>
      <w:r>
        <w:tab/>
        <w:t>(b)</w:t>
      </w:r>
      <w:r>
        <w:tab/>
        <w:t xml:space="preserve">the definition of </w:t>
      </w:r>
      <w:r>
        <w:rPr>
          <w:b/>
          <w:i/>
        </w:rPr>
        <w:t>stood down</w:t>
      </w:r>
      <w:r>
        <w:t xml:space="preserve"> in section 3(3B) applied accordingly.</w:t>
      </w:r>
    </w:p>
    <w:p>
      <w:pPr>
        <w:pStyle w:val="yFootnotesection"/>
      </w:pPr>
      <w:bookmarkStart w:id="148" w:name="_Toc206736527"/>
      <w:bookmarkStart w:id="149" w:name="_Toc206737744"/>
      <w:bookmarkStart w:id="150" w:name="_Toc206751586"/>
      <w:r>
        <w:tab/>
        <w:t>[Clause 8 inserted: No. 12 of 2025 s. 8.]</w:t>
      </w:r>
    </w:p>
    <w:p>
      <w:pPr>
        <w:pStyle w:val="yHeading5"/>
      </w:pPr>
      <w:bookmarkStart w:id="151" w:name="_Toc207030334"/>
      <w:r>
        <w:rPr>
          <w:rStyle w:val="CharSClsNo"/>
        </w:rPr>
        <w:t>9</w:t>
      </w:r>
      <w:r>
        <w:t>.</w:t>
      </w:r>
      <w:r>
        <w:tab/>
        <w:t>Application of Act to employees on workers compensation before commencement day</w:t>
      </w:r>
      <w:bookmarkEnd w:id="148"/>
      <w:bookmarkEnd w:id="149"/>
      <w:bookmarkEnd w:id="150"/>
      <w:bookmarkEnd w:id="151"/>
    </w:p>
    <w:p>
      <w:pPr>
        <w:pStyle w:val="ySubsection"/>
      </w:pPr>
      <w:r>
        <w:tab/>
        <w:t>(1)</w:t>
      </w:r>
      <w:r>
        <w:tab/>
        <w:t xml:space="preserve">This clause applies in relation to an employee who, before commencement day — </w:t>
      </w:r>
    </w:p>
    <w:p>
      <w:pPr>
        <w:pStyle w:val="yIndenta"/>
      </w:pPr>
      <w:r>
        <w:tab/>
        <w:t>(a)</w:t>
      </w:r>
      <w:r>
        <w:tab/>
        <w:t>was on workers compensation in respect of a day; or</w:t>
      </w:r>
    </w:p>
    <w:p>
      <w:pPr>
        <w:pStyle w:val="yIndenta"/>
      </w:pPr>
      <w:r>
        <w:tab/>
        <w:t>(b)</w:t>
      </w:r>
      <w:r>
        <w:tab/>
        <w:t>was on workers compensation (1981 Act) in respect of a day.</w:t>
      </w:r>
    </w:p>
    <w:p>
      <w:pPr>
        <w:pStyle w:val="ySubsection"/>
      </w:pPr>
      <w:r>
        <w:lastRenderedPageBreak/>
        <w:tab/>
        <w:t>(2)</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w:t>
      </w:r>
    </w:p>
    <w:p>
      <w:pPr>
        <w:pStyle w:val="yIndenta"/>
      </w:pPr>
      <w:r>
        <w:tab/>
        <w:t>(b)</w:t>
      </w:r>
      <w:r>
        <w:tab/>
        <w:t xml:space="preserve">the definition of </w:t>
      </w:r>
      <w:r>
        <w:rPr>
          <w:b/>
          <w:i/>
        </w:rPr>
        <w:t xml:space="preserve">on workers compensation </w:t>
      </w:r>
      <w:r>
        <w:t>in section 3(3C) applied accordingly; and</w:t>
      </w:r>
    </w:p>
    <w:p>
      <w:pPr>
        <w:pStyle w:val="yIndenta"/>
      </w:pPr>
      <w:r>
        <w:tab/>
        <w:t>(c)</w:t>
      </w:r>
      <w:r>
        <w:tab/>
        <w:t xml:space="preserve">the reference in section 3(3C)(c) to income compensation under the </w:t>
      </w:r>
      <w:r>
        <w:rPr>
          <w:i/>
        </w:rPr>
        <w:t>Workers Compensation and Injury Management Act 2023</w:t>
      </w:r>
      <w:r>
        <w:t xml:space="preserve"> Part 2 Division 3 included a reference to weekly payments of compensation calculated and varied under the </w:t>
      </w:r>
      <w:r>
        <w:rPr>
          <w:i/>
        </w:rPr>
        <w:t>Workers’ Compensation and Injury Management Act 1981</w:t>
      </w:r>
      <w:r>
        <w:t xml:space="preserve"> Schedule 1.</w:t>
      </w:r>
    </w:p>
    <w:p>
      <w:pPr>
        <w:pStyle w:val="yFootnotesection"/>
      </w:pPr>
      <w:bookmarkStart w:id="152" w:name="_Toc206736528"/>
      <w:bookmarkStart w:id="153" w:name="_Toc206737745"/>
      <w:bookmarkStart w:id="154" w:name="_Toc206751587"/>
      <w:r>
        <w:tab/>
        <w:t>[Clause 9 inserted: No. 12 of 2025 s. 8.]</w:t>
      </w:r>
    </w:p>
    <w:p>
      <w:pPr>
        <w:pStyle w:val="yHeading5"/>
      </w:pPr>
      <w:bookmarkStart w:id="155" w:name="_Toc207030335"/>
      <w:r>
        <w:rPr>
          <w:rStyle w:val="CharSClsNo"/>
        </w:rPr>
        <w:t>10</w:t>
      </w:r>
      <w:r>
        <w:t>.</w:t>
      </w:r>
      <w:r>
        <w:tab/>
        <w:t>Re</w:t>
      </w:r>
      <w:r>
        <w:noBreakHyphen/>
        <w:t>registration of particular employees</w:t>
      </w:r>
      <w:bookmarkEnd w:id="152"/>
      <w:bookmarkEnd w:id="153"/>
      <w:bookmarkEnd w:id="154"/>
      <w:bookmarkEnd w:id="155"/>
    </w:p>
    <w:p>
      <w:pPr>
        <w:pStyle w:val="ySubsection"/>
      </w:pPr>
      <w:r>
        <w:tab/>
        <w:t>(1)</w:t>
      </w:r>
      <w:r>
        <w:tab/>
        <w:t>This clause applies in relation to an employee referred to in clause 8(2) or 9(1).</w:t>
      </w:r>
    </w:p>
    <w:p>
      <w:pPr>
        <w:pStyle w:val="ySubsection"/>
      </w:pPr>
      <w:r>
        <w:tab/>
        <w:t>(2)</w:t>
      </w:r>
      <w:r>
        <w:tab/>
        <w:t>Each day in respect of which the employee was stood down, on workers compensation or on workers compensation (1981 Act) is taken to be a day of service by the employee for the purposes of section 23(1)(a) and (b).</w:t>
      </w:r>
    </w:p>
    <w:p>
      <w:pPr>
        <w:pStyle w:val="ySubsection"/>
      </w:pPr>
      <w:r>
        <w:tab/>
        <w:t>(3)</w:t>
      </w:r>
      <w:r>
        <w:tab/>
        <w:t xml:space="preserve">Subclause (4) applies if — </w:t>
      </w:r>
    </w:p>
    <w:p>
      <w:pPr>
        <w:pStyle w:val="yIndenta"/>
      </w:pPr>
      <w:r>
        <w:tab/>
        <w:t>(a)</w:t>
      </w:r>
      <w:r>
        <w:tab/>
        <w:t>before commencement day, the Board caused the employee’s name to be removed from the employees register under section 23(1); and</w:t>
      </w:r>
    </w:p>
    <w:p>
      <w:pPr>
        <w:pStyle w:val="yIndenta"/>
      </w:pPr>
      <w:r>
        <w:tab/>
        <w:t>(b)</w:t>
      </w:r>
      <w:r>
        <w:tab/>
        <w:t>the employee would have been entitled to remain on the employees register had the provision made by subclause (2) applied at the time of the removal.</w:t>
      </w:r>
    </w:p>
    <w:p>
      <w:pPr>
        <w:pStyle w:val="ySubsection"/>
      </w:pPr>
      <w:r>
        <w:tab/>
        <w:t>(4)</w:t>
      </w:r>
      <w:r>
        <w:tab/>
        <w:t>The Board may cause the employee to be re</w:t>
      </w:r>
      <w:r>
        <w:noBreakHyphen/>
        <w:t>registered on the employees register.</w:t>
      </w:r>
    </w:p>
    <w:p>
      <w:pPr>
        <w:pStyle w:val="ySubsection"/>
      </w:pPr>
      <w:r>
        <w:tab/>
        <w:t>(5)</w:t>
      </w:r>
      <w:r>
        <w:tab/>
        <w:t>If the employee is re</w:t>
      </w:r>
      <w:r>
        <w:noBreakHyphen/>
        <w:t>registered, for the purposes of the Board determining the employee’s entitlement to long service leave under this Act, the Board must apply this Act as if the Board had not caused the employee’s name to be removed.</w:t>
      </w:r>
    </w:p>
    <w:p>
      <w:pPr>
        <w:pStyle w:val="yFootnotesection"/>
      </w:pPr>
      <w:bookmarkStart w:id="156" w:name="_Toc206736529"/>
      <w:bookmarkStart w:id="157" w:name="_Toc206737746"/>
      <w:bookmarkStart w:id="158" w:name="_Toc206751588"/>
      <w:r>
        <w:lastRenderedPageBreak/>
        <w:tab/>
        <w:t>[Clause 10 inserted: No. 12 of 2025 s. 8.]</w:t>
      </w:r>
    </w:p>
    <w:p>
      <w:pPr>
        <w:pStyle w:val="yHeading5"/>
      </w:pPr>
      <w:bookmarkStart w:id="159" w:name="_Toc207030336"/>
      <w:r>
        <w:rPr>
          <w:rStyle w:val="CharSClsNo"/>
        </w:rPr>
        <w:t>11</w:t>
      </w:r>
      <w:r>
        <w:t>.</w:t>
      </w:r>
      <w:r>
        <w:tab/>
        <w:t>Board may set aside decision and make different decision</w:t>
      </w:r>
      <w:bookmarkEnd w:id="156"/>
      <w:bookmarkEnd w:id="157"/>
      <w:bookmarkEnd w:id="158"/>
      <w:bookmarkEnd w:id="159"/>
    </w:p>
    <w:p>
      <w:pPr>
        <w:pStyle w:val="ySubsection"/>
      </w:pPr>
      <w:r>
        <w:tab/>
        <w:t>(1)</w:t>
      </w:r>
      <w:r>
        <w:tab/>
        <w:t xml:space="preserve">This clause applies if — </w:t>
      </w:r>
    </w:p>
    <w:p>
      <w:pPr>
        <w:pStyle w:val="yIndenta"/>
      </w:pPr>
      <w:r>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yIndenta"/>
      </w:pPr>
      <w:r>
        <w:tab/>
        <w:t>(b)</w:t>
      </w:r>
      <w:r>
        <w:tab/>
        <w:t>as a consequence of this Subdivision, the Board considers a different decision should be made.</w:t>
      </w:r>
    </w:p>
    <w:p>
      <w:pPr>
        <w:pStyle w:val="ySubsection"/>
      </w:pPr>
      <w:r>
        <w:tab/>
        <w:t>(2)</w:t>
      </w:r>
      <w:r>
        <w:tab/>
        <w:t>The Board may, on its own initiative or on the application of any person, set aside the original decision and make the different decision.</w:t>
      </w:r>
    </w:p>
    <w:p>
      <w:pPr>
        <w:pStyle w:val="yFootnotesection"/>
      </w:pPr>
      <w:r>
        <w:tab/>
        <w:t>[Clause 11 inserted: No. 12 of 2025 s. 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61" w:name="_Toc207015361"/>
      <w:bookmarkStart w:id="162" w:name="_Toc207030337"/>
      <w:bookmarkStart w:id="163" w:name="_Toc206749329"/>
      <w:r>
        <w:lastRenderedPageBreak/>
        <w:t>Notes</w:t>
      </w:r>
      <w:bookmarkEnd w:id="161"/>
      <w:bookmarkEnd w:id="162"/>
    </w:p>
    <w:p>
      <w:pPr>
        <w:pStyle w:val="nStatement"/>
      </w:pPr>
      <w:r>
        <w:t xml:space="preserve">This is a compilation of the </w:t>
      </w:r>
      <w:r>
        <w:rPr>
          <w:i/>
          <w:noProof/>
        </w:rPr>
        <w:t>Construction Industry Portable Paid Long Service Leave Act 1985</w:t>
      </w:r>
      <w:r>
        <w:t xml:space="preserve"> and includes amendments made by other written laws</w:t>
      </w:r>
      <w:r>
        <w:rPr>
          <w:snapToGrid w:val="0"/>
          <w:vertAlign w:val="superscript"/>
        </w:rPr>
        <w:t> 2</w:t>
      </w:r>
      <w:r>
        <w:t xml:space="preserve">. For provisions that have come into operation, and for information about any reprints, see the compilation table. </w:t>
      </w:r>
      <w:bookmarkStart w:id="164" w:name="_Hlk207008340"/>
      <w:r>
        <w:t>For provisions that have not yet come into operation see the uncommenced provisions table.</w:t>
      </w:r>
      <w:bookmarkEnd w:id="164"/>
    </w:p>
    <w:p>
      <w:pPr>
        <w:pStyle w:val="nHeading3"/>
      </w:pPr>
      <w:bookmarkStart w:id="165" w:name="_Toc207030338"/>
      <w:r>
        <w:t>Compilation table</w:t>
      </w:r>
      <w:bookmarkEnd w:id="165"/>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7"/>
        <w:gridCol w:w="1107"/>
        <w:gridCol w:w="27"/>
        <w:gridCol w:w="2525"/>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Construction Industry </w:t>
            </w:r>
            <w:r>
              <w:rPr>
                <w:i/>
                <w:noProof/>
              </w:rPr>
              <w:t>Portable</w:t>
            </w:r>
            <w:r>
              <w:rPr>
                <w:i/>
              </w:rPr>
              <w:t xml:space="preserve"> Paid Long Service Leave Act 1985</w:t>
            </w:r>
          </w:p>
        </w:tc>
        <w:tc>
          <w:tcPr>
            <w:tcW w:w="1133" w:type="dxa"/>
            <w:gridSpan w:val="2"/>
          </w:tcPr>
          <w:p>
            <w:pPr>
              <w:pStyle w:val="nTable"/>
              <w:spacing w:after="40"/>
            </w:pPr>
            <w:r>
              <w:t>72 of 1985</w:t>
            </w:r>
          </w:p>
        </w:tc>
        <w:tc>
          <w:tcPr>
            <w:tcW w:w="1134" w:type="dxa"/>
            <w:gridSpan w:val="2"/>
          </w:tcPr>
          <w:p>
            <w:pPr>
              <w:pStyle w:val="nTable"/>
              <w:spacing w:after="40"/>
            </w:pPr>
            <w:r>
              <w:t>13 Dec 1985</w:t>
            </w:r>
          </w:p>
        </w:tc>
        <w:tc>
          <w:tcPr>
            <w:tcW w:w="2552" w:type="dxa"/>
            <w:gridSpan w:val="2"/>
          </w:tcPr>
          <w:p>
            <w:pPr>
              <w:pStyle w:val="nTable"/>
              <w:spacing w:after="40"/>
            </w:pPr>
            <w:r>
              <w:t>s. 1 and 2: 13 Dec 1985;</w:t>
            </w:r>
            <w:r>
              <w:br/>
              <w:t xml:space="preserve">Act other than s. 1 and 2: 19 Dec 1986 (see s. 2 and </w:t>
            </w:r>
            <w:r>
              <w:rPr>
                <w:i/>
              </w:rPr>
              <w:t>Gazette</w:t>
            </w:r>
            <w:r>
              <w:t xml:space="preserve"> 19 Dec 1986 p. 4860)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(Financial </w:t>
            </w:r>
            <w:r>
              <w:rPr>
                <w:i/>
                <w:noProof/>
              </w:rPr>
              <w:t>Administration</w:t>
            </w:r>
            <w:r>
              <w:rPr>
                <w:i/>
              </w:rPr>
              <w:t xml:space="preserve"> and Audit) Act 1986</w:t>
            </w:r>
            <w:r>
              <w:t xml:space="preserve"> s. 4</w:t>
            </w:r>
          </w:p>
        </w:tc>
        <w:tc>
          <w:tcPr>
            <w:tcW w:w="1133" w:type="dxa"/>
            <w:gridSpan w:val="2"/>
          </w:tcPr>
          <w:p>
            <w:pPr>
              <w:pStyle w:val="nTable"/>
              <w:spacing w:after="40"/>
            </w:pPr>
            <w:r>
              <w:t>4 of 1986</w:t>
            </w:r>
          </w:p>
        </w:tc>
        <w:tc>
          <w:tcPr>
            <w:tcW w:w="1134" w:type="dxa"/>
            <w:gridSpan w:val="2"/>
          </w:tcPr>
          <w:p>
            <w:pPr>
              <w:pStyle w:val="nTable"/>
              <w:spacing w:after="40"/>
            </w:pPr>
            <w:r>
              <w:t>27 Jun 1986</w:t>
            </w:r>
          </w:p>
        </w:tc>
        <w:tc>
          <w:tcPr>
            <w:tcW w:w="2552" w:type="dxa"/>
            <w:gridSpan w:val="2"/>
          </w:tcPr>
          <w:p>
            <w:pPr>
              <w:pStyle w:val="nTable"/>
              <w:spacing w:after="40"/>
            </w:pPr>
            <w:r>
              <w:t>1 </w:t>
            </w:r>
            <w:r>
              <w:rPr>
                <w:snapToGrid w:val="0"/>
              </w:rPr>
              <w:t>Jul</w:t>
            </w:r>
            <w:r>
              <w:t xml:space="preserve"> 1986 (see s. 2 and </w:t>
            </w:r>
            <w:r>
              <w:rPr>
                <w:i/>
                <w:iCs/>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Construction Industry Portable Paid Long Service Leave Amendment Act 1989</w:t>
            </w:r>
            <w:r>
              <w:rPr>
                <w:iCs/>
                <w:vertAlign w:val="superscript"/>
              </w:rPr>
              <w:t> 1</w:t>
            </w:r>
          </w:p>
        </w:tc>
        <w:tc>
          <w:tcPr>
            <w:tcW w:w="1133" w:type="dxa"/>
            <w:gridSpan w:val="2"/>
          </w:tcPr>
          <w:p>
            <w:pPr>
              <w:pStyle w:val="nTable"/>
              <w:spacing w:after="40"/>
            </w:pPr>
            <w:r>
              <w:t>30 of 1989</w:t>
            </w:r>
          </w:p>
        </w:tc>
        <w:tc>
          <w:tcPr>
            <w:tcW w:w="1134" w:type="dxa"/>
            <w:gridSpan w:val="2"/>
          </w:tcPr>
          <w:p>
            <w:pPr>
              <w:pStyle w:val="nTable"/>
              <w:spacing w:after="40"/>
            </w:pPr>
            <w:r>
              <w:t>12 Dec 1989</w:t>
            </w:r>
          </w:p>
        </w:tc>
        <w:tc>
          <w:tcPr>
            <w:tcW w:w="2552" w:type="dxa"/>
            <w:gridSpan w:val="2"/>
          </w:tcPr>
          <w:p>
            <w:pPr>
              <w:pStyle w:val="nTable"/>
              <w:spacing w:after="40"/>
            </w:pPr>
            <w:r>
              <w:t>s. 1 and 2: 12 Dec 1989;</w:t>
            </w:r>
            <w:r>
              <w:br/>
              <w:t xml:space="preserve">Act other than s. 1 and 2: 29 Dec 1989 (see s. 2 and </w:t>
            </w:r>
            <w:r>
              <w:rPr>
                <w:i/>
              </w:rPr>
              <w:t>Gazette</w:t>
            </w:r>
            <w:r>
              <w:t xml:space="preserve"> 29 Dec 1989 p. 4665)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Financial Administration </w:t>
            </w:r>
            <w:r>
              <w:rPr>
                <w:i/>
                <w:noProof/>
              </w:rPr>
              <w:t>Legislation</w:t>
            </w:r>
            <w:r>
              <w:rPr>
                <w:i/>
              </w:rPr>
              <w:t xml:space="preserve"> Amendment Act 1993</w:t>
            </w:r>
            <w:r>
              <w:t xml:space="preserve"> s. 11</w:t>
            </w:r>
          </w:p>
        </w:tc>
        <w:tc>
          <w:tcPr>
            <w:tcW w:w="1133"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w:t>
            </w:r>
            <w:r>
              <w:rPr>
                <w:snapToGrid w:val="0"/>
              </w:rPr>
              <w:t>Jul</w:t>
            </w:r>
            <w:r>
              <w:t>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(Public </w:t>
            </w:r>
            <w:r>
              <w:rPr>
                <w:i/>
                <w:noProof/>
              </w:rPr>
              <w:t>Sector</w:t>
            </w:r>
            <w:r>
              <w:rPr>
                <w:i/>
              </w:rPr>
              <w:t xml:space="preserve"> Management) Act 1994</w:t>
            </w:r>
            <w:r>
              <w:t xml:space="preserve"> s. 3(2)</w:t>
            </w:r>
          </w:p>
        </w:tc>
        <w:tc>
          <w:tcPr>
            <w:tcW w:w="1133"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1 </w:t>
            </w:r>
            <w:r>
              <w:rPr>
                <w:snapToGrid w:val="0"/>
              </w:rPr>
              <w:t>Oct</w:t>
            </w:r>
            <w:r>
              <w:t xml:space="preserve">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w:t>
            </w:r>
            <w:r>
              <w:rPr>
                <w:i/>
                <w:noProof/>
              </w:rPr>
              <w:t>Consequential</w:t>
            </w:r>
            <w:r>
              <w:rPr>
                <w:i/>
              </w:rPr>
              <w:t xml:space="preserve"> Amendments) Act 1996</w:t>
            </w:r>
            <w:r>
              <w:t xml:space="preserve"> s. 4</w:t>
            </w:r>
          </w:p>
        </w:tc>
        <w:tc>
          <w:tcPr>
            <w:tcW w:w="1133"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w:t>
            </w:r>
            <w:r>
              <w:rPr>
                <w:snapToGrid w:val="0"/>
              </w:rPr>
              <w:t>Jul</w:t>
            </w:r>
            <w:r>
              <w:t>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Financial</w:t>
            </w:r>
            <w:r>
              <w:rPr>
                <w:i/>
              </w:rPr>
              <w:t xml:space="preserve"> Legislation Amendment Act 1996</w:t>
            </w:r>
            <w:r>
              <w:t xml:space="preserve"> s. 64</w:t>
            </w:r>
          </w:p>
        </w:tc>
        <w:tc>
          <w:tcPr>
            <w:tcW w:w="1133"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Trustees</w:t>
            </w:r>
            <w:r>
              <w:rPr>
                <w:i/>
              </w:rPr>
              <w:t xml:space="preserve"> Amendment Act 1997</w:t>
            </w:r>
            <w:r>
              <w:t xml:space="preserve"> s. 18</w:t>
            </w:r>
          </w:p>
        </w:tc>
        <w:tc>
          <w:tcPr>
            <w:tcW w:w="1133"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Statutes</w:t>
            </w:r>
            <w:r>
              <w:rPr>
                <w:i/>
              </w:rPr>
              <w:t xml:space="preserve"> (Repeals and Minor Amendments) Act 1997</w:t>
            </w:r>
            <w:r>
              <w:t xml:space="preserve"> s. 38</w:t>
            </w:r>
          </w:p>
        </w:tc>
        <w:tc>
          <w:tcPr>
            <w:tcW w:w="1133"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of the </w:t>
            </w:r>
            <w:r>
              <w:rPr>
                <w:b/>
                <w:bCs/>
                <w:i/>
              </w:rPr>
              <w:t>Construction Industry Portable Paid Long Service Leave Act 1985</w:t>
            </w:r>
            <w:r>
              <w:rPr>
                <w:b/>
                <w:bCs/>
              </w:rPr>
              <w:t xml:space="preserve"> as at 5 Mar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lastRenderedPageBreak/>
              <w:t>Corporations (</w:t>
            </w:r>
            <w:r>
              <w:rPr>
                <w:i/>
                <w:noProof/>
              </w:rPr>
              <w:t>Consequential</w:t>
            </w:r>
            <w:r>
              <w:rPr>
                <w:i/>
              </w:rPr>
              <w:t xml:space="preserve"> Amendments) Act 2001 </w:t>
            </w:r>
            <w:r>
              <w:t>Pt. 14</w:t>
            </w:r>
          </w:p>
        </w:tc>
        <w:tc>
          <w:tcPr>
            <w:tcW w:w="1133"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15 </w:t>
            </w:r>
            <w:r>
              <w:rPr>
                <w:snapToGrid w:val="0"/>
              </w:rPr>
              <w:t>Jul</w:t>
            </w:r>
            <w:r>
              <w:t xml:space="preserve">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 xml:space="preserve">Acts Amendment (Equality of Status) Act 2003 </w:t>
            </w:r>
            <w:r>
              <w:t>Pt. 7</w:t>
            </w:r>
          </w:p>
        </w:tc>
        <w:tc>
          <w:tcPr>
            <w:tcW w:w="1133"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1 </w:t>
            </w:r>
            <w:r>
              <w:rPr>
                <w:snapToGrid w:val="0"/>
              </w:rPr>
              <w:t>Jul</w:t>
            </w:r>
            <w:r>
              <w:t xml:space="preserve">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noProof/>
              </w:rPr>
              <w:t>Criminal</w:t>
            </w:r>
            <w:r>
              <w:rPr>
                <w:i/>
                <w:snapToGrid w:val="0"/>
              </w:rPr>
              <w:t xml:space="preserve"> Procedure and Appeals (Consequential and Other Provisions) Act 2004</w:t>
            </w:r>
            <w:r>
              <w:rPr>
                <w:snapToGrid w:val="0"/>
              </w:rPr>
              <w:t xml:space="preserve"> s. 80 and 82</w:t>
            </w:r>
          </w:p>
        </w:tc>
        <w:tc>
          <w:tcPr>
            <w:tcW w:w="1133"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rPr>
              <w:t>Reprint</w:t>
            </w:r>
            <w:r>
              <w:rPr>
                <w:b/>
                <w:bCs/>
              </w:rPr>
              <w:t xml:space="preserve">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Labour Relations </w:t>
            </w:r>
            <w:r>
              <w:rPr>
                <w:i/>
                <w:noProof/>
              </w:rPr>
              <w:t>Legislation</w:t>
            </w:r>
            <w:r>
              <w:rPr>
                <w:i/>
                <w:snapToGrid w:val="0"/>
              </w:rPr>
              <w:t xml:space="preserve"> Amendment Act 2006 </w:t>
            </w:r>
            <w:r>
              <w:rPr>
                <w:iCs/>
                <w:snapToGrid w:val="0"/>
              </w:rPr>
              <w:t>Pt. 7 Div. 1</w:t>
            </w:r>
          </w:p>
        </w:tc>
        <w:tc>
          <w:tcPr>
            <w:tcW w:w="1133" w:type="dxa"/>
            <w:gridSpan w:val="2"/>
            <w:tcBorders>
              <w:top w:val="nil"/>
              <w:bottom w:val="nil"/>
            </w:tcBorders>
          </w:tcPr>
          <w:p>
            <w:pPr>
              <w:pStyle w:val="nTable"/>
              <w:spacing w:after="40"/>
              <w:rPr>
                <w:snapToGrid w:val="0"/>
              </w:rPr>
            </w:pPr>
            <w:r>
              <w:rPr>
                <w:snapToGrid w:val="0"/>
              </w:rPr>
              <w:t>36 of 2006</w:t>
            </w:r>
          </w:p>
        </w:tc>
        <w:tc>
          <w:tcPr>
            <w:tcW w:w="1134" w:type="dxa"/>
            <w:gridSpan w:val="2"/>
            <w:tcBorders>
              <w:top w:val="nil"/>
              <w:bottom w:val="nil"/>
            </w:tcBorders>
          </w:tcPr>
          <w:p>
            <w:pPr>
              <w:pStyle w:val="nTable"/>
              <w:spacing w:after="40"/>
              <w:rPr>
                <w:snapToGrid w:val="0"/>
              </w:rPr>
            </w:pPr>
            <w:r>
              <w:rPr>
                <w:snapToGrid w:val="0"/>
              </w:rPr>
              <w:t>4 Jul </w:t>
            </w:r>
            <w:r>
              <w:t>2006</w:t>
            </w:r>
          </w:p>
        </w:tc>
        <w:tc>
          <w:tcPr>
            <w:tcW w:w="2552" w:type="dxa"/>
            <w:gridSpan w:val="2"/>
            <w:tcBorders>
              <w:top w:val="nil"/>
              <w:bottom w:val="nil"/>
            </w:tcBorders>
          </w:tcPr>
          <w:p>
            <w:pPr>
              <w:pStyle w:val="nTable"/>
              <w:spacing w:after="40"/>
              <w:rPr>
                <w:snapToGrid w:val="0"/>
              </w:rPr>
            </w:pPr>
            <w:r>
              <w:rPr>
                <w:snapToGrid w:val="0"/>
              </w:rPr>
              <w:t>1 Oct 2006 (see s. 2(2))</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Financial Legislation </w:t>
            </w:r>
            <w:r>
              <w:rPr>
                <w:i/>
                <w:noProof/>
              </w:rPr>
              <w:t>Amendment</w:t>
            </w:r>
            <w:r>
              <w:rPr>
                <w:i/>
                <w:snapToGrid w:val="0"/>
              </w:rPr>
              <w:t xml:space="preserve"> and Repeal Act 2006 </w:t>
            </w:r>
            <w:r>
              <w:rPr>
                <w:iCs/>
                <w:snapToGrid w:val="0"/>
              </w:rPr>
              <w:t>s. 4 and Sch. 1 cl. 31</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rPr>
                <w:snapToGrid w:val="0"/>
              </w:rPr>
            </w:pPr>
            <w:r>
              <w:rPr>
                <w:snapToGrid w:val="0"/>
              </w:rPr>
              <w:t>21 </w:t>
            </w:r>
            <w:r>
              <w:t>Dec</w:t>
            </w:r>
            <w:r>
              <w:rPr>
                <w:snapToGrid w:val="0"/>
              </w:rPr>
              <w:t>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noProof/>
              </w:rPr>
              <w:t>Statutes</w:t>
            </w:r>
            <w:r>
              <w:rPr>
                <w:i/>
                <w:snapToGrid w:val="0"/>
              </w:rPr>
              <w:t xml:space="preserve"> (Repeals and Miscellaneous Amendments) Act 2009 </w:t>
            </w:r>
            <w:r>
              <w:rPr>
                <w:iCs/>
                <w:snapToGrid w:val="0"/>
              </w:rPr>
              <w:t>s. 39</w:t>
            </w:r>
          </w:p>
        </w:tc>
        <w:tc>
          <w:tcPr>
            <w:tcW w:w="1133" w:type="dxa"/>
            <w:gridSpan w:val="2"/>
            <w:tcBorders>
              <w:top w:val="nil"/>
              <w:bottom w:val="nil"/>
            </w:tcBorders>
          </w:tcPr>
          <w:p>
            <w:pPr>
              <w:pStyle w:val="nTable"/>
              <w:spacing w:after="40"/>
              <w:rPr>
                <w:snapToGrid w:val="0"/>
              </w:rPr>
            </w:pPr>
            <w:r>
              <w:t xml:space="preserve">8 of 2009 </w:t>
            </w:r>
          </w:p>
        </w:tc>
        <w:tc>
          <w:tcPr>
            <w:tcW w:w="1134" w:type="dxa"/>
            <w:gridSpan w:val="2"/>
            <w:tcBorders>
              <w:top w:val="nil"/>
              <w:bottom w:val="nil"/>
            </w:tcBorders>
          </w:tcPr>
          <w:p>
            <w:pPr>
              <w:pStyle w:val="nTable"/>
              <w:spacing w:after="40"/>
              <w:rPr>
                <w:snapToGrid w:val="0"/>
              </w:rPr>
            </w:pPr>
            <w:r>
              <w:t>21 May 2009</w:t>
            </w:r>
          </w:p>
        </w:tc>
        <w:tc>
          <w:tcPr>
            <w:tcW w:w="2552" w:type="dxa"/>
            <w:gridSpan w:val="2"/>
            <w:tcBorders>
              <w:top w:val="nil"/>
              <w:bottom w:val="nil"/>
            </w:tcBorders>
          </w:tcPr>
          <w:p>
            <w:pPr>
              <w:pStyle w:val="nTable"/>
              <w:spacing w:after="40"/>
              <w:rPr>
                <w:snapToGrid w:val="0"/>
              </w:rPr>
            </w:pPr>
            <w:r>
              <w:t>22 </w:t>
            </w:r>
            <w:r>
              <w:rPr>
                <w:snapToGrid w:val="0"/>
              </w:rPr>
              <w:t>May</w:t>
            </w:r>
            <w:r>
              <w:t>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 xml:space="preserve">Acts </w:t>
            </w:r>
            <w:r>
              <w:rPr>
                <w:i/>
                <w:noProof/>
              </w:rPr>
              <w:t>Amendment</w:t>
            </w:r>
            <w:r>
              <w:rPr>
                <w:i/>
                <w:snapToGrid w:val="0"/>
              </w:rPr>
              <w:t xml:space="preserve"> (Bankruptcy) Act 2009 </w:t>
            </w:r>
            <w:r>
              <w:rPr>
                <w:iCs/>
                <w:snapToGrid w:val="0"/>
              </w:rPr>
              <w:t>s. 21</w:t>
            </w:r>
          </w:p>
        </w:tc>
        <w:tc>
          <w:tcPr>
            <w:tcW w:w="1133"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w:t>
            </w:r>
            <w:r>
              <w:rPr>
                <w:snapToGrid w:val="0"/>
              </w:rPr>
              <w:t>Sep</w:t>
            </w:r>
            <w:r>
              <w:t xml:space="preserve">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3: The </w:t>
            </w:r>
            <w:r>
              <w:rPr>
                <w:b/>
                <w:bCs/>
                <w:i/>
              </w:rPr>
              <w:t>Construction Industry Portable Paid Long Service Leave Act 1985</w:t>
            </w:r>
            <w:r>
              <w:rPr>
                <w:b/>
                <w:bCs/>
              </w:rPr>
              <w:t xml:space="preserve"> as at 21 May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noProof/>
              </w:rPr>
              <w:t>Public</w:t>
            </w:r>
            <w:r>
              <w:rPr>
                <w:i/>
                <w:iCs/>
                <w:snapToGrid w:val="0"/>
              </w:rPr>
              <w:t xml:space="preserve"> Sector Reform Act 2010</w:t>
            </w:r>
            <w:r>
              <w:rPr>
                <w:iCs/>
                <w:snapToGrid w:val="0"/>
              </w:rPr>
              <w:t xml:space="preserve"> s. 89</w:t>
            </w:r>
          </w:p>
        </w:tc>
        <w:tc>
          <w:tcPr>
            <w:tcW w:w="1133" w:type="dxa"/>
            <w:gridSpan w:val="2"/>
          </w:tcPr>
          <w:p>
            <w:pPr>
              <w:pStyle w:val="nTable"/>
              <w:spacing w:after="40"/>
            </w:pPr>
            <w:r>
              <w:rPr>
                <w:snapToGrid w:val="0"/>
              </w:rPr>
              <w:t xml:space="preserve">39 of </w:t>
            </w:r>
            <w:r>
              <w:t>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rPr>
                <w:i/>
                <w:iCs/>
                <w:snapToGrid w:val="0"/>
              </w:rPr>
            </w:pPr>
            <w:r>
              <w:rPr>
                <w:i/>
                <w:noProof/>
              </w:rPr>
              <w:t>Industrial</w:t>
            </w:r>
            <w:r>
              <w:rPr>
                <w:i/>
                <w:snapToGrid w:val="0"/>
              </w:rPr>
              <w:t xml:space="preserve"> Legislation Amendment Act 2011 </w:t>
            </w:r>
            <w:r>
              <w:rPr>
                <w:snapToGrid w:val="0"/>
              </w:rPr>
              <w:t>Pt. 2</w:t>
            </w:r>
          </w:p>
        </w:tc>
        <w:tc>
          <w:tcPr>
            <w:tcW w:w="1133" w:type="dxa"/>
            <w:gridSpan w:val="2"/>
            <w:shd w:val="clear" w:color="auto" w:fill="auto"/>
          </w:tcPr>
          <w:p>
            <w:pPr>
              <w:pStyle w:val="nTable"/>
              <w:spacing w:after="40"/>
              <w:rPr>
                <w:snapToGrid w:val="0"/>
              </w:rPr>
            </w:pPr>
            <w:r>
              <w:rPr>
                <w:snapToGrid w:val="0"/>
              </w:rPr>
              <w:t xml:space="preserve">53 </w:t>
            </w:r>
            <w:r>
              <w:t>of</w:t>
            </w:r>
            <w:r>
              <w:rPr>
                <w:snapToGrid w:val="0"/>
              </w:rPr>
              <w:t xml:space="preserve"> 2011</w:t>
            </w:r>
          </w:p>
        </w:tc>
        <w:tc>
          <w:tcPr>
            <w:tcW w:w="1134" w:type="dxa"/>
            <w:gridSpan w:val="2"/>
            <w:shd w:val="clear" w:color="auto" w:fill="auto"/>
          </w:tcPr>
          <w:p>
            <w:pPr>
              <w:pStyle w:val="nTable"/>
              <w:spacing w:after="40"/>
            </w:pPr>
            <w:r>
              <w:rPr>
                <w:snapToGrid w:val="0"/>
              </w:rPr>
              <w:t xml:space="preserve">11 </w:t>
            </w:r>
            <w:r>
              <w:t>Nov</w:t>
            </w:r>
            <w:r>
              <w:rPr>
                <w:snapToGrid w:val="0"/>
              </w:rPr>
              <w:t xml:space="preserve"> 2011</w:t>
            </w:r>
          </w:p>
        </w:tc>
        <w:tc>
          <w:tcPr>
            <w:tcW w:w="2552" w:type="dxa"/>
            <w:gridSpan w:val="2"/>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rPr>
              <w:t>Reprint</w:t>
            </w:r>
            <w:r>
              <w:rPr>
                <w:b/>
                <w:bCs/>
              </w:rPr>
              <w:t xml:space="preserve"> 4: The </w:t>
            </w:r>
            <w:r>
              <w:rPr>
                <w:b/>
                <w:bCs/>
                <w:i/>
              </w:rPr>
              <w:t>Construction Industry Portable Paid Long Service Leave Act 1985</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rPr>
                <w:i/>
                <w:iCs/>
                <w:snapToGrid w:val="0"/>
              </w:rPr>
            </w:pPr>
            <w:r>
              <w:rPr>
                <w:i/>
                <w:noProof/>
              </w:rPr>
              <w:t>Construction</w:t>
            </w:r>
            <w:r>
              <w:rPr>
                <w:i/>
              </w:rPr>
              <w:t xml:space="preserve"> Industry Portable Paid Long Service Leave Amendment Act 2025</w:t>
            </w:r>
            <w:r>
              <w:rPr>
                <w:i/>
                <w:snapToGrid w:val="0"/>
              </w:rPr>
              <w:t xml:space="preserve"> </w:t>
            </w:r>
            <w:r>
              <w:rPr>
                <w:snapToGrid w:val="0"/>
              </w:rPr>
              <w:t>Pt. 1-4 and 6</w:t>
            </w:r>
          </w:p>
        </w:tc>
        <w:tc>
          <w:tcPr>
            <w:tcW w:w="1133" w:type="dxa"/>
            <w:gridSpan w:val="2"/>
            <w:tcBorders>
              <w:bottom w:val="single" w:sz="4" w:space="0" w:color="auto"/>
            </w:tcBorders>
            <w:shd w:val="clear" w:color="auto" w:fill="auto"/>
          </w:tcPr>
          <w:p>
            <w:pPr>
              <w:pStyle w:val="nTable"/>
              <w:spacing w:after="40"/>
              <w:rPr>
                <w:snapToGrid w:val="0"/>
              </w:rPr>
            </w:pPr>
            <w:r>
              <w:rPr>
                <w:snapToGrid w:val="0"/>
              </w:rPr>
              <w:t xml:space="preserve">12 of </w:t>
            </w:r>
            <w:r>
              <w:t>2025</w:t>
            </w:r>
          </w:p>
        </w:tc>
        <w:tc>
          <w:tcPr>
            <w:tcW w:w="1134" w:type="dxa"/>
            <w:gridSpan w:val="2"/>
            <w:tcBorders>
              <w:bottom w:val="single" w:sz="4" w:space="0" w:color="auto"/>
            </w:tcBorders>
            <w:shd w:val="clear" w:color="auto" w:fill="auto"/>
          </w:tcPr>
          <w:p>
            <w:pPr>
              <w:pStyle w:val="nTable"/>
              <w:spacing w:after="40"/>
            </w:pPr>
            <w:r>
              <w:rPr>
                <w:snapToGrid w:val="0"/>
              </w:rPr>
              <w:t>28 Aug 2025</w:t>
            </w:r>
          </w:p>
        </w:tc>
        <w:tc>
          <w:tcPr>
            <w:tcW w:w="2552" w:type="dxa"/>
            <w:gridSpan w:val="2"/>
            <w:tcBorders>
              <w:bottom w:val="single" w:sz="4" w:space="0" w:color="auto"/>
            </w:tcBorders>
            <w:shd w:val="clear" w:color="auto" w:fill="auto"/>
          </w:tcPr>
          <w:p>
            <w:pPr>
              <w:pStyle w:val="nTable"/>
              <w:spacing w:after="40"/>
              <w:rPr>
                <w:snapToGrid w:val="0"/>
              </w:rPr>
            </w:pPr>
            <w:r>
              <w:t>Pt. 1: 28 Aug 2025 (see s. 2(a));</w:t>
            </w:r>
            <w:r>
              <w:br/>
              <w:t>Pt. 2</w:t>
            </w:r>
            <w:r>
              <w:noBreakHyphen/>
              <w:t>4 and 6: 29 Aug 2025 (see s. 2(c))</w:t>
            </w:r>
          </w:p>
        </w:tc>
      </w:tr>
    </w:tbl>
    <w:p>
      <w:pPr>
        <w:pStyle w:val="nHeading3"/>
      </w:pPr>
      <w:bookmarkStart w:id="166" w:name="_Toc207030339"/>
      <w:r>
        <w:lastRenderedPageBreak/>
        <w:t>Uncommenced provisions table</w:t>
      </w:r>
      <w:bookmarkEnd w:id="1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Construction</w:t>
            </w:r>
            <w:r>
              <w:rPr>
                <w:i/>
              </w:rPr>
              <w:t xml:space="preserve"> Industry </w:t>
            </w:r>
            <w:r>
              <w:rPr>
                <w:i/>
                <w:noProof/>
              </w:rPr>
              <w:t>Portable</w:t>
            </w:r>
            <w:r>
              <w:rPr>
                <w:i/>
              </w:rPr>
              <w:t xml:space="preserve"> Paid Long Service Leave Amendment Act 2025</w:t>
            </w:r>
            <w:r>
              <w:rPr>
                <w:i/>
                <w:snapToGrid w:val="0"/>
              </w:rPr>
              <w:t xml:space="preserve"> </w:t>
            </w:r>
            <w:r>
              <w:rPr>
                <w:snapToGrid w:val="0"/>
              </w:rPr>
              <w:t>Pt. 5</w:t>
            </w:r>
          </w:p>
        </w:tc>
        <w:tc>
          <w:tcPr>
            <w:tcW w:w="1134" w:type="dxa"/>
          </w:tcPr>
          <w:p>
            <w:pPr>
              <w:pStyle w:val="nTable"/>
              <w:spacing w:after="40"/>
            </w:pPr>
            <w:r>
              <w:t>12 of 2025</w:t>
            </w:r>
          </w:p>
        </w:tc>
        <w:tc>
          <w:tcPr>
            <w:tcW w:w="1134" w:type="dxa"/>
          </w:tcPr>
          <w:p>
            <w:pPr>
              <w:pStyle w:val="nTable"/>
              <w:spacing w:after="40"/>
            </w:pPr>
            <w:r>
              <w:rPr>
                <w:snapToGrid w:val="0"/>
              </w:rPr>
              <w:t>28 </w:t>
            </w:r>
            <w:r>
              <w:t>Aug</w:t>
            </w:r>
            <w:r>
              <w:rPr>
                <w:snapToGrid w:val="0"/>
              </w:rPr>
              <w:t> </w:t>
            </w:r>
            <w:r>
              <w:t>2025</w:t>
            </w:r>
          </w:p>
        </w:tc>
        <w:tc>
          <w:tcPr>
            <w:tcW w:w="2552" w:type="dxa"/>
          </w:tcPr>
          <w:p>
            <w:pPr>
              <w:pStyle w:val="nTable"/>
              <w:spacing w:after="40"/>
            </w:pPr>
            <w:r>
              <w:t xml:space="preserve">1 Jan 2026 </w:t>
            </w:r>
            <w:r>
              <w:rPr>
                <w:snapToGrid w:val="0"/>
              </w:rPr>
              <w:t>(see s. 2(b) and SL 2025/170 cl. 2)</w:t>
            </w:r>
          </w:p>
        </w:tc>
      </w:tr>
    </w:tbl>
    <w:p>
      <w:pPr>
        <w:pStyle w:val="nHeading3"/>
      </w:pPr>
      <w:bookmarkStart w:id="167" w:name="_Toc207030340"/>
      <w:r>
        <w:t>Other notes</w:t>
      </w:r>
      <w:bookmarkEnd w:id="167"/>
    </w:p>
    <w:p>
      <w:pPr>
        <w:pStyle w:val="nNote"/>
        <w:keepNext/>
        <w:keepLines/>
        <w:rPr>
          <w:snapToGrid w:val="0"/>
        </w:rPr>
      </w:pPr>
      <w:r>
        <w:rPr>
          <w:snapToGrid w:val="0"/>
          <w:vertAlign w:val="superscript"/>
        </w:rPr>
        <w:t>1</w:t>
      </w:r>
      <w:r>
        <w:rPr>
          <w:snapToGrid w:val="0"/>
        </w:rPr>
        <w:tab/>
        <w:t xml:space="preserve">The </w:t>
      </w:r>
      <w:r>
        <w:rPr>
          <w:i/>
        </w:rPr>
        <w:t>Construction Industry Portable Paid Long Service Leave Amendment Act 1989</w:t>
      </w:r>
      <w:r>
        <w:rPr>
          <w:snapToGrid w:val="0"/>
        </w:rPr>
        <w:t xml:space="preserve"> s. 13 and 14 read as follows:</w:t>
      </w:r>
    </w:p>
    <w:p>
      <w:pPr>
        <w:keepNext/>
        <w:keepLines/>
        <w:jc w:val="center"/>
        <w:rPr>
          <w:snapToGrid w:val="0"/>
          <w:szCs w:val="24"/>
        </w:rPr>
      </w:pPr>
    </w:p>
    <w:p>
      <w:pPr>
        <w:pStyle w:val="nzHeading5"/>
        <w:spacing w:before="0"/>
        <w:rPr>
          <w:b w:val="0"/>
          <w:snapToGrid w:val="0"/>
        </w:rPr>
      </w:pPr>
      <w:r>
        <w:rPr>
          <w:snapToGrid w:val="0"/>
        </w:rPr>
        <w:t>13.</w:t>
      </w:r>
      <w:r>
        <w:rPr>
          <w:snapToGrid w:val="0"/>
        </w:rPr>
        <w:tab/>
        <w:t>Tr</w:t>
      </w:r>
      <w:r>
        <w:t>a</w:t>
      </w:r>
      <w:r>
        <w:rPr>
          <w:snapToGrid w:val="0"/>
        </w:rPr>
        <w:t>nsitional</w:t>
      </w:r>
    </w:p>
    <w:p>
      <w:pPr>
        <w:pStyle w:val="nzSubsection"/>
        <w:spacing w:before="0"/>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b/>
          <w:i/>
        </w:rPr>
        <w:t>day of service</w:t>
      </w:r>
      <w:r>
        <w:t xml:space="preserve">, </w:t>
      </w:r>
      <w:r>
        <w:rPr>
          <w:b/>
          <w:i/>
        </w:rPr>
        <w:t>employee</w:t>
      </w:r>
      <w:r>
        <w:t xml:space="preserve"> and </w:t>
      </w:r>
      <w:r>
        <w:rPr>
          <w:b/>
          <w:i/>
        </w:rPr>
        <w:t>employer</w:t>
      </w:r>
      <w:r>
        <w:t xml:space="preserve"> have the same meaning as in the principal Act; and</w:t>
      </w:r>
    </w:p>
    <w:p>
      <w:pPr>
        <w:pStyle w:val="nzDefstart"/>
      </w:pPr>
      <w:r>
        <w:rPr>
          <w:b/>
        </w:rPr>
        <w:tab/>
      </w:r>
      <w:r>
        <w:rPr>
          <w:b/>
          <w:i/>
        </w:rPr>
        <w:t xml:space="preserve">the </w:t>
      </w:r>
      <w:r>
        <w:rPr>
          <w:rStyle w:val="CharDefText"/>
        </w:rPr>
        <w:t>appointed</w:t>
      </w:r>
      <w:r>
        <w:rPr>
          <w:b/>
          <w:i/>
        </w:rPr>
        <w:t xml:space="preserve"> day</w:t>
      </w:r>
      <w:r>
        <w:t xml:space="preserve"> means the day fixed by the Minister by Order published in the </w:t>
      </w:r>
      <w:r>
        <w:rPr>
          <w:i/>
        </w:rPr>
        <w:t>Government Gazette</w:t>
      </w:r>
      <w:r>
        <w:t xml:space="preserve"> as the appointed day for the purposes of this section.</w:t>
      </w:r>
    </w:p>
    <w:p>
      <w:pPr>
        <w:pStyle w:val="nzSubsection"/>
        <w:spacing w:before="0"/>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spacing w:before="0"/>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spacing w:before="0"/>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lastRenderedPageBreak/>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b w:val="0"/>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keepLines/>
        <w:jc w:val="center"/>
        <w:rPr>
          <w:szCs w:val="24"/>
        </w:rPr>
      </w:pPr>
    </w:p>
    <w:p>
      <w:pPr>
        <w:pStyle w:val="nNote"/>
        <w:keepNext/>
        <w:keepLines/>
      </w:pPr>
      <w:r>
        <w:rPr>
          <w:snapToGrid w:val="0"/>
          <w:vertAlign w:val="superscript"/>
        </w:rPr>
        <w:t>2</w:t>
      </w:r>
      <w:r>
        <w:rPr>
          <w:snapToGrid w:val="0"/>
        </w:rPr>
        <w:tab/>
        <w:t xml:space="preserve">The </w:t>
      </w:r>
      <w:r>
        <w:rPr>
          <w:i/>
          <w:snapToGrid w:val="0"/>
        </w:rPr>
        <w:t>Standardisation of Formatting Act 2010</w:t>
      </w:r>
      <w:r>
        <w:rPr>
          <w:snapToGrid w:val="0"/>
        </w:rPr>
        <w:t xml:space="preserve"> s. 51 Table item 14, the amendment to the Schedule, had not come into operation when it was deleted by the </w:t>
      </w:r>
      <w:r>
        <w:rPr>
          <w:i/>
          <w:snapToGrid w:val="0"/>
        </w:rPr>
        <w:t>Statutes (Repeals and Minor Amendments) Act 2014</w:t>
      </w:r>
      <w:r>
        <w:rPr>
          <w:snapToGrid w:val="0"/>
        </w:rPr>
        <w:t xml:space="preserve"> s. 39(3).</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69" w:name="_Toc207030341"/>
      <w:bookmarkEnd w:id="163"/>
      <w:r>
        <w:rPr>
          <w:sz w:val="28"/>
        </w:rPr>
        <w:lastRenderedPageBreak/>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Act</w:t>
      </w:r>
      <w:r>
        <w:tab/>
        <w:t>Sch. cl. 4 and 7(1)</w:t>
      </w:r>
    </w:p>
    <w:p>
      <w:pPr>
        <w:pStyle w:val="DefinedTerms"/>
      </w:pPr>
      <w:r>
        <w:t>appointed day</w:t>
      </w:r>
      <w:r>
        <w:tab/>
        <w:t>3(1)</w:t>
      </w:r>
    </w:p>
    <w:p>
      <w:pPr>
        <w:pStyle w:val="DefinedTerms"/>
      </w:pPr>
      <w:r>
        <w:t>apprentice</w:t>
      </w:r>
      <w:r>
        <w:tab/>
        <w:t>3(1)</w:t>
      </w:r>
    </w:p>
    <w:p>
      <w:pPr>
        <w:pStyle w:val="DefinedTerms"/>
      </w:pPr>
      <w:r>
        <w:t>approved form</w:t>
      </w:r>
      <w:r>
        <w:tab/>
        <w:t>3(1)</w:t>
      </w:r>
    </w:p>
    <w:p>
      <w:pPr>
        <w:pStyle w:val="DefinedTerms"/>
      </w:pPr>
      <w:r>
        <w:t>Board</w:t>
      </w:r>
      <w:r>
        <w:tab/>
        <w:t>3(1)</w:t>
      </w:r>
    </w:p>
    <w:p>
      <w:pPr>
        <w:pStyle w:val="DefinedTerms"/>
      </w:pPr>
      <w:r>
        <w:t>books</w:t>
      </w:r>
      <w:r>
        <w:tab/>
        <w:t>3(1)</w:t>
      </w:r>
    </w:p>
    <w:p>
      <w:pPr>
        <w:pStyle w:val="DefinedTerms"/>
      </w:pPr>
      <w:r>
        <w:t>break in service</w:t>
      </w:r>
      <w:r>
        <w:tab/>
        <w:t>21(3)</w:t>
      </w:r>
    </w:p>
    <w:p>
      <w:pPr>
        <w:pStyle w:val="DefinedTerms"/>
      </w:pPr>
      <w:r>
        <w:t>chief executive officer</w:t>
      </w:r>
      <w:r>
        <w:tab/>
        <w:t>3(1)</w:t>
      </w:r>
    </w:p>
    <w:p>
      <w:pPr>
        <w:pStyle w:val="DefinedTerms"/>
      </w:pPr>
      <w:r>
        <w:t>commencement day</w:t>
      </w:r>
      <w:r>
        <w:tab/>
        <w:t>Sch. cl. 3(7) and 7(1)</w:t>
      </w:r>
    </w:p>
    <w:p>
      <w:pPr>
        <w:pStyle w:val="DefinedTerms"/>
      </w:pPr>
      <w:r>
        <w:t>construction industry</w:t>
      </w:r>
      <w:r>
        <w:tab/>
        <w:t>3(1), 29A(1)</w:t>
      </w:r>
    </w:p>
    <w:p>
      <w:pPr>
        <w:pStyle w:val="DefinedTerms"/>
      </w:pPr>
      <w:r>
        <w:t>corresponding law</w:t>
      </w:r>
      <w:r>
        <w:tab/>
        <w:t>29A(1)</w:t>
      </w:r>
    </w:p>
    <w:p>
      <w:pPr>
        <w:pStyle w:val="DefinedTerms"/>
      </w:pPr>
      <w:r>
        <w:t>corresponding public employer in this State</w:t>
      </w:r>
      <w:r>
        <w:tab/>
        <w:t>29A(1)</w:t>
      </w:r>
    </w:p>
    <w:p>
      <w:pPr>
        <w:pStyle w:val="DefinedTerms"/>
      </w:pPr>
      <w:r>
        <w:t>day of service</w:t>
      </w:r>
      <w:r>
        <w:tab/>
        <w:t>3(1), 3B(1)</w:t>
      </w:r>
    </w:p>
    <w:p>
      <w:pPr>
        <w:pStyle w:val="DefinedTerms"/>
      </w:pPr>
      <w:r>
        <w:t>employee</w:t>
      </w:r>
      <w:r>
        <w:tab/>
        <w:t>3(1)</w:t>
      </w:r>
    </w:p>
    <w:p>
      <w:pPr>
        <w:pStyle w:val="DefinedTerms"/>
      </w:pPr>
      <w:r>
        <w:t>employees register</w:t>
      </w:r>
      <w:r>
        <w:tab/>
        <w:t>3(1)</w:t>
      </w:r>
    </w:p>
    <w:p>
      <w:pPr>
        <w:pStyle w:val="DefinedTerms"/>
      </w:pPr>
      <w:r>
        <w:t>employer</w:t>
      </w:r>
      <w:r>
        <w:tab/>
        <w:t>3(1)</w:t>
      </w:r>
    </w:p>
    <w:p>
      <w:pPr>
        <w:pStyle w:val="DefinedTerms"/>
      </w:pPr>
      <w:r>
        <w:t>employers register</w:t>
      </w:r>
      <w:r>
        <w:tab/>
        <w:t>3(1)</w:t>
      </w:r>
    </w:p>
    <w:p>
      <w:pPr>
        <w:pStyle w:val="DefinedTerms"/>
      </w:pPr>
      <w:r>
        <w:t>industrial instrument</w:t>
      </w:r>
      <w:r>
        <w:tab/>
        <w:t>3(1)</w:t>
      </w:r>
    </w:p>
    <w:p>
      <w:pPr>
        <w:pStyle w:val="DefinedTerms"/>
      </w:pPr>
      <w:r>
        <w:t>inspector</w:t>
      </w:r>
      <w:r>
        <w:tab/>
        <w:t>3(1)</w:t>
      </w:r>
    </w:p>
    <w:p>
      <w:pPr>
        <w:pStyle w:val="DefinedTerms"/>
      </w:pPr>
      <w:r>
        <w:t>labour hire agency</w:t>
      </w:r>
      <w:r>
        <w:tab/>
        <w:t>3(1)</w:t>
      </w:r>
    </w:p>
    <w:p>
      <w:pPr>
        <w:pStyle w:val="DefinedTerms"/>
      </w:pPr>
      <w:r>
        <w:t>medical practitioner</w:t>
      </w:r>
      <w:r>
        <w:tab/>
        <w:t>22(1B)</w:t>
      </w:r>
    </w:p>
    <w:p>
      <w:pPr>
        <w:pStyle w:val="DefinedTerms"/>
      </w:pPr>
      <w:r>
        <w:t>member</w:t>
      </w:r>
      <w:r>
        <w:tab/>
        <w:t>3(1)</w:t>
      </w:r>
    </w:p>
    <w:p>
      <w:pPr>
        <w:pStyle w:val="DefinedTerms"/>
      </w:pPr>
      <w:r>
        <w:t>offshore area</w:t>
      </w:r>
      <w:r>
        <w:tab/>
        <w:t>3A(1)</w:t>
      </w:r>
    </w:p>
    <w:p>
      <w:pPr>
        <w:pStyle w:val="DefinedTerms"/>
      </w:pPr>
      <w:r>
        <w:t>on workers compensation</w:t>
      </w:r>
      <w:r>
        <w:tab/>
        <w:t>3(1) and (3C)</w:t>
      </w:r>
    </w:p>
    <w:p>
      <w:pPr>
        <w:pStyle w:val="DefinedTerms"/>
      </w:pPr>
      <w:r>
        <w:t>on workers compensation (1981 Act)</w:t>
      </w:r>
      <w:r>
        <w:tab/>
        <w:t>Sch. cl. 7(1) and (2)</w:t>
      </w:r>
    </w:p>
    <w:p>
      <w:pPr>
        <w:pStyle w:val="DefinedTerms"/>
      </w:pPr>
      <w:r>
        <w:t>ordinary pay</w:t>
      </w:r>
      <w:r>
        <w:tab/>
        <w:t>3(1), 21(3), 51(2)</w:t>
      </w:r>
    </w:p>
    <w:p>
      <w:pPr>
        <w:pStyle w:val="DefinedTerms"/>
      </w:pPr>
      <w:r>
        <w:t>original decision</w:t>
      </w:r>
      <w:r>
        <w:tab/>
        <w:t>Sch. cl. 11(1)</w:t>
      </w:r>
    </w:p>
    <w:p>
      <w:pPr>
        <w:pStyle w:val="DefinedTerms"/>
      </w:pPr>
      <w:r>
        <w:t>person A</w:t>
      </w:r>
      <w:r>
        <w:tab/>
        <w:t>3(1)</w:t>
      </w:r>
    </w:p>
    <w:p>
      <w:pPr>
        <w:pStyle w:val="DefinedTerms"/>
      </w:pPr>
      <w:r>
        <w:t>person B</w:t>
      </w:r>
      <w:r>
        <w:tab/>
        <w:t>3(1)</w:t>
      </w:r>
    </w:p>
    <w:p>
      <w:pPr>
        <w:pStyle w:val="DefinedTerms"/>
      </w:pPr>
      <w:r>
        <w:t>pre-commencement period</w:t>
      </w:r>
      <w:r>
        <w:tab/>
        <w:t>Sch. cl. 8(1)</w:t>
      </w:r>
    </w:p>
    <w:p>
      <w:pPr>
        <w:pStyle w:val="DefinedTerms"/>
      </w:pPr>
      <w:r>
        <w:t>prescribed</w:t>
      </w:r>
      <w:r>
        <w:tab/>
        <w:t>3(1)</w:t>
      </w:r>
    </w:p>
    <w:p>
      <w:pPr>
        <w:pStyle w:val="DefinedTerms"/>
      </w:pPr>
      <w:r>
        <w:t>publication day</w:t>
      </w:r>
      <w:r>
        <w:tab/>
        <w:t>Sch. cl. 6(1)</w:t>
      </w:r>
    </w:p>
    <w:p>
      <w:pPr>
        <w:pStyle w:val="DefinedTerms"/>
      </w:pPr>
      <w:r>
        <w:t>relevant party</w:t>
      </w:r>
      <w:r>
        <w:tab/>
        <w:t>22(2C)</w:t>
      </w:r>
    </w:p>
    <w:p>
      <w:pPr>
        <w:pStyle w:val="DefinedTerms"/>
      </w:pPr>
      <w:r>
        <w:t>reviewable decision</w:t>
      </w:r>
      <w:r>
        <w:tab/>
        <w:t>50(1)</w:t>
      </w:r>
    </w:p>
    <w:p>
      <w:pPr>
        <w:pStyle w:val="DefinedTerms"/>
      </w:pPr>
      <w:r>
        <w:t>specified</w:t>
      </w:r>
      <w:r>
        <w:tab/>
        <w:t>Sch. cl. 6(1)</w:t>
      </w:r>
    </w:p>
    <w:p>
      <w:pPr>
        <w:pStyle w:val="DefinedTerms"/>
      </w:pPr>
      <w:r>
        <w:t>stood down</w:t>
      </w:r>
      <w:r>
        <w:tab/>
        <w:t>3(1) and (3B)</w:t>
      </w:r>
    </w:p>
    <w:p>
      <w:pPr>
        <w:pStyle w:val="DefinedTerms"/>
      </w:pPr>
      <w:r>
        <w:t>training contract</w:t>
      </w:r>
      <w:r>
        <w:tab/>
        <w:t>3(1)</w:t>
      </w:r>
    </w:p>
    <w:p>
      <w:pPr>
        <w:pStyle w:val="DefinedTerms"/>
      </w:pPr>
      <w:r>
        <w:t>transitional matter</w:t>
      </w:r>
      <w:r>
        <w:tab/>
        <w:t>Sch. cl. 6(1)</w:t>
      </w:r>
    </w:p>
    <w:p>
      <w:pPr>
        <w:pStyle w:val="DefinedTerms"/>
      </w:pPr>
      <w:r>
        <w:t>transitional regulations</w:t>
      </w:r>
      <w:r>
        <w:tab/>
        <w:t>Sch. cl. 4</w:t>
      </w:r>
    </w:p>
    <w:p>
      <w:pPr>
        <w:pStyle w:val="DefinedTerms"/>
      </w:pPr>
      <w:r>
        <w:lastRenderedPageBreak/>
        <w:t>union</w:t>
      </w:r>
      <w:r>
        <w:tab/>
        <w:t>3(1)</w:t>
      </w:r>
    </w:p>
    <w:p>
      <w:pPr>
        <w:pStyle w:val="DefinedTerms"/>
      </w:pPr>
      <w:r>
        <w:t>WAIRC</w:t>
      </w:r>
      <w:r>
        <w:tab/>
        <w:t>3(1)</w:t>
      </w:r>
    </w:p>
    <w:p>
      <w:pPr>
        <w:pStyle w:val="DefinedTerms"/>
      </w:pPr>
      <w:r>
        <w:t>year of service</w:t>
      </w:r>
      <w:r>
        <w:tab/>
        <w:t>3(1)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2" w:type="dxa"/>
      <w:jc w:val="center"/>
      <w:tblLayout w:type="fixed"/>
      <w:tblCellMar>
        <w:left w:w="72" w:type="dxa"/>
        <w:right w:w="72" w:type="dxa"/>
      </w:tblCellMar>
      <w:tblLook w:val="0000" w:firstRow="0" w:lastRow="0" w:firstColumn="0" w:lastColumn="0" w:noHBand="0" w:noVBand="0"/>
    </w:tblPr>
    <w:tblGrid>
      <w:gridCol w:w="5985"/>
      <w:gridCol w:w="1317"/>
    </w:tblGrid>
    <w:tr>
      <w:trPr>
        <w:cantSplit/>
        <w:jc w:val="center"/>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0222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28B2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42E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88B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CAB3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209515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 w:name="WAFER_20250822095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2095152_GUID" w:val="f94b5e7e-3759-4f5f-8a51-6fde9f2a2ba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E16DC47E-EEFB-4E9E-AB07-5E7B4B3FD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16728</Words>
  <Characters>79461</Characters>
  <Application>Microsoft Office Word</Application>
  <DocSecurity>0</DocSecurity>
  <Lines>2147</Lines>
  <Paragraphs>1187</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95002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1985 - 04-d0-01</dc:title>
  <dc:subject/>
  <dc:creator/>
  <cp:keywords/>
  <dc:description/>
  <cp:lastModifiedBy>Master Repository Process</cp:lastModifiedBy>
  <cp:revision>4</cp:revision>
  <cp:lastPrinted>2013-11-26T01:00:00Z</cp:lastPrinted>
  <dcterms:created xsi:type="dcterms:W3CDTF">2026-03-31T01:06:00Z</dcterms:created>
  <dcterms:modified xsi:type="dcterms:W3CDTF">2026-03-31T01:06:00Z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DocumentType">
    <vt:lpwstr>Act</vt:lpwstr>
  </property>
  <property fmtid="{D5CDD505-2E9C-101B-9397-08002B2CF9AE}" pid="4" name="OwlsUID">
    <vt:i4>175</vt:i4>
  </property>
  <property fmtid="{D5CDD505-2E9C-101B-9397-08002B2CF9AE}" pid="5" name="ReprintNo">
    <vt:lpwstr>4</vt:lpwstr>
  </property>
  <property fmtid="{D5CDD505-2E9C-101B-9397-08002B2CF9AE}" pid="6" name="ReprintedAsAt">
    <vt:filetime>2013-11-07T16:00:00Z</vt:filetime>
  </property>
  <property fmtid="{D5CDD505-2E9C-101B-9397-08002B2CF9AE}" pid="7" name="AsAtDate">
    <vt:lpwstr>29 Aug 2025</vt:lpwstr>
  </property>
  <property fmtid="{D5CDD505-2E9C-101B-9397-08002B2CF9AE}" pid="8" name="Suffix">
    <vt:lpwstr>04-d0-01</vt:lpwstr>
  </property>
  <property fmtid="{D5CDD505-2E9C-101B-9397-08002B2CF9AE}" pid="9" name="Official">
    <vt:lpwstr/>
  </property>
  <property fmtid="{D5CDD505-2E9C-101B-9397-08002B2CF9AE}" pid="10" name="CommencementDate">
    <vt:lpwstr>20250829</vt:lpwstr>
  </property>
  <property fmtid="{D5CDD505-2E9C-101B-9397-08002B2CF9AE}" pid="11" name="CommencementAsAt">
    <vt:filetime>2025-08-28T16:00:00Z</vt:filetime>
  </property>
  <property fmtid="{D5CDD505-2E9C-101B-9397-08002B2CF9AE}" pid="12" name="CommencementYear">
    <vt:lpwstr>2025</vt:lpwstr>
  </property>
</Properties>
</file>