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_Toc207117592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_Toc207117593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_Toc207117594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_Toc207117595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_Toc207117596 \h </w:instrText>
      </w:r>
      <w:r>
        <w:fldChar w:fldCharType="separate"/>
      </w:r>
      <w:r>
        <w:t>10</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_Toc207117597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_Toc207117598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_Toc207117599 \h </w:instrText>
      </w:r>
      <w:r>
        <w:fldChar w:fldCharType="separate"/>
      </w:r>
      <w:r>
        <w:t>14</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_Toc207117600 \h </w:instrText>
      </w:r>
      <w:r>
        <w:fldChar w:fldCharType="separate"/>
      </w:r>
      <w:r>
        <w:t>14</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_Toc207117601 \h </w:instrText>
      </w:r>
      <w:r>
        <w:fldChar w:fldCharType="separate"/>
      </w:r>
      <w:r>
        <w:t>14</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_Toc207117602 \h </w:instrText>
      </w:r>
      <w:r>
        <w:fldChar w:fldCharType="separate"/>
      </w:r>
      <w:r>
        <w:t>15</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_Toc207117603 \h </w:instrText>
      </w:r>
      <w:r>
        <w:fldChar w:fldCharType="separate"/>
      </w:r>
      <w:r>
        <w:t>16</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_Toc207117604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_Toc207117607 \h </w:instrText>
      </w:r>
      <w:r>
        <w:fldChar w:fldCharType="separate"/>
      </w:r>
      <w:r>
        <w:t>18</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_Toc207117608 \h </w:instrText>
      </w:r>
      <w:r>
        <w:fldChar w:fldCharType="separate"/>
      </w:r>
      <w:r>
        <w:t>20</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_Toc207117609 \h </w:instrText>
      </w:r>
      <w:r>
        <w:fldChar w:fldCharType="separate"/>
      </w:r>
      <w:r>
        <w:t>21</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_Toc207117610 \h </w:instrText>
      </w:r>
      <w:r>
        <w:fldChar w:fldCharType="separate"/>
      </w:r>
      <w:r>
        <w:t>21</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_Toc207117611 \h </w:instrText>
      </w:r>
      <w:r>
        <w:fldChar w:fldCharType="separate"/>
      </w:r>
      <w:r>
        <w:t>22</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_Toc207117612 \h </w:instrText>
      </w:r>
      <w:r>
        <w:fldChar w:fldCharType="separate"/>
      </w:r>
      <w:r>
        <w:t>22</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_Toc207117613 \h </w:instrText>
      </w:r>
      <w:r>
        <w:fldChar w:fldCharType="separate"/>
      </w:r>
      <w:r>
        <w:t>22</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_Toc207117614 \h </w:instrText>
      </w:r>
      <w:r>
        <w:fldChar w:fldCharType="separate"/>
      </w:r>
      <w:r>
        <w:t>24</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_Toc207117615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_Toc207117616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_Toc207117619 \h </w:instrText>
      </w:r>
      <w:r>
        <w:fldChar w:fldCharType="separate"/>
      </w:r>
      <w:r>
        <w:t>28</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_Toc207117620 \h </w:instrText>
      </w:r>
      <w:r>
        <w:fldChar w:fldCharType="separate"/>
      </w:r>
      <w:r>
        <w:t>30</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_Toc207117621 \h </w:instrText>
      </w:r>
      <w:r>
        <w:fldChar w:fldCharType="separate"/>
      </w:r>
      <w:r>
        <w:t>32</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_Toc207117622 \h </w:instrText>
      </w:r>
      <w:r>
        <w:fldChar w:fldCharType="separate"/>
      </w:r>
      <w:r>
        <w:t>32</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_Toc207117623 \h </w:instrText>
      </w:r>
      <w:r>
        <w:fldChar w:fldCharType="separate"/>
      </w:r>
      <w:r>
        <w:t>35</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_Toc207117624 \h </w:instrText>
      </w:r>
      <w:r>
        <w:fldChar w:fldCharType="separate"/>
      </w:r>
      <w:r>
        <w:t>36</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_Toc207117625 \h </w:instrText>
      </w:r>
      <w:r>
        <w:fldChar w:fldCharType="separate"/>
      </w:r>
      <w:r>
        <w:t>37</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_Toc207117626 \h </w:instrText>
      </w:r>
      <w:r>
        <w:fldChar w:fldCharType="separate"/>
      </w:r>
      <w:r>
        <w:t>37</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_Toc207117627 \h </w:instrText>
      </w:r>
      <w:r>
        <w:fldChar w:fldCharType="separate"/>
      </w:r>
      <w:r>
        <w:t>37</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_Toc207117628 \h </w:instrText>
      </w:r>
      <w:r>
        <w:fldChar w:fldCharType="separate"/>
      </w:r>
      <w:r>
        <w:t>38</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_Toc207117629 \h </w:instrText>
      </w:r>
      <w:r>
        <w:fldChar w:fldCharType="separate"/>
      </w:r>
      <w:r>
        <w:t>38</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_Toc207117630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_Toc207117632 \h </w:instrText>
      </w:r>
      <w:r>
        <w:fldChar w:fldCharType="separate"/>
      </w:r>
      <w:r>
        <w:t>39</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_Toc207117633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_Toc207117635 \h </w:instrText>
      </w:r>
      <w:r>
        <w:fldChar w:fldCharType="separate"/>
      </w:r>
      <w:r>
        <w:t>41</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_Toc207117636 \h </w:instrText>
      </w:r>
      <w:r>
        <w:fldChar w:fldCharType="separate"/>
      </w:r>
      <w:r>
        <w:t>42</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_Toc207117637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_Toc207117639 \h </w:instrText>
      </w:r>
      <w:r>
        <w:fldChar w:fldCharType="separate"/>
      </w:r>
      <w:r>
        <w:t>43</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_Toc207117640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regulations</w:t>
      </w:r>
      <w:r>
        <w:tab/>
      </w:r>
      <w:r>
        <w:fldChar w:fldCharType="begin"/>
      </w:r>
      <w:r>
        <w:instrText xml:space="preserve"> PAGEREF _Toc207117642 \h </w:instrText>
      </w:r>
      <w:r>
        <w:fldChar w:fldCharType="separate"/>
      </w:r>
      <w:r>
        <w:t>43</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_Toc207117643 \h </w:instrText>
      </w:r>
      <w:r>
        <w:fldChar w:fldCharType="separate"/>
      </w:r>
      <w:r>
        <w:t>44</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_Toc207117644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regulations</w:t>
      </w:r>
      <w:r>
        <w:tab/>
      </w:r>
      <w:r>
        <w:fldChar w:fldCharType="begin"/>
      </w:r>
      <w:r>
        <w:instrText xml:space="preserve"> PAGEREF _Toc207117646 \h </w:instrText>
      </w:r>
      <w:r>
        <w:fldChar w:fldCharType="separate"/>
      </w:r>
      <w:r>
        <w:t>45</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_Toc207117647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_Toc207117650 \h </w:instrText>
      </w:r>
      <w:r>
        <w:fldChar w:fldCharType="separate"/>
      </w:r>
      <w:r>
        <w:t>48</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_Toc207117651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_Toc207117653 \h </w:instrText>
      </w:r>
      <w:r>
        <w:fldChar w:fldCharType="separate"/>
      </w:r>
      <w:r>
        <w:t>49</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_Toc207117654 \h </w:instrText>
      </w:r>
      <w:r>
        <w:fldChar w:fldCharType="separate"/>
      </w:r>
      <w:r>
        <w:t>50</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_Toc207117655 \h </w:instrText>
      </w:r>
      <w:r>
        <w:fldChar w:fldCharType="separate"/>
      </w:r>
      <w:r>
        <w:t>50</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_Toc207117656 \h </w:instrText>
      </w:r>
      <w:r>
        <w:fldChar w:fldCharType="separate"/>
      </w:r>
      <w:r>
        <w:t>50</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_Toc207117657 \h </w:instrText>
      </w:r>
      <w:r>
        <w:fldChar w:fldCharType="separate"/>
      </w:r>
      <w:r>
        <w:t>51</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_Toc207117658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_Toc207117661 \h </w:instrText>
      </w:r>
      <w:r>
        <w:fldChar w:fldCharType="separate"/>
      </w:r>
      <w:r>
        <w:t>53</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_Toc207117662 \h </w:instrText>
      </w:r>
      <w:r>
        <w:fldChar w:fldCharType="separate"/>
      </w:r>
      <w:r>
        <w:t>55</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_Toc207117663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_Toc207117665 \h </w:instrText>
      </w:r>
      <w:r>
        <w:fldChar w:fldCharType="separate"/>
      </w:r>
      <w:r>
        <w:t>55</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_Toc207117666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_Toc207117669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_Toc207117671 \h </w:instrText>
      </w:r>
      <w:r>
        <w:fldChar w:fldCharType="separate"/>
      </w:r>
      <w:r>
        <w:t>57</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_Toc207117672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_Toc207117674 \h </w:instrText>
      </w:r>
      <w:r>
        <w:fldChar w:fldCharType="separate"/>
      </w:r>
      <w:r>
        <w:t>58</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_Toc207117675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_Toc207117677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_Toc207117680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_Toc207117682 \h </w:instrText>
      </w:r>
      <w:r>
        <w:fldChar w:fldCharType="separate"/>
      </w:r>
      <w:r>
        <w:t>62</w:t>
      </w:r>
      <w:r>
        <w:fldChar w:fldCharType="end"/>
      </w:r>
    </w:p>
    <w:p>
      <w:pPr>
        <w:pStyle w:val="TOC8"/>
        <w:rPr>
          <w:rFonts w:asciiTheme="minorHAnsi" w:eastAsiaTheme="minorEastAsia" w:hAnsiTheme="minorHAnsi" w:cstheme="minorBidi"/>
          <w:szCs w:val="22"/>
        </w:rPr>
      </w:pPr>
      <w:r>
        <w:t>74.</w:t>
      </w:r>
      <w:r>
        <w:tab/>
        <w:t>Documenting of child assessments and evidence of development of educational programs</w:t>
      </w:r>
      <w:r>
        <w:tab/>
      </w:r>
      <w:r>
        <w:fldChar w:fldCharType="begin"/>
      </w:r>
      <w:r>
        <w:instrText xml:space="preserve"> PAGEREF _Toc207117683 \h </w:instrText>
      </w:r>
      <w:r>
        <w:fldChar w:fldCharType="separate"/>
      </w:r>
      <w:r>
        <w:t>62</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_Toc207117684 \h </w:instrText>
      </w:r>
      <w:r>
        <w:fldChar w:fldCharType="separate"/>
      </w:r>
      <w:r>
        <w:t>63</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_Toc207117685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_Toc207117688 \h </w:instrText>
      </w:r>
      <w:r>
        <w:fldChar w:fldCharType="separate"/>
      </w:r>
      <w:r>
        <w:t>64</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_Toc207117689 \h </w:instrText>
      </w:r>
      <w:r>
        <w:fldChar w:fldCharType="separate"/>
      </w:r>
      <w:r>
        <w:t>65</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_Toc207117690 \h </w:instrText>
      </w:r>
      <w:r>
        <w:fldChar w:fldCharType="separate"/>
      </w:r>
      <w:r>
        <w:t>66</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_Toc207117691 \h </w:instrText>
      </w:r>
      <w:r>
        <w:fldChar w:fldCharType="separate"/>
      </w:r>
      <w:r>
        <w:t>68</w:t>
      </w:r>
      <w:r>
        <w:fldChar w:fldCharType="end"/>
      </w:r>
    </w:p>
    <w:p>
      <w:pPr>
        <w:pStyle w:val="TOC8"/>
        <w:rPr>
          <w:rFonts w:asciiTheme="minorHAnsi" w:eastAsiaTheme="minorEastAsia" w:hAnsiTheme="minorHAnsi" w:cstheme="minorBidi"/>
          <w:szCs w:val="22"/>
        </w:rPr>
      </w:pPr>
      <w:r>
        <w:t>82.</w:t>
      </w:r>
      <w:r>
        <w:tab/>
        <w:t>Environment to be free from tobacco, vaping devices, vaping substances, drugs and alcohol</w:t>
      </w:r>
      <w:r>
        <w:tab/>
      </w:r>
      <w:r>
        <w:fldChar w:fldCharType="begin"/>
      </w:r>
      <w:r>
        <w:instrText xml:space="preserve"> PAGEREF _Toc207117692 \h </w:instrText>
      </w:r>
      <w:r>
        <w:fldChar w:fldCharType="separate"/>
      </w:r>
      <w:r>
        <w:t>69</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_Toc207117693 \h </w:instrText>
      </w:r>
      <w:r>
        <w:fldChar w:fldCharType="separate"/>
      </w:r>
      <w:r>
        <w:t>70</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_Toc207117694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1A — Sleep and rest</w:t>
      </w:r>
    </w:p>
    <w:p>
      <w:pPr>
        <w:pStyle w:val="TOC8"/>
        <w:rPr>
          <w:rFonts w:asciiTheme="minorHAnsi" w:eastAsiaTheme="minorEastAsia" w:hAnsiTheme="minorHAnsi" w:cstheme="minorBidi"/>
          <w:szCs w:val="22"/>
        </w:rPr>
      </w:pPr>
      <w:r>
        <w:t>84A.</w:t>
      </w:r>
      <w:r>
        <w:tab/>
        <w:t>Sleep and rest</w:t>
      </w:r>
      <w:r>
        <w:tab/>
      </w:r>
      <w:r>
        <w:fldChar w:fldCharType="begin"/>
      </w:r>
      <w:r>
        <w:instrText xml:space="preserve"> PAGEREF _Toc207117696 \h </w:instrText>
      </w:r>
      <w:r>
        <w:fldChar w:fldCharType="separate"/>
      </w:r>
      <w:r>
        <w:t>71</w:t>
      </w:r>
      <w:r>
        <w:fldChar w:fldCharType="end"/>
      </w:r>
    </w:p>
    <w:p>
      <w:pPr>
        <w:pStyle w:val="TOC8"/>
        <w:rPr>
          <w:rFonts w:asciiTheme="minorHAnsi" w:eastAsiaTheme="minorEastAsia" w:hAnsiTheme="minorHAnsi" w:cstheme="minorBidi"/>
          <w:szCs w:val="22"/>
        </w:rPr>
      </w:pPr>
      <w:r>
        <w:t>84B.</w:t>
      </w:r>
      <w:r>
        <w:tab/>
        <w:t>Sleep and rest policies and procedures</w:t>
      </w:r>
      <w:r>
        <w:tab/>
      </w:r>
      <w:r>
        <w:fldChar w:fldCharType="begin"/>
      </w:r>
      <w:r>
        <w:instrText xml:space="preserve"> PAGEREF _Toc207117697 \h </w:instrText>
      </w:r>
      <w:r>
        <w:fldChar w:fldCharType="separate"/>
      </w:r>
      <w:r>
        <w:t>72</w:t>
      </w:r>
      <w:r>
        <w:fldChar w:fldCharType="end"/>
      </w:r>
    </w:p>
    <w:p>
      <w:pPr>
        <w:pStyle w:val="TOC8"/>
        <w:rPr>
          <w:rFonts w:asciiTheme="minorHAnsi" w:eastAsiaTheme="minorEastAsia" w:hAnsiTheme="minorHAnsi" w:cstheme="minorBidi"/>
          <w:szCs w:val="22"/>
        </w:rPr>
      </w:pPr>
      <w:r>
        <w:t>84C.</w:t>
      </w:r>
      <w:r>
        <w:tab/>
        <w:t>Risk assessment for purposes of sleep and rest policies and procedures</w:t>
      </w:r>
      <w:r>
        <w:tab/>
      </w:r>
      <w:r>
        <w:fldChar w:fldCharType="begin"/>
      </w:r>
      <w:r>
        <w:instrText xml:space="preserve"> PAGEREF _Toc207117698 \h </w:instrText>
      </w:r>
      <w:r>
        <w:fldChar w:fldCharType="separate"/>
      </w:r>
      <w:r>
        <w:t>74</w:t>
      </w:r>
      <w:r>
        <w:fldChar w:fldCharType="end"/>
      </w:r>
    </w:p>
    <w:p>
      <w:pPr>
        <w:pStyle w:val="TOC8"/>
        <w:rPr>
          <w:rFonts w:asciiTheme="minorHAnsi" w:eastAsiaTheme="minorEastAsia" w:hAnsiTheme="minorHAnsi" w:cstheme="minorBidi"/>
          <w:szCs w:val="22"/>
        </w:rPr>
      </w:pPr>
      <w:r>
        <w:t xml:space="preserve">84D. </w:t>
      </w:r>
      <w:r>
        <w:tab/>
        <w:t>Prohibition of bassinets</w:t>
      </w:r>
      <w:r>
        <w:tab/>
      </w:r>
      <w:r>
        <w:fldChar w:fldCharType="begin"/>
      </w:r>
      <w:r>
        <w:instrText xml:space="preserve"> PAGEREF _Toc207117699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_Toc207117701 \h </w:instrText>
      </w:r>
      <w:r>
        <w:fldChar w:fldCharType="separate"/>
      </w:r>
      <w:r>
        <w:t>77</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_Toc207117702 \h </w:instrText>
      </w:r>
      <w:r>
        <w:fldChar w:fldCharType="separate"/>
      </w:r>
      <w:r>
        <w:t>77</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_Toc207117703 \h </w:instrText>
      </w:r>
      <w:r>
        <w:fldChar w:fldCharType="separate"/>
      </w:r>
      <w:r>
        <w:t>77</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_Toc207117704 \h </w:instrText>
      </w:r>
      <w:r>
        <w:fldChar w:fldCharType="separate"/>
      </w:r>
      <w:r>
        <w:t>79</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_Toc207117705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_Toc207117707 \h </w:instrText>
      </w:r>
      <w:r>
        <w:fldChar w:fldCharType="separate"/>
      </w:r>
      <w:r>
        <w:t>81</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_Toc207117708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_Toc207117710 \h </w:instrText>
      </w:r>
      <w:r>
        <w:fldChar w:fldCharType="separate"/>
      </w:r>
      <w:r>
        <w:t>83</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_Toc207117711 \h </w:instrText>
      </w:r>
      <w:r>
        <w:fldChar w:fldCharType="separate"/>
      </w:r>
      <w:r>
        <w:t>84</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_Toc207117712 \h </w:instrText>
      </w:r>
      <w:r>
        <w:fldChar w:fldCharType="separate"/>
      </w:r>
      <w:r>
        <w:t>86</w:t>
      </w:r>
      <w:r>
        <w:fldChar w:fldCharType="end"/>
      </w:r>
    </w:p>
    <w:p>
      <w:pPr>
        <w:pStyle w:val="TOC8"/>
        <w:rPr>
          <w:rFonts w:asciiTheme="minorHAnsi" w:eastAsiaTheme="minorEastAsia" w:hAnsiTheme="minorHAnsi" w:cstheme="minorBidi"/>
          <w:szCs w:val="22"/>
        </w:rPr>
      </w:pPr>
      <w:r>
        <w:lastRenderedPageBreak/>
        <w:t>95.</w:t>
      </w:r>
      <w:r>
        <w:tab/>
        <w:t>Procedure for administration of medication</w:t>
      </w:r>
      <w:r>
        <w:tab/>
      </w:r>
      <w:r>
        <w:fldChar w:fldCharType="begin"/>
      </w:r>
      <w:r>
        <w:instrText xml:space="preserve"> PAGEREF _Toc207117713 \h </w:instrText>
      </w:r>
      <w:r>
        <w:fldChar w:fldCharType="separate"/>
      </w:r>
      <w:r>
        <w:t>86</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_Toc207117714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_Toc207117716 \h </w:instrText>
      </w:r>
      <w:r>
        <w:fldChar w:fldCharType="separate"/>
      </w:r>
      <w:r>
        <w:t>88</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_Toc207117717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_Toc207117719 \h </w:instrText>
      </w:r>
      <w:r>
        <w:fldChar w:fldCharType="separate"/>
      </w:r>
      <w:r>
        <w:t>91</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_Toc207117720 \h </w:instrText>
      </w:r>
      <w:r>
        <w:fldChar w:fldCharType="separate"/>
      </w:r>
      <w:r>
        <w:t>91</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_Toc207117721 \h </w:instrText>
      </w:r>
      <w:r>
        <w:fldChar w:fldCharType="separate"/>
      </w:r>
      <w:r>
        <w:t>92</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_Toc207117722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Division 6A — Safe arrival of children</w:t>
      </w:r>
    </w:p>
    <w:p>
      <w:pPr>
        <w:pStyle w:val="TOC8"/>
        <w:rPr>
          <w:rFonts w:asciiTheme="minorHAnsi" w:eastAsiaTheme="minorEastAsia" w:hAnsiTheme="minorHAnsi" w:cstheme="minorBidi"/>
          <w:szCs w:val="22"/>
        </w:rPr>
      </w:pPr>
      <w:r>
        <w:t>102AA.</w:t>
      </w:r>
      <w:r>
        <w:tab/>
        <w:t>Definition</w:t>
      </w:r>
      <w:r>
        <w:tab/>
      </w:r>
      <w:r>
        <w:fldChar w:fldCharType="begin"/>
      </w:r>
      <w:r>
        <w:instrText xml:space="preserve"> PAGEREF _Toc207117724 \h </w:instrText>
      </w:r>
      <w:r>
        <w:fldChar w:fldCharType="separate"/>
      </w:r>
      <w:r>
        <w:t>95</w:t>
      </w:r>
      <w:r>
        <w:fldChar w:fldCharType="end"/>
      </w:r>
    </w:p>
    <w:p>
      <w:pPr>
        <w:pStyle w:val="TOC8"/>
        <w:rPr>
          <w:rFonts w:asciiTheme="minorHAnsi" w:eastAsiaTheme="minorEastAsia" w:hAnsiTheme="minorHAnsi" w:cstheme="minorBidi"/>
          <w:szCs w:val="22"/>
        </w:rPr>
      </w:pPr>
      <w:r>
        <w:t>102AAB.</w:t>
      </w:r>
      <w:r>
        <w:tab/>
        <w:t>Safe arrival of children policies and procedures</w:t>
      </w:r>
      <w:r>
        <w:tab/>
      </w:r>
      <w:r>
        <w:fldChar w:fldCharType="begin"/>
      </w:r>
      <w:r>
        <w:instrText xml:space="preserve"> PAGEREF _Toc207117725 \h </w:instrText>
      </w:r>
      <w:r>
        <w:fldChar w:fldCharType="separate"/>
      </w:r>
      <w:r>
        <w:t>95</w:t>
      </w:r>
      <w:r>
        <w:fldChar w:fldCharType="end"/>
      </w:r>
    </w:p>
    <w:p>
      <w:pPr>
        <w:pStyle w:val="TOC8"/>
        <w:rPr>
          <w:rFonts w:asciiTheme="minorHAnsi" w:eastAsiaTheme="minorEastAsia" w:hAnsiTheme="minorHAnsi" w:cstheme="minorBidi"/>
          <w:szCs w:val="22"/>
        </w:rPr>
      </w:pPr>
      <w:r>
        <w:t>102AAC.</w:t>
      </w:r>
      <w:r>
        <w:tab/>
        <w:t>Risk assessment for the purposes of safe arrival of children policies and procedures</w:t>
      </w:r>
      <w:r>
        <w:tab/>
      </w:r>
      <w:r>
        <w:fldChar w:fldCharType="begin"/>
      </w:r>
      <w:r>
        <w:instrText xml:space="preserve"> PAGEREF _Toc207117726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7 — Transportation of children other than as part of excursion</w:t>
      </w:r>
    </w:p>
    <w:p>
      <w:pPr>
        <w:pStyle w:val="TOC8"/>
        <w:rPr>
          <w:rFonts w:asciiTheme="minorHAnsi" w:eastAsiaTheme="minorEastAsia" w:hAnsiTheme="minorHAnsi" w:cstheme="minorBidi"/>
          <w:szCs w:val="22"/>
        </w:rPr>
      </w:pPr>
      <w:r>
        <w:t>102A.</w:t>
      </w:r>
      <w:r>
        <w:tab/>
        <w:t>Application of Division</w:t>
      </w:r>
      <w:r>
        <w:tab/>
      </w:r>
      <w:r>
        <w:fldChar w:fldCharType="begin"/>
      </w:r>
      <w:r>
        <w:instrText xml:space="preserve"> PAGEREF _Toc207117728 \h </w:instrText>
      </w:r>
      <w:r>
        <w:fldChar w:fldCharType="separate"/>
      </w:r>
      <w:r>
        <w:t>98</w:t>
      </w:r>
      <w:r>
        <w:fldChar w:fldCharType="end"/>
      </w:r>
    </w:p>
    <w:p>
      <w:pPr>
        <w:pStyle w:val="TOC8"/>
        <w:rPr>
          <w:rFonts w:asciiTheme="minorHAnsi" w:eastAsiaTheme="minorEastAsia" w:hAnsiTheme="minorHAnsi" w:cstheme="minorBidi"/>
          <w:szCs w:val="22"/>
        </w:rPr>
      </w:pPr>
      <w:r>
        <w:t>102B.</w:t>
      </w:r>
      <w:r>
        <w:tab/>
        <w:t>Transport risk assessment must be conducted before service transports child</w:t>
      </w:r>
      <w:r>
        <w:tab/>
      </w:r>
      <w:r>
        <w:fldChar w:fldCharType="begin"/>
      </w:r>
      <w:r>
        <w:instrText xml:space="preserve"> PAGEREF _Toc207117729 \h </w:instrText>
      </w:r>
      <w:r>
        <w:fldChar w:fldCharType="separate"/>
      </w:r>
      <w:r>
        <w:t>99</w:t>
      </w:r>
      <w:r>
        <w:fldChar w:fldCharType="end"/>
      </w:r>
    </w:p>
    <w:p>
      <w:pPr>
        <w:pStyle w:val="TOC8"/>
        <w:rPr>
          <w:rFonts w:asciiTheme="minorHAnsi" w:eastAsiaTheme="minorEastAsia" w:hAnsiTheme="minorHAnsi" w:cstheme="minorBidi"/>
          <w:szCs w:val="22"/>
        </w:rPr>
      </w:pPr>
      <w:r>
        <w:t>102C.</w:t>
      </w:r>
      <w:r>
        <w:tab/>
        <w:t>Conduct of risk assessment for transporting of children by education and care service</w:t>
      </w:r>
      <w:r>
        <w:tab/>
      </w:r>
      <w:r>
        <w:fldChar w:fldCharType="begin"/>
      </w:r>
      <w:r>
        <w:instrText xml:space="preserve"> PAGEREF _Toc207117730 \h </w:instrText>
      </w:r>
      <w:r>
        <w:fldChar w:fldCharType="separate"/>
      </w:r>
      <w:r>
        <w:t>100</w:t>
      </w:r>
      <w:r>
        <w:fldChar w:fldCharType="end"/>
      </w:r>
    </w:p>
    <w:p>
      <w:pPr>
        <w:pStyle w:val="TOC8"/>
        <w:rPr>
          <w:rFonts w:asciiTheme="minorHAnsi" w:eastAsiaTheme="minorEastAsia" w:hAnsiTheme="minorHAnsi" w:cstheme="minorBidi"/>
          <w:szCs w:val="22"/>
        </w:rPr>
      </w:pPr>
      <w:r>
        <w:t>102D.</w:t>
      </w:r>
      <w:r>
        <w:tab/>
        <w:t>Authorisation for service to transport children</w:t>
      </w:r>
      <w:r>
        <w:tab/>
      </w:r>
      <w:r>
        <w:fldChar w:fldCharType="begin"/>
      </w:r>
      <w:r>
        <w:instrText xml:space="preserve"> PAGEREF _Toc207117731 \h </w:instrText>
      </w:r>
      <w:r>
        <w:fldChar w:fldCharType="separate"/>
      </w:r>
      <w:r>
        <w:t>101</w:t>
      </w:r>
      <w:r>
        <w:fldChar w:fldCharType="end"/>
      </w:r>
    </w:p>
    <w:p>
      <w:pPr>
        <w:pStyle w:val="TOC8"/>
        <w:rPr>
          <w:rFonts w:asciiTheme="minorHAnsi" w:eastAsiaTheme="minorEastAsia" w:hAnsiTheme="minorHAnsi" w:cstheme="minorBidi"/>
          <w:szCs w:val="22"/>
        </w:rPr>
      </w:pPr>
      <w:r>
        <w:t>102E.</w:t>
      </w:r>
      <w:r>
        <w:tab/>
        <w:t>Children embarking a means of transport — centre</w:t>
      </w:r>
      <w:r>
        <w:noBreakHyphen/>
        <w:t>based service</w:t>
      </w:r>
      <w:r>
        <w:tab/>
      </w:r>
      <w:r>
        <w:fldChar w:fldCharType="begin"/>
      </w:r>
      <w:r>
        <w:instrText xml:space="preserve"> PAGEREF _Toc207117732 \h </w:instrText>
      </w:r>
      <w:r>
        <w:fldChar w:fldCharType="separate"/>
      </w:r>
      <w:r>
        <w:t>102</w:t>
      </w:r>
      <w:r>
        <w:fldChar w:fldCharType="end"/>
      </w:r>
    </w:p>
    <w:p>
      <w:pPr>
        <w:pStyle w:val="TOC8"/>
        <w:rPr>
          <w:rFonts w:asciiTheme="minorHAnsi" w:eastAsiaTheme="minorEastAsia" w:hAnsiTheme="minorHAnsi" w:cstheme="minorBidi"/>
          <w:szCs w:val="22"/>
        </w:rPr>
      </w:pPr>
      <w:r>
        <w:t>102F.</w:t>
      </w:r>
      <w:r>
        <w:tab/>
        <w:t>Children disembarking a means of transport — centre</w:t>
      </w:r>
      <w:r>
        <w:noBreakHyphen/>
        <w:t>based service</w:t>
      </w:r>
      <w:r>
        <w:tab/>
      </w:r>
      <w:r>
        <w:fldChar w:fldCharType="begin"/>
      </w:r>
      <w:r>
        <w:instrText xml:space="preserve"> PAGEREF _Toc207117733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_Toc207117736 \h </w:instrText>
      </w:r>
      <w:r>
        <w:fldChar w:fldCharType="separate"/>
      </w:r>
      <w:r>
        <w:t>105</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_Toc207117737 \h </w:instrText>
      </w:r>
      <w:r>
        <w:fldChar w:fldCharType="separate"/>
      </w:r>
      <w:r>
        <w:t>106</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_Toc207117738 \h </w:instrText>
      </w:r>
      <w:r>
        <w:fldChar w:fldCharType="separate"/>
      </w:r>
      <w:r>
        <w:t>106</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_Toc207117739 \h </w:instrText>
      </w:r>
      <w:r>
        <w:fldChar w:fldCharType="separate"/>
      </w:r>
      <w:r>
        <w:t>107</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_Toc207117740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108.</w:t>
      </w:r>
      <w:r>
        <w:tab/>
        <w:t>Space requirements — outdoor space</w:t>
      </w:r>
      <w:r>
        <w:tab/>
      </w:r>
      <w:r>
        <w:fldChar w:fldCharType="begin"/>
      </w:r>
      <w:r>
        <w:instrText xml:space="preserve"> PAGEREF _Toc207117741 \h </w:instrText>
      </w:r>
      <w:r>
        <w:fldChar w:fldCharType="separate"/>
      </w:r>
      <w:r>
        <w:t>108</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_Toc207117742 \h </w:instrText>
      </w:r>
      <w:r>
        <w:fldChar w:fldCharType="separate"/>
      </w:r>
      <w:r>
        <w:t>110</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_Toc207117743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_Toc207117745 \h </w:instrText>
      </w:r>
      <w:r>
        <w:fldChar w:fldCharType="separate"/>
      </w:r>
      <w:r>
        <w:t>110</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_Toc207117746 \h </w:instrText>
      </w:r>
      <w:r>
        <w:fldChar w:fldCharType="separate"/>
      </w:r>
      <w:r>
        <w:t>111</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_Toc207117747 \h </w:instrText>
      </w:r>
      <w:r>
        <w:fldChar w:fldCharType="separate"/>
      </w:r>
      <w:r>
        <w:t>112</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_Toc207117748 \h </w:instrText>
      </w:r>
      <w:r>
        <w:fldChar w:fldCharType="separate"/>
      </w:r>
      <w:r>
        <w:t>112</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_Toc207117749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_Toc207117751 \h </w:instrText>
      </w:r>
      <w:r>
        <w:fldChar w:fldCharType="separate"/>
      </w:r>
      <w:r>
        <w:t>113</w:t>
      </w:r>
      <w:r>
        <w:fldChar w:fldCharType="end"/>
      </w:r>
    </w:p>
    <w:p>
      <w:pPr>
        <w:pStyle w:val="TOC8"/>
        <w:rPr>
          <w:rFonts w:asciiTheme="minorHAnsi" w:eastAsiaTheme="minorEastAsia" w:hAnsiTheme="minorHAnsi" w:cstheme="minorBidi"/>
          <w:szCs w:val="22"/>
        </w:rPr>
      </w:pPr>
      <w:r>
        <w:t>116A.</w:t>
      </w:r>
      <w:r>
        <w:tab/>
        <w:t>Inspection of swimming pools, water features and other potential water hazards at family day care residences and approved family day care venues</w:t>
      </w:r>
      <w:r>
        <w:tab/>
      </w:r>
      <w:r>
        <w:fldChar w:fldCharType="begin"/>
      </w:r>
      <w:r>
        <w:instrText xml:space="preserve"> PAGEREF _Toc207117752 \h </w:instrText>
      </w:r>
      <w:r>
        <w:fldChar w:fldCharType="separate"/>
      </w:r>
      <w:r>
        <w:t>115</w:t>
      </w:r>
      <w:r>
        <w:fldChar w:fldCharType="end"/>
      </w:r>
    </w:p>
    <w:p>
      <w:pPr>
        <w:pStyle w:val="TOC8"/>
        <w:rPr>
          <w:rFonts w:asciiTheme="minorHAnsi" w:eastAsiaTheme="minorEastAsia" w:hAnsiTheme="minorHAnsi" w:cstheme="minorBidi"/>
          <w:szCs w:val="22"/>
        </w:rPr>
      </w:pPr>
      <w:r>
        <w:t>116B.</w:t>
      </w:r>
      <w:r>
        <w:tab/>
        <w:t>Inspection report</w:t>
      </w:r>
      <w:r>
        <w:tab/>
      </w:r>
      <w:r>
        <w:fldChar w:fldCharType="begin"/>
      </w:r>
      <w:r>
        <w:instrText xml:space="preserve"> PAGEREF _Toc207117753 \h </w:instrText>
      </w:r>
      <w:r>
        <w:fldChar w:fldCharType="separate"/>
      </w:r>
      <w:r>
        <w:t>115</w:t>
      </w:r>
      <w:r>
        <w:fldChar w:fldCharType="end"/>
      </w:r>
    </w:p>
    <w:p>
      <w:pPr>
        <w:pStyle w:val="TOC8"/>
        <w:rPr>
          <w:rFonts w:asciiTheme="minorHAnsi" w:eastAsiaTheme="minorEastAsia" w:hAnsiTheme="minorHAnsi" w:cstheme="minorBidi"/>
          <w:szCs w:val="22"/>
        </w:rPr>
      </w:pPr>
      <w:r>
        <w:t>116C.</w:t>
      </w:r>
      <w:r>
        <w:tab/>
        <w:t>Compliance with fencing requirements for swimming pools at family day care residences and approved family day care venues</w:t>
      </w:r>
      <w:r>
        <w:tab/>
      </w:r>
      <w:r>
        <w:fldChar w:fldCharType="begin"/>
      </w:r>
      <w:r>
        <w:instrText xml:space="preserve"> PAGEREF _Toc207117754 \h </w:instrText>
      </w:r>
      <w:r>
        <w:fldChar w:fldCharType="separate"/>
      </w:r>
      <w:r>
        <w:t>115</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_Toc207117755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_Toc207117757 \h </w:instrText>
      </w:r>
      <w:r>
        <w:fldChar w:fldCharType="separate"/>
      </w:r>
      <w:r>
        <w:t>116</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_Toc207117758 \h </w:instrText>
      </w:r>
      <w:r>
        <w:fldChar w:fldCharType="separate"/>
      </w:r>
      <w:r>
        <w:t>117</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_Toc207117759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_Toc207117762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_Toc207117764 \h </w:instrText>
      </w:r>
      <w:r>
        <w:fldChar w:fldCharType="separate"/>
      </w:r>
      <w:r>
        <w:t>119</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_Toc207117765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_Toc207117767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122.</w:t>
      </w:r>
      <w:r>
        <w:tab/>
        <w:t>Educators must be working directly with children to be included in ratios</w:t>
      </w:r>
      <w:r>
        <w:tab/>
      </w:r>
      <w:r>
        <w:fldChar w:fldCharType="begin"/>
      </w:r>
      <w:r>
        <w:instrText xml:space="preserve"> PAGEREF _Toc207117768 \h </w:instrText>
      </w:r>
      <w:r>
        <w:fldChar w:fldCharType="separate"/>
      </w:r>
      <w:r>
        <w:t>121</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_Toc207117769 \h </w:instrText>
      </w:r>
      <w:r>
        <w:fldChar w:fldCharType="separate"/>
      </w:r>
      <w:r>
        <w:t>121</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_Toc207117770 \h </w:instrText>
      </w:r>
      <w:r>
        <w:fldChar w:fldCharType="separate"/>
      </w:r>
      <w:r>
        <w:t>124</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_Toc207117771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_Toc207117773 \h </w:instrText>
      </w:r>
      <w:r>
        <w:fldChar w:fldCharType="separate"/>
      </w:r>
      <w:r>
        <w:t>127</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_Toc207117774 \h </w:instrText>
      </w:r>
      <w:r>
        <w:fldChar w:fldCharType="separate"/>
      </w:r>
      <w:r>
        <w:t>127</w:t>
      </w:r>
      <w:r>
        <w:fldChar w:fldCharType="end"/>
      </w:r>
    </w:p>
    <w:p>
      <w:pPr>
        <w:pStyle w:val="TOC8"/>
        <w:rPr>
          <w:rFonts w:asciiTheme="minorHAnsi" w:eastAsiaTheme="minorEastAsia" w:hAnsiTheme="minorHAnsi" w:cstheme="minorBidi"/>
          <w:szCs w:val="22"/>
        </w:rPr>
      </w:pPr>
      <w:r>
        <w:t>126A.</w:t>
      </w:r>
      <w:r>
        <w:tab/>
        <w:t>Illness or absence of qualified educator who is required to meet relevant educator to child ratio</w:t>
      </w:r>
      <w:r>
        <w:tab/>
      </w:r>
      <w:r>
        <w:fldChar w:fldCharType="begin"/>
      </w:r>
      <w:r>
        <w:instrText xml:space="preserve"> PAGEREF _Toc207117775 \h </w:instrText>
      </w:r>
      <w:r>
        <w:fldChar w:fldCharType="separate"/>
      </w:r>
      <w:r>
        <w:t>128</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_Toc207117776 \h </w:instrText>
      </w:r>
      <w:r>
        <w:fldChar w:fldCharType="separate"/>
      </w:r>
      <w:r>
        <w:t>129</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_Toc207117777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_Toc207117779 \h </w:instrText>
      </w:r>
      <w:r>
        <w:fldChar w:fldCharType="separate"/>
      </w:r>
      <w:r>
        <w:t>130</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_Toc207117780 \h </w:instrText>
      </w:r>
      <w:r>
        <w:fldChar w:fldCharType="separate"/>
      </w:r>
      <w:r>
        <w:t>130</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_Toc207117781 \h </w:instrText>
      </w:r>
      <w:r>
        <w:fldChar w:fldCharType="separate"/>
      </w:r>
      <w:r>
        <w:t>131</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_Toc207117782 \h </w:instrText>
      </w:r>
      <w:r>
        <w:fldChar w:fldCharType="separate"/>
      </w:r>
      <w:r>
        <w:t>131</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_Toc207117783 \h </w:instrText>
      </w:r>
      <w:r>
        <w:fldChar w:fldCharType="separate"/>
      </w:r>
      <w:r>
        <w:t>132</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_Toc207117784 \h </w:instrText>
      </w:r>
      <w:r>
        <w:fldChar w:fldCharType="separate"/>
      </w:r>
      <w:r>
        <w:t>133</w:t>
      </w:r>
      <w:r>
        <w:fldChar w:fldCharType="end"/>
      </w:r>
    </w:p>
    <w:p>
      <w:pPr>
        <w:pStyle w:val="TOC8"/>
        <w:rPr>
          <w:rFonts w:asciiTheme="minorHAnsi" w:eastAsiaTheme="minorEastAsia" w:hAnsiTheme="minorHAnsi" w:cstheme="minorBidi"/>
          <w:szCs w:val="22"/>
        </w:rPr>
      </w:pPr>
      <w:r>
        <w:t>135.</w:t>
      </w:r>
      <w:r>
        <w:tab/>
        <w:t>Illness or absence of early childhood teacher or suitably qualified person</w:t>
      </w:r>
      <w:r>
        <w:tab/>
      </w:r>
      <w:r>
        <w:fldChar w:fldCharType="begin"/>
      </w:r>
      <w:r>
        <w:instrText xml:space="preserve"> PAGEREF _Toc207117785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_Toc207117787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_Toc207117789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138.</w:t>
      </w:r>
      <w:r>
        <w:tab/>
        <w:t>Application for qualification to be assessed for inclusion on the list of approved qualifications</w:t>
      </w:r>
      <w:r>
        <w:tab/>
      </w:r>
      <w:r>
        <w:fldChar w:fldCharType="begin"/>
      </w:r>
      <w:r>
        <w:instrText xml:space="preserve"> PAGEREF _Toc207117790 \h </w:instrText>
      </w:r>
      <w:r>
        <w:fldChar w:fldCharType="separate"/>
      </w:r>
      <w:r>
        <w:t>141</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_Toc207117791 \h </w:instrText>
      </w:r>
      <w:r>
        <w:fldChar w:fldCharType="separate"/>
      </w:r>
      <w:r>
        <w:t>141</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_Toc207117792 \h </w:instrText>
      </w:r>
      <w:r>
        <w:fldChar w:fldCharType="separate"/>
      </w:r>
      <w:r>
        <w:t>142</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_Toc207117793 \h </w:instrText>
      </w:r>
      <w:r>
        <w:fldChar w:fldCharType="separate"/>
      </w:r>
      <w:r>
        <w:t>144</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_Toc207117794 \h </w:instrText>
      </w:r>
      <w:r>
        <w:fldChar w:fldCharType="separate"/>
      </w:r>
      <w:r>
        <w:t>145</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_Toc207117795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_Toc207117797 \h </w:instrText>
      </w:r>
      <w:r>
        <w:fldChar w:fldCharType="separate"/>
      </w:r>
      <w:r>
        <w:t>146</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_Toc207117798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_Toc207117800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_Toc207117802 \h </w:instrText>
      </w:r>
      <w:r>
        <w:fldChar w:fldCharType="separate"/>
      </w:r>
      <w:r>
        <w:t>150</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_Toc207117803 \h </w:instrText>
      </w:r>
      <w:r>
        <w:fldChar w:fldCharType="separate"/>
      </w:r>
      <w:r>
        <w:t>150</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_Toc207117804 \h </w:instrText>
      </w:r>
      <w:r>
        <w:fldChar w:fldCharType="separate"/>
      </w:r>
      <w:r>
        <w:t>151</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_Toc207117805 \h </w:instrText>
      </w:r>
      <w:r>
        <w:fldChar w:fldCharType="separate"/>
      </w:r>
      <w:r>
        <w:t>152</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_Toc207117806 \h </w:instrText>
      </w:r>
      <w:r>
        <w:fldChar w:fldCharType="separate"/>
      </w:r>
      <w:r>
        <w:t>152</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_Toc207117807 \h </w:instrText>
      </w:r>
      <w:r>
        <w:fldChar w:fldCharType="separate"/>
      </w:r>
      <w:r>
        <w:t>153</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_Toc207117808 \h </w:instrText>
      </w:r>
      <w:r>
        <w:fldChar w:fldCharType="separate"/>
      </w:r>
      <w:r>
        <w:t>153</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_Toc207117809 \h </w:instrText>
      </w:r>
      <w:r>
        <w:fldChar w:fldCharType="separate"/>
      </w:r>
      <w:r>
        <w:t>154</w:t>
      </w:r>
      <w:r>
        <w:fldChar w:fldCharType="end"/>
      </w:r>
    </w:p>
    <w:p>
      <w:pPr>
        <w:pStyle w:val="TOC8"/>
        <w:rPr>
          <w:rFonts w:asciiTheme="minorHAnsi" w:eastAsiaTheme="minorEastAsia" w:hAnsiTheme="minorHAnsi" w:cstheme="minorBidi"/>
          <w:szCs w:val="22"/>
        </w:rPr>
      </w:pPr>
      <w:r>
        <w:t>152A.</w:t>
      </w:r>
      <w:r>
        <w:tab/>
        <w:t>Record of replacement of educator</w:t>
      </w:r>
      <w:r>
        <w:tab/>
      </w:r>
      <w:r>
        <w:fldChar w:fldCharType="begin"/>
      </w:r>
      <w:r>
        <w:instrText xml:space="preserve"> PAGEREF _Toc207117810 \h </w:instrText>
      </w:r>
      <w:r>
        <w:fldChar w:fldCharType="separate"/>
      </w:r>
      <w:r>
        <w:t>154</w:t>
      </w:r>
      <w:r>
        <w:fldChar w:fldCharType="end"/>
      </w:r>
    </w:p>
    <w:p>
      <w:pPr>
        <w:pStyle w:val="TOC8"/>
        <w:rPr>
          <w:rFonts w:asciiTheme="minorHAnsi" w:eastAsiaTheme="minorEastAsia" w:hAnsiTheme="minorHAnsi" w:cstheme="minorBidi"/>
          <w:szCs w:val="22"/>
        </w:rPr>
      </w:pPr>
      <w:r>
        <w:t>152B.</w:t>
      </w:r>
      <w:r>
        <w:tab/>
        <w:t>Record of replacement of early childhood teacher or suitably qualified person</w:t>
      </w:r>
      <w:r>
        <w:tab/>
      </w:r>
      <w:r>
        <w:fldChar w:fldCharType="begin"/>
      </w:r>
      <w:r>
        <w:instrText xml:space="preserve"> PAGEREF _Toc207117811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_Toc207117813 \h </w:instrText>
      </w:r>
      <w:r>
        <w:fldChar w:fldCharType="separate"/>
      </w:r>
      <w:r>
        <w:t>156</w:t>
      </w:r>
      <w:r>
        <w:fldChar w:fldCharType="end"/>
      </w:r>
    </w:p>
    <w:p>
      <w:pPr>
        <w:pStyle w:val="TOC8"/>
        <w:rPr>
          <w:rFonts w:asciiTheme="minorHAnsi" w:eastAsiaTheme="minorEastAsia" w:hAnsiTheme="minorHAnsi" w:cstheme="minorBidi"/>
          <w:szCs w:val="22"/>
        </w:rPr>
      </w:pPr>
      <w:r>
        <w:t>154.</w:t>
      </w:r>
      <w:r>
        <w:tab/>
        <w:t>Record of staff engaged or employed by family day care service</w:t>
      </w:r>
      <w:r>
        <w:tab/>
      </w:r>
      <w:r>
        <w:fldChar w:fldCharType="begin"/>
      </w:r>
      <w:r>
        <w:instrText xml:space="preserve"> PAGEREF _Toc207117814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_Toc207117816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156.</w:t>
      </w:r>
      <w:r>
        <w:tab/>
        <w:t>Relationships in groups</w:t>
      </w:r>
      <w:r>
        <w:tab/>
      </w:r>
      <w:r>
        <w:fldChar w:fldCharType="begin"/>
      </w:r>
      <w:r>
        <w:instrText xml:space="preserve"> PAGEREF _Toc207117817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_Toc207117819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_Toc207117822 \h </w:instrText>
      </w:r>
      <w:r>
        <w:fldChar w:fldCharType="separate"/>
      </w:r>
      <w:r>
        <w:t>166</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_Toc207117823 \h </w:instrText>
      </w:r>
      <w:r>
        <w:fldChar w:fldCharType="separate"/>
      </w:r>
      <w:r>
        <w:t>167</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_Toc207117824 \h </w:instrText>
      </w:r>
      <w:r>
        <w:fldChar w:fldCharType="separate"/>
      </w:r>
      <w:r>
        <w:t>167</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_Toc207117825 \h </w:instrText>
      </w:r>
      <w:r>
        <w:fldChar w:fldCharType="separate"/>
      </w:r>
      <w:r>
        <w:t>169</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_Toc207117826 \h </w:instrText>
      </w:r>
      <w:r>
        <w:fldChar w:fldCharType="separate"/>
      </w:r>
      <w:r>
        <w:t>170</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_Toc207117827 \h </w:instrText>
      </w:r>
      <w:r>
        <w:fldChar w:fldCharType="separate"/>
      </w:r>
      <w:r>
        <w:t>172</w:t>
      </w:r>
      <w:r>
        <w:fldChar w:fldCharType="end"/>
      </w:r>
    </w:p>
    <w:p>
      <w:pPr>
        <w:pStyle w:val="TOC8"/>
        <w:rPr>
          <w:rFonts w:asciiTheme="minorHAnsi" w:eastAsiaTheme="minorEastAsia" w:hAnsiTheme="minorHAnsi" w:cstheme="minorBidi"/>
          <w:szCs w:val="22"/>
        </w:rPr>
      </w:pPr>
      <w:r>
        <w:t>164.</w:t>
      </w:r>
      <w:r>
        <w:tab/>
        <w:t>Requirement for notice in relation to persons at residence</w:t>
      </w:r>
      <w:r>
        <w:tab/>
      </w:r>
      <w:r>
        <w:fldChar w:fldCharType="begin"/>
      </w:r>
      <w:r>
        <w:instrText xml:space="preserve"> PAGEREF _Toc207117828 \h </w:instrText>
      </w:r>
      <w:r>
        <w:fldChar w:fldCharType="separate"/>
      </w:r>
      <w:r>
        <w:t>173</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_Toc207117829 \h </w:instrText>
      </w:r>
      <w:r>
        <w:fldChar w:fldCharType="separate"/>
      </w:r>
      <w:r>
        <w:t>175</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_Toc207117830 \h </w:instrText>
      </w:r>
      <w:r>
        <w:fldChar w:fldCharType="separate"/>
      </w:r>
      <w:r>
        <w:t>175</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_Toc207117831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_Toc207117833 \h </w:instrText>
      </w:r>
      <w:r>
        <w:fldChar w:fldCharType="separate"/>
      </w:r>
      <w:r>
        <w:t>177</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_Toc207117834 \h </w:instrText>
      </w:r>
      <w:r>
        <w:fldChar w:fldCharType="separate"/>
      </w:r>
      <w:r>
        <w:t>180</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_Toc207117835 \h </w:instrText>
      </w:r>
      <w:r>
        <w:fldChar w:fldCharType="separate"/>
      </w:r>
      <w:r>
        <w:t>181</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_Toc207117836 \h </w:instrText>
      </w:r>
      <w:r>
        <w:fldChar w:fldCharType="separate"/>
      </w:r>
      <w:r>
        <w:t>182</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_Toc207117837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_Toc207117839 \h </w:instrText>
      </w:r>
      <w:r>
        <w:fldChar w:fldCharType="separate"/>
      </w:r>
      <w:r>
        <w:t>183</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_Toc207117840 \h </w:instrText>
      </w:r>
      <w:r>
        <w:fldChar w:fldCharType="separate"/>
      </w:r>
      <w:r>
        <w:t>186</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_Toc207117841 \h </w:instrText>
      </w:r>
      <w:r>
        <w:fldChar w:fldCharType="separate"/>
      </w:r>
      <w:r>
        <w:t>186</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_Toc207117842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176.</w:t>
      </w:r>
      <w:r>
        <w:tab/>
        <w:t>Time to notify certain information to Regulatory Authority</w:t>
      </w:r>
      <w:r>
        <w:tab/>
      </w:r>
      <w:r>
        <w:fldChar w:fldCharType="begin"/>
      </w:r>
      <w:r>
        <w:instrText xml:space="preserve"> PAGEREF _Toc207117843 \h </w:instrText>
      </w:r>
      <w:r>
        <w:fldChar w:fldCharType="separate"/>
      </w:r>
      <w:r>
        <w:t>189</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_Toc207117844 \h </w:instrText>
      </w:r>
      <w:r>
        <w:fldChar w:fldCharType="separate"/>
      </w:r>
      <w:r>
        <w:t>190</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_Toc207117845 \h </w:instrText>
      </w:r>
      <w:r>
        <w:fldChar w:fldCharType="separate"/>
      </w:r>
      <w:r>
        <w:t>190</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_Toc207117846 \h </w:instrText>
      </w:r>
      <w:r>
        <w:fldChar w:fldCharType="separate"/>
      </w:r>
      <w:r>
        <w:t>194</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_Toc207117847 \h </w:instrText>
      </w:r>
      <w:r>
        <w:fldChar w:fldCharType="separate"/>
      </w:r>
      <w:r>
        <w:t>196</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_Toc207117848 \h </w:instrText>
      </w:r>
      <w:r>
        <w:fldChar w:fldCharType="separate"/>
      </w:r>
      <w:r>
        <w:t>196</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_Toc207117849 \h </w:instrText>
      </w:r>
      <w:r>
        <w:fldChar w:fldCharType="separate"/>
      </w:r>
      <w:r>
        <w:t>197</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_Toc207117850 \h </w:instrText>
      </w:r>
      <w:r>
        <w:fldChar w:fldCharType="separate"/>
      </w:r>
      <w:r>
        <w:t>197</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_Toc207117851 \h </w:instrText>
      </w:r>
      <w:r>
        <w:fldChar w:fldCharType="separate"/>
      </w:r>
      <w:r>
        <w:t>198</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_Toc207117852 \h </w:instrText>
      </w:r>
      <w:r>
        <w:fldChar w:fldCharType="separate"/>
      </w:r>
      <w:r>
        <w:t>199</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_Toc207117853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_Toc207117856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_Toc207117858 \h </w:instrText>
      </w:r>
      <w:r>
        <w:fldChar w:fldCharType="separate"/>
      </w:r>
      <w:r>
        <w:t>202</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_Toc207117859 \h </w:instrText>
      </w:r>
      <w:r>
        <w:fldChar w:fldCharType="separate"/>
      </w:r>
      <w:r>
        <w:t>202</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_Toc207117860 \h </w:instrText>
      </w:r>
      <w:r>
        <w:fldChar w:fldCharType="separate"/>
      </w:r>
      <w:r>
        <w:t>203</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_Toc207117861 \h </w:instrText>
      </w:r>
      <w:r>
        <w:fldChar w:fldCharType="separate"/>
      </w:r>
      <w:r>
        <w:t>203</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_Toc207117862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_Toc207117865 \h </w:instrText>
      </w:r>
      <w:r>
        <w:fldChar w:fldCharType="separate"/>
      </w:r>
      <w:r>
        <w:t>206</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_Toc207117866 \h </w:instrText>
      </w:r>
      <w:r>
        <w:fldChar w:fldCharType="separate"/>
      </w:r>
      <w:r>
        <w:t>207</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_Toc207117867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_Toc207117870 \h </w:instrText>
      </w:r>
      <w:r>
        <w:fldChar w:fldCharType="separate"/>
      </w:r>
      <w:r>
        <w:t>208</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_Toc207117871 \h </w:instrText>
      </w:r>
      <w:r>
        <w:fldChar w:fldCharType="separate"/>
      </w:r>
      <w:r>
        <w:t>208</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_Toc207117872 \h </w:instrText>
      </w:r>
      <w:r>
        <w:fldChar w:fldCharType="separate"/>
      </w:r>
      <w:r>
        <w:t>210</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_Toc207117873 \h </w:instrText>
      </w:r>
      <w:r>
        <w:fldChar w:fldCharType="separate"/>
      </w:r>
      <w:r>
        <w:t>211</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_Toc207117874 \h </w:instrText>
      </w:r>
      <w:r>
        <w:fldChar w:fldCharType="separate"/>
      </w:r>
      <w:r>
        <w:t>211</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_Toc207117875 \h </w:instrText>
      </w:r>
      <w:r>
        <w:fldChar w:fldCharType="separate"/>
      </w:r>
      <w:r>
        <w:t>212</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_Toc207117876 \h </w:instrText>
      </w:r>
      <w:r>
        <w:fldChar w:fldCharType="separate"/>
      </w:r>
      <w:r>
        <w:t>212</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_Toc207117877 \h </w:instrText>
      </w:r>
      <w:r>
        <w:fldChar w:fldCharType="separate"/>
      </w:r>
      <w:r>
        <w:t>214</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_Toc207117878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_Toc207117880 \h </w:instrText>
      </w:r>
      <w:r>
        <w:fldChar w:fldCharType="separate"/>
      </w:r>
      <w:r>
        <w:t>215</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_Toc207117881 \h </w:instrText>
      </w:r>
      <w:r>
        <w:fldChar w:fldCharType="separate"/>
      </w:r>
      <w:r>
        <w:t>215</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_Toc207117882 \h </w:instrText>
      </w:r>
      <w:r>
        <w:fldChar w:fldCharType="separate"/>
      </w:r>
      <w:r>
        <w:t>218</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_Toc207117883 \h </w:instrText>
      </w:r>
      <w:r>
        <w:fldChar w:fldCharType="separate"/>
      </w:r>
      <w:r>
        <w:t>219</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_Toc207117884 \h </w:instrText>
      </w:r>
      <w:r>
        <w:fldChar w:fldCharType="separate"/>
      </w:r>
      <w:r>
        <w:t>220</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_Toc207117885 \h </w:instrText>
      </w:r>
      <w:r>
        <w:fldChar w:fldCharType="separate"/>
      </w:r>
      <w:r>
        <w:t>221</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_Toc207117886 \h </w:instrText>
      </w:r>
      <w:r>
        <w:fldChar w:fldCharType="separate"/>
      </w:r>
      <w:r>
        <w:t>222</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_Toc207117887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_Toc207117889 \h </w:instrText>
      </w:r>
      <w:r>
        <w:fldChar w:fldCharType="separate"/>
      </w:r>
      <w:r>
        <w:t>223</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_Toc207117890 \h </w:instrText>
      </w:r>
      <w:r>
        <w:fldChar w:fldCharType="separate"/>
      </w:r>
      <w:r>
        <w:t>223</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_Toc207117891 \h </w:instrText>
      </w:r>
      <w:r>
        <w:fldChar w:fldCharType="separate"/>
      </w:r>
      <w:r>
        <w:t>224</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_Toc207117892 \h </w:instrText>
      </w:r>
      <w:r>
        <w:fldChar w:fldCharType="separate"/>
      </w:r>
      <w:r>
        <w:t>224</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_Toc207117893 \h </w:instrText>
      </w:r>
      <w:r>
        <w:fldChar w:fldCharType="separate"/>
      </w:r>
      <w:r>
        <w:t>225</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_Toc207117894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_Toc207117896 \h </w:instrText>
      </w:r>
      <w:r>
        <w:fldChar w:fldCharType="separate"/>
      </w:r>
      <w:r>
        <w:t>227</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_Toc207117897 \h </w:instrText>
      </w:r>
      <w:r>
        <w:fldChar w:fldCharType="separate"/>
      </w:r>
      <w:r>
        <w:t>228</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_Toc207117898 \h </w:instrText>
      </w:r>
      <w:r>
        <w:fldChar w:fldCharType="separate"/>
      </w:r>
      <w:r>
        <w:t>229</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_Toc207117899 \h </w:instrText>
      </w:r>
      <w:r>
        <w:fldChar w:fldCharType="separate"/>
      </w:r>
      <w:r>
        <w:t>230</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_Toc207117900 \h </w:instrText>
      </w:r>
      <w:r>
        <w:fldChar w:fldCharType="separate"/>
      </w:r>
      <w:r>
        <w:t>231</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_Toc207117901 \h </w:instrText>
      </w:r>
      <w:r>
        <w:fldChar w:fldCharType="separate"/>
      </w:r>
      <w:r>
        <w:t>231</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_Toc207117902 \h </w:instrText>
      </w:r>
      <w:r>
        <w:fldChar w:fldCharType="separate"/>
      </w:r>
      <w:r>
        <w:t>233</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_Toc207117903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_Toc207117905 \h </w:instrText>
      </w:r>
      <w:r>
        <w:fldChar w:fldCharType="separate"/>
      </w:r>
      <w:r>
        <w:t>234</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_Toc207117906 \h </w:instrText>
      </w:r>
      <w:r>
        <w:fldChar w:fldCharType="separate"/>
      </w:r>
      <w:r>
        <w:t>234</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_Toc207117907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_Toc207117909 \h </w:instrText>
      </w:r>
      <w:r>
        <w:fldChar w:fldCharType="separate"/>
      </w:r>
      <w:r>
        <w:t>239</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_Toc207117910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6"/>
        <w:tabs>
          <w:tab w:val="right" w:leader="dot" w:pos="7077"/>
        </w:tabs>
        <w:rPr>
          <w:rFonts w:asciiTheme="minorHAnsi" w:eastAsiaTheme="minorEastAsia" w:hAnsiTheme="minorHAnsi" w:cstheme="minorBidi"/>
          <w:b w:val="0"/>
          <w:sz w:val="22"/>
          <w:szCs w:val="22"/>
        </w:rPr>
      </w:pPr>
      <w:r>
        <w:t>Division 1 — Provisions applying generally to fees</w:t>
      </w:r>
    </w:p>
    <w:p>
      <w:pPr>
        <w:pStyle w:val="TOC8"/>
        <w:rPr>
          <w:rFonts w:asciiTheme="minorHAnsi" w:eastAsiaTheme="minorEastAsia" w:hAnsiTheme="minorHAnsi" w:cstheme="minorBidi"/>
          <w:szCs w:val="22"/>
        </w:rPr>
      </w:pPr>
      <w:r>
        <w:t>232.</w:t>
      </w:r>
      <w:r>
        <w:tab/>
        <w:t>Definitions</w:t>
      </w:r>
      <w:r>
        <w:tab/>
      </w:r>
      <w:r>
        <w:fldChar w:fldCharType="begin"/>
      </w:r>
      <w:r>
        <w:instrText xml:space="preserve"> PAGEREF _Toc207117913 \h </w:instrText>
      </w:r>
      <w:r>
        <w:fldChar w:fldCharType="separate"/>
      </w:r>
      <w:r>
        <w:t>240</w:t>
      </w:r>
      <w:r>
        <w:fldChar w:fldCharType="end"/>
      </w:r>
    </w:p>
    <w:p>
      <w:pPr>
        <w:pStyle w:val="TOC8"/>
        <w:rPr>
          <w:rFonts w:asciiTheme="minorHAnsi" w:eastAsiaTheme="minorEastAsia" w:hAnsiTheme="minorHAnsi" w:cstheme="minorBidi"/>
          <w:szCs w:val="22"/>
        </w:rPr>
      </w:pPr>
      <w:r>
        <w:t>233.</w:t>
      </w:r>
      <w:r>
        <w:tab/>
        <w:t>Calculation of indexation factor for financial year</w:t>
      </w:r>
      <w:r>
        <w:tab/>
      </w:r>
      <w:r>
        <w:fldChar w:fldCharType="begin"/>
      </w:r>
      <w:r>
        <w:instrText xml:space="preserve"> PAGEREF _Toc207117914 \h </w:instrText>
      </w:r>
      <w:r>
        <w:fldChar w:fldCharType="separate"/>
      </w:r>
      <w:r>
        <w:t>241</w:t>
      </w:r>
      <w:r>
        <w:fldChar w:fldCharType="end"/>
      </w:r>
    </w:p>
    <w:p>
      <w:pPr>
        <w:pStyle w:val="TOC8"/>
        <w:rPr>
          <w:rFonts w:asciiTheme="minorHAnsi" w:eastAsiaTheme="minorEastAsia" w:hAnsiTheme="minorHAnsi" w:cstheme="minorBidi"/>
          <w:szCs w:val="22"/>
        </w:rPr>
      </w:pPr>
      <w:r>
        <w:t>234.</w:t>
      </w:r>
      <w:r>
        <w:tab/>
        <w:t>Fee amount to be rounded down to nearest whole dollar</w:t>
      </w:r>
      <w:r>
        <w:tab/>
      </w:r>
      <w:r>
        <w:fldChar w:fldCharType="begin"/>
      </w:r>
      <w:r>
        <w:instrText xml:space="preserve"> PAGEREF _Toc207117915 \h </w:instrText>
      </w:r>
      <w:r>
        <w:fldChar w:fldCharType="separate"/>
      </w:r>
      <w:r>
        <w:t>242</w:t>
      </w:r>
      <w:r>
        <w:fldChar w:fldCharType="end"/>
      </w:r>
    </w:p>
    <w:p>
      <w:pPr>
        <w:pStyle w:val="TOC8"/>
        <w:rPr>
          <w:rFonts w:asciiTheme="minorHAnsi" w:eastAsiaTheme="minorEastAsia" w:hAnsiTheme="minorHAnsi" w:cstheme="minorBidi"/>
          <w:szCs w:val="22"/>
        </w:rPr>
      </w:pPr>
      <w:r>
        <w:t>235.</w:t>
      </w:r>
      <w:r>
        <w:tab/>
        <w:t>Late payment fees (annual fees)</w:t>
      </w:r>
      <w:r>
        <w:tab/>
      </w:r>
      <w:r>
        <w:fldChar w:fldCharType="begin"/>
      </w:r>
      <w:r>
        <w:instrText xml:space="preserve"> PAGEREF _Toc207117916 \h </w:instrText>
      </w:r>
      <w:r>
        <w:fldChar w:fldCharType="separate"/>
      </w:r>
      <w:r>
        <w:t>242</w:t>
      </w:r>
      <w:r>
        <w:fldChar w:fldCharType="end"/>
      </w:r>
    </w:p>
    <w:p>
      <w:pPr>
        <w:pStyle w:val="TOC8"/>
        <w:rPr>
          <w:rFonts w:asciiTheme="minorHAnsi" w:eastAsiaTheme="minorEastAsia" w:hAnsiTheme="minorHAnsi" w:cstheme="minorBidi"/>
          <w:szCs w:val="22"/>
        </w:rPr>
      </w:pPr>
      <w:r>
        <w:t>236.</w:t>
      </w:r>
      <w:r>
        <w:tab/>
        <w:t>Waiver, reduction, deferral and refund of fees</w:t>
      </w:r>
      <w:r>
        <w:tab/>
      </w:r>
      <w:r>
        <w:fldChar w:fldCharType="begin"/>
      </w:r>
      <w:r>
        <w:instrText xml:space="preserve"> PAGEREF _Toc207117917 \h </w:instrText>
      </w:r>
      <w:r>
        <w:fldChar w:fldCharType="separate"/>
      </w:r>
      <w:r>
        <w:t>243</w:t>
      </w:r>
      <w:r>
        <w:fldChar w:fldCharType="end"/>
      </w:r>
    </w:p>
    <w:p>
      <w:pPr>
        <w:pStyle w:val="TOC8"/>
        <w:rPr>
          <w:rFonts w:asciiTheme="minorHAnsi" w:eastAsiaTheme="minorEastAsia" w:hAnsiTheme="minorHAnsi" w:cstheme="minorBidi"/>
          <w:szCs w:val="22"/>
        </w:rPr>
      </w:pPr>
      <w:r>
        <w:t>236A.</w:t>
      </w:r>
      <w:r>
        <w:tab/>
        <w:t>Publication of prescribed and other required fees</w:t>
      </w:r>
      <w:r>
        <w:tab/>
      </w:r>
      <w:r>
        <w:fldChar w:fldCharType="begin"/>
      </w:r>
      <w:r>
        <w:instrText xml:space="preserve"> PAGEREF _Toc207117918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Division 2 — Prescribed and other fees between commencement day and 30 June 2023</w:t>
      </w:r>
    </w:p>
    <w:p>
      <w:pPr>
        <w:pStyle w:val="TOC8"/>
        <w:rPr>
          <w:rFonts w:asciiTheme="minorHAnsi" w:eastAsiaTheme="minorEastAsia" w:hAnsiTheme="minorHAnsi" w:cstheme="minorBidi"/>
          <w:szCs w:val="22"/>
        </w:rPr>
      </w:pPr>
      <w:r>
        <w:t>236B.</w:t>
      </w:r>
      <w:r>
        <w:tab/>
        <w:t>Prescribed fees and other fees for period beginning on commencement day and ending on 30 June 2023</w:t>
      </w:r>
      <w:r>
        <w:tab/>
      </w:r>
      <w:r>
        <w:fldChar w:fldCharType="begin"/>
      </w:r>
      <w:r>
        <w:instrText xml:space="preserve"> PAGEREF _Toc207117920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Division 3 — Prescribed and other fees on and after 1 July 2023</w:t>
      </w:r>
    </w:p>
    <w:p>
      <w:pPr>
        <w:pStyle w:val="TOC8"/>
        <w:rPr>
          <w:rFonts w:asciiTheme="minorHAnsi" w:eastAsiaTheme="minorEastAsia" w:hAnsiTheme="minorHAnsi" w:cstheme="minorBidi"/>
          <w:szCs w:val="22"/>
        </w:rPr>
      </w:pPr>
      <w:r>
        <w:t>236C.</w:t>
      </w:r>
      <w:r>
        <w:tab/>
        <w:t>Prescribed fee — application for provider approval</w:t>
      </w:r>
      <w:r>
        <w:tab/>
      </w:r>
      <w:r>
        <w:fldChar w:fldCharType="begin"/>
      </w:r>
      <w:r>
        <w:instrText xml:space="preserve"> PAGEREF _Toc207117922 \h </w:instrText>
      </w:r>
      <w:r>
        <w:fldChar w:fldCharType="separate"/>
      </w:r>
      <w:r>
        <w:t>244</w:t>
      </w:r>
      <w:r>
        <w:fldChar w:fldCharType="end"/>
      </w:r>
    </w:p>
    <w:p>
      <w:pPr>
        <w:pStyle w:val="TOC8"/>
        <w:rPr>
          <w:rFonts w:asciiTheme="minorHAnsi" w:eastAsiaTheme="minorEastAsia" w:hAnsiTheme="minorHAnsi" w:cstheme="minorBidi"/>
          <w:szCs w:val="22"/>
        </w:rPr>
      </w:pPr>
      <w:r>
        <w:t>236D.</w:t>
      </w:r>
      <w:r>
        <w:tab/>
        <w:t>Prescribed fees — application for service approval</w:t>
      </w:r>
      <w:r>
        <w:tab/>
      </w:r>
      <w:r>
        <w:fldChar w:fldCharType="begin"/>
      </w:r>
      <w:r>
        <w:instrText xml:space="preserve"> PAGEREF _Toc207117923 \h </w:instrText>
      </w:r>
      <w:r>
        <w:fldChar w:fldCharType="separate"/>
      </w:r>
      <w:r>
        <w:t>245</w:t>
      </w:r>
      <w:r>
        <w:fldChar w:fldCharType="end"/>
      </w:r>
    </w:p>
    <w:p>
      <w:pPr>
        <w:pStyle w:val="TOC8"/>
        <w:rPr>
          <w:rFonts w:asciiTheme="minorHAnsi" w:eastAsiaTheme="minorEastAsia" w:hAnsiTheme="minorHAnsi" w:cstheme="minorBidi"/>
          <w:szCs w:val="22"/>
        </w:rPr>
      </w:pPr>
      <w:r>
        <w:t>236E.</w:t>
      </w:r>
      <w:r>
        <w:tab/>
        <w:t>Prescribed annual fees</w:t>
      </w:r>
      <w:r>
        <w:tab/>
      </w:r>
      <w:r>
        <w:fldChar w:fldCharType="begin"/>
      </w:r>
      <w:r>
        <w:instrText xml:space="preserve"> PAGEREF _Toc207117924 \h </w:instrText>
      </w:r>
      <w:r>
        <w:fldChar w:fldCharType="separate"/>
      </w:r>
      <w:r>
        <w:t>248</w:t>
      </w:r>
      <w:r>
        <w:fldChar w:fldCharType="end"/>
      </w:r>
    </w:p>
    <w:p>
      <w:pPr>
        <w:pStyle w:val="TOC8"/>
        <w:rPr>
          <w:rFonts w:asciiTheme="minorHAnsi" w:eastAsiaTheme="minorEastAsia" w:hAnsiTheme="minorHAnsi" w:cstheme="minorBidi"/>
          <w:szCs w:val="22"/>
        </w:rPr>
      </w:pPr>
      <w:r>
        <w:lastRenderedPageBreak/>
        <w:t>236F.</w:t>
      </w:r>
      <w:r>
        <w:tab/>
        <w:t>Prescribed fee — application for amendment of service approval</w:t>
      </w:r>
      <w:r>
        <w:tab/>
      </w:r>
      <w:r>
        <w:fldChar w:fldCharType="begin"/>
      </w:r>
      <w:r>
        <w:instrText xml:space="preserve"> PAGEREF _Toc207117925 \h </w:instrText>
      </w:r>
      <w:r>
        <w:fldChar w:fldCharType="separate"/>
      </w:r>
      <w:r>
        <w:t>250</w:t>
      </w:r>
      <w:r>
        <w:fldChar w:fldCharType="end"/>
      </w:r>
    </w:p>
    <w:p>
      <w:pPr>
        <w:pStyle w:val="TOC8"/>
        <w:rPr>
          <w:rFonts w:asciiTheme="minorHAnsi" w:eastAsiaTheme="minorEastAsia" w:hAnsiTheme="minorHAnsi" w:cstheme="minorBidi"/>
          <w:szCs w:val="22"/>
        </w:rPr>
      </w:pPr>
      <w:r>
        <w:t>236G.</w:t>
      </w:r>
      <w:r>
        <w:tab/>
        <w:t>Prescribed fee — notification of intended transfer of service approval</w:t>
      </w:r>
      <w:r>
        <w:tab/>
      </w:r>
      <w:r>
        <w:fldChar w:fldCharType="begin"/>
      </w:r>
      <w:r>
        <w:instrText xml:space="preserve"> PAGEREF _Toc207117926 \h </w:instrText>
      </w:r>
      <w:r>
        <w:fldChar w:fldCharType="separate"/>
      </w:r>
      <w:r>
        <w:t>251</w:t>
      </w:r>
      <w:r>
        <w:fldChar w:fldCharType="end"/>
      </w:r>
    </w:p>
    <w:p>
      <w:pPr>
        <w:pStyle w:val="TOC8"/>
        <w:rPr>
          <w:rFonts w:asciiTheme="minorHAnsi" w:eastAsiaTheme="minorEastAsia" w:hAnsiTheme="minorHAnsi" w:cstheme="minorBidi"/>
          <w:szCs w:val="22"/>
        </w:rPr>
      </w:pPr>
      <w:r>
        <w:t>236H.</w:t>
      </w:r>
      <w:r>
        <w:tab/>
        <w:t>Prescribed fee — application for service waiver</w:t>
      </w:r>
      <w:r>
        <w:tab/>
      </w:r>
      <w:r>
        <w:fldChar w:fldCharType="begin"/>
      </w:r>
      <w:r>
        <w:instrText xml:space="preserve"> PAGEREF _Toc207117927 \h </w:instrText>
      </w:r>
      <w:r>
        <w:fldChar w:fldCharType="separate"/>
      </w:r>
      <w:r>
        <w:t>253</w:t>
      </w:r>
      <w:r>
        <w:fldChar w:fldCharType="end"/>
      </w:r>
    </w:p>
    <w:p>
      <w:pPr>
        <w:pStyle w:val="TOC8"/>
        <w:rPr>
          <w:rFonts w:asciiTheme="minorHAnsi" w:eastAsiaTheme="minorEastAsia" w:hAnsiTheme="minorHAnsi" w:cstheme="minorBidi"/>
          <w:szCs w:val="22"/>
        </w:rPr>
      </w:pPr>
      <w:r>
        <w:t>236I.</w:t>
      </w:r>
      <w:r>
        <w:tab/>
        <w:t>Prescribed fee — application for temporary waiver</w:t>
      </w:r>
      <w:r>
        <w:tab/>
      </w:r>
      <w:r>
        <w:fldChar w:fldCharType="begin"/>
      </w:r>
      <w:r>
        <w:instrText xml:space="preserve"> PAGEREF _Toc207117928 \h </w:instrText>
      </w:r>
      <w:r>
        <w:fldChar w:fldCharType="separate"/>
      </w:r>
      <w:r>
        <w:t>253</w:t>
      </w:r>
      <w:r>
        <w:fldChar w:fldCharType="end"/>
      </w:r>
    </w:p>
    <w:p>
      <w:pPr>
        <w:pStyle w:val="TOC8"/>
        <w:rPr>
          <w:rFonts w:asciiTheme="minorHAnsi" w:eastAsiaTheme="minorEastAsia" w:hAnsiTheme="minorHAnsi" w:cstheme="minorBidi"/>
          <w:szCs w:val="22"/>
        </w:rPr>
      </w:pPr>
      <w:r>
        <w:t>236J.</w:t>
      </w:r>
      <w:r>
        <w:tab/>
        <w:t>Prescribed fee — application to extend temporary waiver</w:t>
      </w:r>
      <w:r>
        <w:tab/>
      </w:r>
      <w:r>
        <w:fldChar w:fldCharType="begin"/>
      </w:r>
      <w:r>
        <w:instrText xml:space="preserve"> PAGEREF _Toc207117929 \h </w:instrText>
      </w:r>
      <w:r>
        <w:fldChar w:fldCharType="separate"/>
      </w:r>
      <w:r>
        <w:t>254</w:t>
      </w:r>
      <w:r>
        <w:fldChar w:fldCharType="end"/>
      </w:r>
    </w:p>
    <w:p>
      <w:pPr>
        <w:pStyle w:val="TOC8"/>
        <w:rPr>
          <w:rFonts w:asciiTheme="minorHAnsi" w:eastAsiaTheme="minorEastAsia" w:hAnsiTheme="minorHAnsi" w:cstheme="minorBidi"/>
          <w:szCs w:val="22"/>
        </w:rPr>
      </w:pPr>
      <w:r>
        <w:t>236K.</w:t>
      </w:r>
      <w:r>
        <w:tab/>
        <w:t>Prescribed fee — application for reassessment and re</w:t>
      </w:r>
      <w:r>
        <w:noBreakHyphen/>
        <w:t>rating</w:t>
      </w:r>
      <w:r>
        <w:tab/>
      </w:r>
      <w:r>
        <w:fldChar w:fldCharType="begin"/>
      </w:r>
      <w:r>
        <w:instrText xml:space="preserve"> PAGEREF _Toc207117930 \h </w:instrText>
      </w:r>
      <w:r>
        <w:fldChar w:fldCharType="separate"/>
      </w:r>
      <w:r>
        <w:t>254</w:t>
      </w:r>
      <w:r>
        <w:fldChar w:fldCharType="end"/>
      </w:r>
    </w:p>
    <w:p>
      <w:pPr>
        <w:pStyle w:val="TOC8"/>
        <w:rPr>
          <w:rFonts w:asciiTheme="minorHAnsi" w:eastAsiaTheme="minorEastAsia" w:hAnsiTheme="minorHAnsi" w:cstheme="minorBidi"/>
          <w:szCs w:val="22"/>
        </w:rPr>
      </w:pPr>
      <w:r>
        <w:t>236L.</w:t>
      </w:r>
      <w:r>
        <w:tab/>
        <w:t>Prescribed fee — application for review by Ratings Review Panel of rating level</w:t>
      </w:r>
      <w:r>
        <w:tab/>
      </w:r>
      <w:r>
        <w:fldChar w:fldCharType="begin"/>
      </w:r>
      <w:r>
        <w:instrText xml:space="preserve"> PAGEREF _Toc207117931 \h </w:instrText>
      </w:r>
      <w:r>
        <w:fldChar w:fldCharType="separate"/>
      </w:r>
      <w:r>
        <w:t>255</w:t>
      </w:r>
      <w:r>
        <w:fldChar w:fldCharType="end"/>
      </w:r>
    </w:p>
    <w:p>
      <w:pPr>
        <w:pStyle w:val="TOC8"/>
        <w:rPr>
          <w:rFonts w:asciiTheme="minorHAnsi" w:eastAsiaTheme="minorEastAsia" w:hAnsiTheme="minorHAnsi" w:cstheme="minorBidi"/>
          <w:szCs w:val="22"/>
        </w:rPr>
      </w:pPr>
      <w:r>
        <w:t>236M.</w:t>
      </w:r>
      <w:r>
        <w:tab/>
        <w:t>Prescribed fees — copy of or extract from registers</w:t>
      </w:r>
      <w:r>
        <w:tab/>
      </w:r>
      <w:r>
        <w:fldChar w:fldCharType="begin"/>
      </w:r>
      <w:r>
        <w:instrText xml:space="preserve"> PAGEREF _Toc207117932 \h </w:instrText>
      </w:r>
      <w:r>
        <w:fldChar w:fldCharType="separate"/>
      </w:r>
      <w:r>
        <w:t>258</w:t>
      </w:r>
      <w:r>
        <w:fldChar w:fldCharType="end"/>
      </w:r>
    </w:p>
    <w:p>
      <w:pPr>
        <w:pStyle w:val="TOC8"/>
        <w:rPr>
          <w:rFonts w:asciiTheme="minorHAnsi" w:eastAsiaTheme="minorEastAsia" w:hAnsiTheme="minorHAnsi" w:cstheme="minorBidi"/>
          <w:szCs w:val="22"/>
        </w:rPr>
      </w:pPr>
      <w:r>
        <w:t>236N.</w:t>
      </w:r>
      <w:r>
        <w:tab/>
        <w:t>Prescribed fees — other applications</w:t>
      </w:r>
      <w:r>
        <w:tab/>
      </w:r>
      <w:r>
        <w:fldChar w:fldCharType="begin"/>
      </w:r>
      <w:r>
        <w:instrText xml:space="preserve"> PAGEREF _Toc207117933 \h </w:instrText>
      </w:r>
      <w:r>
        <w:fldChar w:fldCharType="separate"/>
      </w:r>
      <w:r>
        <w:t>258</w:t>
      </w:r>
      <w:r>
        <w:fldChar w:fldCharType="end"/>
      </w:r>
    </w:p>
    <w:p>
      <w:pPr>
        <w:pStyle w:val="TOC8"/>
        <w:rPr>
          <w:rFonts w:asciiTheme="minorHAnsi" w:eastAsiaTheme="minorEastAsia" w:hAnsiTheme="minorHAnsi" w:cstheme="minorBidi"/>
          <w:szCs w:val="22"/>
        </w:rPr>
      </w:pPr>
      <w:r>
        <w:t>236O.</w:t>
      </w:r>
      <w:r>
        <w:tab/>
        <w:t>Relevant fee — application for qualification to be assessed for inclusion on list of approved qualifications</w:t>
      </w:r>
      <w:r>
        <w:tab/>
      </w:r>
      <w:r>
        <w:fldChar w:fldCharType="begin"/>
      </w:r>
      <w:r>
        <w:instrText xml:space="preserve"> PAGEREF _Toc207117934 \h </w:instrText>
      </w:r>
      <w:r>
        <w:fldChar w:fldCharType="separate"/>
      </w:r>
      <w:r>
        <w:t>259</w:t>
      </w:r>
      <w:r>
        <w:fldChar w:fldCharType="end"/>
      </w:r>
    </w:p>
    <w:p>
      <w:pPr>
        <w:pStyle w:val="TOC8"/>
        <w:rPr>
          <w:rFonts w:asciiTheme="minorHAnsi" w:eastAsiaTheme="minorEastAsia" w:hAnsiTheme="minorHAnsi" w:cstheme="minorBidi"/>
          <w:szCs w:val="22"/>
        </w:rPr>
      </w:pPr>
      <w:r>
        <w:t>236P.</w:t>
      </w:r>
      <w:r>
        <w:tab/>
        <w:t>Relevant fee — application for determination of equivalent qualification</w:t>
      </w:r>
      <w:r>
        <w:tab/>
      </w:r>
      <w:r>
        <w:fldChar w:fldCharType="begin"/>
      </w:r>
      <w:r>
        <w:instrText xml:space="preserve"> PAGEREF _Toc207117935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_Toc207117937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_Toc207117941 \h </w:instrText>
      </w:r>
      <w:r>
        <w:fldChar w:fldCharType="separate"/>
      </w:r>
      <w:r>
        <w:t>262</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_Toc207117942 \h </w:instrText>
      </w:r>
      <w:r>
        <w:fldChar w:fldCharType="separate"/>
      </w:r>
      <w:r>
        <w:t>263</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_Toc207117943 \h </w:instrText>
      </w:r>
      <w:r>
        <w:fldChar w:fldCharType="separate"/>
      </w:r>
      <w:r>
        <w:t>265</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_Toc207117944 \h </w:instrText>
      </w:r>
      <w:r>
        <w:fldChar w:fldCharType="separate"/>
      </w:r>
      <w:r>
        <w:t>267</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_Toc207117945 \h </w:instrText>
      </w:r>
      <w:r>
        <w:fldChar w:fldCharType="separate"/>
      </w:r>
      <w:r>
        <w:t>268</w:t>
      </w:r>
      <w:r>
        <w:fldChar w:fldCharType="end"/>
      </w:r>
    </w:p>
    <w:p>
      <w:pPr>
        <w:pStyle w:val="TOC8"/>
        <w:rPr>
          <w:rFonts w:asciiTheme="minorHAnsi" w:eastAsiaTheme="minorEastAsia" w:hAnsiTheme="minorHAnsi" w:cstheme="minorBidi"/>
          <w:szCs w:val="22"/>
        </w:rPr>
      </w:pPr>
      <w:r>
        <w:lastRenderedPageBreak/>
        <w:t>243A.</w:t>
      </w:r>
      <w:r>
        <w:tab/>
        <w:t>Persons taken to hold an approved diploma level education and care qualification for regulation 128 in Queensland</w:t>
      </w:r>
      <w:r>
        <w:tab/>
      </w:r>
      <w:r>
        <w:fldChar w:fldCharType="begin"/>
      </w:r>
      <w:r>
        <w:instrText xml:space="preserve"> PAGEREF _Toc207117946 \h </w:instrText>
      </w:r>
      <w:r>
        <w:fldChar w:fldCharType="separate"/>
      </w:r>
      <w:r>
        <w:t>269</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_Toc207117947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_Toc207117949 \h </w:instrText>
      </w:r>
      <w:r>
        <w:fldChar w:fldCharType="separate"/>
      </w:r>
      <w:r>
        <w:t>270</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_Toc207117950 \h </w:instrText>
      </w:r>
      <w:r>
        <w:fldChar w:fldCharType="separate"/>
      </w:r>
      <w:r>
        <w:t>270</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_Toc207117951 \h </w:instrText>
      </w:r>
      <w:r>
        <w:fldChar w:fldCharType="separate"/>
      </w:r>
      <w:r>
        <w:t>271</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_Toc207117952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_Toc207117954 \h </w:instrText>
      </w:r>
      <w:r>
        <w:fldChar w:fldCharType="separate"/>
      </w:r>
      <w:r>
        <w:t>273</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_Toc207117955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6"/>
        <w:tabs>
          <w:tab w:val="right" w:leader="dot" w:pos="7077"/>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_Toc207117958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_Toc207117960 \h </w:instrText>
      </w:r>
      <w:r>
        <w:fldChar w:fldCharType="separate"/>
      </w:r>
      <w:r>
        <w:t>274</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_Toc207117961 \h </w:instrText>
      </w:r>
      <w:r>
        <w:fldChar w:fldCharType="separate"/>
      </w:r>
      <w:r>
        <w:t>275</w:t>
      </w:r>
      <w:r>
        <w:fldChar w:fldCharType="end"/>
      </w:r>
    </w:p>
    <w:p>
      <w:pPr>
        <w:pStyle w:val="TOC4"/>
        <w:keepNext w:val="0"/>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keepNext w:val="0"/>
        <w:tabs>
          <w:tab w:val="right" w:leader="dot" w:pos="7077"/>
        </w:tabs>
        <w:rPr>
          <w:rFonts w:asciiTheme="minorHAnsi" w:eastAsiaTheme="minorEastAsia" w:hAnsiTheme="minorHAnsi" w:cstheme="minorBidi"/>
          <w:b w:val="0"/>
          <w:szCs w:val="22"/>
        </w:rPr>
      </w:pPr>
      <w:r>
        <w:t>Part 7.3 — New South Wales — specific provisions</w:t>
      </w:r>
    </w:p>
    <w:p>
      <w:pPr>
        <w:pStyle w:val="TOC4"/>
        <w:keepNext w:val="0"/>
        <w:tabs>
          <w:tab w:val="right" w:leader="dot" w:pos="7077"/>
        </w:tabs>
        <w:rPr>
          <w:rFonts w:asciiTheme="minorHAnsi" w:eastAsiaTheme="minorEastAsia" w:hAnsiTheme="minorHAnsi" w:cstheme="minorBidi"/>
          <w:b w:val="0"/>
          <w:szCs w:val="22"/>
        </w:rPr>
      </w:pPr>
      <w:r>
        <w:t>Part 7.4 — Northern Territory — specific provisions</w:t>
      </w:r>
    </w:p>
    <w:p>
      <w:pPr>
        <w:pStyle w:val="TOC4"/>
        <w:keepNext w:val="0"/>
        <w:tabs>
          <w:tab w:val="right" w:leader="dot" w:pos="7077"/>
        </w:tabs>
        <w:rPr>
          <w:rFonts w:asciiTheme="minorHAnsi" w:eastAsiaTheme="minorEastAsia" w:hAnsiTheme="minorHAnsi" w:cstheme="minorBidi"/>
          <w:b w:val="0"/>
          <w:szCs w:val="22"/>
        </w:rPr>
      </w:pPr>
      <w:r>
        <w:t>Part 7.5 — Queensland — specific provisions</w:t>
      </w:r>
    </w:p>
    <w:p>
      <w:pPr>
        <w:pStyle w:val="TOC4"/>
        <w:keepNext w:val="0"/>
        <w:tabs>
          <w:tab w:val="right" w:leader="dot" w:pos="7077"/>
        </w:tabs>
        <w:rPr>
          <w:rFonts w:asciiTheme="minorHAnsi" w:eastAsiaTheme="minorEastAsia" w:hAnsiTheme="minorHAnsi" w:cstheme="minorBidi"/>
          <w:b w:val="0"/>
          <w:szCs w:val="22"/>
        </w:rPr>
      </w:pPr>
      <w:r>
        <w:t>Part 7.6 — South Australia — specific provisions</w:t>
      </w:r>
    </w:p>
    <w:p>
      <w:pPr>
        <w:pStyle w:val="TOC4"/>
        <w:keepNext w:val="0"/>
        <w:tabs>
          <w:tab w:val="right" w:leader="dot" w:pos="7077"/>
        </w:tabs>
        <w:rPr>
          <w:rFonts w:asciiTheme="minorHAnsi" w:eastAsiaTheme="minorEastAsia" w:hAnsiTheme="minorHAnsi" w:cstheme="minorBidi"/>
          <w:b w:val="0"/>
          <w:szCs w:val="22"/>
        </w:rPr>
      </w:pPr>
      <w:r>
        <w:t>Part 7.7 — Tasmania — specific provisions</w:t>
      </w:r>
    </w:p>
    <w:p>
      <w:pPr>
        <w:pStyle w:val="TOC4"/>
        <w:keepNext w:val="0"/>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lastRenderedPageBreak/>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_Toc207117971 \h </w:instrText>
      </w:r>
      <w:r>
        <w:fldChar w:fldCharType="separate"/>
      </w:r>
      <w:r>
        <w:t>276</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_Toc207117972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_Toc207117974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and qualification requirements for educators — children over preschool age</w:t>
      </w:r>
      <w:r>
        <w:tab/>
      </w:r>
      <w:r>
        <w:fldChar w:fldCharType="begin"/>
      </w:r>
      <w:r>
        <w:instrText xml:space="preserve"> PAGEREF _Toc207117976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_Toc207117978 \h </w:instrText>
      </w:r>
      <w:r>
        <w:fldChar w:fldCharType="separate"/>
      </w:r>
      <w:r>
        <w:t>281</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_Toc207117979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Division 3A — Communication equipment at family day care residences and approved family day care venues</w:t>
      </w:r>
    </w:p>
    <w:p>
      <w:pPr>
        <w:pStyle w:val="TOC8"/>
        <w:rPr>
          <w:rFonts w:asciiTheme="minorHAnsi" w:eastAsiaTheme="minorEastAsia" w:hAnsiTheme="minorHAnsi" w:cstheme="minorBidi"/>
          <w:szCs w:val="22"/>
        </w:rPr>
      </w:pPr>
      <w:r>
        <w:t>373A.</w:t>
      </w:r>
      <w:r>
        <w:tab/>
        <w:t>Telephones or other communication equipment at family day care residences and approved family day care venues</w:t>
      </w:r>
      <w:r>
        <w:tab/>
      </w:r>
      <w:r>
        <w:fldChar w:fldCharType="begin"/>
      </w:r>
      <w:r>
        <w:instrText xml:space="preserve"> PAGEREF _Toc207117981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Division 3B — Swimming pools, outdoor spas and hazardous water features at family day care residences and approved family day care venues</w:t>
      </w:r>
    </w:p>
    <w:p>
      <w:pPr>
        <w:pStyle w:val="TOC8"/>
        <w:rPr>
          <w:rFonts w:asciiTheme="minorHAnsi" w:eastAsiaTheme="minorEastAsia" w:hAnsiTheme="minorHAnsi" w:cstheme="minorBidi"/>
          <w:szCs w:val="22"/>
        </w:rPr>
      </w:pPr>
      <w:r>
        <w:t>373B.</w:t>
      </w:r>
      <w:r>
        <w:tab/>
        <w:t>Terms used</w:t>
      </w:r>
      <w:r>
        <w:tab/>
      </w:r>
      <w:r>
        <w:fldChar w:fldCharType="begin"/>
      </w:r>
      <w:r>
        <w:instrText xml:space="preserve"> PAGEREF _Toc207117983 \h </w:instrText>
      </w:r>
      <w:r>
        <w:fldChar w:fldCharType="separate"/>
      </w:r>
      <w:r>
        <w:t>283</w:t>
      </w:r>
      <w:r>
        <w:fldChar w:fldCharType="end"/>
      </w:r>
    </w:p>
    <w:p>
      <w:pPr>
        <w:pStyle w:val="TOC8"/>
        <w:rPr>
          <w:rFonts w:asciiTheme="minorHAnsi" w:eastAsiaTheme="minorEastAsia" w:hAnsiTheme="minorHAnsi" w:cstheme="minorBidi"/>
          <w:szCs w:val="22"/>
        </w:rPr>
      </w:pPr>
      <w:r>
        <w:t>373C.</w:t>
      </w:r>
      <w:r>
        <w:tab/>
        <w:t>Conditions on service approval: restrictions on engaging or registering educators operating at residence or venue with swimming pool or outdoor spa</w:t>
      </w:r>
      <w:r>
        <w:tab/>
      </w:r>
      <w:r>
        <w:fldChar w:fldCharType="begin"/>
      </w:r>
      <w:r>
        <w:instrText xml:space="preserve"> PAGEREF _Toc207117984 \h </w:instrText>
      </w:r>
      <w:r>
        <w:fldChar w:fldCharType="separate"/>
      </w:r>
      <w:r>
        <w:t>284</w:t>
      </w:r>
      <w:r>
        <w:fldChar w:fldCharType="end"/>
      </w:r>
    </w:p>
    <w:p>
      <w:pPr>
        <w:pStyle w:val="TOC8"/>
        <w:rPr>
          <w:rFonts w:asciiTheme="minorHAnsi" w:eastAsiaTheme="minorEastAsia" w:hAnsiTheme="minorHAnsi" w:cstheme="minorBidi"/>
          <w:szCs w:val="22"/>
        </w:rPr>
      </w:pPr>
      <w:r>
        <w:lastRenderedPageBreak/>
        <w:t>373D.</w:t>
      </w:r>
      <w:r>
        <w:tab/>
        <w:t>Condition on service approval: register of residences and venues with swimming pool, outdoor spa or hazardous water feature</w:t>
      </w:r>
      <w:r>
        <w:tab/>
      </w:r>
      <w:r>
        <w:fldChar w:fldCharType="begin"/>
      </w:r>
      <w:r>
        <w:instrText xml:space="preserve"> PAGEREF _Toc207117985 \h </w:instrText>
      </w:r>
      <w:r>
        <w:fldChar w:fldCharType="separate"/>
      </w:r>
      <w:r>
        <w:t>286</w:t>
      </w:r>
      <w:r>
        <w:fldChar w:fldCharType="end"/>
      </w:r>
    </w:p>
    <w:p>
      <w:pPr>
        <w:pStyle w:val="TOC8"/>
        <w:rPr>
          <w:rFonts w:asciiTheme="minorHAnsi" w:eastAsiaTheme="minorEastAsia" w:hAnsiTheme="minorHAnsi" w:cstheme="minorBidi"/>
          <w:szCs w:val="22"/>
        </w:rPr>
      </w:pPr>
      <w:r>
        <w:t>373DA.</w:t>
      </w:r>
      <w:r>
        <w:tab/>
        <w:t>Condition on service approval: safety devices for swimming pools and outdoor spas</w:t>
      </w:r>
      <w:r>
        <w:tab/>
      </w:r>
      <w:r>
        <w:fldChar w:fldCharType="begin"/>
      </w:r>
      <w:r>
        <w:instrText xml:space="preserve"> PAGEREF _Toc207117986 \h </w:instrText>
      </w:r>
      <w:r>
        <w:fldChar w:fldCharType="separate"/>
      </w:r>
      <w:r>
        <w:t>287</w:t>
      </w:r>
      <w:r>
        <w:fldChar w:fldCharType="end"/>
      </w:r>
    </w:p>
    <w:p>
      <w:pPr>
        <w:pStyle w:val="TOC8"/>
        <w:rPr>
          <w:rFonts w:asciiTheme="minorHAnsi" w:eastAsiaTheme="minorEastAsia" w:hAnsiTheme="minorHAnsi" w:cstheme="minorBidi"/>
          <w:szCs w:val="22"/>
        </w:rPr>
      </w:pPr>
      <w:r>
        <w:t>373E.</w:t>
      </w:r>
      <w:r>
        <w:tab/>
        <w:t>Condition on service approval: water hazard safety inspections</w:t>
      </w:r>
      <w:r>
        <w:tab/>
      </w:r>
      <w:r>
        <w:fldChar w:fldCharType="begin"/>
      </w:r>
      <w:r>
        <w:instrText xml:space="preserve"> PAGEREF _Toc207117987 \h </w:instrText>
      </w:r>
      <w:r>
        <w:fldChar w:fldCharType="separate"/>
      </w:r>
      <w:r>
        <w:t>287</w:t>
      </w:r>
      <w:r>
        <w:fldChar w:fldCharType="end"/>
      </w:r>
    </w:p>
    <w:p>
      <w:pPr>
        <w:pStyle w:val="TOC8"/>
        <w:rPr>
          <w:rFonts w:asciiTheme="minorHAnsi" w:eastAsiaTheme="minorEastAsia" w:hAnsiTheme="minorHAnsi" w:cstheme="minorBidi"/>
          <w:szCs w:val="22"/>
        </w:rPr>
      </w:pPr>
      <w:r>
        <w:t>373F.</w:t>
      </w:r>
      <w:r>
        <w:tab/>
        <w:t>Offences relating to water hazard safety inspection reports: approved provider</w:t>
      </w:r>
      <w:r>
        <w:tab/>
      </w:r>
      <w:r>
        <w:fldChar w:fldCharType="begin"/>
      </w:r>
      <w:r>
        <w:instrText xml:space="preserve"> PAGEREF _Toc207117988 \h </w:instrText>
      </w:r>
      <w:r>
        <w:fldChar w:fldCharType="separate"/>
      </w:r>
      <w:r>
        <w:t>290</w:t>
      </w:r>
      <w:r>
        <w:fldChar w:fldCharType="end"/>
      </w:r>
    </w:p>
    <w:p>
      <w:pPr>
        <w:pStyle w:val="TOC8"/>
        <w:rPr>
          <w:rFonts w:asciiTheme="minorHAnsi" w:eastAsiaTheme="minorEastAsia" w:hAnsiTheme="minorHAnsi" w:cstheme="minorBidi"/>
          <w:szCs w:val="22"/>
        </w:rPr>
      </w:pPr>
      <w:r>
        <w:t>373G.</w:t>
      </w:r>
      <w:r>
        <w:tab/>
        <w:t>Offences relating to water hazard safety inspection reports: family day care educator</w:t>
      </w:r>
      <w:r>
        <w:tab/>
      </w:r>
      <w:r>
        <w:fldChar w:fldCharType="begin"/>
      </w:r>
      <w:r>
        <w:instrText xml:space="preserve"> PAGEREF _Toc207117989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_Toc207117991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_Toc207117993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_Toc207117995 \h </w:instrText>
      </w:r>
      <w:r>
        <w:fldChar w:fldCharType="separate"/>
      </w:r>
      <w:r>
        <w:t>294</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_Toc207117996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4"/>
        <w:tabs>
          <w:tab w:val="right" w:leader="dot" w:pos="7077"/>
        </w:tabs>
        <w:rPr>
          <w:rFonts w:asciiTheme="minorHAnsi" w:eastAsiaTheme="minorEastAsia" w:hAnsiTheme="minorHAnsi" w:cstheme="minorBidi"/>
          <w:b w:val="0"/>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_Toc207118004 \h </w:instrText>
      </w:r>
      <w:r>
        <w:fldChar w:fldCharType="separate"/>
      </w:r>
      <w:r>
        <w:t>296</w:t>
      </w:r>
      <w:r>
        <w:fldChar w:fldCharType="end"/>
      </w:r>
    </w:p>
    <w:p>
      <w:pPr>
        <w:pStyle w:val="TOC8"/>
        <w:rPr>
          <w:rFonts w:asciiTheme="minorHAnsi" w:eastAsiaTheme="minorEastAsia" w:hAnsiTheme="minorHAnsi" w:cstheme="minorBidi"/>
          <w:szCs w:val="22"/>
        </w:rPr>
      </w:pPr>
      <w:r>
        <w:t>396.</w:t>
      </w:r>
      <w:r>
        <w:tab/>
        <w:t>Quality improvement plan held prior to commencement day</w:t>
      </w:r>
      <w:r>
        <w:tab/>
      </w:r>
      <w:r>
        <w:fldChar w:fldCharType="begin"/>
      </w:r>
      <w:r>
        <w:instrText xml:space="preserve"> PAGEREF _Toc207118005 \h </w:instrText>
      </w:r>
      <w:r>
        <w:fldChar w:fldCharType="separate"/>
      </w:r>
      <w:r>
        <w:t>296</w:t>
      </w:r>
      <w:r>
        <w:fldChar w:fldCharType="end"/>
      </w:r>
    </w:p>
    <w:p>
      <w:pPr>
        <w:pStyle w:val="TOC8"/>
        <w:rPr>
          <w:rFonts w:asciiTheme="minorHAnsi" w:eastAsiaTheme="minorEastAsia" w:hAnsiTheme="minorHAnsi" w:cstheme="minorBidi"/>
          <w:szCs w:val="22"/>
        </w:rPr>
      </w:pPr>
      <w:r>
        <w:lastRenderedPageBreak/>
        <w:t>397.</w:t>
      </w:r>
      <w:r>
        <w:tab/>
        <w:t>Assessments commenced prior to commencement day</w:t>
      </w:r>
      <w:r>
        <w:tab/>
      </w:r>
      <w:r>
        <w:fldChar w:fldCharType="begin"/>
      </w:r>
      <w:r>
        <w:instrText xml:space="preserve"> PAGEREF _Toc207118006 \h </w:instrText>
      </w:r>
      <w:r>
        <w:fldChar w:fldCharType="separate"/>
      </w:r>
      <w:r>
        <w:t>297</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_Toc207118007 \h </w:instrText>
      </w:r>
      <w:r>
        <w:fldChar w:fldCharType="separate"/>
      </w:r>
      <w:r>
        <w:t>297</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_Toc207118008 \h </w:instrText>
      </w:r>
      <w:r>
        <w:fldChar w:fldCharType="separate"/>
      </w:r>
      <w:r>
        <w:t>298</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_Toc207118009 \h </w:instrText>
      </w:r>
      <w:r>
        <w:fldChar w:fldCharType="separate"/>
      </w:r>
      <w:r>
        <w:t>299</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_Toc207118010 \h </w:instrText>
      </w:r>
      <w:r>
        <w:fldChar w:fldCharType="separate"/>
      </w:r>
      <w:r>
        <w:t>299</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_Toc207118011 \h </w:instrText>
      </w:r>
      <w:r>
        <w:fldChar w:fldCharType="separate"/>
      </w:r>
      <w:r>
        <w:t>300</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_Toc207118012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4"/>
        <w:tabs>
          <w:tab w:val="right" w:leader="dot" w:pos="7077"/>
        </w:tabs>
        <w:rPr>
          <w:rFonts w:asciiTheme="minorHAnsi" w:eastAsiaTheme="minorEastAsia" w:hAnsiTheme="minorHAnsi" w:cstheme="minorBidi"/>
          <w:b w:val="0"/>
          <w:szCs w:val="22"/>
        </w:rPr>
      </w:pPr>
      <w:r>
        <w:t xml:space="preserve">Part 7.13 — Transitional and saving provisions for </w:t>
      </w:r>
      <w:r>
        <w:rPr>
          <w:i/>
        </w:rPr>
        <w:t>Education and Care Services National Amendment Regulations (No. 2) 2021</w:t>
      </w:r>
    </w:p>
    <w:p>
      <w:pPr>
        <w:pStyle w:val="TOC6"/>
        <w:tabs>
          <w:tab w:val="right" w:leader="dot" w:pos="7077"/>
        </w:tabs>
        <w:rPr>
          <w:rFonts w:asciiTheme="minorHAnsi" w:eastAsiaTheme="minorEastAsia" w:hAnsiTheme="minorHAnsi" w:cstheme="minorBidi"/>
          <w:b w:val="0"/>
          <w:sz w:val="22"/>
          <w:szCs w:val="22"/>
        </w:rPr>
      </w:pPr>
      <w:r>
        <w:t>Division 1 — General transitional and savings provision</w:t>
      </w:r>
    </w:p>
    <w:p>
      <w:pPr>
        <w:pStyle w:val="TOC8"/>
        <w:rPr>
          <w:rFonts w:asciiTheme="minorHAnsi" w:eastAsiaTheme="minorEastAsia" w:hAnsiTheme="minorHAnsi" w:cstheme="minorBidi"/>
          <w:szCs w:val="22"/>
        </w:rPr>
      </w:pPr>
      <w:r>
        <w:t>412.</w:t>
      </w:r>
      <w:r>
        <w:tab/>
        <w:t>Requirement to display information in relation to the rating of an education and care service</w:t>
      </w:r>
      <w:r>
        <w:tab/>
      </w:r>
      <w:r>
        <w:fldChar w:fldCharType="begin"/>
      </w:r>
      <w:r>
        <w:instrText xml:space="preserve"> PAGEREF _Toc207118020 \h </w:instrText>
      </w:r>
      <w:r>
        <w:fldChar w:fldCharType="separate"/>
      </w:r>
      <w:r>
        <w:t>302</w:t>
      </w:r>
      <w:r>
        <w:fldChar w:fldCharType="end"/>
      </w:r>
    </w:p>
    <w:p>
      <w:pPr>
        <w:pStyle w:val="TOC6"/>
        <w:tabs>
          <w:tab w:val="right" w:leader="dot" w:pos="7077"/>
        </w:tabs>
        <w:rPr>
          <w:rFonts w:asciiTheme="minorHAnsi" w:eastAsiaTheme="minorEastAsia" w:hAnsiTheme="minorHAnsi" w:cstheme="minorBidi"/>
          <w:b w:val="0"/>
          <w:sz w:val="22"/>
          <w:szCs w:val="22"/>
        </w:rPr>
      </w:pPr>
      <w:r>
        <w:t>Division 2 — Northern Territory</w:t>
      </w:r>
    </w:p>
    <w:p>
      <w:pPr>
        <w:pStyle w:val="TOC4"/>
        <w:keepNext w:val="0"/>
        <w:tabs>
          <w:tab w:val="right" w:leader="dot" w:pos="7077"/>
        </w:tabs>
        <w:rPr>
          <w:rFonts w:asciiTheme="minorHAnsi" w:eastAsiaTheme="minorEastAsia" w:hAnsiTheme="minorHAnsi" w:cstheme="minorBidi"/>
          <w:b w:val="0"/>
          <w:szCs w:val="22"/>
        </w:rPr>
      </w:pPr>
      <w:r>
        <w:t xml:space="preserve">Part 7.14 — Transitional and savings provisions for </w:t>
      </w:r>
      <w:r>
        <w:rPr>
          <w:i/>
        </w:rPr>
        <w:t>Education and Care Services National Amendment Regulations (No. 3) 2023</w:t>
      </w:r>
    </w:p>
    <w:p>
      <w:pPr>
        <w:pStyle w:val="TOC6"/>
        <w:keepNext w:val="0"/>
        <w:tabs>
          <w:tab w:val="right" w:leader="dot" w:pos="7077"/>
        </w:tabs>
        <w:rPr>
          <w:rFonts w:asciiTheme="minorHAnsi" w:eastAsiaTheme="minorEastAsia" w:hAnsiTheme="minorHAnsi" w:cstheme="minorBidi"/>
          <w:b w:val="0"/>
          <w:sz w:val="22"/>
          <w:szCs w:val="22"/>
        </w:rPr>
      </w:pPr>
      <w:r>
        <w:t>Division 1 — General</w:t>
      </w:r>
    </w:p>
    <w:p>
      <w:pPr>
        <w:pStyle w:val="TOC4"/>
        <w:keepLines/>
        <w:tabs>
          <w:tab w:val="right" w:leader="dot" w:pos="7077"/>
        </w:tabs>
        <w:rPr>
          <w:rFonts w:asciiTheme="minorHAnsi" w:eastAsiaTheme="minorEastAsia" w:hAnsiTheme="minorHAnsi" w:cstheme="minorBidi"/>
          <w:b w:val="0"/>
          <w:szCs w:val="22"/>
        </w:rPr>
      </w:pPr>
      <w:r>
        <w:lastRenderedPageBreak/>
        <w:t xml:space="preserve">Part 7.15 — Transitional and savings provisions for </w:t>
      </w:r>
      <w:r>
        <w:rPr>
          <w:i/>
          <w:iCs/>
        </w:rPr>
        <w:t>Education and Care Services National Amendment Regulations (No. 4) 2023</w:t>
      </w:r>
    </w:p>
    <w:p>
      <w:pPr>
        <w:pStyle w:val="TOC8"/>
        <w:rPr>
          <w:rFonts w:asciiTheme="minorHAnsi" w:eastAsiaTheme="minorEastAsia" w:hAnsiTheme="minorHAnsi" w:cstheme="minorBidi"/>
          <w:szCs w:val="22"/>
        </w:rPr>
      </w:pPr>
      <w:r>
        <w:t>415.</w:t>
      </w:r>
      <w:r>
        <w:tab/>
        <w:t>Family day care educator actively working towards qualification prior to commencement day</w:t>
      </w:r>
      <w:r>
        <w:tab/>
      </w:r>
      <w:r>
        <w:fldChar w:fldCharType="begin"/>
      </w:r>
      <w:r>
        <w:instrText xml:space="preserve"> PAGEREF _Toc207118025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2"/>
        <w:tabs>
          <w:tab w:val="right" w:leader="dot" w:pos="7077"/>
        </w:tabs>
        <w:rPr>
          <w:rFonts w:asciiTheme="minorHAnsi" w:eastAsiaTheme="minorEastAsia" w:hAnsiTheme="minorHAnsi" w:cstheme="minorBidi"/>
          <w:b w:val="0"/>
          <w:sz w:val="22"/>
          <w:szCs w:val="22"/>
        </w:rPr>
      </w:pPr>
      <w:r>
        <w:t>Schedule 2 — Prescribed fees for period beginning on commencement day and ending on 30 June 2023</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_Toc207118031 \h </w:instrText>
      </w:r>
      <w:r>
        <w:fldChar w:fldCharType="separate"/>
      </w:r>
      <w:r>
        <w:t>326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_Toc207118032 \h </w:instrText>
      </w:r>
      <w:r>
        <w:fldChar w:fldCharType="separate"/>
      </w:r>
      <w:r>
        <w:t>329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_Toc207118033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2" w:name="_Toc207098787"/>
      <w:bookmarkStart w:id="3" w:name="_Toc207110308"/>
      <w:bookmarkStart w:id="4" w:name="_Toc207117591"/>
      <w:r>
        <w:rPr>
          <w:rStyle w:val="CharPartNo"/>
        </w:rPr>
        <w:t>Chapter 1</w:t>
      </w:r>
      <w:r>
        <w:rPr>
          <w:rStyle w:val="CharDivNo"/>
        </w:rPr>
        <w:t> </w:t>
      </w:r>
      <w:r>
        <w:t>—</w:t>
      </w:r>
      <w:r>
        <w:rPr>
          <w:rStyle w:val="CharDivText"/>
        </w:rPr>
        <w:t> </w:t>
      </w:r>
      <w:r>
        <w:rPr>
          <w:rStyle w:val="CharPartText"/>
        </w:rPr>
        <w:t>Preliminary</w:t>
      </w:r>
      <w:bookmarkEnd w:id="2"/>
      <w:bookmarkEnd w:id="3"/>
      <w:bookmarkEnd w:id="4"/>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5" w:name="_Toc207117592"/>
      <w:r>
        <w:rPr>
          <w:rStyle w:val="CharSectno"/>
        </w:rPr>
        <w:t>1</w:t>
      </w:r>
      <w:r>
        <w:t>.</w:t>
      </w:r>
      <w:r>
        <w:tab/>
        <w:t>Citation</w:t>
      </w:r>
      <w:bookmarkEnd w:id="5"/>
    </w:p>
    <w:p>
      <w:pPr>
        <w:pStyle w:val="Subsection"/>
      </w:pPr>
      <w:r>
        <w:tab/>
      </w:r>
      <w:r>
        <w:tab/>
      </w:r>
      <w:bookmarkStart w:id="6" w:name="Start_Cursor"/>
      <w:bookmarkEnd w:id="6"/>
      <w:r>
        <w:t xml:space="preserve">These Regulations are the </w:t>
      </w:r>
      <w:r>
        <w:rPr>
          <w:i/>
        </w:rPr>
        <w:t>Education and Care Services National Regulations 2012</w:t>
      </w:r>
      <w:r>
        <w:t>.</w:t>
      </w:r>
    </w:p>
    <w:p>
      <w:pPr>
        <w:pStyle w:val="Heading5"/>
      </w:pPr>
      <w:bookmarkStart w:id="7" w:name="_Toc207117593"/>
      <w:r>
        <w:rPr>
          <w:rStyle w:val="CharSectno"/>
        </w:rPr>
        <w:t>2</w:t>
      </w:r>
      <w:r>
        <w:t>.</w:t>
      </w:r>
      <w:r>
        <w:tab/>
        <w:t>Authorising provisions</w:t>
      </w:r>
      <w:bookmarkEnd w:id="7"/>
    </w:p>
    <w:p>
      <w:pPr>
        <w:pStyle w:val="Subsection"/>
      </w:pPr>
      <w:r>
        <w:tab/>
      </w:r>
      <w:r>
        <w:tab/>
        <w:t xml:space="preserve">These Regulations are made under sections 301 and 324 of the </w:t>
      </w:r>
      <w:r>
        <w:rPr>
          <w:i/>
        </w:rPr>
        <w:t>Education and Care Services National Law</w:t>
      </w:r>
      <w:r>
        <w:t>.</w:t>
      </w:r>
    </w:p>
    <w:p>
      <w:pPr>
        <w:pStyle w:val="Heading5"/>
      </w:pPr>
      <w:bookmarkStart w:id="8" w:name="_Toc207117594"/>
      <w:r>
        <w:rPr>
          <w:rStyle w:val="CharSectno"/>
        </w:rPr>
        <w:t>3</w:t>
      </w:r>
      <w:r>
        <w:t>.</w:t>
      </w:r>
      <w:r>
        <w:tab/>
        <w:t>Commencement</w:t>
      </w:r>
      <w:bookmarkEnd w:id="8"/>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9" w:name="_Toc207117595"/>
      <w:r>
        <w:rPr>
          <w:rStyle w:val="CharSectno"/>
        </w:rPr>
        <w:lastRenderedPageBreak/>
        <w:t>4</w:t>
      </w:r>
      <w:r>
        <w:t>.</w:t>
      </w:r>
      <w:r>
        <w:tab/>
        <w:t>Definitions</w:t>
      </w:r>
      <w:bookmarkEnd w:id="9"/>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lastRenderedPageBreak/>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 xml:space="preserve">whether the individual is or has been subject to a formal disciplinary proceeding or action under an education law </w:t>
      </w:r>
      <w:r>
        <w:lastRenderedPageBreak/>
        <w:t>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lastRenderedPageBreak/>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multi</w:t>
      </w:r>
      <w:r>
        <w:rPr>
          <w:rStyle w:val="CharDefText"/>
        </w:rPr>
        <w:noBreakHyphen/>
        <w:t>storey building</w:t>
      </w:r>
      <w:r>
        <w:t xml:space="preserve"> means a building with more than 2 storeys;</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tab/>
      </w:r>
      <w:r>
        <w:rPr>
          <w:rStyle w:val="CharDefText"/>
        </w:rPr>
        <w:t>optical surveillance device</w:t>
      </w:r>
      <w:r>
        <w:t xml:space="preserve"> has the same meaning as in the </w:t>
      </w:r>
      <w:r>
        <w:rPr>
          <w:i/>
        </w:rPr>
        <w:t>Surveillance Devices Act 2004</w:t>
      </w:r>
      <w:r>
        <w:t xml:space="preserve"> (Commonwealth) section 6(1);</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keepNext/>
      </w:pPr>
      <w:r>
        <w:lastRenderedPageBreak/>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lastRenderedPageBreak/>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rPr>
          <w:bCs/>
        </w:rPr>
        <w:tab/>
      </w:r>
      <w:r>
        <w:rPr>
          <w:rStyle w:val="CharDefText"/>
        </w:rPr>
        <w:t>storey</w:t>
      </w:r>
      <w:r>
        <w:t xml:space="preserve">, of a building, includes the following — </w:t>
      </w:r>
    </w:p>
    <w:p>
      <w:pPr>
        <w:pStyle w:val="Defpara"/>
      </w:pPr>
      <w:r>
        <w:tab/>
        <w:t>(a)</w:t>
      </w:r>
      <w:r>
        <w:tab/>
        <w:t>the ground level;</w:t>
      </w:r>
    </w:p>
    <w:p>
      <w:pPr>
        <w:pStyle w:val="Defpara"/>
      </w:pPr>
      <w:r>
        <w:tab/>
        <w:t>(b)</w:t>
      </w:r>
      <w:r>
        <w:tab/>
        <w:t>a level of a split level;</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pPr>
      <w:r>
        <w:tab/>
      </w:r>
      <w:r>
        <w:rPr>
          <w:rStyle w:val="CharDefText"/>
        </w:rPr>
        <w:t>vaping device</w:t>
      </w:r>
      <w:r>
        <w:t xml:space="preserve"> has the same meaning as in the </w:t>
      </w:r>
      <w:r>
        <w:rPr>
          <w:i/>
        </w:rPr>
        <w:t>Therapeutic Goods Act 1989</w:t>
      </w:r>
      <w:r>
        <w:t xml:space="preserve"> (Commonwealth) section 41P;</w:t>
      </w:r>
    </w:p>
    <w:p>
      <w:pPr>
        <w:pStyle w:val="Defstart"/>
      </w:pPr>
      <w:r>
        <w:lastRenderedPageBreak/>
        <w:tab/>
      </w:r>
      <w:r>
        <w:rPr>
          <w:rStyle w:val="CharDefText"/>
        </w:rPr>
        <w:t>vaping substance</w:t>
      </w:r>
      <w:r>
        <w:t xml:space="preserve"> has the same meaning as in the </w:t>
      </w:r>
      <w:r>
        <w:rPr>
          <w:i/>
        </w:rPr>
        <w:t>Therapeutic Goods Act 1989</w:t>
      </w:r>
      <w:r>
        <w:t xml:space="preserve"> (Commonwealth) section 41P;</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 SL 2023/186 r. 4; SL 2025/150 r. 4.]</w:t>
      </w:r>
    </w:p>
    <w:p>
      <w:pPr>
        <w:pStyle w:val="Heading5"/>
        <w:spacing w:before="260"/>
      </w:pPr>
      <w:bookmarkStart w:id="10" w:name="_Toc207117596"/>
      <w:r>
        <w:rPr>
          <w:rStyle w:val="CharSectno"/>
        </w:rPr>
        <w:lastRenderedPageBreak/>
        <w:t>5</w:t>
      </w:r>
      <w:r>
        <w:t>.</w:t>
      </w:r>
      <w:r>
        <w:tab/>
        <w:t>Services that are not education and care services</w:t>
      </w:r>
      <w:bookmarkEnd w:id="10"/>
      <w:r>
        <w:t xml:space="preserve"> </w:t>
      </w:r>
    </w:p>
    <w:p>
      <w:pPr>
        <w:pStyle w:val="Subsection"/>
        <w:keepLines/>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lastRenderedPageBreak/>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 xml:space="preserve">a secondary school or college providing education and care to the children of students attending the school or college where a parent of each child retains </w:t>
      </w:r>
      <w:r>
        <w:lastRenderedPageBreak/>
        <w:t>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lastRenderedPageBreak/>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1" w:name="_Toc207117597"/>
      <w:r>
        <w:rPr>
          <w:rStyle w:val="CharSectno"/>
        </w:rPr>
        <w:t>6</w:t>
      </w:r>
      <w:r>
        <w:t>.</w:t>
      </w:r>
      <w:r>
        <w:tab/>
        <w:t>Eligible association</w:t>
      </w:r>
      <w:bookmarkEnd w:id="11"/>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2" w:name="_Toc207117598"/>
      <w:r>
        <w:rPr>
          <w:rStyle w:val="CharSectno"/>
        </w:rPr>
        <w:t>7</w:t>
      </w:r>
      <w:r>
        <w:t>.</w:t>
      </w:r>
      <w:r>
        <w:tab/>
        <w:t>Prescribed rating system</w:t>
      </w:r>
      <w:bookmarkEnd w:id="12"/>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w:t>
      </w:r>
      <w:r>
        <w:lastRenderedPageBreak/>
        <w:t>of the Law, the prescribed rating system is set out in Parts 3.2 to 3.5.</w:t>
      </w:r>
    </w:p>
    <w:p>
      <w:pPr>
        <w:pStyle w:val="Heading5"/>
      </w:pPr>
      <w:bookmarkStart w:id="13" w:name="_Toc207117599"/>
      <w:r>
        <w:rPr>
          <w:rStyle w:val="CharSectno"/>
        </w:rPr>
        <w:t>8</w:t>
      </w:r>
      <w:r>
        <w:t>.</w:t>
      </w:r>
      <w:r>
        <w:tab/>
        <w:t>National Quality Standard</w:t>
      </w:r>
      <w:bookmarkEnd w:id="13"/>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4" w:name="_Toc207117600"/>
      <w:r>
        <w:rPr>
          <w:rStyle w:val="CharSectno"/>
        </w:rPr>
        <w:t>9</w:t>
      </w:r>
      <w:r>
        <w:t>.</w:t>
      </w:r>
      <w:r>
        <w:tab/>
        <w:t>Prescribed entities</w:t>
      </w:r>
      <w:bookmarkEnd w:id="14"/>
    </w:p>
    <w:p>
      <w:pPr>
        <w:pStyle w:val="Subsection"/>
        <w:keepNext/>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15" w:name="_Toc207117601"/>
      <w:r>
        <w:rPr>
          <w:rStyle w:val="CharSectno"/>
        </w:rPr>
        <w:t>10</w:t>
      </w:r>
      <w:r>
        <w:t>.</w:t>
      </w:r>
      <w:r>
        <w:tab/>
        <w:t xml:space="preserve">Meaning of </w:t>
      </w:r>
      <w:r>
        <w:rPr>
          <w:i/>
        </w:rPr>
        <w:t>actively working towards</w:t>
      </w:r>
      <w:r>
        <w:t xml:space="preserve"> a qualification</w:t>
      </w:r>
      <w:bookmarkEnd w:id="15"/>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lastRenderedPageBreak/>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6" w:name="_Toc207117602"/>
      <w:r>
        <w:rPr>
          <w:rStyle w:val="CharSectno"/>
        </w:rPr>
        <w:t>11</w:t>
      </w:r>
      <w:r>
        <w:t>.</w:t>
      </w:r>
      <w:r>
        <w:tab/>
        <w:t xml:space="preserve">Meaning of </w:t>
      </w:r>
      <w:r>
        <w:rPr>
          <w:i/>
        </w:rPr>
        <w:t>in attendance</w:t>
      </w:r>
      <w:r>
        <w:t xml:space="preserve"> at a centre</w:t>
      </w:r>
      <w:r>
        <w:noBreakHyphen/>
        <w:t>based service</w:t>
      </w:r>
      <w:bookmarkEnd w:id="16"/>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7" w:name="_Toc207117603"/>
      <w:r>
        <w:rPr>
          <w:rStyle w:val="CharSectno"/>
        </w:rPr>
        <w:lastRenderedPageBreak/>
        <w:t>12</w:t>
      </w:r>
      <w:r>
        <w:t>.</w:t>
      </w:r>
      <w:r>
        <w:tab/>
        <w:t xml:space="preserve">Meaning of </w:t>
      </w:r>
      <w:r>
        <w:rPr>
          <w:i/>
        </w:rPr>
        <w:t>serious incident</w:t>
      </w:r>
      <w:bookmarkEnd w:id="17"/>
    </w:p>
    <w:p>
      <w:pPr>
        <w:pStyle w:val="Subsection"/>
        <w:keepNext/>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keepNext/>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lastRenderedPageBreak/>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8" w:name="_Toc207117604"/>
      <w:r>
        <w:rPr>
          <w:rStyle w:val="CharSectno"/>
        </w:rPr>
        <w:t>13</w:t>
      </w:r>
      <w:r>
        <w:t>.</w:t>
      </w:r>
      <w:r>
        <w:tab/>
        <w:t xml:space="preserve">Meaning of </w:t>
      </w:r>
      <w:r>
        <w:rPr>
          <w:i/>
        </w:rPr>
        <w:t>working directly with children</w:t>
      </w:r>
      <w:bookmarkEnd w:id="18"/>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9" w:name="_Toc207098801"/>
      <w:bookmarkStart w:id="20" w:name="_Toc207110322"/>
      <w:bookmarkStart w:id="21" w:name="_Toc207117605"/>
      <w:r>
        <w:rPr>
          <w:rStyle w:val="CharPartNo"/>
        </w:rPr>
        <w:lastRenderedPageBreak/>
        <w:t>Chapter 2</w:t>
      </w:r>
      <w:r>
        <w:t> — </w:t>
      </w:r>
      <w:r>
        <w:rPr>
          <w:rStyle w:val="CharPartText"/>
        </w:rPr>
        <w:t>Approvals</w:t>
      </w:r>
      <w:bookmarkEnd w:id="19"/>
      <w:bookmarkEnd w:id="20"/>
      <w:bookmarkEnd w:id="21"/>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22" w:name="_Toc207098802"/>
      <w:bookmarkStart w:id="23" w:name="_Toc207110323"/>
      <w:bookmarkStart w:id="24" w:name="_Toc207117606"/>
      <w:r>
        <w:rPr>
          <w:rStyle w:val="CharDivNo"/>
        </w:rPr>
        <w:t>Part 2.1</w:t>
      </w:r>
      <w:r>
        <w:t> — </w:t>
      </w:r>
      <w:r>
        <w:rPr>
          <w:rStyle w:val="CharDivText"/>
        </w:rPr>
        <w:t>Provider approvals</w:t>
      </w:r>
      <w:bookmarkEnd w:id="22"/>
      <w:bookmarkEnd w:id="23"/>
      <w:bookmarkEnd w:id="24"/>
    </w:p>
    <w:p>
      <w:pPr>
        <w:pStyle w:val="Heading5"/>
      </w:pPr>
      <w:bookmarkStart w:id="25" w:name="_Toc207117607"/>
      <w:r>
        <w:rPr>
          <w:rStyle w:val="CharSectno"/>
        </w:rPr>
        <w:t>14</w:t>
      </w:r>
      <w:r>
        <w:t>.</w:t>
      </w:r>
      <w:r>
        <w:tab/>
        <w:t>Application for provider approval by individual</w:t>
      </w:r>
      <w:bookmarkEnd w:id="25"/>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lastRenderedPageBreak/>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6" w:name="_Toc207117608"/>
      <w:r>
        <w:rPr>
          <w:rStyle w:val="CharSectno"/>
        </w:rPr>
        <w:t>15</w:t>
      </w:r>
      <w:r>
        <w:t>.</w:t>
      </w:r>
      <w:r>
        <w:tab/>
        <w:t>Application for provider approval by person other than an individual</w:t>
      </w:r>
      <w:bookmarkEnd w:id="26"/>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27" w:name="_Toc207117609"/>
      <w:r>
        <w:rPr>
          <w:rStyle w:val="CharSectno"/>
        </w:rPr>
        <w:t>16</w:t>
      </w:r>
      <w:r>
        <w:t>.</w:t>
      </w:r>
      <w:r>
        <w:tab/>
        <w:t>Matters relating to criminal history</w:t>
      </w:r>
      <w:bookmarkEnd w:id="27"/>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8" w:name="_Toc207117610"/>
      <w:r>
        <w:rPr>
          <w:rStyle w:val="CharSectno"/>
        </w:rPr>
        <w:t>17</w:t>
      </w:r>
      <w:r>
        <w:t>.</w:t>
      </w:r>
      <w:r>
        <w:tab/>
        <w:t>Application for amendment of provider approval</w:t>
      </w:r>
      <w:bookmarkEnd w:id="28"/>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9" w:name="_Toc207117611"/>
      <w:r>
        <w:rPr>
          <w:rStyle w:val="CharSectno"/>
        </w:rPr>
        <w:lastRenderedPageBreak/>
        <w:t>18</w:t>
      </w:r>
      <w:r>
        <w:t>.</w:t>
      </w:r>
      <w:r>
        <w:tab/>
        <w:t>Maximum period of suspension of provider approval</w:t>
      </w:r>
      <w:bookmarkEnd w:id="29"/>
      <w:r>
        <w:t xml:space="preserve"> </w:t>
      </w:r>
    </w:p>
    <w:p>
      <w:pPr>
        <w:pStyle w:val="Subsection"/>
      </w:pPr>
      <w:r>
        <w:tab/>
      </w:r>
      <w:r>
        <w:tab/>
        <w:t>The prescribed maximum period of suspension of a provider approval under section 27(a) or 33(1)(a)(ii) of the Law is 12 months.</w:t>
      </w:r>
    </w:p>
    <w:p>
      <w:pPr>
        <w:pStyle w:val="Heading5"/>
      </w:pPr>
      <w:bookmarkStart w:id="30" w:name="_Toc207117612"/>
      <w:r>
        <w:rPr>
          <w:rStyle w:val="CharSectno"/>
        </w:rPr>
        <w:t>19</w:t>
      </w:r>
      <w:r>
        <w:t>.</w:t>
      </w:r>
      <w:r>
        <w:tab/>
        <w:t>Application for voluntary suspension of provider approval</w:t>
      </w:r>
      <w:bookmarkEnd w:id="30"/>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1" w:name="_Toc207117613"/>
      <w:r>
        <w:rPr>
          <w:rStyle w:val="CharSectno"/>
        </w:rPr>
        <w:t>20</w:t>
      </w:r>
      <w:r>
        <w:t>.</w:t>
      </w:r>
      <w:r>
        <w:tab/>
        <w:t>Application by individual executor for provider approval</w:t>
      </w:r>
      <w:bookmarkEnd w:id="31"/>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32" w:name="_Toc207117614"/>
      <w:r>
        <w:rPr>
          <w:rStyle w:val="CharSectno"/>
        </w:rPr>
        <w:t>21</w:t>
      </w:r>
      <w:r>
        <w:t>.</w:t>
      </w:r>
      <w:r>
        <w:tab/>
        <w:t>Application by executor other than an individual for provider approval</w:t>
      </w:r>
      <w:bookmarkEnd w:id="32"/>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3" w:name="_Toc207117615"/>
      <w:r>
        <w:rPr>
          <w:rStyle w:val="CharSectno"/>
        </w:rPr>
        <w:t>22</w:t>
      </w:r>
      <w:r>
        <w:t>.</w:t>
      </w:r>
      <w:r>
        <w:tab/>
        <w:t>Application by individual for provider approval on incapacity of approved provider</w:t>
      </w:r>
      <w:bookmarkEnd w:id="33"/>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keepNext/>
        <w:tabs>
          <w:tab w:val="left" w:pos="851"/>
          <w:tab w:val="left" w:pos="1418"/>
        </w:tabs>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 xml:space="preserve">if a criminal history record check has been provided under paragraph (h)(ii), a criminal history statement made by the applicant in relation to the period after the </w:t>
      </w:r>
      <w:r>
        <w:lastRenderedPageBreak/>
        <w:t>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34" w:name="_Toc207117616"/>
      <w:r>
        <w:rPr>
          <w:rStyle w:val="CharSectno"/>
        </w:rPr>
        <w:t>23</w:t>
      </w:r>
      <w:r>
        <w:t>.</w:t>
      </w:r>
      <w:r>
        <w:tab/>
        <w:t>Application by person other than an individual for provider approval on incapacity of approved provider</w:t>
      </w:r>
      <w:bookmarkEnd w:id="34"/>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lastRenderedPageBreak/>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5" w:name="_Toc207098813"/>
      <w:bookmarkStart w:id="36" w:name="_Toc207110334"/>
      <w:bookmarkStart w:id="37" w:name="_Toc207117617"/>
      <w:r>
        <w:rPr>
          <w:rStyle w:val="CharDivNo"/>
        </w:rPr>
        <w:t>Part 2.2</w:t>
      </w:r>
      <w:r>
        <w:t> — </w:t>
      </w:r>
      <w:r>
        <w:rPr>
          <w:rStyle w:val="CharDivText"/>
        </w:rPr>
        <w:t>Service approvals</w:t>
      </w:r>
      <w:bookmarkEnd w:id="35"/>
      <w:bookmarkEnd w:id="36"/>
      <w:bookmarkEnd w:id="37"/>
    </w:p>
    <w:p>
      <w:pPr>
        <w:pStyle w:val="Heading4"/>
      </w:pPr>
      <w:bookmarkStart w:id="38" w:name="_Toc207098814"/>
      <w:bookmarkStart w:id="39" w:name="_Toc207110335"/>
      <w:bookmarkStart w:id="40" w:name="_Toc207117618"/>
      <w:r>
        <w:t>Division 1 — Applications for service approvals</w:t>
      </w:r>
      <w:bookmarkEnd w:id="38"/>
      <w:bookmarkEnd w:id="39"/>
      <w:bookmarkEnd w:id="40"/>
    </w:p>
    <w:p>
      <w:pPr>
        <w:pStyle w:val="Heading5"/>
      </w:pPr>
      <w:bookmarkStart w:id="41" w:name="_Toc207117619"/>
      <w:r>
        <w:rPr>
          <w:rStyle w:val="CharSectno"/>
        </w:rPr>
        <w:t>24</w:t>
      </w:r>
      <w:r>
        <w:t>.</w:t>
      </w:r>
      <w:r>
        <w:tab/>
        <w:t>Application for service approval — centre</w:t>
      </w:r>
      <w:r>
        <w:noBreakHyphen/>
        <w:t>based service</w:t>
      </w:r>
      <w:bookmarkEnd w:id="41"/>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lastRenderedPageBreak/>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42" w:name="_Toc207117620"/>
      <w:r>
        <w:rPr>
          <w:rStyle w:val="CharSectno"/>
        </w:rPr>
        <w:lastRenderedPageBreak/>
        <w:t>25</w:t>
      </w:r>
      <w:r>
        <w:t>.</w:t>
      </w:r>
      <w:r>
        <w:tab/>
        <w:t>Additional information about proposed education and care service premises</w:t>
      </w:r>
      <w:bookmarkEnd w:id="42"/>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pPr>
      <w:r>
        <w:lastRenderedPageBreak/>
        <w:tab/>
        <w:t>(ba)</w:t>
      </w:r>
      <w:r>
        <w:tab/>
        <w:t>if the proposed education and care service premises will be located within a multi</w:t>
      </w:r>
      <w:r>
        <w:noBreakHyphen/>
        <w:t xml:space="preserve">storey building shared with other occupants — </w:t>
      </w:r>
    </w:p>
    <w:p>
      <w:pPr>
        <w:pStyle w:val="Indenti"/>
      </w:pPr>
      <w:r>
        <w:tab/>
        <w:t>(i)</w:t>
      </w:r>
      <w:r>
        <w:tab/>
        <w:t>the total number of storeys in the building; and</w:t>
      </w:r>
    </w:p>
    <w:p>
      <w:pPr>
        <w:pStyle w:val="Indenti"/>
      </w:pPr>
      <w:r>
        <w:tab/>
        <w:t>(ii)</w:t>
      </w:r>
      <w:r>
        <w:tab/>
        <w:t>the storey or storeys on which the premises will be located; and</w:t>
      </w:r>
    </w:p>
    <w:p>
      <w:pPr>
        <w:pStyle w:val="Indenti"/>
      </w:pPr>
      <w:r>
        <w:tab/>
        <w:t>(iii)</w:t>
      </w:r>
      <w:r>
        <w:tab/>
        <w:t>if the premises will be located on more than 1 storey — the ages of the children who will attend on each storey;</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lastRenderedPageBreak/>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 SL 2023/186 r. 5.]</w:t>
      </w:r>
    </w:p>
    <w:p>
      <w:pPr>
        <w:pStyle w:val="Heading5"/>
      </w:pPr>
      <w:bookmarkStart w:id="43" w:name="_Toc207117621"/>
      <w:r>
        <w:rPr>
          <w:rStyle w:val="CharSectno"/>
        </w:rPr>
        <w:t>25A</w:t>
      </w:r>
      <w:r>
        <w:t>.</w:t>
      </w:r>
      <w:r>
        <w:tab/>
        <w:t>Application for service approval for a centre</w:t>
      </w:r>
      <w:r>
        <w:noBreakHyphen/>
        <w:t>based service — relocation of existing centre</w:t>
      </w:r>
      <w:r>
        <w:noBreakHyphen/>
        <w:t>based service</w:t>
      </w:r>
      <w:bookmarkEnd w:id="43"/>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44" w:name="_Toc207117622"/>
      <w:r>
        <w:rPr>
          <w:rStyle w:val="CharSectno"/>
        </w:rPr>
        <w:t>26</w:t>
      </w:r>
      <w:r>
        <w:t>.</w:t>
      </w:r>
      <w:r>
        <w:tab/>
        <w:t>Application for service approval — family day care service</w:t>
      </w:r>
      <w:bookmarkEnd w:id="44"/>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lastRenderedPageBreak/>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lastRenderedPageBreak/>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if the proposed family day care venue will be located within a multi</w:t>
      </w:r>
      <w:r>
        <w:noBreakHyphen/>
        <w:t>storey building shared with other occupants — the information specified in subregulation (3);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 xml:space="preserve">an assessment (including any risk assessment) of the place conducted by the approved provider to </w:t>
      </w:r>
      <w:r>
        <w:lastRenderedPageBreak/>
        <w:t>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Subsection"/>
      </w:pPr>
      <w:r>
        <w:tab/>
        <w:t>(3)</w:t>
      </w:r>
      <w:r>
        <w:tab/>
        <w:t xml:space="preserve">For the purposes of subregulation (1)(n)(ia), the application must include the following information — </w:t>
      </w:r>
    </w:p>
    <w:p>
      <w:pPr>
        <w:pStyle w:val="Indenta"/>
      </w:pPr>
      <w:r>
        <w:tab/>
        <w:t>(a)</w:t>
      </w:r>
      <w:r>
        <w:tab/>
        <w:t>the total number of storeys in the building;</w:t>
      </w:r>
    </w:p>
    <w:p>
      <w:pPr>
        <w:pStyle w:val="Indenta"/>
      </w:pPr>
      <w:r>
        <w:tab/>
        <w:t>(b)</w:t>
      </w:r>
      <w:r>
        <w:tab/>
        <w:t>the storey or storeys on which the venue will be located;</w:t>
      </w:r>
    </w:p>
    <w:p>
      <w:pPr>
        <w:pStyle w:val="Indenta"/>
      </w:pPr>
      <w:r>
        <w:tab/>
        <w:t>(c)</w:t>
      </w:r>
      <w:r>
        <w:tab/>
        <w:t>if the venue will be located on more than 1 storey — the ages of the children who will attend on each storey.</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 SL 2023/186 r. 6.]</w:t>
      </w:r>
    </w:p>
    <w:p>
      <w:pPr>
        <w:pStyle w:val="Heading5"/>
      </w:pPr>
      <w:bookmarkStart w:id="45" w:name="_Toc207117623"/>
      <w:r>
        <w:rPr>
          <w:rStyle w:val="CharSectno"/>
        </w:rPr>
        <w:t>27</w:t>
      </w:r>
      <w:r>
        <w:t>.</w:t>
      </w:r>
      <w:r>
        <w:tab/>
        <w:t>Additional matters to have regard to in determining application for service approval</w:t>
      </w:r>
      <w:bookmarkEnd w:id="45"/>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Indenta"/>
        <w:keepNext/>
      </w:pPr>
      <w:r>
        <w:tab/>
        <w:t>(c)</w:t>
      </w:r>
      <w:r>
        <w:tab/>
        <w:t>in the case of a proposed family day care venue or centre</w:t>
      </w:r>
      <w:r>
        <w:noBreakHyphen/>
        <w:t>based service to be located within a multi</w:t>
      </w:r>
      <w:r>
        <w:noBreakHyphen/>
        <w:t xml:space="preserve">storey building shared with other occupants, for each storey on which the venue or service is proposed to be located, whether there is direct egress to an assembly area to </w:t>
      </w:r>
      <w:r>
        <w:lastRenderedPageBreak/>
        <w:t>allow the safe evacuation of all children attending the venue or service, including non</w:t>
      </w:r>
      <w:r>
        <w:noBreakHyphen/>
        <w:t xml:space="preserve">ambulatory children. </w:t>
      </w:r>
    </w:p>
    <w:p>
      <w:pPr>
        <w:pStyle w:val="PermNoteHeading"/>
      </w:pPr>
      <w:r>
        <w:tab/>
        <w:t>Note for this regulation:</w:t>
      </w:r>
    </w:p>
    <w:p>
      <w:pPr>
        <w:pStyle w:val="PermNoteText"/>
      </w:pPr>
      <w:r>
        <w:tab/>
      </w:r>
      <w:r>
        <w:tab/>
        <w:t>See section 47(1)(g) of the Law.</w:t>
      </w:r>
    </w:p>
    <w:p>
      <w:pPr>
        <w:pStyle w:val="Footnotesection"/>
      </w:pPr>
      <w:r>
        <w:tab/>
        <w:t>[Regulation 27 amended: SL 2023/186 r. 7.]</w:t>
      </w:r>
    </w:p>
    <w:p>
      <w:pPr>
        <w:pStyle w:val="Heading5"/>
      </w:pPr>
      <w:bookmarkStart w:id="46" w:name="_Toc207117624"/>
      <w:r>
        <w:rPr>
          <w:rStyle w:val="CharSectno"/>
        </w:rPr>
        <w:t>28</w:t>
      </w:r>
      <w:r>
        <w:t>.</w:t>
      </w:r>
      <w:r>
        <w:tab/>
        <w:t>Additional grounds for refusal to grant service approval</w:t>
      </w:r>
      <w:bookmarkEnd w:id="46"/>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47" w:name="_Toc207117625"/>
      <w:r>
        <w:rPr>
          <w:rStyle w:val="CharSectno"/>
        </w:rPr>
        <w:lastRenderedPageBreak/>
        <w:t>29</w:t>
      </w:r>
      <w:r>
        <w:t>.</w:t>
      </w:r>
      <w:r>
        <w:tab/>
        <w:t>Condition on service approval — insurance</w:t>
      </w:r>
      <w:bookmarkEnd w:id="47"/>
      <w:r>
        <w:t xml:space="preserve"> </w:t>
      </w:r>
    </w:p>
    <w:p>
      <w:pPr>
        <w:pStyle w:val="Subsection"/>
        <w:keepNext/>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48" w:name="_Toc207117626"/>
      <w:r>
        <w:rPr>
          <w:rStyle w:val="CharSectno"/>
        </w:rPr>
        <w:t>30</w:t>
      </w:r>
      <w:r>
        <w:t>.</w:t>
      </w:r>
      <w:r>
        <w:tab/>
        <w:t>Condition on service approval — family day care educator insurance</w:t>
      </w:r>
      <w:bookmarkEnd w:id="48"/>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49" w:name="_Toc207117627"/>
      <w:r>
        <w:rPr>
          <w:rStyle w:val="CharSectno"/>
        </w:rPr>
        <w:t>31</w:t>
      </w:r>
      <w:r>
        <w:t>.</w:t>
      </w:r>
      <w:r>
        <w:tab/>
        <w:t>Condition on service approval — quality improvement plan</w:t>
      </w:r>
      <w:bookmarkEnd w:id="49"/>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lastRenderedPageBreak/>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50" w:name="_Toc207117628"/>
      <w:r>
        <w:rPr>
          <w:rStyle w:val="CharSectno"/>
        </w:rPr>
        <w:t>32</w:t>
      </w:r>
      <w:r>
        <w:t>.</w:t>
      </w:r>
      <w:r>
        <w:tab/>
        <w:t>Condition on service approval — entitlement to occupy premises</w:t>
      </w:r>
      <w:bookmarkEnd w:id="50"/>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51" w:name="_Toc207117629"/>
      <w:r>
        <w:rPr>
          <w:rStyle w:val="CharSectno"/>
        </w:rPr>
        <w:t>32A</w:t>
      </w:r>
      <w:r>
        <w:t>.</w:t>
      </w:r>
      <w:r>
        <w:tab/>
        <w:t>Condition on service approval — maximum number of family day care educators</w:t>
      </w:r>
      <w:bookmarkEnd w:id="51"/>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52" w:name="_Toc207117630"/>
      <w:r>
        <w:rPr>
          <w:rStyle w:val="CharSectno"/>
        </w:rPr>
        <w:lastRenderedPageBreak/>
        <w:t>33</w:t>
      </w:r>
      <w:r>
        <w:t>.</w:t>
      </w:r>
      <w:r>
        <w:tab/>
        <w:t>Annual fees</w:t>
      </w:r>
      <w:bookmarkEnd w:id="52"/>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53" w:name="_Toc207098827"/>
      <w:bookmarkStart w:id="54" w:name="_Toc207110348"/>
      <w:bookmarkStart w:id="55" w:name="_Toc207117631"/>
      <w:r>
        <w:t>Division 2 — Amendment of service approval and notice of change to nominated supervisor</w:t>
      </w:r>
      <w:bookmarkEnd w:id="53"/>
      <w:bookmarkEnd w:id="54"/>
      <w:bookmarkEnd w:id="55"/>
    </w:p>
    <w:p>
      <w:pPr>
        <w:pStyle w:val="Heading5"/>
      </w:pPr>
      <w:bookmarkStart w:id="56" w:name="_Toc207117632"/>
      <w:r>
        <w:rPr>
          <w:rStyle w:val="CharSectno"/>
        </w:rPr>
        <w:t>34</w:t>
      </w:r>
      <w:r>
        <w:t>.</w:t>
      </w:r>
      <w:r>
        <w:tab/>
        <w:t>Prescribed information for application to amend service approval</w:t>
      </w:r>
      <w:bookmarkEnd w:id="56"/>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whether the family day care venue is proposed to be located within a multi</w:t>
      </w:r>
      <w:r>
        <w:noBreakHyphen/>
        <w:t>storey building shared with other occupants and, if so, the additional information specified in subregulation (1A); and</w:t>
      </w:r>
    </w:p>
    <w:p>
      <w:pPr>
        <w:pStyle w:val="Indenti"/>
        <w:keepNext/>
      </w:pPr>
      <w:r>
        <w:lastRenderedPageBreak/>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(1A)</w:t>
      </w:r>
      <w:r>
        <w:tab/>
        <w:t xml:space="preserve">For the purposes of subregulation (1)(f)(ia), the additional information to be included in an application is — </w:t>
      </w:r>
    </w:p>
    <w:p>
      <w:pPr>
        <w:pStyle w:val="Indenta"/>
      </w:pPr>
      <w:r>
        <w:tab/>
        <w:t>(a)</w:t>
      </w:r>
      <w:r>
        <w:tab/>
        <w:t>the total number of storeys in the multi</w:t>
      </w:r>
      <w:r>
        <w:noBreakHyphen/>
        <w:t>storey building; and</w:t>
      </w:r>
    </w:p>
    <w:p>
      <w:pPr>
        <w:pStyle w:val="Indenta"/>
      </w:pPr>
      <w:r>
        <w:tab/>
        <w:t>(b)</w:t>
      </w:r>
      <w:r>
        <w:tab/>
        <w:t>the storey or storeys on which the venue is proposed to be located; and</w:t>
      </w:r>
    </w:p>
    <w:p>
      <w:pPr>
        <w:pStyle w:val="Indenta"/>
      </w:pPr>
      <w:r>
        <w:tab/>
        <w:t>(c)</w:t>
      </w:r>
      <w:r>
        <w:tab/>
        <w:t>if the venue is proposed to be located on more than 1 storey — the ages of the children who will attend on each storey.</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 SL 2023/186 r. 8.]</w:t>
      </w:r>
    </w:p>
    <w:p>
      <w:pPr>
        <w:pStyle w:val="Heading5"/>
      </w:pPr>
      <w:bookmarkStart w:id="57" w:name="_Toc207117633"/>
      <w:r>
        <w:rPr>
          <w:rStyle w:val="CharSectno"/>
        </w:rPr>
        <w:t>35</w:t>
      </w:r>
      <w:r>
        <w:t>.</w:t>
      </w:r>
      <w:r>
        <w:tab/>
        <w:t>Notice of addition of new nominated supervisor</w:t>
      </w:r>
      <w:bookmarkEnd w:id="57"/>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lastRenderedPageBreak/>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58" w:name="_Toc207098830"/>
      <w:bookmarkStart w:id="59" w:name="_Toc207110351"/>
      <w:bookmarkStart w:id="60" w:name="_Toc207117634"/>
      <w:r>
        <w:t>Division 3 — Transfer of service approval</w:t>
      </w:r>
      <w:bookmarkEnd w:id="58"/>
      <w:bookmarkEnd w:id="59"/>
      <w:bookmarkEnd w:id="60"/>
    </w:p>
    <w:p>
      <w:pPr>
        <w:pStyle w:val="Heading5"/>
      </w:pPr>
      <w:bookmarkStart w:id="61" w:name="_Toc207117635"/>
      <w:r>
        <w:rPr>
          <w:rStyle w:val="CharSectno"/>
        </w:rPr>
        <w:t>36</w:t>
      </w:r>
      <w:r>
        <w:t>.</w:t>
      </w:r>
      <w:r>
        <w:tab/>
        <w:t>Notice of transfer of service approval — centre</w:t>
      </w:r>
      <w:r>
        <w:noBreakHyphen/>
        <w:t>based service</w:t>
      </w:r>
      <w:bookmarkEnd w:id="61"/>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62" w:name="_Toc207117636"/>
      <w:r>
        <w:rPr>
          <w:rStyle w:val="CharSectno"/>
        </w:rPr>
        <w:lastRenderedPageBreak/>
        <w:t>37</w:t>
      </w:r>
      <w:r>
        <w:t>.</w:t>
      </w:r>
      <w:r>
        <w:tab/>
        <w:t>Notice of transfer of service approval — family day care service</w:t>
      </w:r>
      <w:bookmarkEnd w:id="62"/>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63" w:name="_Toc207117637"/>
      <w:r>
        <w:rPr>
          <w:rStyle w:val="CharSectno"/>
        </w:rPr>
        <w:t>38</w:t>
      </w:r>
      <w:r>
        <w:t>.</w:t>
      </w:r>
      <w:r>
        <w:tab/>
        <w:t>Notification of decision to intervene in transfer of service approval</w:t>
      </w:r>
      <w:bookmarkEnd w:id="63"/>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64" w:name="_Toc207098834"/>
      <w:bookmarkStart w:id="65" w:name="_Toc207110355"/>
      <w:bookmarkStart w:id="66" w:name="_Toc207117638"/>
      <w:r>
        <w:lastRenderedPageBreak/>
        <w:t>Division 4 — Suspension of service approval</w:t>
      </w:r>
      <w:bookmarkEnd w:id="64"/>
      <w:bookmarkEnd w:id="65"/>
      <w:bookmarkEnd w:id="66"/>
    </w:p>
    <w:p>
      <w:pPr>
        <w:pStyle w:val="Heading5"/>
      </w:pPr>
      <w:bookmarkStart w:id="67" w:name="_Toc207117639"/>
      <w:r>
        <w:rPr>
          <w:rStyle w:val="CharSectno"/>
        </w:rPr>
        <w:t>39</w:t>
      </w:r>
      <w:r>
        <w:t>.</w:t>
      </w:r>
      <w:r>
        <w:tab/>
        <w:t>Maximum period of suspension of service approval</w:t>
      </w:r>
      <w:bookmarkEnd w:id="67"/>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68" w:name="_Toc207117640"/>
      <w:r>
        <w:rPr>
          <w:rStyle w:val="CharSectno"/>
        </w:rPr>
        <w:t>40</w:t>
      </w:r>
      <w:r>
        <w:t>.</w:t>
      </w:r>
      <w:r>
        <w:tab/>
        <w:t>Application for voluntary suspension of service approval</w:t>
      </w:r>
      <w:bookmarkEnd w:id="68"/>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keepNext/>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69" w:name="_Toc207098837"/>
      <w:bookmarkStart w:id="70" w:name="_Toc207110358"/>
      <w:bookmarkStart w:id="71" w:name="_Toc207117641"/>
      <w:r>
        <w:t>Division 5 — Service waiver</w:t>
      </w:r>
      <w:bookmarkEnd w:id="69"/>
      <w:bookmarkEnd w:id="70"/>
      <w:bookmarkEnd w:id="71"/>
    </w:p>
    <w:p>
      <w:pPr>
        <w:pStyle w:val="Heading5"/>
      </w:pPr>
      <w:bookmarkStart w:id="72" w:name="_Toc207117642"/>
      <w:r>
        <w:rPr>
          <w:rStyle w:val="CharSectno"/>
        </w:rPr>
        <w:t>41</w:t>
      </w:r>
      <w:r>
        <w:t>.</w:t>
      </w:r>
      <w:r>
        <w:tab/>
        <w:t>Service waiver — prescribed regulations</w:t>
      </w:r>
      <w:bookmarkEnd w:id="72"/>
      <w:r>
        <w:t xml:space="preserve"> </w:t>
      </w:r>
    </w:p>
    <w:p>
      <w:pPr>
        <w:pStyle w:val="Subsection"/>
      </w:pPr>
      <w:r>
        <w:tab/>
      </w:r>
      <w:r>
        <w:tab/>
        <w:t xml:space="preserve">The regulations prescribed for the purposes of section 87(1)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and 130 to 134; and</w:t>
      </w:r>
    </w:p>
    <w:p>
      <w:pPr>
        <w:pStyle w:val="Indenta"/>
      </w:pPr>
      <w:r>
        <w:lastRenderedPageBreak/>
        <w:tab/>
        <w:t>(c)</w:t>
      </w:r>
      <w:r>
        <w:tab/>
        <w:t>in the case of a family day care service, regulations 72A, 117, 124, 127 and 128; and</w:t>
      </w:r>
    </w:p>
    <w:p>
      <w:pPr>
        <w:pStyle w:val="Indenta"/>
      </w:pPr>
      <w:r>
        <w:tab/>
        <w:t>(d)</w:t>
      </w:r>
      <w:r>
        <w:tab/>
        <w:t>any provision in Chapter 7 that applies in place of a provision referred to in paragraphs (a) to (c).</w:t>
      </w:r>
    </w:p>
    <w:p>
      <w:pPr>
        <w:pStyle w:val="Footnotesection"/>
      </w:pPr>
      <w:r>
        <w:tab/>
        <w:t>[Regulation 41 inserted: SL 2023/186 r. 9.]</w:t>
      </w:r>
    </w:p>
    <w:p>
      <w:pPr>
        <w:pStyle w:val="Heading5"/>
      </w:pPr>
      <w:bookmarkStart w:id="73" w:name="_Toc207117643"/>
      <w:r>
        <w:rPr>
          <w:rStyle w:val="CharSectno"/>
        </w:rPr>
        <w:t>42</w:t>
      </w:r>
      <w:r>
        <w:t>.</w:t>
      </w:r>
      <w:r>
        <w:tab/>
        <w:t>Prescribed information — application for service waiver</w:t>
      </w:r>
      <w:bookmarkEnd w:id="73"/>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service waiver is sought; and</w:t>
      </w:r>
    </w:p>
    <w:p>
      <w:pPr>
        <w:pStyle w:val="Indenti"/>
      </w:pPr>
      <w:r>
        <w:tab/>
        <w:t>(ii)</w:t>
      </w:r>
      <w:r>
        <w:tab/>
        <w:t>the way in which the education and care service does not or will not comply with the specified regulations;</w:t>
      </w:r>
    </w:p>
    <w:p>
      <w:pPr>
        <w:pStyle w:val="Indenta"/>
        <w:keepNext/>
      </w:pPr>
      <w:r>
        <w:tab/>
        <w:t>(e)</w:t>
      </w:r>
      <w:r>
        <w:tab/>
        <w:t xml:space="preserve">if the education and care service is unable to comply with the specified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lastRenderedPageBreak/>
        <w:tab/>
        <w:t>2.</w:t>
      </w:r>
      <w:r>
        <w:tab/>
        <w:t>This regulation differs from regulation 42 of the national regulations made by the Ministerial Council.</w:t>
      </w:r>
    </w:p>
    <w:p>
      <w:pPr>
        <w:pStyle w:val="Footnotesection"/>
      </w:pPr>
      <w:r>
        <w:tab/>
        <w:t>[Regulation 42 amended: Gazette 28 Sep 2018 p. 3617; SL 2023/186 r. 10.]</w:t>
      </w:r>
    </w:p>
    <w:p>
      <w:pPr>
        <w:pStyle w:val="Heading5"/>
      </w:pPr>
      <w:bookmarkStart w:id="74" w:name="_Toc207117644"/>
      <w:r>
        <w:rPr>
          <w:rStyle w:val="CharSectno"/>
        </w:rPr>
        <w:t>43</w:t>
      </w:r>
      <w:r>
        <w:t>.</w:t>
      </w:r>
      <w:r>
        <w:tab/>
        <w:t>Prescribed period — revocation of service waiver</w:t>
      </w:r>
      <w:bookmarkEnd w:id="74"/>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75" w:name="_Toc207098841"/>
      <w:bookmarkStart w:id="76" w:name="_Toc207110362"/>
      <w:bookmarkStart w:id="77" w:name="_Toc207117645"/>
      <w:r>
        <w:t>Division 6 — Temporary waiver</w:t>
      </w:r>
      <w:bookmarkEnd w:id="75"/>
      <w:bookmarkEnd w:id="76"/>
      <w:bookmarkEnd w:id="77"/>
    </w:p>
    <w:p>
      <w:pPr>
        <w:pStyle w:val="Heading5"/>
      </w:pPr>
      <w:bookmarkStart w:id="78" w:name="_Toc207117646"/>
      <w:r>
        <w:rPr>
          <w:rStyle w:val="CharSectno"/>
        </w:rPr>
        <w:t>44</w:t>
      </w:r>
      <w:r>
        <w:t>.</w:t>
      </w:r>
      <w:r>
        <w:tab/>
        <w:t>Temporary waiver — prescribed regulations</w:t>
      </w:r>
      <w:bookmarkEnd w:id="78"/>
    </w:p>
    <w:p>
      <w:pPr>
        <w:pStyle w:val="Subsection"/>
      </w:pPr>
      <w:r>
        <w:tab/>
      </w:r>
      <w:r>
        <w:tab/>
        <w:t xml:space="preserve">The regulations prescribed for the purposes of section 94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130 to 134 and 136; and</w:t>
      </w:r>
    </w:p>
    <w:p>
      <w:pPr>
        <w:pStyle w:val="Indenta"/>
      </w:pPr>
      <w:r>
        <w:lastRenderedPageBreak/>
        <w:tab/>
        <w:t>(c)</w:t>
      </w:r>
      <w:r>
        <w:tab/>
        <w:t>in the case of a family day care service, regulations 72A, 117, 124, 127, 128 and 136; and</w:t>
      </w:r>
    </w:p>
    <w:p>
      <w:pPr>
        <w:pStyle w:val="Indenta"/>
      </w:pPr>
      <w:r>
        <w:tab/>
        <w:t>(d)</w:t>
      </w:r>
      <w:r>
        <w:tab/>
        <w:t>any provision in Chapter 7 that applies in place of a provision referred to in paragraphs (a) to (c).</w:t>
      </w:r>
    </w:p>
    <w:p>
      <w:pPr>
        <w:pStyle w:val="PermNoteHeading"/>
      </w:pPr>
      <w:r>
        <w:tab/>
        <w:t>Note for this regulation:</w:t>
      </w:r>
    </w:p>
    <w:p>
      <w:pPr>
        <w:pStyle w:val="PermNoteText"/>
      </w:pPr>
      <w:r>
        <w:tab/>
      </w:r>
      <w:r>
        <w:tab/>
        <w:t>This regulation differs from regulation 44 of the national regulations made by the Ministerial Council.</w:t>
      </w:r>
    </w:p>
    <w:p>
      <w:pPr>
        <w:pStyle w:val="Footnotesection"/>
      </w:pPr>
      <w:r>
        <w:tab/>
        <w:t>[Regulation 44 inserted: SL 2023/186 r. 11.]</w:t>
      </w:r>
    </w:p>
    <w:p>
      <w:pPr>
        <w:pStyle w:val="Heading5"/>
      </w:pPr>
      <w:bookmarkStart w:id="79" w:name="_Toc207117647"/>
      <w:r>
        <w:rPr>
          <w:rStyle w:val="CharSectno"/>
        </w:rPr>
        <w:t>45</w:t>
      </w:r>
      <w:r>
        <w:t>.</w:t>
      </w:r>
      <w:r>
        <w:tab/>
        <w:t>Application for temporary waiver</w:t>
      </w:r>
      <w:bookmarkEnd w:id="79"/>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temporary waiver is sought; and</w:t>
      </w:r>
    </w:p>
    <w:p>
      <w:pPr>
        <w:pStyle w:val="Indenti"/>
      </w:pPr>
      <w:r>
        <w:tab/>
        <w:t>(ii)</w:t>
      </w:r>
      <w:r>
        <w:tab/>
        <w:t>the way in which the education and care service does not or will not comply with the specified regulations;</w:t>
      </w:r>
    </w:p>
    <w:p>
      <w:pPr>
        <w:pStyle w:val="Indenta"/>
      </w:pPr>
      <w:r>
        <w:tab/>
        <w:t>(e)</w:t>
      </w:r>
      <w:r>
        <w:tab/>
        <w:t>the reasons that the education and care service is unable to comply with the specified regulations;</w:t>
      </w:r>
    </w:p>
    <w:p>
      <w:pPr>
        <w:pStyle w:val="Indenta"/>
      </w:pPr>
      <w:r>
        <w:tab/>
        <w:t>(f)</w:t>
      </w:r>
      <w:r>
        <w:tab/>
        <w:t>details and evidence of any attempts made to comply with the specified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regulations;</w:t>
      </w:r>
    </w:p>
    <w:p>
      <w:pPr>
        <w:pStyle w:val="Indenta"/>
        <w:keepNext/>
        <w:keepLines/>
      </w:pPr>
      <w:r>
        <w:lastRenderedPageBreak/>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Footnotesection"/>
      </w:pPr>
      <w:r>
        <w:tab/>
        <w:t>[Regulation 45 amended: SL 2023/186 r. 12.]</w:t>
      </w:r>
    </w:p>
    <w:p>
      <w:pPr>
        <w:pStyle w:val="Ednotepart"/>
      </w:pPr>
      <w:r>
        <w:t>[Part 2.3 (r. 46</w:t>
      </w:r>
      <w:r>
        <w:noBreakHyphen/>
        <w:t>54) deleted: Gazette 28 Sep 2018 p. 3617.]</w:t>
      </w:r>
    </w:p>
    <w:p>
      <w:pPr>
        <w:pStyle w:val="Heading2"/>
      </w:pPr>
      <w:bookmarkStart w:id="80" w:name="_Toc207098844"/>
      <w:bookmarkStart w:id="81" w:name="_Toc207110365"/>
      <w:bookmarkStart w:id="82" w:name="_Toc207117648"/>
      <w:r>
        <w:rPr>
          <w:rStyle w:val="CharPartNo"/>
        </w:rPr>
        <w:lastRenderedPageBreak/>
        <w:t>Chapter 3</w:t>
      </w:r>
      <w:r>
        <w:t> — </w:t>
      </w:r>
      <w:r>
        <w:rPr>
          <w:rStyle w:val="CharPartText"/>
        </w:rPr>
        <w:t>Assessments and ratings</w:t>
      </w:r>
      <w:bookmarkEnd w:id="80"/>
      <w:bookmarkEnd w:id="81"/>
      <w:bookmarkEnd w:id="82"/>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8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8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80"/>
        <w:ind w:left="284"/>
      </w:pPr>
      <w:r>
        <w:rPr>
          <w:i/>
        </w:rPr>
        <w:t>Division 1</w:t>
      </w:r>
      <w:r>
        <w:t xml:space="preserve"> sets out the process for applying for a review of a rating of an education and care service by the Regulatory Authority.</w:t>
      </w:r>
    </w:p>
    <w:p>
      <w:pPr>
        <w:pStyle w:val="MiscellaneousBody"/>
        <w:spacing w:before="8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83" w:name="_Toc207098845"/>
      <w:bookmarkStart w:id="84" w:name="_Toc207110366"/>
      <w:bookmarkStart w:id="85" w:name="_Toc207117649"/>
      <w:r>
        <w:rPr>
          <w:rStyle w:val="CharDivNo"/>
        </w:rPr>
        <w:t>Part 3.1</w:t>
      </w:r>
      <w:r>
        <w:t> — </w:t>
      </w:r>
      <w:r>
        <w:rPr>
          <w:rStyle w:val="CharDivText"/>
        </w:rPr>
        <w:t>Quality improvement plans</w:t>
      </w:r>
      <w:bookmarkEnd w:id="83"/>
      <w:bookmarkEnd w:id="84"/>
      <w:bookmarkEnd w:id="85"/>
    </w:p>
    <w:p>
      <w:pPr>
        <w:pStyle w:val="Heading5"/>
      </w:pPr>
      <w:bookmarkStart w:id="86" w:name="_Toc207117650"/>
      <w:r>
        <w:rPr>
          <w:rStyle w:val="CharSectno"/>
        </w:rPr>
        <w:t>55</w:t>
      </w:r>
      <w:r>
        <w:t>.</w:t>
      </w:r>
      <w:r>
        <w:tab/>
        <w:t>Quality improvement plans</w:t>
      </w:r>
      <w:bookmarkEnd w:id="86"/>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lastRenderedPageBreak/>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87" w:name="_Toc207117651"/>
      <w:r>
        <w:rPr>
          <w:rStyle w:val="CharSectno"/>
        </w:rPr>
        <w:t>56</w:t>
      </w:r>
      <w:r>
        <w:t>.</w:t>
      </w:r>
      <w:r>
        <w:tab/>
        <w:t>Review and revision of quality improvement plans</w:t>
      </w:r>
      <w:bookmarkEnd w:id="87"/>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88" w:name="_Toc207098848"/>
      <w:bookmarkStart w:id="89" w:name="_Toc207110369"/>
      <w:bookmarkStart w:id="90" w:name="_Toc207117652"/>
      <w:r>
        <w:rPr>
          <w:rStyle w:val="CharDivNo"/>
        </w:rPr>
        <w:t>Part 3.2</w:t>
      </w:r>
      <w:r>
        <w:t> — </w:t>
      </w:r>
      <w:r>
        <w:rPr>
          <w:rStyle w:val="CharDivText"/>
        </w:rPr>
        <w:t>Prescribed rating levels</w:t>
      </w:r>
      <w:bookmarkEnd w:id="88"/>
      <w:bookmarkEnd w:id="89"/>
      <w:bookmarkEnd w:id="90"/>
    </w:p>
    <w:p>
      <w:pPr>
        <w:pStyle w:val="Heading5"/>
      </w:pPr>
      <w:bookmarkStart w:id="91" w:name="_Toc207117653"/>
      <w:r>
        <w:rPr>
          <w:rStyle w:val="CharSectno"/>
        </w:rPr>
        <w:t>57</w:t>
      </w:r>
      <w:r>
        <w:t>.</w:t>
      </w:r>
      <w:r>
        <w:tab/>
        <w:t>Rating levels</w:t>
      </w:r>
      <w:bookmarkEnd w:id="91"/>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lastRenderedPageBreak/>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92" w:name="_Toc207117654"/>
      <w:r>
        <w:rPr>
          <w:rStyle w:val="CharSectno"/>
        </w:rPr>
        <w:t>58</w:t>
      </w:r>
      <w:r>
        <w:t>.</w:t>
      </w:r>
      <w:r>
        <w:tab/>
        <w:t>Prescribed provisional rating</w:t>
      </w:r>
      <w:bookmarkEnd w:id="92"/>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93" w:name="_Toc207117655"/>
      <w:r>
        <w:rPr>
          <w:rStyle w:val="CharSectno"/>
        </w:rPr>
        <w:t>59</w:t>
      </w:r>
      <w:r>
        <w:t>.</w:t>
      </w:r>
      <w:r>
        <w:tab/>
        <w:t>Significant Improvement Required</w:t>
      </w:r>
      <w:bookmarkEnd w:id="93"/>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94" w:name="_Toc207117656"/>
      <w:r>
        <w:rPr>
          <w:rStyle w:val="CharSectno"/>
        </w:rPr>
        <w:t>60</w:t>
      </w:r>
      <w:r>
        <w:t>.</w:t>
      </w:r>
      <w:r>
        <w:tab/>
        <w:t>Working Towards National Quality Standard</w:t>
      </w:r>
      <w:bookmarkEnd w:id="94"/>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lastRenderedPageBreak/>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95" w:name="_Toc207117657"/>
      <w:r>
        <w:rPr>
          <w:rStyle w:val="CharSectno"/>
        </w:rPr>
        <w:t>61</w:t>
      </w:r>
      <w:r>
        <w:t>.</w:t>
      </w:r>
      <w:r>
        <w:tab/>
        <w:t>Meeting National Quality Standard</w:t>
      </w:r>
      <w:bookmarkEnd w:id="95"/>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96" w:name="_Toc207117658"/>
      <w:r>
        <w:rPr>
          <w:rStyle w:val="CharSectno"/>
        </w:rPr>
        <w:t>62</w:t>
      </w:r>
      <w:r>
        <w:t>.</w:t>
      </w:r>
      <w:r>
        <w:tab/>
        <w:t>Exceeding National Quality Standard</w:t>
      </w:r>
      <w:bookmarkEnd w:id="96"/>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 xml:space="preserve">has a documented arrangement with an approved provider of another education and care service to </w:t>
      </w:r>
      <w:r>
        <w:lastRenderedPageBreak/>
        <w:t>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97" w:name="_Toc207098855"/>
      <w:bookmarkStart w:id="98" w:name="_Toc207110376"/>
      <w:bookmarkStart w:id="99" w:name="_Toc207117659"/>
      <w:r>
        <w:rPr>
          <w:rStyle w:val="CharDivNo"/>
        </w:rPr>
        <w:lastRenderedPageBreak/>
        <w:t>Part 3.3</w:t>
      </w:r>
      <w:r>
        <w:t> — </w:t>
      </w:r>
      <w:r>
        <w:rPr>
          <w:rStyle w:val="CharDivText"/>
        </w:rPr>
        <w:t>Assessment</w:t>
      </w:r>
      <w:bookmarkEnd w:id="97"/>
      <w:bookmarkEnd w:id="98"/>
      <w:bookmarkEnd w:id="99"/>
    </w:p>
    <w:p>
      <w:pPr>
        <w:pStyle w:val="Heading4"/>
      </w:pPr>
      <w:bookmarkStart w:id="100" w:name="_Toc207098856"/>
      <w:bookmarkStart w:id="101" w:name="_Toc207110377"/>
      <w:bookmarkStart w:id="102" w:name="_Toc207117660"/>
      <w:r>
        <w:t>Division 1 — Assessment</w:t>
      </w:r>
      <w:bookmarkEnd w:id="100"/>
      <w:bookmarkEnd w:id="101"/>
      <w:bookmarkEnd w:id="102"/>
    </w:p>
    <w:p>
      <w:pPr>
        <w:pStyle w:val="Heading5"/>
      </w:pPr>
      <w:bookmarkStart w:id="103" w:name="_Toc207117661"/>
      <w:r>
        <w:rPr>
          <w:rStyle w:val="CharSectno"/>
        </w:rPr>
        <w:t>63</w:t>
      </w:r>
      <w:r>
        <w:t>.</w:t>
      </w:r>
      <w:r>
        <w:tab/>
        <w:t>Assessing approved education and care services</w:t>
      </w:r>
      <w:bookmarkEnd w:id="103"/>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104" w:name="_Toc207117662"/>
      <w:r>
        <w:rPr>
          <w:rStyle w:val="CharSectno"/>
        </w:rPr>
        <w:t>64</w:t>
      </w:r>
      <w:r>
        <w:t>.</w:t>
      </w:r>
      <w:r>
        <w:tab/>
        <w:t>Matters for determination of rating</w:t>
      </w:r>
      <w:bookmarkEnd w:id="104"/>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05" w:name="_Toc207117663"/>
      <w:r>
        <w:rPr>
          <w:rStyle w:val="CharSectno"/>
        </w:rPr>
        <w:t>65</w:t>
      </w:r>
      <w:r>
        <w:t>.</w:t>
      </w:r>
      <w:r>
        <w:tab/>
        <w:t>Assessment and rating of new education and care services</w:t>
      </w:r>
      <w:bookmarkEnd w:id="105"/>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06" w:name="_Toc207098860"/>
      <w:bookmarkStart w:id="107" w:name="_Toc207110381"/>
      <w:bookmarkStart w:id="108" w:name="_Toc207117664"/>
      <w:r>
        <w:t>Division 2 — Reassessment</w:t>
      </w:r>
      <w:bookmarkEnd w:id="106"/>
      <w:bookmarkEnd w:id="107"/>
      <w:bookmarkEnd w:id="108"/>
    </w:p>
    <w:p>
      <w:pPr>
        <w:pStyle w:val="Heading5"/>
      </w:pPr>
      <w:bookmarkStart w:id="109" w:name="_Toc207117665"/>
      <w:r>
        <w:rPr>
          <w:rStyle w:val="CharSectno"/>
        </w:rPr>
        <w:t>66</w:t>
      </w:r>
      <w:r>
        <w:t>.</w:t>
      </w:r>
      <w:r>
        <w:tab/>
        <w:t>Application for reassessment</w:t>
      </w:r>
      <w:bookmarkEnd w:id="109"/>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the nature of the reassessment sought, including whether — </w:t>
      </w:r>
    </w:p>
    <w:p>
      <w:pPr>
        <w:pStyle w:val="Indenti"/>
      </w:pPr>
      <w:r>
        <w:tab/>
        <w:t>(i)</w:t>
      </w:r>
      <w:r>
        <w:tab/>
        <w:t>the application is for reassessment of the service; or</w:t>
      </w:r>
    </w:p>
    <w:p>
      <w:pPr>
        <w:pStyle w:val="Indenti"/>
        <w:spacing w:before="100"/>
      </w:pPr>
      <w:r>
        <w:lastRenderedPageBreak/>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10" w:name="_Toc207117666"/>
      <w:r>
        <w:rPr>
          <w:rStyle w:val="CharSectno"/>
        </w:rPr>
        <w:t>67</w:t>
      </w:r>
      <w:r>
        <w:t>.</w:t>
      </w:r>
      <w:r>
        <w:tab/>
        <w:t>Reassessment by Regulatory Authority</w:t>
      </w:r>
      <w:bookmarkEnd w:id="110"/>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keepNext w:val="0"/>
      </w:pPr>
      <w:bookmarkStart w:id="111" w:name="_Toc207098863"/>
      <w:bookmarkStart w:id="112" w:name="_Toc207110384"/>
      <w:bookmarkStart w:id="113" w:name="_Toc207117667"/>
      <w:r>
        <w:rPr>
          <w:rStyle w:val="CharDivNo"/>
        </w:rPr>
        <w:t>Part 3.4</w:t>
      </w:r>
      <w:r>
        <w:t> — </w:t>
      </w:r>
      <w:r>
        <w:rPr>
          <w:rStyle w:val="CharDivText"/>
        </w:rPr>
        <w:t>Review of ratings</w:t>
      </w:r>
      <w:bookmarkEnd w:id="111"/>
      <w:bookmarkEnd w:id="112"/>
      <w:bookmarkEnd w:id="113"/>
    </w:p>
    <w:p>
      <w:pPr>
        <w:pStyle w:val="Heading4"/>
        <w:keepNext w:val="0"/>
      </w:pPr>
      <w:bookmarkStart w:id="114" w:name="_Toc207098864"/>
      <w:bookmarkStart w:id="115" w:name="_Toc207110385"/>
      <w:bookmarkStart w:id="116" w:name="_Toc207117668"/>
      <w:r>
        <w:t>Division 1 — Review of ratings by Regulatory Authority</w:t>
      </w:r>
      <w:bookmarkEnd w:id="114"/>
      <w:bookmarkEnd w:id="115"/>
      <w:bookmarkEnd w:id="116"/>
    </w:p>
    <w:p>
      <w:pPr>
        <w:pStyle w:val="Heading5"/>
        <w:keepNext w:val="0"/>
      </w:pPr>
      <w:bookmarkStart w:id="117" w:name="_Toc207117669"/>
      <w:r>
        <w:rPr>
          <w:rStyle w:val="CharSectno"/>
        </w:rPr>
        <w:t>68</w:t>
      </w:r>
      <w:r>
        <w:t>.</w:t>
      </w:r>
      <w:r>
        <w:tab/>
        <w:t>Prescribed information for request for review of rating</w:t>
      </w:r>
      <w:bookmarkEnd w:id="117"/>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lastRenderedPageBreak/>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18" w:name="_Toc207098866"/>
      <w:bookmarkStart w:id="119" w:name="_Toc207110387"/>
      <w:bookmarkStart w:id="120" w:name="_Toc207117670"/>
      <w:r>
        <w:t>Division 2 — Review of ratings by Ratings Review Panel</w:t>
      </w:r>
      <w:bookmarkEnd w:id="118"/>
      <w:bookmarkEnd w:id="119"/>
      <w:bookmarkEnd w:id="120"/>
    </w:p>
    <w:p>
      <w:pPr>
        <w:pStyle w:val="Heading5"/>
      </w:pPr>
      <w:bookmarkStart w:id="121" w:name="_Toc207117671"/>
      <w:r>
        <w:rPr>
          <w:rStyle w:val="CharSectno"/>
        </w:rPr>
        <w:t>69</w:t>
      </w:r>
      <w:r>
        <w:t>.</w:t>
      </w:r>
      <w:r>
        <w:tab/>
        <w:t>Application for further review by Ratings Review Panel</w:t>
      </w:r>
      <w:bookmarkEnd w:id="121"/>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22" w:name="_Toc207117672"/>
      <w:r>
        <w:rPr>
          <w:rStyle w:val="CharSectno"/>
        </w:rPr>
        <w:t>70</w:t>
      </w:r>
      <w:r>
        <w:t>.</w:t>
      </w:r>
      <w:r>
        <w:tab/>
        <w:t>Prescribed areas of expertise or expert knowledge of Ratings Review Panel pool</w:t>
      </w:r>
      <w:bookmarkEnd w:id="122"/>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lastRenderedPageBreak/>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23" w:name="_Toc207098869"/>
      <w:bookmarkStart w:id="124" w:name="_Toc207110390"/>
      <w:bookmarkStart w:id="125" w:name="_Toc207117673"/>
      <w:r>
        <w:rPr>
          <w:rStyle w:val="CharDivNo"/>
        </w:rPr>
        <w:t>Part 3.5</w:t>
      </w:r>
      <w:r>
        <w:t> — </w:t>
      </w:r>
      <w:r>
        <w:rPr>
          <w:rStyle w:val="CharDivText"/>
        </w:rPr>
        <w:t>Highest rating</w:t>
      </w:r>
      <w:bookmarkEnd w:id="123"/>
      <w:bookmarkEnd w:id="124"/>
      <w:bookmarkEnd w:id="125"/>
    </w:p>
    <w:p>
      <w:pPr>
        <w:pStyle w:val="Heading5"/>
      </w:pPr>
      <w:bookmarkStart w:id="126" w:name="_Toc207117674"/>
      <w:r>
        <w:rPr>
          <w:rStyle w:val="CharSectno"/>
        </w:rPr>
        <w:t>70A</w:t>
      </w:r>
      <w:r>
        <w:t>.</w:t>
      </w:r>
      <w:r>
        <w:tab/>
        <w:t>Prescribed rating levels for application for highest rating</w:t>
      </w:r>
      <w:bookmarkEnd w:id="126"/>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27" w:name="_Toc207117675"/>
      <w:r>
        <w:rPr>
          <w:rStyle w:val="CharSectno"/>
        </w:rPr>
        <w:t>71</w:t>
      </w:r>
      <w:r>
        <w:t>.</w:t>
      </w:r>
      <w:r>
        <w:tab/>
        <w:t>Application or reapplication for the highest rating</w:t>
      </w:r>
      <w:bookmarkEnd w:id="127"/>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28" w:name="_Toc207098872"/>
      <w:bookmarkStart w:id="129" w:name="_Toc207110393"/>
      <w:bookmarkStart w:id="130" w:name="_Toc207117676"/>
      <w:r>
        <w:rPr>
          <w:rStyle w:val="CharDivNo"/>
        </w:rPr>
        <w:t>Part 3.6</w:t>
      </w:r>
      <w:r>
        <w:t> — </w:t>
      </w:r>
      <w:r>
        <w:rPr>
          <w:rStyle w:val="CharDivText"/>
        </w:rPr>
        <w:t>Offences</w:t>
      </w:r>
      <w:bookmarkEnd w:id="128"/>
      <w:bookmarkEnd w:id="129"/>
      <w:bookmarkEnd w:id="130"/>
    </w:p>
    <w:p>
      <w:pPr>
        <w:pStyle w:val="Heading5"/>
      </w:pPr>
      <w:bookmarkStart w:id="131" w:name="_Toc207117677"/>
      <w:r>
        <w:rPr>
          <w:rStyle w:val="CharSectno"/>
        </w:rPr>
        <w:t>72</w:t>
      </w:r>
      <w:r>
        <w:t>.</w:t>
      </w:r>
      <w:r>
        <w:tab/>
        <w:t>Offences in relation to giving false or misleading statements about ratings</w:t>
      </w:r>
      <w:bookmarkEnd w:id="131"/>
      <w:r>
        <w:t xml:space="preserve"> </w:t>
      </w:r>
    </w:p>
    <w:p>
      <w:pPr>
        <w:pStyle w:val="Subsection"/>
        <w:keepNext/>
      </w:pPr>
      <w:r>
        <w:tab/>
        <w:t>(1)</w:t>
      </w:r>
      <w:r>
        <w:tab/>
        <w:t xml:space="preserve">The approved provider of an education and care service must not falsely represent the overall rating or a rating in respect of a </w:t>
      </w:r>
      <w:r>
        <w:lastRenderedPageBreak/>
        <w:t>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132" w:name="_Toc207098874"/>
      <w:bookmarkStart w:id="133" w:name="_Toc207110395"/>
      <w:bookmarkStart w:id="134" w:name="_Toc207117678"/>
      <w:r>
        <w:rPr>
          <w:rStyle w:val="CharPartNo"/>
        </w:rPr>
        <w:lastRenderedPageBreak/>
        <w:t>Chapter 4</w:t>
      </w:r>
      <w:r>
        <w:rPr>
          <w:rStyle w:val="CharDivNo"/>
        </w:rPr>
        <w:t> </w:t>
      </w:r>
      <w:r>
        <w:t>—</w:t>
      </w:r>
      <w:r>
        <w:rPr>
          <w:rStyle w:val="CharDivText"/>
        </w:rPr>
        <w:t> </w:t>
      </w:r>
      <w:r>
        <w:rPr>
          <w:rStyle w:val="CharPartText"/>
        </w:rPr>
        <w:t>Operational requirements</w:t>
      </w:r>
      <w:bookmarkEnd w:id="132"/>
      <w:bookmarkEnd w:id="133"/>
      <w:bookmarkEnd w:id="134"/>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iCs/>
          <w:sz w:val="18"/>
          <w:szCs w:val="18"/>
        </w:rPr>
        <w:t>Division 1A</w:t>
      </w:r>
      <w:r>
        <w:rPr>
          <w:rFonts w:ascii="Arial" w:hAnsi="Arial" w:cs="Arial"/>
          <w:sz w:val="18"/>
          <w:szCs w:val="18"/>
        </w:rPr>
        <w:t xml:space="preserve"> sets out requirements relating to the sleep and rest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ind w:left="879"/>
        <w:rPr>
          <w:rFonts w:ascii="Arial" w:hAnsi="Arial" w:cs="Arial"/>
          <w:sz w:val="18"/>
          <w:szCs w:val="18"/>
        </w:rPr>
      </w:pPr>
      <w:r>
        <w:rPr>
          <w:rFonts w:ascii="Arial" w:hAnsi="Arial" w:cs="Arial"/>
          <w:i/>
          <w:iCs/>
          <w:sz w:val="18"/>
          <w:szCs w:val="18"/>
        </w:rPr>
        <w:t xml:space="preserve">Division 6A </w:t>
      </w:r>
      <w:r>
        <w:rPr>
          <w:rFonts w:ascii="Arial" w:hAnsi="Arial" w:cs="Arial"/>
          <w:sz w:val="18"/>
          <w:szCs w:val="18"/>
        </w:rPr>
        <w:t>sets out requirements relating to the safe arrival of children who travel between an education and care service and any other education or early childhood service.</w:t>
      </w:r>
    </w:p>
    <w:p>
      <w:pPr>
        <w:pStyle w:val="MiscellaneousBody"/>
        <w:ind w:left="879"/>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lastRenderedPageBreak/>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135" w:name="_Toc207098875"/>
      <w:bookmarkStart w:id="136" w:name="_Toc207110396"/>
      <w:bookmarkStart w:id="137" w:name="_Toc207117679"/>
      <w:r>
        <w:rPr>
          <w:rStyle w:val="CharDivNo"/>
        </w:rPr>
        <w:t>Part 4.1AA</w:t>
      </w:r>
      <w:r>
        <w:t> — </w:t>
      </w:r>
      <w:r>
        <w:rPr>
          <w:rStyle w:val="CharDivText"/>
        </w:rPr>
        <w:t>Location of principal office</w:t>
      </w:r>
      <w:bookmarkEnd w:id="135"/>
      <w:bookmarkEnd w:id="136"/>
      <w:bookmarkEnd w:id="137"/>
    </w:p>
    <w:p>
      <w:pPr>
        <w:pStyle w:val="Footnoteheading"/>
      </w:pPr>
      <w:r>
        <w:tab/>
        <w:t>[Heading inserted: Gazette 28 Sep 2018 p. 3618.]</w:t>
      </w:r>
    </w:p>
    <w:p>
      <w:pPr>
        <w:pStyle w:val="Heading5"/>
      </w:pPr>
      <w:bookmarkStart w:id="138" w:name="_Toc207117680"/>
      <w:r>
        <w:rPr>
          <w:rStyle w:val="CharSectno"/>
        </w:rPr>
        <w:t>72A</w:t>
      </w:r>
      <w:r>
        <w:t>.</w:t>
      </w:r>
      <w:r>
        <w:tab/>
        <w:t>Location of principal office of family day care service</w:t>
      </w:r>
      <w:bookmarkEnd w:id="138"/>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139" w:name="_Toc207098877"/>
      <w:bookmarkStart w:id="140" w:name="_Toc207110398"/>
      <w:bookmarkStart w:id="141" w:name="_Toc207117681"/>
      <w:r>
        <w:rPr>
          <w:rStyle w:val="CharDivNo"/>
        </w:rPr>
        <w:lastRenderedPageBreak/>
        <w:t>Part 4.1</w:t>
      </w:r>
      <w:r>
        <w:t> — </w:t>
      </w:r>
      <w:r>
        <w:rPr>
          <w:rStyle w:val="CharDivText"/>
        </w:rPr>
        <w:t>Educational program and practice</w:t>
      </w:r>
      <w:bookmarkEnd w:id="139"/>
      <w:bookmarkEnd w:id="140"/>
      <w:bookmarkEnd w:id="141"/>
    </w:p>
    <w:p>
      <w:pPr>
        <w:pStyle w:val="Heading5"/>
      </w:pPr>
      <w:bookmarkStart w:id="142" w:name="_Toc207117682"/>
      <w:r>
        <w:rPr>
          <w:rStyle w:val="CharSectno"/>
        </w:rPr>
        <w:t>73</w:t>
      </w:r>
      <w:r>
        <w:t>.</w:t>
      </w:r>
      <w:r>
        <w:tab/>
        <w:t>Educational program</w:t>
      </w:r>
      <w:bookmarkEnd w:id="142"/>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43" w:name="_Toc207117683"/>
      <w:r>
        <w:rPr>
          <w:rStyle w:val="CharSectno"/>
        </w:rPr>
        <w:t>74</w:t>
      </w:r>
      <w:r>
        <w:t>.</w:t>
      </w:r>
      <w:r>
        <w:tab/>
        <w:t>Documenting of child assessments and evidence of development of educational programs</w:t>
      </w:r>
      <w:bookmarkEnd w:id="143"/>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evidence about the development of the program.</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Notes for this regulation:</w:t>
      </w:r>
    </w:p>
    <w:p>
      <w:pPr>
        <w:pStyle w:val="PermNoteText"/>
      </w:pPr>
      <w:r>
        <w:tab/>
        <w:t>1.</w:t>
      </w:r>
      <w:r>
        <w:tab/>
        <w:t>This regulation differs from regulation 74 of the national regulations made by the Ministerial Council.</w:t>
      </w:r>
    </w:p>
    <w:p>
      <w:pPr>
        <w:pStyle w:val="PermNoteText"/>
      </w:pPr>
      <w:r>
        <w:tab/>
        <w:t>2.</w:t>
      </w:r>
      <w:r>
        <w:tab/>
        <w:t>A compliance direction may be issued for failure to comply with subregulation (1).</w:t>
      </w:r>
    </w:p>
    <w:p>
      <w:pPr>
        <w:pStyle w:val="Footnotesection"/>
      </w:pPr>
      <w:r>
        <w:tab/>
        <w:t>[Regulation 74 amended: SL 2023/186 r. 13.]</w:t>
      </w:r>
    </w:p>
    <w:p>
      <w:pPr>
        <w:pStyle w:val="Heading5"/>
      </w:pPr>
      <w:bookmarkStart w:id="144" w:name="_Toc207117684"/>
      <w:r>
        <w:rPr>
          <w:rStyle w:val="CharSectno"/>
        </w:rPr>
        <w:t>75</w:t>
      </w:r>
      <w:r>
        <w:t>.</w:t>
      </w:r>
      <w:r>
        <w:tab/>
        <w:t>Information about educational program to be kept available</w:t>
      </w:r>
      <w:bookmarkEnd w:id="144"/>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lastRenderedPageBreak/>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145" w:name="_Toc207117685"/>
      <w:r>
        <w:rPr>
          <w:rStyle w:val="CharSectno"/>
        </w:rPr>
        <w:t>76</w:t>
      </w:r>
      <w:r>
        <w:t>.</w:t>
      </w:r>
      <w:r>
        <w:tab/>
        <w:t>Information about educational program to be given to parents</w:t>
      </w:r>
      <w:bookmarkEnd w:id="145"/>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46" w:name="_Toc207098882"/>
      <w:bookmarkStart w:id="147" w:name="_Toc207110403"/>
      <w:bookmarkStart w:id="148" w:name="_Toc207117686"/>
      <w:r>
        <w:rPr>
          <w:rStyle w:val="CharDivNo"/>
        </w:rPr>
        <w:t>Part 4.2</w:t>
      </w:r>
      <w:r>
        <w:t> — </w:t>
      </w:r>
      <w:r>
        <w:rPr>
          <w:rStyle w:val="CharDivText"/>
        </w:rPr>
        <w:t>Children’s health and safety</w:t>
      </w:r>
      <w:bookmarkEnd w:id="146"/>
      <w:bookmarkEnd w:id="147"/>
      <w:bookmarkEnd w:id="148"/>
    </w:p>
    <w:p>
      <w:pPr>
        <w:pStyle w:val="Heading4"/>
      </w:pPr>
      <w:bookmarkStart w:id="149" w:name="_Toc207098883"/>
      <w:bookmarkStart w:id="150" w:name="_Toc207110404"/>
      <w:bookmarkStart w:id="151" w:name="_Toc207117687"/>
      <w:r>
        <w:t>Division 1 — Health, safety and wellbeing of children</w:t>
      </w:r>
      <w:bookmarkEnd w:id="149"/>
      <w:bookmarkEnd w:id="150"/>
      <w:bookmarkEnd w:id="151"/>
    </w:p>
    <w:p>
      <w:pPr>
        <w:pStyle w:val="Heading5"/>
      </w:pPr>
      <w:bookmarkStart w:id="152" w:name="_Toc207117688"/>
      <w:r>
        <w:rPr>
          <w:rStyle w:val="CharSectno"/>
        </w:rPr>
        <w:t>77</w:t>
      </w:r>
      <w:r>
        <w:t>.</w:t>
      </w:r>
      <w:r>
        <w:tab/>
        <w:t>Health, hygiene and safe food practices</w:t>
      </w:r>
      <w:bookmarkEnd w:id="152"/>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keepNext/>
      </w:pPr>
      <w:r>
        <w:lastRenderedPageBreak/>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53" w:name="_Toc207117689"/>
      <w:r>
        <w:rPr>
          <w:rStyle w:val="CharSectno"/>
        </w:rPr>
        <w:t>78</w:t>
      </w:r>
      <w:r>
        <w:t>.</w:t>
      </w:r>
      <w:r>
        <w:tab/>
        <w:t>Food and beverages</w:t>
      </w:r>
      <w:bookmarkEnd w:id="153"/>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lastRenderedPageBreak/>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54" w:name="_Toc207117690"/>
      <w:r>
        <w:rPr>
          <w:rStyle w:val="CharSectno"/>
        </w:rPr>
        <w:t>79</w:t>
      </w:r>
      <w:r>
        <w:t>.</w:t>
      </w:r>
      <w:r>
        <w:tab/>
        <w:t>Service providing food and beverages</w:t>
      </w:r>
      <w:bookmarkEnd w:id="154"/>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lastRenderedPageBreak/>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55" w:name="_Toc207117691"/>
      <w:r>
        <w:rPr>
          <w:rStyle w:val="CharSectno"/>
        </w:rPr>
        <w:t>80</w:t>
      </w:r>
      <w:r>
        <w:t>.</w:t>
      </w:r>
      <w:r>
        <w:tab/>
        <w:t>Weekly menu</w:t>
      </w:r>
      <w:bookmarkEnd w:id="155"/>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 xml:space="preserve">is displayed at a place at the family day care residence or approved family day care venue accessible to family </w:t>
      </w:r>
      <w:r>
        <w:lastRenderedPageBreak/>
        <w:t>members of children being educated and cared for by the service; and</w:t>
      </w:r>
    </w:p>
    <w:p>
      <w:pPr>
        <w:pStyle w:val="Indenta"/>
        <w:keepNext/>
      </w:pPr>
      <w:r>
        <w:tab/>
        <w:t>(b)</w:t>
      </w:r>
      <w:r>
        <w:tab/>
        <w:t>accurately describes the food and beverages to be provided by the family day care educator each day.</w:t>
      </w:r>
    </w:p>
    <w:p>
      <w:pPr>
        <w:pStyle w:val="Penstart"/>
        <w:keepNext/>
      </w:pPr>
      <w:r>
        <w:tab/>
        <w:t>Penalty: $1100.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 SL 2023/186 r. 45(1).]</w:t>
      </w:r>
    </w:p>
    <w:p>
      <w:pPr>
        <w:pStyle w:val="Ednotesection"/>
      </w:pPr>
      <w:r>
        <w:t>[</w:t>
      </w:r>
      <w:r>
        <w:rPr>
          <w:b/>
        </w:rPr>
        <w:t>81.</w:t>
      </w:r>
      <w:r>
        <w:tab/>
        <w:t>Deleted: SL 2023/186 r. 14.]</w:t>
      </w:r>
    </w:p>
    <w:p>
      <w:pPr>
        <w:pStyle w:val="Heading5"/>
      </w:pPr>
      <w:bookmarkStart w:id="156" w:name="_Toc207117692"/>
      <w:r>
        <w:rPr>
          <w:rStyle w:val="CharSectno"/>
        </w:rPr>
        <w:t>82</w:t>
      </w:r>
      <w:r>
        <w:t>.</w:t>
      </w:r>
      <w:r>
        <w:tab/>
        <w:t>Environment to be free from tobacco, vaping devices, vaping substances, drugs and alcohol</w:t>
      </w:r>
      <w:bookmarkEnd w:id="156"/>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vaping devices, vaping substances,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vaping devices, vaping substances, illicit drugs and alcohol.</w:t>
      </w:r>
    </w:p>
    <w:p>
      <w:pPr>
        <w:pStyle w:val="Penstart"/>
      </w:pPr>
      <w:r>
        <w:tab/>
        <w:t>Penalty: $2000.</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pPr>
      <w:r>
        <w:tab/>
        <w:t>[Regulation 82 amended: SL 2025/150 r. 5.]</w:t>
      </w:r>
    </w:p>
    <w:p>
      <w:pPr>
        <w:pStyle w:val="Heading5"/>
      </w:pPr>
      <w:bookmarkStart w:id="157" w:name="_Toc207117693"/>
      <w:r>
        <w:rPr>
          <w:rStyle w:val="CharSectno"/>
        </w:rPr>
        <w:t>83</w:t>
      </w:r>
      <w:r>
        <w:t>.</w:t>
      </w:r>
      <w:r>
        <w:tab/>
        <w:t>Staff members and family day care educators not to be affected by alcohol or drugs</w:t>
      </w:r>
      <w:bookmarkEnd w:id="157"/>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58" w:name="_Toc207117694"/>
      <w:r>
        <w:rPr>
          <w:rStyle w:val="CharSectno"/>
        </w:rPr>
        <w:lastRenderedPageBreak/>
        <w:t>84</w:t>
      </w:r>
      <w:r>
        <w:t>.</w:t>
      </w:r>
      <w:r>
        <w:tab/>
        <w:t>Awareness of child protection law</w:t>
      </w:r>
      <w:bookmarkEnd w:id="158"/>
      <w:r>
        <w:t xml:space="preserve"> </w:t>
      </w:r>
    </w:p>
    <w:p>
      <w:pPr>
        <w:pStyle w:val="Subsection"/>
        <w:keepNext/>
      </w:pPr>
      <w:r>
        <w:tab/>
        <w:t>(1)</w:t>
      </w:r>
      <w:r>
        <w:tab/>
        <w:t xml:space="preserve">The approved provider of an education and care service must ensure that a person specified in subregulation (2) who works with children is advised of — </w:t>
      </w:r>
    </w:p>
    <w:p>
      <w:pPr>
        <w:pStyle w:val="Indenta"/>
      </w:pPr>
      <w:r>
        <w:tab/>
        <w:t>(a)</w:t>
      </w:r>
      <w:r>
        <w:tab/>
        <w:t>the existence and application of the current child protection law; and</w:t>
      </w:r>
    </w:p>
    <w:p>
      <w:pPr>
        <w:pStyle w:val="Indenta"/>
      </w:pPr>
      <w:r>
        <w:tab/>
        <w:t>(b)</w:t>
      </w:r>
      <w:r>
        <w:tab/>
        <w:t>any obligations that the person may have under that law.</w:t>
      </w:r>
    </w:p>
    <w:p>
      <w:pPr>
        <w:pStyle w:val="Penstart"/>
      </w:pPr>
      <w:r>
        <w:tab/>
        <w:t>Penalty: $1100.</w:t>
      </w:r>
    </w:p>
    <w:p>
      <w:pPr>
        <w:pStyle w:val="Subsection"/>
      </w:pPr>
      <w:r>
        <w:tab/>
        <w:t>(2)</w:t>
      </w:r>
      <w:r>
        <w:tab/>
        <w:t xml:space="preserve">The following persons are specified — </w:t>
      </w:r>
    </w:p>
    <w:p>
      <w:pPr>
        <w:pStyle w:val="Indenta"/>
      </w:pPr>
      <w:r>
        <w:tab/>
        <w:t>(a)</w:t>
      </w:r>
      <w:r>
        <w:tab/>
        <w:t>a nominated supervisor of the service;</w:t>
      </w:r>
    </w:p>
    <w:p>
      <w:pPr>
        <w:pStyle w:val="Indenta"/>
      </w:pPr>
      <w:r>
        <w:tab/>
        <w:t>(b)</w:t>
      </w:r>
      <w:r>
        <w:tab/>
        <w:t>a staff member of the service;</w:t>
      </w:r>
    </w:p>
    <w:p>
      <w:pPr>
        <w:pStyle w:val="Indenta"/>
      </w:pPr>
      <w:r>
        <w:tab/>
        <w:t>(c)</w:t>
      </w:r>
      <w:r>
        <w:tab/>
        <w:t>a volunteer at the service;</w:t>
      </w:r>
    </w:p>
    <w:p>
      <w:pPr>
        <w:pStyle w:val="Indenta"/>
      </w:pPr>
      <w:r>
        <w:tab/>
        <w:t>(d)</w:t>
      </w:r>
      <w:r>
        <w:tab/>
        <w:t>a student who participates in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 amended: Gazette 28 Sep 2018 p. 3620; SL 2023/186 r. 15.]</w:t>
      </w:r>
    </w:p>
    <w:p>
      <w:pPr>
        <w:pStyle w:val="Heading4"/>
      </w:pPr>
      <w:bookmarkStart w:id="159" w:name="_Toc207098891"/>
      <w:bookmarkStart w:id="160" w:name="_Toc207110412"/>
      <w:bookmarkStart w:id="161" w:name="_Toc207117695"/>
      <w:r>
        <w:t>Division 1A — Sleep and rest</w:t>
      </w:r>
      <w:bookmarkEnd w:id="159"/>
      <w:bookmarkEnd w:id="160"/>
      <w:bookmarkEnd w:id="161"/>
    </w:p>
    <w:p>
      <w:pPr>
        <w:pStyle w:val="Footnoteheading"/>
      </w:pPr>
      <w:r>
        <w:tab/>
        <w:t>[Heading inserted: SL 2023/186 r. 16.]</w:t>
      </w:r>
    </w:p>
    <w:p>
      <w:pPr>
        <w:pStyle w:val="Heading5"/>
      </w:pPr>
      <w:bookmarkStart w:id="162" w:name="_Toc207117696"/>
      <w:r>
        <w:rPr>
          <w:rStyle w:val="CharSectno"/>
        </w:rPr>
        <w:t>84A</w:t>
      </w:r>
      <w:r>
        <w:t>.</w:t>
      </w:r>
      <w:r>
        <w:tab/>
        <w:t>Sleep and rest</w:t>
      </w:r>
      <w:bookmarkEnd w:id="162"/>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keepLines/>
      </w:pPr>
      <w:r>
        <w:lastRenderedPageBreak/>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84A inserted: SL 2023/186 r. 16.]</w:t>
      </w:r>
    </w:p>
    <w:p>
      <w:pPr>
        <w:pStyle w:val="Heading5"/>
      </w:pPr>
      <w:bookmarkStart w:id="163" w:name="_Toc207117697"/>
      <w:r>
        <w:rPr>
          <w:rStyle w:val="CharSectno"/>
        </w:rPr>
        <w:t>84B</w:t>
      </w:r>
      <w:r>
        <w:t>.</w:t>
      </w:r>
      <w:r>
        <w:tab/>
        <w:t>Sleep and rest policies and procedures</w:t>
      </w:r>
      <w:bookmarkEnd w:id="163"/>
    </w:p>
    <w:p>
      <w:pPr>
        <w:pStyle w:val="Subsection"/>
      </w:pPr>
      <w:r>
        <w:tab/>
      </w:r>
      <w:r>
        <w:tab/>
        <w:t>The sleep and rest policies and procedures required under regulation 168(2)(a)(v) must address —</w:t>
      </w:r>
    </w:p>
    <w:p>
      <w:pPr>
        <w:pStyle w:val="Indenta"/>
      </w:pPr>
      <w:r>
        <w:tab/>
        <w:t>(a)</w:t>
      </w:r>
      <w:r>
        <w:tab/>
        <w:t>how children will be protected from any risks identified in a risk assessment conducted under regulation 84C; and</w:t>
      </w:r>
    </w:p>
    <w:p>
      <w:pPr>
        <w:pStyle w:val="Indenta"/>
      </w:pPr>
      <w:r>
        <w:tab/>
        <w:t>(b)</w:t>
      </w:r>
      <w:r>
        <w:tab/>
        <w:t>how the sleep and rest needs of children being educated and cared for by the service are met, including how the ages, developmental stages and the sleep and rest needs of individual children are considered; and</w:t>
      </w:r>
    </w:p>
    <w:p>
      <w:pPr>
        <w:pStyle w:val="Indenta"/>
      </w:pPr>
      <w:r>
        <w:tab/>
        <w:t>(c)</w:t>
      </w:r>
      <w:r>
        <w:tab/>
        <w:t>how the health care needs of individual children being educated and cared for by the service are met; and</w:t>
      </w:r>
    </w:p>
    <w:p>
      <w:pPr>
        <w:pStyle w:val="Indenta"/>
      </w:pPr>
      <w:r>
        <w:tab/>
        <w:t>(d)</w:t>
      </w:r>
      <w:r>
        <w:tab/>
        <w:t>how requests from families about a child’s sleep and rest and cultural preferences are considered; and</w:t>
      </w:r>
    </w:p>
    <w:p>
      <w:pPr>
        <w:pStyle w:val="Indenta"/>
        <w:keepNext/>
      </w:pPr>
      <w:r>
        <w:lastRenderedPageBreak/>
        <w:tab/>
        <w:t>(e)</w:t>
      </w:r>
      <w:r>
        <w:tab/>
        <w:t xml:space="preserve">supervision and monitoring during sleep and rest periods, including — </w:t>
      </w:r>
    </w:p>
    <w:p>
      <w:pPr>
        <w:pStyle w:val="Indenti"/>
      </w:pPr>
      <w:r>
        <w:tab/>
        <w:t>(i)</w:t>
      </w:r>
      <w:r>
        <w:tab/>
        <w:t>the method and frequency of checking the safety, health and wellbeing of children during sleep and rest periods; and</w:t>
      </w:r>
    </w:p>
    <w:p>
      <w:pPr>
        <w:pStyle w:val="Indenti"/>
      </w:pPr>
      <w:r>
        <w:tab/>
        <w:t>(ii)</w:t>
      </w:r>
      <w:r>
        <w:tab/>
        <w:t>the documentation of sleep and rest periods;</w:t>
      </w:r>
    </w:p>
    <w:p>
      <w:pPr>
        <w:pStyle w:val="Indenta"/>
      </w:pPr>
      <w:r>
        <w:tab/>
      </w:r>
      <w:r>
        <w:tab/>
        <w:t>and</w:t>
      </w:r>
    </w:p>
    <w:p>
      <w:pPr>
        <w:pStyle w:val="Indenta"/>
      </w:pPr>
      <w:r>
        <w:tab/>
        <w:t>(f)</w:t>
      </w:r>
      <w:r>
        <w:tab/>
        <w:t>how the sleep and rest practices at the service are consistent with any current health guidelines on the best practices to adopt to ensure the safety of children during sleep and rest; and</w:t>
      </w:r>
    </w:p>
    <w:p>
      <w:pPr>
        <w:pStyle w:val="Indenta"/>
      </w:pPr>
      <w:r>
        <w:tab/>
        <w:t>(g)</w:t>
      </w:r>
      <w:r>
        <w:tab/>
        <w:t>the induction, training and knowledge of staff who educate and care for children at the service in relation to best practices for children’s sleep and rest; and</w:t>
      </w:r>
    </w:p>
    <w:p>
      <w:pPr>
        <w:pStyle w:val="Indenta"/>
      </w:pPr>
      <w:r>
        <w:tab/>
        <w:t>(h)</w:t>
      </w:r>
      <w:r>
        <w:tab/>
        <w:t>the location and arrangement of sleep and rest areas at the service and how this meets the sleep and rest needs of children being educated and cared for by the service; and</w:t>
      </w:r>
    </w:p>
    <w:p>
      <w:pPr>
        <w:pStyle w:val="Indenta"/>
      </w:pPr>
      <w:r>
        <w:tab/>
        <w:t>(i)</w:t>
      </w:r>
      <w:r>
        <w:tab/>
        <w:t>safety and suitability of cots, bedding and bedding equipment, having regard to the ages and developmental stages of children who will use the cots, bedding and bedding equipment; and</w:t>
      </w:r>
    </w:p>
    <w:p>
      <w:pPr>
        <w:pStyle w:val="Indenta"/>
      </w:pPr>
      <w:r>
        <w:tab/>
        <w:t>(j)</w:t>
      </w:r>
      <w:r>
        <w:tab/>
        <w:t xml:space="preserve">management of potential hazards — </w:t>
      </w:r>
    </w:p>
    <w:p>
      <w:pPr>
        <w:pStyle w:val="Indenti"/>
      </w:pPr>
      <w:r>
        <w:tab/>
        <w:t>(i)</w:t>
      </w:r>
      <w:r>
        <w:tab/>
        <w:t>in sleep and rest areas; and</w:t>
      </w:r>
    </w:p>
    <w:p>
      <w:pPr>
        <w:pStyle w:val="Indenti"/>
      </w:pPr>
      <w:r>
        <w:tab/>
        <w:t>(ii)</w:t>
      </w:r>
      <w:r>
        <w:tab/>
        <w:t>on a child during sleep and rest periods;</w:t>
      </w:r>
    </w:p>
    <w:p>
      <w:pPr>
        <w:pStyle w:val="Indenta"/>
      </w:pPr>
      <w:r>
        <w:tab/>
      </w:r>
      <w:r>
        <w:tab/>
        <w:t>and</w:t>
      </w:r>
    </w:p>
    <w:p>
      <w:pPr>
        <w:pStyle w:val="Indenta"/>
      </w:pPr>
      <w:r>
        <w:tab/>
        <w:t>(k)</w:t>
      </w:r>
      <w:r>
        <w:tab/>
        <w:t>management of physical safety and suitability of sleep and rest environments (including temperature, lighting and ventilation); and</w:t>
      </w:r>
    </w:p>
    <w:p>
      <w:pPr>
        <w:pStyle w:val="Indenta"/>
      </w:pPr>
      <w:r>
        <w:tab/>
        <w:t>(l)</w:t>
      </w:r>
      <w:r>
        <w:tab/>
        <w:t>in the case of a family day care service that provides overnight care, management of risks relating to overnight care at each family day care residence or approved family day care venue of the service; and</w:t>
      </w:r>
    </w:p>
    <w:p>
      <w:pPr>
        <w:pStyle w:val="Indenta"/>
      </w:pPr>
      <w:r>
        <w:lastRenderedPageBreak/>
        <w:tab/>
        <w:t>(m)</w:t>
      </w:r>
      <w:r>
        <w:tab/>
        <w:t>communication of the sleep and rest policies and procedures to a parent or family member.</w:t>
      </w:r>
    </w:p>
    <w:p>
      <w:pPr>
        <w:pStyle w:val="PermNoteHeading"/>
      </w:pPr>
      <w:r>
        <w:tab/>
        <w:t>Note for this regulation:</w:t>
      </w:r>
    </w:p>
    <w:p>
      <w:pPr>
        <w:pStyle w:val="PermNoteText"/>
      </w:pPr>
      <w:r>
        <w:tab/>
      </w:r>
      <w:r>
        <w:tab/>
        <w:t>This regulation differs from regulation 84B of the national regulations made by the Ministerial Council.</w:t>
      </w:r>
    </w:p>
    <w:p>
      <w:pPr>
        <w:pStyle w:val="Footnotesection"/>
      </w:pPr>
      <w:r>
        <w:tab/>
        <w:t>[Regulation 84B inserted: SL 2023/186 r. 16.]</w:t>
      </w:r>
    </w:p>
    <w:p>
      <w:pPr>
        <w:pStyle w:val="Heading5"/>
      </w:pPr>
      <w:bookmarkStart w:id="164" w:name="_Toc207117698"/>
      <w:r>
        <w:rPr>
          <w:rStyle w:val="CharSectno"/>
        </w:rPr>
        <w:t>84C</w:t>
      </w:r>
      <w:r>
        <w:t>.</w:t>
      </w:r>
      <w:r>
        <w:tab/>
        <w:t>Risk assessment for purposes of sleep and rest policies and procedures</w:t>
      </w:r>
      <w:bookmarkEnd w:id="164"/>
      <w:r>
        <w:t xml:space="preserve"> </w:t>
      </w:r>
    </w:p>
    <w:p>
      <w:pPr>
        <w:pStyle w:val="Subsection"/>
      </w:pPr>
      <w:r>
        <w:tab/>
        <w:t>(1)</w:t>
      </w:r>
      <w:r>
        <w:tab/>
        <w:t xml:space="preserve">The approved provider of an education and care service must ensure that a sleep and rest risk assessment is conducted in accordance with this regulation — </w:t>
      </w:r>
    </w:p>
    <w:p>
      <w:pPr>
        <w:pStyle w:val="Indenta"/>
      </w:pPr>
      <w:r>
        <w:tab/>
        <w:t>(a)</w:t>
      </w:r>
      <w:r>
        <w:tab/>
        <w:t>at least once every 12 months; and</w:t>
      </w:r>
    </w:p>
    <w:p>
      <w:pPr>
        <w:pStyle w:val="Indenta"/>
      </w:pPr>
      <w:r>
        <w:tab/>
        <w:t>(b)</w:t>
      </w:r>
      <w:r>
        <w:tab/>
        <w:t>as soon as practicable after becoming aware of any circumstance that may affect the safety, health or wellbeing of children during sleep and rest.</w:t>
      </w:r>
    </w:p>
    <w:p>
      <w:pPr>
        <w:pStyle w:val="Penstart"/>
      </w:pPr>
      <w:r>
        <w:tab/>
        <w:t>Penalty: $2000.</w:t>
      </w:r>
    </w:p>
    <w:p>
      <w:pPr>
        <w:pStyle w:val="Subsection"/>
      </w:pPr>
      <w:r>
        <w:tab/>
        <w:t>(2)</w:t>
      </w:r>
      <w:r>
        <w:tab/>
        <w:t xml:space="preserve">A risk assessment must consider the following — </w:t>
      </w:r>
    </w:p>
    <w:p>
      <w:pPr>
        <w:pStyle w:val="Indenta"/>
      </w:pPr>
      <w:r>
        <w:tab/>
        <w:t>(a)</w:t>
      </w:r>
      <w:r>
        <w:tab/>
        <w:t xml:space="preserve">the number, ages and developmental stages of children being educated and cared for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lastRenderedPageBreak/>
        <w:tab/>
        <w:t>(c)</w:t>
      </w:r>
      <w:r>
        <w:tab/>
        <w:t>the suitability of staffing arrangements to adequately supervise and monitor children during sleep and rest periods;</w:t>
      </w:r>
    </w:p>
    <w:p>
      <w:pPr>
        <w:pStyle w:val="Indenta"/>
      </w:pPr>
      <w:r>
        <w:tab/>
        <w:t>(d)</w:t>
      </w:r>
      <w:r>
        <w:tab/>
        <w:t>the level of knowledge and training of staff supervising children during sleep and rest periods;</w:t>
      </w:r>
    </w:p>
    <w:p>
      <w:pPr>
        <w:pStyle w:val="Indenta"/>
      </w:pPr>
      <w:r>
        <w:tab/>
        <w:t>(e)</w:t>
      </w:r>
      <w:r>
        <w:tab/>
        <w:t xml:space="preserve">the location of sleep and rest areas, including the arrangement of cots and beds within the sleep and rest areas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(f)</w:t>
      </w:r>
      <w:r>
        <w:tab/>
        <w:t>the safety and suitability of any cots, beds and bedding equipment, having regard to the ages and developmental stages of the children who will use the cots, bed and bedding equipment;</w:t>
      </w:r>
    </w:p>
    <w:p>
      <w:pPr>
        <w:pStyle w:val="Indenta"/>
      </w:pPr>
      <w:r>
        <w:tab/>
        <w:t>(g)</w:t>
      </w:r>
      <w:r>
        <w:tab/>
        <w:t xml:space="preserve">any potential hazards — </w:t>
      </w:r>
    </w:p>
    <w:p>
      <w:pPr>
        <w:pStyle w:val="Indenti"/>
      </w:pPr>
      <w:r>
        <w:tab/>
        <w:t>(i)</w:t>
      </w:r>
      <w:r>
        <w:tab/>
        <w:t>in sleep and rest areas; or</w:t>
      </w:r>
    </w:p>
    <w:p>
      <w:pPr>
        <w:pStyle w:val="Indenti"/>
      </w:pPr>
      <w:r>
        <w:tab/>
        <w:t>(ii)</w:t>
      </w:r>
      <w:r>
        <w:tab/>
        <w:t>on a child during sleep and rest periods;</w:t>
      </w:r>
    </w:p>
    <w:p>
      <w:pPr>
        <w:pStyle w:val="Indenta"/>
      </w:pPr>
      <w:r>
        <w:tab/>
        <w:t>(h)</w:t>
      </w:r>
      <w:r>
        <w:tab/>
        <w:t xml:space="preserve">the physical safety and suitability of sleep and rest environments (including temperature, lighting and ventilation)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(i)</w:t>
      </w:r>
      <w:r>
        <w:tab/>
        <w:t>in the case of a family day care service that provides overnight care to a child, any risks that the overnight care provided at the family day care residence or approved family day care venue of the service may pose to the safety, health or wellbeing of the child.</w:t>
      </w:r>
    </w:p>
    <w:p>
      <w:pPr>
        <w:pStyle w:val="Subsection"/>
      </w:pPr>
      <w:r>
        <w:tab/>
        <w:t>(3)</w:t>
      </w:r>
      <w:r>
        <w:tab/>
        <w:t xml:space="preserve">As soon as practicable after conducting a risk assessment under this regulation, the approved provider of an education and care </w:t>
      </w:r>
      <w:r>
        <w:lastRenderedPageBreak/>
        <w:t>service must make any necessary updates to the sleep and rest policies and procedures.</w:t>
      </w:r>
    </w:p>
    <w:p>
      <w:pPr>
        <w:pStyle w:val="Subsection"/>
      </w:pPr>
      <w:r>
        <w:tab/>
        <w:t>(4)</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84C inserted: SL 2023/186 r. 16.]</w:t>
      </w:r>
    </w:p>
    <w:p>
      <w:pPr>
        <w:pStyle w:val="Heading5"/>
      </w:pPr>
      <w:bookmarkStart w:id="165" w:name="_Toc207117699"/>
      <w:r>
        <w:rPr>
          <w:rStyle w:val="CharSectno"/>
        </w:rPr>
        <w:t>84D</w:t>
      </w:r>
      <w:r>
        <w:t xml:space="preserve">. </w:t>
      </w:r>
      <w:r>
        <w:tab/>
        <w:t>Prohibition of bassinets</w:t>
      </w:r>
      <w:bookmarkEnd w:id="165"/>
    </w:p>
    <w:p>
      <w:pPr>
        <w:pStyle w:val="Subsection"/>
      </w:pPr>
      <w:r>
        <w:tab/>
        <w:t>(1)</w:t>
      </w:r>
      <w:r>
        <w:tab/>
        <w:t>The approved provider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(2)</w:t>
      </w:r>
      <w:r>
        <w:tab/>
        <w:t>A nominated supervisor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(3)</w:t>
      </w:r>
      <w:r>
        <w:tab/>
        <w:t>A family day care educator must ensure that, at any time during which the educator is educating and caring for children as part of a family day care service, a bassinet is not on the education and care service premises from which the educator is providing the education and care.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84D inserted: SL 2023/186 r. 16.]</w:t>
      </w:r>
    </w:p>
    <w:p>
      <w:pPr>
        <w:pStyle w:val="Heading4"/>
      </w:pPr>
      <w:bookmarkStart w:id="166" w:name="_Toc207098896"/>
      <w:bookmarkStart w:id="167" w:name="_Toc207110417"/>
      <w:bookmarkStart w:id="168" w:name="_Toc207117700"/>
      <w:r>
        <w:lastRenderedPageBreak/>
        <w:t>Division 2 — Incidents, injury, trauma and illness</w:t>
      </w:r>
      <w:bookmarkEnd w:id="166"/>
      <w:bookmarkEnd w:id="167"/>
      <w:bookmarkEnd w:id="168"/>
    </w:p>
    <w:p>
      <w:pPr>
        <w:pStyle w:val="Heading5"/>
      </w:pPr>
      <w:bookmarkStart w:id="169" w:name="_Toc207117701"/>
      <w:r>
        <w:rPr>
          <w:rStyle w:val="CharSectno"/>
        </w:rPr>
        <w:t>85</w:t>
      </w:r>
      <w:r>
        <w:t>.</w:t>
      </w:r>
      <w:r>
        <w:tab/>
        <w:t>Incident, injury, trauma and illness policies and procedures</w:t>
      </w:r>
      <w:bookmarkEnd w:id="169"/>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70" w:name="_Toc207117702"/>
      <w:r>
        <w:rPr>
          <w:rStyle w:val="CharSectno"/>
        </w:rPr>
        <w:t>86</w:t>
      </w:r>
      <w:r>
        <w:t>.</w:t>
      </w:r>
      <w:r>
        <w:tab/>
        <w:t>Notification to parents of incident, injury, trauma and illness</w:t>
      </w:r>
      <w:bookmarkEnd w:id="170"/>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71" w:name="_Toc207117703"/>
      <w:r>
        <w:rPr>
          <w:rStyle w:val="CharSectno"/>
        </w:rPr>
        <w:t>87</w:t>
      </w:r>
      <w:r>
        <w:t>.</w:t>
      </w:r>
      <w:r>
        <w:tab/>
        <w:t>Incident, injury, trauma and illness record</w:t>
      </w:r>
      <w:bookmarkEnd w:id="171"/>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lastRenderedPageBreak/>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lastRenderedPageBreak/>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72" w:name="_Toc207117704"/>
      <w:r>
        <w:rPr>
          <w:rStyle w:val="CharSectno"/>
        </w:rPr>
        <w:t>88</w:t>
      </w:r>
      <w:r>
        <w:t>.</w:t>
      </w:r>
      <w:r>
        <w:tab/>
        <w:t>Infectious diseases</w:t>
      </w:r>
      <w:bookmarkEnd w:id="172"/>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keepLines/>
      </w:pPr>
      <w:r>
        <w:lastRenderedPageBreak/>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73" w:name="_Toc207117705"/>
      <w:r>
        <w:rPr>
          <w:rStyle w:val="CharSectno"/>
        </w:rPr>
        <w:t>89</w:t>
      </w:r>
      <w:r>
        <w:t>.</w:t>
      </w:r>
      <w:r>
        <w:tab/>
        <w:t>First aid kits</w:t>
      </w:r>
      <w:bookmarkEnd w:id="173"/>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74" w:name="_Toc207098902"/>
      <w:bookmarkStart w:id="175" w:name="_Toc207110423"/>
      <w:bookmarkStart w:id="176" w:name="_Toc207117706"/>
      <w:r>
        <w:lastRenderedPageBreak/>
        <w:t>Division 3 — Medical conditions policy</w:t>
      </w:r>
      <w:bookmarkEnd w:id="174"/>
      <w:bookmarkEnd w:id="175"/>
      <w:bookmarkEnd w:id="176"/>
    </w:p>
    <w:p>
      <w:pPr>
        <w:pStyle w:val="Heading5"/>
      </w:pPr>
      <w:bookmarkStart w:id="177" w:name="_Toc207117707"/>
      <w:r>
        <w:rPr>
          <w:rStyle w:val="CharSectno"/>
        </w:rPr>
        <w:t>90</w:t>
      </w:r>
      <w:r>
        <w:t>.</w:t>
      </w:r>
      <w:r>
        <w:tab/>
        <w:t>Medical conditions policy</w:t>
      </w:r>
      <w:bookmarkEnd w:id="177"/>
      <w:r>
        <w:t xml:space="preserve"> </w:t>
      </w:r>
    </w:p>
    <w:p>
      <w:pPr>
        <w:pStyle w:val="Subsection"/>
        <w:keepNext/>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 xml:space="preserve">if relevant, to ensure that practices and procedures to ensure that the parents are notified of any known allergens that </w:t>
      </w:r>
      <w:r>
        <w:lastRenderedPageBreak/>
        <w:t>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lastRenderedPageBreak/>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178" w:name="_Toc207117708"/>
      <w:r>
        <w:rPr>
          <w:rStyle w:val="CharSectno"/>
        </w:rPr>
        <w:t>91</w:t>
      </w:r>
      <w:r>
        <w:t>.</w:t>
      </w:r>
      <w:r>
        <w:tab/>
        <w:t>Medical conditions policy to be provided to parents</w:t>
      </w:r>
      <w:bookmarkEnd w:id="178"/>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79" w:name="_Toc207098905"/>
      <w:bookmarkStart w:id="180" w:name="_Toc207110426"/>
      <w:bookmarkStart w:id="181" w:name="_Toc207117709"/>
      <w:r>
        <w:t>Division 4 — Administration of medication</w:t>
      </w:r>
      <w:bookmarkEnd w:id="179"/>
      <w:bookmarkEnd w:id="180"/>
      <w:bookmarkEnd w:id="181"/>
    </w:p>
    <w:p>
      <w:pPr>
        <w:pStyle w:val="Heading5"/>
      </w:pPr>
      <w:bookmarkStart w:id="182" w:name="_Toc207117710"/>
      <w:r>
        <w:rPr>
          <w:rStyle w:val="CharSectno"/>
        </w:rPr>
        <w:t>92</w:t>
      </w:r>
      <w:r>
        <w:t>.</w:t>
      </w:r>
      <w:r>
        <w:tab/>
        <w:t>Medication record</w:t>
      </w:r>
      <w:bookmarkEnd w:id="182"/>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lastRenderedPageBreak/>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183" w:name="_Toc207117711"/>
      <w:r>
        <w:rPr>
          <w:rStyle w:val="CharSectno"/>
        </w:rPr>
        <w:t>93</w:t>
      </w:r>
      <w:r>
        <w:t>.</w:t>
      </w:r>
      <w:r>
        <w:tab/>
        <w:t>Administration of medication</w:t>
      </w:r>
      <w:bookmarkEnd w:id="183"/>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lastRenderedPageBreak/>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$1100.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keepNext/>
        <w:spacing w:before="50"/>
      </w:pPr>
      <w:r>
        <w:tab/>
        <w:t>(ii)</w:t>
      </w:r>
      <w:r>
        <w:tab/>
        <w:t xml:space="preserve">if a parent or person named in the enrolment record cannot reasonably be contacted in the </w:t>
      </w:r>
      <w:r>
        <w:lastRenderedPageBreak/>
        <w:t>circumstances, a registered medical practitioner or an emergency service.</w:t>
      </w:r>
    </w:p>
    <w:p>
      <w:pPr>
        <w:pStyle w:val="Footnotesection"/>
      </w:pPr>
      <w:r>
        <w:tab/>
        <w:t>[Regulation 93 amended: Gazette 28 Sep 2018 p. 3620; SL 2023/186 r. 45(1).]</w:t>
      </w:r>
    </w:p>
    <w:p>
      <w:pPr>
        <w:pStyle w:val="Heading5"/>
        <w:spacing w:before="200"/>
      </w:pPr>
      <w:bookmarkStart w:id="184" w:name="_Toc207117712"/>
      <w:r>
        <w:rPr>
          <w:rStyle w:val="CharSectno"/>
        </w:rPr>
        <w:t>94</w:t>
      </w:r>
      <w:r>
        <w:t>.</w:t>
      </w:r>
      <w:r>
        <w:tab/>
        <w:t>Exception to authorisation requirement — anaphylaxis or asthma emergency</w:t>
      </w:r>
      <w:bookmarkEnd w:id="184"/>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185" w:name="_Toc207117713"/>
      <w:r>
        <w:rPr>
          <w:rStyle w:val="CharSectno"/>
        </w:rPr>
        <w:t>95</w:t>
      </w:r>
      <w:r>
        <w:t>.</w:t>
      </w:r>
      <w:r>
        <w:tab/>
        <w:t>Procedure for administration of medication</w:t>
      </w:r>
      <w:bookmarkEnd w:id="185"/>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 xml:space="preserve">if the medication has been prescribed by a registered medical practitioner, from its original container, bearing the original label with the name of the child to whom the medication is to </w:t>
      </w:r>
      <w:r>
        <w:lastRenderedPageBreak/>
        <w:t>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186" w:name="_Toc207117714"/>
      <w:r>
        <w:rPr>
          <w:rStyle w:val="CharSectno"/>
        </w:rPr>
        <w:t>96</w:t>
      </w:r>
      <w:r>
        <w:t>.</w:t>
      </w:r>
      <w:r>
        <w:tab/>
        <w:t>Self</w:t>
      </w:r>
      <w:r>
        <w:noBreakHyphen/>
        <w:t>administration of medication</w:t>
      </w:r>
      <w:bookmarkEnd w:id="186"/>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87" w:name="_Toc207098911"/>
      <w:bookmarkStart w:id="188" w:name="_Toc207110432"/>
      <w:bookmarkStart w:id="189" w:name="_Toc207117715"/>
      <w:r>
        <w:lastRenderedPageBreak/>
        <w:t>Division 5 — Emergencies and communication</w:t>
      </w:r>
      <w:bookmarkEnd w:id="187"/>
      <w:bookmarkEnd w:id="188"/>
      <w:bookmarkEnd w:id="189"/>
    </w:p>
    <w:p>
      <w:pPr>
        <w:pStyle w:val="Heading5"/>
      </w:pPr>
      <w:bookmarkStart w:id="190" w:name="_Toc207117716"/>
      <w:r>
        <w:rPr>
          <w:rStyle w:val="CharSectno"/>
        </w:rPr>
        <w:t>97</w:t>
      </w:r>
      <w:r>
        <w:t>.</w:t>
      </w:r>
      <w:r>
        <w:tab/>
        <w:t>Emergency and evacuation procedures</w:t>
      </w:r>
      <w:bookmarkEnd w:id="190"/>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 and</w:t>
      </w:r>
    </w:p>
    <w:p>
      <w:pPr>
        <w:pStyle w:val="Indenta"/>
      </w:pPr>
      <w:r>
        <w:tab/>
        <w:t>(c)</w:t>
      </w:r>
      <w:r>
        <w:tab/>
        <w:t>if the education and care service premises is located within a multi</w:t>
      </w:r>
      <w:r>
        <w:noBreakHyphen/>
        <w:t xml:space="preserve">storey building shared with other occupants and on a storey with no direct egress to an assembly area — </w:t>
      </w:r>
    </w:p>
    <w:p>
      <w:pPr>
        <w:pStyle w:val="Indenti"/>
      </w:pPr>
      <w:r>
        <w:tab/>
        <w:t>(i)</w:t>
      </w:r>
      <w:r>
        <w:tab/>
        <w:t>all possible evacuation routes from each storey on which the premises is located; and</w:t>
      </w:r>
    </w:p>
    <w:p>
      <w:pPr>
        <w:pStyle w:val="Indenti"/>
      </w:pPr>
      <w:r>
        <w:tab/>
        <w:t>(ii)</w:t>
      </w:r>
      <w:r>
        <w:tab/>
        <w:t>the evacuation routes that are proposed to be used in an evacuation; and</w:t>
      </w:r>
    </w:p>
    <w:p>
      <w:pPr>
        <w:pStyle w:val="Indenti"/>
      </w:pPr>
      <w:r>
        <w:tab/>
        <w:t>(iii)</w:t>
      </w:r>
      <w:r>
        <w:tab/>
        <w:t>how all children will be safely evacuated from the premises, including non</w:t>
      </w:r>
      <w:r>
        <w:noBreakHyphen/>
        <w:t>ambulatory children; and</w:t>
      </w:r>
    </w:p>
    <w:p>
      <w:pPr>
        <w:pStyle w:val="Indenti"/>
      </w:pPr>
      <w:r>
        <w:tab/>
        <w:t>(iv)</w:t>
      </w:r>
      <w:r>
        <w:tab/>
        <w:t>the stages in which an evacuation will be carried out; and</w:t>
      </w:r>
    </w:p>
    <w:p>
      <w:pPr>
        <w:pStyle w:val="Indenti"/>
      </w:pPr>
      <w:r>
        <w:tab/>
        <w:t>(v)</w:t>
      </w:r>
      <w:r>
        <w:tab/>
        <w:t>the identity of the person in charge of an evacuation; and</w:t>
      </w:r>
    </w:p>
    <w:p>
      <w:pPr>
        <w:pStyle w:val="Indenti"/>
      </w:pPr>
      <w:r>
        <w:tab/>
        <w:t>(vi)</w:t>
      </w:r>
      <w:r>
        <w:tab/>
        <w:t>the roles and responsibilities of staff members during an evacuation; and</w:t>
      </w:r>
    </w:p>
    <w:p>
      <w:pPr>
        <w:pStyle w:val="Indenti"/>
      </w:pPr>
      <w:r>
        <w:tab/>
        <w:t>(vii)</w:t>
      </w:r>
      <w:r>
        <w:tab/>
        <w:t>the arrangements made with the other occupants of the multi</w:t>
      </w:r>
      <w:r>
        <w:noBreakHyphen/>
        <w:t>storey building in relation to the evacuation of the multi</w:t>
      </w:r>
      <w:r>
        <w:noBreakHyphen/>
        <w:t>storey building.</w:t>
      </w:r>
    </w:p>
    <w:p>
      <w:pPr>
        <w:pStyle w:val="Subsection"/>
        <w:keepNext/>
      </w:pPr>
      <w:r>
        <w:tab/>
        <w:t>(2)</w:t>
      </w:r>
      <w:r>
        <w:tab/>
        <w:t xml:space="preserve">For the purposes of preparing the emergency and evacuation procedures, the approved provider of an education and care </w:t>
      </w:r>
      <w:r>
        <w:lastRenderedPageBreak/>
        <w:t>service must ensure that a risk assessment is conducted to identify potential emergencies that are relevant to the service.</w:t>
      </w:r>
    </w:p>
    <w:p>
      <w:pPr>
        <w:pStyle w:val="Penstart"/>
      </w:pPr>
      <w:r>
        <w:tab/>
        <w:t>Penalty: $2000.</w:t>
      </w:r>
    </w:p>
    <w:p>
      <w:pPr>
        <w:pStyle w:val="Subsection"/>
      </w:pPr>
      <w:r>
        <w:tab/>
        <w:t>(2A)</w:t>
      </w:r>
      <w:r>
        <w:tab/>
        <w:t>The approved provider of a centre</w:t>
      </w:r>
      <w:r>
        <w:noBreakHyphen/>
        <w:t xml:space="preserve">based service must review the risk assessment conducted under subregulation (2) — </w:t>
      </w:r>
    </w:p>
    <w:p>
      <w:pPr>
        <w:pStyle w:val="Indenta"/>
      </w:pPr>
      <w:r>
        <w:tab/>
        <w:t>(a)</w:t>
      </w:r>
      <w:r>
        <w:tab/>
        <w:t>at least once every 12 months; and</w:t>
      </w:r>
    </w:p>
    <w:p>
      <w:pPr>
        <w:pStyle w:val="Indenta"/>
      </w:pPr>
      <w:r>
        <w:tab/>
        <w:t>(b)</w:t>
      </w:r>
      <w:r>
        <w:tab/>
        <w:t>as soon as practicable after becoming aware of any circumstance that may affect the safe evacuation of children from the service.</w:t>
      </w:r>
    </w:p>
    <w:p>
      <w:pPr>
        <w:pStyle w:val="Penstart"/>
      </w:pPr>
      <w:r>
        <w:tab/>
        <w:t>Penalty: $2000.</w:t>
      </w:r>
    </w:p>
    <w:p>
      <w:pPr>
        <w:pStyle w:val="Subsection"/>
      </w:pPr>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lastRenderedPageBreak/>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(2A), (3) or (4).</w:t>
      </w:r>
    </w:p>
    <w:p>
      <w:pPr>
        <w:pStyle w:val="Footnotesection"/>
      </w:pPr>
      <w:r>
        <w:tab/>
        <w:t>[Regulation 97 amended: Gazette 13 Dec 2013 p.</w:t>
      </w:r>
      <w:r>
        <w:rPr>
          <w:sz w:val="19"/>
        </w:rPr>
        <w:t> </w:t>
      </w:r>
      <w:r>
        <w:t>6158</w:t>
      </w:r>
      <w:r>
        <w:noBreakHyphen/>
        <w:t>9; SL 2023/186 r. 17.]</w:t>
      </w:r>
    </w:p>
    <w:p>
      <w:pPr>
        <w:pStyle w:val="Heading5"/>
      </w:pPr>
      <w:bookmarkStart w:id="191" w:name="_Toc207117717"/>
      <w:r>
        <w:rPr>
          <w:rStyle w:val="CharSectno"/>
        </w:rPr>
        <w:t>98</w:t>
      </w:r>
      <w:r>
        <w:t>.</w:t>
      </w:r>
      <w:r>
        <w:tab/>
        <w:t>Telephone or other communication equipment</w:t>
      </w:r>
      <w:bookmarkEnd w:id="191"/>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$1100.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 SL 2023/186 r. 45(1).]</w:t>
      </w:r>
    </w:p>
    <w:p>
      <w:pPr>
        <w:pStyle w:val="Heading4"/>
        <w:keepLines/>
      </w:pPr>
      <w:bookmarkStart w:id="192" w:name="_Toc207098914"/>
      <w:bookmarkStart w:id="193" w:name="_Toc207110435"/>
      <w:bookmarkStart w:id="194" w:name="_Toc207117718"/>
      <w:r>
        <w:lastRenderedPageBreak/>
        <w:t>Division 6 — Collection of children from premises and excursions</w:t>
      </w:r>
      <w:bookmarkEnd w:id="192"/>
      <w:bookmarkEnd w:id="193"/>
      <w:bookmarkEnd w:id="194"/>
    </w:p>
    <w:p>
      <w:pPr>
        <w:pStyle w:val="Heading5"/>
      </w:pPr>
      <w:bookmarkStart w:id="195" w:name="_Toc207117719"/>
      <w:r>
        <w:rPr>
          <w:rStyle w:val="CharSectno"/>
        </w:rPr>
        <w:t>99</w:t>
      </w:r>
      <w:r>
        <w:t>.</w:t>
      </w:r>
      <w:r>
        <w:tab/>
        <w:t>Children leaving the education and care service premises</w:t>
      </w:r>
      <w:bookmarkEnd w:id="195"/>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196" w:name="_Toc207117720"/>
      <w:r>
        <w:rPr>
          <w:rStyle w:val="CharSectno"/>
        </w:rPr>
        <w:t>100</w:t>
      </w:r>
      <w:r>
        <w:t>.</w:t>
      </w:r>
      <w:r>
        <w:tab/>
        <w:t>Risk assessment must be conducted before excursion</w:t>
      </w:r>
      <w:bookmarkEnd w:id="196"/>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keepNext/>
      </w:pPr>
      <w:r>
        <w:lastRenderedPageBreak/>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197" w:name="_Toc207117721"/>
      <w:r>
        <w:rPr>
          <w:rStyle w:val="CharSectno"/>
        </w:rPr>
        <w:t>101</w:t>
      </w:r>
      <w:r>
        <w:t>.</w:t>
      </w:r>
      <w:r>
        <w:tab/>
        <w:t>Conduct of risk assessment for excursion</w:t>
      </w:r>
      <w:bookmarkEnd w:id="197"/>
      <w:r>
        <w:t xml:space="preserve"> </w:t>
      </w:r>
    </w:p>
    <w:p>
      <w:pPr>
        <w:pStyle w:val="Subsection"/>
        <w:keepNext/>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keepNext/>
      </w:pPr>
      <w:r>
        <w:lastRenderedPageBreak/>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198" w:name="_Toc207117722"/>
      <w:r>
        <w:rPr>
          <w:rStyle w:val="CharSectno"/>
        </w:rPr>
        <w:t>102</w:t>
      </w:r>
      <w:r>
        <w:t>.</w:t>
      </w:r>
      <w:r>
        <w:tab/>
        <w:t>Authorisation for excursions</w:t>
      </w:r>
      <w:bookmarkEnd w:id="198"/>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keepNext/>
      </w:pPr>
      <w:r>
        <w:tab/>
        <w:t>(3)</w:t>
      </w:r>
      <w:r>
        <w:tab/>
        <w:t xml:space="preserve">A family day care educator must ensure that a child who is being educated and cared for by the educator as part of a family day care service is not taken outside the residence or approved </w:t>
      </w:r>
      <w:r>
        <w:lastRenderedPageBreak/>
        <w:t>family day care venue on an excursion unless written authorisation has been provided under subregulation (4).</w:t>
      </w:r>
    </w:p>
    <w:p>
      <w:pPr>
        <w:pStyle w:val="Penstart"/>
      </w:pPr>
      <w:r>
        <w:tab/>
        <w:t>Penalty: $1100.</w:t>
      </w:r>
    </w:p>
    <w:p>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keepNext/>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lastRenderedPageBreak/>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 SL 2023/186 r. 45(1).]</w:t>
      </w:r>
    </w:p>
    <w:p>
      <w:pPr>
        <w:pStyle w:val="Heading4"/>
      </w:pPr>
      <w:bookmarkStart w:id="199" w:name="_Toc207098919"/>
      <w:bookmarkStart w:id="200" w:name="_Toc207110440"/>
      <w:bookmarkStart w:id="201" w:name="_Toc207117723"/>
      <w:r>
        <w:t>Division 6A — Safe arrival of children</w:t>
      </w:r>
      <w:bookmarkEnd w:id="199"/>
      <w:bookmarkEnd w:id="200"/>
      <w:bookmarkEnd w:id="201"/>
    </w:p>
    <w:p>
      <w:pPr>
        <w:pStyle w:val="Footnoteheading"/>
      </w:pPr>
      <w:r>
        <w:tab/>
        <w:t>[Heading inserted: SL 2023/186 r. 18.]</w:t>
      </w:r>
    </w:p>
    <w:p>
      <w:pPr>
        <w:pStyle w:val="Heading5"/>
      </w:pPr>
      <w:bookmarkStart w:id="202" w:name="_Toc207117724"/>
      <w:r>
        <w:rPr>
          <w:rStyle w:val="CharSectno"/>
        </w:rPr>
        <w:t>102AA</w:t>
      </w:r>
      <w:r>
        <w:t>.</w:t>
      </w:r>
      <w:r>
        <w:tab/>
        <w:t>Definition</w:t>
      </w:r>
      <w:bookmarkEnd w:id="202"/>
    </w:p>
    <w:p>
      <w:pPr>
        <w:pStyle w:val="Subsection"/>
      </w:pPr>
      <w:r>
        <w:tab/>
      </w:r>
      <w:r>
        <w:tab/>
        <w:t xml:space="preserve">In this Division — </w:t>
      </w:r>
    </w:p>
    <w:p>
      <w:pPr>
        <w:pStyle w:val="Defstart"/>
      </w:pPr>
      <w:r>
        <w:tab/>
      </w:r>
      <w:r>
        <w:rPr>
          <w:rStyle w:val="CharDefText"/>
        </w:rPr>
        <w:t>education or early childhood service</w:t>
      </w:r>
      <w:r>
        <w:t xml:space="preserve"> means — </w:t>
      </w:r>
    </w:p>
    <w:p>
      <w:pPr>
        <w:pStyle w:val="Defpara"/>
      </w:pPr>
      <w:r>
        <w:tab/>
        <w:t>(a)</w:t>
      </w:r>
      <w:r>
        <w:tab/>
        <w:t>a school; or</w:t>
      </w:r>
    </w:p>
    <w:p>
      <w:pPr>
        <w:pStyle w:val="Defpara"/>
      </w:pPr>
      <w:r>
        <w:tab/>
        <w:t>(b)</w:t>
      </w:r>
      <w:r>
        <w:tab/>
        <w:t>an education and care service; or</w:t>
      </w:r>
    </w:p>
    <w:p>
      <w:pPr>
        <w:pStyle w:val="Defpara"/>
      </w:pPr>
      <w:r>
        <w:tab/>
        <w:t>(c)</w:t>
      </w:r>
      <w:r>
        <w:tab/>
        <w:t>a children’s service; or</w:t>
      </w:r>
    </w:p>
    <w:p>
      <w:pPr>
        <w:pStyle w:val="Defpara"/>
      </w:pPr>
      <w:r>
        <w:tab/>
        <w:t>(d)</w:t>
      </w:r>
      <w:r>
        <w:tab/>
        <w:t>any other service which provides education or care to children.</w:t>
      </w:r>
    </w:p>
    <w:p>
      <w:pPr>
        <w:pStyle w:val="Footnotesection"/>
      </w:pPr>
      <w:r>
        <w:tab/>
        <w:t>[Regulation 102AA inserted: SL 2023/186 r. 18.]</w:t>
      </w:r>
    </w:p>
    <w:p>
      <w:pPr>
        <w:pStyle w:val="Heading5"/>
      </w:pPr>
      <w:bookmarkStart w:id="203" w:name="_Toc207117725"/>
      <w:r>
        <w:rPr>
          <w:rStyle w:val="CharSectno"/>
        </w:rPr>
        <w:t>102AAB</w:t>
      </w:r>
      <w:r>
        <w:t>.</w:t>
      </w:r>
      <w:r>
        <w:tab/>
        <w:t>Safe arrival of children policies and procedures</w:t>
      </w:r>
      <w:bookmarkEnd w:id="203"/>
    </w:p>
    <w:p>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pPr>
        <w:pStyle w:val="Subsection"/>
      </w:pPr>
      <w:r>
        <w:lastRenderedPageBreak/>
        <w:tab/>
        <w:t>(2)</w:t>
      </w:r>
      <w:r>
        <w:tab/>
        <w:t xml:space="preserve">In preparing the safe arrival of children policies and procedures, the approved provider of an education and care service must consult with — </w:t>
      </w:r>
    </w:p>
    <w:p>
      <w:pPr>
        <w:pStyle w:val="Indenta"/>
      </w:pPr>
      <w:r>
        <w:tab/>
        <w:t>(a)</w:t>
      </w:r>
      <w:r>
        <w:tab/>
        <w:t>staff of the service; and</w:t>
      </w:r>
    </w:p>
    <w:p>
      <w:pPr>
        <w:pStyle w:val="Indenta"/>
      </w:pPr>
      <w:r>
        <w:tab/>
        <w:t>(b)</w:t>
      </w:r>
      <w:r>
        <w:tab/>
        <w:t>parents of children being educated and cared for by the service; and</w:t>
      </w:r>
    </w:p>
    <w:p>
      <w:pPr>
        <w:pStyle w:val="Indenta"/>
      </w:pPr>
      <w:r>
        <w:tab/>
        <w:t>(c)</w:t>
      </w:r>
      <w:r>
        <w:tab/>
        <w:t>children being educated and cared for by the service (if applicable).</w:t>
      </w:r>
    </w:p>
    <w:p>
      <w:pPr>
        <w:pStyle w:val="Footnotesection"/>
      </w:pPr>
      <w:r>
        <w:tab/>
        <w:t>[Regulation 102AAB inserted: SL 2023/186 r. 18.]</w:t>
      </w:r>
    </w:p>
    <w:p>
      <w:pPr>
        <w:pStyle w:val="Heading5"/>
      </w:pPr>
      <w:bookmarkStart w:id="204" w:name="_Toc207117726"/>
      <w:r>
        <w:rPr>
          <w:rStyle w:val="CharSectno"/>
        </w:rPr>
        <w:t>102AAC</w:t>
      </w:r>
      <w:r>
        <w:t>.</w:t>
      </w:r>
      <w:r>
        <w:tab/>
        <w:t>Risk assessment for the purposes of safe arrival of children policies and procedures</w:t>
      </w:r>
      <w:bookmarkEnd w:id="204"/>
    </w:p>
    <w:p>
      <w:pPr>
        <w:pStyle w:val="Subsection"/>
      </w:pPr>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p>
    <w:p>
      <w:pPr>
        <w:pStyle w:val="Penstart"/>
      </w:pPr>
      <w:r>
        <w:tab/>
        <w:t>Penalty: $2000.</w:t>
      </w:r>
    </w:p>
    <w:p>
      <w:pPr>
        <w:pStyle w:val="Subsection"/>
      </w:pPr>
      <w:r>
        <w:tab/>
        <w:t>(2)</w:t>
      </w:r>
      <w:r>
        <w:tab/>
        <w:t xml:space="preserve">The approved provider must conduct a risk assessment — </w:t>
      </w:r>
    </w:p>
    <w:p>
      <w:pPr>
        <w:pStyle w:val="Indenta"/>
      </w:pPr>
      <w:r>
        <w:tab/>
        <w:t>(a)</w:t>
      </w:r>
      <w:r>
        <w:tab/>
        <w:t>at least once every 12 months; and</w:t>
      </w:r>
    </w:p>
    <w:p>
      <w:pPr>
        <w:pStyle w:val="Indenta"/>
      </w:pPr>
      <w:r>
        <w:tab/>
        <w:t>(b)</w:t>
      </w:r>
      <w:r>
        <w:tab/>
        <w:t>as soon as practicable after becoming aware of any circumstance that may affect the safe arrival of children travelling between an education and care service and any other education or early childhood service.</w:t>
      </w:r>
    </w:p>
    <w:p>
      <w:pPr>
        <w:pStyle w:val="Subsection"/>
        <w:keepNext/>
      </w:pPr>
      <w:r>
        <w:tab/>
        <w:t>(3)</w:t>
      </w:r>
      <w:r>
        <w:tab/>
        <w:t xml:space="preserve">A risk assessment must — </w:t>
      </w:r>
    </w:p>
    <w:p>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pPr>
        <w:pStyle w:val="Indenta"/>
      </w:pPr>
      <w:r>
        <w:tab/>
        <w:t>(b)</w:t>
      </w:r>
      <w:r>
        <w:tab/>
        <w:t>specify how the identified risks will be managed and minimised.</w:t>
      </w:r>
    </w:p>
    <w:p>
      <w:pPr>
        <w:pStyle w:val="Subsection"/>
      </w:pPr>
      <w:r>
        <w:lastRenderedPageBreak/>
        <w:tab/>
        <w:t>(4)</w:t>
      </w:r>
      <w:r>
        <w:tab/>
        <w:t xml:space="preserve">Without limiting subregulation (3), a risk assessment must consider the following, in respect of a child who travels between an education and care service and any other education or early childhood service — </w:t>
      </w:r>
    </w:p>
    <w:p>
      <w:pPr>
        <w:pStyle w:val="Indenta"/>
      </w:pPr>
      <w:r>
        <w:tab/>
        <w:t>(a)</w:t>
      </w:r>
      <w:r>
        <w:tab/>
        <w:t>the age, developmental stage and individual needs of the child;</w:t>
      </w:r>
    </w:p>
    <w:p>
      <w:pPr>
        <w:pStyle w:val="Indenta"/>
      </w:pPr>
      <w:r>
        <w:tab/>
        <w:t>(b)</w:t>
      </w:r>
      <w:r>
        <w:tab/>
        <w:t xml:space="preserve">the role and responsibilities of the following persons (if applicable) — </w:t>
      </w:r>
    </w:p>
    <w:p>
      <w:pPr>
        <w:pStyle w:val="Indenti"/>
      </w:pPr>
      <w:r>
        <w:tab/>
        <w:t>(i)</w:t>
      </w:r>
      <w:r>
        <w:tab/>
        <w:t>in the case of a child who leaves the service premises to travel to an education and care service premises of another education and care service — the nominated supervisor of each service;</w:t>
      </w:r>
    </w:p>
    <w:p>
      <w:pPr>
        <w:pStyle w:val="Indenti"/>
      </w:pPr>
      <w:r>
        <w:tab/>
        <w:t>(ii)</w:t>
      </w:r>
      <w:r>
        <w:tab/>
        <w:t>the child’s parent;</w:t>
      </w:r>
    </w:p>
    <w:p>
      <w:pPr>
        <w:pStyle w:val="Indenti"/>
      </w:pPr>
      <w:r>
        <w:tab/>
        <w:t>(iii)</w:t>
      </w:r>
      <w:r>
        <w:tab/>
        <w:t>an authorised nominee named in the child’s enrolment record;</w:t>
      </w:r>
    </w:p>
    <w:p>
      <w:pPr>
        <w:pStyle w:val="Indenti"/>
      </w:pPr>
      <w:r>
        <w:tab/>
        <w:t>(iv)</w:t>
      </w:r>
      <w:r>
        <w:tab/>
        <w:t xml:space="preserve">a person authorised by — </w:t>
      </w:r>
    </w:p>
    <w:p>
      <w:pPr>
        <w:pStyle w:val="IndentI0"/>
      </w:pPr>
      <w:r>
        <w:tab/>
        <w:t>(A)</w:t>
      </w:r>
      <w:r>
        <w:tab/>
        <w:t>the child’s parent; or</w:t>
      </w:r>
    </w:p>
    <w:p>
      <w:pPr>
        <w:pStyle w:val="IndentI0"/>
      </w:pPr>
      <w:r>
        <w:tab/>
        <w:t>(B)</w:t>
      </w:r>
      <w:r>
        <w:tab/>
        <w:t>an authorised nominee named in the child’s enrolment record;</w:t>
      </w:r>
    </w:p>
    <w:p>
      <w:pPr>
        <w:pStyle w:val="Indenta"/>
      </w:pPr>
      <w:r>
        <w:tab/>
        <w:t>(c)</w:t>
      </w:r>
      <w:r>
        <w:tab/>
        <w:t>the role and responsibilities of the service the care of which the child is entering or leaving;</w:t>
      </w:r>
    </w:p>
    <w:p>
      <w:pPr>
        <w:pStyle w:val="Indenta"/>
      </w:pPr>
      <w:r>
        <w:tab/>
        <w:t>(d)</w:t>
      </w:r>
      <w:r>
        <w:tab/>
        <w:t>the communication arrangements between the service the child is leaving and the service the child is entering, including any communication arrangements if the child is missing or cannot be accounted for during the child’s travel;</w:t>
      </w:r>
    </w:p>
    <w:p>
      <w:pPr>
        <w:pStyle w:val="Indenta"/>
      </w:pPr>
      <w:r>
        <w:tab/>
        <w:t>(e)</w:t>
      </w:r>
      <w:r>
        <w:tab/>
        <w:t>the procedure to be followed by the service if the service has identified that the child is missing or cannot be accounted for during the child’s travel;</w:t>
      </w:r>
    </w:p>
    <w:p>
      <w:pPr>
        <w:pStyle w:val="Indenta"/>
      </w:pPr>
      <w:r>
        <w:tab/>
        <w:t>(f)</w:t>
      </w:r>
      <w:r>
        <w:tab/>
        <w:t>given the risks posed by the child’s travel, the number of educators or other responsible adults that are appropriate to provide supervision;</w:t>
      </w:r>
    </w:p>
    <w:p>
      <w:pPr>
        <w:pStyle w:val="Indenta"/>
      </w:pPr>
      <w:r>
        <w:lastRenderedPageBreak/>
        <w:tab/>
        <w:t>(g)</w:t>
      </w:r>
      <w:r>
        <w:tab/>
        <w:t>the proposed route and destination, including any proximity to harm and hazards;</w:t>
      </w:r>
    </w:p>
    <w:p>
      <w:pPr>
        <w:pStyle w:val="Indenta"/>
      </w:pPr>
      <w:r>
        <w:tab/>
        <w:t>(h)</w:t>
      </w:r>
      <w:r>
        <w:tab/>
        <w:t xml:space="preserve">the process for entering and exiting — </w:t>
      </w:r>
    </w:p>
    <w:p>
      <w:pPr>
        <w:pStyle w:val="Indenti"/>
      </w:pPr>
      <w:r>
        <w:tab/>
        <w:t>(i)</w:t>
      </w:r>
      <w:r>
        <w:tab/>
        <w:t>the service premises; and</w:t>
      </w:r>
    </w:p>
    <w:p>
      <w:pPr>
        <w:pStyle w:val="Indenti"/>
      </w:pPr>
      <w:r>
        <w:tab/>
        <w:t>(ii)</w:t>
      </w:r>
      <w:r>
        <w:tab/>
        <w:t>the pick</w:t>
      </w:r>
      <w:r>
        <w:noBreakHyphen/>
        <w:t>up location or destination (as required);</w:t>
      </w:r>
    </w:p>
    <w:p>
      <w:pPr>
        <w:pStyle w:val="Indenta"/>
      </w:pPr>
      <w:r>
        <w:tab/>
        <w:t>(i)</w:t>
      </w:r>
      <w:r>
        <w:tab/>
        <w:t>the procedure to be followed by the service to ensure the child leaves the service premises in accordance with section 165A(4)(b) of the Law as applying in Western Australia.</w:t>
      </w:r>
    </w:p>
    <w:p>
      <w:pPr>
        <w:pStyle w:val="Subsection"/>
      </w:pPr>
      <w:r>
        <w:tab/>
        <w:t>(5)</w:t>
      </w:r>
      <w:r>
        <w:tab/>
        <w:t>If, after conducting a risk assessment, a risk relating to a child’s travel is identified, the approved provider must make any necessary updates to the safe arrival of children policies and procedures as soon as practicable.</w:t>
      </w:r>
    </w:p>
    <w:p>
      <w:pPr>
        <w:pStyle w:val="Subsection"/>
      </w:pPr>
      <w:r>
        <w:tab/>
        <w:t>(6)</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102AAC inserted: SL 2023/186 r. 18.]</w:t>
      </w:r>
    </w:p>
    <w:p>
      <w:pPr>
        <w:pStyle w:val="Heading4"/>
      </w:pPr>
      <w:bookmarkStart w:id="205" w:name="_Toc207098923"/>
      <w:bookmarkStart w:id="206" w:name="_Toc207110444"/>
      <w:bookmarkStart w:id="207" w:name="_Toc207117727"/>
      <w:r>
        <w:t>Division 7 — Transportation of children other than as part of excursion</w:t>
      </w:r>
      <w:bookmarkEnd w:id="205"/>
      <w:bookmarkEnd w:id="206"/>
      <w:bookmarkEnd w:id="207"/>
    </w:p>
    <w:p>
      <w:pPr>
        <w:pStyle w:val="Footnoteheading"/>
        <w:keepNext/>
      </w:pPr>
      <w:r>
        <w:tab/>
        <w:t>[Heading inserted: SL 2020/143 r. 9.]</w:t>
      </w:r>
    </w:p>
    <w:p>
      <w:pPr>
        <w:pStyle w:val="Heading5"/>
      </w:pPr>
      <w:bookmarkStart w:id="208" w:name="_Toc207117728"/>
      <w:r>
        <w:rPr>
          <w:rStyle w:val="CharSectno"/>
        </w:rPr>
        <w:t>102A</w:t>
      </w:r>
      <w:r>
        <w:t>.</w:t>
      </w:r>
      <w:r>
        <w:tab/>
        <w:t>Application of Division</w:t>
      </w:r>
      <w:bookmarkEnd w:id="208"/>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209" w:name="_Toc207117729"/>
      <w:r>
        <w:rPr>
          <w:rStyle w:val="CharSectno"/>
        </w:rPr>
        <w:lastRenderedPageBreak/>
        <w:t>102B</w:t>
      </w:r>
      <w:r>
        <w:t>.</w:t>
      </w:r>
      <w:r>
        <w:tab/>
        <w:t>Transport risk assessment must be conducted before service transports child</w:t>
      </w:r>
      <w:bookmarkEnd w:id="209"/>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$2000.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102B inserted: SL 2020/143 r. 9; amended: SL 2023/186 r. 19 and 45(2).]</w:t>
      </w:r>
    </w:p>
    <w:p>
      <w:pPr>
        <w:pStyle w:val="Heading5"/>
      </w:pPr>
      <w:bookmarkStart w:id="210" w:name="_Toc207117730"/>
      <w:r>
        <w:rPr>
          <w:rStyle w:val="CharSectno"/>
        </w:rPr>
        <w:lastRenderedPageBreak/>
        <w:t>102C</w:t>
      </w:r>
      <w:r>
        <w:t>.</w:t>
      </w:r>
      <w:r>
        <w:tab/>
        <w:t>Conduct of risk assessment for transporting of children by education and care service</w:t>
      </w:r>
      <w:bookmarkEnd w:id="210"/>
    </w:p>
    <w:p>
      <w:pPr>
        <w:pStyle w:val="Subsection"/>
        <w:keepNext/>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keepNext/>
      </w:pPr>
      <w:r>
        <w:lastRenderedPageBreak/>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211" w:name="_Toc207117731"/>
      <w:r>
        <w:rPr>
          <w:rStyle w:val="CharSectno"/>
        </w:rPr>
        <w:t>102D</w:t>
      </w:r>
      <w:r>
        <w:t>.</w:t>
      </w:r>
      <w:r>
        <w:tab/>
        <w:t>Authorisation for service to transport children</w:t>
      </w:r>
      <w:bookmarkEnd w:id="211"/>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$1100.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lastRenderedPageBreak/>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 SL 2023/186 r. 45(3)</w:t>
      </w:r>
      <w:r>
        <w:noBreakHyphen/>
        <w:t>(5).]</w:t>
      </w:r>
    </w:p>
    <w:p>
      <w:pPr>
        <w:pStyle w:val="Heading5"/>
      </w:pPr>
      <w:bookmarkStart w:id="212" w:name="_Toc207117732"/>
      <w:r>
        <w:rPr>
          <w:rStyle w:val="CharSectno"/>
        </w:rPr>
        <w:t>102E</w:t>
      </w:r>
      <w:r>
        <w:t>.</w:t>
      </w:r>
      <w:r>
        <w:tab/>
        <w:t>Children embarking a means of transport — centre</w:t>
      </w:r>
      <w:r>
        <w:noBreakHyphen/>
        <w:t>based service</w:t>
      </w:r>
      <w:bookmarkEnd w:id="212"/>
    </w:p>
    <w:p>
      <w:pPr>
        <w:pStyle w:val="Subsection"/>
      </w:pPr>
      <w:r>
        <w:tab/>
        <w:t>(1)</w:t>
      </w:r>
      <w:r>
        <w:tab/>
        <w:t>This regulation applies in relation to the regular transportation of children by or arranged by a centre</w:t>
      </w:r>
      <w:r>
        <w:noBreakHyphen/>
        <w:t>based service.</w:t>
      </w:r>
    </w:p>
    <w:p>
      <w:pPr>
        <w:pStyle w:val="Subsection"/>
      </w:pPr>
      <w:r>
        <w:lastRenderedPageBreak/>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keepNext/>
      </w:pPr>
      <w:r>
        <w:tab/>
        <w:t>(5)</w:t>
      </w:r>
      <w:r>
        <w:tab/>
        <w:t xml:space="preserve">Nothing in this regulation prevents the person referred to in subregulation (4)(a) from being counted as an educator in </w:t>
      </w:r>
      <w:r>
        <w:lastRenderedPageBreak/>
        <w:t>calculating the educator to child ratio of the service under Chapter 4 Part 4.4 Division 3.</w:t>
      </w:r>
    </w:p>
    <w:p>
      <w:pPr>
        <w:pStyle w:val="Footnotesection"/>
      </w:pPr>
      <w:r>
        <w:tab/>
        <w:t>[Regulation 102E inserted: SL 2023/15 r. 5; amended: SL 2023/186 r. 45(2).]</w:t>
      </w:r>
    </w:p>
    <w:p>
      <w:pPr>
        <w:pStyle w:val="Heading5"/>
      </w:pPr>
      <w:bookmarkStart w:id="213" w:name="_Toc207117733"/>
      <w:r>
        <w:rPr>
          <w:rStyle w:val="CharSectno"/>
        </w:rPr>
        <w:t>102F</w:t>
      </w:r>
      <w:r>
        <w:t>.</w:t>
      </w:r>
      <w:r>
        <w:tab/>
        <w:t>Children disembarking a means of transport — centre</w:t>
      </w:r>
      <w:r>
        <w:noBreakHyphen/>
        <w:t>based service</w:t>
      </w:r>
      <w:bookmarkEnd w:id="213"/>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lastRenderedPageBreak/>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 amended: SL 2023/186 r. 45(2).]</w:t>
      </w:r>
    </w:p>
    <w:p>
      <w:pPr>
        <w:pStyle w:val="Heading3"/>
      </w:pPr>
      <w:bookmarkStart w:id="214" w:name="_Toc207098930"/>
      <w:bookmarkStart w:id="215" w:name="_Toc207110451"/>
      <w:bookmarkStart w:id="216" w:name="_Toc207117734"/>
      <w:r>
        <w:rPr>
          <w:rStyle w:val="CharDivNo"/>
        </w:rPr>
        <w:t>Part 4.3</w:t>
      </w:r>
      <w:r>
        <w:t> — </w:t>
      </w:r>
      <w:r>
        <w:rPr>
          <w:rStyle w:val="CharDivText"/>
        </w:rPr>
        <w:t>Physical environment</w:t>
      </w:r>
      <w:bookmarkEnd w:id="214"/>
      <w:bookmarkEnd w:id="215"/>
      <w:bookmarkEnd w:id="216"/>
    </w:p>
    <w:p>
      <w:pPr>
        <w:pStyle w:val="Heading4"/>
      </w:pPr>
      <w:bookmarkStart w:id="217" w:name="_Toc207098931"/>
      <w:bookmarkStart w:id="218" w:name="_Toc207110452"/>
      <w:bookmarkStart w:id="219" w:name="_Toc207117735"/>
      <w:r>
        <w:t>Division 1 — Centre</w:t>
      </w:r>
      <w:r>
        <w:noBreakHyphen/>
        <w:t>based services and family day care services</w:t>
      </w:r>
      <w:bookmarkEnd w:id="217"/>
      <w:bookmarkEnd w:id="218"/>
      <w:bookmarkEnd w:id="219"/>
    </w:p>
    <w:p>
      <w:pPr>
        <w:pStyle w:val="Heading5"/>
      </w:pPr>
      <w:bookmarkStart w:id="220" w:name="_Toc207117736"/>
      <w:r>
        <w:rPr>
          <w:rStyle w:val="CharSectno"/>
        </w:rPr>
        <w:t>103</w:t>
      </w:r>
      <w:r>
        <w:t>.</w:t>
      </w:r>
      <w:r>
        <w:tab/>
        <w:t>Premises, furniture and equipment to be safe, clean and in good repair</w:t>
      </w:r>
      <w:bookmarkEnd w:id="220"/>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keepNext/>
      </w:pPr>
      <w:r>
        <w:lastRenderedPageBreak/>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21" w:name="_Toc207117737"/>
      <w:r>
        <w:rPr>
          <w:rStyle w:val="CharSectno"/>
        </w:rPr>
        <w:t>104</w:t>
      </w:r>
      <w:r>
        <w:t>.</w:t>
      </w:r>
      <w:r>
        <w:tab/>
        <w:t>Fencing</w:t>
      </w:r>
      <w:bookmarkEnd w:id="221"/>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222" w:name="_Toc207117738"/>
      <w:r>
        <w:rPr>
          <w:rStyle w:val="CharSectno"/>
        </w:rPr>
        <w:t>105</w:t>
      </w:r>
      <w:r>
        <w:t>.</w:t>
      </w:r>
      <w:r>
        <w:tab/>
        <w:t>Furniture, materials and equipment</w:t>
      </w:r>
      <w:bookmarkEnd w:id="222"/>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23" w:name="_Toc207117739"/>
      <w:r>
        <w:rPr>
          <w:rStyle w:val="CharSectno"/>
        </w:rPr>
        <w:lastRenderedPageBreak/>
        <w:t>106</w:t>
      </w:r>
      <w:r>
        <w:t>.</w:t>
      </w:r>
      <w:r>
        <w:tab/>
        <w:t>Laundry and hygiene facilities</w:t>
      </w:r>
      <w:bookmarkEnd w:id="223"/>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224" w:name="_Toc207117740"/>
      <w:r>
        <w:rPr>
          <w:rStyle w:val="CharSectno"/>
        </w:rPr>
        <w:t>107</w:t>
      </w:r>
      <w:r>
        <w:t>.</w:t>
      </w:r>
      <w:r>
        <w:tab/>
        <w:t>Space requirements — indoor space</w:t>
      </w:r>
      <w:bookmarkEnd w:id="224"/>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lastRenderedPageBreak/>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225" w:name="_Toc207117741"/>
      <w:r>
        <w:rPr>
          <w:rStyle w:val="CharSectno"/>
        </w:rPr>
        <w:t>108</w:t>
      </w:r>
      <w:r>
        <w:t>.</w:t>
      </w:r>
      <w:r>
        <w:tab/>
        <w:t>Space requirements — outdoor space</w:t>
      </w:r>
      <w:bookmarkEnd w:id="225"/>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lastRenderedPageBreak/>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226" w:name="_Toc207117742"/>
      <w:r>
        <w:rPr>
          <w:rStyle w:val="CharSectno"/>
        </w:rPr>
        <w:lastRenderedPageBreak/>
        <w:t>109</w:t>
      </w:r>
      <w:r>
        <w:t>.</w:t>
      </w:r>
      <w:r>
        <w:tab/>
        <w:t>Toilet and hygiene facilities</w:t>
      </w:r>
      <w:bookmarkEnd w:id="226"/>
      <w:r>
        <w:t xml:space="preserve"> </w:t>
      </w:r>
    </w:p>
    <w:p>
      <w:pPr>
        <w:pStyle w:val="Subsection"/>
        <w:keepNext/>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227" w:name="_Toc207117743"/>
      <w:r>
        <w:rPr>
          <w:rStyle w:val="CharSectno"/>
        </w:rPr>
        <w:t>110</w:t>
      </w:r>
      <w:r>
        <w:t>.</w:t>
      </w:r>
      <w:r>
        <w:tab/>
        <w:t>Ventilation and natural light</w:t>
      </w:r>
      <w:bookmarkEnd w:id="227"/>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28" w:name="_Toc207098940"/>
      <w:bookmarkStart w:id="229" w:name="_Toc207110461"/>
      <w:bookmarkStart w:id="230" w:name="_Toc207117744"/>
      <w:r>
        <w:t>Division 2 — Additional requirements for centre</w:t>
      </w:r>
      <w:r>
        <w:noBreakHyphen/>
        <w:t>based services</w:t>
      </w:r>
      <w:bookmarkEnd w:id="228"/>
      <w:bookmarkEnd w:id="229"/>
      <w:bookmarkEnd w:id="230"/>
    </w:p>
    <w:p>
      <w:pPr>
        <w:pStyle w:val="Heading5"/>
      </w:pPr>
      <w:bookmarkStart w:id="231" w:name="_Toc207117745"/>
      <w:r>
        <w:rPr>
          <w:rStyle w:val="CharSectno"/>
        </w:rPr>
        <w:t>111</w:t>
      </w:r>
      <w:r>
        <w:t>.</w:t>
      </w:r>
      <w:r>
        <w:tab/>
        <w:t>Administrative space</w:t>
      </w:r>
      <w:bookmarkEnd w:id="231"/>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lastRenderedPageBreak/>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232" w:name="_Toc207117746"/>
      <w:r>
        <w:rPr>
          <w:rStyle w:val="CharSectno"/>
        </w:rPr>
        <w:t>112</w:t>
      </w:r>
      <w:r>
        <w:t>.</w:t>
      </w:r>
      <w:r>
        <w:tab/>
        <w:t>Nappy change facilities</w:t>
      </w:r>
      <w:bookmarkEnd w:id="232"/>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$1100.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Footnotesection"/>
      </w:pPr>
      <w:r>
        <w:tab/>
        <w:t>[Regulation 112 amended: SL 2023/186 r. 45(1).]</w:t>
      </w:r>
    </w:p>
    <w:p>
      <w:pPr>
        <w:pStyle w:val="Heading5"/>
      </w:pPr>
      <w:bookmarkStart w:id="233" w:name="_Toc207117747"/>
      <w:r>
        <w:rPr>
          <w:rStyle w:val="CharSectno"/>
        </w:rPr>
        <w:lastRenderedPageBreak/>
        <w:t>113</w:t>
      </w:r>
      <w:r>
        <w:t>.</w:t>
      </w:r>
      <w:r>
        <w:tab/>
        <w:t>Outdoor space — natural environment</w:t>
      </w:r>
      <w:bookmarkEnd w:id="233"/>
      <w:r>
        <w:t xml:space="preserve"> </w:t>
      </w:r>
    </w:p>
    <w:p>
      <w:pPr>
        <w:pStyle w:val="Subsection"/>
        <w:keepLines/>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34" w:name="_Toc207117748"/>
      <w:r>
        <w:rPr>
          <w:rStyle w:val="CharSectno"/>
        </w:rPr>
        <w:t>114</w:t>
      </w:r>
      <w:r>
        <w:t>.</w:t>
      </w:r>
      <w:r>
        <w:tab/>
        <w:t>Outdoor space — shade</w:t>
      </w:r>
      <w:bookmarkEnd w:id="234"/>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114 amended: SL 2023/186 r. 45(1).]</w:t>
      </w:r>
    </w:p>
    <w:p>
      <w:pPr>
        <w:pStyle w:val="Heading5"/>
      </w:pPr>
      <w:bookmarkStart w:id="235" w:name="_Toc207117749"/>
      <w:r>
        <w:rPr>
          <w:rStyle w:val="CharSectno"/>
        </w:rPr>
        <w:t>115</w:t>
      </w:r>
      <w:r>
        <w:t>.</w:t>
      </w:r>
      <w:r>
        <w:tab/>
        <w:t>Premises designed to facilitate supervision</w:t>
      </w:r>
      <w:bookmarkEnd w:id="235"/>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36" w:name="_Toc207098946"/>
      <w:bookmarkStart w:id="237" w:name="_Toc207110467"/>
      <w:bookmarkStart w:id="238" w:name="_Toc207117750"/>
      <w:r>
        <w:lastRenderedPageBreak/>
        <w:t>Division 3 — Additional provisions for family day care services</w:t>
      </w:r>
      <w:bookmarkEnd w:id="236"/>
      <w:bookmarkEnd w:id="237"/>
      <w:bookmarkEnd w:id="238"/>
    </w:p>
    <w:p>
      <w:pPr>
        <w:pStyle w:val="Heading5"/>
      </w:pPr>
      <w:bookmarkStart w:id="239" w:name="_Toc207117751"/>
      <w:r>
        <w:rPr>
          <w:rStyle w:val="CharSectno"/>
        </w:rPr>
        <w:t>116</w:t>
      </w:r>
      <w:r>
        <w:t>.</w:t>
      </w:r>
      <w:r>
        <w:tab/>
        <w:t>Assessments of family day care residences and approved family day care venues</w:t>
      </w:r>
      <w:bookmarkEnd w:id="239"/>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$2000.</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keepLines/>
      </w:pPr>
      <w:r>
        <w:lastRenderedPageBreak/>
        <w:tab/>
        <w:t>(b)</w:t>
      </w:r>
      <w:r>
        <w:tab/>
        <w:t>the suitability of the residence (and areas within the residence) or venue according to the number, ages and abilities of children attending, or likely to attend, the service at the residence or venue;</w:t>
      </w:r>
    </w:p>
    <w:p>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 SL 2023/186 r. 20.]</w:t>
      </w:r>
    </w:p>
    <w:p>
      <w:pPr>
        <w:pStyle w:val="Heading5"/>
      </w:pPr>
      <w:bookmarkStart w:id="240" w:name="_Toc207117752"/>
      <w:r>
        <w:rPr>
          <w:rStyle w:val="CharSectno"/>
        </w:rPr>
        <w:lastRenderedPageBreak/>
        <w:t>116A</w:t>
      </w:r>
      <w:r>
        <w:t>.</w:t>
      </w:r>
      <w:r>
        <w:tab/>
        <w:t>Inspection of swimming pools, water features and other potential water hazards at family day care residences and approved family day care venues</w:t>
      </w:r>
      <w:bookmarkEnd w:id="240"/>
    </w:p>
    <w:p>
      <w:pPr>
        <w:pStyle w:val="PermNoteHeading"/>
      </w:pPr>
      <w:r>
        <w:tab/>
        <w:t>Notes for this regulation:</w:t>
      </w:r>
    </w:p>
    <w:p>
      <w:pPr>
        <w:pStyle w:val="PermNoteText"/>
      </w:pPr>
      <w:r>
        <w:tab/>
        <w:t>1.</w:t>
      </w:r>
      <w:r>
        <w:tab/>
        <w:t>Regulation 116A of the national regulations made by the Ministerial Council does not apply as a law of WA.</w:t>
      </w:r>
    </w:p>
    <w:p>
      <w:pPr>
        <w:pStyle w:val="PermNoteText"/>
      </w:pPr>
      <w:r>
        <w:tab/>
        <w:t>2.</w:t>
      </w:r>
      <w:r>
        <w:tab/>
        <w:t>For a provision reflecting regulation 116A of the national regulations made by the Ministerial Council see regulation 373E.</w:t>
      </w:r>
    </w:p>
    <w:p>
      <w:pPr>
        <w:pStyle w:val="Footnotesection"/>
      </w:pPr>
      <w:r>
        <w:tab/>
        <w:t>[Regulation 116A inserted: SL 2023/186 r. 21.]</w:t>
      </w:r>
    </w:p>
    <w:p>
      <w:pPr>
        <w:pStyle w:val="Heading5"/>
      </w:pPr>
      <w:bookmarkStart w:id="241" w:name="_Toc207117753"/>
      <w:r>
        <w:rPr>
          <w:rStyle w:val="CharSectno"/>
        </w:rPr>
        <w:t>116B</w:t>
      </w:r>
      <w:r>
        <w:t>.</w:t>
      </w:r>
      <w:r>
        <w:tab/>
        <w:t>Inspection report</w:t>
      </w:r>
      <w:bookmarkEnd w:id="241"/>
    </w:p>
    <w:p>
      <w:pPr>
        <w:pStyle w:val="PermNoteHeading"/>
      </w:pPr>
      <w:r>
        <w:tab/>
        <w:t>Notes for this regulation:</w:t>
      </w:r>
    </w:p>
    <w:p>
      <w:pPr>
        <w:pStyle w:val="PermNoteText"/>
      </w:pPr>
      <w:r>
        <w:tab/>
        <w:t>1.</w:t>
      </w:r>
      <w:r>
        <w:tab/>
        <w:t>Regulation 116B of the national regulations made by the Ministerial Council does not apply as a law of WA.</w:t>
      </w:r>
    </w:p>
    <w:p>
      <w:pPr>
        <w:pStyle w:val="PermNoteText"/>
      </w:pPr>
      <w:r>
        <w:tab/>
        <w:t>2.</w:t>
      </w:r>
      <w:r>
        <w:tab/>
        <w:t>For a provision reflecting regulation 116B of the national regulations made by the Ministerial Council see regulation 373E.</w:t>
      </w:r>
    </w:p>
    <w:p>
      <w:pPr>
        <w:pStyle w:val="Footnotesection"/>
      </w:pPr>
      <w:r>
        <w:tab/>
        <w:t>[Regulation 116B inserted: SL 2023/186 r. 21.]</w:t>
      </w:r>
    </w:p>
    <w:p>
      <w:pPr>
        <w:pStyle w:val="Heading5"/>
      </w:pPr>
      <w:bookmarkStart w:id="242" w:name="_Toc207117754"/>
      <w:r>
        <w:rPr>
          <w:rStyle w:val="CharSectno"/>
        </w:rPr>
        <w:t>116C</w:t>
      </w:r>
      <w:r>
        <w:t>.</w:t>
      </w:r>
      <w:r>
        <w:tab/>
        <w:t>Compliance with fencing requirements for swimming pools at family day care residences and approved family day care venues</w:t>
      </w:r>
      <w:bookmarkEnd w:id="242"/>
    </w:p>
    <w:p>
      <w:pPr>
        <w:pStyle w:val="PermNoteHeading"/>
      </w:pPr>
      <w:r>
        <w:tab/>
        <w:t>Note for this regulation:</w:t>
      </w:r>
    </w:p>
    <w:p>
      <w:pPr>
        <w:pStyle w:val="PermNoteText"/>
      </w:pPr>
      <w:r>
        <w:tab/>
      </w:r>
      <w:r>
        <w:tab/>
        <w:t>Regulation 116C of the national regulations made by the Ministerial Council does not apply as a law of WA.</w:t>
      </w:r>
    </w:p>
    <w:p>
      <w:pPr>
        <w:pStyle w:val="Footnotesection"/>
      </w:pPr>
      <w:r>
        <w:tab/>
        <w:t>[Regulation 116C inserted: SL 2023/186 r. 21.]</w:t>
      </w:r>
    </w:p>
    <w:p>
      <w:pPr>
        <w:pStyle w:val="Heading5"/>
      </w:pPr>
      <w:bookmarkStart w:id="243" w:name="_Toc207117755"/>
      <w:r>
        <w:rPr>
          <w:rStyle w:val="CharSectno"/>
        </w:rPr>
        <w:t>117</w:t>
      </w:r>
      <w:r>
        <w:t>.</w:t>
      </w:r>
      <w:r>
        <w:tab/>
        <w:t>Glass</w:t>
      </w:r>
      <w:bookmarkEnd w:id="243"/>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lastRenderedPageBreak/>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244" w:name="_Toc207098952"/>
      <w:bookmarkStart w:id="245" w:name="_Toc207110473"/>
      <w:bookmarkStart w:id="246" w:name="_Toc207117756"/>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244"/>
      <w:bookmarkEnd w:id="245"/>
      <w:bookmarkEnd w:id="246"/>
    </w:p>
    <w:p>
      <w:pPr>
        <w:pStyle w:val="Footnoteheading"/>
        <w:keepNext/>
      </w:pPr>
      <w:r>
        <w:tab/>
        <w:t>[Heading inserted: Gazette 28 Sep 2018 p. 3622.]</w:t>
      </w:r>
    </w:p>
    <w:p>
      <w:pPr>
        <w:pStyle w:val="Heading5"/>
      </w:pPr>
      <w:bookmarkStart w:id="247" w:name="_Toc207117757"/>
      <w:r>
        <w:rPr>
          <w:rStyle w:val="CharSectno"/>
        </w:rPr>
        <w:t>117A</w:t>
      </w:r>
      <w:r>
        <w:t>.</w:t>
      </w:r>
      <w:r>
        <w:tab/>
        <w:t>Placing a person in day</w:t>
      </w:r>
      <w:r>
        <w:noBreakHyphen/>
        <w:t>to</w:t>
      </w:r>
      <w:r>
        <w:noBreakHyphen/>
        <w:t>day charge</w:t>
      </w:r>
      <w:bookmarkEnd w:id="247"/>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248" w:name="_Toc207117758"/>
      <w:r>
        <w:rPr>
          <w:rStyle w:val="CharSectno"/>
        </w:rPr>
        <w:lastRenderedPageBreak/>
        <w:t>117B</w:t>
      </w:r>
      <w:r>
        <w:t>.</w:t>
      </w:r>
      <w:r>
        <w:tab/>
        <w:t>Minimum requirements for a person in day</w:t>
      </w:r>
      <w:r>
        <w:noBreakHyphen/>
        <w:t>to</w:t>
      </w:r>
      <w:r>
        <w:noBreakHyphen/>
        <w:t>day charge</w:t>
      </w:r>
      <w:bookmarkEnd w:id="248"/>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249" w:name="_Toc207117759"/>
      <w:r>
        <w:rPr>
          <w:rStyle w:val="CharSectno"/>
        </w:rPr>
        <w:t>117C</w:t>
      </w:r>
      <w:r>
        <w:t>.</w:t>
      </w:r>
      <w:r>
        <w:tab/>
        <w:t>Minimum requirements for a nominated supervisor</w:t>
      </w:r>
      <w:bookmarkEnd w:id="249"/>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keepLines/>
      </w:pPr>
      <w:r>
        <w:lastRenderedPageBreak/>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250" w:name="_Toc207098956"/>
      <w:bookmarkStart w:id="251" w:name="_Toc207110477"/>
      <w:bookmarkStart w:id="252" w:name="_Toc207117760"/>
      <w:r>
        <w:rPr>
          <w:rStyle w:val="CharDivNo"/>
        </w:rPr>
        <w:t>Part 4.4</w:t>
      </w:r>
      <w:r>
        <w:t> — </w:t>
      </w:r>
      <w:r>
        <w:rPr>
          <w:rStyle w:val="CharDivText"/>
        </w:rPr>
        <w:t>Staffing arrangements</w:t>
      </w:r>
      <w:bookmarkEnd w:id="250"/>
      <w:bookmarkEnd w:id="251"/>
      <w:bookmarkEnd w:id="252"/>
    </w:p>
    <w:p>
      <w:pPr>
        <w:pStyle w:val="Heading4"/>
      </w:pPr>
      <w:bookmarkStart w:id="253" w:name="_Toc207098957"/>
      <w:bookmarkStart w:id="254" w:name="_Toc207110478"/>
      <w:bookmarkStart w:id="255" w:name="_Toc207117761"/>
      <w:r>
        <w:t>Division 1 — Educational leader</w:t>
      </w:r>
      <w:bookmarkEnd w:id="253"/>
      <w:bookmarkEnd w:id="254"/>
      <w:bookmarkEnd w:id="255"/>
    </w:p>
    <w:p>
      <w:pPr>
        <w:pStyle w:val="Heading5"/>
      </w:pPr>
      <w:bookmarkStart w:id="256" w:name="_Toc207117762"/>
      <w:r>
        <w:rPr>
          <w:rStyle w:val="CharSectno"/>
        </w:rPr>
        <w:t>118</w:t>
      </w:r>
      <w:r>
        <w:t>.</w:t>
      </w:r>
      <w:r>
        <w:tab/>
        <w:t>Educational leader</w:t>
      </w:r>
      <w:bookmarkEnd w:id="256"/>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57" w:name="_Toc207098959"/>
      <w:bookmarkStart w:id="258" w:name="_Toc207110480"/>
      <w:bookmarkStart w:id="259" w:name="_Toc207117763"/>
      <w:r>
        <w:t>Division 2 — Age and supervision requirements</w:t>
      </w:r>
      <w:bookmarkEnd w:id="257"/>
      <w:bookmarkEnd w:id="258"/>
      <w:bookmarkEnd w:id="259"/>
    </w:p>
    <w:p>
      <w:pPr>
        <w:pStyle w:val="Heading5"/>
      </w:pPr>
      <w:bookmarkStart w:id="260" w:name="_Toc207117764"/>
      <w:r>
        <w:rPr>
          <w:rStyle w:val="CharSectno"/>
        </w:rPr>
        <w:t>119</w:t>
      </w:r>
      <w:r>
        <w:t>.</w:t>
      </w:r>
      <w:r>
        <w:tab/>
        <w:t>Family day care educator and family day care educator assistant to be at least 18 years old</w:t>
      </w:r>
      <w:bookmarkEnd w:id="260"/>
      <w:r>
        <w:t xml:space="preserve"> </w:t>
      </w:r>
    </w:p>
    <w:p>
      <w:pPr>
        <w:pStyle w:val="Subsection"/>
      </w:pPr>
      <w:r>
        <w:tab/>
      </w:r>
      <w:r>
        <w:tab/>
        <w:t xml:space="preserve">The approved provider of a family day care service must ensure that any family day care educator and any family day care </w:t>
      </w:r>
      <w:r>
        <w:lastRenderedPageBreak/>
        <w:t>educator assistant engaged by or registered with the service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119 amended: SL 2023/186 r. 45(1).]</w:t>
      </w:r>
    </w:p>
    <w:p>
      <w:pPr>
        <w:pStyle w:val="Heading5"/>
      </w:pPr>
      <w:bookmarkStart w:id="261" w:name="_Toc207117765"/>
      <w:r>
        <w:rPr>
          <w:rStyle w:val="CharSectno"/>
        </w:rPr>
        <w:t>120</w:t>
      </w:r>
      <w:r>
        <w:t>.</w:t>
      </w:r>
      <w:r>
        <w:tab/>
        <w:t>Educators who are under 18 to be supervised</w:t>
      </w:r>
      <w:bookmarkEnd w:id="261"/>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120 amended: SL 2023/186 r. 45(1).]</w:t>
      </w:r>
    </w:p>
    <w:p>
      <w:pPr>
        <w:pStyle w:val="Heading4"/>
      </w:pPr>
      <w:bookmarkStart w:id="262" w:name="_Toc207098962"/>
      <w:bookmarkStart w:id="263" w:name="_Toc207110483"/>
      <w:bookmarkStart w:id="264" w:name="_Toc207117766"/>
      <w:r>
        <w:t>Division 3 — Minimum number of educators and family day care co</w:t>
      </w:r>
      <w:r>
        <w:noBreakHyphen/>
        <w:t>ordinators required</w:t>
      </w:r>
      <w:bookmarkEnd w:id="262"/>
      <w:bookmarkEnd w:id="263"/>
      <w:bookmarkEnd w:id="264"/>
    </w:p>
    <w:p>
      <w:pPr>
        <w:pStyle w:val="Footnoteheading"/>
        <w:keepNext/>
      </w:pPr>
      <w:r>
        <w:tab/>
        <w:t>[Heading amended: Gazette 28 Sep 2018 p. 3625.]</w:t>
      </w:r>
    </w:p>
    <w:p>
      <w:pPr>
        <w:pStyle w:val="Heading5"/>
      </w:pPr>
      <w:bookmarkStart w:id="265" w:name="_Toc207117767"/>
      <w:r>
        <w:rPr>
          <w:rStyle w:val="CharSectno"/>
        </w:rPr>
        <w:t>121</w:t>
      </w:r>
      <w:r>
        <w:t>.</w:t>
      </w:r>
      <w:r>
        <w:tab/>
        <w:t>Application of Division 3</w:t>
      </w:r>
      <w:bookmarkEnd w:id="265"/>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keepNext/>
      </w:pPr>
      <w:r>
        <w:lastRenderedPageBreak/>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266" w:name="_Toc207117768"/>
      <w:r>
        <w:rPr>
          <w:rStyle w:val="CharSectno"/>
        </w:rPr>
        <w:t>122</w:t>
      </w:r>
      <w:r>
        <w:t>.</w:t>
      </w:r>
      <w:r>
        <w:tab/>
        <w:t>Educators must be working directly with children to be included in ratios</w:t>
      </w:r>
      <w:bookmarkEnd w:id="266"/>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267" w:name="_Toc207117769"/>
      <w:r>
        <w:rPr>
          <w:rStyle w:val="CharSectno"/>
        </w:rPr>
        <w:t>123</w:t>
      </w:r>
      <w:r>
        <w:t>.</w:t>
      </w:r>
      <w:r>
        <w:tab/>
        <w:t>Educator to child ratios — centre</w:t>
      </w:r>
      <w:r>
        <w:noBreakHyphen/>
        <w:t>based services</w:t>
      </w:r>
      <w:bookmarkEnd w:id="267"/>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lastRenderedPageBreak/>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lastRenderedPageBreak/>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spacing w:before="120"/>
      </w:pPr>
      <w:r>
        <w:tab/>
        <w:t>Notes for this regulation:</w:t>
      </w:r>
    </w:p>
    <w:p>
      <w:pPr>
        <w:pStyle w:val="PermNoteText"/>
      </w:pPr>
      <w:r>
        <w:tab/>
        <w:t>1.</w:t>
      </w:r>
      <w:r>
        <w:tab/>
        <w:t>This regulation differs from regulation 123 of the national regulations made by the Ministerial Council.</w:t>
      </w:r>
    </w:p>
    <w:p>
      <w:pPr>
        <w:pStyle w:val="PermNoteText"/>
      </w:pPr>
      <w:r>
        <w:lastRenderedPageBreak/>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268" w:name="_Toc207117770"/>
      <w:r>
        <w:rPr>
          <w:rStyle w:val="CharSectno"/>
        </w:rPr>
        <w:t>123A</w:t>
      </w:r>
      <w:r>
        <w:t>.</w:t>
      </w:r>
      <w:r>
        <w:tab/>
        <w:t>Family day care co</w:t>
      </w:r>
      <w:r>
        <w:noBreakHyphen/>
        <w:t>ordinator to educator ratios — family day care service</w:t>
      </w:r>
      <w:bookmarkEnd w:id="268"/>
    </w:p>
    <w:p>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pPr>
        <w:pStyle w:val="PermNoteHeading"/>
      </w:pPr>
      <w:r>
        <w:tab/>
        <w:t>Examples for this subregulation:</w:t>
      </w:r>
    </w:p>
    <w:p>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if the number of family day care educators engaged by or registered with the service is not more than 25 — 1 full</w:t>
      </w:r>
      <w:r>
        <w:noBreakHyphen/>
        <w:t>time equivalent family day care co</w:t>
      </w:r>
      <w:r>
        <w:noBreakHyphen/>
        <w:t>ordinator;</w:t>
      </w:r>
    </w:p>
    <w:p>
      <w:pPr>
        <w:pStyle w:val="Indenta"/>
      </w:pPr>
      <w:r>
        <w:tab/>
        <w:t>(b)</w:t>
      </w:r>
      <w:r>
        <w:tab/>
        <w:t>if the number of family day care educators engaged by or registered with the service exceeds 25 — an additional 0.2 full</w:t>
      </w:r>
      <w:r>
        <w:noBreakHyphen/>
        <w:t xml:space="preserve">time equivalent family day care </w:t>
      </w:r>
      <w:r>
        <w:lastRenderedPageBreak/>
        <w:t>co</w:t>
      </w:r>
      <w:r>
        <w:noBreakHyphen/>
        <w:t>ordinator for every additional 5 family day care educators (or part of that number).</w:t>
      </w:r>
    </w:p>
    <w:p>
      <w:pPr>
        <w:pStyle w:val="PermNoteHeading"/>
      </w:pPr>
      <w:r>
        <w:tab/>
        <w:t>Examples for this subregulation:</w:t>
      </w:r>
    </w:p>
    <w:p>
      <w:pPr>
        <w:pStyle w:val="PermNoteText"/>
      </w:pPr>
      <w:r>
        <w:tab/>
        <w:t>1.</w:t>
      </w:r>
      <w:r>
        <w:tab/>
        <w:t>If between 1 and 25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pPr>
        <w:pStyle w:val="Footnotesection"/>
      </w:pPr>
      <w:r>
        <w:tab/>
        <w:t>[Regulation 123A inserted: SL 2023/71 r. 9.]</w:t>
      </w:r>
    </w:p>
    <w:p>
      <w:pPr>
        <w:pStyle w:val="Heading5"/>
      </w:pPr>
      <w:bookmarkStart w:id="269" w:name="_Toc207117771"/>
      <w:r>
        <w:rPr>
          <w:rStyle w:val="CharSectno"/>
        </w:rPr>
        <w:t>124</w:t>
      </w:r>
      <w:r>
        <w:t>.</w:t>
      </w:r>
      <w:r>
        <w:tab/>
        <w:t>Number of children who can be educated and cared for — family day care educator</w:t>
      </w:r>
      <w:bookmarkEnd w:id="269"/>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lastRenderedPageBreak/>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270" w:name="_Toc207098968"/>
      <w:bookmarkStart w:id="271" w:name="_Toc207110489"/>
      <w:bookmarkStart w:id="272" w:name="_Toc207117772"/>
      <w:r>
        <w:lastRenderedPageBreak/>
        <w:t>Division 4 — Educational qualifications for educators</w:t>
      </w:r>
      <w:bookmarkEnd w:id="270"/>
      <w:bookmarkEnd w:id="271"/>
      <w:bookmarkEnd w:id="272"/>
    </w:p>
    <w:p>
      <w:pPr>
        <w:pStyle w:val="Heading5"/>
        <w:spacing w:before="200"/>
      </w:pPr>
      <w:bookmarkStart w:id="273" w:name="_Toc207117773"/>
      <w:r>
        <w:rPr>
          <w:rStyle w:val="CharSectno"/>
        </w:rPr>
        <w:t>125</w:t>
      </w:r>
      <w:r>
        <w:t>.</w:t>
      </w:r>
      <w:r>
        <w:tab/>
        <w:t>Application of Division 4</w:t>
      </w:r>
      <w:bookmarkEnd w:id="273"/>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274" w:name="_Toc207117774"/>
      <w:r>
        <w:rPr>
          <w:rStyle w:val="CharSectno"/>
        </w:rPr>
        <w:t>126</w:t>
      </w:r>
      <w:r>
        <w:t>.</w:t>
      </w:r>
      <w:r>
        <w:tab/>
        <w:t>Centre</w:t>
      </w:r>
      <w:r>
        <w:noBreakHyphen/>
        <w:t>based services — general educator qualifications</w:t>
      </w:r>
      <w:bookmarkEnd w:id="274"/>
      <w:r>
        <w:t xml:space="preserve"> </w:t>
      </w:r>
    </w:p>
    <w:p>
      <w:pPr>
        <w:pStyle w:val="Subsection"/>
        <w:keepNext/>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lastRenderedPageBreak/>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 SL 2023/71 r. 10.]</w:t>
      </w:r>
    </w:p>
    <w:p>
      <w:pPr>
        <w:pStyle w:val="Heading5"/>
      </w:pPr>
      <w:bookmarkStart w:id="275" w:name="_Toc207117775"/>
      <w:r>
        <w:rPr>
          <w:rStyle w:val="CharSectno"/>
        </w:rPr>
        <w:t>126A</w:t>
      </w:r>
      <w:r>
        <w:t>.</w:t>
      </w:r>
      <w:r>
        <w:tab/>
        <w:t>Illness or absence of qualified educator who is required to meet relevant educator to child ratio</w:t>
      </w:r>
      <w:bookmarkEnd w:id="275"/>
    </w:p>
    <w:p>
      <w:pPr>
        <w:pStyle w:val="Subsection"/>
      </w:pPr>
      <w:r>
        <w:tab/>
        <w:t>(1A)</w:t>
      </w:r>
      <w:r>
        <w:tab/>
        <w:t xml:space="preserve">In this regulation — </w:t>
      </w:r>
    </w:p>
    <w:p>
      <w:pPr>
        <w:pStyle w:val="Defstar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lastRenderedPageBreak/>
        <w:tab/>
        <w:t>(c)</w:t>
      </w:r>
      <w:r>
        <w:tab/>
        <w:t>an approved early childhood teaching qualification.</w:t>
      </w:r>
    </w:p>
    <w:p>
      <w:pPr>
        <w:pStyle w:val="Subsection"/>
      </w:pPr>
      <w:r>
        <w:tab/>
        <w:t>(1)</w:t>
      </w:r>
      <w:r>
        <w:tab/>
        <w:t>This regulation applies if an educator referred to in regulation 126(1)(a) or (b) is absent from a centre</w:t>
      </w:r>
      <w:r>
        <w:noBreakHyphen/>
        <w:t xml:space="preserve">based service in any of the following circumstances — </w:t>
      </w:r>
    </w:p>
    <w:p>
      <w:pPr>
        <w:pStyle w:val="Indenta"/>
      </w:pPr>
      <w:r>
        <w:tab/>
        <w:t>(a)</w:t>
      </w:r>
      <w:r>
        <w:tab/>
        <w:t>short</w:t>
      </w:r>
      <w:r>
        <w:noBreakHyphen/>
        <w:t>term illness;</w:t>
      </w:r>
    </w:p>
    <w:p>
      <w:pPr>
        <w:pStyle w:val="Indenta"/>
      </w:pPr>
      <w:r>
        <w:tab/>
        <w:t>(b)</w:t>
      </w:r>
      <w:r>
        <w:tab/>
        <w:t>the educator’s resignation;</w:t>
      </w:r>
    </w:p>
    <w:p>
      <w:pPr>
        <w:pStyle w:val="Indenta"/>
      </w:pPr>
      <w:r>
        <w:tab/>
        <w:t>(c)</w:t>
      </w:r>
      <w:r>
        <w:tab/>
        <w:t>a practicum placement required to be undertaken by the educator for an approved education and care qualification;</w:t>
      </w:r>
    </w:p>
    <w:p>
      <w:pPr>
        <w:pStyle w:val="Indenta"/>
      </w:pPr>
      <w:r>
        <w:tab/>
        <w:t>(d)</w:t>
      </w:r>
      <w:r>
        <w:tab/>
        <w:t>leave.</w:t>
      </w:r>
    </w:p>
    <w:p>
      <w:pPr>
        <w:pStyle w:val="Subsection"/>
      </w:pPr>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p>
    <w:p>
      <w:pPr>
        <w:pStyle w:val="Subsection"/>
      </w:pPr>
      <w:r>
        <w:tab/>
        <w:t>(3)</w:t>
      </w:r>
      <w:r>
        <w:tab/>
        <w:t>An educator may be replaced in accordance with subregulations (1) and (2) for a maximum of 30 days in any 12 month period.</w:t>
      </w:r>
    </w:p>
    <w:p>
      <w:pPr>
        <w:pStyle w:val="Subsection"/>
      </w:pPr>
      <w:r>
        <w:tab/>
        <w:t>(4)</w:t>
      </w:r>
      <w:r>
        <w:tab/>
        <w:t>For the purposes of subregulation (3), in relation to a part</w:t>
      </w:r>
      <w:r>
        <w:noBreakHyphen/>
        <w:t>time educator, 30 days is to be calculated on a pro rata basis.</w:t>
      </w:r>
    </w:p>
    <w:p>
      <w:pPr>
        <w:pStyle w:val="Footnotesection"/>
      </w:pPr>
      <w:r>
        <w:tab/>
        <w:t>[Regulation 126A inserted: SL 2023/71 r. 11.]</w:t>
      </w:r>
    </w:p>
    <w:p>
      <w:pPr>
        <w:pStyle w:val="Heading5"/>
      </w:pPr>
      <w:bookmarkStart w:id="276" w:name="_Toc207117776"/>
      <w:r>
        <w:rPr>
          <w:rStyle w:val="CharSectno"/>
        </w:rPr>
        <w:t>127</w:t>
      </w:r>
      <w:r>
        <w:t>.</w:t>
      </w:r>
      <w:r>
        <w:tab/>
        <w:t>Family day care educator qualifications</w:t>
      </w:r>
      <w:bookmarkEnd w:id="276"/>
      <w:r>
        <w:t xml:space="preserve"> </w:t>
      </w:r>
    </w:p>
    <w:p>
      <w:pPr>
        <w:pStyle w:val="Subsection"/>
      </w:pPr>
      <w:r>
        <w:tab/>
      </w:r>
      <w:r>
        <w:tab/>
        <w:t>A family day care educator must hold at least an approved certificate III level education and care qualification.</w:t>
      </w:r>
    </w:p>
    <w:p>
      <w:pPr>
        <w:pStyle w:val="PermNoteHeading"/>
      </w:pPr>
      <w:r>
        <w:tab/>
        <w:t>Note for this regulation:</w:t>
      </w:r>
    </w:p>
    <w:p>
      <w:pPr>
        <w:pStyle w:val="PermNoteText"/>
      </w:pPr>
      <w:r>
        <w:tab/>
      </w:r>
      <w:r>
        <w:tab/>
        <w:t>This regulation differs from regulation 127 of the national regulations made by the Ministerial Council.</w:t>
      </w:r>
    </w:p>
    <w:p>
      <w:pPr>
        <w:pStyle w:val="Footnotesection"/>
      </w:pPr>
      <w:r>
        <w:tab/>
        <w:t>[Regulation 127 amended: SL 2023/71 r. 12; SL 2023/186 r. 22.]</w:t>
      </w:r>
    </w:p>
    <w:p>
      <w:pPr>
        <w:pStyle w:val="Heading5"/>
      </w:pPr>
      <w:bookmarkStart w:id="277" w:name="_Toc207117777"/>
      <w:r>
        <w:rPr>
          <w:rStyle w:val="CharSectno"/>
        </w:rPr>
        <w:lastRenderedPageBreak/>
        <w:t>128</w:t>
      </w:r>
      <w:r>
        <w:t>.</w:t>
      </w:r>
      <w:r>
        <w:tab/>
        <w:t>Family day care co</w:t>
      </w:r>
      <w:r>
        <w:noBreakHyphen/>
        <w:t>ordinator qualifications</w:t>
      </w:r>
      <w:bookmarkEnd w:id="277"/>
      <w:r>
        <w:t xml:space="preserve"> </w:t>
      </w:r>
    </w:p>
    <w:p>
      <w:pPr>
        <w:pStyle w:val="Subsection"/>
      </w:pPr>
      <w:r>
        <w:tab/>
      </w:r>
      <w:r>
        <w:tab/>
        <w:t>A family day care co</w:t>
      </w:r>
      <w:r>
        <w:noBreakHyphen/>
        <w:t>ordinator must hold an approved diploma level education and care qualification.</w:t>
      </w:r>
    </w:p>
    <w:p>
      <w:pPr>
        <w:pStyle w:val="Footnotesection"/>
      </w:pPr>
      <w:r>
        <w:tab/>
        <w:t>[Regulation 128 amended: SL 2023/71 r. 13.]</w:t>
      </w:r>
    </w:p>
    <w:p>
      <w:pPr>
        <w:pStyle w:val="Heading4"/>
      </w:pPr>
      <w:bookmarkStart w:id="278" w:name="_Toc207098974"/>
      <w:bookmarkStart w:id="279" w:name="_Toc207110495"/>
      <w:bookmarkStart w:id="280" w:name="_Toc207117778"/>
      <w:r>
        <w:t>Division 5 — Requirements for educators who are early childhood teachers</w:t>
      </w:r>
      <w:bookmarkEnd w:id="278"/>
      <w:bookmarkEnd w:id="279"/>
      <w:bookmarkEnd w:id="280"/>
    </w:p>
    <w:p>
      <w:pPr>
        <w:pStyle w:val="Heading5"/>
      </w:pPr>
      <w:bookmarkStart w:id="281" w:name="_Toc207117779"/>
      <w:r>
        <w:rPr>
          <w:rStyle w:val="CharSectno"/>
        </w:rPr>
        <w:t>129</w:t>
      </w:r>
      <w:r>
        <w:t>.</w:t>
      </w:r>
      <w:r>
        <w:tab/>
        <w:t>Application of Division 5</w:t>
      </w:r>
      <w:bookmarkEnd w:id="281"/>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282" w:name="_Toc207117780"/>
      <w:r>
        <w:rPr>
          <w:rStyle w:val="CharSectno"/>
        </w:rPr>
        <w:t>130</w:t>
      </w:r>
      <w:r>
        <w:t>.</w:t>
      </w:r>
      <w:r>
        <w:tab/>
        <w:t>Requirement for early childhood teacher — centre</w:t>
      </w:r>
      <w:r>
        <w:noBreakHyphen/>
        <w:t>based services — fewer than 25 approved places</w:t>
      </w:r>
      <w:bookmarkEnd w:id="282"/>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lastRenderedPageBreak/>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283" w:name="_Toc207117781"/>
      <w:r>
        <w:rPr>
          <w:rStyle w:val="CharSectno"/>
        </w:rPr>
        <w:t>131</w:t>
      </w:r>
      <w:r>
        <w:t>.</w:t>
      </w:r>
      <w:r>
        <w:tab/>
        <w:t>Requirement for early childhood teacher — centre</w:t>
      </w:r>
      <w:r>
        <w:noBreakHyphen/>
        <w:t>based services — 25 or more approved places but fewer than 25 children</w:t>
      </w:r>
      <w:bookmarkEnd w:id="283"/>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keepNext/>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284" w:name="_Toc207117782"/>
      <w:r>
        <w:rPr>
          <w:rStyle w:val="CharSectno"/>
        </w:rPr>
        <w:t>132</w:t>
      </w:r>
      <w:r>
        <w:t>.</w:t>
      </w:r>
      <w:r>
        <w:tab/>
        <w:t>Requirement for early childhood teacher — centre</w:t>
      </w:r>
      <w:r>
        <w:noBreakHyphen/>
        <w:t>based services — 25 to 59 children</w:t>
      </w:r>
      <w:bookmarkEnd w:id="284"/>
      <w:r>
        <w:t xml:space="preserve"> </w:t>
      </w:r>
    </w:p>
    <w:p>
      <w:pPr>
        <w:pStyle w:val="Subsection"/>
        <w:keepNext/>
        <w:spacing w:before="180"/>
      </w:pPr>
      <w:r>
        <w:tab/>
        <w:t>(1)</w:t>
      </w:r>
      <w:r>
        <w:tab/>
        <w:t>If a centre</w:t>
      </w:r>
      <w:r>
        <w:noBreakHyphen/>
        <w:t xml:space="preserve">based service provides education and care to 25 or more but less than 60 children preschool age or under on a given </w:t>
      </w:r>
      <w:r>
        <w:lastRenderedPageBreak/>
        <w:t xml:space="preserve">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keepNext/>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285" w:name="_Toc207117783"/>
      <w:r>
        <w:rPr>
          <w:rStyle w:val="CharSectno"/>
        </w:rPr>
        <w:t>133</w:t>
      </w:r>
      <w:r>
        <w:t>.</w:t>
      </w:r>
      <w:r>
        <w:tab/>
        <w:t>Requirement for early childhood teacher — centre</w:t>
      </w:r>
      <w:r>
        <w:noBreakHyphen/>
        <w:t>based services — 60 to 80 children</w:t>
      </w:r>
      <w:bookmarkEnd w:id="285"/>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lastRenderedPageBreak/>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286" w:name="_Toc207117784"/>
      <w:r>
        <w:rPr>
          <w:rStyle w:val="CharSectno"/>
        </w:rPr>
        <w:t>134</w:t>
      </w:r>
      <w:r>
        <w:t>.</w:t>
      </w:r>
      <w:r>
        <w:tab/>
        <w:t>Requirement for early childhood teacher — centre</w:t>
      </w:r>
      <w:r>
        <w:noBreakHyphen/>
        <w:t>based services — more than 80 children</w:t>
      </w:r>
      <w:bookmarkEnd w:id="286"/>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lastRenderedPageBreak/>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keepNext/>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287" w:name="_Toc207117785"/>
      <w:r>
        <w:rPr>
          <w:rStyle w:val="CharSectno"/>
        </w:rPr>
        <w:t>135</w:t>
      </w:r>
      <w:r>
        <w:t>.</w:t>
      </w:r>
      <w:r>
        <w:tab/>
        <w:t>Illness or absence of early childhood teacher or suitably qualified person</w:t>
      </w:r>
      <w:bookmarkEnd w:id="287"/>
    </w:p>
    <w:p>
      <w:pPr>
        <w:pStyle w:val="Subsection"/>
        <w:keepNext/>
      </w:pPr>
      <w:r>
        <w:tab/>
        <w:t>(1A)</w:t>
      </w:r>
      <w:r>
        <w:tab/>
        <w:t xml:space="preserve">In this regulation — </w:t>
      </w:r>
    </w:p>
    <w:p>
      <w:pPr>
        <w:pStyle w:val="Defstart"/>
        <w:keepNex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w:t>
      </w:r>
      <w:r>
        <w:lastRenderedPageBreak/>
        <w:t xml:space="preserve">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keepNext/>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 xml:space="preserve">time second early </w:t>
      </w:r>
      <w:r>
        <w:lastRenderedPageBreak/>
        <w:t>childhood teacher or part</w:t>
      </w:r>
      <w:r>
        <w:noBreakHyphen/>
        <w:t>time suitably qualified person (as the case requires), 60 days is to be calculated on a pro rata basis.</w:t>
      </w:r>
    </w:p>
    <w:p>
      <w:pPr>
        <w:pStyle w:val="Subsection"/>
      </w:pPr>
      <w:r>
        <w:tab/>
        <w:t>(6)</w:t>
      </w:r>
      <w:r>
        <w:tab/>
        <w:t xml:space="preserve">For the purposes of subregulations (1) and (2), the following circumstances are specified — </w:t>
      </w:r>
    </w:p>
    <w:p>
      <w:pPr>
        <w:pStyle w:val="Indenta"/>
      </w:pPr>
      <w:r>
        <w:tab/>
        <w:t>(a)</w:t>
      </w:r>
      <w:r>
        <w:tab/>
        <w:t>short</w:t>
      </w:r>
      <w:r>
        <w:noBreakHyphen/>
        <w:t>term illness;</w:t>
      </w:r>
    </w:p>
    <w:p>
      <w:pPr>
        <w:pStyle w:val="Indenta"/>
      </w:pPr>
      <w:r>
        <w:tab/>
        <w:t>(b)</w:t>
      </w:r>
      <w:r>
        <w:tab/>
        <w:t>the resignation of the early childhood teacher, the second early childhood teacher or the suitably qualified person (as the case may be);</w:t>
      </w:r>
    </w:p>
    <w:p>
      <w:pPr>
        <w:pStyle w:val="Indenta"/>
      </w:pPr>
      <w:r>
        <w:tab/>
        <w:t>(c)</w:t>
      </w:r>
      <w:r>
        <w:tab/>
        <w:t>a practicum placement required to be undertaken by the early childhood teacher or the second early childhood teacher (as the case may be) for an approved education and care qualification;</w:t>
      </w:r>
    </w:p>
    <w:p>
      <w:pPr>
        <w:pStyle w:val="Indenta"/>
      </w:pPr>
      <w:r>
        <w:tab/>
        <w:t>(d)</w:t>
      </w:r>
      <w:r>
        <w:tab/>
        <w:t>a practicum placement required to be undertaken by the suitably qualified person for an approved education and care qualification;</w:t>
      </w:r>
    </w:p>
    <w:p>
      <w:pPr>
        <w:pStyle w:val="Indenta"/>
        <w:keepNext/>
      </w:pPr>
      <w:r>
        <w:tab/>
        <w:t>(e)</w:t>
      </w:r>
      <w:r>
        <w:tab/>
        <w:t>leave.</w:t>
      </w:r>
    </w:p>
    <w:p>
      <w:pPr>
        <w:pStyle w:val="Footnotesection"/>
      </w:pPr>
      <w:r>
        <w:tab/>
        <w:t>[Regulation 135 inserted: Gazette 24 Dec 2019 p. 4424</w:t>
      </w:r>
      <w:r>
        <w:noBreakHyphen/>
        <w:t>5; amended: SL 2023/71 r. 14.]</w:t>
      </w:r>
    </w:p>
    <w:p>
      <w:pPr>
        <w:pStyle w:val="Heading4"/>
      </w:pPr>
      <w:bookmarkStart w:id="288" w:name="_Toc207098982"/>
      <w:bookmarkStart w:id="289" w:name="_Toc207110503"/>
      <w:bookmarkStart w:id="290" w:name="_Toc207117786"/>
      <w:r>
        <w:t>Division 6 — First aid qualifications</w:t>
      </w:r>
      <w:bookmarkEnd w:id="288"/>
      <w:bookmarkEnd w:id="289"/>
      <w:bookmarkEnd w:id="290"/>
    </w:p>
    <w:p>
      <w:pPr>
        <w:pStyle w:val="Heading5"/>
      </w:pPr>
      <w:bookmarkStart w:id="291" w:name="_Toc207117787"/>
      <w:r>
        <w:rPr>
          <w:rStyle w:val="CharSectno"/>
        </w:rPr>
        <w:t>136</w:t>
      </w:r>
      <w:r>
        <w:t>.</w:t>
      </w:r>
      <w:r>
        <w:tab/>
        <w:t>First aid qualifications</w:t>
      </w:r>
      <w:bookmarkEnd w:id="291"/>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lastRenderedPageBreak/>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keepNext/>
      </w:pPr>
      <w:r>
        <w:lastRenderedPageBreak/>
        <w:tab/>
        <w:t>(4A)</w:t>
      </w:r>
      <w:r>
        <w:tab/>
        <w:t xml:space="preserve">For the purposes of this regulation and regulation 153 — </w:t>
      </w:r>
    </w:p>
    <w:p>
      <w:pPr>
        <w:pStyle w:val="Indenta"/>
        <w:keepNext/>
      </w:pPr>
      <w:r>
        <w:tab/>
        <w:t>(a)</w:t>
      </w:r>
      <w:r>
        <w:tab/>
        <w:t xml:space="preserve">an approved first aid qualification is taken to be current if — </w:t>
      </w:r>
    </w:p>
    <w:p>
      <w:pPr>
        <w:pStyle w:val="Indenti"/>
      </w:pPr>
      <w:r>
        <w:tab/>
        <w:t>(i)</w:t>
      </w:r>
      <w:r>
        <w:tab/>
        <w:t>in the case of emergency life support training and cardio</w:t>
      </w:r>
      <w:r>
        <w:noBreakHyphen/>
        <w:t>pulmonary resuscitation training that forms part of the approved first aid qualification — the training was completed within the previous year; and</w:t>
      </w:r>
    </w:p>
    <w:p>
      <w:pPr>
        <w:pStyle w:val="Indenti"/>
      </w:pPr>
      <w:r>
        <w:tab/>
        <w:t>(ii)</w:t>
      </w:r>
      <w:r>
        <w:tab/>
        <w:t>in the case of any other training that forms part of the approved first aid qualification — the training was completed within the previous 3 years;</w:t>
      </w:r>
    </w:p>
    <w:p>
      <w:pPr>
        <w:pStyle w:val="Indenta"/>
      </w:pPr>
      <w:r>
        <w:tab/>
      </w:r>
      <w:r>
        <w:tab/>
        <w:t>and</w:t>
      </w:r>
    </w:p>
    <w:p>
      <w:pPr>
        <w:pStyle w:val="Indenta"/>
      </w:pPr>
      <w:r>
        <w:tab/>
        <w:t>(b)</w:t>
      </w:r>
      <w:r>
        <w:tab/>
        <w:t>approved anaphylaxis management training is taken to be current if the training was completed within the previous 3 years; and</w:t>
      </w:r>
    </w:p>
    <w:p>
      <w:pPr>
        <w:pStyle w:val="Indenta"/>
      </w:pPr>
      <w:r>
        <w:tab/>
        <w:t>(c)</w:t>
      </w:r>
      <w:r>
        <w:tab/>
        <w:t>approved emergency asthma management training is taken to be current if the training was completed within the previous 3 years.</w:t>
      </w:r>
    </w:p>
    <w:p>
      <w:pPr>
        <w:pStyle w:val="Subsection"/>
        <w:keepNext/>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lastRenderedPageBreak/>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Next/>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 SL 2023/186 r. 23.]</w:t>
      </w:r>
    </w:p>
    <w:p>
      <w:pPr>
        <w:pStyle w:val="Heading4"/>
      </w:pPr>
      <w:bookmarkStart w:id="292" w:name="_Toc207098984"/>
      <w:bookmarkStart w:id="293" w:name="_Toc207110505"/>
      <w:bookmarkStart w:id="294" w:name="_Toc207117788"/>
      <w:r>
        <w:t>Division 7 — Approval and determination of qualifications</w:t>
      </w:r>
      <w:bookmarkEnd w:id="292"/>
      <w:bookmarkEnd w:id="293"/>
      <w:bookmarkEnd w:id="294"/>
    </w:p>
    <w:p>
      <w:pPr>
        <w:pStyle w:val="Heading5"/>
      </w:pPr>
      <w:bookmarkStart w:id="295" w:name="_Toc207117789"/>
      <w:r>
        <w:rPr>
          <w:rStyle w:val="CharSectno"/>
        </w:rPr>
        <w:t>137</w:t>
      </w:r>
      <w:r>
        <w:t>.</w:t>
      </w:r>
      <w:r>
        <w:tab/>
        <w:t>Approval of qualifications</w:t>
      </w:r>
      <w:bookmarkEnd w:id="295"/>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lastRenderedPageBreak/>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keepNext/>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lastRenderedPageBreak/>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296" w:name="_Toc207117790"/>
      <w:r>
        <w:rPr>
          <w:rStyle w:val="CharSectno"/>
        </w:rPr>
        <w:t>138</w:t>
      </w:r>
      <w:r>
        <w:t>.</w:t>
      </w:r>
      <w:r>
        <w:tab/>
        <w:t>Application for qualification to be assessed for inclusion on the list of approved qualifications</w:t>
      </w:r>
      <w:bookmarkEnd w:id="296"/>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297" w:name="_Toc207117791"/>
      <w:r>
        <w:rPr>
          <w:rStyle w:val="CharSectno"/>
        </w:rPr>
        <w:t>139</w:t>
      </w:r>
      <w:r>
        <w:t>.</w:t>
      </w:r>
      <w:r>
        <w:tab/>
        <w:t>Application for determination of equivalent qualification</w:t>
      </w:r>
      <w:bookmarkEnd w:id="297"/>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lastRenderedPageBreak/>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298" w:name="_Toc207117792"/>
      <w:r>
        <w:rPr>
          <w:rStyle w:val="CharSectno"/>
        </w:rPr>
        <w:t>140</w:t>
      </w:r>
      <w:r>
        <w:t>.</w:t>
      </w:r>
      <w:r>
        <w:tab/>
        <w:t>Application for determination of an equivalent qualification</w:t>
      </w:r>
      <w:bookmarkEnd w:id="298"/>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lastRenderedPageBreak/>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lastRenderedPageBreak/>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keepNext/>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299" w:name="_Toc207117793"/>
      <w:r>
        <w:rPr>
          <w:rStyle w:val="CharSectno"/>
        </w:rPr>
        <w:t>141</w:t>
      </w:r>
      <w:r>
        <w:t>.</w:t>
      </w:r>
      <w:r>
        <w:tab/>
        <w:t>Additional information for application for determination of equivalent qualification</w:t>
      </w:r>
      <w:bookmarkEnd w:id="299"/>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lastRenderedPageBreak/>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keepNext/>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300" w:name="_Toc207117794"/>
      <w:r>
        <w:rPr>
          <w:rStyle w:val="CharSectno"/>
        </w:rPr>
        <w:t>142</w:t>
      </w:r>
      <w:r>
        <w:t>.</w:t>
      </w:r>
      <w:r>
        <w:tab/>
        <w:t>Translations of documents</w:t>
      </w:r>
      <w:bookmarkEnd w:id="300"/>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301" w:name="_Toc207117795"/>
      <w:r>
        <w:rPr>
          <w:rStyle w:val="CharSectno"/>
        </w:rPr>
        <w:lastRenderedPageBreak/>
        <w:t>143</w:t>
      </w:r>
      <w:r>
        <w:t>.</w:t>
      </w:r>
      <w:r>
        <w:tab/>
        <w:t>Certification of documents</w:t>
      </w:r>
      <w:bookmarkEnd w:id="301"/>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302" w:name="_Toc207098992"/>
      <w:bookmarkStart w:id="303" w:name="_Toc207110513"/>
      <w:bookmarkStart w:id="304" w:name="_Toc207117796"/>
      <w:r>
        <w:t>Division 7A — Minimum requirements for a family day care educator</w:t>
      </w:r>
      <w:bookmarkEnd w:id="302"/>
      <w:bookmarkEnd w:id="303"/>
      <w:bookmarkEnd w:id="304"/>
    </w:p>
    <w:p>
      <w:pPr>
        <w:pStyle w:val="Footnoteheading"/>
      </w:pPr>
      <w:r>
        <w:tab/>
        <w:t>[Heading inserted: Gazette 28 Sep 2018 p. 3627.]</w:t>
      </w:r>
    </w:p>
    <w:p>
      <w:pPr>
        <w:pStyle w:val="Heading5"/>
      </w:pPr>
      <w:bookmarkStart w:id="305" w:name="_Toc207117797"/>
      <w:r>
        <w:rPr>
          <w:rStyle w:val="CharSectno"/>
        </w:rPr>
        <w:t>143A</w:t>
      </w:r>
      <w:r>
        <w:t>.</w:t>
      </w:r>
      <w:r>
        <w:tab/>
        <w:t>Minimum requirements for a family day care educator</w:t>
      </w:r>
      <w:bookmarkEnd w:id="305"/>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lastRenderedPageBreak/>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306" w:name="_Toc207117798"/>
      <w:r>
        <w:rPr>
          <w:rStyle w:val="CharSectno"/>
        </w:rPr>
        <w:t>143B</w:t>
      </w:r>
      <w:r>
        <w:t>.</w:t>
      </w:r>
      <w:r>
        <w:tab/>
        <w:t>Ongoing management of family day care educators</w:t>
      </w:r>
      <w:bookmarkEnd w:id="306"/>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lastRenderedPageBreak/>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307" w:name="_Toc207098995"/>
      <w:bookmarkStart w:id="308" w:name="_Toc207110516"/>
      <w:bookmarkStart w:id="309" w:name="_Toc207117799"/>
      <w:r>
        <w:t>Division 8 — Family day care educator assistant</w:t>
      </w:r>
      <w:bookmarkEnd w:id="307"/>
      <w:bookmarkEnd w:id="308"/>
      <w:bookmarkEnd w:id="309"/>
    </w:p>
    <w:p>
      <w:pPr>
        <w:pStyle w:val="Heading5"/>
      </w:pPr>
      <w:bookmarkStart w:id="310" w:name="_Toc207117800"/>
      <w:r>
        <w:rPr>
          <w:rStyle w:val="CharSectno"/>
        </w:rPr>
        <w:t>144</w:t>
      </w:r>
      <w:r>
        <w:t>.</w:t>
      </w:r>
      <w:r>
        <w:tab/>
        <w:t>Family day care educator assistant</w:t>
      </w:r>
      <w:bookmarkEnd w:id="310"/>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lastRenderedPageBreak/>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or escort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 amended: SL 2023/186 r. 24.]</w:t>
      </w:r>
    </w:p>
    <w:p>
      <w:pPr>
        <w:pStyle w:val="Heading4"/>
        <w:spacing w:before="220"/>
      </w:pPr>
      <w:bookmarkStart w:id="311" w:name="_Toc207098997"/>
      <w:bookmarkStart w:id="312" w:name="_Toc207110518"/>
      <w:bookmarkStart w:id="313" w:name="_Toc207117801"/>
      <w:r>
        <w:lastRenderedPageBreak/>
        <w:t>Division 9 — Staff and educator records — centre</w:t>
      </w:r>
      <w:r>
        <w:noBreakHyphen/>
        <w:t>based services</w:t>
      </w:r>
      <w:bookmarkEnd w:id="311"/>
      <w:bookmarkEnd w:id="312"/>
      <w:bookmarkEnd w:id="313"/>
    </w:p>
    <w:p>
      <w:pPr>
        <w:pStyle w:val="Heading5"/>
        <w:spacing w:before="180"/>
      </w:pPr>
      <w:bookmarkStart w:id="314" w:name="_Toc207117802"/>
      <w:r>
        <w:rPr>
          <w:rStyle w:val="CharSectno"/>
        </w:rPr>
        <w:t>145</w:t>
      </w:r>
      <w:r>
        <w:t>.</w:t>
      </w:r>
      <w:r>
        <w:tab/>
        <w:t>Staff record</w:t>
      </w:r>
      <w:bookmarkEnd w:id="314"/>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keepNext/>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315" w:name="_Toc207117803"/>
      <w:r>
        <w:rPr>
          <w:rStyle w:val="CharSectno"/>
        </w:rPr>
        <w:t>146</w:t>
      </w:r>
      <w:r>
        <w:t>.</w:t>
      </w:r>
      <w:r>
        <w:tab/>
        <w:t>Nominated supervisor</w:t>
      </w:r>
      <w:bookmarkEnd w:id="315"/>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316" w:name="_Toc207117804"/>
      <w:r>
        <w:rPr>
          <w:rStyle w:val="CharSectno"/>
        </w:rPr>
        <w:t>147</w:t>
      </w:r>
      <w:r>
        <w:t>.</w:t>
      </w:r>
      <w:r>
        <w:tab/>
        <w:t>Staff members</w:t>
      </w:r>
      <w:bookmarkEnd w:id="316"/>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317" w:name="_Toc207117805"/>
      <w:r>
        <w:rPr>
          <w:rStyle w:val="CharSectno"/>
        </w:rPr>
        <w:t>148</w:t>
      </w:r>
      <w:r>
        <w:t>.</w:t>
      </w:r>
      <w:r>
        <w:tab/>
        <w:t>Educational leader</w:t>
      </w:r>
      <w:bookmarkEnd w:id="317"/>
      <w:r>
        <w:t xml:space="preserve"> </w:t>
      </w:r>
    </w:p>
    <w:p>
      <w:pPr>
        <w:pStyle w:val="Subsection"/>
      </w:pPr>
      <w:r>
        <w:tab/>
      </w:r>
      <w:r>
        <w:tab/>
        <w:t>The staff record must include the name of the person designated as the educational leader in accordance with regulation 118.</w:t>
      </w:r>
    </w:p>
    <w:p>
      <w:pPr>
        <w:pStyle w:val="Heading5"/>
      </w:pPr>
      <w:bookmarkStart w:id="318" w:name="_Toc207117806"/>
      <w:r>
        <w:rPr>
          <w:rStyle w:val="CharSectno"/>
        </w:rPr>
        <w:t>149</w:t>
      </w:r>
      <w:r>
        <w:t>.</w:t>
      </w:r>
      <w:r>
        <w:tab/>
        <w:t>Volunteers and students</w:t>
      </w:r>
      <w:bookmarkEnd w:id="318"/>
      <w:r>
        <w:t xml:space="preserve"> </w:t>
      </w:r>
    </w:p>
    <w:p>
      <w:pPr>
        <w:pStyle w:val="Subsection"/>
      </w:pPr>
      <w:r>
        <w:tab/>
        <w:t>(1)</w:t>
      </w:r>
      <w:r>
        <w:tab/>
        <w:t>The staff record must include the following information in relation to each student or volunteer who participates in the centre</w:t>
      </w:r>
      <w:r>
        <w:noBreakHyphen/>
        <w:t xml:space="preserve">based service — </w:t>
      </w:r>
    </w:p>
    <w:p>
      <w:pPr>
        <w:pStyle w:val="Indenta"/>
      </w:pPr>
      <w:r>
        <w:tab/>
        <w:t>(a)</w:t>
      </w:r>
      <w:r>
        <w:tab/>
        <w:t>the full name, address and date of birth of the student or volunteer;</w:t>
      </w:r>
    </w:p>
    <w:p>
      <w:pPr>
        <w:pStyle w:val="Indenta"/>
      </w:pPr>
      <w:r>
        <w:tab/>
        <w:t>(b)</w:t>
      </w:r>
      <w:r>
        <w:tab/>
        <w:t>if the centre</w:t>
      </w:r>
      <w:r>
        <w:noBreakHyphen/>
        <w:t xml:space="preserve">based service is located within a jurisdiction with a working with children law or a working with vulnerable people law and the student or volunteer is required or permitted to obtain a working with children </w:t>
      </w:r>
      <w:r>
        <w:lastRenderedPageBreak/>
        <w:t>check under that law — a record of the identifying number of the student’s or volunteer’s current working with children check conducted under that law and the expiry date of that check, unless paragraph (c) applies;</w:t>
      </w:r>
    </w:p>
    <w:p>
      <w:pPr>
        <w:pStyle w:val="Indenta"/>
      </w:pPr>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Footnotesection"/>
      </w:pPr>
      <w:r>
        <w:tab/>
        <w:t>[Regulation 149 amended: SL 2023/186 r. 25.]</w:t>
      </w:r>
    </w:p>
    <w:p>
      <w:pPr>
        <w:pStyle w:val="Heading5"/>
      </w:pPr>
      <w:bookmarkStart w:id="319" w:name="_Toc207117807"/>
      <w:r>
        <w:rPr>
          <w:rStyle w:val="CharSectno"/>
        </w:rPr>
        <w:t>150</w:t>
      </w:r>
      <w:r>
        <w:t>.</w:t>
      </w:r>
      <w:r>
        <w:tab/>
        <w:t>Responsible person</w:t>
      </w:r>
      <w:bookmarkEnd w:id="319"/>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320" w:name="_Toc207117808"/>
      <w:r>
        <w:rPr>
          <w:rStyle w:val="CharSectno"/>
        </w:rPr>
        <w:t>151</w:t>
      </w:r>
      <w:r>
        <w:t>.</w:t>
      </w:r>
      <w:r>
        <w:tab/>
        <w:t>Record of educators working directly with children</w:t>
      </w:r>
      <w:bookmarkEnd w:id="320"/>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321" w:name="_Toc207117809"/>
      <w:r>
        <w:rPr>
          <w:rStyle w:val="CharSectno"/>
        </w:rPr>
        <w:lastRenderedPageBreak/>
        <w:t>152</w:t>
      </w:r>
      <w:r>
        <w:t>.</w:t>
      </w:r>
      <w:r>
        <w:tab/>
        <w:t>Record of access to early childhood teachers</w:t>
      </w:r>
      <w:bookmarkEnd w:id="321"/>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5"/>
      </w:pPr>
      <w:bookmarkStart w:id="322" w:name="_Toc207117810"/>
      <w:r>
        <w:rPr>
          <w:rStyle w:val="CharSectno"/>
        </w:rPr>
        <w:t>152A</w:t>
      </w:r>
      <w:r>
        <w:t>.</w:t>
      </w:r>
      <w:r>
        <w:tab/>
        <w:t>Record of replacement of educator</w:t>
      </w:r>
      <w:bookmarkEnd w:id="322"/>
    </w:p>
    <w:p>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pPr>
        <w:pStyle w:val="Indenta"/>
      </w:pPr>
      <w:r>
        <w:tab/>
        <w:t>(a)</w:t>
      </w:r>
      <w:r>
        <w:tab/>
        <w:t>the full name of the educator;</w:t>
      </w:r>
    </w:p>
    <w:p>
      <w:pPr>
        <w:pStyle w:val="Indenta"/>
      </w:pPr>
      <w:r>
        <w:tab/>
        <w:t>(b)</w:t>
      </w:r>
      <w:r>
        <w:tab/>
        <w:t>the qualification that the educator who is replaced holds, or is actively working towards, for the purposes of regulation 126;</w:t>
      </w:r>
    </w:p>
    <w:p>
      <w:pPr>
        <w:pStyle w:val="Indenta"/>
      </w:pPr>
      <w:r>
        <w:tab/>
        <w:t>(c)</w:t>
      </w:r>
      <w:r>
        <w:tab/>
        <w:t>the qualification of the person who replaced the educator;</w:t>
      </w:r>
    </w:p>
    <w:p>
      <w:pPr>
        <w:pStyle w:val="Indenta"/>
      </w:pPr>
      <w:r>
        <w:lastRenderedPageBreak/>
        <w:tab/>
        <w:t>(d)</w:t>
      </w:r>
      <w:r>
        <w:tab/>
        <w:t>the dates on which the educator was replaced;</w:t>
      </w:r>
    </w:p>
    <w:p>
      <w:pPr>
        <w:pStyle w:val="Indenta"/>
      </w:pPr>
      <w:r>
        <w:tab/>
        <w:t>(e)</w:t>
      </w:r>
      <w:r>
        <w:tab/>
        <w:t>the reason for the educator’s absence.</w:t>
      </w:r>
    </w:p>
    <w:p>
      <w:pPr>
        <w:pStyle w:val="PermNoteHeading"/>
      </w:pPr>
      <w:r>
        <w:tab/>
        <w:t>Note for this regulation:</w:t>
      </w:r>
    </w:p>
    <w:p>
      <w:pPr>
        <w:pStyle w:val="PermNoteText"/>
      </w:pPr>
      <w:r>
        <w:tab/>
      </w:r>
      <w:r>
        <w:tab/>
        <w:t>See regulation 126A(1) for the circumstances in which an educator may be absent from a centre</w:t>
      </w:r>
      <w:r>
        <w:noBreakHyphen/>
        <w:t>based service.</w:t>
      </w:r>
    </w:p>
    <w:p>
      <w:pPr>
        <w:pStyle w:val="Footnotesection"/>
      </w:pPr>
      <w:r>
        <w:tab/>
        <w:t>[Regulation 152A inserted: SL 2023/71 r. 15.]</w:t>
      </w:r>
    </w:p>
    <w:p>
      <w:pPr>
        <w:pStyle w:val="Heading5"/>
      </w:pPr>
      <w:bookmarkStart w:id="323" w:name="_Toc207117811"/>
      <w:r>
        <w:rPr>
          <w:rStyle w:val="CharSectno"/>
        </w:rPr>
        <w:t>152B</w:t>
      </w:r>
      <w:r>
        <w:t>.</w:t>
      </w:r>
      <w:r>
        <w:tab/>
        <w:t>Record of replacement of early childhood teacher or suitably qualified person</w:t>
      </w:r>
      <w:bookmarkEnd w:id="323"/>
    </w:p>
    <w:p>
      <w:pPr>
        <w:pStyle w:val="Subsection"/>
        <w:keepNext/>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p>
    <w:p>
      <w:pPr>
        <w:pStyle w:val="Indenta"/>
      </w:pPr>
      <w:r>
        <w:tab/>
        <w:t>(a)</w:t>
      </w:r>
      <w:r>
        <w:tab/>
        <w:t>the full name of the early childhood teacher or the suitably qualified person;</w:t>
      </w:r>
    </w:p>
    <w:p>
      <w:pPr>
        <w:pStyle w:val="Indenta"/>
      </w:pPr>
      <w:r>
        <w:tab/>
        <w:t>(b)</w:t>
      </w:r>
      <w:r>
        <w:tab/>
        <w:t>whether the person who is replaced is an early childhood teacher or suitably qualified person at the service;</w:t>
      </w:r>
    </w:p>
    <w:p>
      <w:pPr>
        <w:pStyle w:val="Indenta"/>
      </w:pPr>
      <w:r>
        <w:tab/>
        <w:t>(c)</w:t>
      </w:r>
      <w:r>
        <w:tab/>
        <w:t>the qualification of the person who replaced the early childhood teacher or the suitably qualified person (as the case may be);</w:t>
      </w:r>
    </w:p>
    <w:p>
      <w:pPr>
        <w:pStyle w:val="Indenta"/>
      </w:pPr>
      <w:r>
        <w:tab/>
        <w:t>(d)</w:t>
      </w:r>
      <w:r>
        <w:tab/>
        <w:t>the dates on which the early childhood teacher or the suitably qualified person was replaced;</w:t>
      </w:r>
    </w:p>
    <w:p>
      <w:pPr>
        <w:pStyle w:val="Indenta"/>
      </w:pPr>
      <w:r>
        <w:tab/>
        <w:t>(e)</w:t>
      </w:r>
      <w:r>
        <w:tab/>
        <w:t>the reason for the early childhood teacher’s or the suitably qualified person’s absence.</w:t>
      </w:r>
    </w:p>
    <w:p>
      <w:pPr>
        <w:pStyle w:val="PermNoteHeading"/>
      </w:pPr>
      <w:r>
        <w:tab/>
        <w:t>Note for this regulation:</w:t>
      </w:r>
    </w:p>
    <w:p>
      <w:pPr>
        <w:pStyle w:val="PermNoteText"/>
      </w:pPr>
      <w:r>
        <w:tab/>
      </w:r>
      <w:r>
        <w:tab/>
        <w:t>See regulation 135(6) for the circumstances in which an early childhood teacher or a suitably qualified person may be absent from a centre</w:t>
      </w:r>
      <w:r>
        <w:noBreakHyphen/>
        <w:t>based service.</w:t>
      </w:r>
    </w:p>
    <w:p>
      <w:pPr>
        <w:pStyle w:val="Footnotesection"/>
      </w:pPr>
      <w:r>
        <w:tab/>
        <w:t>[Regulation 152B inserted: SL 2023/71 r. 15.]</w:t>
      </w:r>
    </w:p>
    <w:p>
      <w:pPr>
        <w:pStyle w:val="Heading4"/>
      </w:pPr>
      <w:bookmarkStart w:id="324" w:name="_Toc207099008"/>
      <w:bookmarkStart w:id="325" w:name="_Toc207110529"/>
      <w:bookmarkStart w:id="326" w:name="_Toc207117812"/>
      <w:r>
        <w:lastRenderedPageBreak/>
        <w:t>Division 10 — Register of family day care educators, co</w:t>
      </w:r>
      <w:r>
        <w:noBreakHyphen/>
        <w:t>ordinators and assistants and records of family day care service</w:t>
      </w:r>
      <w:bookmarkEnd w:id="324"/>
      <w:bookmarkEnd w:id="325"/>
      <w:bookmarkEnd w:id="326"/>
    </w:p>
    <w:p>
      <w:pPr>
        <w:pStyle w:val="Footnoteheading"/>
        <w:keepNext/>
      </w:pPr>
      <w:r>
        <w:tab/>
        <w:t>[Heading amended: Gazette 28 Sep 2018 p. 3632.]</w:t>
      </w:r>
    </w:p>
    <w:p>
      <w:pPr>
        <w:pStyle w:val="Heading5"/>
      </w:pPr>
      <w:bookmarkStart w:id="327" w:name="_Toc207117813"/>
      <w:r>
        <w:rPr>
          <w:rStyle w:val="CharSectno"/>
        </w:rPr>
        <w:t>153</w:t>
      </w:r>
      <w:r>
        <w:t>.</w:t>
      </w:r>
      <w:r>
        <w:tab/>
        <w:t>Register of family day care educators, co-ordinators and educator assistants</w:t>
      </w:r>
      <w:bookmarkEnd w:id="327"/>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lastRenderedPageBreak/>
        <w:tab/>
        <w:t>(ii)</w:t>
      </w:r>
      <w:r>
        <w:tab/>
        <w:t>if applicable, that the educator is actively working towards that qualification as provided under regulation 10;</w:t>
      </w:r>
    </w:p>
    <w:p>
      <w:pPr>
        <w:pStyle w:val="Indenta"/>
      </w:pPr>
      <w:r>
        <w:tab/>
        <w:t>(j)</w:t>
      </w:r>
      <w:r>
        <w:tab/>
        <w:t>evidence that the educator holds a current approved first aid qualification;</w:t>
      </w:r>
    </w:p>
    <w:p>
      <w:pPr>
        <w:pStyle w:val="Indenta"/>
      </w:pPr>
      <w:r>
        <w:tab/>
        <w:t>(ja)</w:t>
      </w:r>
      <w:r>
        <w:tab/>
        <w:t xml:space="preserve">evidence that the educator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lastRenderedPageBreak/>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(ma)</w:t>
      </w:r>
      <w:r>
        <w:tab/>
        <w:t xml:space="preserve">if regulation 124(5) applies, a record of an approval granted in relation to the educator that includes the following information — </w:t>
      </w:r>
    </w:p>
    <w:p>
      <w:pPr>
        <w:pStyle w:val="Indenti"/>
      </w:pPr>
      <w:r>
        <w:tab/>
        <w:t>(i)</w:t>
      </w:r>
      <w:r>
        <w:tab/>
        <w:t>the nature of the exceptional circumstances described in regulation 124(6);</w:t>
      </w:r>
    </w:p>
    <w:p>
      <w:pPr>
        <w:pStyle w:val="Indenti"/>
      </w:pPr>
      <w:r>
        <w:tab/>
        <w:t>(ii)</w:t>
      </w:r>
      <w:r>
        <w:tab/>
        <w:t>the date on which the approval was granted;</w:t>
      </w:r>
    </w:p>
    <w:p>
      <w:pPr>
        <w:pStyle w:val="Indenti"/>
      </w:pPr>
      <w:r>
        <w:tab/>
        <w:t>(iii)</w:t>
      </w:r>
      <w:r>
        <w:tab/>
        <w:t>the name of the person who granted the approval;</w:t>
      </w:r>
    </w:p>
    <w:p>
      <w:pPr>
        <w:pStyle w:val="Indenti"/>
      </w:pPr>
      <w:r>
        <w:tab/>
        <w:t>(iv)</w:t>
      </w:r>
      <w:r>
        <w:tab/>
        <w:t>for each child educated and cared for by the educator as part of the approval — the child’s name and date of birth;</w:t>
      </w:r>
    </w:p>
    <w:p>
      <w:pPr>
        <w:pStyle w:val="Indenti"/>
      </w:pPr>
      <w:r>
        <w:tab/>
        <w:t>(v)</w:t>
      </w:r>
      <w:r>
        <w:tab/>
        <w:t>the period during which the educator is approved to educate and care for more than 7 children, or more than 4 children who are preschool age or under, at any one time, in exceptional circumstances;</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 xml:space="preserve">the identifying number of the current working with children check, current working with children card, current working with vulnerable people check or criminal history record check or current teacher registration of each person </w:t>
      </w:r>
      <w:r>
        <w:lastRenderedPageBreak/>
        <w:t>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lastRenderedPageBreak/>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 evidence that the co</w:t>
      </w:r>
      <w:r>
        <w:noBreakHyphen/>
        <w:t>ordinator holds a current approved first aid qualification;</w:t>
      </w:r>
    </w:p>
    <w:p>
      <w:pPr>
        <w:pStyle w:val="Indenta"/>
      </w:pPr>
      <w:r>
        <w:tab/>
        <w:t>(ga)</w:t>
      </w:r>
      <w:r>
        <w:tab/>
        <w:t>if the co</w:t>
      </w:r>
      <w:r>
        <w:noBreakHyphen/>
        <w:t>ordinator will be providing education and care to children, evidence that the co</w:t>
      </w:r>
      <w:r>
        <w:noBreakHyphen/>
        <w:t xml:space="preserve">ordinator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lastRenderedPageBreak/>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evidence that the educator assistant holds a current approved first aid qualification;</w:t>
      </w:r>
    </w:p>
    <w:p>
      <w:pPr>
        <w:pStyle w:val="Indenta"/>
      </w:pPr>
      <w:r>
        <w:lastRenderedPageBreak/>
        <w:tab/>
        <w:t>(ia)</w:t>
      </w:r>
      <w:r>
        <w:tab/>
        <w:t xml:space="preserve">evidence that the educator assistant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(j)</w:t>
      </w:r>
      <w:r>
        <w:tab/>
        <w:t>evidence of any other training completed by the educator assistant;</w:t>
      </w:r>
    </w:p>
    <w:p>
      <w:pPr>
        <w:pStyle w:val="Indenta"/>
        <w:keepNext/>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 xml:space="preserve">ordinator or a family day care educator assistant must be kept on the register until the end of </w:t>
      </w:r>
      <w:r>
        <w:lastRenderedPageBreak/>
        <w:t>3 years after the date on which the family day care educator, the family day care co</w:t>
      </w:r>
      <w:r>
        <w:noBreakHyphen/>
        <w:t>ordinator or the family day care educator assistant ceased to be employed or engaged by or registered with the service.</w:t>
      </w:r>
    </w:p>
    <w:p>
      <w:pPr>
        <w:pStyle w:val="PermNoteHeading"/>
      </w:pPr>
      <w:r>
        <w:tab/>
        <w:t>Note for this regulation:</w:t>
      </w:r>
    </w:p>
    <w:p>
      <w:pPr>
        <w:pStyle w:val="PermNoteText"/>
      </w:pPr>
      <w:r>
        <w:tab/>
      </w:r>
      <w:r>
        <w:tab/>
        <w:t>See regulation 136(4A) in relation to how an approved first aid qualification, approved anaphylaxis management training or approved emergency asthma management training is taken to be current.</w:t>
      </w:r>
    </w:p>
    <w:p>
      <w:pPr>
        <w:pStyle w:val="Footnotesection"/>
      </w:pPr>
      <w:r>
        <w:tab/>
        <w:t>[Regulation 153 amended: Gazette 28 Sep 2018 p. 3632</w:t>
      </w:r>
      <w:r>
        <w:noBreakHyphen/>
        <w:t>8; SL 2023/186 r. 26.]</w:t>
      </w:r>
    </w:p>
    <w:p>
      <w:pPr>
        <w:pStyle w:val="Heading5"/>
      </w:pPr>
      <w:bookmarkStart w:id="328" w:name="_Toc207117814"/>
      <w:r>
        <w:rPr>
          <w:rStyle w:val="CharSectno"/>
        </w:rPr>
        <w:t>154</w:t>
      </w:r>
      <w:r>
        <w:t>.</w:t>
      </w:r>
      <w:r>
        <w:tab/>
        <w:t>Record of staff engaged or employed by family day care service</w:t>
      </w:r>
      <w:bookmarkEnd w:id="328"/>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329" w:name="_Toc207099011"/>
      <w:bookmarkStart w:id="330" w:name="_Toc207110532"/>
      <w:bookmarkStart w:id="331" w:name="_Toc207117815"/>
      <w:r>
        <w:rPr>
          <w:rStyle w:val="CharDivNo"/>
        </w:rPr>
        <w:lastRenderedPageBreak/>
        <w:t>Part 4.5</w:t>
      </w:r>
      <w:r>
        <w:t> — </w:t>
      </w:r>
      <w:r>
        <w:rPr>
          <w:rStyle w:val="CharDivText"/>
        </w:rPr>
        <w:t>Relationships with children</w:t>
      </w:r>
      <w:bookmarkEnd w:id="329"/>
      <w:bookmarkEnd w:id="330"/>
      <w:bookmarkEnd w:id="331"/>
    </w:p>
    <w:p>
      <w:pPr>
        <w:pStyle w:val="Heading5"/>
      </w:pPr>
      <w:bookmarkStart w:id="332" w:name="_Toc207117816"/>
      <w:r>
        <w:rPr>
          <w:rStyle w:val="CharSectno"/>
        </w:rPr>
        <w:t>155</w:t>
      </w:r>
      <w:r>
        <w:t>.</w:t>
      </w:r>
      <w:r>
        <w:tab/>
        <w:t>Interactions with children</w:t>
      </w:r>
      <w:bookmarkEnd w:id="332"/>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333" w:name="_Toc207117817"/>
      <w:r>
        <w:rPr>
          <w:rStyle w:val="CharSectno"/>
        </w:rPr>
        <w:t>156</w:t>
      </w:r>
      <w:r>
        <w:t>.</w:t>
      </w:r>
      <w:r>
        <w:tab/>
        <w:t>Relationships in groups</w:t>
      </w:r>
      <w:bookmarkEnd w:id="333"/>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334" w:name="_Toc207099014"/>
      <w:bookmarkStart w:id="335" w:name="_Toc207110535"/>
      <w:bookmarkStart w:id="336" w:name="_Toc207117818"/>
      <w:r>
        <w:rPr>
          <w:rStyle w:val="CharDivNo"/>
        </w:rPr>
        <w:lastRenderedPageBreak/>
        <w:t>Part 4.6</w:t>
      </w:r>
      <w:r>
        <w:t> — </w:t>
      </w:r>
      <w:r>
        <w:rPr>
          <w:rStyle w:val="CharDivText"/>
        </w:rPr>
        <w:t>Collaborative partnerships with families and communities</w:t>
      </w:r>
      <w:bookmarkEnd w:id="334"/>
      <w:bookmarkEnd w:id="335"/>
      <w:bookmarkEnd w:id="336"/>
    </w:p>
    <w:p>
      <w:pPr>
        <w:pStyle w:val="Heading5"/>
      </w:pPr>
      <w:bookmarkStart w:id="337" w:name="_Toc207117819"/>
      <w:r>
        <w:rPr>
          <w:rStyle w:val="CharSectno"/>
        </w:rPr>
        <w:t>157</w:t>
      </w:r>
      <w:r>
        <w:t>.</w:t>
      </w:r>
      <w:r>
        <w:tab/>
        <w:t>Access for parents</w:t>
      </w:r>
      <w:bookmarkEnd w:id="337"/>
      <w:r>
        <w:t xml:space="preserve"> </w:t>
      </w:r>
    </w:p>
    <w:p>
      <w:pPr>
        <w:pStyle w:val="Subsection"/>
        <w:keepNext/>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$1100.</w:t>
      </w:r>
    </w:p>
    <w:p>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lastRenderedPageBreak/>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 SL 2023/186 r. 45(1).]</w:t>
      </w:r>
    </w:p>
    <w:p>
      <w:pPr>
        <w:pStyle w:val="Heading3"/>
      </w:pPr>
      <w:bookmarkStart w:id="338" w:name="_Toc207099016"/>
      <w:bookmarkStart w:id="339" w:name="_Toc207110537"/>
      <w:bookmarkStart w:id="340" w:name="_Toc207117820"/>
      <w:r>
        <w:rPr>
          <w:rStyle w:val="CharDivNo"/>
        </w:rPr>
        <w:t>Part 4.7</w:t>
      </w:r>
      <w:r>
        <w:t> — </w:t>
      </w:r>
      <w:r>
        <w:rPr>
          <w:rStyle w:val="CharDivText"/>
        </w:rPr>
        <w:t>Governance and leadership</w:t>
      </w:r>
      <w:bookmarkEnd w:id="338"/>
      <w:bookmarkEnd w:id="339"/>
      <w:bookmarkEnd w:id="340"/>
    </w:p>
    <w:p>
      <w:pPr>
        <w:pStyle w:val="Footnoteheading"/>
        <w:keepNext/>
      </w:pPr>
      <w:r>
        <w:tab/>
        <w:t>[Heading inserted: Gazette 26 Jun 2018 p. 2359.]</w:t>
      </w:r>
    </w:p>
    <w:p>
      <w:pPr>
        <w:pStyle w:val="Heading4"/>
      </w:pPr>
      <w:bookmarkStart w:id="341" w:name="_Toc207099017"/>
      <w:bookmarkStart w:id="342" w:name="_Toc207110538"/>
      <w:bookmarkStart w:id="343" w:name="_Toc207117821"/>
      <w:r>
        <w:t>Division 1 — Management of services</w:t>
      </w:r>
      <w:bookmarkEnd w:id="341"/>
      <w:bookmarkEnd w:id="342"/>
      <w:bookmarkEnd w:id="343"/>
    </w:p>
    <w:p>
      <w:pPr>
        <w:pStyle w:val="MiscellaneousHeading"/>
        <w:spacing w:before="200"/>
        <w:rPr>
          <w:b/>
        </w:rPr>
      </w:pPr>
      <w:r>
        <w:rPr>
          <w:b/>
        </w:rPr>
        <w:t>Subdivision 1 — Attendance and enrolment records</w:t>
      </w:r>
    </w:p>
    <w:p>
      <w:pPr>
        <w:pStyle w:val="Heading5"/>
      </w:pPr>
      <w:bookmarkStart w:id="344" w:name="_Toc207117822"/>
      <w:r>
        <w:rPr>
          <w:rStyle w:val="CharSectno"/>
        </w:rPr>
        <w:t>158</w:t>
      </w:r>
      <w:r>
        <w:t>.</w:t>
      </w:r>
      <w:r>
        <w:tab/>
        <w:t>Children’s attendance record to be kept by approved provider</w:t>
      </w:r>
      <w:bookmarkEnd w:id="344"/>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lastRenderedPageBreak/>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345" w:name="_Toc207117823"/>
      <w:r>
        <w:rPr>
          <w:rStyle w:val="CharSectno"/>
        </w:rPr>
        <w:t>159</w:t>
      </w:r>
      <w:r>
        <w:t>.</w:t>
      </w:r>
      <w:r>
        <w:tab/>
        <w:t>Children’s attendance record to be kept by family day care educator</w:t>
      </w:r>
      <w:bookmarkEnd w:id="345"/>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346" w:name="_Toc207117824"/>
      <w:r>
        <w:rPr>
          <w:rStyle w:val="CharSectno"/>
        </w:rPr>
        <w:t>160</w:t>
      </w:r>
      <w:r>
        <w:t>.</w:t>
      </w:r>
      <w:r>
        <w:tab/>
        <w:t>Child enrolment records to be kept by approved provider and family day care educator</w:t>
      </w:r>
      <w:bookmarkEnd w:id="346"/>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lastRenderedPageBreak/>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lastRenderedPageBreak/>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347" w:name="_Toc207117825"/>
      <w:r>
        <w:rPr>
          <w:rStyle w:val="CharSectno"/>
        </w:rPr>
        <w:t>161</w:t>
      </w:r>
      <w:r>
        <w:t>.</w:t>
      </w:r>
      <w:r>
        <w:tab/>
        <w:t>Authorisations to be kept in enrolment record</w:t>
      </w:r>
      <w:bookmarkEnd w:id="347"/>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lastRenderedPageBreak/>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348" w:name="_Toc207117826"/>
      <w:r>
        <w:rPr>
          <w:rStyle w:val="CharSectno"/>
        </w:rPr>
        <w:t>162</w:t>
      </w:r>
      <w:r>
        <w:t>.</w:t>
      </w:r>
      <w:r>
        <w:tab/>
        <w:t>Health information to be kept in enrolment record</w:t>
      </w:r>
      <w:bookmarkEnd w:id="348"/>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lastRenderedPageBreak/>
        <w:tab/>
        <w:t>(b)</w:t>
      </w:r>
      <w:r>
        <w:tab/>
        <w:t>if available, the child’s Medicare number; and</w:t>
      </w:r>
    </w:p>
    <w:p>
      <w:pPr>
        <w:pStyle w:val="Indenta"/>
        <w:keepNext/>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lastRenderedPageBreak/>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349" w:name="_Toc207117827"/>
      <w:r>
        <w:rPr>
          <w:rStyle w:val="CharSectno"/>
        </w:rPr>
        <w:t>163</w:t>
      </w:r>
      <w:r>
        <w:t>.</w:t>
      </w:r>
      <w:r>
        <w:tab/>
        <w:t>Residents at family day care residence and family day care educator assistants to be fit and proper persons</w:t>
      </w:r>
      <w:bookmarkEnd w:id="349"/>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lastRenderedPageBreak/>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keepNext/>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350" w:name="_Toc207117828"/>
      <w:r>
        <w:rPr>
          <w:rStyle w:val="CharSectno"/>
        </w:rPr>
        <w:t>164</w:t>
      </w:r>
      <w:r>
        <w:t>.</w:t>
      </w:r>
      <w:r>
        <w:tab/>
        <w:t>Requirement for notice in relation to persons at residence</w:t>
      </w:r>
      <w:bookmarkEnd w:id="350"/>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lastRenderedPageBreak/>
        <w:tab/>
        <w:t>(b)</w:t>
      </w:r>
      <w:r>
        <w:tab/>
        <w:t>any circumstance relating to a person who resides, or intends to reside, at the educator’s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keepNext/>
      </w:pPr>
      <w:r>
        <w:tab/>
        <w:t>Penalty: $2000.</w:t>
      </w:r>
    </w:p>
    <w:p>
      <w:pPr>
        <w:pStyle w:val="PermNoteHeading"/>
      </w:pPr>
      <w:r>
        <w:tab/>
        <w:t>Note for this regulation:</w:t>
      </w:r>
    </w:p>
    <w:p>
      <w:pPr>
        <w:pStyle w:val="PermNoteText"/>
        <w:keepNext/>
      </w:pPr>
      <w:r>
        <w:tab/>
      </w:r>
      <w:r>
        <w:tab/>
        <w:t>A compliance direction may be issued for failure to comply with subregulation (1).</w:t>
      </w:r>
    </w:p>
    <w:p>
      <w:pPr>
        <w:pStyle w:val="Subsection"/>
      </w:pPr>
      <w:r>
        <w:tab/>
        <w:t>(3)</w:t>
      </w:r>
      <w:r>
        <w:tab/>
        <w:t xml:space="preserve">For the purposes of subregulations (1)(b) and (2)(b), a circumstance that may affect whether a person is a fit and proper person to be in the company of children includes any of the following — </w:t>
      </w:r>
    </w:p>
    <w:p>
      <w:pPr>
        <w:pStyle w:val="Indenta"/>
      </w:pPr>
      <w:r>
        <w:tab/>
        <w:t>(a)</w:t>
      </w:r>
      <w:r>
        <w:tab/>
        <w:t>the person is charged with or convicted of any of the following —</w:t>
      </w:r>
    </w:p>
    <w:p>
      <w:pPr>
        <w:pStyle w:val="Indenti"/>
      </w:pPr>
      <w:r>
        <w:tab/>
        <w:t>(i)</w:t>
      </w:r>
      <w:r>
        <w:tab/>
        <w:t>an offence of a sexual nature;</w:t>
      </w:r>
    </w:p>
    <w:p>
      <w:pPr>
        <w:pStyle w:val="Indenti"/>
      </w:pPr>
      <w:r>
        <w:tab/>
        <w:t>(ii)</w:t>
      </w:r>
      <w:r>
        <w:tab/>
        <w:t>an offence of a violent nature;</w:t>
      </w:r>
    </w:p>
    <w:p>
      <w:pPr>
        <w:pStyle w:val="Indenti"/>
      </w:pPr>
      <w:r>
        <w:tab/>
        <w:t>(iii)</w:t>
      </w:r>
      <w:r>
        <w:tab/>
        <w:t>an offence involving drugs;</w:t>
      </w:r>
    </w:p>
    <w:p>
      <w:pPr>
        <w:pStyle w:val="Indenti"/>
      </w:pPr>
      <w:r>
        <w:tab/>
        <w:t>(iv)</w:t>
      </w:r>
      <w:r>
        <w:tab/>
        <w:t>an offence involving a weapon;</w:t>
      </w:r>
    </w:p>
    <w:p>
      <w:pPr>
        <w:pStyle w:val="Indenta"/>
      </w:pPr>
      <w:r>
        <w:tab/>
        <w:t>(b)</w:t>
      </w:r>
      <w:r>
        <w:tab/>
        <w:t>the rejection of the person’s application for any of the following, or the revocation or suspension of any of the following held by the person —</w:t>
      </w:r>
    </w:p>
    <w:p>
      <w:pPr>
        <w:pStyle w:val="Indenti"/>
      </w:pPr>
      <w:r>
        <w:tab/>
        <w:t>(i)</w:t>
      </w:r>
      <w:r>
        <w:tab/>
        <w:t>a working with vulnerable people check;</w:t>
      </w:r>
    </w:p>
    <w:p>
      <w:pPr>
        <w:pStyle w:val="Indenti"/>
      </w:pPr>
      <w:r>
        <w:lastRenderedPageBreak/>
        <w:tab/>
        <w:t>(ii)</w:t>
      </w:r>
      <w:r>
        <w:tab/>
        <w:t>a working with vulnerable people registration;</w:t>
      </w:r>
    </w:p>
    <w:p>
      <w:pPr>
        <w:pStyle w:val="Indenti"/>
      </w:pPr>
      <w:r>
        <w:tab/>
        <w:t>(iii)</w:t>
      </w:r>
      <w:r>
        <w:tab/>
        <w:t>a working with children check;</w:t>
      </w:r>
    </w:p>
    <w:p>
      <w:pPr>
        <w:pStyle w:val="Indenti"/>
      </w:pPr>
      <w:r>
        <w:tab/>
        <w:t>(iv)</w:t>
      </w:r>
      <w:r>
        <w:tab/>
        <w:t>a working with children card;</w:t>
      </w:r>
    </w:p>
    <w:p>
      <w:pPr>
        <w:pStyle w:val="Indenta"/>
      </w:pPr>
      <w:r>
        <w:tab/>
        <w:t>(c)</w:t>
      </w:r>
      <w:r>
        <w:tab/>
        <w:t>the person is prohibited from working with children.</w:t>
      </w:r>
    </w:p>
    <w:p>
      <w:pPr>
        <w:pStyle w:val="Subsection"/>
      </w:pPr>
      <w:r>
        <w:tab/>
        <w:t>(4)</w:t>
      </w:r>
      <w:r>
        <w:tab/>
        <w:t>A person who provides notification under subregulation (1)(b) or (2)(b) is not required to provide specific details of the circumstance that they consider may affect whether a person is a fit and proper person to be in the company of children.</w:t>
      </w:r>
    </w:p>
    <w:p>
      <w:pPr>
        <w:pStyle w:val="Footnotesection"/>
        <w:spacing w:before="100"/>
      </w:pPr>
      <w:r>
        <w:tab/>
        <w:t>[Regulation 164 amended: Gazette 28 Sep 2018 p. 3640</w:t>
      </w:r>
      <w:r>
        <w:noBreakHyphen/>
        <w:t>1; SL 2023/186 r. 27.]</w:t>
      </w:r>
    </w:p>
    <w:p>
      <w:pPr>
        <w:pStyle w:val="Heading5"/>
      </w:pPr>
      <w:bookmarkStart w:id="351" w:name="_Toc207117829"/>
      <w:r>
        <w:rPr>
          <w:rStyle w:val="CharSectno"/>
        </w:rPr>
        <w:t>165</w:t>
      </w:r>
      <w:r>
        <w:t>.</w:t>
      </w:r>
      <w:r>
        <w:tab/>
        <w:t>Record of visitors</w:t>
      </w:r>
      <w:bookmarkEnd w:id="351"/>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352" w:name="_Toc207117830"/>
      <w:r>
        <w:rPr>
          <w:rStyle w:val="CharSectno"/>
        </w:rPr>
        <w:t>166</w:t>
      </w:r>
      <w:r>
        <w:t>.</w:t>
      </w:r>
      <w:r>
        <w:tab/>
        <w:t>Children not to be alone with visitors</w:t>
      </w:r>
      <w:bookmarkEnd w:id="352"/>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lastRenderedPageBreak/>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t>Subdivision 3 — Record of service’s compliance</w:t>
      </w:r>
    </w:p>
    <w:p>
      <w:pPr>
        <w:pStyle w:val="Heading5"/>
      </w:pPr>
      <w:bookmarkStart w:id="353" w:name="_Toc207117831"/>
      <w:r>
        <w:rPr>
          <w:rStyle w:val="CharSectno"/>
        </w:rPr>
        <w:t>167</w:t>
      </w:r>
      <w:r>
        <w:t>.</w:t>
      </w:r>
      <w:r>
        <w:tab/>
        <w:t>Record of service’s compliance</w:t>
      </w:r>
      <w:bookmarkEnd w:id="353"/>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keepNext/>
      </w:pPr>
      <w:r>
        <w:lastRenderedPageBreak/>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354" w:name="_Toc207099028"/>
      <w:bookmarkStart w:id="355" w:name="_Toc207110549"/>
      <w:bookmarkStart w:id="356" w:name="_Toc207117832"/>
      <w:r>
        <w:t>Division 2 — Policies and procedures</w:t>
      </w:r>
      <w:bookmarkEnd w:id="354"/>
      <w:bookmarkEnd w:id="355"/>
      <w:bookmarkEnd w:id="356"/>
    </w:p>
    <w:p>
      <w:pPr>
        <w:pStyle w:val="Heading5"/>
      </w:pPr>
      <w:bookmarkStart w:id="357" w:name="_Toc207117833"/>
      <w:r>
        <w:rPr>
          <w:rStyle w:val="CharSectno"/>
        </w:rPr>
        <w:t>168</w:t>
      </w:r>
      <w:r>
        <w:t>.</w:t>
      </w:r>
      <w:r>
        <w:tab/>
        <w:t>Education and care service must have policies and procedures</w:t>
      </w:r>
      <w:bookmarkEnd w:id="357"/>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$1100.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keepNext/>
      </w:pPr>
      <w:r>
        <w:lastRenderedPageBreak/>
        <w:tab/>
        <w:t>(2)</w:t>
      </w:r>
      <w:r>
        <w:tab/>
        <w:t xml:space="preserve">Policies and procedures are required in relation to the following — </w:t>
      </w:r>
    </w:p>
    <w:p>
      <w:pPr>
        <w:pStyle w:val="Indenta"/>
        <w:keepNext/>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 including the matters set out in regulation 84B;</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 xml:space="preserve">if the service transports or arranges transportation of children other than as part of excursions, transportation </w:t>
      </w:r>
      <w:r>
        <w:lastRenderedPageBreak/>
        <w:t>including procedures complying with Chapter 4 Part 4.2 Division 7;</w:t>
      </w:r>
    </w:p>
    <w:p>
      <w:pPr>
        <w:pStyle w:val="Indenta"/>
      </w:pPr>
      <w:r>
        <w:tab/>
        <w:t>(gb)</w:t>
      </w:r>
      <w:r>
        <w:tab/>
        <w:t>the safe arrival of children who travel between an education and care service and any other education or early childhood service within the meaning of regulation 102AA, including the matters set out in regulation 102AAB;</w:t>
      </w:r>
    </w:p>
    <w:p>
      <w:pPr>
        <w:pStyle w:val="Indenta"/>
      </w:pPr>
      <w:r>
        <w:tab/>
        <w:t>(h)</w:t>
      </w:r>
      <w:r>
        <w:tab/>
        <w:t xml:space="preserve">providing a child safe environment, including matters relating to the promotion of a culture of child safety and wellbeing within the service; </w:t>
      </w:r>
    </w:p>
    <w:p>
      <w:pPr>
        <w:pStyle w:val="Indenta"/>
      </w:pPr>
      <w:r>
        <w:tab/>
        <w:t>(ha)</w:t>
      </w:r>
      <w:r>
        <w:tab/>
        <w:t xml:space="preserve">the safe use of digital technologies and online environments at the service, including — </w:t>
      </w:r>
    </w:p>
    <w:p>
      <w:pPr>
        <w:pStyle w:val="Indenti"/>
      </w:pPr>
      <w:r>
        <w:tab/>
        <w:t>(i)</w:t>
      </w:r>
      <w:r>
        <w:tab/>
        <w:t>the taking, use, storage and destruction of images and videos of children being educated and cared for by the service; and</w:t>
      </w:r>
    </w:p>
    <w:p>
      <w:pPr>
        <w:pStyle w:val="Indenti"/>
      </w:pPr>
      <w:r>
        <w:tab/>
        <w:t>(ii)</w:t>
      </w:r>
      <w:r>
        <w:tab/>
        <w:t>obtaining authorisation from parents to take, use and store images and videos of children being educated and cared for by the service; and</w:t>
      </w:r>
    </w:p>
    <w:p>
      <w:pPr>
        <w:pStyle w:val="Indenti"/>
      </w:pPr>
      <w:r>
        <w:tab/>
        <w:t>(iii)</w:t>
      </w:r>
      <w:r>
        <w:tab/>
        <w:t>the use of any optical surveillance device at the service; and</w:t>
      </w:r>
    </w:p>
    <w:p>
      <w:pPr>
        <w:pStyle w:val="PermNoteHeading"/>
      </w:pPr>
      <w:r>
        <w:tab/>
        <w:t>Example for this subparagraph:</w:t>
      </w:r>
    </w:p>
    <w:p>
      <w:pPr>
        <w:pStyle w:val="PermNoteText"/>
      </w:pPr>
      <w:r>
        <w:tab/>
      </w:r>
      <w:r>
        <w:tab/>
        <w:t>The use of closed</w:t>
      </w:r>
      <w:r>
        <w:noBreakHyphen/>
        <w:t>circuit television.</w:t>
      </w:r>
    </w:p>
    <w:p>
      <w:pPr>
        <w:pStyle w:val="Indenti"/>
      </w:pPr>
      <w:r>
        <w:tab/>
        <w:t>(iv)</w:t>
      </w:r>
      <w:r>
        <w:tab/>
        <w:t>the use of any digital device issued by the service; and</w:t>
      </w:r>
    </w:p>
    <w:p>
      <w:pPr>
        <w:pStyle w:val="Indenti"/>
      </w:pPr>
      <w:r>
        <w:tab/>
        <w:t>(v)</w:t>
      </w:r>
      <w:r>
        <w:tab/>
        <w:t>the use of digital devices by children being educated and cared for by the service;</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lastRenderedPageBreak/>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 xml:space="preserve">dealing with complaints, including matters relating to — </w:t>
      </w:r>
    </w:p>
    <w:p>
      <w:pPr>
        <w:pStyle w:val="Indenti"/>
      </w:pPr>
      <w:r>
        <w:tab/>
        <w:t>(i)</w:t>
      </w:r>
      <w:r>
        <w:tab/>
        <w:t>the provision of a complaint handling system at the service that is child focused; and</w:t>
      </w:r>
    </w:p>
    <w:p>
      <w:pPr>
        <w:pStyle w:val="Indenti"/>
      </w:pPr>
      <w:r>
        <w:tab/>
        <w:t>(ii)</w:t>
      </w:r>
      <w:r>
        <w:tab/>
        <w:t>the management of a complaint that alleges a child is exhibiting harmful sexual behaviours.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 SL 2023/186 r. 28; SL 2025/150 r. 6.]</w:t>
      </w:r>
    </w:p>
    <w:p>
      <w:pPr>
        <w:pStyle w:val="Heading5"/>
      </w:pPr>
      <w:bookmarkStart w:id="358" w:name="_Toc207117834"/>
      <w:r>
        <w:rPr>
          <w:rStyle w:val="CharSectno"/>
        </w:rPr>
        <w:t>169</w:t>
      </w:r>
      <w:r>
        <w:t>.</w:t>
      </w:r>
      <w:r>
        <w:tab/>
        <w:t>Additional policies and procedures — family day care service</w:t>
      </w:r>
      <w:bookmarkEnd w:id="358"/>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$1100.</w:t>
      </w:r>
    </w:p>
    <w:p>
      <w:pPr>
        <w:pStyle w:val="Subsection"/>
      </w:pPr>
      <w:r>
        <w:tab/>
        <w:t>(2)</w:t>
      </w:r>
      <w:r>
        <w:tab/>
        <w:t xml:space="preserve">Policies and procedures are required in relation to the following — </w:t>
      </w:r>
    </w:p>
    <w:p>
      <w:pPr>
        <w:pStyle w:val="Indenta"/>
      </w:pPr>
      <w:r>
        <w:tab/>
        <w:t>(a)</w:t>
      </w:r>
      <w:r>
        <w:tab/>
        <w:t xml:space="preserve">assessment of proposed family day care venues and proposed family day care residences and reassessment of </w:t>
      </w:r>
      <w:r>
        <w:lastRenderedPageBreak/>
        <w:t>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 SL 2023/186 r. 45(1).]</w:t>
      </w:r>
    </w:p>
    <w:p>
      <w:pPr>
        <w:pStyle w:val="Heading5"/>
      </w:pPr>
      <w:bookmarkStart w:id="359" w:name="_Toc207117835"/>
      <w:r>
        <w:rPr>
          <w:rStyle w:val="CharSectno"/>
        </w:rPr>
        <w:t>170</w:t>
      </w:r>
      <w:r>
        <w:t>.</w:t>
      </w:r>
      <w:r>
        <w:tab/>
        <w:t>Policies and procedures to be followed</w:t>
      </w:r>
      <w:bookmarkEnd w:id="359"/>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$1100.</w:t>
      </w:r>
    </w:p>
    <w:p>
      <w:pPr>
        <w:pStyle w:val="Subsection"/>
        <w:keepNext/>
      </w:pPr>
      <w:r>
        <w:lastRenderedPageBreak/>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keepNext/>
      </w:pPr>
      <w:r>
        <w:tab/>
        <w:t>Penalty: $1100.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 SL 2023/186 r. 45(1).]</w:t>
      </w:r>
    </w:p>
    <w:p>
      <w:pPr>
        <w:pStyle w:val="Heading5"/>
      </w:pPr>
      <w:bookmarkStart w:id="360" w:name="_Toc207117836"/>
      <w:r>
        <w:rPr>
          <w:rStyle w:val="CharSectno"/>
        </w:rPr>
        <w:t>171</w:t>
      </w:r>
      <w:r>
        <w:t>.</w:t>
      </w:r>
      <w:r>
        <w:tab/>
        <w:t>Policies and procedures to be kept available</w:t>
      </w:r>
      <w:bookmarkEnd w:id="360"/>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$1100.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 SL 2023/186 r. 45(1).]</w:t>
      </w:r>
    </w:p>
    <w:p>
      <w:pPr>
        <w:pStyle w:val="Heading5"/>
      </w:pPr>
      <w:bookmarkStart w:id="361" w:name="_Toc207117837"/>
      <w:r>
        <w:rPr>
          <w:rStyle w:val="CharSectno"/>
        </w:rPr>
        <w:lastRenderedPageBreak/>
        <w:t>172</w:t>
      </w:r>
      <w:r>
        <w:t>.</w:t>
      </w:r>
      <w:r>
        <w:tab/>
        <w:t>Notification of change to policies or procedures</w:t>
      </w:r>
      <w:bookmarkEnd w:id="361"/>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362" w:name="_Toc207099034"/>
      <w:bookmarkStart w:id="363" w:name="_Toc207110555"/>
      <w:bookmarkStart w:id="364" w:name="_Toc207117838"/>
      <w:r>
        <w:t>Division 3 — Information and record</w:t>
      </w:r>
      <w:r>
        <w:noBreakHyphen/>
        <w:t>keeping requirements</w:t>
      </w:r>
      <w:bookmarkEnd w:id="362"/>
      <w:bookmarkEnd w:id="363"/>
      <w:bookmarkEnd w:id="364"/>
    </w:p>
    <w:p>
      <w:pPr>
        <w:pStyle w:val="MiscellaneousHeading"/>
        <w:spacing w:before="220"/>
        <w:rPr>
          <w:b/>
          <w:bCs/>
        </w:rPr>
      </w:pPr>
      <w:r>
        <w:rPr>
          <w:b/>
          <w:bCs/>
        </w:rPr>
        <w:t>Subdivision 1 — Display and reporting of prescribed information</w:t>
      </w:r>
    </w:p>
    <w:p>
      <w:pPr>
        <w:pStyle w:val="Heading5"/>
      </w:pPr>
      <w:bookmarkStart w:id="365" w:name="_Toc207117839"/>
      <w:r>
        <w:rPr>
          <w:rStyle w:val="CharSectno"/>
        </w:rPr>
        <w:t>173</w:t>
      </w:r>
      <w:r>
        <w:t>.</w:t>
      </w:r>
      <w:r>
        <w:tab/>
        <w:t>Prescribed information to be displayed</w:t>
      </w:r>
      <w:bookmarkEnd w:id="365"/>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lastRenderedPageBreak/>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keepNext/>
      </w:pPr>
      <w:r>
        <w:lastRenderedPageBreak/>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lastRenderedPageBreak/>
        <w:tab/>
        <w:t>Penalty: $2000.</w:t>
      </w:r>
    </w:p>
    <w:p>
      <w:pPr>
        <w:pStyle w:val="Footnotesection"/>
      </w:pPr>
      <w:r>
        <w:tab/>
        <w:t>[Regulation 173 amended: Gazette 3 Nov 2017 p. 5483</w:t>
      </w:r>
      <w:r>
        <w:noBreakHyphen/>
        <w:t>4; 28 Sep 2018 p. 3642; SL 2021/140 r. 8; SL 2023/186 r. 29.]</w:t>
      </w:r>
    </w:p>
    <w:p>
      <w:pPr>
        <w:pStyle w:val="Heading5"/>
      </w:pPr>
      <w:bookmarkStart w:id="366" w:name="_Toc207117840"/>
      <w:r>
        <w:rPr>
          <w:rStyle w:val="CharSectno"/>
        </w:rPr>
        <w:t>174</w:t>
      </w:r>
      <w:r>
        <w:t>.</w:t>
      </w:r>
      <w:r>
        <w:tab/>
        <w:t>Time to notify certain circumstances to Regulatory Authority</w:t>
      </w:r>
      <w:bookmarkEnd w:id="366"/>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367" w:name="_Toc207117841"/>
      <w:r>
        <w:rPr>
          <w:rStyle w:val="CharSectno"/>
        </w:rPr>
        <w:t>174A</w:t>
      </w:r>
      <w:r>
        <w:t>.</w:t>
      </w:r>
      <w:r>
        <w:tab/>
        <w:t>Prescribed information to accompany notice</w:t>
      </w:r>
      <w:bookmarkEnd w:id="367"/>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368" w:name="_Toc207117842"/>
      <w:r>
        <w:rPr>
          <w:rStyle w:val="CharSectno"/>
        </w:rPr>
        <w:lastRenderedPageBreak/>
        <w:t>175</w:t>
      </w:r>
      <w:r>
        <w:t>.</w:t>
      </w:r>
      <w:r>
        <w:tab/>
        <w:t>Prescribed information to be notified to Regulatory Authority</w:t>
      </w:r>
      <w:bookmarkEnd w:id="368"/>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pPr>
      <w:r>
        <w:tab/>
        <w:t>(ab)</w:t>
      </w:r>
      <w:r>
        <w:tab/>
        <w:t>in the case of a centre</w:t>
      </w:r>
      <w:r>
        <w:noBreakHyphen/>
        <w:t>based service — any change to the ages of children being educated or cared for by the service;</w:t>
      </w:r>
    </w:p>
    <w:p>
      <w:pPr>
        <w:pStyle w:val="Indenta"/>
      </w:pPr>
      <w:r>
        <w:tab/>
        <w:t>(ac)</w:t>
      </w:r>
      <w:r>
        <w:tab/>
        <w:t>in the case of a centre</w:t>
      </w:r>
      <w:r>
        <w:noBreakHyphen/>
        <w:t>based service — any change to the nature of education and care offered by the service;</w:t>
      </w:r>
    </w:p>
    <w:p>
      <w:pPr>
        <w:pStyle w:val="PermNoteHeading"/>
      </w:pPr>
      <w:r>
        <w:tab/>
        <w:t xml:space="preserve">Example: </w:t>
      </w:r>
    </w:p>
    <w:p>
      <w:pPr>
        <w:pStyle w:val="PermNoteText"/>
      </w:pPr>
      <w:r>
        <w:tab/>
      </w:r>
      <w:r>
        <w:tab/>
        <w:t>If a centre</w:t>
      </w:r>
      <w:r>
        <w:noBreakHyphen/>
        <w:t>based service educates and cares for children over preschool age and the service proposes to offer education and care to children who are preschool age and under.</w:t>
      </w:r>
    </w:p>
    <w:p>
      <w:pPr>
        <w:pStyle w:val="Indenta"/>
        <w:keepNext/>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lastRenderedPageBreak/>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 SL 2023/186 r. 30.]</w:t>
      </w:r>
    </w:p>
    <w:p>
      <w:pPr>
        <w:pStyle w:val="Heading5"/>
      </w:pPr>
      <w:bookmarkStart w:id="369" w:name="_Toc207117843"/>
      <w:r>
        <w:rPr>
          <w:rStyle w:val="CharSectno"/>
        </w:rPr>
        <w:lastRenderedPageBreak/>
        <w:t>176</w:t>
      </w:r>
      <w:r>
        <w:t>.</w:t>
      </w:r>
      <w:r>
        <w:tab/>
        <w:t>Time to notify certain information to Regulatory Authority</w:t>
      </w:r>
      <w:bookmarkEnd w:id="369"/>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(bb)</w:t>
      </w:r>
      <w:r>
        <w:tab/>
        <w:t xml:space="preserve">in the case of a notice under regulation 175(2)(d), within 24 hours of the incident or within 24 hours of the approved provider becoming aware of the incident; </w:t>
      </w:r>
    </w:p>
    <w:p>
      <w:pPr>
        <w:pStyle w:val="Indenta"/>
      </w:pPr>
      <w:r>
        <w:tab/>
        <w:t>(bc)</w:t>
      </w:r>
      <w:r>
        <w:tab/>
        <w:t>in the case of a notice under regulation 175(2)(e), within 24 hours of the allegation being made or within 24 hours of the approved provider becoming aware of the allegation;</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 SL 2025/150 r. 7.]</w:t>
      </w:r>
    </w:p>
    <w:p>
      <w:pPr>
        <w:pStyle w:val="MiscellaneousHeading"/>
        <w:rPr>
          <w:b/>
        </w:rPr>
      </w:pPr>
      <w:r>
        <w:rPr>
          <w:b/>
        </w:rPr>
        <w:lastRenderedPageBreak/>
        <w:t>Subdivision 2 — Prescribed records</w:t>
      </w:r>
    </w:p>
    <w:p>
      <w:pPr>
        <w:pStyle w:val="Heading5"/>
      </w:pPr>
      <w:bookmarkStart w:id="370" w:name="_Toc207117844"/>
      <w:r>
        <w:rPr>
          <w:rStyle w:val="CharSectno"/>
        </w:rPr>
        <w:t>176A</w:t>
      </w:r>
      <w:r>
        <w:t>.</w:t>
      </w:r>
      <w:r>
        <w:tab/>
        <w:t>Prescribed information to be notified to approved provider by family day care educator</w:t>
      </w:r>
      <w:bookmarkEnd w:id="370"/>
    </w:p>
    <w:p>
      <w:pPr>
        <w:pStyle w:val="Subsection"/>
      </w:pPr>
      <w:r>
        <w:tab/>
        <w:t>(1)</w:t>
      </w:r>
      <w:r>
        <w:tab/>
        <w:t xml:space="preserve">For the purposes of section 174A(c) of the Law, the following matters are prescribed — </w:t>
      </w:r>
    </w:p>
    <w:p>
      <w:pPr>
        <w:pStyle w:val="Indenta"/>
      </w:pPr>
      <w:r>
        <w:tab/>
        <w:t>(a)</w:t>
      </w:r>
      <w:r>
        <w:tab/>
        <w:t>any circumstances arising at the family day care residence that may pose a risk to the health, safety and wellbeing of children attending or likely to attend the family day care residence;</w:t>
      </w:r>
    </w:p>
    <w:p>
      <w:pPr>
        <w:pStyle w:val="Indenta"/>
      </w:pPr>
      <w:r>
        <w:tab/>
        <w:t>(b)</w:t>
      </w:r>
      <w:r>
        <w:tab/>
        <w:t>any circumstances arising at the approved family day care venue that may pose a risk to the health, safety and wellbeing of children attending or likely to attend the family day care venue.</w:t>
      </w:r>
    </w:p>
    <w:p>
      <w:pPr>
        <w:pStyle w:val="Subsection"/>
      </w:pPr>
      <w:r>
        <w:tab/>
        <w:t>(2)</w:t>
      </w:r>
      <w:r>
        <w:tab/>
        <w:t xml:space="preserve">For the purposes of subregulation (1)(a) and (b), relevant circumstances include any of the following — </w:t>
      </w:r>
    </w:p>
    <w:p>
      <w:pPr>
        <w:pStyle w:val="Indenta"/>
      </w:pPr>
      <w:r>
        <w:tab/>
        <w:t>(a)</w:t>
      </w:r>
      <w:r>
        <w:tab/>
        <w:t>any renovations or other changes to the residence or venue;</w:t>
      </w:r>
    </w:p>
    <w:p>
      <w:pPr>
        <w:pStyle w:val="Indenta"/>
      </w:pPr>
      <w:r>
        <w:tab/>
        <w:t>(b)</w:t>
      </w:r>
      <w:r>
        <w:tab/>
        <w:t>an infectious disease outbreak at the residence or venue;</w:t>
      </w:r>
    </w:p>
    <w:p>
      <w:pPr>
        <w:pStyle w:val="Indenta"/>
      </w:pPr>
      <w:r>
        <w:tab/>
        <w:t>(c)</w:t>
      </w:r>
      <w:r>
        <w:tab/>
        <w:t>a bushfire, flood or other natural disaster that may affect the residence or venue.</w:t>
      </w:r>
    </w:p>
    <w:p>
      <w:pPr>
        <w:pStyle w:val="Footnotesection"/>
      </w:pPr>
      <w:r>
        <w:tab/>
        <w:t>[Regulation 176A inserted: SL 2023/186 r. 31.]</w:t>
      </w:r>
    </w:p>
    <w:p>
      <w:pPr>
        <w:pStyle w:val="Heading5"/>
        <w:keepNext w:val="0"/>
      </w:pPr>
      <w:bookmarkStart w:id="371" w:name="_Toc207117845"/>
      <w:r>
        <w:rPr>
          <w:rStyle w:val="CharSectno"/>
        </w:rPr>
        <w:t>177</w:t>
      </w:r>
      <w:r>
        <w:t>.</w:t>
      </w:r>
      <w:r>
        <w:tab/>
        <w:t>Prescribed enrolment and other documents to be kept by approved provider</w:t>
      </w:r>
      <w:bookmarkEnd w:id="371"/>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lastRenderedPageBreak/>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lastRenderedPageBreak/>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subregulations (4) and (4A),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pPr>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p>
    <w:p>
      <w:pPr>
        <w:pStyle w:val="Subsection"/>
      </w:pPr>
      <w:r>
        <w:tab/>
        <w:t>(4B)</w:t>
      </w:r>
      <w:r>
        <w:tab/>
        <w:t xml:space="preserve">The following persons are specified — </w:t>
      </w:r>
    </w:p>
    <w:p>
      <w:pPr>
        <w:pStyle w:val="Indenta"/>
      </w:pPr>
      <w:r>
        <w:tab/>
        <w:t>(a)</w:t>
      </w:r>
      <w:r>
        <w:tab/>
        <w:t>a parent of a child enrolled at the service, if that person is not the parent making the request under subregulation (3)(a);</w:t>
      </w:r>
    </w:p>
    <w:p>
      <w:pPr>
        <w:pStyle w:val="Indenta"/>
      </w:pPr>
      <w:r>
        <w:lastRenderedPageBreak/>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an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(4C)</w:t>
      </w:r>
      <w:r>
        <w:tab/>
        <w:t>A person who has given their written consent under subregulation (4A) may withdraw their consent in writing at any time before the personal information is disclosed.</w:t>
      </w:r>
    </w:p>
    <w:p>
      <w:pPr>
        <w:pStyle w:val="Subsection"/>
        <w:keepNext/>
        <w:spacing w:before="120"/>
      </w:pPr>
      <w:r>
        <w:tab/>
        <w:t>(5)</w:t>
      </w:r>
      <w:r>
        <w:tab/>
        <w:t>An approved provider of a family day care service is not required to keep a document set out in subregulation (1) if an equivalent record is kept by a family day care educator under regulation 178.</w:t>
      </w:r>
    </w:p>
    <w:p>
      <w:pPr>
        <w:pStyle w:val="Subsection"/>
      </w:pPr>
      <w:r>
        <w:tab/>
        <w:t>(6)</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 xml:space="preserve">See section 269(1) of the Law which requires the approved provider to keep a register of each family day care educator, each family day care </w:t>
      </w:r>
      <w:r>
        <w:lastRenderedPageBreak/>
        <w:t>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 SL 2023/186 r. 32.]</w:t>
      </w:r>
    </w:p>
    <w:p>
      <w:pPr>
        <w:pStyle w:val="Heading5"/>
      </w:pPr>
      <w:bookmarkStart w:id="372" w:name="_Toc207117846"/>
      <w:r>
        <w:rPr>
          <w:rStyle w:val="CharSectno"/>
        </w:rPr>
        <w:t>178</w:t>
      </w:r>
      <w:r>
        <w:t>.</w:t>
      </w:r>
      <w:r>
        <w:tab/>
        <w:t>Prescribed enrolment and other documents to be kept by family day care educator</w:t>
      </w:r>
      <w:bookmarkEnd w:id="372"/>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keepNext/>
      </w:pPr>
      <w:r>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and subregulations (4) and (5), the family day care educator must ensure that the documents referred to in subregulation (1) in relation to a child enrolled at </w:t>
      </w:r>
      <w:r>
        <w:lastRenderedPageBreak/>
        <w:t>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Subsection"/>
      </w:pPr>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p>
    <w:p>
      <w:pPr>
        <w:pStyle w:val="Subsection"/>
      </w:pPr>
      <w:r>
        <w:tab/>
        <w:t>(6)</w:t>
      </w:r>
      <w:r>
        <w:tab/>
        <w:t xml:space="preserve">The following persons are specified — </w:t>
      </w:r>
    </w:p>
    <w:p>
      <w:pPr>
        <w:pStyle w:val="Indenta"/>
      </w:pPr>
      <w:r>
        <w:tab/>
        <w:t>(a)</w:t>
      </w:r>
      <w:r>
        <w:tab/>
        <w:t>a parent of a child enrolled at the service, if that person is not the parent making the request under subregulation (3);</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 family day care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lastRenderedPageBreak/>
        <w:tab/>
        <w:t>(7)</w:t>
      </w:r>
      <w:r>
        <w:tab/>
        <w:t>A person who has given their written consent under subregulation (5) may withdraw their consent in writing at any time before the personal information is disclosed.</w:t>
      </w:r>
    </w:p>
    <w:p>
      <w:pPr>
        <w:pStyle w:val="Subsection"/>
      </w:pPr>
      <w:r>
        <w:tab/>
        <w:t>(8)</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Footnotesection"/>
      </w:pPr>
      <w:r>
        <w:tab/>
        <w:t>[Regulation 178 amended: SL 2023/186 r. 33.]</w:t>
      </w:r>
    </w:p>
    <w:p>
      <w:pPr>
        <w:pStyle w:val="Heading5"/>
      </w:pPr>
      <w:bookmarkStart w:id="373" w:name="_Toc207117847"/>
      <w:r>
        <w:rPr>
          <w:rStyle w:val="CharSectno"/>
        </w:rPr>
        <w:t>179</w:t>
      </w:r>
      <w:r>
        <w:t>.</w:t>
      </w:r>
      <w:r>
        <w:tab/>
        <w:t>Family day care educator to provide documents on leaving service</w:t>
      </w:r>
      <w:bookmarkEnd w:id="373"/>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374" w:name="_Toc207117848"/>
      <w:r>
        <w:rPr>
          <w:rStyle w:val="CharSectno"/>
        </w:rPr>
        <w:t>180</w:t>
      </w:r>
      <w:r>
        <w:t>.</w:t>
      </w:r>
      <w:r>
        <w:tab/>
        <w:t>Evidence of prescribed insurance</w:t>
      </w:r>
      <w:bookmarkEnd w:id="374"/>
      <w:r>
        <w:t xml:space="preserve"> </w:t>
      </w:r>
    </w:p>
    <w:p>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lastRenderedPageBreak/>
        <w:t>Subdivision 4 — Confidentiality and storage of records</w:t>
      </w:r>
    </w:p>
    <w:p>
      <w:pPr>
        <w:pStyle w:val="Heading5"/>
        <w:spacing w:before="200"/>
      </w:pPr>
      <w:bookmarkStart w:id="375" w:name="_Toc207117849"/>
      <w:r>
        <w:rPr>
          <w:rStyle w:val="CharSectno"/>
        </w:rPr>
        <w:t>181</w:t>
      </w:r>
      <w:r>
        <w:t>.</w:t>
      </w:r>
      <w:r>
        <w:tab/>
        <w:t>Confidentiality of records kept by approved provider</w:t>
      </w:r>
      <w:bookmarkEnd w:id="375"/>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177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Footnotesection"/>
      </w:pPr>
      <w:r>
        <w:tab/>
        <w:t>[Regulation 181 amended: SL 2023/186 r. 34.]</w:t>
      </w:r>
    </w:p>
    <w:p>
      <w:pPr>
        <w:pStyle w:val="Heading5"/>
      </w:pPr>
      <w:bookmarkStart w:id="376" w:name="_Toc207117850"/>
      <w:r>
        <w:rPr>
          <w:rStyle w:val="CharSectno"/>
        </w:rPr>
        <w:t>182</w:t>
      </w:r>
      <w:r>
        <w:t>.</w:t>
      </w:r>
      <w:r>
        <w:tab/>
        <w:t>Confidentiality of records kept by family day care educator</w:t>
      </w:r>
      <w:bookmarkEnd w:id="376"/>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178; or</w:t>
      </w:r>
    </w:p>
    <w:p>
      <w:pPr>
        <w:pStyle w:val="Indenta"/>
      </w:pPr>
      <w:r>
        <w:tab/>
        <w:t>(c)</w:t>
      </w:r>
      <w:r>
        <w:tab/>
        <w:t>the approved provider or a nominated supervisor of the family day care service; or</w:t>
      </w:r>
    </w:p>
    <w:p>
      <w:pPr>
        <w:pStyle w:val="Indenta"/>
      </w:pPr>
      <w:r>
        <w:lastRenderedPageBreak/>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 SL 2023/186 r. 35.]</w:t>
      </w:r>
    </w:p>
    <w:p>
      <w:pPr>
        <w:pStyle w:val="Heading5"/>
      </w:pPr>
      <w:bookmarkStart w:id="377" w:name="_Toc207117851"/>
      <w:r>
        <w:rPr>
          <w:rStyle w:val="CharSectno"/>
        </w:rPr>
        <w:t>183</w:t>
      </w:r>
      <w:r>
        <w:t>.</w:t>
      </w:r>
      <w:r>
        <w:tab/>
        <w:t>Storage of records and other documents</w:t>
      </w:r>
      <w:bookmarkEnd w:id="377"/>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 xml:space="preserve">in the case of any other record relating to a child enrolled at the education and care service, until the end </w:t>
      </w:r>
      <w:r>
        <w:lastRenderedPageBreak/>
        <w:t>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378" w:name="_Toc207117852"/>
      <w:r>
        <w:rPr>
          <w:rStyle w:val="CharSectno"/>
        </w:rPr>
        <w:t>184</w:t>
      </w:r>
      <w:r>
        <w:t>.</w:t>
      </w:r>
      <w:r>
        <w:tab/>
        <w:t>Storage of records after service approval transferred</w:t>
      </w:r>
      <w:bookmarkEnd w:id="378"/>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379" w:name="_Toc207117853"/>
      <w:r>
        <w:rPr>
          <w:rStyle w:val="CharSectno"/>
        </w:rPr>
        <w:t>185</w:t>
      </w:r>
      <w:r>
        <w:t>.</w:t>
      </w:r>
      <w:r>
        <w:tab/>
        <w:t>Law and regulations to be available</w:t>
      </w:r>
      <w:bookmarkEnd w:id="379"/>
      <w:r>
        <w:t xml:space="preserve"> </w:t>
      </w:r>
    </w:p>
    <w:p>
      <w:pPr>
        <w:pStyle w:val="Subsection"/>
        <w:keepNext/>
      </w:pPr>
      <w:r>
        <w:tab/>
      </w:r>
      <w:r>
        <w:tab/>
        <w:t xml:space="preserve">The approved provider of an education and care service must ensure that a copy of the Law and these Regulations is accessible at the education and care service premises at all times for use by nominated supervisors, staff members, volunteers, </w:t>
      </w:r>
      <w:r>
        <w:lastRenderedPageBreak/>
        <w:t>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380" w:name="_Toc207099050"/>
      <w:bookmarkStart w:id="381" w:name="_Toc207110571"/>
      <w:bookmarkStart w:id="382" w:name="_Toc207117854"/>
      <w:r>
        <w:rPr>
          <w:rStyle w:val="CharPartNo"/>
          <w:szCs w:val="34"/>
        </w:rPr>
        <w:lastRenderedPageBreak/>
        <w:t>Chapter 5</w:t>
      </w:r>
      <w:r>
        <w:t> — </w:t>
      </w:r>
      <w:r>
        <w:rPr>
          <w:rStyle w:val="CharPartText"/>
        </w:rPr>
        <w:t>Review, enforcement and compliance</w:t>
      </w:r>
      <w:bookmarkEnd w:id="380"/>
      <w:bookmarkEnd w:id="381"/>
      <w:bookmarkEnd w:id="382"/>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383" w:name="_Toc207099051"/>
      <w:bookmarkStart w:id="384" w:name="_Toc207110572"/>
      <w:bookmarkStart w:id="385" w:name="_Toc207117855"/>
      <w:r>
        <w:rPr>
          <w:rStyle w:val="CharDivNo"/>
        </w:rPr>
        <w:t>Part 5.1</w:t>
      </w:r>
      <w:r>
        <w:t> — </w:t>
      </w:r>
      <w:r>
        <w:rPr>
          <w:rStyle w:val="CharDivText"/>
        </w:rPr>
        <w:t>Internal review</w:t>
      </w:r>
      <w:bookmarkEnd w:id="383"/>
      <w:bookmarkEnd w:id="384"/>
      <w:bookmarkEnd w:id="385"/>
    </w:p>
    <w:p>
      <w:pPr>
        <w:pStyle w:val="Heading5"/>
      </w:pPr>
      <w:bookmarkStart w:id="386" w:name="_Toc207117856"/>
      <w:r>
        <w:rPr>
          <w:rStyle w:val="CharSectno"/>
        </w:rPr>
        <w:t>186</w:t>
      </w:r>
      <w:r>
        <w:t>.</w:t>
      </w:r>
      <w:r>
        <w:tab/>
        <w:t>Application for internal review of reviewable decision</w:t>
      </w:r>
      <w:bookmarkEnd w:id="386"/>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387" w:name="_Toc207099053"/>
      <w:bookmarkStart w:id="388" w:name="_Toc207110574"/>
      <w:bookmarkStart w:id="389" w:name="_Toc207117857"/>
      <w:r>
        <w:rPr>
          <w:rStyle w:val="CharDivNo"/>
        </w:rPr>
        <w:lastRenderedPageBreak/>
        <w:t>Part 5.2</w:t>
      </w:r>
      <w:r>
        <w:t> — </w:t>
      </w:r>
      <w:r>
        <w:rPr>
          <w:rStyle w:val="CharDivText"/>
        </w:rPr>
        <w:t>Enforcement and compliance</w:t>
      </w:r>
      <w:bookmarkEnd w:id="387"/>
      <w:bookmarkEnd w:id="388"/>
      <w:bookmarkEnd w:id="389"/>
    </w:p>
    <w:p>
      <w:pPr>
        <w:pStyle w:val="Heading5"/>
      </w:pPr>
      <w:bookmarkStart w:id="390" w:name="_Toc207117858"/>
      <w:r>
        <w:rPr>
          <w:rStyle w:val="CharSectno"/>
        </w:rPr>
        <w:t>187</w:t>
      </w:r>
      <w:r>
        <w:t>.</w:t>
      </w:r>
      <w:r>
        <w:tab/>
        <w:t>Prescribed form of identity card</w:t>
      </w:r>
      <w:bookmarkEnd w:id="390"/>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$1100.</w:t>
      </w:r>
    </w:p>
    <w:p>
      <w:pPr>
        <w:pStyle w:val="Footnotesection"/>
      </w:pPr>
      <w:r>
        <w:tab/>
        <w:t>[Regulation 187 amended: SL 2023/186 r. 45(1).]</w:t>
      </w:r>
    </w:p>
    <w:p>
      <w:pPr>
        <w:pStyle w:val="Heading5"/>
      </w:pPr>
      <w:bookmarkStart w:id="391" w:name="_Toc207117859"/>
      <w:r>
        <w:rPr>
          <w:rStyle w:val="CharSectno"/>
        </w:rPr>
        <w:t>188</w:t>
      </w:r>
      <w:r>
        <w:t>.</w:t>
      </w:r>
      <w:r>
        <w:tab/>
        <w:t>Compliance directions</w:t>
      </w:r>
      <w:bookmarkEnd w:id="391"/>
      <w:r>
        <w:t xml:space="preserve"> </w:t>
      </w:r>
    </w:p>
    <w:p>
      <w:pPr>
        <w:pStyle w:val="Subsection"/>
      </w:pPr>
      <w:r>
        <w:tab/>
      </w:r>
      <w:r>
        <w:tab/>
        <w:t>The provisions of the regulations set out in Schedule 3 are prescribed for the purposes of section 176 of the Law.</w:t>
      </w:r>
    </w:p>
    <w:p>
      <w:pPr>
        <w:pStyle w:val="Heading5"/>
      </w:pPr>
      <w:bookmarkStart w:id="392" w:name="_Toc207117860"/>
      <w:r>
        <w:rPr>
          <w:rStyle w:val="CharSectno"/>
        </w:rPr>
        <w:lastRenderedPageBreak/>
        <w:t>189</w:t>
      </w:r>
      <w:r>
        <w:t>.</w:t>
      </w:r>
      <w:r>
        <w:tab/>
        <w:t>Application to cancel prohibition notice</w:t>
      </w:r>
      <w:bookmarkEnd w:id="392"/>
      <w:r>
        <w:t xml:space="preserve"> </w:t>
      </w:r>
    </w:p>
    <w:p>
      <w:pPr>
        <w:pStyle w:val="Subsection"/>
        <w:keepNext/>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393" w:name="_Toc207117861"/>
      <w:r>
        <w:rPr>
          <w:rStyle w:val="CharSectno"/>
        </w:rPr>
        <w:t>190</w:t>
      </w:r>
      <w:r>
        <w:t>.</w:t>
      </w:r>
      <w:r>
        <w:tab/>
        <w:t>Infringement offences</w:t>
      </w:r>
      <w:bookmarkEnd w:id="393"/>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(ca)</w:t>
      </w:r>
      <w:r>
        <w:tab/>
        <w:t>regulation 84D(1), (2) and (3) (prohibition of bassinets);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lastRenderedPageBreak/>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 SL 2023/186 r. 36.]</w:t>
      </w:r>
    </w:p>
    <w:p>
      <w:pPr>
        <w:pStyle w:val="Heading5"/>
      </w:pPr>
      <w:bookmarkStart w:id="394" w:name="_Toc207117862"/>
      <w:r>
        <w:rPr>
          <w:rStyle w:val="CharSectno"/>
        </w:rPr>
        <w:lastRenderedPageBreak/>
        <w:t>191</w:t>
      </w:r>
      <w:r>
        <w:t>.</w:t>
      </w:r>
      <w:r>
        <w:tab/>
        <w:t>False or misleading information or documents</w:t>
      </w:r>
      <w:bookmarkEnd w:id="394"/>
      <w:r>
        <w:t xml:space="preserve"> </w:t>
      </w:r>
    </w:p>
    <w:p>
      <w:pPr>
        <w:pStyle w:val="Subsection"/>
        <w:keepNext/>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395" w:name="_Toc207099059"/>
      <w:bookmarkStart w:id="396" w:name="_Toc207110580"/>
      <w:bookmarkStart w:id="397" w:name="_Toc207117863"/>
      <w:r>
        <w:rPr>
          <w:rStyle w:val="CharPartNo"/>
        </w:rPr>
        <w:lastRenderedPageBreak/>
        <w:t>Chapter 6</w:t>
      </w:r>
      <w:r>
        <w:t> — </w:t>
      </w:r>
      <w:r>
        <w:rPr>
          <w:rStyle w:val="CharPartText"/>
        </w:rPr>
        <w:t>Administration</w:t>
      </w:r>
      <w:bookmarkEnd w:id="395"/>
      <w:bookmarkEnd w:id="396"/>
      <w:bookmarkEnd w:id="397"/>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spacing w:before="140"/>
        <w:ind w:left="284"/>
      </w:pPr>
      <w:r>
        <w:rPr>
          <w:i/>
        </w:rPr>
        <w:t>Division 1</w:t>
      </w:r>
      <w:r>
        <w:t xml:space="preserve"> contains provisions relating to the application of the Commonwealth</w:t>
      </w:r>
      <w:r>
        <w:rPr>
          <w:i/>
        </w:rPr>
        <w:t xml:space="preserve"> Privacy Act 1988</w:t>
      </w:r>
      <w:r>
        <w:t>.</w:t>
      </w:r>
    </w:p>
    <w:p>
      <w:pPr>
        <w:pStyle w:val="MiscellaneousBody"/>
        <w:spacing w:before="140"/>
        <w:ind w:left="284"/>
      </w:pPr>
      <w:r>
        <w:rPr>
          <w:i/>
        </w:rPr>
        <w:t>Division 2</w:t>
      </w:r>
      <w:r>
        <w:t xml:space="preserve"> contains provisions relating to the application of the Commonwealth</w:t>
      </w:r>
      <w:r>
        <w:rPr>
          <w:i/>
        </w:rPr>
        <w:t xml:space="preserve"> Freedom of Information Act 1982</w:t>
      </w:r>
      <w:r>
        <w:t>.</w:t>
      </w:r>
    </w:p>
    <w:p>
      <w:pPr>
        <w:pStyle w:val="MiscellaneousBody"/>
        <w:spacing w:before="140"/>
        <w:ind w:left="284"/>
      </w:pPr>
      <w:r>
        <w:rPr>
          <w:i/>
        </w:rPr>
        <w:t>Division 3</w:t>
      </w:r>
      <w:r>
        <w:t xml:space="preserve"> contains provisions relating to the application of the New South Wales </w:t>
      </w:r>
      <w:r>
        <w:rPr>
          <w:i/>
        </w:rPr>
        <w:t>State Records Act 1998</w:t>
      </w:r>
      <w:r>
        <w:t>.</w:t>
      </w:r>
    </w:p>
    <w:p>
      <w:pPr>
        <w:pStyle w:val="MiscellaneousBody"/>
        <w:spacing w:before="140"/>
        <w:ind w:left="284"/>
      </w:pPr>
      <w:r>
        <w:rPr>
          <w:i/>
        </w:rPr>
        <w:t>Division 4</w:t>
      </w:r>
      <w:r>
        <w:t xml:space="preserve"> contains records relating to the application of the Commonwealth</w:t>
      </w:r>
      <w:r>
        <w:rPr>
          <w:i/>
        </w:rPr>
        <w:t xml:space="preserve"> Ombudsman Act 1976</w:t>
      </w:r>
      <w:r>
        <w:t>.</w:t>
      </w:r>
    </w:p>
    <w:p>
      <w:pPr>
        <w:pStyle w:val="MiscellaneousBody"/>
        <w:spacing w:before="140"/>
        <w:ind w:left="284"/>
      </w:pPr>
      <w:r>
        <w:rPr>
          <w:i/>
        </w:rPr>
        <w:t>Division 5</w:t>
      </w:r>
      <w:r>
        <w:t xml:space="preserve"> contains provisions relating to the publication of information by the National Authority and Regulatory Authority.</w:t>
      </w:r>
    </w:p>
    <w:p>
      <w:pPr>
        <w:pStyle w:val="MiscellaneousBody"/>
        <w:spacing w:before="140"/>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398" w:name="_Toc207099060"/>
      <w:bookmarkStart w:id="399" w:name="_Toc207110581"/>
      <w:bookmarkStart w:id="400" w:name="_Toc207117864"/>
      <w:r>
        <w:rPr>
          <w:rStyle w:val="CharDivNo"/>
        </w:rPr>
        <w:t>Part 6.1</w:t>
      </w:r>
      <w:r>
        <w:t> — </w:t>
      </w:r>
      <w:r>
        <w:rPr>
          <w:rStyle w:val="CharDivText"/>
        </w:rPr>
        <w:t>Australian Children’s Education and Care Quality Authority</w:t>
      </w:r>
      <w:bookmarkEnd w:id="398"/>
      <w:bookmarkEnd w:id="399"/>
      <w:bookmarkEnd w:id="400"/>
    </w:p>
    <w:p>
      <w:pPr>
        <w:pStyle w:val="Heading5"/>
      </w:pPr>
      <w:bookmarkStart w:id="401" w:name="_Toc207117865"/>
      <w:r>
        <w:rPr>
          <w:rStyle w:val="CharSectno"/>
        </w:rPr>
        <w:t>192</w:t>
      </w:r>
      <w:r>
        <w:t>.</w:t>
      </w:r>
      <w:r>
        <w:tab/>
        <w:t>Co</w:t>
      </w:r>
      <w:r>
        <w:noBreakHyphen/>
        <w:t>operation with prescribed classes of body</w:t>
      </w:r>
      <w:bookmarkEnd w:id="401"/>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lastRenderedPageBreak/>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402" w:name="_Toc207117866"/>
      <w:r>
        <w:rPr>
          <w:rStyle w:val="CharSectno"/>
        </w:rPr>
        <w:t>193</w:t>
      </w:r>
      <w:r>
        <w:t>.</w:t>
      </w:r>
      <w:r>
        <w:tab/>
        <w:t>Allocating, transferring or reimbursing money to a participating jurisdiction</w:t>
      </w:r>
      <w:bookmarkEnd w:id="402"/>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403" w:name="_Toc207117867"/>
      <w:r>
        <w:rPr>
          <w:rStyle w:val="CharSectno"/>
        </w:rPr>
        <w:t>194</w:t>
      </w:r>
      <w:r>
        <w:t>.</w:t>
      </w:r>
      <w:r>
        <w:tab/>
        <w:t>Investment of Authority Fund</w:t>
      </w:r>
      <w:bookmarkEnd w:id="403"/>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404" w:name="_Toc207099064"/>
      <w:bookmarkStart w:id="405" w:name="_Toc207110585"/>
      <w:bookmarkStart w:id="406" w:name="_Toc207117868"/>
      <w:r>
        <w:rPr>
          <w:rStyle w:val="CharDivNo"/>
        </w:rPr>
        <w:lastRenderedPageBreak/>
        <w:t>Part 6.2</w:t>
      </w:r>
      <w:r>
        <w:t> — </w:t>
      </w:r>
      <w:r>
        <w:rPr>
          <w:rStyle w:val="CharDivText"/>
        </w:rPr>
        <w:t>Information, records and privacy — National Authority and Regulatory Authorities</w:t>
      </w:r>
      <w:bookmarkEnd w:id="404"/>
      <w:bookmarkEnd w:id="405"/>
      <w:bookmarkEnd w:id="406"/>
    </w:p>
    <w:p>
      <w:pPr>
        <w:pStyle w:val="Heading4"/>
      </w:pPr>
      <w:bookmarkStart w:id="407" w:name="_Toc207099065"/>
      <w:bookmarkStart w:id="408" w:name="_Toc207110586"/>
      <w:bookmarkStart w:id="409" w:name="_Toc207117869"/>
      <w:r>
        <w:t xml:space="preserve">Division 1 — Application of Commonwealth </w:t>
      </w:r>
      <w:r>
        <w:rPr>
          <w:i/>
        </w:rPr>
        <w:t>Privacy Act 1988</w:t>
      </w:r>
      <w:bookmarkEnd w:id="407"/>
      <w:bookmarkEnd w:id="408"/>
      <w:bookmarkEnd w:id="409"/>
    </w:p>
    <w:p>
      <w:pPr>
        <w:pStyle w:val="Heading5"/>
      </w:pPr>
      <w:bookmarkStart w:id="410" w:name="_Toc207117870"/>
      <w:r>
        <w:rPr>
          <w:rStyle w:val="CharSectno"/>
        </w:rPr>
        <w:t>195</w:t>
      </w:r>
      <w:r>
        <w:t>.</w:t>
      </w:r>
      <w:r>
        <w:tab/>
        <w:t xml:space="preserve">Application of Commonwealth </w:t>
      </w:r>
      <w:r>
        <w:rPr>
          <w:i/>
        </w:rPr>
        <w:t>Privacy Act 1988</w:t>
      </w:r>
      <w:bookmarkEnd w:id="410"/>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411" w:name="_Toc207117871"/>
      <w:r>
        <w:rPr>
          <w:rStyle w:val="CharSectno"/>
        </w:rPr>
        <w:t>196</w:t>
      </w:r>
      <w:r>
        <w:t>.</w:t>
      </w:r>
      <w:r>
        <w:tab/>
        <w:t>Modifications relating to National Education and Care Services Privacy Commissioner and staff</w:t>
      </w:r>
      <w:bookmarkEnd w:id="411"/>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 xml:space="preserve">a finding of guilt for an offence committed in a participating jurisdiction or elsewhere that the Ministerial Council considers makes the </w:t>
      </w:r>
      <w:r>
        <w:lastRenderedPageBreak/>
        <w:t>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412" w:name="_Toc207117872"/>
      <w:r>
        <w:rPr>
          <w:rStyle w:val="CharSectno"/>
        </w:rPr>
        <w:lastRenderedPageBreak/>
        <w:t>197</w:t>
      </w:r>
      <w:r>
        <w:t>.</w:t>
      </w:r>
      <w:r>
        <w:tab/>
        <w:t>Modifications about financial matters</w:t>
      </w:r>
      <w:bookmarkEnd w:id="412"/>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13" w:name="_Toc207117873"/>
      <w:r>
        <w:rPr>
          <w:rStyle w:val="CharSectno"/>
        </w:rPr>
        <w:lastRenderedPageBreak/>
        <w:t>198</w:t>
      </w:r>
      <w:r>
        <w:t>.</w:t>
      </w:r>
      <w:r>
        <w:tab/>
        <w:t>Modifications about annual report</w:t>
      </w:r>
      <w:bookmarkEnd w:id="413"/>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14" w:name="_Toc207117874"/>
      <w:r>
        <w:rPr>
          <w:rStyle w:val="CharSectno"/>
        </w:rPr>
        <w:t>199</w:t>
      </w:r>
      <w:r>
        <w:t>.</w:t>
      </w:r>
      <w:r>
        <w:tab/>
        <w:t>Modifications relating to National Authority and Regulatory Authorities</w:t>
      </w:r>
      <w:bookmarkEnd w:id="414"/>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415" w:name="_Toc207117875"/>
      <w:r>
        <w:rPr>
          <w:rStyle w:val="CharSectno"/>
        </w:rPr>
        <w:t>200</w:t>
      </w:r>
      <w:r>
        <w:t>.</w:t>
      </w:r>
      <w:r>
        <w:tab/>
        <w:t>Modifications relating to determinations</w:t>
      </w:r>
      <w:bookmarkEnd w:id="415"/>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416" w:name="_Toc207117876"/>
      <w:r>
        <w:rPr>
          <w:rStyle w:val="CharSectno"/>
        </w:rPr>
        <w:t>201</w:t>
      </w:r>
      <w:r>
        <w:t>.</w:t>
      </w:r>
      <w:r>
        <w:tab/>
        <w:t>Miscellaneous modifications</w:t>
      </w:r>
      <w:bookmarkEnd w:id="416"/>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lastRenderedPageBreak/>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lastRenderedPageBreak/>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417" w:name="_Toc207117877"/>
      <w:r>
        <w:rPr>
          <w:rStyle w:val="CharSectno"/>
        </w:rPr>
        <w:t>202</w:t>
      </w:r>
      <w:r>
        <w:t>.</w:t>
      </w:r>
      <w:r>
        <w:tab/>
        <w:t>Relevant administrative tribunal</w:t>
      </w:r>
      <w:bookmarkEnd w:id="417"/>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lastRenderedPageBreak/>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18" w:name="_Toc207117878"/>
      <w:r>
        <w:rPr>
          <w:rStyle w:val="CharSectno"/>
        </w:rPr>
        <w:t>203</w:t>
      </w:r>
      <w:r>
        <w:t>.</w:t>
      </w:r>
      <w:r>
        <w:tab/>
        <w:t>Regulations</w:t>
      </w:r>
      <w:bookmarkEnd w:id="418"/>
      <w:r>
        <w:t xml:space="preserve"> </w:t>
      </w:r>
    </w:p>
    <w:p>
      <w:pPr>
        <w:pStyle w:val="Subsection"/>
      </w:pPr>
      <w:r>
        <w:tab/>
      </w:r>
      <w:r>
        <w:tab/>
        <w:t>The regulations made under the Privacy Act do not apply.</w:t>
      </w:r>
    </w:p>
    <w:p>
      <w:pPr>
        <w:pStyle w:val="Heading4"/>
      </w:pPr>
      <w:bookmarkStart w:id="419" w:name="_Toc207099075"/>
      <w:bookmarkStart w:id="420" w:name="_Toc207110596"/>
      <w:bookmarkStart w:id="421" w:name="_Toc207117879"/>
      <w:r>
        <w:t xml:space="preserve">Division 2 — Application of Commonwealth </w:t>
      </w:r>
      <w:r>
        <w:rPr>
          <w:i/>
        </w:rPr>
        <w:t>Freedom of Information Act 1982</w:t>
      </w:r>
      <w:bookmarkEnd w:id="419"/>
      <w:bookmarkEnd w:id="420"/>
      <w:bookmarkEnd w:id="421"/>
    </w:p>
    <w:p>
      <w:pPr>
        <w:pStyle w:val="Heading5"/>
      </w:pPr>
      <w:bookmarkStart w:id="422" w:name="_Toc207117880"/>
      <w:r>
        <w:rPr>
          <w:rStyle w:val="CharSectno"/>
        </w:rPr>
        <w:t>204</w:t>
      </w:r>
      <w:r>
        <w:t>.</w:t>
      </w:r>
      <w:r>
        <w:tab/>
        <w:t>Application of Commonwealth</w:t>
      </w:r>
      <w:r>
        <w:rPr>
          <w:i/>
        </w:rPr>
        <w:t xml:space="preserve"> Freedom of Information Act 1982</w:t>
      </w:r>
      <w:bookmarkEnd w:id="422"/>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423" w:name="_Toc207117881"/>
      <w:r>
        <w:rPr>
          <w:rStyle w:val="CharSectno"/>
        </w:rPr>
        <w:t>205</w:t>
      </w:r>
      <w:r>
        <w:t>.</w:t>
      </w:r>
      <w:r>
        <w:tab/>
        <w:t>Modifications relating to National Education and Care Services Freedom of Information Commissioner and staff</w:t>
      </w:r>
      <w:bookmarkEnd w:id="423"/>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w:t>
      </w:r>
      <w:r>
        <w:lastRenderedPageBreak/>
        <w:t xml:space="preserve">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lastRenderedPageBreak/>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(iaa)</w:t>
      </w:r>
      <w:r>
        <w:tab/>
        <w:t>the power conferred under section 8(3) of that Act as modified under regulation 209(ja);</w:t>
      </w:r>
    </w:p>
    <w:p>
      <w:pPr>
        <w:pStyle w:val="Indenti"/>
      </w:pPr>
      <w:r>
        <w:tab/>
        <w:t>(iab)</w:t>
      </w:r>
      <w:r>
        <w:tab/>
        <w:t>the power conferred under section 11C(2) of that Act as modified under regulation 209(ja);</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lastRenderedPageBreak/>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Footnotesection"/>
      </w:pPr>
      <w:r>
        <w:tab/>
        <w:t>[Regulation 205 amended: SL 2023/186 r. 37.]</w:t>
      </w:r>
    </w:p>
    <w:p>
      <w:pPr>
        <w:pStyle w:val="Heading5"/>
      </w:pPr>
      <w:bookmarkStart w:id="424" w:name="_Toc207117882"/>
      <w:r>
        <w:rPr>
          <w:rStyle w:val="CharSectno"/>
        </w:rPr>
        <w:t>206</w:t>
      </w:r>
      <w:r>
        <w:t>.</w:t>
      </w:r>
      <w:r>
        <w:tab/>
        <w:t>Modifications about financial matters</w:t>
      </w:r>
      <w:bookmarkEnd w:id="424"/>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lastRenderedPageBreak/>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25" w:name="_Toc207117883"/>
      <w:r>
        <w:rPr>
          <w:rStyle w:val="CharSectno"/>
        </w:rPr>
        <w:t>207</w:t>
      </w:r>
      <w:r>
        <w:t>.</w:t>
      </w:r>
      <w:r>
        <w:tab/>
        <w:t>Modifications about annual report</w:t>
      </w:r>
      <w:bookmarkEnd w:id="425"/>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 xml:space="preserve">The National Education and Care Services Freedom of Information Commissioner is required to include in the annual report a report about the performance of the Commissioner’s functions </w:t>
      </w:r>
      <w:r>
        <w:lastRenderedPageBreak/>
        <w:t>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26" w:name="_Toc207117884"/>
      <w:r>
        <w:rPr>
          <w:rStyle w:val="CharSectno"/>
        </w:rPr>
        <w:t>208</w:t>
      </w:r>
      <w:r>
        <w:t>.</w:t>
      </w:r>
      <w:r>
        <w:tab/>
        <w:t>Modifications relating to National Authority and Regulatory Authorities</w:t>
      </w:r>
      <w:bookmarkEnd w:id="426"/>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427" w:name="_Toc207117885"/>
      <w:r>
        <w:rPr>
          <w:rStyle w:val="CharSectno"/>
        </w:rPr>
        <w:lastRenderedPageBreak/>
        <w:t>209</w:t>
      </w:r>
      <w:r>
        <w:t>.</w:t>
      </w:r>
      <w:r>
        <w:tab/>
        <w:t>Miscellaneous modifications</w:t>
      </w:r>
      <w:bookmarkEnd w:id="427"/>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lastRenderedPageBreak/>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(ja)</w:t>
      </w:r>
      <w:r>
        <w:tab/>
        <w:t>as if a reference in sections 8(3) and 11C(2) to legislative instrument were a reference to instrument; and</w:t>
      </w:r>
    </w:p>
    <w:p>
      <w:pPr>
        <w:pStyle w:val="Indenta"/>
      </w:pPr>
      <w:r>
        <w:tab/>
        <w:t>(k)</w:t>
      </w:r>
      <w:r>
        <w:tab/>
        <w:t>with any other modifications that are necessary for the effective administration of the FOI Act for the purposes of the National Quality Framework.</w:t>
      </w:r>
    </w:p>
    <w:p>
      <w:pPr>
        <w:pStyle w:val="Footnotesection"/>
      </w:pPr>
      <w:r>
        <w:tab/>
        <w:t>[Regulation 209 amended: SL 2023/186 r. 38.]</w:t>
      </w:r>
    </w:p>
    <w:p>
      <w:pPr>
        <w:pStyle w:val="Heading5"/>
      </w:pPr>
      <w:bookmarkStart w:id="428" w:name="_Toc207117886"/>
      <w:r>
        <w:rPr>
          <w:rStyle w:val="CharSectno"/>
        </w:rPr>
        <w:t>210</w:t>
      </w:r>
      <w:r>
        <w:t>.</w:t>
      </w:r>
      <w:r>
        <w:tab/>
        <w:t>Relevant administrative tribunal</w:t>
      </w:r>
      <w:bookmarkEnd w:id="428"/>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lastRenderedPageBreak/>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29" w:name="_Toc207117887"/>
      <w:r>
        <w:rPr>
          <w:rStyle w:val="CharSectno"/>
        </w:rPr>
        <w:t>211</w:t>
      </w:r>
      <w:r>
        <w:t>.</w:t>
      </w:r>
      <w:r>
        <w:tab/>
        <w:t>Regulations</w:t>
      </w:r>
      <w:bookmarkEnd w:id="429"/>
      <w:r>
        <w:t xml:space="preserve"> </w:t>
      </w:r>
    </w:p>
    <w:p>
      <w:pPr>
        <w:pStyle w:val="Subsection"/>
      </w:pPr>
      <w:r>
        <w:tab/>
      </w:r>
      <w:r>
        <w:tab/>
        <w:t>The regulations made under the FOI Act, other than the provisions providing for fees and charges, do not apply.</w:t>
      </w:r>
    </w:p>
    <w:p>
      <w:pPr>
        <w:pStyle w:val="Heading4"/>
        <w:rPr>
          <w:i/>
        </w:rPr>
      </w:pPr>
      <w:bookmarkStart w:id="430" w:name="_Toc207099084"/>
      <w:bookmarkStart w:id="431" w:name="_Toc207110605"/>
      <w:bookmarkStart w:id="432" w:name="_Toc207117888"/>
      <w:r>
        <w:t xml:space="preserve">Division 3 — Application of New South Wales </w:t>
      </w:r>
      <w:r>
        <w:rPr>
          <w:i/>
        </w:rPr>
        <w:t>State Records Act 1998</w:t>
      </w:r>
      <w:bookmarkEnd w:id="430"/>
      <w:bookmarkEnd w:id="431"/>
      <w:bookmarkEnd w:id="432"/>
    </w:p>
    <w:p>
      <w:pPr>
        <w:pStyle w:val="Heading5"/>
      </w:pPr>
      <w:bookmarkStart w:id="433" w:name="_Toc207117889"/>
      <w:r>
        <w:rPr>
          <w:rStyle w:val="CharSectno"/>
        </w:rPr>
        <w:t>212</w:t>
      </w:r>
      <w:r>
        <w:t>.</w:t>
      </w:r>
      <w:r>
        <w:tab/>
        <w:t>Application of State Records Act</w:t>
      </w:r>
      <w:bookmarkEnd w:id="433"/>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434" w:name="_Toc207117890"/>
      <w:r>
        <w:rPr>
          <w:rStyle w:val="CharSectno"/>
        </w:rPr>
        <w:t>213</w:t>
      </w:r>
      <w:r>
        <w:t>.</w:t>
      </w:r>
      <w:r>
        <w:tab/>
        <w:t>Modifications relating to State Records Authority and its Board and Director</w:t>
      </w:r>
      <w:bookmarkEnd w:id="434"/>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w:t>
      </w:r>
      <w:r>
        <w:lastRenderedPageBreak/>
        <w:t xml:space="preserve">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435" w:name="_Toc207117891"/>
      <w:r>
        <w:rPr>
          <w:rStyle w:val="CharSectno"/>
        </w:rPr>
        <w:t>214</w:t>
      </w:r>
      <w:r>
        <w:t>.</w:t>
      </w:r>
      <w:r>
        <w:tab/>
        <w:t>Modifications relating to National Authority</w:t>
      </w:r>
      <w:bookmarkEnd w:id="435"/>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436" w:name="_Toc207117892"/>
      <w:r>
        <w:rPr>
          <w:rStyle w:val="CharSectno"/>
        </w:rPr>
        <w:t>215</w:t>
      </w:r>
      <w:r>
        <w:t>.</w:t>
      </w:r>
      <w:r>
        <w:tab/>
        <w:t>Modifications relating to Ministerial Council</w:t>
      </w:r>
      <w:bookmarkEnd w:id="436"/>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437" w:name="_Toc207117893"/>
      <w:r>
        <w:rPr>
          <w:rStyle w:val="CharSectno"/>
        </w:rPr>
        <w:lastRenderedPageBreak/>
        <w:t>216</w:t>
      </w:r>
      <w:r>
        <w:t>.</w:t>
      </w:r>
      <w:r>
        <w:tab/>
        <w:t>Miscellaneous modifications</w:t>
      </w:r>
      <w:bookmarkEnd w:id="437"/>
      <w:r>
        <w:t xml:space="preserve"> </w:t>
      </w:r>
    </w:p>
    <w:p>
      <w:pPr>
        <w:pStyle w:val="Subsection"/>
        <w:keepNext/>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lastRenderedPageBreak/>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xml:space="preserve">), whether by or under an Act of the relevant participating jurisdiction or otherwise, is abolished and another person, body or office is conferred or given functions and powers that </w:t>
      </w:r>
      <w:r>
        <w:lastRenderedPageBreak/>
        <w:t>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438" w:name="_Toc207117894"/>
      <w:r>
        <w:rPr>
          <w:rStyle w:val="CharSectno"/>
        </w:rPr>
        <w:t>217</w:t>
      </w:r>
      <w:r>
        <w:t>.</w:t>
      </w:r>
      <w:r>
        <w:tab/>
        <w:t>Regulations</w:t>
      </w:r>
      <w:bookmarkEnd w:id="438"/>
      <w:r>
        <w:t xml:space="preserve"> </w:t>
      </w:r>
    </w:p>
    <w:p>
      <w:pPr>
        <w:pStyle w:val="Subsection"/>
      </w:pPr>
      <w:r>
        <w:tab/>
      </w:r>
      <w:r>
        <w:tab/>
        <w:t>The regulations made under the State Records Act do not apply.</w:t>
      </w:r>
    </w:p>
    <w:p>
      <w:pPr>
        <w:pStyle w:val="Heading4"/>
      </w:pPr>
      <w:bookmarkStart w:id="439" w:name="_Toc207099091"/>
      <w:bookmarkStart w:id="440" w:name="_Toc207110612"/>
      <w:bookmarkStart w:id="441" w:name="_Toc207117895"/>
      <w:r>
        <w:t xml:space="preserve">Division 4 — Application of Commonwealth </w:t>
      </w:r>
      <w:r>
        <w:rPr>
          <w:i/>
        </w:rPr>
        <w:t>Ombudsman Act 1976</w:t>
      </w:r>
      <w:bookmarkEnd w:id="439"/>
      <w:bookmarkEnd w:id="440"/>
      <w:bookmarkEnd w:id="441"/>
    </w:p>
    <w:p>
      <w:pPr>
        <w:pStyle w:val="Heading5"/>
      </w:pPr>
      <w:bookmarkStart w:id="442" w:name="_Toc207117896"/>
      <w:r>
        <w:rPr>
          <w:rStyle w:val="CharSectno"/>
        </w:rPr>
        <w:t>218</w:t>
      </w:r>
      <w:r>
        <w:t>.</w:t>
      </w:r>
      <w:r>
        <w:tab/>
        <w:t>Application of Commonwealth Ombudsman Act</w:t>
      </w:r>
      <w:bookmarkEnd w:id="442"/>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443" w:name="_Toc207117897"/>
      <w:r>
        <w:rPr>
          <w:rStyle w:val="CharSectno"/>
        </w:rPr>
        <w:lastRenderedPageBreak/>
        <w:t>219</w:t>
      </w:r>
      <w:r>
        <w:t>.</w:t>
      </w:r>
      <w:r>
        <w:tab/>
        <w:t>Modifications relating to Education and Care Services Ombudsman and staff</w:t>
      </w:r>
      <w:bookmarkEnd w:id="443"/>
      <w:r>
        <w:t xml:space="preserve"> </w:t>
      </w:r>
    </w:p>
    <w:p>
      <w:pPr>
        <w:pStyle w:val="Subsection"/>
        <w:keepNext/>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lastRenderedPageBreak/>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444" w:name="_Toc207117898"/>
      <w:r>
        <w:rPr>
          <w:rStyle w:val="CharSectno"/>
        </w:rPr>
        <w:t>220</w:t>
      </w:r>
      <w:r>
        <w:t>.</w:t>
      </w:r>
      <w:r>
        <w:tab/>
        <w:t>Modifications about financial matters</w:t>
      </w:r>
      <w:bookmarkEnd w:id="444"/>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lastRenderedPageBreak/>
        <w:tab/>
        <w:t>(g)</w:t>
      </w:r>
      <w:r>
        <w:tab/>
        <w:t>arrange for any further audit by a qualified person of records kept by the Ombudsman in relation to the funds held by the Ombudsman, if directed to do so by the Ministerial Council.</w:t>
      </w:r>
    </w:p>
    <w:p>
      <w:pPr>
        <w:pStyle w:val="Heading5"/>
      </w:pPr>
      <w:bookmarkStart w:id="445" w:name="_Toc207117899"/>
      <w:r>
        <w:rPr>
          <w:rStyle w:val="CharSectno"/>
        </w:rPr>
        <w:t>221</w:t>
      </w:r>
      <w:r>
        <w:t>.</w:t>
      </w:r>
      <w:r>
        <w:tab/>
        <w:t>Modifications about annual report</w:t>
      </w:r>
      <w:bookmarkEnd w:id="445"/>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keepLines/>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446" w:name="_Toc207117900"/>
      <w:r>
        <w:rPr>
          <w:rStyle w:val="CharSectno"/>
        </w:rPr>
        <w:lastRenderedPageBreak/>
        <w:t>222</w:t>
      </w:r>
      <w:r>
        <w:t>.</w:t>
      </w:r>
      <w:r>
        <w:tab/>
        <w:t>Modifications relating to National Authority and Regulatory Authorities</w:t>
      </w:r>
      <w:bookmarkEnd w:id="446"/>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447" w:name="_Toc207117901"/>
      <w:r>
        <w:rPr>
          <w:rStyle w:val="CharSectno"/>
        </w:rPr>
        <w:t>223</w:t>
      </w:r>
      <w:r>
        <w:t>.</w:t>
      </w:r>
      <w:r>
        <w:tab/>
        <w:t>Miscellaneous modifications</w:t>
      </w:r>
      <w:bookmarkEnd w:id="447"/>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keepNext/>
        <w:spacing w:before="56"/>
      </w:pPr>
      <w:r>
        <w:lastRenderedPageBreak/>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keepNext/>
        <w:spacing w:before="56"/>
      </w:pPr>
      <w:r>
        <w:tab/>
        <w:t>(ii)</w:t>
      </w:r>
      <w:r>
        <w:tab/>
        <w:t xml:space="preserve">does not prevent a member of the Ministerial Council making a record of, or divulging or communicating to another member of the </w:t>
      </w:r>
      <w:r>
        <w:lastRenderedPageBreak/>
        <w:t>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448" w:name="_Toc207117902"/>
      <w:r>
        <w:rPr>
          <w:rStyle w:val="CharSectno"/>
        </w:rPr>
        <w:t>224</w:t>
      </w:r>
      <w:r>
        <w:t>.</w:t>
      </w:r>
      <w:r>
        <w:tab/>
        <w:t>Relevant administrative tribunal</w:t>
      </w:r>
      <w:bookmarkEnd w:id="448"/>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49" w:name="_Toc207117903"/>
      <w:r>
        <w:rPr>
          <w:rStyle w:val="CharSectno"/>
        </w:rPr>
        <w:lastRenderedPageBreak/>
        <w:t>225</w:t>
      </w:r>
      <w:r>
        <w:t>.</w:t>
      </w:r>
      <w:r>
        <w:tab/>
        <w:t>Regulations</w:t>
      </w:r>
      <w:bookmarkEnd w:id="449"/>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450" w:name="_Toc207099100"/>
      <w:bookmarkStart w:id="451" w:name="_Toc207110621"/>
      <w:bookmarkStart w:id="452" w:name="_Toc207117904"/>
      <w:r>
        <w:t>Division 5 — Publication of information</w:t>
      </w:r>
      <w:bookmarkEnd w:id="450"/>
      <w:bookmarkEnd w:id="451"/>
      <w:bookmarkEnd w:id="452"/>
    </w:p>
    <w:p>
      <w:pPr>
        <w:pStyle w:val="Heading5"/>
      </w:pPr>
      <w:bookmarkStart w:id="453" w:name="_Toc207117905"/>
      <w:r>
        <w:rPr>
          <w:rStyle w:val="CharSectno"/>
        </w:rPr>
        <w:t>226</w:t>
      </w:r>
      <w:r>
        <w:t>.</w:t>
      </w:r>
      <w:r>
        <w:tab/>
        <w:t>Publication of information</w:t>
      </w:r>
      <w:bookmarkEnd w:id="453"/>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454" w:name="_Toc207117906"/>
      <w:r>
        <w:rPr>
          <w:rStyle w:val="CharSectno"/>
        </w:rPr>
        <w:t>227</w:t>
      </w:r>
      <w:r>
        <w:t>.</w:t>
      </w:r>
      <w:r>
        <w:tab/>
        <w:t>Compliance and enforcement information</w:t>
      </w:r>
      <w:bookmarkEnd w:id="454"/>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lastRenderedPageBreak/>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188AB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lastRenderedPageBreak/>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 xml:space="preserve">the steps specified in the compliance notice that the person must take to </w:t>
      </w:r>
      <w:r>
        <w:lastRenderedPageBreak/>
        <w:t>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keepNext/>
      </w:pPr>
      <w:r>
        <w:tab/>
        <w:t>(v)</w:t>
      </w:r>
      <w:r>
        <w:tab/>
        <w:t>for a suspension of a provider approval or service approval —</w:t>
      </w:r>
    </w:p>
    <w:p>
      <w:pPr>
        <w:pStyle w:val="IndentI0"/>
        <w:keepNext/>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188AB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lastRenderedPageBreak/>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 SL 2023/186 r. 39.]</w:t>
      </w:r>
    </w:p>
    <w:p>
      <w:pPr>
        <w:pStyle w:val="Heading5"/>
      </w:pPr>
      <w:bookmarkStart w:id="455" w:name="_Toc207117907"/>
      <w:r>
        <w:rPr>
          <w:rStyle w:val="CharSectno"/>
        </w:rPr>
        <w:t>228</w:t>
      </w:r>
      <w:r>
        <w:t>.</w:t>
      </w:r>
      <w:r>
        <w:tab/>
        <w:t>Timing of publication where internal or external review of enforcement action is available</w:t>
      </w:r>
      <w:bookmarkEnd w:id="455"/>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lastRenderedPageBreak/>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456" w:name="_Toc207099104"/>
      <w:bookmarkStart w:id="457" w:name="_Toc207110625"/>
      <w:bookmarkStart w:id="458" w:name="_Toc207117908"/>
      <w:r>
        <w:t>Division 6 — Registers</w:t>
      </w:r>
      <w:bookmarkEnd w:id="456"/>
      <w:bookmarkEnd w:id="457"/>
      <w:bookmarkEnd w:id="458"/>
    </w:p>
    <w:p>
      <w:pPr>
        <w:pStyle w:val="Heading5"/>
      </w:pPr>
      <w:bookmarkStart w:id="459" w:name="_Toc207117909"/>
      <w:r>
        <w:rPr>
          <w:rStyle w:val="CharSectno"/>
        </w:rPr>
        <w:t>229</w:t>
      </w:r>
      <w:r>
        <w:t>.</w:t>
      </w:r>
      <w:r>
        <w:tab/>
        <w:t>Register of approved providers</w:t>
      </w:r>
      <w:bookmarkEnd w:id="459"/>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keepNext/>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460" w:name="_Toc207117910"/>
      <w:r>
        <w:rPr>
          <w:rStyle w:val="CharSectno"/>
        </w:rPr>
        <w:t>230</w:t>
      </w:r>
      <w:r>
        <w:t>.</w:t>
      </w:r>
      <w:r>
        <w:tab/>
        <w:t>Register of approved education and care services</w:t>
      </w:r>
      <w:bookmarkEnd w:id="460"/>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pPr>
      <w:r>
        <w:lastRenderedPageBreak/>
        <w:t>[</w:t>
      </w:r>
      <w:r>
        <w:rPr>
          <w:b/>
          <w:bCs/>
        </w:rPr>
        <w:t>231.</w:t>
      </w:r>
      <w:r>
        <w:tab/>
        <w:t>Deleted: Gazette 28 Sep 2018 p. 3648.]</w:t>
      </w:r>
    </w:p>
    <w:p>
      <w:pPr>
        <w:pStyle w:val="Heading3"/>
      </w:pPr>
      <w:bookmarkStart w:id="461" w:name="_Toc207099107"/>
      <w:bookmarkStart w:id="462" w:name="_Toc207110628"/>
      <w:bookmarkStart w:id="463" w:name="_Toc207117911"/>
      <w:r>
        <w:rPr>
          <w:rStyle w:val="CharDivNo"/>
        </w:rPr>
        <w:t>Part 6.3</w:t>
      </w:r>
      <w:r>
        <w:t> — </w:t>
      </w:r>
      <w:r>
        <w:rPr>
          <w:rStyle w:val="CharDivText"/>
        </w:rPr>
        <w:t>Fees</w:t>
      </w:r>
      <w:bookmarkEnd w:id="461"/>
      <w:bookmarkEnd w:id="462"/>
      <w:bookmarkEnd w:id="463"/>
    </w:p>
    <w:p>
      <w:pPr>
        <w:pStyle w:val="Footnoteheading"/>
        <w:keepNext/>
      </w:pPr>
      <w:r>
        <w:tab/>
        <w:t>[Heading inserted: SL 2023/71 r. 7.]</w:t>
      </w:r>
    </w:p>
    <w:p>
      <w:pPr>
        <w:pStyle w:val="Heading4"/>
      </w:pPr>
      <w:bookmarkStart w:id="464" w:name="_Toc207099108"/>
      <w:bookmarkStart w:id="465" w:name="_Toc207110629"/>
      <w:bookmarkStart w:id="466" w:name="_Toc207117912"/>
      <w:r>
        <w:t>Division 1 — Provisions applying generally to fees</w:t>
      </w:r>
      <w:bookmarkEnd w:id="464"/>
      <w:bookmarkEnd w:id="465"/>
      <w:bookmarkEnd w:id="466"/>
    </w:p>
    <w:p>
      <w:pPr>
        <w:pStyle w:val="Footnoteheading"/>
        <w:keepNext/>
      </w:pPr>
      <w:r>
        <w:tab/>
        <w:t>[Heading inserted: SL 2023/71 r. 7.]</w:t>
      </w:r>
    </w:p>
    <w:p>
      <w:pPr>
        <w:pStyle w:val="Heading5"/>
      </w:pPr>
      <w:bookmarkStart w:id="467" w:name="_Toc207117913"/>
      <w:r>
        <w:rPr>
          <w:rStyle w:val="CharSectno"/>
        </w:rPr>
        <w:t>232</w:t>
      </w:r>
      <w:r>
        <w:t>.</w:t>
      </w:r>
      <w:r>
        <w:tab/>
        <w:t>Definitions</w:t>
      </w:r>
      <w:bookmarkEnd w:id="467"/>
    </w:p>
    <w:p>
      <w:pPr>
        <w:pStyle w:val="Subsection"/>
        <w:keepNext/>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pPr>
      <w:r>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keepNext/>
      </w:pPr>
      <w:r>
        <w:lastRenderedPageBreak/>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tab/>
        <w:t>(b)</w:t>
      </w:r>
      <w:r>
        <w:tab/>
        <w:t>in relation to a family day care service, a family day care service that has 5 or fewer family day care educators engaged by or registered with the service.</w:t>
      </w:r>
    </w:p>
    <w:p>
      <w:pPr>
        <w:pStyle w:val="Footnotesection"/>
      </w:pPr>
      <w:r>
        <w:tab/>
        <w:t>[Regulation 232 inserted: SL 2023/71 r. 7.]</w:t>
      </w:r>
    </w:p>
    <w:p>
      <w:pPr>
        <w:pStyle w:val="Heading5"/>
      </w:pPr>
      <w:bookmarkStart w:id="468" w:name="_Toc207117914"/>
      <w:r>
        <w:rPr>
          <w:rStyle w:val="CharSectno"/>
        </w:rPr>
        <w:t>233</w:t>
      </w:r>
      <w:r>
        <w:t>.</w:t>
      </w:r>
      <w:r>
        <w:tab/>
        <w:t>Calculation of indexation factor for financial year</w:t>
      </w:r>
      <w:bookmarkEnd w:id="468"/>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for a quarter, means the All Groups Consumer Price Index Number (being the weighted average of the 8 capital 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keepNext/>
      </w:pPr>
      <w:r>
        <w:lastRenderedPageBreak/>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233 inserted: SL 2023/71 r. 7.]</w:t>
      </w:r>
    </w:p>
    <w:p>
      <w:pPr>
        <w:pStyle w:val="Heading5"/>
      </w:pPr>
      <w:bookmarkStart w:id="469" w:name="_Toc207117915"/>
      <w:r>
        <w:rPr>
          <w:rStyle w:val="CharSectno"/>
        </w:rPr>
        <w:t>234</w:t>
      </w:r>
      <w:r>
        <w:t>.</w:t>
      </w:r>
      <w:r>
        <w:tab/>
        <w:t>Fee amount to be rounded down to nearest whole dollar</w:t>
      </w:r>
      <w:bookmarkEnd w:id="469"/>
    </w:p>
    <w:p>
      <w:pPr>
        <w:pStyle w:val="Subsection"/>
      </w:pPr>
      <w:r>
        <w:tab/>
      </w:r>
      <w:r>
        <w:tab/>
        <w:t>The amount of a prescribed fee calculated in accordance with this Part is to be rounded down to the nearest whole dollar.</w:t>
      </w:r>
    </w:p>
    <w:p>
      <w:pPr>
        <w:pStyle w:val="Footnotesection"/>
      </w:pPr>
      <w:r>
        <w:tab/>
        <w:t>[Regulation 234 inserted: SL 2023/71 r. 7.]</w:t>
      </w:r>
    </w:p>
    <w:p>
      <w:pPr>
        <w:pStyle w:val="Heading5"/>
      </w:pPr>
      <w:bookmarkStart w:id="470" w:name="_Toc207117916"/>
      <w:r>
        <w:rPr>
          <w:rStyle w:val="CharSectno"/>
        </w:rPr>
        <w:t>235</w:t>
      </w:r>
      <w:r>
        <w:t>.</w:t>
      </w:r>
      <w:r>
        <w:tab/>
        <w:t>Late payment fees (annual fees)</w:t>
      </w:r>
      <w:bookmarkEnd w:id="470"/>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For the purposes of subregulation (1), the late payment fee is 15% of the relevant prescribed annual fee that is overdue.</w:t>
      </w:r>
    </w:p>
    <w:p>
      <w:pPr>
        <w:pStyle w:val="Footnotesection"/>
      </w:pPr>
      <w:r>
        <w:tab/>
        <w:t>[Regulation 235 inserted: SL 2023/71 r. 7.]</w:t>
      </w:r>
    </w:p>
    <w:p>
      <w:pPr>
        <w:pStyle w:val="Heading5"/>
      </w:pPr>
      <w:bookmarkStart w:id="471" w:name="_Toc207117917"/>
      <w:r>
        <w:rPr>
          <w:rStyle w:val="CharSectno"/>
        </w:rPr>
        <w:lastRenderedPageBreak/>
        <w:t>236</w:t>
      </w:r>
      <w:r>
        <w:t>.</w:t>
      </w:r>
      <w:r>
        <w:tab/>
        <w:t>Waiver, reduction, deferral and refund of fees</w:t>
      </w:r>
      <w:bookmarkEnd w:id="471"/>
    </w:p>
    <w:p>
      <w:pPr>
        <w:pStyle w:val="Subsection"/>
        <w:keepNext/>
      </w:pPr>
      <w:r>
        <w:tab/>
      </w:r>
      <w:r>
        <w:tab/>
        <w:t>The National Authority may waive, reduce, defer or refund any fee payable or paid to it under the Law if there are exceptional circumstances.</w:t>
      </w:r>
    </w:p>
    <w:p>
      <w:pPr>
        <w:pStyle w:val="Footnotesection"/>
      </w:pPr>
      <w:r>
        <w:tab/>
        <w:t>[Regulation 236 inserted: SL 2023/71 r. 7.]</w:t>
      </w:r>
    </w:p>
    <w:p>
      <w:pPr>
        <w:pStyle w:val="Heading5"/>
      </w:pPr>
      <w:bookmarkStart w:id="472" w:name="_Toc207117918"/>
      <w:r>
        <w:rPr>
          <w:rStyle w:val="CharSectno"/>
        </w:rPr>
        <w:t>236A</w:t>
      </w:r>
      <w:r>
        <w:t>.</w:t>
      </w:r>
      <w:r>
        <w:tab/>
        <w:t>Publication of prescribed and other required fees</w:t>
      </w:r>
      <w:bookmarkEnd w:id="472"/>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r>
        <w:tab/>
        <w:t>[Regulation 236A inserted: SL 2023/71 r. 7.]</w:t>
      </w:r>
    </w:p>
    <w:p>
      <w:pPr>
        <w:pStyle w:val="Heading4"/>
      </w:pPr>
      <w:bookmarkStart w:id="473" w:name="_Toc207099115"/>
      <w:bookmarkStart w:id="474" w:name="_Toc207110636"/>
      <w:bookmarkStart w:id="475" w:name="_Toc207117919"/>
      <w:r>
        <w:t>Division 2 — Prescribed and other fees between commencement day and 30 June 2023</w:t>
      </w:r>
      <w:bookmarkEnd w:id="473"/>
      <w:bookmarkEnd w:id="474"/>
      <w:bookmarkEnd w:id="475"/>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r>
        <w:tab/>
        <w:t>[Heading inserted: SL 2023/71 r. 7.]</w:t>
      </w:r>
    </w:p>
    <w:p>
      <w:pPr>
        <w:pStyle w:val="Heading5"/>
      </w:pPr>
      <w:bookmarkStart w:id="476" w:name="_Toc207117920"/>
      <w:r>
        <w:rPr>
          <w:rStyle w:val="CharSectno"/>
        </w:rPr>
        <w:t>236B</w:t>
      </w:r>
      <w:r>
        <w:t>.</w:t>
      </w:r>
      <w:r>
        <w:tab/>
        <w:t>Prescribed fees and other fees for period beginning on commencement day and ending on 30 June 2023</w:t>
      </w:r>
      <w:bookmarkEnd w:id="476"/>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tab/>
        <w:t>(2)</w:t>
      </w:r>
      <w:r>
        <w:tab/>
        <w:t>For the purposes of regulation 138(2)(b), for the period beginning on the commencement day and ending on 30 June 2023, the relevant fee is $2 426.</w:t>
      </w:r>
    </w:p>
    <w:p>
      <w:pPr>
        <w:pStyle w:val="Subsection"/>
      </w:pPr>
      <w:r>
        <w:lastRenderedPageBreak/>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r>
        <w:tab/>
        <w:t>[Regulation 236B inserted: SL 2023/71 r. 7.]</w:t>
      </w:r>
    </w:p>
    <w:p>
      <w:pPr>
        <w:pStyle w:val="Heading4"/>
      </w:pPr>
      <w:bookmarkStart w:id="477" w:name="_Toc207099117"/>
      <w:bookmarkStart w:id="478" w:name="_Toc207110638"/>
      <w:bookmarkStart w:id="479" w:name="_Toc207117921"/>
      <w:r>
        <w:t>Division 3 — Prescribed and other fees on and after 1 July 2023</w:t>
      </w:r>
      <w:bookmarkEnd w:id="477"/>
      <w:bookmarkEnd w:id="478"/>
      <w:bookmarkEnd w:id="479"/>
    </w:p>
    <w:p>
      <w:pPr>
        <w:pStyle w:val="Footnoteheading"/>
        <w:keepNext/>
      </w:pPr>
      <w:r>
        <w:tab/>
        <w:t>[Heading inserted: SL 2023/71 r. 7.]</w:t>
      </w:r>
    </w:p>
    <w:p>
      <w:pPr>
        <w:pStyle w:val="Heading5"/>
      </w:pPr>
      <w:bookmarkStart w:id="480" w:name="_Toc207117922"/>
      <w:r>
        <w:rPr>
          <w:rStyle w:val="CharSectno"/>
        </w:rPr>
        <w:t>236C</w:t>
      </w:r>
      <w:r>
        <w:t>.</w:t>
      </w:r>
      <w:r>
        <w:tab/>
        <w:t>Prescribed fee — application for provider approval</w:t>
      </w:r>
      <w:bookmarkEnd w:id="480"/>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11(d) of the Law, the prescribed fee for the financial year beginning on 1 July 2024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14"/>
        </w:tabs>
        <w:ind w:left="2268" w:hanging="1701"/>
      </w:pPr>
      <w:r>
        <w:tab/>
        <w:t xml:space="preserve">where — </w:t>
      </w:r>
    </w:p>
    <w:p>
      <w:pPr>
        <w:pStyle w:val="MiscellaneousBody"/>
        <w:tabs>
          <w:tab w:val="left" w:pos="1414"/>
        </w:tabs>
        <w:ind w:left="1988" w:hanging="1421"/>
      </w:pPr>
      <w:r>
        <w:tab/>
      </w:r>
      <w:r>
        <w:rPr>
          <w:b/>
        </w:rPr>
        <w:t>P</w:t>
      </w:r>
      <w:r>
        <w:tab/>
        <w:t>is the amount of the fee payable for the financial year beginning on 1 July 2023 calculated in accordance with subregulation (1);</w:t>
      </w:r>
    </w:p>
    <w:p>
      <w:pPr>
        <w:pStyle w:val="MiscellaneousBody"/>
        <w:tabs>
          <w:tab w:val="left" w:pos="1414"/>
        </w:tabs>
        <w:ind w:left="1988" w:hanging="1421"/>
      </w:pPr>
      <w:r>
        <w:tab/>
      </w:r>
      <w:r>
        <w:rPr>
          <w:b/>
        </w:rPr>
        <w:t>FX</w:t>
      </w:r>
      <w:r>
        <w:tab/>
        <w:t>is the indexation factor for the financial year beginning on 1 July 2024.</w:t>
      </w:r>
    </w:p>
    <w:p>
      <w:pPr>
        <w:pStyle w:val="Subsection"/>
      </w:pPr>
      <w:r>
        <w:lastRenderedPageBreak/>
        <w:tab/>
        <w:t>(3)</w:t>
      </w:r>
      <w:r>
        <w:tab/>
        <w:t xml:space="preserve">For the purposes of section 11(d) of the Law, the prescribed fee for the financial year beginning on 1 July 2025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00"/>
        </w:tabs>
      </w:pPr>
      <w:r>
        <w:tab/>
        <w:t xml:space="preserve">where — </w:t>
      </w:r>
    </w:p>
    <w:p>
      <w:pPr>
        <w:pStyle w:val="MiscellaneousBody"/>
        <w:tabs>
          <w:tab w:val="left" w:pos="1400"/>
        </w:tabs>
        <w:ind w:left="1974" w:hanging="1407"/>
      </w:pPr>
      <w:r>
        <w:tab/>
      </w:r>
      <w:r>
        <w:rPr>
          <w:b/>
        </w:rPr>
        <w:t>P</w:t>
      </w:r>
      <w:r>
        <w:tab/>
        <w:t>is the amount of the fee payable for the financial year beginning on 1 July 2024 calculated in accordance with subregulation (2);</w:t>
      </w:r>
    </w:p>
    <w:p>
      <w:pPr>
        <w:pStyle w:val="MiscellaneousBody"/>
        <w:tabs>
          <w:tab w:val="left" w:pos="1386"/>
        </w:tabs>
        <w:ind w:left="1974" w:hanging="1407"/>
      </w:pPr>
      <w:r>
        <w:tab/>
      </w:r>
      <w:r>
        <w:rPr>
          <w:b/>
        </w:rPr>
        <w:t>FX</w:t>
      </w:r>
      <w:r>
        <w:tab/>
        <w:t>is the indexation factor for the financial year beginning on 1 July 2025.</w:t>
      </w:r>
    </w:p>
    <w:p>
      <w:pPr>
        <w:pStyle w:val="Subsection"/>
      </w:pPr>
      <w:r>
        <w:tab/>
        <w:t>(4)</w:t>
      </w:r>
      <w:r>
        <w:tab/>
        <w:t xml:space="preserve">For the purposes of section 11(d)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4"/>
        </w:tabs>
        <w:spacing w:before="160"/>
      </w:pPr>
      <w:r>
        <w:tab/>
      </w:r>
      <m:oMath>
        <m:r>
          <m:rPr>
            <m:sty m:val="p"/>
          </m:rPr>
          <w:rPr>
            <w:rFonts w:ascii="Cambria Math" w:hAnsi="Cambria Math"/>
          </w:rPr>
          <m:t>P ×FX</m:t>
        </m:r>
      </m:oMath>
    </w:p>
    <w:p>
      <w:pPr>
        <w:pStyle w:val="MiscellaneousBody"/>
        <w:tabs>
          <w:tab w:val="left" w:pos="1386"/>
        </w:tabs>
      </w:pPr>
      <w:r>
        <w:tab/>
        <w:t xml:space="preserve">where — </w:t>
      </w:r>
    </w:p>
    <w:p>
      <w:pPr>
        <w:pStyle w:val="MiscellaneousBody"/>
        <w:tabs>
          <w:tab w:val="left" w:pos="1400"/>
        </w:tabs>
        <w:ind w:left="1960" w:hanging="1393"/>
      </w:pPr>
      <w:r>
        <w:tab/>
      </w:r>
      <w:r>
        <w:rPr>
          <w:b/>
        </w:rPr>
        <w:t>P</w:t>
      </w:r>
      <w:r>
        <w:tab/>
        <w:t>is the amount of the fee payable in the previous financial year;</w:t>
      </w:r>
    </w:p>
    <w:p>
      <w:pPr>
        <w:pStyle w:val="MiscellaneousBody"/>
        <w:tabs>
          <w:tab w:val="left" w:pos="1400"/>
        </w:tabs>
        <w:ind w:left="1946" w:hanging="1379"/>
      </w:pPr>
      <w:r>
        <w:tab/>
      </w:r>
      <w:r>
        <w:rPr>
          <w:b/>
        </w:rPr>
        <w:t>FX</w:t>
      </w:r>
      <w:r>
        <w:tab/>
        <w:t>is the indexation factor for the relevant financial year.</w:t>
      </w:r>
    </w:p>
    <w:p>
      <w:pPr>
        <w:pStyle w:val="Footnotesection"/>
      </w:pPr>
      <w:r>
        <w:tab/>
        <w:t>[Regulation 236C inserted: SL 2023/71 r. 7; amended: SL 2024/48 r. 4.]</w:t>
      </w:r>
    </w:p>
    <w:p>
      <w:pPr>
        <w:pStyle w:val="Heading5"/>
      </w:pPr>
      <w:bookmarkStart w:id="481" w:name="_Toc207117923"/>
      <w:r>
        <w:rPr>
          <w:rStyle w:val="CharSectno"/>
        </w:rPr>
        <w:t>236D</w:t>
      </w:r>
      <w:r>
        <w:t>.</w:t>
      </w:r>
      <w:r>
        <w:tab/>
        <w:t>Prescribed fees — application for service approval</w:t>
      </w:r>
      <w:bookmarkEnd w:id="481"/>
    </w:p>
    <w:p>
      <w:pPr>
        <w:pStyle w:val="Subsection"/>
        <w:keepNext/>
      </w:pPr>
      <w:r>
        <w:tab/>
        <w:t>(1)</w:t>
      </w:r>
      <w:r>
        <w:tab/>
        <w:t xml:space="preserve">For the purposes of section 44(1)(e) of the Law, the prescribed fee for the financial year beginning on 1 July 2023 in relation to </w:t>
      </w:r>
      <w:r>
        <w:lastRenderedPageBreak/>
        <w:t xml:space="preserve">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(3)</w:t>
      </w:r>
      <w:r>
        <w:tab/>
        <w:t xml:space="preserve">For the purposes of section 44(1)(e) of the Law, the prescribed fee for the financial year beginning on 1 July 2023 in relation to </w:t>
      </w:r>
      <w:r>
        <w:lastRenderedPageBreak/>
        <w:t>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(4)</w:t>
      </w:r>
      <w:r>
        <w:tab/>
        <w:t xml:space="preserve">For the purposes of section 44(1)(e)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(2) or (3);</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(5)</w:t>
      </w:r>
      <w:r>
        <w:tab/>
        <w:t xml:space="preserve">For the purposes of section 44(1)(e)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(4);</w:t>
      </w:r>
    </w:p>
    <w:p>
      <w:pPr>
        <w:pStyle w:val="MiscellaneousBody"/>
        <w:tabs>
          <w:tab w:val="left" w:pos="1418"/>
          <w:tab w:val="left" w:pos="1985"/>
        </w:tabs>
        <w:ind w:left="1985" w:hanging="1418"/>
        <w:rPr>
          <w:rStyle w:val="DraftersNotes"/>
          <w:b w:val="0"/>
          <w:i w:val="0"/>
          <w:noProof/>
          <w:sz w:val="24"/>
        </w:rPr>
      </w:pPr>
      <w:r>
        <w:tab/>
      </w:r>
      <w:r>
        <w:rPr>
          <w:b/>
        </w:rPr>
        <w:t>FX</w:t>
      </w:r>
      <w:r>
        <w:tab/>
        <w:t>is the indexation factor for the financial year beginning on 1 July 2025.</w:t>
      </w:r>
    </w:p>
    <w:p>
      <w:pPr>
        <w:pStyle w:val="Subsection"/>
        <w:keepLines/>
      </w:pPr>
      <w:r>
        <w:lastRenderedPageBreak/>
        <w:tab/>
        <w:t>(6)</w:t>
      </w:r>
      <w:r>
        <w:tab/>
        <w:t xml:space="preserve">For the purposes of section 44(1)(e)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r>
        <w:tab/>
        <w:t>[Regulation 236D inserted: SL 2023/71 r. 7; amended: SL 2024/48 r. 5.]</w:t>
      </w:r>
    </w:p>
    <w:p>
      <w:pPr>
        <w:pStyle w:val="Heading5"/>
      </w:pPr>
      <w:bookmarkStart w:id="482" w:name="_Toc207117924"/>
      <w:r>
        <w:rPr>
          <w:rStyle w:val="CharSectno"/>
        </w:rPr>
        <w:t>236E</w:t>
      </w:r>
      <w:r>
        <w:t>.</w:t>
      </w:r>
      <w:r>
        <w:tab/>
        <w:t>Prescribed annual fees</w:t>
      </w:r>
      <w:bookmarkEnd w:id="482"/>
    </w:p>
    <w:p>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lastRenderedPageBreak/>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53 of the Law, the prescribed annual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(4)</w:t>
      </w:r>
      <w:r>
        <w:tab/>
        <w:t xml:space="preserve">For the purposes of section 53 of the Law, the prescribed annual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keepNext/>
        <w:tabs>
          <w:tab w:val="left" w:pos="1418"/>
          <w:tab w:val="left" w:pos="1985"/>
        </w:tabs>
        <w:ind w:left="1985" w:hanging="1418"/>
      </w:pPr>
      <w:r>
        <w:lastRenderedPageBreak/>
        <w:tab/>
      </w:r>
      <w:r>
        <w:rPr>
          <w:b/>
        </w:rPr>
        <w:t>FX</w:t>
      </w:r>
      <w:r>
        <w:tab/>
        <w:t>is the indexation factor for the financial year beginning on 1 July 2025.</w:t>
      </w:r>
    </w:p>
    <w:p>
      <w:pPr>
        <w:pStyle w:val="Subsection"/>
      </w:pPr>
      <w:r>
        <w:tab/>
        <w:t>(5)</w:t>
      </w:r>
      <w:r>
        <w:tab/>
        <w:t xml:space="preserve">For the purposes of section 53 of the Law, in a financial year beginning on 1 July 2026 or 1 July in a later year (the </w:t>
      </w:r>
      <w:r>
        <w:rPr>
          <w:rStyle w:val="CharDefText"/>
        </w:rPr>
        <w:t>relevant financial year</w:t>
      </w:r>
      <w:r>
        <w:t xml:space="preserve">), the prescribed annual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236E inserted: SL 2023/71 r. 7; amended: SL 2024/48 r. 6.]</w:t>
      </w:r>
    </w:p>
    <w:p>
      <w:pPr>
        <w:pStyle w:val="Heading5"/>
      </w:pPr>
      <w:bookmarkStart w:id="483" w:name="_Toc207117925"/>
      <w:r>
        <w:rPr>
          <w:rStyle w:val="CharSectno"/>
        </w:rPr>
        <w:t>236F</w:t>
      </w:r>
      <w:r>
        <w:t>.</w:t>
      </w:r>
      <w:r>
        <w:tab/>
        <w:t>Prescribed fee — application for amendment of service approval</w:t>
      </w:r>
      <w:bookmarkEnd w:id="483"/>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54(2)(c) of the Law, in a financial year beginning on 1 July 2024 or 1 July in a later year (the </w:t>
      </w:r>
      <w:r>
        <w:rPr>
          <w:rStyle w:val="CharDefText"/>
        </w:rPr>
        <w:lastRenderedPageBreak/>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236F inserted: SL 2023/71 r. 7.]</w:t>
      </w:r>
    </w:p>
    <w:p>
      <w:pPr>
        <w:pStyle w:val="Heading5"/>
      </w:pPr>
      <w:bookmarkStart w:id="484" w:name="_Toc207117926"/>
      <w:r>
        <w:rPr>
          <w:rStyle w:val="CharSectno"/>
        </w:rPr>
        <w:t>236G</w:t>
      </w:r>
      <w:r>
        <w:t>.</w:t>
      </w:r>
      <w:r>
        <w:tab/>
        <w:t>Prescribed fee — notification of intended transfer of service approval</w:t>
      </w:r>
      <w:bookmarkEnd w:id="484"/>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keepNext/>
        <w:tabs>
          <w:tab w:val="left" w:pos="1418"/>
          <w:tab w:val="left" w:pos="1985"/>
        </w:tabs>
        <w:ind w:left="1985" w:hanging="1418"/>
      </w:pPr>
      <w:r>
        <w:lastRenderedPageBreak/>
        <w:tab/>
      </w:r>
      <w:r>
        <w:rPr>
          <w:b/>
        </w:rPr>
        <w:t>FX</w:t>
      </w:r>
      <w:r>
        <w:tab/>
        <w:t>is the indexation factor for the financial year beginning on 1 July 2024.</w:t>
      </w:r>
    </w:p>
    <w:p>
      <w:pPr>
        <w:pStyle w:val="Subsection"/>
      </w:pPr>
      <w:r>
        <w:tab/>
        <w:t>(3)</w:t>
      </w:r>
      <w:r>
        <w:tab/>
        <w:t xml:space="preserve">For the purposes of section 59(2)(c)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(4)</w:t>
      </w:r>
      <w:r>
        <w:tab/>
        <w:t xml:space="preserve">For the purposes of section 59(2)(c)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236G inserted: SL 2023/71 r. 7; amended: SL 2024/48 r. 7.]</w:t>
      </w:r>
    </w:p>
    <w:p>
      <w:pPr>
        <w:pStyle w:val="Heading5"/>
      </w:pPr>
      <w:bookmarkStart w:id="485" w:name="_Toc207117927"/>
      <w:r>
        <w:rPr>
          <w:rStyle w:val="CharSectno"/>
        </w:rPr>
        <w:lastRenderedPageBreak/>
        <w:t>236H</w:t>
      </w:r>
      <w:r>
        <w:t>.</w:t>
      </w:r>
      <w:r>
        <w:tab/>
        <w:t>Prescribed fee — application for service waiver</w:t>
      </w:r>
      <w:bookmarkEnd w:id="485"/>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236H inserted: SL 2023/71 r. 7.]</w:t>
      </w:r>
    </w:p>
    <w:p>
      <w:pPr>
        <w:pStyle w:val="Heading5"/>
      </w:pPr>
      <w:bookmarkStart w:id="486" w:name="_Toc207117928"/>
      <w:r>
        <w:rPr>
          <w:rStyle w:val="CharSectno"/>
        </w:rPr>
        <w:t>236I</w:t>
      </w:r>
      <w:r>
        <w:t>.</w:t>
      </w:r>
      <w:r>
        <w:tab/>
        <w:t>Prescribed fee — application for temporary waiver</w:t>
      </w:r>
      <w:bookmarkEnd w:id="486"/>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236I inserted: SL 2023/71 r. 7.]</w:t>
      </w:r>
    </w:p>
    <w:p>
      <w:pPr>
        <w:pStyle w:val="Heading5"/>
      </w:pPr>
      <w:bookmarkStart w:id="487" w:name="_Toc207117929"/>
      <w:r>
        <w:rPr>
          <w:rStyle w:val="CharSectno"/>
        </w:rPr>
        <w:lastRenderedPageBreak/>
        <w:t>236J</w:t>
      </w:r>
      <w:r>
        <w:t>.</w:t>
      </w:r>
      <w:r>
        <w:tab/>
        <w:t>Prescribed fee — application to extend temporary waiver</w:t>
      </w:r>
      <w:bookmarkEnd w:id="487"/>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r>
        <w:tab/>
        <w:t>[Regulation 236J inserted: SL 2023/71 r. 7.]</w:t>
      </w:r>
    </w:p>
    <w:p>
      <w:pPr>
        <w:pStyle w:val="Heading5"/>
      </w:pPr>
      <w:bookmarkStart w:id="488" w:name="_Toc207117930"/>
      <w:r>
        <w:rPr>
          <w:rStyle w:val="CharSectno"/>
        </w:rPr>
        <w:t>236K</w:t>
      </w:r>
      <w:r>
        <w:t>.</w:t>
      </w:r>
      <w:r>
        <w:tab/>
        <w:t>Prescribed fee — application for reassessment and re</w:t>
      </w:r>
      <w:r>
        <w:noBreakHyphen/>
        <w:t>rating</w:t>
      </w:r>
      <w:bookmarkEnd w:id="488"/>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keepLines/>
      </w:pPr>
      <w:r>
        <w:lastRenderedPageBreak/>
        <w:tab/>
        <w:t>(2)</w:t>
      </w:r>
      <w:r>
        <w:tab/>
        <w:t>For the purposes of section 139(2)(c) of the Law, the prescribed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236K inserted: SL 2023/71 r. 7.]</w:t>
      </w:r>
    </w:p>
    <w:p>
      <w:pPr>
        <w:pStyle w:val="Heading5"/>
      </w:pPr>
      <w:bookmarkStart w:id="489" w:name="_Toc207117931"/>
      <w:r>
        <w:rPr>
          <w:rStyle w:val="CharSectno"/>
        </w:rPr>
        <w:t>236L</w:t>
      </w:r>
      <w:r>
        <w:t>.</w:t>
      </w:r>
      <w:r>
        <w:tab/>
        <w:t>Prescribed fee — application for review by Ratings Review Panel of rating level</w:t>
      </w:r>
      <w:bookmarkEnd w:id="489"/>
    </w:p>
    <w:p>
      <w:pPr>
        <w:pStyle w:val="Subsection"/>
        <w:keepNext/>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lastRenderedPageBreak/>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145(2)(c) of the Law, the prescribed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keepNext/>
      </w:pPr>
      <w:r>
        <w:lastRenderedPageBreak/>
        <w:tab/>
        <w:t>(4)</w:t>
      </w:r>
      <w:r>
        <w:tab/>
        <w:t xml:space="preserve">For the purposes of section 145(2)(c)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×FX×1.12</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(5)</w:t>
      </w:r>
      <w:r>
        <w:tab/>
        <w:t xml:space="preserve">For the purposes of section 145(2)(c)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r>
        <w:tab/>
        <w:t>[Regulation 236L inserted: SL 2023/71 r. 7; amended: SL 2024/48 r. 8.]</w:t>
      </w:r>
    </w:p>
    <w:p>
      <w:pPr>
        <w:pStyle w:val="Heading5"/>
      </w:pPr>
      <w:bookmarkStart w:id="490" w:name="_Toc207117932"/>
      <w:r>
        <w:rPr>
          <w:rStyle w:val="CharSectno"/>
        </w:rPr>
        <w:lastRenderedPageBreak/>
        <w:t>236M</w:t>
      </w:r>
      <w:r>
        <w:t>.</w:t>
      </w:r>
      <w:r>
        <w:tab/>
        <w:t>Prescribed fees — copy of or extract from registers</w:t>
      </w:r>
      <w:bookmarkEnd w:id="490"/>
    </w:p>
    <w:p>
      <w:pPr>
        <w:pStyle w:val="Subsection"/>
        <w:keepLines/>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236M inserted: SL 2023/71 r. 7.]</w:t>
      </w:r>
    </w:p>
    <w:p>
      <w:pPr>
        <w:pStyle w:val="Heading5"/>
      </w:pPr>
      <w:bookmarkStart w:id="491" w:name="_Toc207117933"/>
      <w:r>
        <w:rPr>
          <w:rStyle w:val="CharSectno"/>
        </w:rPr>
        <w:t>236N</w:t>
      </w:r>
      <w:r>
        <w:t>.</w:t>
      </w:r>
      <w:r>
        <w:tab/>
        <w:t>Prescribed fees — other applications</w:t>
      </w:r>
      <w:bookmarkEnd w:id="491"/>
    </w:p>
    <w:p>
      <w:pPr>
        <w:pStyle w:val="Subsection"/>
      </w:pPr>
      <w:r>
        <w:tab/>
      </w:r>
      <w:r>
        <w:tab/>
        <w:t>For the purposes of sections 22(2)(c), 37(2)(c), 39(6)(c), 40(3)(c), 85(2)(c), 141(4)(d), 152(3)(c) and 159(3)(c) of the Law, the prescribed fee is nil.</w:t>
      </w:r>
    </w:p>
    <w:p>
      <w:pPr>
        <w:pStyle w:val="Footnotesection"/>
      </w:pPr>
      <w:r>
        <w:tab/>
        <w:t>[Regulation 236N inserted: SL 2023/71 r. 7.]</w:t>
      </w:r>
    </w:p>
    <w:p>
      <w:pPr>
        <w:pStyle w:val="Heading5"/>
      </w:pPr>
      <w:bookmarkStart w:id="492" w:name="_Toc207117934"/>
      <w:r>
        <w:rPr>
          <w:rStyle w:val="CharSectno"/>
        </w:rPr>
        <w:lastRenderedPageBreak/>
        <w:t>236O</w:t>
      </w:r>
      <w:r>
        <w:t>.</w:t>
      </w:r>
      <w:r>
        <w:tab/>
        <w:t>Relevant fee — application for qualification to be assessed for inclusion on list of approved qualifications</w:t>
      </w:r>
      <w:bookmarkEnd w:id="492"/>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regulation 138, the relevant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(3)</w:t>
      </w:r>
      <w:r>
        <w:tab/>
        <w:t xml:space="preserve">For the purposes of regulation 138, the relevant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lastRenderedPageBreak/>
        <w:tab/>
      </w:r>
      <w:r>
        <w:rPr>
          <w:b/>
        </w:rPr>
        <w:t>FX</w:t>
      </w:r>
      <w:r>
        <w:tab/>
        <w:t>is the indexation factor for the financial year beginning on 1 July 2025.</w:t>
      </w:r>
    </w:p>
    <w:p>
      <w:pPr>
        <w:pStyle w:val="Subsection"/>
      </w:pPr>
      <w:r>
        <w:tab/>
        <w:t>(4)</w:t>
      </w:r>
      <w:r>
        <w:tab/>
        <w:t xml:space="preserve">For the purposes of regulation 138, in a financial year beginning on 1 July 2026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236O inserted: SL 2023/71 r. 7; amended: SL 2024/48 r. 9.]</w:t>
      </w:r>
    </w:p>
    <w:p>
      <w:pPr>
        <w:pStyle w:val="Heading5"/>
      </w:pPr>
      <w:bookmarkStart w:id="493" w:name="_Toc207117935"/>
      <w:r>
        <w:rPr>
          <w:rStyle w:val="CharSectno"/>
        </w:rPr>
        <w:t>236P</w:t>
      </w:r>
      <w:r>
        <w:t>.</w:t>
      </w:r>
      <w:r>
        <w:tab/>
        <w:t>Relevant fee — application for determination of equivalent qualification</w:t>
      </w:r>
      <w:bookmarkEnd w:id="493"/>
    </w:p>
    <w:p>
      <w:pPr>
        <w:pStyle w:val="Subsection"/>
        <w:keepNext/>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494" w:name="_Toc207099132"/>
      <w:bookmarkStart w:id="495" w:name="_Toc207110653"/>
      <w:bookmarkStart w:id="496" w:name="_Toc207117936"/>
      <w:r>
        <w:rPr>
          <w:rStyle w:val="CharDivNo"/>
        </w:rPr>
        <w:lastRenderedPageBreak/>
        <w:t>Part 6.4</w:t>
      </w:r>
      <w:r>
        <w:t> — </w:t>
      </w:r>
      <w:r>
        <w:rPr>
          <w:rStyle w:val="CharDivText"/>
        </w:rPr>
        <w:t>Delegations</w:t>
      </w:r>
      <w:bookmarkEnd w:id="494"/>
      <w:bookmarkEnd w:id="495"/>
      <w:bookmarkEnd w:id="496"/>
    </w:p>
    <w:p>
      <w:pPr>
        <w:pStyle w:val="Heading5"/>
      </w:pPr>
      <w:bookmarkStart w:id="497" w:name="_Toc207117937"/>
      <w:r>
        <w:rPr>
          <w:rStyle w:val="CharSectno"/>
        </w:rPr>
        <w:t>237</w:t>
      </w:r>
      <w:r>
        <w:t>.</w:t>
      </w:r>
      <w:r>
        <w:tab/>
        <w:t>Delegation</w:t>
      </w:r>
      <w:bookmarkEnd w:id="497"/>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498" w:name="_Toc207099134"/>
      <w:bookmarkStart w:id="499" w:name="_Toc207110655"/>
      <w:bookmarkStart w:id="500" w:name="_Toc207117938"/>
      <w:r>
        <w:rPr>
          <w:rStyle w:val="CharPartNo"/>
        </w:rPr>
        <w:lastRenderedPageBreak/>
        <w:t>Chapter 7</w:t>
      </w:r>
      <w:r>
        <w:t> — </w:t>
      </w:r>
      <w:r>
        <w:rPr>
          <w:rStyle w:val="CharPartText"/>
        </w:rPr>
        <w:t>Jurisdiction</w:t>
      </w:r>
      <w:r>
        <w:rPr>
          <w:rStyle w:val="CharPartText"/>
        </w:rPr>
        <w:noBreakHyphen/>
        <w:t>specific and transitional and saving provisions</w:t>
      </w:r>
      <w:bookmarkEnd w:id="498"/>
      <w:bookmarkEnd w:id="499"/>
      <w:bookmarkEnd w:id="500"/>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501" w:name="_Toc207099135"/>
      <w:bookmarkStart w:id="502" w:name="_Toc207110656"/>
      <w:bookmarkStart w:id="503" w:name="_Toc207117939"/>
      <w:r>
        <w:rPr>
          <w:rStyle w:val="CharDivNo"/>
        </w:rPr>
        <w:t>Part 7.1</w:t>
      </w:r>
      <w:r>
        <w:t> — </w:t>
      </w:r>
      <w:r>
        <w:rPr>
          <w:rStyle w:val="CharDivText"/>
        </w:rPr>
        <w:t>General transitional and saving provisions</w:t>
      </w:r>
      <w:bookmarkEnd w:id="501"/>
      <w:bookmarkEnd w:id="502"/>
      <w:bookmarkEnd w:id="503"/>
    </w:p>
    <w:p>
      <w:pPr>
        <w:pStyle w:val="Ednotedivision"/>
      </w:pPr>
      <w:r>
        <w:t>[Divisions 1 and 1A deleted: Gazette 28 Sep 2018 p. 3648.]</w:t>
      </w:r>
    </w:p>
    <w:p>
      <w:pPr>
        <w:pStyle w:val="Heading4"/>
      </w:pPr>
      <w:bookmarkStart w:id="504" w:name="_Toc207099136"/>
      <w:bookmarkStart w:id="505" w:name="_Toc207110657"/>
      <w:bookmarkStart w:id="506" w:name="_Toc207117940"/>
      <w:r>
        <w:t>Division 2 — Staffing arrangements</w:t>
      </w:r>
      <w:bookmarkEnd w:id="504"/>
      <w:bookmarkEnd w:id="505"/>
      <w:bookmarkEnd w:id="506"/>
    </w:p>
    <w:p>
      <w:pPr>
        <w:pStyle w:val="Heading5"/>
      </w:pPr>
      <w:bookmarkStart w:id="507" w:name="_Toc207117941"/>
      <w:r>
        <w:rPr>
          <w:rStyle w:val="CharSectno"/>
        </w:rPr>
        <w:t>239</w:t>
      </w:r>
      <w:r>
        <w:t>.</w:t>
      </w:r>
      <w:r>
        <w:tab/>
        <w:t>Centre</w:t>
      </w:r>
      <w:r>
        <w:noBreakHyphen/>
        <w:t>based service offering a preschool program in a composite class in a school</w:t>
      </w:r>
      <w:bookmarkEnd w:id="507"/>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508" w:name="_Toc207117942"/>
      <w:r>
        <w:rPr>
          <w:rStyle w:val="CharSectno"/>
        </w:rPr>
        <w:t>239A</w:t>
      </w:r>
      <w:r>
        <w:t>.</w:t>
      </w:r>
      <w:r>
        <w:tab/>
        <w:t>Centre</w:t>
      </w:r>
      <w:r>
        <w:noBreakHyphen/>
        <w:t>based services in remote and very remote areas — attendance of early childhood teachers</w:t>
      </w:r>
      <w:bookmarkEnd w:id="508"/>
    </w:p>
    <w:p>
      <w:pPr>
        <w:pStyle w:val="Subsection"/>
      </w:pPr>
      <w:r>
        <w:tab/>
        <w:t>(1)</w:t>
      </w:r>
      <w:r>
        <w:tab/>
        <w:t>This regulation applies until 31 December 2026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lastRenderedPageBreak/>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w:t>
      </w:r>
      <w:bookmarkStart w:id="509" w:name="_Hlk207101042"/>
      <w:r>
        <w:t>regulation —</w:t>
      </w:r>
      <w:bookmarkEnd w:id="509"/>
      <w:r>
        <w:t xml:space="preserve">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 SL 2023/71 r. 16; SL 2024/220 r. 4; SL 2025/150 r. 8.]</w:t>
      </w:r>
    </w:p>
    <w:p>
      <w:pPr>
        <w:pStyle w:val="Ednotesection"/>
      </w:pPr>
      <w:r>
        <w:t>[</w:t>
      </w:r>
      <w:r>
        <w:rPr>
          <w:b/>
          <w:bCs/>
        </w:rPr>
        <w:t>240</w:t>
      </w:r>
      <w:r>
        <w:rPr>
          <w:b/>
        </w:rPr>
        <w:t>.</w:t>
      </w:r>
      <w:r>
        <w:tab/>
        <w:t>Deleted: SL 2025/150 r. 9.]</w:t>
      </w:r>
    </w:p>
    <w:p>
      <w:pPr>
        <w:pStyle w:val="Heading5"/>
      </w:pPr>
      <w:bookmarkStart w:id="510" w:name="_Toc207117943"/>
      <w:r>
        <w:rPr>
          <w:rStyle w:val="CharSectno"/>
        </w:rPr>
        <w:lastRenderedPageBreak/>
        <w:t>241</w:t>
      </w:r>
      <w:r>
        <w:t>.</w:t>
      </w:r>
      <w:r>
        <w:tab/>
        <w:t>Persons taken to hold an approved early childhood teaching qualification</w:t>
      </w:r>
      <w:bookmarkEnd w:id="510"/>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w:t>
      </w:r>
      <w:r>
        <w:lastRenderedPageBreak/>
        <w:t>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lastRenderedPageBreak/>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511" w:name="_Toc207117944"/>
      <w:r>
        <w:rPr>
          <w:rStyle w:val="CharSectno"/>
        </w:rPr>
        <w:t>242</w:t>
      </w:r>
      <w:r>
        <w:t>.</w:t>
      </w:r>
      <w:r>
        <w:tab/>
        <w:t>Persons taken to be early childhood teachers</w:t>
      </w:r>
      <w:bookmarkEnd w:id="511"/>
      <w:r>
        <w:t xml:space="preserve"> </w:t>
      </w:r>
    </w:p>
    <w:p>
      <w:pPr>
        <w:pStyle w:val="Subsection"/>
        <w:spacing w:before="180"/>
      </w:pPr>
      <w:r>
        <w:tab/>
        <w:t>(1)</w:t>
      </w:r>
      <w:r>
        <w:tab/>
        <w:t>This regulation applies on and after 1 January 2014 and until 31 December 2026.</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lastRenderedPageBreak/>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keepNext/>
      </w:pPr>
      <w:r>
        <w:tab/>
        <w:t>(3)</w:t>
      </w:r>
      <w:r>
        <w:tab/>
        <w:t xml:space="preserve">In this regulation — </w:t>
      </w:r>
    </w:p>
    <w:p>
      <w:pPr>
        <w:pStyle w:val="Defstart"/>
        <w:keepNex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 SL 2023/71 r. 18; SL 2024/220 r. 5; SL 2025/150 r. 10.]</w:t>
      </w:r>
    </w:p>
    <w:p>
      <w:pPr>
        <w:pStyle w:val="Heading5"/>
      </w:pPr>
      <w:bookmarkStart w:id="512" w:name="_Toc207117945"/>
      <w:r>
        <w:rPr>
          <w:rStyle w:val="CharSectno"/>
        </w:rPr>
        <w:t>243</w:t>
      </w:r>
      <w:r>
        <w:t>.</w:t>
      </w:r>
      <w:r>
        <w:tab/>
        <w:t>Persons taken to hold an approved diploma level education and care qualification</w:t>
      </w:r>
      <w:bookmarkEnd w:id="512"/>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 xml:space="preserve">held a qualification that is published under regulation 137(2)(a) in the list of former qualifications </w:t>
      </w:r>
      <w:r>
        <w:lastRenderedPageBreak/>
        <w:t>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513" w:name="_Toc207117946"/>
      <w:r>
        <w:rPr>
          <w:rStyle w:val="CharSectno"/>
        </w:rPr>
        <w:t>243A</w:t>
      </w:r>
      <w:r>
        <w:t>.</w:t>
      </w:r>
      <w:r>
        <w:tab/>
        <w:t>Persons taken to hold an approved diploma level education and care qualification for regulation 128 in Queensland</w:t>
      </w:r>
      <w:bookmarkEnd w:id="513"/>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514" w:name="_Toc207117947"/>
      <w:r>
        <w:rPr>
          <w:rStyle w:val="CharSectno"/>
        </w:rPr>
        <w:t>244</w:t>
      </w:r>
      <w:r>
        <w:t>.</w:t>
      </w:r>
      <w:r>
        <w:tab/>
        <w:t>Persons taken to hold an approved certificate III level education and care qualification</w:t>
      </w:r>
      <w:bookmarkEnd w:id="514"/>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 xml:space="preserve">held a qualification that is published under regulation 137(2)(a) in the list of former qualifications </w:t>
      </w:r>
      <w:r>
        <w:lastRenderedPageBreak/>
        <w:t>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515" w:name="_Toc207099145"/>
      <w:bookmarkStart w:id="516" w:name="_Toc207110665"/>
      <w:bookmarkStart w:id="517" w:name="_Toc207117948"/>
      <w:r>
        <w:t>Division 3 — Physical environment</w:t>
      </w:r>
      <w:bookmarkEnd w:id="515"/>
      <w:bookmarkEnd w:id="516"/>
      <w:bookmarkEnd w:id="517"/>
    </w:p>
    <w:p>
      <w:pPr>
        <w:pStyle w:val="Heading5"/>
      </w:pPr>
      <w:bookmarkStart w:id="518" w:name="_Toc207117949"/>
      <w:r>
        <w:rPr>
          <w:rStyle w:val="CharSectno"/>
        </w:rPr>
        <w:t>248</w:t>
      </w:r>
      <w:r>
        <w:t>.</w:t>
      </w:r>
      <w:r>
        <w:tab/>
        <w:t>Centre</w:t>
      </w:r>
      <w:r>
        <w:noBreakHyphen/>
        <w:t>based service offering a preschool program in a composite class in a school</w:t>
      </w:r>
      <w:bookmarkEnd w:id="518"/>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519" w:name="_Toc207117950"/>
      <w:r>
        <w:rPr>
          <w:rStyle w:val="CharSectno"/>
        </w:rPr>
        <w:t>249</w:t>
      </w:r>
      <w:r>
        <w:t>.</w:t>
      </w:r>
      <w:r>
        <w:tab/>
        <w:t>Declared approved services (other than declared approved family day care services)</w:t>
      </w:r>
      <w:bookmarkEnd w:id="519"/>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lastRenderedPageBreak/>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520" w:name="_Toc207117951"/>
      <w:r>
        <w:rPr>
          <w:rStyle w:val="CharSectno"/>
        </w:rPr>
        <w:t>250</w:t>
      </w:r>
      <w:r>
        <w:t>.</w:t>
      </w:r>
      <w:r>
        <w:tab/>
        <w:t>Declared approved family day care services</w:t>
      </w:r>
      <w:bookmarkEnd w:id="520"/>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lastRenderedPageBreak/>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521" w:name="_Toc207117952"/>
      <w:r>
        <w:rPr>
          <w:rStyle w:val="CharSectno"/>
        </w:rPr>
        <w:t>251</w:t>
      </w:r>
      <w:r>
        <w:t>.</w:t>
      </w:r>
      <w:r>
        <w:tab/>
        <w:t>Declared out of scope services</w:t>
      </w:r>
      <w:bookmarkEnd w:id="521"/>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lastRenderedPageBreak/>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522" w:name="_Toc207099150"/>
      <w:bookmarkStart w:id="523" w:name="_Toc207110670"/>
      <w:bookmarkStart w:id="524" w:name="_Toc207117953"/>
      <w:r>
        <w:t>Division 4 — Information retention and sharing</w:t>
      </w:r>
      <w:bookmarkEnd w:id="522"/>
      <w:bookmarkEnd w:id="523"/>
      <w:bookmarkEnd w:id="524"/>
    </w:p>
    <w:p>
      <w:pPr>
        <w:pStyle w:val="Heading5"/>
      </w:pPr>
      <w:bookmarkStart w:id="525" w:name="_Toc207117954"/>
      <w:r>
        <w:rPr>
          <w:rStyle w:val="CharSectno"/>
        </w:rPr>
        <w:t>252</w:t>
      </w:r>
      <w:r>
        <w:t>.</w:t>
      </w:r>
      <w:r>
        <w:tab/>
        <w:t>Information held by Regulatory Authority or regulatory body</w:t>
      </w:r>
      <w:bookmarkEnd w:id="525"/>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526" w:name="_Toc207117955"/>
      <w:r>
        <w:rPr>
          <w:rStyle w:val="CharSectno"/>
        </w:rPr>
        <w:t>253</w:t>
      </w:r>
      <w:r>
        <w:t>.</w:t>
      </w:r>
      <w:r>
        <w:tab/>
        <w:t>Information kept by approved provider</w:t>
      </w:r>
      <w:bookmarkEnd w:id="526"/>
    </w:p>
    <w:p>
      <w:pPr>
        <w:pStyle w:val="Subsection"/>
      </w:pPr>
      <w:r>
        <w:tab/>
      </w:r>
      <w:r>
        <w:tab/>
        <w:t>For the purposes of section 322(3) of the Law, the documents must be kept in accordance with regulation 183.</w:t>
      </w:r>
    </w:p>
    <w:p>
      <w:pPr>
        <w:pStyle w:val="Heading4"/>
      </w:pPr>
      <w:bookmarkStart w:id="527" w:name="_Toc207099153"/>
      <w:bookmarkStart w:id="528" w:name="_Toc207110673"/>
      <w:bookmarkStart w:id="529" w:name="_Toc207117956"/>
      <w:r>
        <w:lastRenderedPageBreak/>
        <w:t>Division 5 — Declared approved learning frameworks</w:t>
      </w:r>
      <w:bookmarkEnd w:id="527"/>
      <w:bookmarkEnd w:id="528"/>
      <w:bookmarkEnd w:id="529"/>
    </w:p>
    <w:p>
      <w:pPr>
        <w:pStyle w:val="Ednotesection"/>
        <w:keepNext/>
      </w:pPr>
      <w:r>
        <w:t>[</w:t>
      </w:r>
      <w:r>
        <w:rPr>
          <w:b/>
          <w:bCs/>
        </w:rPr>
        <w:t>254.</w:t>
      </w:r>
      <w:r>
        <w:tab/>
        <w:t>Deleted: SL 2023/186 r. 41]</w:t>
      </w:r>
    </w:p>
    <w:p>
      <w:pPr>
        <w:pStyle w:val="Heading4"/>
      </w:pPr>
      <w:bookmarkStart w:id="530" w:name="_Toc207099154"/>
      <w:bookmarkStart w:id="531" w:name="_Toc207110674"/>
      <w:bookmarkStart w:id="532" w:name="_Toc207117957"/>
      <w:r>
        <w:t>Division 6 — Fees</w:t>
      </w:r>
      <w:bookmarkEnd w:id="530"/>
      <w:bookmarkEnd w:id="531"/>
      <w:bookmarkEnd w:id="532"/>
    </w:p>
    <w:p>
      <w:pPr>
        <w:pStyle w:val="Heading5"/>
        <w:keepNext w:val="0"/>
      </w:pPr>
      <w:bookmarkStart w:id="533" w:name="_Toc207117958"/>
      <w:r>
        <w:rPr>
          <w:rStyle w:val="CharSectno"/>
        </w:rPr>
        <w:t>255</w:t>
      </w:r>
      <w:r>
        <w:t>.</w:t>
      </w:r>
      <w:r>
        <w:tab/>
        <w:t>Fees for application for provider approval for declared out of scope service</w:t>
      </w:r>
      <w:bookmarkEnd w:id="533"/>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534" w:name="_Toc207099156"/>
      <w:bookmarkStart w:id="535" w:name="_Toc207110676"/>
      <w:bookmarkStart w:id="536" w:name="_Toc207117959"/>
      <w:r>
        <w:t>Division 7 — General provisions relating to exemptions</w:t>
      </w:r>
      <w:bookmarkEnd w:id="534"/>
      <w:bookmarkEnd w:id="535"/>
      <w:bookmarkEnd w:id="536"/>
    </w:p>
    <w:p>
      <w:pPr>
        <w:pStyle w:val="Heading5"/>
      </w:pPr>
      <w:bookmarkStart w:id="537" w:name="_Toc207117960"/>
      <w:r>
        <w:rPr>
          <w:rStyle w:val="CharSectno"/>
        </w:rPr>
        <w:t>256</w:t>
      </w:r>
      <w:r>
        <w:t>.</w:t>
      </w:r>
      <w:r>
        <w:tab/>
        <w:t>Publication where service taken to comply with regulations</w:t>
      </w:r>
      <w:bookmarkEnd w:id="537"/>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538" w:name="_Toc207117961"/>
      <w:r>
        <w:rPr>
          <w:rStyle w:val="CharSectno"/>
        </w:rPr>
        <w:lastRenderedPageBreak/>
        <w:t>257</w:t>
      </w:r>
      <w:r>
        <w:t>.</w:t>
      </w:r>
      <w:r>
        <w:tab/>
        <w:t>Application for removal of exemption</w:t>
      </w:r>
      <w:bookmarkEnd w:id="538"/>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539" w:name="_Toc207099159"/>
      <w:bookmarkStart w:id="540" w:name="_Toc207110679"/>
      <w:bookmarkStart w:id="541" w:name="_Toc207117962"/>
      <w:r>
        <w:rPr>
          <w:rStyle w:val="CharDivNo"/>
        </w:rPr>
        <w:t>Part 7.2</w:t>
      </w:r>
      <w:r>
        <w:t> — </w:t>
      </w:r>
      <w:r>
        <w:rPr>
          <w:rStyle w:val="CharDivText"/>
        </w:rPr>
        <w:t>Australian Capital Territory — specific provisions</w:t>
      </w:r>
      <w:bookmarkEnd w:id="539"/>
      <w:bookmarkEnd w:id="540"/>
      <w:bookmarkEnd w:id="541"/>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542" w:name="_Toc207099160"/>
      <w:bookmarkStart w:id="543" w:name="_Toc207110680"/>
      <w:bookmarkStart w:id="544" w:name="_Toc207117963"/>
      <w:r>
        <w:rPr>
          <w:rStyle w:val="CharDivNo"/>
        </w:rPr>
        <w:t>Part 7.3</w:t>
      </w:r>
      <w:r>
        <w:t> — </w:t>
      </w:r>
      <w:r>
        <w:rPr>
          <w:rStyle w:val="CharDivText"/>
        </w:rPr>
        <w:t>New South Wales — specific provisions</w:t>
      </w:r>
      <w:bookmarkEnd w:id="542"/>
      <w:bookmarkEnd w:id="543"/>
      <w:bookmarkEnd w:id="544"/>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545" w:name="_Toc207099161"/>
      <w:bookmarkStart w:id="546" w:name="_Toc207110681"/>
      <w:bookmarkStart w:id="547" w:name="_Toc207117964"/>
      <w:r>
        <w:rPr>
          <w:rStyle w:val="CharDivNo"/>
        </w:rPr>
        <w:t>Part 7.4</w:t>
      </w:r>
      <w:r>
        <w:t> — </w:t>
      </w:r>
      <w:r>
        <w:rPr>
          <w:rStyle w:val="CharDivText"/>
        </w:rPr>
        <w:t>Northern Territory — specific provisions</w:t>
      </w:r>
      <w:bookmarkEnd w:id="545"/>
      <w:bookmarkEnd w:id="546"/>
      <w:bookmarkEnd w:id="547"/>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548" w:name="_Toc207099162"/>
      <w:bookmarkStart w:id="549" w:name="_Toc207110682"/>
      <w:bookmarkStart w:id="550" w:name="_Toc207117965"/>
      <w:r>
        <w:rPr>
          <w:rStyle w:val="CharDivNo"/>
        </w:rPr>
        <w:lastRenderedPageBreak/>
        <w:t>Part 7.5</w:t>
      </w:r>
      <w:r>
        <w:t> — </w:t>
      </w:r>
      <w:r>
        <w:rPr>
          <w:rStyle w:val="CharDivText"/>
        </w:rPr>
        <w:t>Queensland — specific provisions</w:t>
      </w:r>
      <w:bookmarkEnd w:id="548"/>
      <w:bookmarkEnd w:id="549"/>
      <w:bookmarkEnd w:id="550"/>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551" w:name="_Toc207099163"/>
      <w:bookmarkStart w:id="552" w:name="_Toc207110683"/>
      <w:bookmarkStart w:id="553" w:name="_Toc207117966"/>
      <w:r>
        <w:rPr>
          <w:rStyle w:val="CharDivNo"/>
        </w:rPr>
        <w:t>Part 7.6</w:t>
      </w:r>
      <w:r>
        <w:t> — </w:t>
      </w:r>
      <w:r>
        <w:rPr>
          <w:rStyle w:val="CharDivText"/>
        </w:rPr>
        <w:t>South Australia — specific provisions</w:t>
      </w:r>
      <w:bookmarkEnd w:id="551"/>
      <w:bookmarkEnd w:id="552"/>
      <w:bookmarkEnd w:id="553"/>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554" w:name="_Toc207099164"/>
      <w:bookmarkStart w:id="555" w:name="_Toc207110684"/>
      <w:bookmarkStart w:id="556" w:name="_Toc207117967"/>
      <w:r>
        <w:rPr>
          <w:rStyle w:val="CharDivNo"/>
        </w:rPr>
        <w:t>Part 7.7</w:t>
      </w:r>
      <w:r>
        <w:t> — </w:t>
      </w:r>
      <w:r>
        <w:rPr>
          <w:rStyle w:val="CharDivText"/>
        </w:rPr>
        <w:t>Tasmania — specific provisions</w:t>
      </w:r>
      <w:bookmarkEnd w:id="554"/>
      <w:bookmarkEnd w:id="555"/>
      <w:bookmarkEnd w:id="556"/>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557" w:name="_Toc207099165"/>
      <w:bookmarkStart w:id="558" w:name="_Toc207110685"/>
      <w:bookmarkStart w:id="559" w:name="_Toc207117968"/>
      <w:r>
        <w:rPr>
          <w:rStyle w:val="CharDivNo"/>
        </w:rPr>
        <w:t>Part 7.8</w:t>
      </w:r>
      <w:r>
        <w:t> — </w:t>
      </w:r>
      <w:r>
        <w:rPr>
          <w:rStyle w:val="CharDivText"/>
        </w:rPr>
        <w:t>Victoria — specific provisions</w:t>
      </w:r>
      <w:bookmarkEnd w:id="557"/>
      <w:bookmarkEnd w:id="558"/>
      <w:bookmarkEnd w:id="559"/>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560" w:name="_Toc207099166"/>
      <w:bookmarkStart w:id="561" w:name="_Toc207110686"/>
      <w:bookmarkStart w:id="562" w:name="_Toc207117969"/>
      <w:r>
        <w:rPr>
          <w:rStyle w:val="CharDivNo"/>
        </w:rPr>
        <w:t>Part 7.9</w:t>
      </w:r>
      <w:r>
        <w:t> — </w:t>
      </w:r>
      <w:r>
        <w:rPr>
          <w:rStyle w:val="CharDivText"/>
        </w:rPr>
        <w:t>Western Australia — specific provisions</w:t>
      </w:r>
      <w:bookmarkEnd w:id="560"/>
      <w:bookmarkEnd w:id="561"/>
      <w:bookmarkEnd w:id="562"/>
    </w:p>
    <w:p>
      <w:pPr>
        <w:pStyle w:val="Heading4"/>
        <w:spacing w:before="220"/>
      </w:pPr>
      <w:bookmarkStart w:id="563" w:name="_Toc207099167"/>
      <w:bookmarkStart w:id="564" w:name="_Toc207110687"/>
      <w:bookmarkStart w:id="565" w:name="_Toc207117970"/>
      <w:r>
        <w:t>Division 1 — Application of Part 7.9</w:t>
      </w:r>
      <w:bookmarkEnd w:id="563"/>
      <w:bookmarkEnd w:id="564"/>
      <w:bookmarkEnd w:id="565"/>
    </w:p>
    <w:p>
      <w:pPr>
        <w:pStyle w:val="Heading5"/>
        <w:spacing w:before="210"/>
      </w:pPr>
      <w:bookmarkStart w:id="566" w:name="_Toc207117971"/>
      <w:r>
        <w:rPr>
          <w:rStyle w:val="CharSectno"/>
        </w:rPr>
        <w:t>367</w:t>
      </w:r>
      <w:r>
        <w:t>.</w:t>
      </w:r>
      <w:r>
        <w:tab/>
        <w:t>Application of Part 7.9</w:t>
      </w:r>
      <w:bookmarkEnd w:id="566"/>
      <w:r>
        <w:t xml:space="preserve"> </w:t>
      </w:r>
    </w:p>
    <w:p>
      <w:pPr>
        <w:pStyle w:val="Subsection"/>
        <w:spacing w:before="140"/>
      </w:pPr>
      <w:r>
        <w:tab/>
      </w:r>
      <w:r>
        <w:tab/>
        <w:t>This Part applies to Western Australia.</w:t>
      </w:r>
    </w:p>
    <w:p>
      <w:pPr>
        <w:pStyle w:val="Heading5"/>
      </w:pPr>
      <w:bookmarkStart w:id="567" w:name="_Toc207117972"/>
      <w:r>
        <w:rPr>
          <w:rStyle w:val="CharSectno"/>
        </w:rPr>
        <w:t>368</w:t>
      </w:r>
      <w:r>
        <w:t>.</w:t>
      </w:r>
      <w:r>
        <w:tab/>
        <w:t>Definitions</w:t>
      </w:r>
      <w:bookmarkEnd w:id="567"/>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lastRenderedPageBreak/>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keepNex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568" w:name="_Toc207099170"/>
      <w:bookmarkStart w:id="569" w:name="_Toc207110690"/>
      <w:bookmarkStart w:id="570" w:name="_Toc207117973"/>
      <w:r>
        <w:t>Division 1A — Exceeding National Quality Standard</w:t>
      </w:r>
      <w:bookmarkEnd w:id="568"/>
      <w:bookmarkEnd w:id="569"/>
      <w:bookmarkEnd w:id="570"/>
    </w:p>
    <w:p>
      <w:pPr>
        <w:pStyle w:val="Footnoteheading"/>
        <w:keepNext/>
      </w:pPr>
      <w:r>
        <w:tab/>
        <w:t>[Heading inserted: Gazette 28 Nov 2014 p. 4411.]</w:t>
      </w:r>
    </w:p>
    <w:p>
      <w:pPr>
        <w:pStyle w:val="Heading5"/>
      </w:pPr>
      <w:bookmarkStart w:id="571" w:name="_Toc207117974"/>
      <w:r>
        <w:rPr>
          <w:rStyle w:val="CharSectno"/>
        </w:rPr>
        <w:t>368A</w:t>
      </w:r>
      <w:r>
        <w:t>.</w:t>
      </w:r>
      <w:r>
        <w:tab/>
        <w:t>Exceeding National Quality Standard: educational program and practice quality area</w:t>
      </w:r>
      <w:bookmarkEnd w:id="571"/>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lastRenderedPageBreak/>
        <w:tab/>
        <w:t>[Regulation 368A inserted: Gazette 6 Jun 2014 p. 1788; amended: Gazette 28 Nov 2014 p. 4411.]</w:t>
      </w:r>
    </w:p>
    <w:p>
      <w:pPr>
        <w:pStyle w:val="Heading4"/>
      </w:pPr>
      <w:bookmarkStart w:id="572" w:name="_Toc207099172"/>
      <w:bookmarkStart w:id="573" w:name="_Toc207110692"/>
      <w:bookmarkStart w:id="574" w:name="_Toc207117975"/>
      <w:r>
        <w:t>Division 2 — Minimum number of educators and qualifications required — children over preschool age</w:t>
      </w:r>
      <w:bookmarkEnd w:id="572"/>
      <w:bookmarkEnd w:id="573"/>
      <w:bookmarkEnd w:id="574"/>
    </w:p>
    <w:p>
      <w:pPr>
        <w:pStyle w:val="Heading5"/>
      </w:pPr>
      <w:bookmarkStart w:id="575" w:name="_Toc207117976"/>
      <w:r>
        <w:rPr>
          <w:rStyle w:val="CharSectno"/>
        </w:rPr>
        <w:t>369</w:t>
      </w:r>
      <w:r>
        <w:t>.</w:t>
      </w:r>
      <w:r>
        <w:tab/>
        <w:t>Educator to child ratios and qualification requirements for educators — children over preschool age</w:t>
      </w:r>
      <w:bookmarkEnd w:id="575"/>
    </w:p>
    <w:p>
      <w:pPr>
        <w:pStyle w:val="Subsection"/>
        <w:keepNext/>
      </w:pPr>
      <w:r>
        <w:tab/>
        <w:t>(1)</w:t>
      </w:r>
      <w:r>
        <w:tab/>
        <w:t xml:space="preserve">In this regulation — </w:t>
      </w:r>
    </w:p>
    <w:p>
      <w:pPr>
        <w:pStyle w:val="Defstart"/>
      </w:pPr>
      <w:r>
        <w:tab/>
      </w:r>
      <w:r>
        <w:rPr>
          <w:rStyle w:val="CharDefText"/>
        </w:rPr>
        <w:t>approved educator qualification</w:t>
      </w:r>
      <w:r>
        <w:t xml:space="preserve"> means a qualification for the education and care of children over preschool age that — </w:t>
      </w:r>
    </w:p>
    <w:p>
      <w:pPr>
        <w:pStyle w:val="Defpara"/>
      </w:pPr>
      <w:r>
        <w:tab/>
        <w:t>(a)</w:t>
      </w:r>
      <w:r>
        <w:tab/>
        <w:t>is approved as a qualification for an educator, other than a first educator, by the National Authority; and</w:t>
      </w:r>
    </w:p>
    <w:p>
      <w:pPr>
        <w:pStyle w:val="Defpara"/>
      </w:pPr>
      <w:r>
        <w:tab/>
        <w:t>(b)</w:t>
      </w:r>
      <w:r>
        <w:tab/>
        <w:t>is included in the list of approved qualifications for educators, other than first educators, published under regulation 137(2)(c) for Western Australia;</w:t>
      </w:r>
    </w:p>
    <w:p>
      <w:pPr>
        <w:pStyle w:val="Defstart"/>
      </w:pPr>
      <w:r>
        <w:tab/>
      </w:r>
      <w:r>
        <w:rPr>
          <w:rStyle w:val="CharDefText"/>
        </w:rPr>
        <w:t>approved first educator qualification</w:t>
      </w:r>
      <w:r>
        <w:t xml:space="preserve"> means a qualification for the education and care of children over preschool age that— </w:t>
      </w:r>
    </w:p>
    <w:p>
      <w:pPr>
        <w:pStyle w:val="Defpara"/>
      </w:pPr>
      <w:r>
        <w:tab/>
        <w:t>(a)</w:t>
      </w:r>
      <w:r>
        <w:tab/>
        <w:t>is approved as a qualification for a first educator by the National Authority; and</w:t>
      </w:r>
    </w:p>
    <w:p>
      <w:pPr>
        <w:pStyle w:val="Defpara"/>
      </w:pPr>
      <w:r>
        <w:tab/>
        <w:t>(b)</w:t>
      </w:r>
      <w:r>
        <w:tab/>
        <w:t>is included in the list of approved qualifications for first educators published under regulation 137(2)(c) for Western Australia;</w:t>
      </w:r>
    </w:p>
    <w:p>
      <w:pPr>
        <w:pStyle w:val="Defstart"/>
      </w:pPr>
      <w:r>
        <w:tab/>
      </w:r>
      <w:r>
        <w:rPr>
          <w:rStyle w:val="CharDefText"/>
        </w:rPr>
        <w:t>approved qualification</w:t>
      </w:r>
      <w:r>
        <w:t xml:space="preserve"> means a qualification for the education and care of children over preschool age that — </w:t>
      </w:r>
    </w:p>
    <w:p>
      <w:pPr>
        <w:pStyle w:val="Defpara"/>
      </w:pPr>
      <w:r>
        <w:tab/>
        <w:t>(a)</w:t>
      </w:r>
      <w:r>
        <w:tab/>
        <w:t>is approved as a qualification for an educator by the National Authority; and</w:t>
      </w:r>
    </w:p>
    <w:p>
      <w:pPr>
        <w:pStyle w:val="Defpara"/>
      </w:pPr>
      <w:r>
        <w:tab/>
        <w:t>(b)</w:t>
      </w:r>
      <w:r>
        <w:tab/>
        <w:t>is included in the list of approved qualifications for educators published under regulation 137(2)(c) for Western Australia;</w:t>
      </w:r>
    </w:p>
    <w:p>
      <w:pPr>
        <w:pStyle w:val="Defstart"/>
      </w:pPr>
      <w:r>
        <w:tab/>
      </w:r>
      <w:r>
        <w:rPr>
          <w:rStyle w:val="CharDefText"/>
        </w:rPr>
        <w:t>first qualified educator</w:t>
      </w:r>
      <w:r>
        <w:t xml:space="preserve"> means an educator who meets the following qualification requirements — </w:t>
      </w:r>
    </w:p>
    <w:p>
      <w:pPr>
        <w:pStyle w:val="Defpara"/>
      </w:pPr>
      <w:r>
        <w:tab/>
        <w:t>(a)</w:t>
      </w:r>
      <w:r>
        <w:tab/>
        <w:t>the educator holds an approved qualification; or</w:t>
      </w:r>
    </w:p>
    <w:p>
      <w:pPr>
        <w:pStyle w:val="Defpara"/>
        <w:keepNext/>
      </w:pPr>
      <w:r>
        <w:lastRenderedPageBreak/>
        <w:tab/>
        <w:t>(b)</w:t>
      </w:r>
      <w:r>
        <w:tab/>
        <w:t xml:space="preserve">the educator — </w:t>
      </w:r>
    </w:p>
    <w:p>
      <w:pPr>
        <w:pStyle w:val="Defsubpara"/>
      </w:pPr>
      <w:r>
        <w:tab/>
        <w:t>(i)</w:t>
      </w:r>
      <w:r>
        <w:tab/>
        <w:t>is enrolled in a course that is an approved first educator qualification; and</w:t>
      </w:r>
    </w:p>
    <w:p>
      <w:pPr>
        <w:pStyle w:val="Defsubpara"/>
      </w:pPr>
      <w:r>
        <w:tab/>
        <w:t>(ii)</w:t>
      </w:r>
      <w:r>
        <w:tab/>
        <w:t>has completed at least 50% of the course; and</w:t>
      </w:r>
    </w:p>
    <w:p>
      <w:pPr>
        <w:pStyle w:val="Defsubpara"/>
      </w:pPr>
      <w:r>
        <w:tab/>
        <w:t>(iii)</w:t>
      </w:r>
      <w:r>
        <w:tab/>
        <w:t>is making satisfactory progress towards completion of the course; and</w:t>
      </w:r>
    </w:p>
    <w:p>
      <w:pPr>
        <w:pStyle w:val="Defsubpara"/>
      </w:pPr>
      <w:r>
        <w:tab/>
        <w:t>(iv)</w:t>
      </w:r>
      <w:r>
        <w:tab/>
        <w:t>is meeting the requirements for maintaining the enrolment in the course;</w:t>
      </w:r>
    </w:p>
    <w:p>
      <w:pPr>
        <w:pStyle w:val="Defstart"/>
      </w:pPr>
      <w:r>
        <w:tab/>
      </w:r>
      <w:r>
        <w:rPr>
          <w:rStyle w:val="CharDefText"/>
        </w:rPr>
        <w:t>qualified educator</w:t>
      </w:r>
      <w:r>
        <w:t xml:space="preserve"> means an educator who meets the following qualification requirements — </w:t>
      </w:r>
    </w:p>
    <w:p>
      <w:pPr>
        <w:pStyle w:val="Defpara"/>
      </w:pPr>
      <w:r>
        <w:tab/>
        <w:t>(a)</w:t>
      </w:r>
      <w:r>
        <w:tab/>
        <w:t>holds an approved qualification or an approved educator qualification; or</w:t>
      </w:r>
    </w:p>
    <w:p>
      <w:pPr>
        <w:pStyle w:val="Defpara"/>
      </w:pPr>
      <w:r>
        <w:tab/>
        <w:t>(b)</w:t>
      </w:r>
      <w:r>
        <w:tab/>
        <w:t>is actively working towards an approved qualification or an approved educator qualification; or</w:t>
      </w:r>
    </w:p>
    <w:p>
      <w:pPr>
        <w:pStyle w:val="Defpara"/>
      </w:pPr>
      <w:r>
        <w:tab/>
        <w:t>(c)</w:t>
      </w:r>
      <w:r>
        <w:tab/>
        <w:t>is a first qualified educator.</w:t>
      </w:r>
    </w:p>
    <w:p>
      <w:pPr>
        <w:pStyle w:val="Subsection"/>
      </w:pPr>
      <w:r>
        <w:tab/>
        <w:t>(2)</w:t>
      </w:r>
      <w:r>
        <w:tab/>
        <w:t xml:space="preserve">This regulation sets out, for children over preschool age — </w:t>
      </w:r>
    </w:p>
    <w:p>
      <w:pPr>
        <w:pStyle w:val="Indenta"/>
      </w:pPr>
      <w:r>
        <w:tab/>
        <w:t>(a)</w:t>
      </w:r>
      <w:r>
        <w:tab/>
        <w:t>the educator to child ratios for the purposes of regulation 123(1)(d); and</w:t>
      </w:r>
    </w:p>
    <w:p>
      <w:pPr>
        <w:pStyle w:val="Indenta"/>
      </w:pPr>
      <w:r>
        <w:tab/>
        <w:t>(b)</w:t>
      </w:r>
      <w:r>
        <w:tab/>
        <w:t>the qualification requirements for educators for the purposes of regulation 126(2).</w:t>
      </w:r>
    </w:p>
    <w:p>
      <w:pPr>
        <w:pStyle w:val="Subsection"/>
      </w:pPr>
      <w:r>
        <w:tab/>
        <w:t>(3)</w:t>
      </w:r>
      <w:r>
        <w:tab/>
        <w:t>The educator to child ratios for children over preschool age are set out in the 3</w:t>
      </w:r>
      <w:r>
        <w:rPr>
          <w:vertAlign w:val="superscript"/>
        </w:rPr>
        <w:t>rd</w:t>
      </w:r>
      <w:r>
        <w:t xml:space="preserve"> column of the following Table.</w:t>
      </w:r>
    </w:p>
    <w:p>
      <w:pPr>
        <w:pStyle w:val="THeadingNAm"/>
      </w:pPr>
      <w:r>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bl>
    <w:p>
      <w:pPr>
        <w:pStyle w:val="Subsection"/>
      </w:pPr>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pPr>
        <w:pStyle w:val="Subsection"/>
        <w:keepNext/>
      </w:pPr>
      <w:r>
        <w:lastRenderedPageBreak/>
        <w:tab/>
        <w:t>(5)</w:t>
      </w:r>
      <w:r>
        <w:tab/>
        <w:t>One of the qualified educators at the service must be a first qualified educator.</w:t>
      </w:r>
    </w:p>
    <w:p>
      <w:pPr>
        <w:pStyle w:val="PermNoteHeading"/>
      </w:pPr>
      <w:r>
        <w:tab/>
        <w:t>Note for this regulation:</w:t>
      </w:r>
    </w:p>
    <w:p>
      <w:pPr>
        <w:pStyle w:val="PermNoteText"/>
      </w:pPr>
      <w:r>
        <w:tab/>
      </w:r>
      <w:r>
        <w:tab/>
        <w:t>This regulation differs from regulation 369 of the national regulations made by the Ministerial Council.</w:t>
      </w:r>
    </w:p>
    <w:p>
      <w:pPr>
        <w:pStyle w:val="Footnotesection"/>
      </w:pPr>
      <w:r>
        <w:tab/>
        <w:t>[Regulation 369 inserted: SL 2023/105 r. 4.]</w:t>
      </w:r>
    </w:p>
    <w:p>
      <w:pPr>
        <w:pStyle w:val="Ednotesection"/>
      </w:pPr>
      <w:r>
        <w:t>[</w:t>
      </w:r>
      <w:r>
        <w:rPr>
          <w:b/>
        </w:rPr>
        <w:t>370.</w:t>
      </w:r>
      <w:r>
        <w:tab/>
        <w:t>Deleted: SL 2023/105 r. 5.]</w:t>
      </w:r>
    </w:p>
    <w:p>
      <w:pPr>
        <w:pStyle w:val="Heading4"/>
      </w:pPr>
      <w:bookmarkStart w:id="576" w:name="_Toc207099174"/>
      <w:bookmarkStart w:id="577" w:name="_Toc207110694"/>
      <w:bookmarkStart w:id="578" w:name="_Toc207117977"/>
      <w:r>
        <w:t>Division 3 — Minimum number of educators and qualifications required — centre</w:t>
      </w:r>
      <w:r>
        <w:noBreakHyphen/>
        <w:t>based services — children preschool age or under</w:t>
      </w:r>
      <w:bookmarkEnd w:id="576"/>
      <w:bookmarkEnd w:id="577"/>
      <w:bookmarkEnd w:id="578"/>
    </w:p>
    <w:p>
      <w:pPr>
        <w:pStyle w:val="Ednotesection"/>
        <w:keepNext/>
      </w:pPr>
      <w:r>
        <w:t>[</w:t>
      </w:r>
      <w:r>
        <w:rPr>
          <w:b/>
        </w:rPr>
        <w:t>371.</w:t>
      </w:r>
      <w:r>
        <w:tab/>
        <w:t>Deleted: Gazette 28 Sep 2018 p. 3649.]</w:t>
      </w:r>
    </w:p>
    <w:p>
      <w:pPr>
        <w:pStyle w:val="Heading5"/>
      </w:pPr>
      <w:bookmarkStart w:id="579" w:name="_Toc207117978"/>
      <w:r>
        <w:rPr>
          <w:rStyle w:val="CharSectno"/>
        </w:rPr>
        <w:t>372</w:t>
      </w:r>
      <w:r>
        <w:t>.</w:t>
      </w:r>
      <w:r>
        <w:tab/>
        <w:t>Educator to child ratio — pre</w:t>
      </w:r>
      <w:r>
        <w:noBreakHyphen/>
        <w:t>kindergarten programme or kindergarten programme provided by a school</w:t>
      </w:r>
      <w:bookmarkEnd w:id="579"/>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keepNext/>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580" w:name="_Toc207117979"/>
      <w:r>
        <w:rPr>
          <w:rStyle w:val="CharSectno"/>
        </w:rPr>
        <w:t>373</w:t>
      </w:r>
      <w:r>
        <w:t>.</w:t>
      </w:r>
      <w:r>
        <w:tab/>
        <w:t>Early childhood teachers — pre</w:t>
      </w:r>
      <w:r>
        <w:noBreakHyphen/>
        <w:t>kindergarten programme or kindergarten programme provided by a school</w:t>
      </w:r>
      <w:bookmarkEnd w:id="580"/>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keepNext/>
      </w:pPr>
      <w:r>
        <w:lastRenderedPageBreak/>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581" w:name="_Toc207099177"/>
      <w:bookmarkStart w:id="582" w:name="_Toc207110697"/>
      <w:bookmarkStart w:id="583" w:name="_Toc207117980"/>
      <w:r>
        <w:t>Division 3A — Communication equipment at family day care residences and approved family day care venues</w:t>
      </w:r>
      <w:bookmarkEnd w:id="581"/>
      <w:bookmarkEnd w:id="582"/>
      <w:bookmarkEnd w:id="583"/>
    </w:p>
    <w:p>
      <w:pPr>
        <w:pStyle w:val="Footnoteheading"/>
        <w:keepNext/>
      </w:pPr>
      <w:r>
        <w:tab/>
        <w:t>[Heading inserted: SL 2022/139 r. 4.]</w:t>
      </w:r>
    </w:p>
    <w:p>
      <w:pPr>
        <w:pStyle w:val="PermNoteHeading"/>
      </w:pPr>
      <w:r>
        <w:tab/>
        <w:t>Note for this Division:</w:t>
      </w:r>
    </w:p>
    <w:p>
      <w:pPr>
        <w:pStyle w:val="PermNoteText"/>
        <w:keepNext/>
      </w:pPr>
      <w:r>
        <w:tab/>
      </w:r>
      <w:r>
        <w:tab/>
        <w:t>This Division heading differs from the heading to Chapter 7 Part 7.9 Division 3A of the national regulations made by the Ministerial Council.</w:t>
      </w:r>
    </w:p>
    <w:p>
      <w:pPr>
        <w:pStyle w:val="Footnotesection"/>
      </w:pPr>
      <w:r>
        <w:tab/>
        <w:t>[Note inserted: SL 2023/71 r. 20.]</w:t>
      </w:r>
    </w:p>
    <w:p>
      <w:pPr>
        <w:pStyle w:val="Heading5"/>
      </w:pPr>
      <w:bookmarkStart w:id="584" w:name="_Toc207117981"/>
      <w:r>
        <w:rPr>
          <w:rStyle w:val="CharSectno"/>
        </w:rPr>
        <w:t>373A</w:t>
      </w:r>
      <w:r>
        <w:t>.</w:t>
      </w:r>
      <w:r>
        <w:tab/>
        <w:t>Telephones or other communication equipment at family day care residences and approved family day care venues</w:t>
      </w:r>
      <w:bookmarkEnd w:id="584"/>
    </w:p>
    <w:p>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keepNext/>
      </w:pPr>
      <w:r>
        <w:lastRenderedPageBreak/>
        <w:tab/>
        <w:t>(b)</w:t>
      </w:r>
      <w:r>
        <w:tab/>
        <w:t>at least 1 of the telephones or other similar means of communication referred to in paragraph (a) is kept in a fixed location at the residence or venue.</w:t>
      </w:r>
    </w:p>
    <w:p>
      <w:pPr>
        <w:pStyle w:val="Penstart"/>
        <w:keepNext/>
      </w:pPr>
      <w:r>
        <w:tab/>
        <w:t>Penalty: a fine of $1100..</w:t>
      </w:r>
    </w:p>
    <w:p>
      <w:pPr>
        <w:pStyle w:val="PermNoteHeading"/>
      </w:pPr>
      <w:r>
        <w:tab/>
        <w:t>Notes for this regulation:</w:t>
      </w:r>
    </w:p>
    <w:p>
      <w:pPr>
        <w:pStyle w:val="PermNoteText"/>
      </w:pPr>
      <w:r>
        <w:tab/>
        <w:t>1.</w:t>
      </w:r>
      <w:r>
        <w:tab/>
        <w:t>This regulation differs from regulation 373A of the national regulations made by the Ministerial Council.</w:t>
      </w:r>
    </w:p>
    <w:p>
      <w:pPr>
        <w:pStyle w:val="PermNoteText"/>
      </w:pPr>
      <w:r>
        <w:tab/>
        <w:t>2.</w:t>
      </w:r>
      <w:r>
        <w:tab/>
        <w:t>See regulation 74(1)(b) which sets out requirements for documenting evidence about development of an educational program for children over preschool age.</w:t>
      </w:r>
    </w:p>
    <w:p>
      <w:pPr>
        <w:pStyle w:val="Footnotesection"/>
      </w:pPr>
      <w:r>
        <w:tab/>
        <w:t>[Regulation 373A inserted: SL 2022/139 r. 4; amended: SL 2023/71 r. 21; SL 2023/186 r. 42.]</w:t>
      </w:r>
    </w:p>
    <w:p>
      <w:pPr>
        <w:pStyle w:val="Heading4"/>
      </w:pPr>
      <w:bookmarkStart w:id="585" w:name="_Toc207099179"/>
      <w:bookmarkStart w:id="586" w:name="_Toc207110699"/>
      <w:bookmarkStart w:id="587" w:name="_Toc207117982"/>
      <w:r>
        <w:t>Division 3B — Swimming pools, outdoor spas and hazardous water features at family day care residences and approved family day care venues</w:t>
      </w:r>
      <w:bookmarkEnd w:id="585"/>
      <w:bookmarkEnd w:id="586"/>
      <w:bookmarkEnd w:id="587"/>
    </w:p>
    <w:p>
      <w:pPr>
        <w:pStyle w:val="Footnoteheading"/>
        <w:keepNext/>
      </w:pPr>
      <w:r>
        <w:tab/>
        <w:t>[Heading inserted: SL 2022/139 r. 4.]</w:t>
      </w:r>
    </w:p>
    <w:p>
      <w:pPr>
        <w:pStyle w:val="PermNoteHeading"/>
      </w:pPr>
      <w:r>
        <w:tab/>
        <w:t>Note for this Division:</w:t>
      </w:r>
    </w:p>
    <w:p>
      <w:pPr>
        <w:pStyle w:val="PermNoteText"/>
        <w:keepN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588" w:name="_Toc207117983"/>
      <w:r>
        <w:rPr>
          <w:rStyle w:val="CharSectno"/>
        </w:rPr>
        <w:t>373B</w:t>
      </w:r>
      <w:r>
        <w:t>.</w:t>
      </w:r>
      <w:r>
        <w:tab/>
        <w:t>Terms used</w:t>
      </w:r>
      <w:bookmarkEnd w:id="588"/>
    </w:p>
    <w:p>
      <w:pPr>
        <w:pStyle w:val="Subsection"/>
        <w:keepNext/>
      </w:pPr>
      <w:r>
        <w:tab/>
      </w:r>
      <w:r>
        <w:tab/>
        <w:t xml:space="preserve">In this Division — </w:t>
      </w:r>
    </w:p>
    <w:p>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keepNext/>
      </w:pPr>
      <w:r>
        <w:lastRenderedPageBreak/>
        <w:tab/>
      </w:r>
      <w:r>
        <w:rPr>
          <w:rStyle w:val="CharDefText"/>
        </w:rPr>
        <w:t>safety device</w:t>
      </w:r>
      <w:r>
        <w:t xml:space="preserve">, for a swimming pool or outdoor spa at a family day care residence or approved family day care venue, means a device designed to — </w:t>
      </w:r>
    </w:p>
    <w:p>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keepNext/>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keepNex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589" w:name="_Toc207117984"/>
      <w:r>
        <w:rPr>
          <w:rStyle w:val="CharSectno"/>
        </w:rPr>
        <w:t>373C</w:t>
      </w:r>
      <w:r>
        <w:t>.</w:t>
      </w:r>
      <w:r>
        <w:tab/>
        <w:t>Conditions on service approval: restrictions on engaging or registering educators operating at residence or venue with swimming pool or outdoor spa</w:t>
      </w:r>
      <w:bookmarkEnd w:id="589"/>
    </w:p>
    <w:p>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keepNext/>
      </w:pPr>
      <w:r>
        <w:lastRenderedPageBreak/>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keepNext/>
      </w:pPr>
      <w:r>
        <w:tab/>
        <w:t>(c)</w:t>
      </w:r>
      <w:r>
        <w:tab/>
        <w:t>the Regulatory Authority considers exceptional circumstances exist justifying the approval.</w:t>
      </w:r>
    </w:p>
    <w:p>
      <w:pPr>
        <w:pStyle w:val="PermNoteHeading"/>
      </w:pPr>
      <w:r>
        <w:tab/>
        <w:t>Note for this regulation:</w:t>
      </w:r>
    </w:p>
    <w:p>
      <w:pPr>
        <w:pStyle w:val="PermNoteText"/>
        <w:keepNext/>
      </w:pPr>
      <w:r>
        <w:tab/>
      </w:r>
      <w:r>
        <w:tab/>
        <w:t>See section 51(5) of the Law.</w:t>
      </w:r>
    </w:p>
    <w:p>
      <w:pPr>
        <w:pStyle w:val="Footnotesection"/>
      </w:pPr>
      <w:r>
        <w:tab/>
        <w:t>[Regulation 373C inserted: SL 2022/139 r. 4.]</w:t>
      </w:r>
    </w:p>
    <w:p>
      <w:pPr>
        <w:pStyle w:val="Heading5"/>
      </w:pPr>
      <w:bookmarkStart w:id="590" w:name="_Toc207117985"/>
      <w:r>
        <w:rPr>
          <w:rStyle w:val="CharSectno"/>
        </w:rPr>
        <w:lastRenderedPageBreak/>
        <w:t>373D</w:t>
      </w:r>
      <w:r>
        <w:t>.</w:t>
      </w:r>
      <w:r>
        <w:tab/>
        <w:t>Condition on service approval: register of residences and venues with swimming pool, outdoor spa or hazardous water feature</w:t>
      </w:r>
      <w:bookmarkEnd w:id="590"/>
    </w:p>
    <w:p>
      <w:pPr>
        <w:pStyle w:val="Subsection"/>
        <w:keepNext/>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keepNext/>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keepNext/>
      </w:pPr>
      <w:r>
        <w:tab/>
        <w:t>(e)</w:t>
      </w:r>
      <w:r>
        <w:tab/>
        <w:t>the date on which a water hazard safety inspection of the residence or venue was last conducted.</w:t>
      </w:r>
    </w:p>
    <w:p>
      <w:pPr>
        <w:pStyle w:val="PermNoteHeading"/>
      </w:pPr>
      <w:r>
        <w:tab/>
        <w:t>Note for this regulation:</w:t>
      </w:r>
    </w:p>
    <w:p>
      <w:pPr>
        <w:pStyle w:val="PermNoteText"/>
        <w:keepNext/>
      </w:pPr>
      <w:r>
        <w:tab/>
      </w:r>
      <w:r>
        <w:tab/>
        <w:t>See section 51(5) of the Law.</w:t>
      </w:r>
    </w:p>
    <w:p>
      <w:pPr>
        <w:pStyle w:val="Footnotesection"/>
      </w:pPr>
      <w:r>
        <w:tab/>
        <w:t>[Regulation 373D inserted: SL 2022/139 r. 4.]</w:t>
      </w:r>
    </w:p>
    <w:p>
      <w:pPr>
        <w:pStyle w:val="Heading5"/>
      </w:pPr>
      <w:bookmarkStart w:id="591" w:name="_Toc207117986"/>
      <w:r>
        <w:rPr>
          <w:rStyle w:val="CharSectno"/>
        </w:rPr>
        <w:lastRenderedPageBreak/>
        <w:t>373DA</w:t>
      </w:r>
      <w:r>
        <w:t>.</w:t>
      </w:r>
      <w:r>
        <w:tab/>
        <w:t>Condition on service approval: safety devices for swimming pools and outdoor spas</w:t>
      </w:r>
      <w:bookmarkEnd w:id="591"/>
    </w:p>
    <w:p>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keepLines/>
      </w:pPr>
      <w:r>
        <w:tab/>
        <w:t>Note for this regulation:</w:t>
      </w:r>
    </w:p>
    <w:p>
      <w:pPr>
        <w:pStyle w:val="PermNoteText"/>
        <w:keepNext/>
        <w:keepLines/>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592" w:name="_Toc207117987"/>
      <w:r>
        <w:rPr>
          <w:rStyle w:val="CharSectno"/>
        </w:rPr>
        <w:t>373E</w:t>
      </w:r>
      <w:r>
        <w:t>.</w:t>
      </w:r>
      <w:r>
        <w:tab/>
        <w:t>Condition on service approval: water hazard safety inspections</w:t>
      </w:r>
      <w:bookmarkEnd w:id="592"/>
    </w:p>
    <w:p>
      <w:pPr>
        <w:pStyle w:val="Subsection"/>
        <w:keepNext/>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keepNext/>
      </w:pPr>
      <w:r>
        <w:lastRenderedPageBreak/>
        <w:tab/>
        <w:t>(2)</w:t>
      </w:r>
      <w:r>
        <w:tab/>
        <w:t xml:space="preserve">The times for conducting a water hazard safety inspection of a family day care residence or approved family day care venue are — </w:t>
      </w:r>
    </w:p>
    <w:p>
      <w:pPr>
        <w:pStyle w:val="Indenta"/>
        <w:keepNext/>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keepNext/>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keepNext/>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keepNext/>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keepNext/>
      </w:pPr>
      <w:r>
        <w:lastRenderedPageBreak/>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keepNext/>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keepNext/>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keepNext/>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keepNext/>
      </w:pPr>
      <w:r>
        <w:lastRenderedPageBreak/>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keepNext/>
      </w:pPr>
      <w:r>
        <w:tab/>
        <w:t>(g)</w:t>
      </w:r>
      <w:r>
        <w:tab/>
        <w:t>any other information required by the form determined under subregulation (7)(a).</w:t>
      </w:r>
    </w:p>
    <w:p>
      <w:pPr>
        <w:pStyle w:val="PermNoteHeading"/>
      </w:pPr>
      <w:r>
        <w:tab/>
        <w:t>Note for this regulation:</w:t>
      </w:r>
    </w:p>
    <w:p>
      <w:pPr>
        <w:pStyle w:val="PermNoteText"/>
        <w:keepNext/>
      </w:pPr>
      <w:r>
        <w:tab/>
      </w:r>
      <w:r>
        <w:tab/>
        <w:t>See section 51(5) of the Law.</w:t>
      </w:r>
    </w:p>
    <w:p>
      <w:pPr>
        <w:pStyle w:val="Footnotesection"/>
      </w:pPr>
      <w:r>
        <w:tab/>
        <w:t>[Regulation 373E inserted: SL 2022/139 r. 4.]</w:t>
      </w:r>
    </w:p>
    <w:p>
      <w:pPr>
        <w:pStyle w:val="Heading5"/>
      </w:pPr>
      <w:bookmarkStart w:id="593" w:name="_Toc207117988"/>
      <w:r>
        <w:rPr>
          <w:rStyle w:val="CharSectno"/>
        </w:rPr>
        <w:t>373F</w:t>
      </w:r>
      <w:r>
        <w:t>.</w:t>
      </w:r>
      <w:r>
        <w:tab/>
        <w:t>Offences relating to water hazard safety inspection reports: approved provider</w:t>
      </w:r>
      <w:bookmarkEnd w:id="593"/>
    </w:p>
    <w:p>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keepNext/>
      </w:pPr>
      <w:r>
        <w:tab/>
        <w:t>(2)</w:t>
      </w:r>
      <w:r>
        <w:tab/>
        <w:t xml:space="preserve">The approved provider of a family day care service must, within 24 hours of being given a water hazard safety inspection report that identifies a safety issue in relation to a swimming pool, outdoor spa or hazardous water feature at a family day care </w:t>
      </w:r>
      <w:r>
        <w:lastRenderedPageBreak/>
        <w:t>residence or approved family day care venue of the service, give written notice of the safety issue to the Regulatory Authority.</w:t>
      </w:r>
    </w:p>
    <w:p>
      <w:pPr>
        <w:pStyle w:val="Penstart"/>
      </w:pPr>
      <w:r>
        <w:tab/>
        <w:t>Penalty for this subregulation: a fine of $2 000.</w:t>
      </w:r>
    </w:p>
    <w:p>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keepNext/>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keepNext/>
      </w:pPr>
      <w:r>
        <w:tab/>
        <w:t>Penalty for this subregulation: a fine of $2 000.</w:t>
      </w:r>
    </w:p>
    <w:p>
      <w:pPr>
        <w:pStyle w:val="Footnotesection"/>
      </w:pPr>
      <w:r>
        <w:tab/>
        <w:t>[Regulation 373F inserted: SL 2022/139 r. 4.]</w:t>
      </w:r>
    </w:p>
    <w:p>
      <w:pPr>
        <w:pStyle w:val="Heading5"/>
      </w:pPr>
      <w:bookmarkStart w:id="594" w:name="_Toc207117989"/>
      <w:r>
        <w:rPr>
          <w:rStyle w:val="CharSectno"/>
        </w:rPr>
        <w:lastRenderedPageBreak/>
        <w:t>373G</w:t>
      </w:r>
      <w:r>
        <w:t>.</w:t>
      </w:r>
      <w:r>
        <w:tab/>
        <w:t>Offences relating to water hazard safety inspection reports: family day care educator</w:t>
      </w:r>
      <w:bookmarkEnd w:id="594"/>
    </w:p>
    <w:p>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keepNext/>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keepNext/>
      </w:pPr>
      <w:r>
        <w:tab/>
        <w:t>Penalty for this subregulation: a fine of $2 000.</w:t>
      </w:r>
    </w:p>
    <w:p>
      <w:pPr>
        <w:pStyle w:val="Footnotesection"/>
      </w:pPr>
      <w:r>
        <w:tab/>
        <w:t>[Regulation 373G inserted: SL 2022/139 r. 4.]</w:t>
      </w:r>
    </w:p>
    <w:p>
      <w:pPr>
        <w:pStyle w:val="Heading4"/>
      </w:pPr>
      <w:bookmarkStart w:id="595" w:name="_Toc207099187"/>
      <w:bookmarkStart w:id="596" w:name="_Toc207110707"/>
      <w:bookmarkStart w:id="597" w:name="_Toc207117990"/>
      <w:r>
        <w:t>Division 4 — Transitional provisions — staffing arrangements</w:t>
      </w:r>
      <w:bookmarkEnd w:id="595"/>
      <w:bookmarkEnd w:id="596"/>
      <w:bookmarkEnd w:id="597"/>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598" w:name="_Toc207117991"/>
      <w:r>
        <w:rPr>
          <w:rStyle w:val="CharSectno"/>
        </w:rPr>
        <w:t>379</w:t>
      </w:r>
      <w:r>
        <w:t>.</w:t>
      </w:r>
      <w:r>
        <w:tab/>
        <w:t>Educators required to be early childhood teachers</w:t>
      </w:r>
      <w:bookmarkEnd w:id="598"/>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keepNext/>
      </w:pPr>
      <w:r>
        <w:lastRenderedPageBreak/>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keepN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599" w:name="_Toc207099189"/>
      <w:bookmarkStart w:id="600" w:name="_Toc207110709"/>
      <w:bookmarkStart w:id="601" w:name="_Toc207117992"/>
      <w:r>
        <w:t>Division 5 — Saving provision — physical environment</w:t>
      </w:r>
      <w:bookmarkEnd w:id="599"/>
      <w:bookmarkEnd w:id="600"/>
      <w:bookmarkEnd w:id="601"/>
    </w:p>
    <w:p>
      <w:pPr>
        <w:pStyle w:val="Heading5"/>
      </w:pPr>
      <w:bookmarkStart w:id="602" w:name="_Toc207117993"/>
      <w:r>
        <w:rPr>
          <w:rStyle w:val="CharSectno"/>
        </w:rPr>
        <w:t>383</w:t>
      </w:r>
      <w:r>
        <w:t>.</w:t>
      </w:r>
      <w:r>
        <w:tab/>
        <w:t>Saving provision — education and care services provided by a school</w:t>
      </w:r>
      <w:bookmarkEnd w:id="602"/>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keepNext/>
      </w:pPr>
      <w:r>
        <w:tab/>
        <w:t>(4)</w:t>
      </w:r>
      <w:r>
        <w:tab/>
        <w:t xml:space="preserve">This regulation ceases to apply if — </w:t>
      </w:r>
    </w:p>
    <w:p>
      <w:pPr>
        <w:pStyle w:val="Indenta"/>
      </w:pPr>
      <w:r>
        <w:tab/>
        <w:t>(a)</w:t>
      </w:r>
      <w:r>
        <w:tab/>
        <w:t>the service approval is transferred to an approved provider that is not a school; or</w:t>
      </w:r>
    </w:p>
    <w:p>
      <w:pPr>
        <w:pStyle w:val="Indenta"/>
        <w:keepNext/>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603" w:name="_Toc207099191"/>
      <w:bookmarkStart w:id="604" w:name="_Toc207110711"/>
      <w:bookmarkStart w:id="605" w:name="_Toc207117994"/>
      <w:r>
        <w:lastRenderedPageBreak/>
        <w:t>Division 6 — Other transitional matters</w:t>
      </w:r>
      <w:bookmarkEnd w:id="603"/>
      <w:bookmarkEnd w:id="604"/>
      <w:bookmarkEnd w:id="605"/>
    </w:p>
    <w:p>
      <w:pPr>
        <w:pStyle w:val="Heading5"/>
      </w:pPr>
      <w:bookmarkStart w:id="606" w:name="_Toc207117995"/>
      <w:r>
        <w:rPr>
          <w:rStyle w:val="CharSectno"/>
        </w:rPr>
        <w:t>384</w:t>
      </w:r>
      <w:r>
        <w:t>.</w:t>
      </w:r>
      <w:r>
        <w:tab/>
        <w:t>Monetary orders under former education and care services law</w:t>
      </w:r>
      <w:bookmarkEnd w:id="606"/>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keepNext/>
      </w:pPr>
      <w:r>
        <w:tab/>
        <w:t>(2)</w:t>
      </w:r>
      <w:r>
        <w:tab/>
        <w:t xml:space="preserve">In subregulation (1) — </w:t>
      </w:r>
    </w:p>
    <w:p>
      <w:pPr>
        <w:pStyle w:val="Defstart"/>
        <w:keepNex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607" w:name="_Toc207117996"/>
      <w:r>
        <w:rPr>
          <w:rStyle w:val="CharSectno"/>
        </w:rPr>
        <w:t>385</w:t>
      </w:r>
      <w:r>
        <w:t>.</w:t>
      </w:r>
      <w:r>
        <w:tab/>
        <w:t>Proceedings under former education and care services law</w:t>
      </w:r>
      <w:bookmarkEnd w:id="607"/>
      <w:r>
        <w:t xml:space="preserve"> </w:t>
      </w:r>
    </w:p>
    <w:p>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keepN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608" w:name="_Toc207099194"/>
      <w:bookmarkStart w:id="609" w:name="_Toc207110714"/>
      <w:bookmarkStart w:id="610" w:name="_Toc207117997"/>
      <w:r>
        <w:rPr>
          <w:rStyle w:val="CharDivNo"/>
        </w:rPr>
        <w:lastRenderedPageBreak/>
        <w:t>Part 7.10</w:t>
      </w:r>
      <w:r>
        <w:t> — </w:t>
      </w:r>
      <w:r>
        <w:rPr>
          <w:rStyle w:val="CharDivText"/>
        </w:rPr>
        <w:t>Transitional and savings provisions — </w:t>
      </w:r>
      <w:r>
        <w:rPr>
          <w:rStyle w:val="CharDivText"/>
          <w:i/>
        </w:rPr>
        <w:t>Education and Care Services National Amendment Regulations (No. 3) 2018</w:t>
      </w:r>
      <w:bookmarkEnd w:id="608"/>
      <w:bookmarkEnd w:id="609"/>
      <w:bookmarkEnd w:id="610"/>
    </w:p>
    <w:p>
      <w:pPr>
        <w:pStyle w:val="Footnoteheading"/>
        <w:keepNext/>
      </w:pPr>
      <w:r>
        <w:tab/>
        <w:t>[Heading inserted: Gazette 28 Sep 2018 p. 3650.]</w:t>
      </w:r>
    </w:p>
    <w:p>
      <w:pPr>
        <w:pStyle w:val="Ednotedivision"/>
      </w:pPr>
      <w:r>
        <w:t>[Division 1 deleted: Gazette 24 Dec 2019 p. 4427.]</w:t>
      </w:r>
    </w:p>
    <w:p>
      <w:pPr>
        <w:pStyle w:val="Heading4"/>
      </w:pPr>
      <w:bookmarkStart w:id="611" w:name="_Toc207099195"/>
      <w:bookmarkStart w:id="612" w:name="_Toc207110715"/>
      <w:bookmarkStart w:id="613" w:name="_Toc207117998"/>
      <w:r>
        <w:t>Division 2 — Australian Capital Territory</w:t>
      </w:r>
      <w:bookmarkEnd w:id="611"/>
      <w:bookmarkEnd w:id="612"/>
      <w:bookmarkEnd w:id="613"/>
    </w:p>
    <w:p>
      <w:pPr>
        <w:pStyle w:val="Footnoteheading"/>
        <w:keepNext/>
      </w:pPr>
      <w:r>
        <w:tab/>
        <w:t>[Heading inserted: Gazette 28 Sep 2018 p. 3650.]</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22.]</w:t>
      </w:r>
    </w:p>
    <w:p>
      <w:pPr>
        <w:pStyle w:val="Heading4"/>
      </w:pPr>
      <w:bookmarkStart w:id="614" w:name="_Toc207099196"/>
      <w:bookmarkStart w:id="615" w:name="_Toc207110716"/>
      <w:bookmarkStart w:id="616" w:name="_Toc207117999"/>
      <w:r>
        <w:t>Division 3 — New South Wales</w:t>
      </w:r>
      <w:bookmarkEnd w:id="614"/>
      <w:bookmarkEnd w:id="615"/>
      <w:bookmarkEnd w:id="616"/>
    </w:p>
    <w:p>
      <w:pPr>
        <w:pStyle w:val="Footnoteheading"/>
        <w:keepNext/>
      </w:pPr>
      <w:r>
        <w:tab/>
        <w:t>[Heading inserted: Gazette 28 Sep 2018 p. 3651.]</w:t>
      </w:r>
    </w:p>
    <w:p>
      <w:pPr>
        <w:pStyle w:val="PermNoteHeading"/>
      </w:pPr>
      <w:r>
        <w:tab/>
        <w:t>Note for this Division:</w:t>
      </w:r>
    </w:p>
    <w:p>
      <w:pPr>
        <w:pStyle w:val="PermNoteText"/>
        <w:keepN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617" w:name="_Toc207099197"/>
      <w:bookmarkStart w:id="618" w:name="_Toc207110717"/>
      <w:bookmarkStart w:id="619" w:name="_Toc207118000"/>
      <w:r>
        <w:t>Division 4 — Queensland</w:t>
      </w:r>
      <w:bookmarkEnd w:id="617"/>
      <w:bookmarkEnd w:id="618"/>
      <w:bookmarkEnd w:id="619"/>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pPr>
        <w:pStyle w:val="Footnotesection"/>
      </w:pPr>
      <w:r>
        <w:tab/>
        <w:t>[Note inserted: SL 2023/71 r. 23.]</w:t>
      </w:r>
    </w:p>
    <w:p>
      <w:pPr>
        <w:pStyle w:val="Heading4"/>
      </w:pPr>
      <w:bookmarkStart w:id="620" w:name="_Toc207099198"/>
      <w:bookmarkStart w:id="621" w:name="_Toc207110718"/>
      <w:bookmarkStart w:id="622" w:name="_Toc207118001"/>
      <w:r>
        <w:lastRenderedPageBreak/>
        <w:t>Division 5 — Tasmania</w:t>
      </w:r>
      <w:bookmarkEnd w:id="620"/>
      <w:bookmarkEnd w:id="621"/>
      <w:bookmarkEnd w:id="622"/>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pPr>
        <w:pStyle w:val="Footnotesection"/>
      </w:pPr>
      <w:r>
        <w:tab/>
        <w:t>[Note inserted: SL 2023/71 r. 24.]</w:t>
      </w:r>
    </w:p>
    <w:p>
      <w:pPr>
        <w:pStyle w:val="Heading4"/>
      </w:pPr>
      <w:bookmarkStart w:id="623" w:name="_Toc207099199"/>
      <w:bookmarkStart w:id="624" w:name="_Toc207110719"/>
      <w:bookmarkStart w:id="625" w:name="_Toc207118002"/>
      <w:r>
        <w:t>Division 6 — Western Australia</w:t>
      </w:r>
      <w:bookmarkEnd w:id="623"/>
      <w:bookmarkEnd w:id="624"/>
      <w:bookmarkEnd w:id="625"/>
    </w:p>
    <w:p>
      <w:pPr>
        <w:pStyle w:val="Footnoteheading"/>
        <w:keepNext/>
      </w:pPr>
      <w:r>
        <w:tab/>
        <w:t>[Heading inserted: Gazette 28 Sep 2018 p. 3651.]</w:t>
      </w:r>
    </w:p>
    <w:p>
      <w:pPr>
        <w:pStyle w:val="Ednotesection"/>
      </w:pPr>
      <w:r>
        <w:t>[</w:t>
      </w:r>
      <w:r>
        <w:rPr>
          <w:b/>
          <w:bCs/>
        </w:rPr>
        <w:t>393, 394.</w:t>
      </w:r>
      <w:r>
        <w:tab/>
        <w:t>Deleted: SL 2023/71 r. 25.]</w:t>
      </w:r>
    </w:p>
    <w:p>
      <w:pPr>
        <w:pStyle w:val="Heading3"/>
      </w:pPr>
      <w:bookmarkStart w:id="626" w:name="_Toc207099200"/>
      <w:bookmarkStart w:id="627" w:name="_Toc207110720"/>
      <w:bookmarkStart w:id="628" w:name="_Toc207118003"/>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626"/>
      <w:bookmarkEnd w:id="627"/>
      <w:bookmarkEnd w:id="628"/>
    </w:p>
    <w:p>
      <w:pPr>
        <w:pStyle w:val="Footnoteheading"/>
        <w:keepNext/>
      </w:pPr>
      <w:r>
        <w:tab/>
        <w:t>[Heading inserted: Gazette 23 Jan 2018 p. 248.]</w:t>
      </w:r>
    </w:p>
    <w:p>
      <w:pPr>
        <w:pStyle w:val="Heading5"/>
      </w:pPr>
      <w:bookmarkStart w:id="629" w:name="_Toc207118004"/>
      <w:r>
        <w:rPr>
          <w:rStyle w:val="CharSectno"/>
        </w:rPr>
        <w:t>395</w:t>
      </w:r>
      <w:r>
        <w:t>.</w:t>
      </w:r>
      <w:r>
        <w:tab/>
        <w:t>Definition</w:t>
      </w:r>
      <w:bookmarkEnd w:id="629"/>
    </w:p>
    <w:p>
      <w:pPr>
        <w:pStyle w:val="Subsection"/>
        <w:keepNext/>
      </w:pPr>
      <w:r>
        <w:tab/>
        <w:t>(1)</w:t>
      </w:r>
      <w:r>
        <w:tab/>
        <w:t xml:space="preserve">In this Part — </w:t>
      </w:r>
    </w:p>
    <w:p>
      <w:pPr>
        <w:pStyle w:val="Defstart"/>
      </w:pPr>
      <w:r>
        <w:tab/>
      </w:r>
      <w:r>
        <w:rPr>
          <w:rStyle w:val="CharDefText"/>
        </w:rPr>
        <w:t>commencement day</w:t>
      </w:r>
      <w:r>
        <w:t xml:space="preserve"> means 1 February 2018.</w:t>
      </w:r>
    </w:p>
    <w:p>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630" w:name="_Toc207118005"/>
      <w:r>
        <w:rPr>
          <w:rStyle w:val="CharSectno"/>
        </w:rPr>
        <w:t>396</w:t>
      </w:r>
      <w:r>
        <w:t>.</w:t>
      </w:r>
      <w:r>
        <w:tab/>
        <w:t>Quality improvement plan held prior to commencement day</w:t>
      </w:r>
      <w:bookmarkEnd w:id="630"/>
    </w:p>
    <w:p>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w:t>
      </w:r>
      <w:r>
        <w:lastRenderedPageBreak/>
        <w:t xml:space="preserve">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keepNext/>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631" w:name="_Toc207118006"/>
      <w:r>
        <w:rPr>
          <w:rStyle w:val="CharSectno"/>
        </w:rPr>
        <w:t>397</w:t>
      </w:r>
      <w:r>
        <w:t>.</w:t>
      </w:r>
      <w:r>
        <w:tab/>
        <w:t>Assessments commenced prior to commencement day</w:t>
      </w:r>
      <w:bookmarkEnd w:id="631"/>
    </w:p>
    <w:p>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632" w:name="_Toc207118007"/>
      <w:r>
        <w:rPr>
          <w:rStyle w:val="CharSectno"/>
        </w:rPr>
        <w:t>398</w:t>
      </w:r>
      <w:r>
        <w:t>.</w:t>
      </w:r>
      <w:r>
        <w:tab/>
        <w:t>Reassessment or partial reassessment commenced prior to commencement day</w:t>
      </w:r>
      <w:bookmarkEnd w:id="632"/>
    </w:p>
    <w:p>
      <w:pPr>
        <w:pStyle w:val="Subsection"/>
        <w:keepNext/>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keepNext/>
      </w:pPr>
      <w:r>
        <w:lastRenderedPageBreak/>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633" w:name="_Toc207118008"/>
      <w:r>
        <w:rPr>
          <w:rStyle w:val="CharSectno"/>
        </w:rPr>
        <w:t>399</w:t>
      </w:r>
      <w:r>
        <w:t>.</w:t>
      </w:r>
      <w:r>
        <w:tab/>
        <w:t>Partial reassessment between the commencement day and the relevant day</w:t>
      </w:r>
      <w:bookmarkEnd w:id="633"/>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keepNext/>
      </w:pPr>
      <w:r>
        <w:tab/>
        <w:t>(3)</w:t>
      </w:r>
      <w:r>
        <w:tab/>
        <w:t xml:space="preserve">In this regulation — </w:t>
      </w:r>
    </w:p>
    <w:p>
      <w:pPr>
        <w:pStyle w:val="Defstart"/>
        <w:keepNex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634" w:name="_Toc207118009"/>
      <w:r>
        <w:rPr>
          <w:rStyle w:val="CharSectno"/>
        </w:rPr>
        <w:lastRenderedPageBreak/>
        <w:t>400</w:t>
      </w:r>
      <w:r>
        <w:t>.</w:t>
      </w:r>
      <w:r>
        <w:tab/>
        <w:t>Suspension of initial assessment or reassessment commenced prior to commencement day</w:t>
      </w:r>
      <w:bookmarkEnd w:id="634"/>
    </w:p>
    <w:p>
      <w:pPr>
        <w:pStyle w:val="Subsection"/>
        <w:keepNext/>
      </w:pPr>
      <w:r>
        <w:tab/>
        <w:t>(1)</w:t>
      </w:r>
      <w:r>
        <w:tab/>
        <w:t xml:space="preserve">This regulation applies to an approved education and care service if — </w:t>
      </w:r>
    </w:p>
    <w:p>
      <w:pPr>
        <w:pStyle w:val="Indenta"/>
        <w:keepNext/>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keepNext/>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635" w:name="_Toc207118010"/>
      <w:r>
        <w:rPr>
          <w:rStyle w:val="CharSectno"/>
        </w:rPr>
        <w:t>401</w:t>
      </w:r>
      <w:r>
        <w:t>.</w:t>
      </w:r>
      <w:r>
        <w:tab/>
        <w:t>Suspension of partial reassessment commenced prior to commencement day</w:t>
      </w:r>
      <w:bookmarkEnd w:id="635"/>
    </w:p>
    <w:p>
      <w:pPr>
        <w:pStyle w:val="Subsection"/>
        <w:keepNext/>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lastRenderedPageBreak/>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636" w:name="_Toc207118011"/>
      <w:r>
        <w:rPr>
          <w:rStyle w:val="CharSectno"/>
        </w:rPr>
        <w:t>402</w:t>
      </w:r>
      <w:r>
        <w:t>.</w:t>
      </w:r>
      <w:r>
        <w:tab/>
        <w:t>Prescribed provisional rating level held prior to commencement day</w:t>
      </w:r>
      <w:bookmarkEnd w:id="636"/>
    </w:p>
    <w:p>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637" w:name="_Toc207118012"/>
      <w:r>
        <w:rPr>
          <w:rStyle w:val="CharSectno"/>
        </w:rPr>
        <w:t>403</w:t>
      </w:r>
      <w:r>
        <w:t>.</w:t>
      </w:r>
      <w:r>
        <w:tab/>
        <w:t>Prescribed rating level held prior to commencement day</w:t>
      </w:r>
      <w:bookmarkEnd w:id="637"/>
    </w:p>
    <w:p>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keepNext/>
      </w:pPr>
      <w:r>
        <w:lastRenderedPageBreak/>
        <w:tab/>
        <w:t>(c)</w:t>
      </w:r>
      <w:r>
        <w:tab/>
        <w:t>is awarded the highest rating level under section 155 of the Law.</w:t>
      </w:r>
    </w:p>
    <w:p>
      <w:pPr>
        <w:pStyle w:val="Footnotesection"/>
      </w:pPr>
      <w:r>
        <w:tab/>
        <w:t>[Regulation 403 inserted: Gazette 23 Jan 2018 p. 251.]</w:t>
      </w:r>
    </w:p>
    <w:p>
      <w:pPr>
        <w:pStyle w:val="Heading3"/>
      </w:pPr>
      <w:bookmarkStart w:id="638" w:name="_Toc207099210"/>
      <w:bookmarkStart w:id="639" w:name="_Toc207110730"/>
      <w:bookmarkStart w:id="640" w:name="_Toc207118013"/>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638"/>
      <w:bookmarkEnd w:id="639"/>
      <w:bookmarkEnd w:id="640"/>
    </w:p>
    <w:p>
      <w:pPr>
        <w:pStyle w:val="Footnoteheading"/>
        <w:keepNext/>
      </w:pPr>
      <w:r>
        <w:tab/>
        <w:t>[Heading inserted: Gazette 24 Dec 2019 p. 4428.]</w:t>
      </w:r>
    </w:p>
    <w:p>
      <w:pPr>
        <w:pStyle w:val="Heading4"/>
      </w:pPr>
      <w:bookmarkStart w:id="641" w:name="_Toc207099211"/>
      <w:bookmarkStart w:id="642" w:name="_Toc207110731"/>
      <w:bookmarkStart w:id="643" w:name="_Toc207118014"/>
      <w:r>
        <w:t>Division 1 — Australian Capital Territory</w:t>
      </w:r>
      <w:bookmarkEnd w:id="641"/>
      <w:bookmarkEnd w:id="642"/>
      <w:bookmarkEnd w:id="643"/>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pPr>
        <w:pStyle w:val="Footnotesection"/>
      </w:pPr>
      <w:r>
        <w:tab/>
        <w:t>[Note inserted: SL 2023/71 r. 26.]</w:t>
      </w:r>
    </w:p>
    <w:p>
      <w:pPr>
        <w:pStyle w:val="Heading4"/>
      </w:pPr>
      <w:bookmarkStart w:id="644" w:name="_Toc207099212"/>
      <w:bookmarkStart w:id="645" w:name="_Toc207110732"/>
      <w:bookmarkStart w:id="646" w:name="_Toc207118015"/>
      <w:r>
        <w:t>Division 2 — Queensland</w:t>
      </w:r>
      <w:bookmarkEnd w:id="644"/>
      <w:bookmarkEnd w:id="645"/>
      <w:bookmarkEnd w:id="646"/>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27.]</w:t>
      </w:r>
    </w:p>
    <w:p>
      <w:pPr>
        <w:pStyle w:val="Heading4"/>
      </w:pPr>
      <w:bookmarkStart w:id="647" w:name="_Toc207099213"/>
      <w:bookmarkStart w:id="648" w:name="_Toc207110733"/>
      <w:bookmarkStart w:id="649" w:name="_Toc207118016"/>
      <w:r>
        <w:t>Division 3 — Tasmania</w:t>
      </w:r>
      <w:bookmarkEnd w:id="647"/>
      <w:bookmarkEnd w:id="648"/>
      <w:bookmarkEnd w:id="649"/>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w:t>
      </w:r>
      <w:r>
        <w:lastRenderedPageBreak/>
        <w:t xml:space="preserve">the </w:t>
      </w:r>
      <w:r>
        <w:rPr>
          <w:i/>
        </w:rPr>
        <w:t>Education and Care Services National Amendment Regulations 2023</w:t>
      </w:r>
      <w:r>
        <w:t>.</w:t>
      </w:r>
    </w:p>
    <w:p>
      <w:pPr>
        <w:pStyle w:val="Footnotesection"/>
      </w:pPr>
      <w:r>
        <w:tab/>
        <w:t>[Note inserted: SL 2023/71 r. 28.]</w:t>
      </w:r>
    </w:p>
    <w:p>
      <w:pPr>
        <w:pStyle w:val="Heading4"/>
      </w:pPr>
      <w:bookmarkStart w:id="650" w:name="_Toc207099214"/>
      <w:bookmarkStart w:id="651" w:name="_Toc207110734"/>
      <w:bookmarkStart w:id="652" w:name="_Toc207118017"/>
      <w:r>
        <w:t>Division 4 — Western Australia</w:t>
      </w:r>
      <w:bookmarkEnd w:id="650"/>
      <w:bookmarkEnd w:id="651"/>
      <w:bookmarkEnd w:id="652"/>
    </w:p>
    <w:p>
      <w:pPr>
        <w:pStyle w:val="Footnoteheading"/>
        <w:keepNext/>
      </w:pPr>
      <w:r>
        <w:tab/>
        <w:t>[Heading inserted: Gazette 24 Dec 2019 p. 4428.]</w:t>
      </w:r>
    </w:p>
    <w:p>
      <w:pPr>
        <w:pStyle w:val="Ednotesection"/>
      </w:pPr>
      <w:r>
        <w:t>[</w:t>
      </w:r>
      <w:r>
        <w:rPr>
          <w:b/>
          <w:bCs/>
        </w:rPr>
        <w:t>410, 411.</w:t>
      </w:r>
      <w:r>
        <w:tab/>
        <w:t>Deleted: SL 2023/71 r. 29.]</w:t>
      </w:r>
    </w:p>
    <w:p>
      <w:pPr>
        <w:pStyle w:val="Heading3"/>
      </w:pPr>
      <w:bookmarkStart w:id="653" w:name="_Toc207099215"/>
      <w:bookmarkStart w:id="654" w:name="_Toc207110735"/>
      <w:bookmarkStart w:id="655" w:name="_Toc207118018"/>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653"/>
      <w:bookmarkEnd w:id="654"/>
      <w:bookmarkEnd w:id="655"/>
    </w:p>
    <w:p>
      <w:pPr>
        <w:pStyle w:val="Footnoteheading"/>
        <w:keepNext/>
      </w:pPr>
      <w:r>
        <w:tab/>
        <w:t>[Heading inserted: SL 2021/140 r. 11.]</w:t>
      </w:r>
    </w:p>
    <w:p>
      <w:pPr>
        <w:pStyle w:val="Heading4"/>
      </w:pPr>
      <w:bookmarkStart w:id="656" w:name="_Toc207099216"/>
      <w:bookmarkStart w:id="657" w:name="_Toc207110736"/>
      <w:bookmarkStart w:id="658" w:name="_Toc207118019"/>
      <w:r>
        <w:t>Division 1 — General transitional and savings provision</w:t>
      </w:r>
      <w:bookmarkEnd w:id="656"/>
      <w:bookmarkEnd w:id="657"/>
      <w:bookmarkEnd w:id="658"/>
    </w:p>
    <w:p>
      <w:pPr>
        <w:pStyle w:val="Footnoteheading"/>
        <w:keepNext/>
      </w:pPr>
      <w:r>
        <w:tab/>
        <w:t>[Heading inserted: SL 2021/140 r. 11.]</w:t>
      </w:r>
    </w:p>
    <w:p>
      <w:pPr>
        <w:pStyle w:val="Heading5"/>
      </w:pPr>
      <w:bookmarkStart w:id="659" w:name="_Toc207118020"/>
      <w:r>
        <w:rPr>
          <w:rStyle w:val="CharSectno"/>
        </w:rPr>
        <w:t>412</w:t>
      </w:r>
      <w:r>
        <w:t>.</w:t>
      </w:r>
      <w:r>
        <w:tab/>
        <w:t>Requirement to display information in relation to the rating of an education and care service</w:t>
      </w:r>
      <w:bookmarkEnd w:id="659"/>
    </w:p>
    <w:p>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660" w:name="_Toc207099218"/>
      <w:bookmarkStart w:id="661" w:name="_Toc207110738"/>
      <w:bookmarkStart w:id="662" w:name="_Toc207118021"/>
      <w:r>
        <w:t>Division 2 — Northern Territory</w:t>
      </w:r>
      <w:bookmarkEnd w:id="660"/>
      <w:bookmarkEnd w:id="661"/>
      <w:bookmarkEnd w:id="662"/>
    </w:p>
    <w:p>
      <w:pPr>
        <w:pStyle w:val="Footnoteheading"/>
        <w:keepNext/>
      </w:pPr>
      <w:r>
        <w:tab/>
        <w:t>[Heading inserted: SL 2021/140 r. 11.]</w:t>
      </w:r>
    </w:p>
    <w:p>
      <w:pPr>
        <w:pStyle w:val="PermNoteHeading"/>
      </w:pPr>
      <w:r>
        <w:tab/>
        <w:t>Note for this Division:</w:t>
      </w:r>
    </w:p>
    <w:p>
      <w:pPr>
        <w:pStyle w:val="PermNoteText"/>
        <w:keepNext/>
      </w:pPr>
      <w:r>
        <w:tab/>
      </w:r>
      <w:r>
        <w:tab/>
        <w:t>The national regulations made by the Ministerial Council include provisions as Division 2 which are not relevant to Western Australia.</w:t>
      </w:r>
    </w:p>
    <w:p>
      <w:pPr>
        <w:pStyle w:val="Footnotesection"/>
      </w:pPr>
      <w:r>
        <w:tab/>
        <w:t>[Note inserted: SL 2021/140 r. 11.]</w:t>
      </w:r>
    </w:p>
    <w:p>
      <w:pPr>
        <w:pStyle w:val="Heading3"/>
      </w:pPr>
      <w:bookmarkStart w:id="663" w:name="_Toc207099219"/>
      <w:bookmarkStart w:id="664" w:name="_Toc207110739"/>
      <w:bookmarkStart w:id="665" w:name="_Toc207118022"/>
      <w:r>
        <w:rPr>
          <w:rStyle w:val="CharDivNo"/>
        </w:rPr>
        <w:lastRenderedPageBreak/>
        <w:t>Part 7.14</w:t>
      </w:r>
      <w:r>
        <w:t> — </w:t>
      </w:r>
      <w:r>
        <w:rPr>
          <w:rStyle w:val="CharDivText"/>
        </w:rPr>
        <w:t xml:space="preserve">Transitional and savings provisions for </w:t>
      </w:r>
      <w:r>
        <w:rPr>
          <w:rStyle w:val="CharDivText"/>
          <w:i/>
        </w:rPr>
        <w:t>Education and Care Services National Amendment Regulations (No. 3) 2023</w:t>
      </w:r>
      <w:bookmarkEnd w:id="663"/>
      <w:bookmarkEnd w:id="664"/>
      <w:bookmarkEnd w:id="665"/>
    </w:p>
    <w:p>
      <w:pPr>
        <w:pStyle w:val="Footnoteheading"/>
        <w:keepNext/>
      </w:pPr>
      <w:r>
        <w:tab/>
        <w:t>[Heading inserted: SL 2023/71 r. 30.]</w:t>
      </w:r>
    </w:p>
    <w:p>
      <w:pPr>
        <w:pStyle w:val="Heading4"/>
      </w:pPr>
      <w:bookmarkStart w:id="666" w:name="_Toc207099220"/>
      <w:bookmarkStart w:id="667" w:name="_Toc207110740"/>
      <w:bookmarkStart w:id="668" w:name="_Toc207118023"/>
      <w:r>
        <w:t>Division 1 — General</w:t>
      </w:r>
      <w:bookmarkEnd w:id="666"/>
      <w:bookmarkEnd w:id="667"/>
      <w:bookmarkEnd w:id="668"/>
    </w:p>
    <w:p>
      <w:pPr>
        <w:pStyle w:val="Footnoteheading"/>
        <w:keepNext/>
      </w:pPr>
      <w:r>
        <w:tab/>
        <w:t>[Heading inserted: SL 2023/71 r. 30.]</w:t>
      </w:r>
    </w:p>
    <w:p>
      <w:pPr>
        <w:pStyle w:val="PermNoteHeading"/>
      </w:pPr>
      <w:r>
        <w:tab/>
        <w:t>Note for this Division:</w:t>
      </w:r>
    </w:p>
    <w:p>
      <w:pPr>
        <w:pStyle w:val="PermNoteText"/>
        <w:keepNext/>
      </w:pPr>
      <w:r>
        <w:tab/>
      </w:r>
      <w:r>
        <w:tab/>
        <w:t>The national regulations made by the Ministerial Council include provisions as Division 1 which are not relevant to Western Australia.</w:t>
      </w:r>
    </w:p>
    <w:p>
      <w:pPr>
        <w:pStyle w:val="Footnotesection"/>
      </w:pPr>
      <w:r>
        <w:tab/>
        <w:t>[Note inserted: SL 2023/71 r. 30.]</w:t>
      </w:r>
    </w:p>
    <w:p>
      <w:pPr>
        <w:pStyle w:val="Heading3"/>
      </w:pPr>
      <w:bookmarkStart w:id="669" w:name="_Toc207099221"/>
      <w:bookmarkStart w:id="670" w:name="_Toc207110741"/>
      <w:bookmarkStart w:id="671" w:name="_Toc207118024"/>
      <w:r>
        <w:rPr>
          <w:rStyle w:val="CharDivNo"/>
        </w:rPr>
        <w:t>Part 7.15</w:t>
      </w:r>
      <w:r>
        <w:t> — </w:t>
      </w:r>
      <w:r>
        <w:rPr>
          <w:rStyle w:val="CharDivText"/>
        </w:rPr>
        <w:t xml:space="preserve">Transitional and savings provisions for </w:t>
      </w:r>
      <w:r>
        <w:rPr>
          <w:rStyle w:val="CharDivText"/>
          <w:i/>
          <w:iCs/>
        </w:rPr>
        <w:t>Education and Care Services National Amendment Regulations (No. 4) 2023</w:t>
      </w:r>
      <w:bookmarkEnd w:id="669"/>
      <w:bookmarkEnd w:id="670"/>
      <w:bookmarkEnd w:id="671"/>
    </w:p>
    <w:p>
      <w:pPr>
        <w:pStyle w:val="Footnoteheading"/>
        <w:keepNext/>
      </w:pPr>
      <w:r>
        <w:tab/>
        <w:t>[Heading inserted: SL 2023/186 r. 43.]</w:t>
      </w:r>
    </w:p>
    <w:p>
      <w:pPr>
        <w:pStyle w:val="Heading5"/>
      </w:pPr>
      <w:bookmarkStart w:id="672" w:name="_Toc207118025"/>
      <w:r>
        <w:rPr>
          <w:rStyle w:val="CharSectno"/>
        </w:rPr>
        <w:t>415</w:t>
      </w:r>
      <w:r>
        <w:t>.</w:t>
      </w:r>
      <w:r>
        <w:tab/>
        <w:t>Family day care educator actively working towards qualification prior to commencement day</w:t>
      </w:r>
      <w:bookmarkEnd w:id="672"/>
    </w:p>
    <w:p>
      <w:pPr>
        <w:pStyle w:val="Subsection"/>
      </w:pPr>
      <w:r>
        <w:tab/>
        <w:t>(1)</w:t>
      </w:r>
      <w:r>
        <w:tab/>
        <w:t xml:space="preserve">In this regulation — </w:t>
      </w:r>
    </w:p>
    <w:p>
      <w:pPr>
        <w:pStyle w:val="Defstart"/>
      </w:pPr>
      <w:r>
        <w:tab/>
      </w:r>
      <w:r>
        <w:rPr>
          <w:rStyle w:val="CharDefText"/>
        </w:rPr>
        <w:t>commencement day</w:t>
      </w:r>
      <w:r>
        <w:t xml:space="preserve"> means 1 December 2023.</w:t>
      </w:r>
    </w:p>
    <w:p>
      <w:pPr>
        <w:pStyle w:val="Subsection"/>
      </w:pPr>
      <w:r>
        <w:tab/>
        <w:t>(2)</w:t>
      </w:r>
      <w:r>
        <w:tab/>
        <w:t>This regulation applies in relation to a family day care educator who, immediately before commencement day, was actively working towards at least an approved certificate III level education and care qualification.</w:t>
      </w:r>
    </w:p>
    <w:p>
      <w:pPr>
        <w:pStyle w:val="Subsection"/>
      </w:pPr>
      <w:r>
        <w:tab/>
        <w:t>(3)</w:t>
      </w:r>
      <w:r>
        <w:tab/>
        <w:t xml:space="preserve">The family day care educator is taken to comply with regulation 127 until the earlier of the following — </w:t>
      </w:r>
    </w:p>
    <w:p>
      <w:pPr>
        <w:pStyle w:val="Indenta"/>
      </w:pPr>
      <w:r>
        <w:tab/>
        <w:t>(a)</w:t>
      </w:r>
      <w:r>
        <w:tab/>
        <w:t>the family day care educator ceases to be actively working towards the qualification as described in subregulation (2);</w:t>
      </w:r>
    </w:p>
    <w:p>
      <w:pPr>
        <w:pStyle w:val="Indenta"/>
        <w:keepNext/>
      </w:pPr>
      <w:r>
        <w:lastRenderedPageBreak/>
        <w:tab/>
        <w:t>(b)</w:t>
      </w:r>
      <w:r>
        <w:tab/>
        <w:t>30 November 2024.</w:t>
      </w:r>
    </w:p>
    <w:p>
      <w:pPr>
        <w:pStyle w:val="PermNoteHeading"/>
      </w:pPr>
      <w:r>
        <w:tab/>
        <w:t>Note for this regulation:</w:t>
      </w:r>
    </w:p>
    <w:p>
      <w:pPr>
        <w:pStyle w:val="PermNoteText"/>
        <w:keepNext/>
      </w:pPr>
      <w:r>
        <w:tab/>
      </w:r>
      <w:r>
        <w:tab/>
        <w:t>This regulation differs from regulation 415 of the national regulations made by the Ministerial Council.</w:t>
      </w:r>
    </w:p>
    <w:p>
      <w:pPr>
        <w:pStyle w:val="Footnotesection"/>
      </w:pPr>
      <w:r>
        <w:tab/>
        <w:t>[Regulation 415 inserted: SL 2023/186 r. 43.]</w:t>
      </w:r>
    </w:p>
    <w:p>
      <w:pPr>
        <w:sectPr>
          <w:headerReference w:type="even" r:id="rId21"/>
          <w:headerReference w:type="default" r:id="rId22"/>
          <w:headerReference w:type="first" r:id="rId23"/>
          <w:pgSz w:w="11907" w:h="16840" w:code="9"/>
          <w:pgMar w:top="2376" w:right="2404" w:bottom="3544" w:left="2404" w:header="709" w:footer="3544" w:gutter="0"/>
          <w:pgNumType w:start="1"/>
          <w:cols w:space="720"/>
          <w:noEndnote/>
          <w:titlePg/>
          <w:docGrid w:linePitch="326"/>
        </w:sectPr>
      </w:pPr>
    </w:p>
    <w:p>
      <w:pPr>
        <w:pStyle w:val="yScheduleHeading"/>
      </w:pPr>
      <w:bookmarkStart w:id="673" w:name="_Toc207099223"/>
      <w:bookmarkStart w:id="674" w:name="_Toc207110743"/>
      <w:bookmarkStart w:id="675" w:name="_Toc207118026"/>
      <w:r>
        <w:rPr>
          <w:rStyle w:val="CharSchNo"/>
        </w:rPr>
        <w:lastRenderedPageBreak/>
        <w:t>Schedule 1</w:t>
      </w:r>
      <w:r>
        <w:t> — </w:t>
      </w:r>
      <w:r>
        <w:rPr>
          <w:rStyle w:val="CharSchText"/>
        </w:rPr>
        <w:t>National Quality Standard</w:t>
      </w:r>
      <w:bookmarkEnd w:id="673"/>
      <w:bookmarkEnd w:id="674"/>
      <w:bookmarkEnd w:id="675"/>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lastRenderedPageBreak/>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lastRenderedPageBreak/>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lastRenderedPageBreak/>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lastRenderedPageBreak/>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lastRenderedPageBreak/>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676" w:name="_Toc207099224"/>
      <w:bookmarkStart w:id="677" w:name="_Toc207110744"/>
      <w:bookmarkStart w:id="678" w:name="_Toc207118027"/>
      <w:r>
        <w:rPr>
          <w:rStyle w:val="CharSchNo"/>
        </w:rPr>
        <w:lastRenderedPageBreak/>
        <w:t>Schedule 2</w:t>
      </w:r>
      <w:r>
        <w:t> — </w:t>
      </w:r>
      <w:r>
        <w:rPr>
          <w:rStyle w:val="CharSchText"/>
        </w:rPr>
        <w:t>Prescribed fees for period beginning on commencement day and ending on 30 June 2023</w:t>
      </w:r>
      <w:bookmarkEnd w:id="676"/>
      <w:bookmarkEnd w:id="677"/>
      <w:bookmarkEnd w:id="678"/>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lastRenderedPageBreak/>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lastRenderedPageBreak/>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679" w:name="_Toc207099225"/>
      <w:bookmarkStart w:id="680" w:name="_Toc207110745"/>
      <w:bookmarkStart w:id="681" w:name="_Toc207118028"/>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679"/>
      <w:bookmarkEnd w:id="680"/>
      <w:bookmarkEnd w:id="681"/>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Environment to be free from tobacco, vaping devices, vaping substances, drugs and alcohol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84A(1)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Reasonable steps to ensure that the needs for sleep and rest of children are met</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84C(1)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Risk assessment for the purposes of preparing sleep and rest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84D(1)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Prohibition of bassinets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(2A),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lastRenderedPageBreak/>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102AAC(1)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Risk assessment for the purposes of preparing safe arrival of children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102B(1)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Transport risk assessment must be conducted before service transports child</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lastRenderedPageBreak/>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Pr>
        <w:pStyle w:val="yFootnotesection"/>
      </w:pPr>
      <w:r>
        <w:tab/>
        <w:t>[Schedule 3 amended: SL 2023/186 r. 44; SL 2025/150 r. 12.]</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683" w:name="_Toc207099226"/>
      <w:bookmarkStart w:id="684" w:name="_Toc207110746"/>
      <w:bookmarkStart w:id="685" w:name="_Toc207118029"/>
      <w:r>
        <w:rPr>
          <w:rStyle w:val="CharSchNo"/>
        </w:rPr>
        <w:lastRenderedPageBreak/>
        <w:t>Schedule 4</w:t>
      </w:r>
      <w:r>
        <w:t> — </w:t>
      </w:r>
      <w:r>
        <w:rPr>
          <w:rStyle w:val="CharSchText"/>
        </w:rPr>
        <w:t>Prescribed forms</w:t>
      </w:r>
      <w:bookmarkEnd w:id="683"/>
      <w:bookmarkEnd w:id="684"/>
      <w:bookmarkEnd w:id="685"/>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686" w:name="_Toc207099227"/>
      <w:bookmarkStart w:id="687" w:name="_Toc207110747"/>
      <w:bookmarkStart w:id="688" w:name="_Toc207118030"/>
      <w:r>
        <w:lastRenderedPageBreak/>
        <w:t>Notes</w:t>
      </w:r>
      <w:bookmarkEnd w:id="686"/>
      <w:bookmarkEnd w:id="687"/>
      <w:bookmarkEnd w:id="688"/>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89" w:name="_Toc207118031"/>
      <w:r>
        <w:t>Compilation table</w:t>
      </w:r>
      <w:bookmarkEnd w:id="68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lastRenderedPageBreak/>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nil"/>
            </w:tcBorders>
            <w:shd w:val="clear" w:color="auto" w:fill="auto"/>
          </w:tcPr>
          <w:p>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pPr>
              <w:pStyle w:val="nTable"/>
              <w:spacing w:after="40"/>
            </w:pPr>
            <w:r>
              <w:t>SL 2023/71 16 Jun 2023</w:t>
            </w:r>
          </w:p>
        </w:tc>
        <w:tc>
          <w:tcPr>
            <w:tcW w:w="2693" w:type="dxa"/>
            <w:tcBorders>
              <w:top w:val="nil"/>
              <w:bottom w:val="nil"/>
            </w:tcBorders>
            <w:shd w:val="clear" w:color="auto" w:fill="auto"/>
          </w:tcPr>
          <w:p>
            <w:pPr>
              <w:pStyle w:val="nTable"/>
              <w:spacing w:after="40"/>
            </w:pPr>
            <w:r>
              <w:t>Pt. 1: 16 Jun 2023 (see r. 2(a));</w:t>
            </w:r>
            <w:r>
              <w:br/>
              <w:t>Pt. 2: 17 Jun 2023 (see r. 2(b));</w:t>
            </w:r>
            <w:r>
              <w:br/>
              <w:t>Pt. 3: 1 Jul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2023</w:t>
            </w:r>
          </w:p>
        </w:tc>
        <w:tc>
          <w:tcPr>
            <w:tcW w:w="1276" w:type="dxa"/>
            <w:tcBorders>
              <w:top w:val="nil"/>
              <w:bottom w:val="nil"/>
            </w:tcBorders>
            <w:shd w:val="clear" w:color="auto" w:fill="auto"/>
          </w:tcPr>
          <w:p>
            <w:pPr>
              <w:pStyle w:val="nTable"/>
              <w:spacing w:after="40"/>
            </w:pPr>
            <w:r>
              <w:t>SL 2023/105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9" w:type="dxa"/>
            <w:tcBorders>
              <w:top w:val="nil"/>
              <w:bottom w:val="nil"/>
            </w:tcBorders>
            <w:shd w:val="clear" w:color="auto" w:fill="auto"/>
          </w:tcPr>
          <w:p>
            <w:pPr>
              <w:pStyle w:val="nTable"/>
              <w:spacing w:after="40"/>
              <w:rPr>
                <w:i/>
              </w:rPr>
            </w:pPr>
            <w:r>
              <w:rPr>
                <w:i/>
              </w:rPr>
              <w:t xml:space="preserve">Education and Care Services National Amendment Regulations (No. 4) 2023 </w:t>
            </w:r>
          </w:p>
        </w:tc>
        <w:tc>
          <w:tcPr>
            <w:tcW w:w="1276" w:type="dxa"/>
            <w:tcBorders>
              <w:top w:val="nil"/>
              <w:bottom w:val="nil"/>
            </w:tcBorders>
            <w:shd w:val="clear" w:color="auto" w:fill="auto"/>
          </w:tcPr>
          <w:p>
            <w:pPr>
              <w:pStyle w:val="nTable"/>
              <w:spacing w:after="40"/>
            </w:pPr>
            <w:r>
              <w:t>SL 2023/186 29 Nov 2023</w:t>
            </w:r>
          </w:p>
        </w:tc>
        <w:tc>
          <w:tcPr>
            <w:tcW w:w="2693" w:type="dxa"/>
            <w:tcBorders>
              <w:top w:val="nil"/>
              <w:bottom w:val="nil"/>
            </w:tcBorders>
            <w:shd w:val="clear" w:color="auto" w:fill="auto"/>
          </w:tcPr>
          <w:p>
            <w:pPr>
              <w:pStyle w:val="nTable"/>
              <w:spacing w:after="40"/>
            </w:pPr>
            <w:r>
              <w:t>r. 1 and 2: 29 Nov 2023 (see r. 2(a));</w:t>
            </w:r>
            <w:r>
              <w:br/>
              <w:t>Regulations other than r. 1, 2, 23, 26 and 41: 1 Dec 2023 (see r. 2(d));</w:t>
            </w:r>
            <w:r>
              <w:br/>
              <w:t>r. 41: 2 Feb 2024 (see r. 2(c));</w:t>
            </w:r>
            <w:r>
              <w:br/>
              <w:t>r. 23 and 26: 1 Jun 2024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2024</w:t>
            </w:r>
          </w:p>
        </w:tc>
        <w:tc>
          <w:tcPr>
            <w:tcW w:w="1276" w:type="dxa"/>
            <w:tcBorders>
              <w:top w:val="nil"/>
              <w:bottom w:val="nil"/>
            </w:tcBorders>
            <w:shd w:val="clear" w:color="auto" w:fill="auto"/>
          </w:tcPr>
          <w:p>
            <w:pPr>
              <w:pStyle w:val="nTable"/>
              <w:spacing w:after="40"/>
            </w:pPr>
            <w:r>
              <w:t>SL 2024/48</w:t>
            </w:r>
            <w:r>
              <w:br/>
              <w:t>17 Apr 2024</w:t>
            </w:r>
          </w:p>
        </w:tc>
        <w:tc>
          <w:tcPr>
            <w:tcW w:w="2693" w:type="dxa"/>
            <w:tcBorders>
              <w:top w:val="nil"/>
              <w:bottom w:val="nil"/>
            </w:tcBorders>
            <w:shd w:val="clear" w:color="auto" w:fill="auto"/>
          </w:tcPr>
          <w:p>
            <w:pPr>
              <w:pStyle w:val="nTable"/>
              <w:spacing w:after="40"/>
            </w:pPr>
            <w:r>
              <w:t>r. 1 and 2: 17 Apr 2024 (see r. 2(a));</w:t>
            </w:r>
            <w:r>
              <w:br/>
              <w:t>Regulations other than r. 1 and 2: 18 Apr 2024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2024</w:t>
            </w:r>
          </w:p>
        </w:tc>
        <w:tc>
          <w:tcPr>
            <w:tcW w:w="1276" w:type="dxa"/>
            <w:tcBorders>
              <w:top w:val="nil"/>
              <w:bottom w:val="nil"/>
            </w:tcBorders>
            <w:shd w:val="clear" w:color="auto" w:fill="auto"/>
          </w:tcPr>
          <w:p>
            <w:pPr>
              <w:pStyle w:val="nTable"/>
              <w:spacing w:after="40"/>
            </w:pPr>
            <w:r>
              <w:t>SL 2024/220 30 Oct 2024</w:t>
            </w:r>
          </w:p>
        </w:tc>
        <w:tc>
          <w:tcPr>
            <w:tcW w:w="2693" w:type="dxa"/>
            <w:tcBorders>
              <w:top w:val="nil"/>
              <w:bottom w:val="nil"/>
            </w:tcBorders>
            <w:shd w:val="clear" w:color="auto" w:fill="auto"/>
          </w:tcPr>
          <w:p>
            <w:pPr>
              <w:pStyle w:val="nTable"/>
              <w:spacing w:after="40"/>
            </w:pPr>
            <w:r>
              <w:t>r. 1 and 2: 30 Oct 2024 (see r. 2(a));</w:t>
            </w:r>
            <w:r>
              <w:br/>
              <w:t>Regulations other than r. 1 and 2: 31 Oct 2024 (see r. 2(b))</w:t>
            </w:r>
          </w:p>
        </w:tc>
      </w:tr>
      <w:tr>
        <w:tc>
          <w:tcPr>
            <w:tcW w:w="3119" w:type="dxa"/>
            <w:tcBorders>
              <w:top w:val="nil"/>
              <w:bottom w:val="single" w:sz="4" w:space="0" w:color="auto"/>
            </w:tcBorders>
            <w:shd w:val="clear" w:color="auto" w:fill="auto"/>
          </w:tcPr>
          <w:p>
            <w:pPr>
              <w:pStyle w:val="nTable"/>
              <w:spacing w:after="40"/>
              <w:rPr>
                <w:iCs/>
              </w:rPr>
            </w:pPr>
            <w:r>
              <w:rPr>
                <w:i/>
              </w:rPr>
              <w:t>Education and Care Services National Amendment Regulations 2025</w:t>
            </w:r>
            <w:r>
              <w:rPr>
                <w:iCs/>
              </w:rPr>
              <w:t xml:space="preserve"> (other than r. 11)</w:t>
            </w:r>
          </w:p>
        </w:tc>
        <w:tc>
          <w:tcPr>
            <w:tcW w:w="1276" w:type="dxa"/>
            <w:tcBorders>
              <w:top w:val="nil"/>
              <w:bottom w:val="single" w:sz="4" w:space="0" w:color="auto"/>
            </w:tcBorders>
            <w:shd w:val="clear" w:color="auto" w:fill="auto"/>
          </w:tcPr>
          <w:p>
            <w:pPr>
              <w:pStyle w:val="nTable"/>
              <w:spacing w:after="40"/>
            </w:pPr>
            <w:r>
              <w:t>SL 2025/150 20 Aug 2025</w:t>
            </w:r>
          </w:p>
        </w:tc>
        <w:tc>
          <w:tcPr>
            <w:tcW w:w="2693" w:type="dxa"/>
            <w:tcBorders>
              <w:top w:val="nil"/>
              <w:bottom w:val="single" w:sz="4" w:space="0" w:color="auto"/>
            </w:tcBorders>
            <w:shd w:val="clear" w:color="auto" w:fill="auto"/>
          </w:tcPr>
          <w:p>
            <w:pPr>
              <w:pStyle w:val="nTable"/>
              <w:spacing w:after="40"/>
            </w:pPr>
            <w:r>
              <w:t>r. 1 and 2: 20 Aug 2025 (see r. 2(a));</w:t>
            </w:r>
            <w:r>
              <w:br/>
            </w:r>
            <w:r>
              <w:rPr>
                <w:iCs/>
              </w:rPr>
              <w:t>r. 3</w:t>
            </w:r>
            <w:r>
              <w:rPr>
                <w:iCs/>
              </w:rPr>
              <w:noBreakHyphen/>
              <w:t>10 and 12</w:t>
            </w:r>
            <w:r>
              <w:t>: 1 Sep 2025 (see r. 2(b))</w:t>
            </w:r>
          </w:p>
        </w:tc>
      </w:tr>
    </w:tbl>
    <w:p>
      <w:pPr>
        <w:pStyle w:val="nHeading3"/>
      </w:pPr>
      <w:bookmarkStart w:id="690" w:name="_Toc207118032"/>
      <w:r>
        <w:lastRenderedPageBreak/>
        <w:t>Uncommenced provisions table</w:t>
      </w:r>
      <w:bookmarkEnd w:id="69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Education and Care Services National Amendment Regulations 2025</w:t>
            </w:r>
            <w:r>
              <w:rPr>
                <w:iCs/>
              </w:rPr>
              <w:t xml:space="preserve"> r. 11</w:t>
            </w:r>
          </w:p>
        </w:tc>
        <w:tc>
          <w:tcPr>
            <w:tcW w:w="1276" w:type="dxa"/>
          </w:tcPr>
          <w:p>
            <w:pPr>
              <w:pStyle w:val="nTable"/>
              <w:spacing w:after="40"/>
            </w:pPr>
            <w:r>
              <w:t>SL 2025/150 20 Aug 2025</w:t>
            </w:r>
          </w:p>
        </w:tc>
        <w:tc>
          <w:tcPr>
            <w:tcW w:w="2693" w:type="dxa"/>
          </w:tcPr>
          <w:p>
            <w:pPr>
              <w:pStyle w:val="nTable"/>
              <w:spacing w:after="40"/>
            </w:pPr>
            <w:r>
              <w:t>1 Jan 2026 (see r. 2(c))</w:t>
            </w:r>
          </w:p>
        </w:tc>
      </w:tr>
    </w:tbl>
    <w:p>
      <w:pPr>
        <w:pStyle w:val="nHeading3"/>
      </w:pPr>
      <w:bookmarkStart w:id="691" w:name="_Toc207118033"/>
      <w:r>
        <w:t>Other notes</w:t>
      </w:r>
      <w:bookmarkEnd w:id="691"/>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r>
        <w:rPr>
          <w:sz w:val="28"/>
        </w:rPr>
        <w:lastRenderedPageBreak/>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education and care qualification</w:t>
      </w:r>
      <w:r>
        <w:tab/>
        <w:t>126(1A), 135(1A)</w:t>
      </w:r>
    </w:p>
    <w:p>
      <w:pPr>
        <w:pStyle w:val="DefinedTerms"/>
      </w:pPr>
      <w:r>
        <w:t>approved educator qualification</w:t>
      </w:r>
      <w:r>
        <w:tab/>
        <w:t>369(1)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first educator qualification</w:t>
      </w:r>
      <w:r>
        <w:tab/>
        <w:t>369(1)</w:t>
      </w:r>
    </w:p>
    <w:p>
      <w:pPr>
        <w:pStyle w:val="DefinedTerms"/>
      </w:pPr>
      <w:r>
        <w:t>approved number of places</w:t>
      </w:r>
      <w:r>
        <w:tab/>
        <w:t>4(1)</w:t>
      </w:r>
    </w:p>
    <w:p>
      <w:pPr>
        <w:pStyle w:val="DefinedTerms"/>
      </w:pPr>
      <w:r>
        <w:t>approved qualification</w:t>
      </w:r>
      <w:r>
        <w:tab/>
        <w:t>368A(1)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232, 395(1), 415(1)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4(1)</w:t>
      </w:r>
    </w:p>
    <w:p>
      <w:pPr>
        <w:pStyle w:val="DefinedTerms"/>
      </w:pPr>
      <w:r>
        <w:t>educational program</w:t>
      </w:r>
      <w:r>
        <w:tab/>
        <w:t>4(1), 73(1)</w:t>
      </w:r>
    </w:p>
    <w:p>
      <w:pPr>
        <w:pStyle w:val="DefinedTerms"/>
      </w:pPr>
      <w:r>
        <w:t>education or early childhood service</w:t>
      </w:r>
      <w:r>
        <w:tab/>
        <w:t>102AA</w:t>
      </w:r>
    </w:p>
    <w:p>
      <w:pPr>
        <w:pStyle w:val="DefinedTerms"/>
      </w:pPr>
      <w:r>
        <w:t>emergency</w:t>
      </w:r>
      <w:r>
        <w:tab/>
        <w:t>4(1), 123(1A)</w:t>
      </w:r>
    </w:p>
    <w:p>
      <w:pPr>
        <w:pStyle w:val="DefinedTerms"/>
      </w:pPr>
      <w:r>
        <w:t>excursion</w:t>
      </w:r>
      <w:r>
        <w:tab/>
        <w:t>4(1)</w:t>
      </w:r>
    </w:p>
    <w:p>
      <w:pPr>
        <w:pStyle w:val="DefinedTerms"/>
      </w:pPr>
      <w:r>
        <w:t>extra-large service</w:t>
      </w:r>
      <w:r>
        <w:tab/>
        <w:t>232</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first qualified educator</w:t>
      </w:r>
      <w:r>
        <w:tab/>
        <w:t>369(1)</w:t>
      </w:r>
    </w:p>
    <w:p>
      <w:pPr>
        <w:pStyle w:val="DefinedTerms"/>
      </w:pPr>
      <w:r>
        <w:lastRenderedPageBreak/>
        <w:t>hazardous water feature</w:t>
      </w:r>
      <w:r>
        <w:tab/>
        <w:t>373B</w:t>
      </w:r>
    </w:p>
    <w:p>
      <w:pPr>
        <w:pStyle w:val="DefinedTerms"/>
      </w:pPr>
      <w:r>
        <w:t>in attendance</w:t>
      </w:r>
      <w:r>
        <w:tab/>
        <w:t>4(1), 11</w:t>
      </w:r>
    </w:p>
    <w:p>
      <w:pPr>
        <w:pStyle w:val="DefinedTerms"/>
      </w:pPr>
      <w:r>
        <w:t>indexation factor</w:t>
      </w:r>
      <w:r>
        <w:tab/>
        <w:t>232</w:t>
      </w:r>
    </w:p>
    <w:p>
      <w:pPr>
        <w:pStyle w:val="DefinedTerms"/>
      </w:pPr>
      <w:r>
        <w:t>index number</w:t>
      </w:r>
      <w:r>
        <w:tab/>
        <w:t>233(1)</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large service</w:t>
      </w:r>
      <w:r>
        <w:tab/>
        <w:t>232</w:t>
      </w:r>
    </w:p>
    <w:p>
      <w:pPr>
        <w:pStyle w:val="DefinedTerms"/>
      </w:pPr>
      <w:r>
        <w:t>medication</w:t>
      </w:r>
      <w:r>
        <w:tab/>
        <w:t>4(1)</w:t>
      </w:r>
    </w:p>
    <w:p>
      <w:pPr>
        <w:pStyle w:val="DefinedTerms"/>
      </w:pPr>
      <w:r>
        <w:t>medium service</w:t>
      </w:r>
      <w:r>
        <w:tab/>
        <w:t>232</w:t>
      </w:r>
    </w:p>
    <w:p>
      <w:pPr>
        <w:pStyle w:val="DefinedTerms"/>
      </w:pPr>
      <w:r>
        <w:t>monetary order</w:t>
      </w:r>
      <w:r>
        <w:tab/>
        <w:t>384(2)</w:t>
      </w:r>
    </w:p>
    <w:p>
      <w:pPr>
        <w:pStyle w:val="DefinedTerms"/>
      </w:pPr>
      <w:r>
        <w:t>most recent March year</w:t>
      </w:r>
      <w:r>
        <w:tab/>
        <w:t>233(1)</w:t>
      </w:r>
    </w:p>
    <w:p>
      <w:pPr>
        <w:pStyle w:val="DefinedTerms"/>
      </w:pPr>
      <w:r>
        <w:t>multi-storey building</w:t>
      </w:r>
      <w:r>
        <w:tab/>
        <w:t>4(1)</w:t>
      </w:r>
    </w:p>
    <w:p>
      <w:pPr>
        <w:pStyle w:val="DefinedTerms"/>
      </w:pPr>
      <w:r>
        <w:t>occupancy permit</w:t>
      </w:r>
      <w:r>
        <w:tab/>
        <w:t>3(1)</w:t>
      </w:r>
    </w:p>
    <w:p>
      <w:pPr>
        <w:pStyle w:val="DefinedTerms"/>
      </w:pPr>
      <w:r>
        <w:t>optical surveillance device</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personal information</w:t>
      </w:r>
      <w:r>
        <w:tab/>
        <w:t>177(6), 178(8)</w:t>
      </w:r>
    </w:p>
    <w:p>
      <w:pPr>
        <w:pStyle w:val="DefinedTerms"/>
      </w:pPr>
      <w:r>
        <w:t>person in day-to-day charge</w:t>
      </w:r>
      <w:r>
        <w:tab/>
        <w:t>117A</w:t>
      </w:r>
    </w:p>
    <w:p>
      <w:pPr>
        <w:pStyle w:val="DefinedTerms"/>
      </w:pPr>
      <w:r>
        <w:t>planning and development law</w:t>
      </w:r>
      <w:r>
        <w:tab/>
        <w:t>4(1)</w:t>
      </w:r>
    </w:p>
    <w:p>
      <w:pPr>
        <w:pStyle w:val="DefinedTerms"/>
      </w:pPr>
      <w:r>
        <w:t>planning permit</w:t>
      </w:r>
      <w:r>
        <w:tab/>
        <w:t>4(1)</w:t>
      </w:r>
    </w:p>
    <w:p>
      <w:pPr>
        <w:pStyle w:val="DefinedTerms"/>
      </w:pPr>
      <w:r>
        <w:t>pre-kindergarten programme</w:t>
      </w:r>
      <w:r>
        <w:tab/>
        <w:t>368</w:t>
      </w:r>
    </w:p>
    <w:p>
      <w:pPr>
        <w:pStyle w:val="DefinedTerms"/>
      </w:pPr>
      <w:r>
        <w:t>pre-primary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233(1)</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369(1)</w:t>
      </w:r>
    </w:p>
    <w:p>
      <w:pPr>
        <w:pStyle w:val="DefinedTerms"/>
      </w:pPr>
      <w:r>
        <w:t>quarter</w:t>
      </w:r>
      <w:r>
        <w:tab/>
        <w:t>233(1)</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regular transportation</w:t>
      </w:r>
      <w:r>
        <w:tab/>
        <w:t>4(1)</w:t>
      </w:r>
    </w:p>
    <w:p>
      <w:pPr>
        <w:pStyle w:val="DefinedTerms"/>
      </w:pPr>
      <w:r>
        <w:t>relevant administrative tribunal</w:t>
      </w:r>
      <w:r>
        <w:tab/>
        <w:t>210</w:t>
      </w:r>
    </w:p>
    <w:p>
      <w:pPr>
        <w:pStyle w:val="DefinedTerms"/>
      </w:pPr>
      <w:r>
        <w:t>relevant day</w:t>
      </w:r>
      <w:r>
        <w:tab/>
        <w:t>399(3)</w:t>
      </w:r>
    </w:p>
    <w:p>
      <w:pPr>
        <w:pStyle w:val="DefinedTerms"/>
      </w:pPr>
      <w:r>
        <w:t>relevant financial year</w:t>
      </w:r>
      <w:r>
        <w:tab/>
        <w:t>236C(4), 236D(6), 236E(5), 236F(2), 236G(4), 236H, 236I, 236J, 236K(3), 236L(5), 236M(1) and (2), 236O(4), 236P</w:t>
      </w:r>
    </w:p>
    <w:p>
      <w:pPr>
        <w:pStyle w:val="DefinedTerms"/>
      </w:pPr>
      <w:r>
        <w:t>relevant regulation</w:t>
      </w:r>
      <w:r>
        <w:tab/>
        <w:t>242(3)</w:t>
      </w:r>
    </w:p>
    <w:p>
      <w:pPr>
        <w:pStyle w:val="DefinedTerms"/>
      </w:pPr>
      <w:r>
        <w:t>remote area</w:t>
      </w:r>
      <w:r>
        <w:tab/>
        <w:t>239A(5)</w:t>
      </w:r>
    </w:p>
    <w:p>
      <w:pPr>
        <w:pStyle w:val="DefinedTerms"/>
      </w:pPr>
      <w:r>
        <w:t>renovate</w:t>
      </w:r>
      <w:r>
        <w:tab/>
        <w:t>4(1)</w:t>
      </w:r>
    </w:p>
    <w:p>
      <w:pPr>
        <w:pStyle w:val="DefinedTerms"/>
      </w:pPr>
      <w:r>
        <w:lastRenderedPageBreak/>
        <w:t>responsible person</w:t>
      </w:r>
      <w:r>
        <w:tab/>
        <w:t>4(1)</w:t>
      </w:r>
    </w:p>
    <w:p>
      <w:pPr>
        <w:pStyle w:val="DefinedTerms"/>
      </w:pPr>
      <w:r>
        <w:t>safety device</w:t>
      </w:r>
      <w:r>
        <w:tab/>
        <w:t>373B</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small service</w:t>
      </w:r>
      <w:r>
        <w:tab/>
        <w:t>232</w:t>
      </w:r>
    </w:p>
    <w:p>
      <w:pPr>
        <w:pStyle w:val="DefinedTerms"/>
      </w:pPr>
      <w:r>
        <w:t>soil assessment</w:t>
      </w:r>
      <w:r>
        <w:tab/>
        <w:t>3(1)</w:t>
      </w:r>
    </w:p>
    <w:p>
      <w:pPr>
        <w:pStyle w:val="DefinedTerms"/>
      </w:pPr>
      <w:r>
        <w:t>State collecting institution</w:t>
      </w:r>
      <w:r>
        <w:tab/>
        <w:t>216</w:t>
      </w:r>
    </w:p>
    <w:p>
      <w:pPr>
        <w:pStyle w:val="DefinedTerms"/>
      </w:pPr>
      <w:r>
        <w:t>storey</w:t>
      </w:r>
      <w:r>
        <w:tab/>
        <w:t>4(1)</w:t>
      </w:r>
    </w:p>
    <w:p>
      <w:pPr>
        <w:pStyle w:val="DefinedTerms"/>
      </w:pPr>
      <w:r>
        <w:t>suitably qualified person</w:t>
      </w:r>
      <w:r>
        <w:tab/>
        <w:t>4(1)</w:t>
      </w:r>
    </w:p>
    <w:p>
      <w:pPr>
        <w:pStyle w:val="DefinedTerms"/>
      </w:pPr>
      <w:r>
        <w:t>the Law</w:t>
      </w:r>
      <w:r>
        <w:tab/>
        <w:t>4(1)</w:t>
      </w:r>
    </w:p>
    <w:p>
      <w:pPr>
        <w:pStyle w:val="DefinedTerms"/>
      </w:pPr>
      <w:r>
        <w:t>vaping device</w:t>
      </w:r>
      <w:r>
        <w:tab/>
        <w:t>4(1)</w:t>
      </w:r>
    </w:p>
    <w:p>
      <w:pPr>
        <w:pStyle w:val="DefinedTerms"/>
      </w:pPr>
      <w:r>
        <w:t>vaping substance</w:t>
      </w:r>
      <w:r>
        <w:tab/>
        <w:t>4(1)</w:t>
      </w:r>
    </w:p>
    <w:p>
      <w:pPr>
        <w:pStyle w:val="DefinedTerms"/>
      </w:pPr>
      <w:r>
        <w:t>very remote area</w:t>
      </w:r>
      <w:r>
        <w:tab/>
        <w:t>239A(5)</w:t>
      </w:r>
    </w:p>
    <w:p>
      <w:pPr>
        <w:pStyle w:val="DefinedTerms"/>
      </w:pPr>
      <w:r>
        <w:t>virtual inspection</w:t>
      </w:r>
      <w:r>
        <w:tab/>
        <w:t>373E(4)</w:t>
      </w:r>
    </w:p>
    <w:p>
      <w:pPr>
        <w:pStyle w:val="DefinedTerms"/>
      </w:pPr>
      <w:r>
        <w:t>water hazard safety inspection</w:t>
      </w:r>
      <w:r>
        <w:tab/>
        <w:t>373B, 373E(1)</w:t>
      </w:r>
    </w:p>
    <w:p>
      <w:pPr>
        <w:pStyle w:val="DefinedTerms"/>
      </w:pPr>
      <w:r>
        <w:t>water hazard safety inspection report</w:t>
      </w:r>
      <w:r>
        <w:tab/>
        <w:t>373B, 373E(1)</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01-ae0-00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01-ae0-00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82" w:name="Schedule"/>
    <w:bookmarkEnd w:id="6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2" w:name="Compilation"/>
    <w:bookmarkEnd w:id="69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93" w:name="DefinedTerms"/>
    <w:bookmarkEnd w:id="69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94" w:name="Coversheet"/>
    <w:bookmarkEnd w:id="6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949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6110042"/>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12314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40232_GUID" w:val="701f6301-8dc1-4f89-9728-a28d40c08e0d"/>
    <w:docVar w:name="WAFER_20231228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001_GUID" w:val="85cc6336-f577-4b9b-b0ba-e37ddec4e411"/>
    <w:docVar w:name="WAFER_2024012908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9085922_GUID" w:val="34c45a64-2a18-4cd8-b837-b2b6190f217c"/>
    <w:docVar w:name="WAFER_2024041210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2101101_GUID" w:val="22e68b5c-7e6b-4568-b334-f4066ffdb817"/>
    <w:docVar w:name="WAFER_2024052416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62335_GUID" w:val="e449afdd-9194-4680-b9d8-5f3fa4b5081a"/>
    <w:docVar w:name="WAFER_2024102510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04233_GUID" w:val="794bb15a-89b3-43c8-8940-71d189009857"/>
    <w:docVar w:name="WAFER_2024102510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025104256_GUID" w:val="526584ca-0bff-4338-8f9a-5784bad82d05"/>
    <w:docVar w:name="WAFER_20250814131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31052_GUID" w:val="3b21fe37-a5ca-4ad4-8be2-12bc7a99ee0c"/>
    <w:docVar w:name="WAFER_20250826110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6110042_GUID" w:val="4778ddac-27ec-40ec-b08e-b7651cc016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4913"/>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7688E-9543-4A43-B71F-8E9CDFB3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78338</Words>
  <Characters>404230</Characters>
  <Application>Microsoft Office Word</Application>
  <DocSecurity>0</DocSecurity>
  <Lines>11549</Lines>
  <Paragraphs>6521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2012 - 01-ae0-00</dc:title>
  <dc:subject/>
  <dc:creator/>
  <cp:keywords/>
  <dc:description/>
  <cp:lastModifiedBy>Master Repository Process</cp:lastModifiedBy>
  <cp:revision>4</cp:revision>
  <cp:lastPrinted>2022-02-04T08:12:00Z</cp:lastPrinted>
  <dcterms:created xsi:type="dcterms:W3CDTF">2025-08-29T02:38:00Z</dcterms:created>
  <dcterms:modified xsi:type="dcterms:W3CDTF">2025-08-29T02:38:00Z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20250901</vt:lpwstr>
  </property>
  <property fmtid="{D5CDD505-2E9C-101B-9397-08002B2CF9AE}" pid="7" name="CommencementAsAt">
    <vt:filetime>2025-08-31T16:00:00Z</vt:filetime>
  </property>
  <property fmtid="{D5CDD505-2E9C-101B-9397-08002B2CF9AE}" pid="8" name="CommencementYear">
    <vt:lpwstr>2025</vt:lpwstr>
  </property>
  <property fmtid="{D5CDD505-2E9C-101B-9397-08002B2CF9AE}" pid="9" name="AsAtDate">
    <vt:lpwstr>01 Sep 2025</vt:lpwstr>
  </property>
  <property fmtid="{D5CDD505-2E9C-101B-9397-08002B2CF9AE}" pid="10" name="Suffix">
    <vt:lpwstr>01-ae0-00</vt:lpwstr>
  </property>
  <property fmtid="{D5CDD505-2E9C-101B-9397-08002B2CF9AE}" pid="11" name="Official">
    <vt:lpwstr/>
  </property>
</Properties>
</file>