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_Toc207116366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_Toc207116367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_Toc207116368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_Toc207116369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_Toc207116370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_Toc207116371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_Toc207116372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_Toc207116373 \h </w:instrText>
      </w:r>
      <w:r>
        <w:fldChar w:fldCharType="separate"/>
      </w:r>
      <w:r>
        <w:t>15</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_Toc207116374 \h </w:instrText>
      </w:r>
      <w:r>
        <w:fldChar w:fldCharType="separate"/>
      </w:r>
      <w:r>
        <w:t>15</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_Toc207116375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r>
      <w:r>
        <w:t>Minister is corporation sole</w:t>
      </w:r>
      <w:r>
        <w:tab/>
      </w:r>
      <w:r>
        <w:fldChar w:fldCharType="begin"/>
      </w:r>
      <w:r>
        <w:instrText xml:space="preserve"> PAGEREF _Toc207116377 \h </w:instrText>
      </w:r>
      <w:r>
        <w:fldChar w:fldCharType="separate"/>
      </w:r>
      <w:r>
        <w:t>19</w:t>
      </w:r>
      <w:r>
        <w:fldChar w:fldCharType="end"/>
      </w:r>
    </w:p>
    <w:p>
      <w:pPr>
        <w:pStyle w:val="TOC8"/>
        <w:rPr>
          <w:rFonts w:asciiTheme="minorHAnsi" w:eastAsiaTheme="minorEastAsia" w:hAnsiTheme="minorHAnsi" w:cstheme="minorBidi"/>
          <w:szCs w:val="22"/>
        </w:rPr>
      </w:pPr>
      <w:r>
        <w:t>12.</w:t>
      </w:r>
      <w:r>
        <w:tab/>
        <w:t>Delegation</w:t>
      </w:r>
      <w:r>
        <w:tab/>
      </w:r>
      <w:r>
        <w:fldChar w:fldCharType="begin"/>
      </w:r>
      <w:r>
        <w:instrText xml:space="preserve"> PAGEREF _Toc207116378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Appointment of wardens of mines and mining registrar</w:t>
      </w:r>
      <w:r>
        <w:tab/>
      </w:r>
      <w:r>
        <w:fldChar w:fldCharType="begin"/>
      </w:r>
      <w:r>
        <w:instrText xml:space="preserve"> PAGEREF _Toc207116379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_Toc207116380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r>
      <w:r>
        <w:t>Constitution of mineral fields and dealings with Crown land in them</w:t>
      </w:r>
      <w:r>
        <w:tab/>
      </w:r>
      <w:r>
        <w:fldChar w:fldCharType="begin"/>
      </w:r>
      <w:r>
        <w:instrText xml:space="preserve"> PAGEREF _Toc207116381 \h </w:instrText>
      </w:r>
      <w:r>
        <w:fldChar w:fldCharType="separate"/>
      </w:r>
      <w:r>
        <w:t>21</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_Toc207116382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_Toc207116385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Minister may exempt land from mining etc.</w:t>
      </w:r>
      <w:r>
        <w:tab/>
      </w:r>
      <w:r>
        <w:fldChar w:fldCharType="begin"/>
      </w:r>
      <w:r>
        <w:instrText xml:space="preserve"> PAGEREF _Toc207116386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_Toc207116387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_Toc207116388 \h </w:instrText>
      </w:r>
      <w:r>
        <w:fldChar w:fldCharType="separate"/>
      </w:r>
      <w:r>
        <w:t>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_Toc207116389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_Toc207116391 \h </w:instrText>
      </w:r>
      <w:r>
        <w:fldChar w:fldCharType="separate"/>
      </w:r>
      <w:r>
        <w:t>32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_Toc207116392 \h </w:instrText>
      </w:r>
      <w:r>
        <w:fldChar w:fldCharType="separate"/>
      </w:r>
      <w:r>
        <w:t>33</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_Toc207116393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_Toc207116394 \h </w:instrText>
      </w:r>
      <w:r>
        <w:fldChar w:fldCharType="separate"/>
      </w:r>
      <w:r>
        <w:t>39</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_Toc207116395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_Toc207116396 \h </w:instrText>
      </w:r>
      <w:r>
        <w:fldChar w:fldCharType="separate"/>
      </w:r>
      <w:r>
        <w:t>41</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_Toc207116397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_Toc207116399 \h </w:instrText>
      </w:r>
      <w:r>
        <w:fldChar w:fldCharType="separate"/>
      </w:r>
      <w:r>
        <w:t>44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_Toc207116400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_Toc207116401 \h </w:instrText>
      </w:r>
      <w:r>
        <w:fldChar w:fldCharType="separate"/>
      </w:r>
      <w:r>
        <w:t>45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_Toc207116402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_Toc207116403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_Toc207116404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_Toc207116405 \h </w:instrText>
      </w:r>
      <w:r>
        <w:fldChar w:fldCharType="separate"/>
      </w:r>
      <w:r>
        <w:t>52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_Toc207116406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_Toc207116407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_Toc207116408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_Toc207116409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_Toc207116411 \h </w:instrText>
      </w:r>
      <w:r>
        <w:fldChar w:fldCharType="separate"/>
      </w:r>
      <w:r>
        <w:t>57</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_Toc207116412 \h </w:instrText>
      </w:r>
      <w:r>
        <w:fldChar w:fldCharType="separate"/>
      </w:r>
      <w:r>
        <w:t>57</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_Toc207116413 \h </w:instrText>
      </w:r>
      <w:r>
        <w:fldChar w:fldCharType="separate"/>
      </w:r>
      <w:r>
        <w:t>58</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_Toc207116414 \h </w:instrText>
      </w:r>
      <w:r>
        <w:fldChar w:fldCharType="separate"/>
      </w:r>
      <w:r>
        <w:t>58</w:t>
      </w:r>
      <w:r>
        <w:fldChar w:fldCharType="end"/>
      </w:r>
    </w:p>
    <w:p>
      <w:pPr>
        <w:pStyle w:val="TOC8"/>
        <w:rPr>
          <w:rFonts w:asciiTheme="minorHAnsi" w:eastAsiaTheme="minorEastAsia" w:hAnsiTheme="minorHAnsi" w:cstheme="minorBidi"/>
          <w:szCs w:val="22"/>
        </w:rPr>
      </w:pPr>
      <w:r>
        <w:lastRenderedPageBreak/>
        <w:t>40E.</w:t>
      </w:r>
      <w:r>
        <w:tab/>
        <w:t>Permit to prospect on Crown land or conservation land subject of exploration licence</w:t>
      </w:r>
      <w:r>
        <w:tab/>
      </w:r>
      <w:r>
        <w:fldChar w:fldCharType="begin"/>
      </w:r>
      <w:r>
        <w:instrText xml:space="preserve"> PAGEREF _Toc207116415 \h </w:instrText>
      </w:r>
      <w:r>
        <w:fldChar w:fldCharType="separate"/>
      </w:r>
      <w:r>
        <w:t>61</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_Toc207116416 \h </w:instrText>
      </w:r>
      <w:r>
        <w:fldChar w:fldCharType="separate"/>
      </w:r>
      <w:r>
        <w:t>62</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_Toc207116417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_Toc207116420 \h </w:instrText>
      </w:r>
      <w:r>
        <w:fldChar w:fldCharType="separate"/>
      </w:r>
      <w:r>
        <w:t>64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_Toc207116421 \h </w:instrText>
      </w:r>
      <w:r>
        <w:fldChar w:fldCharType="separate"/>
      </w:r>
      <w:r>
        <w:t>64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_Toc207116422 \h </w:instrText>
      </w:r>
      <w:r>
        <w:fldChar w:fldCharType="separate"/>
      </w:r>
      <w:r>
        <w:t>65</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_Toc207116423 \h </w:instrText>
      </w:r>
      <w:r>
        <w:fldChar w:fldCharType="separate"/>
      </w:r>
      <w:r>
        <w:t>66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_Toc207116424 \h </w:instrText>
      </w:r>
      <w:r>
        <w:fldChar w:fldCharType="separate"/>
      </w:r>
      <w:r>
        <w:t>67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_Toc207116425 \h </w:instrText>
      </w:r>
      <w:r>
        <w:fldChar w:fldCharType="separate"/>
      </w:r>
      <w:r>
        <w:t>67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_Toc207116426 \h </w:instrText>
      </w:r>
      <w:r>
        <w:fldChar w:fldCharType="separate"/>
      </w:r>
      <w:r>
        <w:t>69</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_Toc207116427 \h </w:instrText>
      </w:r>
      <w:r>
        <w:fldChar w:fldCharType="separate"/>
      </w:r>
      <w:r>
        <w:t>70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_Toc207116428 \h </w:instrText>
      </w:r>
      <w:r>
        <w:fldChar w:fldCharType="separate"/>
      </w:r>
      <w:r>
        <w:t>71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_Toc207116429 \h </w:instrText>
      </w:r>
      <w:r>
        <w:fldChar w:fldCharType="separate"/>
      </w:r>
      <w:r>
        <w:t>71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_Toc207116430 \h </w:instrText>
      </w:r>
      <w:r>
        <w:fldChar w:fldCharType="separate"/>
      </w:r>
      <w:r>
        <w:t>72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_Toc207116431 \h </w:instrText>
      </w:r>
      <w:r>
        <w:fldChar w:fldCharType="separate"/>
      </w:r>
      <w:r>
        <w:t>73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_Toc207116432 \h </w:instrText>
      </w:r>
      <w:r>
        <w:fldChar w:fldCharType="separate"/>
      </w:r>
      <w:r>
        <w:t>74</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_Toc207116433 \h </w:instrText>
      </w:r>
      <w:r>
        <w:fldChar w:fldCharType="separate"/>
      </w:r>
      <w:r>
        <w:t>74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_Toc207116434 \h </w:instrText>
      </w:r>
      <w:r>
        <w:fldChar w:fldCharType="separate"/>
      </w:r>
      <w:r>
        <w:t>74</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_Toc207116435 \h </w:instrText>
      </w:r>
      <w:r>
        <w:fldChar w:fldCharType="separate"/>
      </w:r>
      <w:r>
        <w:t>75</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_Toc207116436 \h </w:instrText>
      </w:r>
      <w:r>
        <w:fldChar w:fldCharType="separate"/>
      </w:r>
      <w:r>
        <w:t>76</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_Toc207116437 \h </w:instrText>
      </w:r>
      <w:r>
        <w:fldChar w:fldCharType="separate"/>
      </w:r>
      <w:r>
        <w:t>77</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_Toc207116438 \h </w:instrText>
      </w:r>
      <w:r>
        <w:fldChar w:fldCharType="separate"/>
      </w:r>
      <w:r>
        <w:t>78</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_Toc207116439 \h </w:instrText>
      </w:r>
      <w:r>
        <w:fldChar w:fldCharType="separate"/>
      </w:r>
      <w:r>
        <w:t>79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_Toc207116440 \h </w:instrText>
      </w:r>
      <w:r>
        <w:fldChar w:fldCharType="separate"/>
      </w:r>
      <w:r>
        <w:t>79</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_Toc207116441 \h </w:instrText>
      </w:r>
      <w:r>
        <w:fldChar w:fldCharType="separate"/>
      </w:r>
      <w:r>
        <w:t>80</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_Toc207116442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_Toc207116444 \h </w:instrText>
      </w:r>
      <w:r>
        <w:fldChar w:fldCharType="separate"/>
      </w:r>
      <w:r>
        <w:t>87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_Toc207116445 \h </w:instrText>
      </w:r>
      <w:r>
        <w:fldChar w:fldCharType="separate"/>
      </w:r>
      <w:r>
        <w:t>89</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_Toc207116446 \h </w:instrText>
      </w:r>
      <w:r>
        <w:fldChar w:fldCharType="separate"/>
      </w:r>
      <w:r>
        <w:t>92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_Toc207116447 \h </w:instrText>
      </w:r>
      <w:r>
        <w:fldChar w:fldCharType="separate"/>
      </w:r>
      <w:r>
        <w:t>92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_Toc207116448 \h </w:instrText>
      </w:r>
      <w:r>
        <w:fldChar w:fldCharType="separate"/>
      </w:r>
      <w:r>
        <w:t>94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_Toc207116449 \h </w:instrText>
      </w:r>
      <w:r>
        <w:fldChar w:fldCharType="separate"/>
      </w:r>
      <w:r>
        <w:t>96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_Toc207116450 \h </w:instrText>
      </w:r>
      <w:r>
        <w:fldChar w:fldCharType="separate"/>
      </w:r>
      <w:r>
        <w:t>97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_Toc207116451 \h </w:instrText>
      </w:r>
      <w:r>
        <w:fldChar w:fldCharType="separate"/>
      </w:r>
      <w:r>
        <w:t>98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_Toc207116452 \h </w:instrText>
      </w:r>
      <w:r>
        <w:fldChar w:fldCharType="separate"/>
      </w:r>
      <w:r>
        <w:t>98</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_Toc207116453 \h </w:instrText>
      </w:r>
      <w:r>
        <w:fldChar w:fldCharType="separate"/>
      </w:r>
      <w:r>
        <w:t>99</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_Toc207116454 \h </w:instrText>
      </w:r>
      <w:r>
        <w:fldChar w:fldCharType="separate"/>
      </w:r>
      <w:r>
        <w:t>100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_Toc207116455 \h </w:instrText>
      </w:r>
      <w:r>
        <w:fldChar w:fldCharType="separate"/>
      </w:r>
      <w:r>
        <w:t>101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_Toc207116456 \h </w:instrText>
      </w:r>
      <w:r>
        <w:fldChar w:fldCharType="separate"/>
      </w:r>
      <w:r>
        <w:t>102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_Toc207116457 \h </w:instrText>
      </w:r>
      <w:r>
        <w:fldChar w:fldCharType="separate"/>
      </w:r>
      <w:r>
        <w:t>104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_Toc207116458 \h </w:instrText>
      </w:r>
      <w:r>
        <w:fldChar w:fldCharType="separate"/>
      </w:r>
      <w:r>
        <w:t>105</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_Toc207116459 \h </w:instrText>
      </w:r>
      <w:r>
        <w:fldChar w:fldCharType="separate"/>
      </w:r>
      <w:r>
        <w:t>106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_Toc207116460 \h </w:instrText>
      </w:r>
      <w:r>
        <w:fldChar w:fldCharType="separate"/>
      </w:r>
      <w:r>
        <w:t>109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_Toc207116461 \h </w:instrText>
      </w:r>
      <w:r>
        <w:fldChar w:fldCharType="separate"/>
      </w:r>
      <w:r>
        <w:t>109</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_Toc207116462 \h </w:instrText>
      </w:r>
      <w:r>
        <w:fldChar w:fldCharType="separate"/>
      </w:r>
      <w:r>
        <w:t>110</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_Toc207116463 \h </w:instrText>
      </w:r>
      <w:r>
        <w:fldChar w:fldCharType="separate"/>
      </w:r>
      <w:r>
        <w:t>111</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_Toc207116464 \h </w:instrText>
      </w:r>
      <w:r>
        <w:fldChar w:fldCharType="separate"/>
      </w:r>
      <w:r>
        <w:t>112</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_Toc207116465 \h </w:instrText>
      </w:r>
      <w:r>
        <w:fldChar w:fldCharType="separate"/>
      </w:r>
      <w:r>
        <w:t>113</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_Toc207116466 \h </w:instrText>
      </w:r>
      <w:r>
        <w:fldChar w:fldCharType="separate"/>
      </w:r>
      <w:r>
        <w:t>113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_Toc207116467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_Toc207116469 \h </w:instrText>
      </w:r>
      <w:r>
        <w:fldChar w:fldCharType="separate"/>
      </w:r>
      <w:r>
        <w:t>121</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_Toc207116470 \h </w:instrText>
      </w:r>
      <w:r>
        <w:fldChar w:fldCharType="separate"/>
      </w:r>
      <w:r>
        <w:t>121</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_Toc207116471 \h </w:instrText>
      </w:r>
      <w:r>
        <w:fldChar w:fldCharType="separate"/>
      </w:r>
      <w:r>
        <w:t>122</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_Toc207116472 \h </w:instrText>
      </w:r>
      <w:r>
        <w:fldChar w:fldCharType="separate"/>
      </w:r>
      <w:r>
        <w:t>125</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_Toc207116473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70F.</w:t>
      </w:r>
      <w:r>
        <w:tab/>
        <w:t>Security relating to retention licence</w:t>
      </w:r>
      <w:r>
        <w:tab/>
      </w:r>
      <w:r>
        <w:fldChar w:fldCharType="begin"/>
      </w:r>
      <w:r>
        <w:instrText xml:space="preserve"> PAGEREF _Toc207116474 \h </w:instrText>
      </w:r>
      <w:r>
        <w:fldChar w:fldCharType="separate"/>
      </w:r>
      <w:r>
        <w:t>128</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_Toc207116475 \h </w:instrText>
      </w:r>
      <w:r>
        <w:fldChar w:fldCharType="separate"/>
      </w:r>
      <w:r>
        <w:t>128</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_Toc207116476 \h </w:instrText>
      </w:r>
      <w:r>
        <w:fldChar w:fldCharType="separate"/>
      </w:r>
      <w:r>
        <w:t>129</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_Toc207116477 \h </w:instrText>
      </w:r>
      <w:r>
        <w:fldChar w:fldCharType="separate"/>
      </w:r>
      <w:r>
        <w:t>130</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_Toc207116478 \h </w:instrText>
      </w:r>
      <w:r>
        <w:fldChar w:fldCharType="separate"/>
      </w:r>
      <w:r>
        <w:t>131</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_Toc207116479 \h </w:instrText>
      </w:r>
      <w:r>
        <w:fldChar w:fldCharType="separate"/>
      </w:r>
      <w:r>
        <w:t>132</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_Toc207116480 \h </w:instrText>
      </w:r>
      <w:r>
        <w:fldChar w:fldCharType="separate"/>
      </w:r>
      <w:r>
        <w:t>133</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_Toc207116481 \h </w:instrText>
      </w:r>
      <w:r>
        <w:fldChar w:fldCharType="separate"/>
      </w:r>
      <w:r>
        <w:t>134</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_Toc207116482 \h </w:instrText>
      </w:r>
      <w:r>
        <w:fldChar w:fldCharType="separate"/>
      </w:r>
      <w:r>
        <w:t>135</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_Toc207116483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_Toc207116485 \h </w:instrText>
      </w:r>
      <w:r>
        <w:fldChar w:fldCharType="separate"/>
      </w:r>
      <w:r>
        <w:t>136</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_Toc207116486 \h </w:instrText>
      </w:r>
      <w:r>
        <w:fldChar w:fldCharType="separate"/>
      </w:r>
      <w:r>
        <w:t>137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_Toc207116487 \h </w:instrText>
      </w:r>
      <w:r>
        <w:fldChar w:fldCharType="separate"/>
      </w:r>
      <w:r>
        <w:t>137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_Toc207116488 \h </w:instrText>
      </w:r>
      <w:r>
        <w:fldChar w:fldCharType="separate"/>
      </w:r>
      <w:r>
        <w:t>138</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_Toc207116489 \h </w:instrText>
      </w:r>
      <w:r>
        <w:fldChar w:fldCharType="separate"/>
      </w:r>
      <w:r>
        <w:t>138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_Toc207116490 \h </w:instrText>
      </w:r>
      <w:r>
        <w:fldChar w:fldCharType="separate"/>
      </w:r>
      <w:r>
        <w:t>138</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_Toc207116491 \h </w:instrText>
      </w:r>
      <w:r>
        <w:fldChar w:fldCharType="separate"/>
      </w:r>
      <w:r>
        <w:t>141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_Toc207116492 \h </w:instrText>
      </w:r>
      <w:r>
        <w:fldChar w:fldCharType="separate"/>
      </w:r>
      <w:r>
        <w:t>142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_Toc207116493 \h </w:instrText>
      </w:r>
      <w:r>
        <w:fldChar w:fldCharType="separate"/>
      </w:r>
      <w:r>
        <w:t>145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_Toc207116494 \h </w:instrText>
      </w:r>
      <w:r>
        <w:fldChar w:fldCharType="separate"/>
      </w:r>
      <w:r>
        <w:t>146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_Toc207116495 \h </w:instrText>
      </w:r>
      <w:r>
        <w:fldChar w:fldCharType="separate"/>
      </w:r>
      <w:r>
        <w:t>146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_Toc207116496 \h </w:instrText>
      </w:r>
      <w:r>
        <w:fldChar w:fldCharType="separate"/>
      </w:r>
      <w:r>
        <w:t>147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_Toc207116497 \h </w:instrText>
      </w:r>
      <w:r>
        <w:fldChar w:fldCharType="separate"/>
      </w:r>
      <w:r>
        <w:t>147</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_Toc207116498 \h </w:instrText>
      </w:r>
      <w:r>
        <w:fldChar w:fldCharType="separate"/>
      </w:r>
      <w:r>
        <w:t>150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_Toc207116499 \h </w:instrText>
      </w:r>
      <w:r>
        <w:fldChar w:fldCharType="separate"/>
      </w:r>
      <w:r>
        <w:t>150</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_Toc207116500 \h </w:instrText>
      </w:r>
      <w:r>
        <w:fldChar w:fldCharType="separate"/>
      </w:r>
      <w:r>
        <w:t>151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_Toc207116501 \h </w:instrText>
      </w:r>
      <w:r>
        <w:fldChar w:fldCharType="separate"/>
      </w:r>
      <w:r>
        <w:t>151</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_Toc207116502 \h </w:instrText>
      </w:r>
      <w:r>
        <w:fldChar w:fldCharType="separate"/>
      </w:r>
      <w:r>
        <w:t>152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_Toc207116503 \h </w:instrText>
      </w:r>
      <w:r>
        <w:fldChar w:fldCharType="separate"/>
      </w:r>
      <w:r>
        <w:t>153</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_Toc207116504 \h </w:instrText>
      </w:r>
      <w:r>
        <w:fldChar w:fldCharType="separate"/>
      </w:r>
      <w:r>
        <w:t>154</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_Toc207116505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_Toc207116507 \h </w:instrText>
      </w:r>
      <w:r>
        <w:fldChar w:fldCharType="separate"/>
      </w:r>
      <w:r>
        <w:t>159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_Toc207116508 \h </w:instrText>
      </w:r>
      <w:r>
        <w:fldChar w:fldCharType="separate"/>
      </w:r>
      <w:r>
        <w:t>160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_Toc207116509 \h </w:instrText>
      </w:r>
      <w:r>
        <w:fldChar w:fldCharType="separate"/>
      </w:r>
      <w:r>
        <w:t>161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_Toc207116510 \h </w:instrText>
      </w:r>
      <w:r>
        <w:fldChar w:fldCharType="separate"/>
      </w:r>
      <w:r>
        <w:t>162</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_Toc207116511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_Toc207116513 \h </w:instrText>
      </w:r>
      <w:r>
        <w:fldChar w:fldCharType="separate"/>
      </w:r>
      <w:r>
        <w:t>163</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_Toc207116514 \h </w:instrText>
      </w:r>
      <w:r>
        <w:fldChar w:fldCharType="separate"/>
      </w:r>
      <w:r>
        <w:t>165</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_Toc207116515 \h </w:instrText>
      </w:r>
      <w:r>
        <w:fldChar w:fldCharType="separate"/>
      </w:r>
      <w:r>
        <w:t>166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_Toc207116516 \h </w:instrText>
      </w:r>
      <w:r>
        <w:fldChar w:fldCharType="separate"/>
      </w:r>
      <w:r>
        <w:t>167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_Toc207116517 \h </w:instrText>
      </w:r>
      <w:r>
        <w:fldChar w:fldCharType="separate"/>
      </w:r>
      <w:r>
        <w:t>167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_Toc207116518 \h </w:instrText>
      </w:r>
      <w:r>
        <w:fldChar w:fldCharType="separate"/>
      </w:r>
      <w:r>
        <w:t>168</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_Toc207116519 \h </w:instrText>
      </w:r>
      <w:r>
        <w:fldChar w:fldCharType="separate"/>
      </w:r>
      <w:r>
        <w:t>168</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forfeiture or expiry of concurrent tenement</w:t>
      </w:r>
      <w:r>
        <w:tab/>
      </w:r>
      <w:r>
        <w:fldChar w:fldCharType="begin"/>
      </w:r>
      <w:r>
        <w:instrText xml:space="preserve"> PAGEREF _Toc207116520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_Toc207116522 \h </w:instrText>
      </w:r>
      <w:r>
        <w:fldChar w:fldCharType="separate"/>
      </w:r>
      <w:r>
        <w:t>169</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_Toc207116523 \h </w:instrText>
      </w:r>
      <w:r>
        <w:fldChar w:fldCharType="separate"/>
      </w:r>
      <w:r>
        <w:t>170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_Toc207116524 \h </w:instrText>
      </w:r>
      <w:r>
        <w:fldChar w:fldCharType="separate"/>
      </w:r>
      <w:r>
        <w:t>171</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_Toc207116525 \h </w:instrText>
      </w:r>
      <w:r>
        <w:fldChar w:fldCharType="separate"/>
      </w:r>
      <w:r>
        <w:t>175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_Toc207116526 \h </w:instrText>
      </w:r>
      <w:r>
        <w:fldChar w:fldCharType="separate"/>
      </w:r>
      <w:r>
        <w:t>176</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_Toc207116527 \h </w:instrText>
      </w:r>
      <w:r>
        <w:fldChar w:fldCharType="separate"/>
      </w:r>
      <w:r>
        <w:t>178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_Toc207116528 \h </w:instrText>
      </w:r>
      <w:r>
        <w:fldChar w:fldCharType="separate"/>
      </w:r>
      <w:r>
        <w:t>180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_Toc207116529 \h </w:instrText>
      </w:r>
      <w:r>
        <w:fldChar w:fldCharType="separate"/>
      </w:r>
      <w:r>
        <w:t>181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_Toc207116530 \h </w:instrText>
      </w:r>
      <w:r>
        <w:fldChar w:fldCharType="separate"/>
      </w:r>
      <w:r>
        <w:t>182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_Toc207116531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_Toc207116533 \h </w:instrText>
      </w:r>
      <w:r>
        <w:fldChar w:fldCharType="separate"/>
      </w:r>
      <w:r>
        <w:t>184</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_Toc207116534 \h </w:instrText>
      </w:r>
      <w:r>
        <w:fldChar w:fldCharType="separate"/>
      </w:r>
      <w:r>
        <w:t>187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_Toc207116535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_Toc207116537 \h </w:instrText>
      </w:r>
      <w:r>
        <w:fldChar w:fldCharType="separate"/>
      </w:r>
      <w:r>
        <w:t>189</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_Toc207116538 \h </w:instrText>
      </w:r>
      <w:r>
        <w:fldChar w:fldCharType="separate"/>
      </w:r>
      <w:r>
        <w:t>189</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_Toc207116539 \h </w:instrText>
      </w:r>
      <w:r>
        <w:fldChar w:fldCharType="separate"/>
      </w:r>
      <w:r>
        <w:t>189</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_Toc207116540 \h </w:instrText>
      </w:r>
      <w:r>
        <w:fldChar w:fldCharType="separate"/>
      </w:r>
      <w:r>
        <w:t>191</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_Toc207116541 \h </w:instrText>
      </w:r>
      <w:r>
        <w:fldChar w:fldCharType="separate"/>
      </w:r>
      <w:r>
        <w:t>191</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_Toc207116542 \h </w:instrText>
      </w:r>
      <w:r>
        <w:fldChar w:fldCharType="separate"/>
      </w:r>
      <w:r>
        <w:t>192</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_Toc207116543 \h </w:instrText>
      </w:r>
      <w:r>
        <w:fldChar w:fldCharType="separate"/>
      </w:r>
      <w:r>
        <w:t>192</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_Toc207116544 \h </w:instrText>
      </w:r>
      <w:r>
        <w:fldChar w:fldCharType="separate"/>
      </w:r>
      <w:r>
        <w:t>193</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_Toc207116545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surveying etc.</w:t>
      </w:r>
      <w:r>
        <w:tab/>
      </w:r>
      <w:r>
        <w:fldChar w:fldCharType="begin"/>
      </w:r>
      <w:r>
        <w:instrText xml:space="preserve"> PAGEREF _Toc207116547 \h </w:instrText>
      </w:r>
      <w:r>
        <w:fldChar w:fldCharType="separate"/>
      </w:r>
      <w:r>
        <w:t>194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_Toc207116548 \h </w:instrText>
      </w:r>
      <w:r>
        <w:fldChar w:fldCharType="separate"/>
      </w:r>
      <w:r>
        <w:t>195</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_Toc207116549 \h </w:instrText>
      </w:r>
      <w:r>
        <w:fldChar w:fldCharType="separate"/>
      </w:r>
      <w:r>
        <w:t>197</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_Toc207116550 \h </w:instrText>
      </w:r>
      <w:r>
        <w:fldChar w:fldCharType="separate"/>
      </w:r>
      <w:r>
        <w:t>199</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_Toc207116551 \h </w:instrText>
      </w:r>
      <w:r>
        <w:fldChar w:fldCharType="separate"/>
      </w:r>
      <w:r>
        <w:t>199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_Toc207116552 \h </w:instrText>
      </w:r>
      <w:r>
        <w:fldChar w:fldCharType="separate"/>
      </w:r>
      <w:r>
        <w:t>200</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_Toc207116553 \h </w:instrText>
      </w:r>
      <w:r>
        <w:fldChar w:fldCharType="separate"/>
      </w:r>
      <w:r>
        <w:t>200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_Toc207116554 \h </w:instrText>
      </w:r>
      <w:r>
        <w:fldChar w:fldCharType="separate"/>
      </w:r>
      <w:r>
        <w:t>200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_Toc207116555 \h </w:instrText>
      </w:r>
      <w:r>
        <w:fldChar w:fldCharType="separate"/>
      </w:r>
      <w:r>
        <w:t>201</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_Toc207116556 \h </w:instrText>
      </w:r>
      <w:r>
        <w:fldChar w:fldCharType="separate"/>
      </w:r>
      <w:r>
        <w:t>201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_Toc207116557 \h </w:instrText>
      </w:r>
      <w:r>
        <w:fldChar w:fldCharType="separate"/>
      </w:r>
      <w:r>
        <w:t>203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Repossession of land on expiry, surrender or forfeiture of mining tenement</w:t>
      </w:r>
      <w:r>
        <w:tab/>
      </w:r>
      <w:r>
        <w:fldChar w:fldCharType="begin"/>
      </w:r>
      <w:r>
        <w:instrText xml:space="preserve"> PAGEREF _Toc207116558 \h </w:instrText>
      </w:r>
      <w:r>
        <w:fldChar w:fldCharType="separate"/>
      </w:r>
      <w:r>
        <w:t>203</w:t>
      </w:r>
      <w:r>
        <w:fldChar w:fldCharType="end"/>
      </w:r>
    </w:p>
    <w:p>
      <w:pPr>
        <w:pStyle w:val="TOC8"/>
        <w:rPr>
          <w:rFonts w:asciiTheme="minorHAnsi" w:eastAsiaTheme="minorEastAsia" w:hAnsiTheme="minorHAnsi" w:cstheme="minorBidi"/>
          <w:szCs w:val="22"/>
        </w:rPr>
      </w:pPr>
      <w:r>
        <w:lastRenderedPageBreak/>
        <w:t>114</w:t>
      </w:r>
      <w:r>
        <w:rPr>
          <w:snapToGrid w:val="0"/>
        </w:rPr>
        <w:t>.</w:t>
      </w:r>
      <w:r>
        <w:rPr>
          <w:snapToGrid w:val="0"/>
        </w:rPr>
        <w:tab/>
        <w:t>Removal of mining plant on expiry, surrender or forfeiture of mining tenement</w:t>
      </w:r>
      <w:r>
        <w:tab/>
      </w:r>
      <w:r>
        <w:fldChar w:fldCharType="begin"/>
      </w:r>
      <w:r>
        <w:instrText xml:space="preserve"> PAGEREF _Toc207116559 \h </w:instrText>
      </w:r>
      <w:r>
        <w:fldChar w:fldCharType="separate"/>
      </w:r>
      <w:r>
        <w:t>204</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_Toc207116560 \h </w:instrText>
      </w:r>
      <w:r>
        <w:fldChar w:fldCharType="separate"/>
      </w:r>
      <w:r>
        <w:t>206</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_Toc207116561 \h </w:instrText>
      </w:r>
      <w:r>
        <w:fldChar w:fldCharType="separate"/>
      </w:r>
      <w:r>
        <w:t>207</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_Toc207116562 \h </w:instrText>
      </w:r>
      <w:r>
        <w:fldChar w:fldCharType="separate"/>
      </w:r>
      <w:r>
        <w:t>207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_Toc207116563 \h </w:instrText>
      </w:r>
      <w:r>
        <w:fldChar w:fldCharType="separate"/>
      </w:r>
      <w:r>
        <w:t>208</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Mineral exploration reports</w:t>
      </w:r>
      <w:r>
        <w:tab/>
      </w:r>
      <w:r>
        <w:fldChar w:fldCharType="begin"/>
      </w:r>
      <w:r>
        <w:instrText xml:space="preserve"> PAGEREF _Toc207116564 \h </w:instrText>
      </w:r>
      <w:r>
        <w:fldChar w:fldCharType="separate"/>
      </w:r>
      <w:r>
        <w:t>209</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_Toc207116565 \h </w:instrText>
      </w:r>
      <w:r>
        <w:fldChar w:fldCharType="separate"/>
      </w:r>
      <w:r>
        <w:t>210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_Toc207116566 \h </w:instrText>
      </w:r>
      <w:r>
        <w:fldChar w:fldCharType="separate"/>
      </w:r>
      <w:r>
        <w:t>211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_Toc207116567 \h </w:instrText>
      </w:r>
      <w:r>
        <w:fldChar w:fldCharType="separate"/>
      </w:r>
      <w:r>
        <w:t>212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r>
      <w:r>
        <w:t>Notice of application to be given to lessee of pastoral lease or diversification lease</w:t>
      </w:r>
      <w:r>
        <w:tab/>
      </w:r>
      <w:r>
        <w:fldChar w:fldCharType="begin"/>
      </w:r>
      <w:r>
        <w:instrText xml:space="preserve"> PAGEREF _Toc207116568 \h </w:instrText>
      </w:r>
      <w:r>
        <w:fldChar w:fldCharType="separate"/>
      </w:r>
      <w:r>
        <w:t>213</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_Toc207116569 \h </w:instrText>
      </w:r>
      <w:r>
        <w:fldChar w:fldCharType="separate"/>
      </w:r>
      <w:r>
        <w:t>213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encumbered etc.</w:t>
      </w:r>
      <w:r>
        <w:tab/>
      </w:r>
      <w:r>
        <w:fldChar w:fldCharType="begin"/>
      </w:r>
      <w:r>
        <w:instrText xml:space="preserve"> PAGEREF _Toc207116570 \h </w:instrText>
      </w:r>
      <w:r>
        <w:fldChar w:fldCharType="separate"/>
      </w:r>
      <w:r>
        <w:t>214</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_Toc207116571 \h </w:instrText>
      </w:r>
      <w:r>
        <w:fldChar w:fldCharType="separate"/>
      </w:r>
      <w:r>
        <w:t>214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_Toc207116572 \h </w:instrText>
      </w:r>
      <w:r>
        <w:fldChar w:fldCharType="separate"/>
      </w:r>
      <w:r>
        <w:t>215</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_Toc207116573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5A — Royalties</w:t>
      </w:r>
    </w:p>
    <w:p>
      <w:pPr>
        <w:pStyle w:val="TOC4"/>
        <w:tabs>
          <w:tab w:val="right" w:leader="dot" w:pos="7077"/>
        </w:tabs>
        <w:rPr>
          <w:rFonts w:asciiTheme="minorHAnsi" w:eastAsiaTheme="minorEastAsia" w:hAnsiTheme="minorHAnsi" w:cstheme="minorBidi"/>
          <w:b w:val="0"/>
          <w:szCs w:val="22"/>
        </w:rPr>
      </w:pPr>
      <w:r>
        <w:t>Division 1 — General provisions about royalties</w:t>
      </w:r>
    </w:p>
    <w:p>
      <w:pPr>
        <w:pStyle w:val="TOC8"/>
        <w:rPr>
          <w:rFonts w:asciiTheme="minorHAnsi" w:eastAsiaTheme="minorEastAsia" w:hAnsiTheme="minorHAnsi" w:cstheme="minorBidi"/>
          <w:szCs w:val="22"/>
        </w:rPr>
      </w:pPr>
      <w:r>
        <w:t>120A.</w:t>
      </w:r>
      <w:r>
        <w:tab/>
        <w:t>Terms used</w:t>
      </w:r>
      <w:r>
        <w:tab/>
      </w:r>
      <w:r>
        <w:fldChar w:fldCharType="begin"/>
      </w:r>
      <w:r>
        <w:instrText xml:space="preserve"> PAGEREF _Toc207116576 \h </w:instrText>
      </w:r>
      <w:r>
        <w:fldChar w:fldCharType="separate"/>
      </w:r>
      <w:r>
        <w:t>218</w:t>
      </w:r>
      <w:r>
        <w:fldChar w:fldCharType="end"/>
      </w:r>
    </w:p>
    <w:p>
      <w:pPr>
        <w:pStyle w:val="TOC8"/>
        <w:rPr>
          <w:rFonts w:asciiTheme="minorHAnsi" w:eastAsiaTheme="minorEastAsia" w:hAnsiTheme="minorHAnsi" w:cstheme="minorBidi"/>
          <w:szCs w:val="22"/>
        </w:rPr>
      </w:pPr>
      <w:r>
        <w:t>120B.</w:t>
      </w:r>
      <w:r>
        <w:tab/>
        <w:t>Royalty payable</w:t>
      </w:r>
      <w:r>
        <w:tab/>
      </w:r>
      <w:r>
        <w:fldChar w:fldCharType="begin"/>
      </w:r>
      <w:r>
        <w:instrText xml:space="preserve"> PAGEREF _Toc207116577 \h </w:instrText>
      </w:r>
      <w:r>
        <w:fldChar w:fldCharType="separate"/>
      </w:r>
      <w:r>
        <w:t>219</w:t>
      </w:r>
      <w:r>
        <w:fldChar w:fldCharType="end"/>
      </w:r>
    </w:p>
    <w:p>
      <w:pPr>
        <w:pStyle w:val="TOC8"/>
        <w:rPr>
          <w:rFonts w:asciiTheme="minorHAnsi" w:eastAsiaTheme="minorEastAsia" w:hAnsiTheme="minorHAnsi" w:cstheme="minorBidi"/>
          <w:szCs w:val="22"/>
        </w:rPr>
      </w:pPr>
      <w:r>
        <w:t>120C.</w:t>
      </w:r>
      <w:r>
        <w:tab/>
        <w:t>Prescription of royalty</w:t>
      </w:r>
      <w:r>
        <w:tab/>
      </w:r>
      <w:r>
        <w:fldChar w:fldCharType="begin"/>
      </w:r>
      <w:r>
        <w:instrText xml:space="preserve"> PAGEREF _Toc207116578 \h </w:instrText>
      </w:r>
      <w:r>
        <w:fldChar w:fldCharType="separate"/>
      </w:r>
      <w:r>
        <w:t>219</w:t>
      </w:r>
      <w:r>
        <w:fldChar w:fldCharType="end"/>
      </w:r>
    </w:p>
    <w:p>
      <w:pPr>
        <w:pStyle w:val="TOC8"/>
        <w:rPr>
          <w:rFonts w:asciiTheme="minorHAnsi" w:eastAsiaTheme="minorEastAsia" w:hAnsiTheme="minorHAnsi" w:cstheme="minorBidi"/>
          <w:szCs w:val="22"/>
        </w:rPr>
      </w:pPr>
      <w:r>
        <w:t>120D.</w:t>
      </w:r>
      <w:r>
        <w:tab/>
        <w:t>Requirement for royalty return</w:t>
      </w:r>
      <w:r>
        <w:tab/>
      </w:r>
      <w:r>
        <w:fldChar w:fldCharType="begin"/>
      </w:r>
      <w:r>
        <w:instrText xml:space="preserve"> PAGEREF _Toc207116579 \h </w:instrText>
      </w:r>
      <w:r>
        <w:fldChar w:fldCharType="separate"/>
      </w:r>
      <w:r>
        <w:t>220</w:t>
      </w:r>
      <w:r>
        <w:fldChar w:fldCharType="end"/>
      </w:r>
    </w:p>
    <w:p>
      <w:pPr>
        <w:pStyle w:val="TOC8"/>
        <w:rPr>
          <w:rFonts w:asciiTheme="minorHAnsi" w:eastAsiaTheme="minorEastAsia" w:hAnsiTheme="minorHAnsi" w:cstheme="minorBidi"/>
          <w:szCs w:val="22"/>
        </w:rPr>
      </w:pPr>
      <w:r>
        <w:t>120E.</w:t>
      </w:r>
      <w:r>
        <w:tab/>
        <w:t>Additional rent payable for mining tenement</w:t>
      </w:r>
      <w:r>
        <w:tab/>
      </w:r>
      <w:r>
        <w:fldChar w:fldCharType="begin"/>
      </w:r>
      <w:r>
        <w:instrText xml:space="preserve"> PAGEREF _Toc207116580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2 — Verification of royalties payable</w:t>
      </w:r>
    </w:p>
    <w:p>
      <w:pPr>
        <w:pStyle w:val="TOC8"/>
        <w:rPr>
          <w:rFonts w:asciiTheme="minorHAnsi" w:eastAsiaTheme="minorEastAsia" w:hAnsiTheme="minorHAnsi" w:cstheme="minorBidi"/>
          <w:szCs w:val="22"/>
        </w:rPr>
      </w:pPr>
      <w:r>
        <w:t>120F.</w:t>
      </w:r>
      <w:r>
        <w:tab/>
        <w:t>Determination of royalty</w:t>
      </w:r>
      <w:r>
        <w:tab/>
      </w:r>
      <w:r>
        <w:fldChar w:fldCharType="begin"/>
      </w:r>
      <w:r>
        <w:instrText xml:space="preserve"> PAGEREF _Toc207116582 \h </w:instrText>
      </w:r>
      <w:r>
        <w:fldChar w:fldCharType="separate"/>
      </w:r>
      <w:r>
        <w:t>221</w:t>
      </w:r>
      <w:r>
        <w:fldChar w:fldCharType="end"/>
      </w:r>
    </w:p>
    <w:p>
      <w:pPr>
        <w:pStyle w:val="TOC8"/>
        <w:rPr>
          <w:rFonts w:asciiTheme="minorHAnsi" w:eastAsiaTheme="minorEastAsia" w:hAnsiTheme="minorHAnsi" w:cstheme="minorBidi"/>
          <w:szCs w:val="22"/>
        </w:rPr>
      </w:pPr>
      <w:r>
        <w:t>120G.</w:t>
      </w:r>
      <w:r>
        <w:tab/>
        <w:t>Notice of royalty determination</w:t>
      </w:r>
      <w:r>
        <w:tab/>
      </w:r>
      <w:r>
        <w:fldChar w:fldCharType="begin"/>
      </w:r>
      <w:r>
        <w:instrText xml:space="preserve"> PAGEREF _Toc207116583 \h </w:instrText>
      </w:r>
      <w:r>
        <w:fldChar w:fldCharType="separate"/>
      </w:r>
      <w:r>
        <w:t>222</w:t>
      </w:r>
      <w:r>
        <w:fldChar w:fldCharType="end"/>
      </w:r>
    </w:p>
    <w:p>
      <w:pPr>
        <w:pStyle w:val="TOC8"/>
        <w:rPr>
          <w:rFonts w:asciiTheme="minorHAnsi" w:eastAsiaTheme="minorEastAsia" w:hAnsiTheme="minorHAnsi" w:cstheme="minorBidi"/>
          <w:szCs w:val="22"/>
        </w:rPr>
      </w:pPr>
      <w:r>
        <w:t>120H.</w:t>
      </w:r>
      <w:r>
        <w:tab/>
        <w:t>Certificate verifying assessment of royalty</w:t>
      </w:r>
      <w:r>
        <w:tab/>
      </w:r>
      <w:r>
        <w:fldChar w:fldCharType="begin"/>
      </w:r>
      <w:r>
        <w:instrText xml:space="preserve"> PAGEREF _Toc207116584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120I.</w:t>
      </w:r>
      <w:r>
        <w:tab/>
        <w:t>Purposes of investigations</w:t>
      </w:r>
      <w:r>
        <w:tab/>
      </w:r>
      <w:r>
        <w:fldChar w:fldCharType="begin"/>
      </w:r>
      <w:r>
        <w:instrText xml:space="preserve"> PAGEREF _Toc207116586 \h </w:instrText>
      </w:r>
      <w:r>
        <w:fldChar w:fldCharType="separate"/>
      </w:r>
      <w:r>
        <w:t>223</w:t>
      </w:r>
      <w:r>
        <w:fldChar w:fldCharType="end"/>
      </w:r>
    </w:p>
    <w:p>
      <w:pPr>
        <w:pStyle w:val="TOC8"/>
        <w:rPr>
          <w:rFonts w:asciiTheme="minorHAnsi" w:eastAsiaTheme="minorEastAsia" w:hAnsiTheme="minorHAnsi" w:cstheme="minorBidi"/>
          <w:szCs w:val="22"/>
        </w:rPr>
      </w:pPr>
      <w:r>
        <w:t>120J.</w:t>
      </w:r>
      <w:r>
        <w:tab/>
        <w:t>Investigators</w:t>
      </w:r>
      <w:r>
        <w:tab/>
      </w:r>
      <w:r>
        <w:fldChar w:fldCharType="begin"/>
      </w:r>
      <w:r>
        <w:instrText xml:space="preserve"> PAGEREF _Toc207116587 \h </w:instrText>
      </w:r>
      <w:r>
        <w:fldChar w:fldCharType="separate"/>
      </w:r>
      <w:r>
        <w:t>224</w:t>
      </w:r>
      <w:r>
        <w:fldChar w:fldCharType="end"/>
      </w:r>
    </w:p>
    <w:p>
      <w:pPr>
        <w:pStyle w:val="TOC8"/>
        <w:rPr>
          <w:rFonts w:asciiTheme="minorHAnsi" w:eastAsiaTheme="minorEastAsia" w:hAnsiTheme="minorHAnsi" w:cstheme="minorBidi"/>
          <w:szCs w:val="22"/>
        </w:rPr>
      </w:pPr>
      <w:r>
        <w:lastRenderedPageBreak/>
        <w:t>120K.</w:t>
      </w:r>
      <w:r>
        <w:tab/>
        <w:t>Power to enter land or premises</w:t>
      </w:r>
      <w:r>
        <w:tab/>
      </w:r>
      <w:r>
        <w:fldChar w:fldCharType="begin"/>
      </w:r>
      <w:r>
        <w:instrText xml:space="preserve"> PAGEREF _Toc207116588 \h </w:instrText>
      </w:r>
      <w:r>
        <w:fldChar w:fldCharType="separate"/>
      </w:r>
      <w:r>
        <w:t>225</w:t>
      </w:r>
      <w:r>
        <w:fldChar w:fldCharType="end"/>
      </w:r>
    </w:p>
    <w:p>
      <w:pPr>
        <w:pStyle w:val="TOC8"/>
        <w:rPr>
          <w:rFonts w:asciiTheme="minorHAnsi" w:eastAsiaTheme="minorEastAsia" w:hAnsiTheme="minorHAnsi" w:cstheme="minorBidi"/>
          <w:szCs w:val="22"/>
        </w:rPr>
      </w:pPr>
      <w:r>
        <w:t>120L.</w:t>
      </w:r>
      <w:r>
        <w:tab/>
        <w:t>Powers of investigation while on land or premises</w:t>
      </w:r>
      <w:r>
        <w:tab/>
      </w:r>
      <w:r>
        <w:fldChar w:fldCharType="begin"/>
      </w:r>
      <w:r>
        <w:instrText xml:space="preserve"> PAGEREF _Toc207116589 \h </w:instrText>
      </w:r>
      <w:r>
        <w:fldChar w:fldCharType="separate"/>
      </w:r>
      <w:r>
        <w:t>225</w:t>
      </w:r>
      <w:r>
        <w:fldChar w:fldCharType="end"/>
      </w:r>
    </w:p>
    <w:p>
      <w:pPr>
        <w:pStyle w:val="TOC8"/>
        <w:rPr>
          <w:rFonts w:asciiTheme="minorHAnsi" w:eastAsiaTheme="minorEastAsia" w:hAnsiTheme="minorHAnsi" w:cstheme="minorBidi"/>
          <w:szCs w:val="22"/>
        </w:rPr>
      </w:pPr>
      <w:r>
        <w:t>120M.</w:t>
      </w:r>
      <w:r>
        <w:tab/>
        <w:t>Power to require person to provide information</w:t>
      </w:r>
      <w:r>
        <w:tab/>
      </w:r>
      <w:r>
        <w:fldChar w:fldCharType="begin"/>
      </w:r>
      <w:r>
        <w:instrText xml:space="preserve"> PAGEREF _Toc207116590 \h </w:instrText>
      </w:r>
      <w:r>
        <w:fldChar w:fldCharType="separate"/>
      </w:r>
      <w:r>
        <w:t>226</w:t>
      </w:r>
      <w:r>
        <w:fldChar w:fldCharType="end"/>
      </w:r>
    </w:p>
    <w:p>
      <w:pPr>
        <w:pStyle w:val="TOC8"/>
        <w:rPr>
          <w:rFonts w:asciiTheme="minorHAnsi" w:eastAsiaTheme="minorEastAsia" w:hAnsiTheme="minorHAnsi" w:cstheme="minorBidi"/>
          <w:szCs w:val="22"/>
        </w:rPr>
      </w:pPr>
      <w:r>
        <w:t>120N.</w:t>
      </w:r>
      <w:r>
        <w:tab/>
        <w:t>Obstruct or hinder investigator</w:t>
      </w:r>
      <w:r>
        <w:tab/>
      </w:r>
      <w:r>
        <w:fldChar w:fldCharType="begin"/>
      </w:r>
      <w:r>
        <w:instrText xml:space="preserve"> PAGEREF _Toc207116591 \h </w:instrText>
      </w:r>
      <w:r>
        <w:fldChar w:fldCharType="separate"/>
      </w:r>
      <w:r>
        <w:t>227</w:t>
      </w:r>
      <w:r>
        <w:fldChar w:fldCharType="end"/>
      </w:r>
    </w:p>
    <w:p>
      <w:pPr>
        <w:pStyle w:val="TOC8"/>
        <w:rPr>
          <w:rFonts w:asciiTheme="minorHAnsi" w:eastAsiaTheme="minorEastAsia" w:hAnsiTheme="minorHAnsi" w:cstheme="minorBidi"/>
          <w:szCs w:val="22"/>
        </w:rPr>
      </w:pPr>
      <w:r>
        <w:t>120O.</w:t>
      </w:r>
      <w:r>
        <w:tab/>
        <w:t>False or misleading information</w:t>
      </w:r>
      <w:r>
        <w:tab/>
      </w:r>
      <w:r>
        <w:fldChar w:fldCharType="begin"/>
      </w:r>
      <w:r>
        <w:instrText xml:space="preserve"> PAGEREF _Toc207116592 \h </w:instrText>
      </w:r>
      <w:r>
        <w:fldChar w:fldCharType="separate"/>
      </w:r>
      <w:r>
        <w:t>227</w:t>
      </w:r>
      <w:r>
        <w:fldChar w:fldCharType="end"/>
      </w:r>
    </w:p>
    <w:p>
      <w:pPr>
        <w:pStyle w:val="TOC8"/>
        <w:rPr>
          <w:rFonts w:asciiTheme="minorHAnsi" w:eastAsiaTheme="minorEastAsia" w:hAnsiTheme="minorHAnsi" w:cstheme="minorBidi"/>
          <w:szCs w:val="22"/>
        </w:rPr>
      </w:pPr>
      <w:r>
        <w:t>120P.</w:t>
      </w:r>
      <w:r>
        <w:tab/>
        <w:t>Royalty penalty following conviction</w:t>
      </w:r>
      <w:r>
        <w:tab/>
      </w:r>
      <w:r>
        <w:fldChar w:fldCharType="begin"/>
      </w:r>
      <w:r>
        <w:instrText xml:space="preserve"> PAGEREF _Toc207116593 \h </w:instrText>
      </w:r>
      <w:r>
        <w:fldChar w:fldCharType="separate"/>
      </w:r>
      <w:r>
        <w:t>228</w:t>
      </w:r>
      <w:r>
        <w:fldChar w:fldCharType="end"/>
      </w:r>
    </w:p>
    <w:p>
      <w:pPr>
        <w:pStyle w:val="TOC8"/>
        <w:rPr>
          <w:rFonts w:asciiTheme="minorHAnsi" w:eastAsiaTheme="minorEastAsia" w:hAnsiTheme="minorHAnsi" w:cstheme="minorBidi"/>
          <w:szCs w:val="22"/>
        </w:rPr>
      </w:pPr>
      <w:r>
        <w:t>120Q.</w:t>
      </w:r>
      <w:r>
        <w:tab/>
        <w:t>Consequences of failure to pay royalty penalty</w:t>
      </w:r>
      <w:r>
        <w:tab/>
      </w:r>
      <w:r>
        <w:fldChar w:fldCharType="begin"/>
      </w:r>
      <w:r>
        <w:instrText xml:space="preserve"> PAGEREF _Toc207116594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120R.</w:t>
      </w:r>
      <w:r>
        <w:tab/>
        <w:t>Disclosure and use of royalty information</w:t>
      </w:r>
      <w:r>
        <w:tab/>
      </w:r>
      <w:r>
        <w:fldChar w:fldCharType="begin"/>
      </w:r>
      <w:r>
        <w:instrText xml:space="preserve"> PAGEREF _Toc207116596 \h </w:instrText>
      </w:r>
      <w:r>
        <w:fldChar w:fldCharType="separate"/>
      </w:r>
      <w:r>
        <w:t>229</w:t>
      </w:r>
      <w:r>
        <w:fldChar w:fldCharType="end"/>
      </w:r>
    </w:p>
    <w:p>
      <w:pPr>
        <w:pStyle w:val="TOC8"/>
        <w:rPr>
          <w:rFonts w:asciiTheme="minorHAnsi" w:eastAsiaTheme="minorEastAsia" w:hAnsiTheme="minorHAnsi" w:cstheme="minorBidi"/>
          <w:szCs w:val="22"/>
        </w:rPr>
      </w:pPr>
      <w:r>
        <w:t>120S.</w:t>
      </w:r>
      <w:r>
        <w:tab/>
        <w:t>Time limit for prosecution action</w:t>
      </w:r>
      <w:r>
        <w:tab/>
      </w:r>
      <w:r>
        <w:fldChar w:fldCharType="begin"/>
      </w:r>
      <w:r>
        <w:instrText xml:space="preserve"> PAGEREF _Toc207116597 \h </w:instrText>
      </w:r>
      <w:r>
        <w:fldChar w:fldCharType="separate"/>
      </w:r>
      <w:r>
        <w:t>231</w:t>
      </w:r>
      <w:r>
        <w:fldChar w:fldCharType="end"/>
      </w:r>
    </w:p>
    <w:p>
      <w:pPr>
        <w:pStyle w:val="TOC8"/>
        <w:rPr>
          <w:rFonts w:asciiTheme="minorHAnsi" w:eastAsiaTheme="minorEastAsia" w:hAnsiTheme="minorHAnsi" w:cstheme="minorBidi"/>
          <w:szCs w:val="22"/>
        </w:rPr>
      </w:pPr>
      <w:r>
        <w:t>120T.</w:t>
      </w:r>
      <w:r>
        <w:tab/>
        <w:t>Recovery of unpaid royalty</w:t>
      </w:r>
      <w:r>
        <w:tab/>
      </w:r>
      <w:r>
        <w:fldChar w:fldCharType="begin"/>
      </w:r>
      <w:r>
        <w:instrText xml:space="preserve"> PAGEREF _Toc207116598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_Toc207116600 \h </w:instrText>
      </w:r>
      <w:r>
        <w:fldChar w:fldCharType="separate"/>
      </w:r>
      <w:r>
        <w:t>232</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_Toc207116601 \h </w:instrText>
      </w:r>
      <w:r>
        <w:fldChar w:fldCharType="separate"/>
      </w:r>
      <w:r>
        <w:t>232</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_Toc207116602 \h </w:instrText>
      </w:r>
      <w:r>
        <w:fldChar w:fldCharType="separate"/>
      </w:r>
      <w:r>
        <w:t>233</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_Toc207116603 \h </w:instrText>
      </w:r>
      <w:r>
        <w:fldChar w:fldCharType="separate"/>
      </w:r>
      <w:r>
        <w:t>234</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_Toc207116604 \h </w:instrText>
      </w:r>
      <w:r>
        <w:fldChar w:fldCharType="separate"/>
      </w:r>
      <w:r>
        <w:t>235</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_Toc207116605 \h </w:instrText>
      </w:r>
      <w:r>
        <w:fldChar w:fldCharType="separate"/>
      </w:r>
      <w:r>
        <w:t>235</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_Toc207116606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_Toc207116608 \h </w:instrText>
      </w:r>
      <w:r>
        <w:fldChar w:fldCharType="separate"/>
      </w:r>
      <w:r>
        <w:t>238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Matters to be considered by warden’s court in relation to compensation</w:t>
      </w:r>
      <w:r>
        <w:tab/>
      </w:r>
      <w:r>
        <w:fldChar w:fldCharType="begin"/>
      </w:r>
      <w:r>
        <w:instrText xml:space="preserve"> PAGEREF _Toc207116609 \h </w:instrText>
      </w:r>
      <w:r>
        <w:fldChar w:fldCharType="separate"/>
      </w:r>
      <w:r>
        <w:t>242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_Toc207116610 \h </w:instrText>
      </w:r>
      <w:r>
        <w:fldChar w:fldCharType="separate"/>
      </w:r>
      <w:r>
        <w:t>243</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_Toc207116611 \h </w:instrText>
      </w:r>
      <w:r>
        <w:fldChar w:fldCharType="separate"/>
      </w:r>
      <w:r>
        <w:t>243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_Toc207116612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_Toc207116614 \h </w:instrText>
      </w:r>
      <w:r>
        <w:fldChar w:fldCharType="separate"/>
      </w:r>
      <w:r>
        <w:t>247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_Toc207116615 \h </w:instrText>
      </w:r>
      <w:r>
        <w:fldChar w:fldCharType="separate"/>
      </w:r>
      <w:r>
        <w:t>247</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_Toc207116616 \h </w:instrText>
      </w:r>
      <w:r>
        <w:fldChar w:fldCharType="separate"/>
      </w:r>
      <w:r>
        <w:t>247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_Toc207116617 \h </w:instrText>
      </w:r>
      <w:r>
        <w:fldChar w:fldCharType="separate"/>
      </w:r>
      <w:r>
        <w:t>248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_Toc207116618 \h </w:instrText>
      </w:r>
      <w:r>
        <w:fldChar w:fldCharType="separate"/>
      </w:r>
      <w:r>
        <w:t>248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_Toc207116619 \h </w:instrText>
      </w:r>
      <w:r>
        <w:fldChar w:fldCharType="separate"/>
      </w:r>
      <w:r>
        <w:t>248</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_Toc207116620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134</w:t>
      </w:r>
      <w:r>
        <w:rPr>
          <w:snapToGrid w:val="0"/>
        </w:rPr>
        <w:t>.</w:t>
      </w:r>
      <w:r>
        <w:rPr>
          <w:snapToGrid w:val="0"/>
        </w:rPr>
        <w:tab/>
        <w:t>Powers of warden’s court</w:t>
      </w:r>
      <w:r>
        <w:tab/>
      </w:r>
      <w:r>
        <w:fldChar w:fldCharType="begin"/>
      </w:r>
      <w:r>
        <w:instrText xml:space="preserve"> PAGEREF _Toc207116621 \h </w:instrText>
      </w:r>
      <w:r>
        <w:fldChar w:fldCharType="separate"/>
      </w:r>
      <w:r>
        <w:t>250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_Toc207116622 \h </w:instrText>
      </w:r>
      <w:r>
        <w:fldChar w:fldCharType="separate"/>
      </w:r>
      <w:r>
        <w:t>254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_Toc207116623 \h </w:instrText>
      </w:r>
      <w:r>
        <w:fldChar w:fldCharType="separate"/>
      </w:r>
      <w:r>
        <w:t>254</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_Toc207116624 \h </w:instrText>
      </w:r>
      <w:r>
        <w:fldChar w:fldCharType="separate"/>
      </w:r>
      <w:r>
        <w:t>255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_Toc207116625 \h </w:instrText>
      </w:r>
      <w:r>
        <w:fldChar w:fldCharType="separate"/>
      </w:r>
      <w:r>
        <w:t>255</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_Toc207116626 \h </w:instrText>
      </w:r>
      <w:r>
        <w:fldChar w:fldCharType="separate"/>
      </w:r>
      <w:r>
        <w:t>256</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_Toc207116627 \h </w:instrText>
      </w:r>
      <w:r>
        <w:fldChar w:fldCharType="separate"/>
      </w:r>
      <w:r>
        <w:t>257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_Toc207116628 \h </w:instrText>
      </w:r>
      <w:r>
        <w:fldChar w:fldCharType="separate"/>
      </w:r>
      <w:r>
        <w:t>257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_Toc207116629 \h </w:instrText>
      </w:r>
      <w:r>
        <w:fldChar w:fldCharType="separate"/>
      </w:r>
      <w:r>
        <w:t>258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_Toc207116630 \h </w:instrText>
      </w:r>
      <w:r>
        <w:fldChar w:fldCharType="separate"/>
      </w:r>
      <w:r>
        <w:t>259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_Toc207116631 \h </w:instrText>
      </w:r>
      <w:r>
        <w:fldChar w:fldCharType="separate"/>
      </w:r>
      <w:r>
        <w:t>260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_Toc207116632 \h </w:instrText>
      </w:r>
      <w:r>
        <w:fldChar w:fldCharType="separate"/>
      </w:r>
      <w:r>
        <w:t>261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_Toc207116633 \h </w:instrText>
      </w:r>
      <w:r>
        <w:fldChar w:fldCharType="separate"/>
      </w:r>
      <w:r>
        <w:t>262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_Toc207116634 \h </w:instrText>
      </w:r>
      <w:r>
        <w:fldChar w:fldCharType="separate"/>
      </w:r>
      <w:r>
        <w:t>263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_Toc207116635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_Toc207116637 \h </w:instrText>
      </w:r>
      <w:r>
        <w:fldChar w:fldCharType="separate"/>
      </w:r>
      <w:r>
        <w:t>265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_Toc207116638 \h </w:instrText>
      </w:r>
      <w:r>
        <w:fldChar w:fldCharType="separate"/>
      </w:r>
      <w:r>
        <w:t>265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_Toc207116639 \h </w:instrText>
      </w:r>
      <w:r>
        <w:fldChar w:fldCharType="separate"/>
      </w:r>
      <w:r>
        <w:t>265</w:t>
      </w:r>
      <w:r>
        <w:fldChar w:fldCharType="end"/>
      </w:r>
    </w:p>
    <w:p>
      <w:pPr>
        <w:pStyle w:val="TOC8"/>
        <w:rPr>
          <w:rFonts w:asciiTheme="minorHAnsi" w:eastAsiaTheme="minorEastAsia" w:hAnsiTheme="minorHAnsi" w:cstheme="minorBidi"/>
          <w:szCs w:val="22"/>
        </w:rPr>
      </w:pPr>
      <w:r>
        <w:t>154A.</w:t>
      </w:r>
      <w:r>
        <w:tab/>
        <w:t>Liability of officers for offence by body corporate</w:t>
      </w:r>
      <w:r>
        <w:tab/>
      </w:r>
      <w:r>
        <w:fldChar w:fldCharType="begin"/>
      </w:r>
      <w:r>
        <w:instrText xml:space="preserve"> PAGEREF _Toc207116640 \h </w:instrText>
      </w:r>
      <w:r>
        <w:fldChar w:fldCharType="separate"/>
      </w:r>
      <w:r>
        <w:t>266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_Toc207116641 \h </w:instrText>
      </w:r>
      <w:r>
        <w:fldChar w:fldCharType="separate"/>
      </w:r>
      <w:r>
        <w:t>266</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_Toc207116642 \h </w:instrText>
      </w:r>
      <w:r>
        <w:fldChar w:fldCharType="separate"/>
      </w:r>
      <w:r>
        <w:t>267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_Toc207116643 \h </w:instrText>
      </w:r>
      <w:r>
        <w:fldChar w:fldCharType="separate"/>
      </w:r>
      <w:r>
        <w:t>267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_Toc207116644 \h </w:instrText>
      </w:r>
      <w:r>
        <w:fldChar w:fldCharType="separate"/>
      </w:r>
      <w:r>
        <w:t>268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_Toc207116645 \h </w:instrText>
      </w:r>
      <w:r>
        <w:fldChar w:fldCharType="separate"/>
      </w:r>
      <w:r>
        <w:t>268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_Toc207116646 \h </w:instrText>
      </w:r>
      <w:r>
        <w:fldChar w:fldCharType="separate"/>
      </w:r>
      <w:r>
        <w:t>270</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_Toc207116647 \h </w:instrText>
      </w:r>
      <w:r>
        <w:fldChar w:fldCharType="separate"/>
      </w:r>
      <w:r>
        <w:t>271</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_Toc207116648 \h </w:instrText>
      </w:r>
      <w:r>
        <w:fldChar w:fldCharType="separate"/>
      </w:r>
      <w:r>
        <w:t>271</w:t>
      </w:r>
      <w:r>
        <w:fldChar w:fldCharType="end"/>
      </w:r>
    </w:p>
    <w:p>
      <w:pPr>
        <w:pStyle w:val="TOC8"/>
        <w:rPr>
          <w:rFonts w:asciiTheme="minorHAnsi" w:eastAsiaTheme="minorEastAsia" w:hAnsiTheme="minorHAnsi" w:cstheme="minorBidi"/>
          <w:szCs w:val="22"/>
        </w:rPr>
      </w:pPr>
      <w:r>
        <w:t>160AB.</w:t>
      </w:r>
      <w:r>
        <w:tab/>
        <w:t>Inspectors</w:t>
      </w:r>
      <w:r>
        <w:tab/>
      </w:r>
      <w:r>
        <w:fldChar w:fldCharType="begin"/>
      </w:r>
      <w:r>
        <w:instrText xml:space="preserve"> PAGEREF _Toc207116649 \h </w:instrText>
      </w:r>
      <w:r>
        <w:fldChar w:fldCharType="separate"/>
      </w:r>
      <w:r>
        <w:t>272</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 xml:space="preserve">Immunity of Minister, </w:t>
      </w:r>
      <w:r>
        <w:t>wardens</w:t>
      </w:r>
      <w:r>
        <w:rPr>
          <w:snapToGrid w:val="0"/>
        </w:rPr>
        <w:t xml:space="preserve"> and officials</w:t>
      </w:r>
      <w:r>
        <w:tab/>
      </w:r>
      <w:r>
        <w:fldChar w:fldCharType="begin"/>
      </w:r>
      <w:r>
        <w:instrText xml:space="preserve"> PAGEREF _Toc207116650 \h </w:instrText>
      </w:r>
      <w:r>
        <w:fldChar w:fldCharType="separate"/>
      </w:r>
      <w:r>
        <w:t>272</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_Toc207116651 \h </w:instrText>
      </w:r>
      <w:r>
        <w:fldChar w:fldCharType="separate"/>
      </w:r>
      <w:r>
        <w:t>272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_Toc207116652 \h </w:instrText>
      </w:r>
      <w:r>
        <w:fldChar w:fldCharType="separate"/>
      </w:r>
      <w:r>
        <w:t>272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_Toc207116653 \h </w:instrText>
      </w:r>
      <w:r>
        <w:fldChar w:fldCharType="separate"/>
      </w:r>
      <w:r>
        <w:t>273</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Evidentiary provisions</w:t>
      </w:r>
      <w:r>
        <w:tab/>
      </w:r>
      <w:r>
        <w:fldChar w:fldCharType="begin"/>
      </w:r>
      <w:r>
        <w:instrText xml:space="preserve"> PAGEREF _Toc207116654 \h </w:instrText>
      </w:r>
      <w:r>
        <w:fldChar w:fldCharType="separate"/>
      </w:r>
      <w:r>
        <w:t>274</w:t>
      </w:r>
      <w:r>
        <w:fldChar w:fldCharType="end"/>
      </w:r>
    </w:p>
    <w:p>
      <w:pPr>
        <w:pStyle w:val="TOC8"/>
        <w:rPr>
          <w:rFonts w:asciiTheme="minorHAnsi" w:eastAsiaTheme="minorEastAsia" w:hAnsiTheme="minorHAnsi" w:cstheme="minorBidi"/>
          <w:szCs w:val="22"/>
        </w:rPr>
      </w:pPr>
      <w:r>
        <w:t>162A.</w:t>
      </w:r>
      <w:r>
        <w:tab/>
        <w:t xml:space="preserve">Certain things are not personal property for purposes of </w:t>
      </w:r>
      <w:r>
        <w:rPr>
          <w:i/>
          <w:iCs/>
        </w:rPr>
        <w:t>Personal Property Securities Act 2009</w:t>
      </w:r>
      <w:r>
        <w:t xml:space="preserve"> (Cwlth)</w:t>
      </w:r>
      <w:r>
        <w:tab/>
      </w:r>
      <w:r>
        <w:fldChar w:fldCharType="begin"/>
      </w:r>
      <w:r>
        <w:instrText xml:space="preserve"> PAGEREF _Toc207116655 \h </w:instrText>
      </w:r>
      <w:r>
        <w:fldChar w:fldCharType="separate"/>
      </w:r>
      <w:r>
        <w:t>275</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_Toc207116656 \h </w:instrText>
      </w:r>
      <w:r>
        <w:fldChar w:fldCharType="separate"/>
      </w:r>
      <w:r>
        <w:t>275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_Toc207116657 \h </w:instrText>
      </w:r>
      <w:r>
        <w:fldChar w:fldCharType="separate"/>
      </w:r>
      <w:r>
        <w:t>276</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_Toc207116658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_Toc207116661 \h </w:instrText>
      </w:r>
      <w:r>
        <w:fldChar w:fldCharType="separate"/>
      </w:r>
      <w:r>
        <w:t>285</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_Toc207116662 \h </w:instrText>
      </w:r>
      <w:r>
        <w:fldChar w:fldCharType="separate"/>
      </w:r>
      <w:r>
        <w:t>286</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_Toc207116663 \h </w:instrText>
      </w:r>
      <w:r>
        <w:fldChar w:fldCharType="separate"/>
      </w:r>
      <w:r>
        <w:t>288</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_Toc207116664 \h </w:instrText>
      </w:r>
      <w:r>
        <w:fldChar w:fldCharType="separate"/>
      </w:r>
      <w:r>
        <w:t>289</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_Toc207116665 \h </w:instrText>
      </w:r>
      <w:r>
        <w:fldChar w:fldCharType="separate"/>
      </w:r>
      <w:r>
        <w:t>290</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_Toc207116666 \h </w:instrText>
      </w:r>
      <w:r>
        <w:fldChar w:fldCharType="separate"/>
      </w:r>
      <w:r>
        <w:t>290</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_Toc207116667 \h </w:instrText>
      </w:r>
      <w:r>
        <w:fldChar w:fldCharType="separate"/>
      </w:r>
      <w:r>
        <w:t>291</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_Toc207116668 \h </w:instrText>
      </w:r>
      <w:r>
        <w:fldChar w:fldCharType="separate"/>
      </w:r>
      <w:r>
        <w:t>293</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_Toc207116669 \h </w:instrText>
      </w:r>
      <w:r>
        <w:fldChar w:fldCharType="separate"/>
      </w:r>
      <w:r>
        <w:t>295</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_Toc207116670 \h </w:instrText>
      </w:r>
      <w:r>
        <w:fldChar w:fldCharType="separate"/>
      </w:r>
      <w:r>
        <w:t>295</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_Toc207116671 \h </w:instrText>
      </w:r>
      <w:r>
        <w:fldChar w:fldCharType="separate"/>
      </w:r>
      <w:r>
        <w:t>297</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_Toc207116672 \h </w:instrText>
      </w:r>
      <w:r>
        <w:fldChar w:fldCharType="separate"/>
      </w:r>
      <w:r>
        <w:t>297</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_Toc207116673 \h </w:instrText>
      </w:r>
      <w:r>
        <w:fldChar w:fldCharType="separate"/>
      </w:r>
      <w:r>
        <w:t>297</w:t>
      </w:r>
      <w:r>
        <w:fldChar w:fldCharType="end"/>
      </w:r>
    </w:p>
    <w:p>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_Toc207116674 \h </w:instrText>
      </w:r>
      <w:r>
        <w:fldChar w:fldCharType="separate"/>
      </w:r>
      <w:r>
        <w:t>298</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_Toc207116675 \h </w:instrText>
      </w:r>
      <w:r>
        <w:fldChar w:fldCharType="separate"/>
      </w:r>
      <w:r>
        <w:t>298</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_Toc207116676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_Toc207116678 \h </w:instrText>
      </w:r>
      <w:r>
        <w:fldChar w:fldCharType="separate"/>
      </w:r>
      <w:r>
        <w:t>299</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_Toc207116679 \h </w:instrText>
      </w:r>
      <w:r>
        <w:fldChar w:fldCharType="separate"/>
      </w:r>
      <w:r>
        <w:t>299</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_Toc207116680 \h </w:instrText>
      </w:r>
      <w:r>
        <w:fldChar w:fldCharType="separate"/>
      </w:r>
      <w:r>
        <w:t>300</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_Toc207116681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Provisions relating to </w:t>
      </w:r>
      <w:r>
        <w:rPr>
          <w:i/>
        </w:rPr>
        <w:t>Mining Amendment Act 2022</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_Toc207116683 \h </w:instrText>
      </w:r>
      <w:r>
        <w:fldChar w:fldCharType="separate"/>
      </w:r>
      <w:r>
        <w:t>301</w:t>
      </w:r>
      <w:r>
        <w:fldChar w:fldCharType="end"/>
      </w:r>
    </w:p>
    <w:p>
      <w:pPr>
        <w:pStyle w:val="TOC8"/>
        <w:rPr>
          <w:rFonts w:asciiTheme="minorHAnsi" w:eastAsiaTheme="minorEastAsia" w:hAnsiTheme="minorHAnsi" w:cstheme="minorBidi"/>
          <w:szCs w:val="22"/>
        </w:rPr>
      </w:pPr>
      <w:r>
        <w:t>21.</w:t>
      </w:r>
      <w:r>
        <w:tab/>
        <w:t>Continuation of conditions for prevention or reduction of injury to land</w:t>
      </w:r>
      <w:r>
        <w:tab/>
      </w:r>
      <w:r>
        <w:fldChar w:fldCharType="begin"/>
      </w:r>
      <w:r>
        <w:instrText xml:space="preserve"> PAGEREF _Toc207116684 \h </w:instrText>
      </w:r>
      <w:r>
        <w:fldChar w:fldCharType="separate"/>
      </w:r>
      <w:r>
        <w:t>301</w:t>
      </w:r>
      <w:r>
        <w:fldChar w:fldCharType="end"/>
      </w:r>
    </w:p>
    <w:p>
      <w:pPr>
        <w:pStyle w:val="TOC8"/>
        <w:rPr>
          <w:rFonts w:asciiTheme="minorHAnsi" w:eastAsiaTheme="minorEastAsia" w:hAnsiTheme="minorHAnsi" w:cstheme="minorBidi"/>
          <w:szCs w:val="22"/>
        </w:rPr>
      </w:pPr>
      <w:r>
        <w:t>22.</w:t>
      </w:r>
      <w:r>
        <w:tab/>
        <w:t>Continuation of securities</w:t>
      </w:r>
      <w:r>
        <w:tab/>
      </w:r>
      <w:r>
        <w:fldChar w:fldCharType="begin"/>
      </w:r>
      <w:r>
        <w:instrText xml:space="preserve"> PAGEREF _Toc207116685 \h </w:instrText>
      </w:r>
      <w:r>
        <w:fldChar w:fldCharType="separate"/>
      </w:r>
      <w:r>
        <w:t>302</w:t>
      </w:r>
      <w:r>
        <w:fldChar w:fldCharType="end"/>
      </w:r>
    </w:p>
    <w:p>
      <w:pPr>
        <w:pStyle w:val="TOC8"/>
        <w:rPr>
          <w:rFonts w:asciiTheme="minorHAnsi" w:eastAsiaTheme="minorEastAsia" w:hAnsiTheme="minorHAnsi" w:cstheme="minorBidi"/>
          <w:szCs w:val="22"/>
        </w:rPr>
      </w:pPr>
      <w:r>
        <w:t>23.</w:t>
      </w:r>
      <w:r>
        <w:tab/>
        <w:t>Transitional provisions for programmes of work</w:t>
      </w:r>
      <w:r>
        <w:tab/>
      </w:r>
      <w:r>
        <w:fldChar w:fldCharType="begin"/>
      </w:r>
      <w:r>
        <w:instrText xml:space="preserve"> PAGEREF _Toc207116686 \h </w:instrText>
      </w:r>
      <w:r>
        <w:fldChar w:fldCharType="separate"/>
      </w:r>
      <w:r>
        <w:t>302</w:t>
      </w:r>
      <w:r>
        <w:fldChar w:fldCharType="end"/>
      </w:r>
    </w:p>
    <w:p>
      <w:pPr>
        <w:pStyle w:val="TOC8"/>
        <w:rPr>
          <w:rFonts w:asciiTheme="minorHAnsi" w:eastAsiaTheme="minorEastAsia" w:hAnsiTheme="minorHAnsi" w:cstheme="minorBidi"/>
          <w:szCs w:val="22"/>
        </w:rPr>
      </w:pPr>
      <w:r>
        <w:t>24.</w:t>
      </w:r>
      <w:r>
        <w:tab/>
        <w:t>Transitional provisions for existing undetermined mining proposals</w:t>
      </w:r>
      <w:r>
        <w:tab/>
      </w:r>
      <w:r>
        <w:fldChar w:fldCharType="begin"/>
      </w:r>
      <w:r>
        <w:instrText xml:space="preserve"> PAGEREF _Toc207116687 \h </w:instrText>
      </w:r>
      <w:r>
        <w:fldChar w:fldCharType="separate"/>
      </w:r>
      <w:r>
        <w:t>303</w:t>
      </w:r>
      <w:r>
        <w:fldChar w:fldCharType="end"/>
      </w:r>
    </w:p>
    <w:p>
      <w:pPr>
        <w:pStyle w:val="TOC8"/>
        <w:rPr>
          <w:rFonts w:asciiTheme="minorHAnsi" w:eastAsiaTheme="minorEastAsia" w:hAnsiTheme="minorHAnsi" w:cstheme="minorBidi"/>
          <w:szCs w:val="22"/>
        </w:rPr>
      </w:pPr>
      <w:r>
        <w:t>25.</w:t>
      </w:r>
      <w:r>
        <w:tab/>
        <w:t>Transitional provisions for previously approved mining proposals</w:t>
      </w:r>
      <w:r>
        <w:tab/>
      </w:r>
      <w:r>
        <w:fldChar w:fldCharType="begin"/>
      </w:r>
      <w:r>
        <w:instrText xml:space="preserve"> PAGEREF _Toc207116688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relating to </w:t>
      </w:r>
      <w:r>
        <w:rPr>
          <w:i/>
        </w:rPr>
        <w:t>Mining Amendment (Transfer of Royalty Administration) Act 2025</w:t>
      </w:r>
    </w:p>
    <w:p>
      <w:pPr>
        <w:pStyle w:val="TOC8"/>
        <w:rPr>
          <w:rFonts w:asciiTheme="minorHAnsi" w:eastAsiaTheme="minorEastAsia" w:hAnsiTheme="minorHAnsi" w:cstheme="minorBidi"/>
          <w:szCs w:val="22"/>
        </w:rPr>
      </w:pPr>
      <w:r>
        <w:t>26.</w:t>
      </w:r>
      <w:r>
        <w:tab/>
      </w:r>
      <w:r>
        <w:rPr>
          <w:i/>
        </w:rPr>
        <w:t>Interpretation Act 1984</w:t>
      </w:r>
      <w:r>
        <w:t xml:space="preserve"> not affected</w:t>
      </w:r>
      <w:r>
        <w:tab/>
      </w:r>
      <w:r>
        <w:fldChar w:fldCharType="begin"/>
      </w:r>
      <w:r>
        <w:instrText xml:space="preserve"> PAGEREF _Toc207116690 \h </w:instrText>
      </w:r>
      <w:r>
        <w:fldChar w:fldCharType="separate"/>
      </w:r>
      <w:r>
        <w:t>305</w:t>
      </w:r>
      <w:r>
        <w:fldChar w:fldCharType="end"/>
      </w:r>
    </w:p>
    <w:p>
      <w:pPr>
        <w:pStyle w:val="TOC8"/>
        <w:rPr>
          <w:rFonts w:asciiTheme="minorHAnsi" w:eastAsiaTheme="minorEastAsia" w:hAnsiTheme="minorHAnsi" w:cstheme="minorBidi"/>
          <w:szCs w:val="22"/>
        </w:rPr>
      </w:pPr>
      <w:r>
        <w:t>27.</w:t>
      </w:r>
      <w:r>
        <w:tab/>
        <w:t>Act continues to be administered by Minister</w:t>
      </w:r>
      <w:r>
        <w:tab/>
      </w:r>
      <w:r>
        <w:fldChar w:fldCharType="begin"/>
      </w:r>
      <w:r>
        <w:instrText xml:space="preserve"> PAGEREF _Toc207116691 \h </w:instrText>
      </w:r>
      <w:r>
        <w:fldChar w:fldCharType="separate"/>
      </w:r>
      <w:r>
        <w:t>305</w:t>
      </w:r>
      <w:r>
        <w:fldChar w:fldCharType="end"/>
      </w:r>
    </w:p>
    <w:p>
      <w:pPr>
        <w:pStyle w:val="TOC8"/>
        <w:rPr>
          <w:rFonts w:asciiTheme="minorHAnsi" w:eastAsiaTheme="minorEastAsia" w:hAnsiTheme="minorHAnsi" w:cstheme="minorBidi"/>
          <w:szCs w:val="22"/>
        </w:rPr>
      </w:pPr>
      <w:r>
        <w:t>28.</w:t>
      </w:r>
      <w:r>
        <w:tab/>
        <w:t>Existence of department and appointment of chief executive officer and other officers not affected</w:t>
      </w:r>
      <w:r>
        <w:tab/>
      </w:r>
      <w:r>
        <w:fldChar w:fldCharType="begin"/>
      </w:r>
      <w:r>
        <w:instrText xml:space="preserve"> PAGEREF _Toc207116692 \h </w:instrText>
      </w:r>
      <w:r>
        <w:fldChar w:fldCharType="separate"/>
      </w:r>
      <w:r>
        <w:t>305</w:t>
      </w:r>
      <w:r>
        <w:fldChar w:fldCharType="end"/>
      </w:r>
    </w:p>
    <w:p>
      <w:pPr>
        <w:pStyle w:val="TOC8"/>
        <w:rPr>
          <w:rFonts w:asciiTheme="minorHAnsi" w:eastAsiaTheme="minorEastAsia" w:hAnsiTheme="minorHAnsi" w:cstheme="minorBidi"/>
          <w:szCs w:val="22"/>
        </w:rPr>
      </w:pPr>
      <w:r>
        <w:t>29.</w:t>
      </w:r>
      <w:r>
        <w:tab/>
        <w:t>Royalties actions taken under repealed provisions before commencement day</w:t>
      </w:r>
      <w:r>
        <w:tab/>
      </w:r>
      <w:r>
        <w:fldChar w:fldCharType="begin"/>
      </w:r>
      <w:r>
        <w:instrText xml:space="preserve"> PAGEREF _Toc207116693 \h </w:instrText>
      </w:r>
      <w:r>
        <w:fldChar w:fldCharType="separate"/>
      </w:r>
      <w:r>
        <w:t>306</w:t>
      </w:r>
      <w:r>
        <w:fldChar w:fldCharType="end"/>
      </w:r>
    </w:p>
    <w:p>
      <w:pPr>
        <w:pStyle w:val="TOC8"/>
        <w:rPr>
          <w:rFonts w:asciiTheme="minorHAnsi" w:eastAsiaTheme="minorEastAsia" w:hAnsiTheme="minorHAnsi" w:cstheme="minorBidi"/>
          <w:szCs w:val="22"/>
        </w:rPr>
      </w:pPr>
      <w:r>
        <w:t>30.</w:t>
      </w:r>
      <w:r>
        <w:tab/>
        <w:t>Transitional regulations</w:t>
      </w:r>
      <w:r>
        <w:tab/>
      </w:r>
      <w:r>
        <w:fldChar w:fldCharType="begin"/>
      </w:r>
      <w:r>
        <w:instrText xml:space="preserve"> PAGEREF _Toc207116694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_Toc207116697 \h </w:instrText>
      </w:r>
      <w:r>
        <w:fldChar w:fldCharType="separate"/>
      </w:r>
      <w:r>
        <w:t>310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_Toc207116698 \h </w:instrText>
      </w:r>
      <w:r>
        <w:fldChar w:fldCharType="separate"/>
      </w:r>
      <w:r>
        <w:t>318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_Toc207116699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2" w:name="_Toc207116365"/>
      <w:r>
        <w:rPr>
          <w:rStyle w:val="CharPartNo"/>
        </w:rPr>
        <w:lastRenderedPageBreak/>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207116366"/>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4" w:name="_Toc207116367"/>
      <w:r>
        <w:rPr>
          <w:rStyle w:val="CharSectno"/>
        </w:rPr>
        <w:t>2</w:t>
      </w:r>
      <w:r>
        <w:rPr>
          <w:snapToGrid w:val="0"/>
        </w:rPr>
        <w:t>.</w:t>
      </w:r>
      <w:r>
        <w:rPr>
          <w:snapToGrid w:val="0"/>
        </w:rPr>
        <w:tab/>
        <w:t>Commencement</w:t>
      </w:r>
      <w:bookmarkEnd w:id="4"/>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5" w:name="_Toc207116368"/>
      <w:r>
        <w:rPr>
          <w:snapToGrid w:val="0"/>
        </w:rPr>
        <w:t>4.</w:t>
      </w:r>
      <w:r>
        <w:rPr>
          <w:snapToGrid w:val="0"/>
        </w:rPr>
        <w:tab/>
        <w:t>Transitional provisions</w:t>
      </w:r>
      <w:bookmarkEnd w:id="5"/>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6" w:name="_Toc207116369"/>
      <w:r>
        <w:rPr>
          <w:snapToGrid w:val="0"/>
        </w:rPr>
        <w:t>5.</w:t>
      </w:r>
      <w:r>
        <w:rPr>
          <w:snapToGrid w:val="0"/>
        </w:rPr>
        <w:tab/>
        <w:t>Saving</w:t>
      </w:r>
      <w:bookmarkEnd w:id="6"/>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7" w:name="_Toc207116370"/>
      <w:r>
        <w:rPr>
          <w:rStyle w:val="CharSectno"/>
        </w:rPr>
        <w:t>6</w:t>
      </w:r>
      <w:r>
        <w:rPr>
          <w:snapToGrid w:val="0"/>
        </w:rPr>
        <w:t>.</w:t>
      </w:r>
      <w:r>
        <w:rPr>
          <w:snapToGrid w:val="0"/>
        </w:rPr>
        <w:tab/>
        <w:t>Operation of this Act</w:t>
      </w:r>
      <w:bookmarkEnd w:id="7"/>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a local government leases local government property to another person, that person is not required to hold a mining tenement to remove from that land, rock, stone, </w:t>
      </w:r>
      <w:r>
        <w:rPr>
          <w:snapToGrid w:val="0"/>
        </w:rPr>
        <w:lastRenderedPageBreak/>
        <w:t>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8" w:name="_Toc207116371"/>
      <w:r>
        <w:rPr>
          <w:rStyle w:val="CharSectno"/>
        </w:rPr>
        <w:t>8</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lastRenderedPageBreak/>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a pastoral lease or a lease otherwise granted for grazing purposes only; or</w:t>
      </w:r>
    </w:p>
    <w:p>
      <w:pPr>
        <w:pStyle w:val="Defsubpara"/>
      </w:pPr>
      <w:r>
        <w:tab/>
        <w:t>(ia)</w:t>
      </w:r>
      <w:r>
        <w:tab/>
        <w:t>a diversification lease;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 </w:t>
      </w:r>
    </w:p>
    <w:p>
      <w:pPr>
        <w:pStyle w:val="Defpara"/>
      </w:pPr>
      <w:r>
        <w:tab/>
        <w:t>(a)</w:t>
      </w:r>
      <w:r>
        <w:tab/>
        <w:t xml:space="preserve">this Act; or </w:t>
      </w:r>
    </w:p>
    <w:p>
      <w:pPr>
        <w:pStyle w:val="Defpara"/>
      </w:pPr>
      <w:r>
        <w:tab/>
        <w:t>(b)</w:t>
      </w:r>
      <w:r>
        <w:tab/>
        <w:t>the provision of this Act in which, or in relation to which, the term is used;</w:t>
      </w:r>
    </w:p>
    <w:p>
      <w:pPr>
        <w:pStyle w:val="Defstart"/>
      </w:pPr>
      <w:r>
        <w:lastRenderedPageBreak/>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rPr>
          <w:b/>
        </w:rPr>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lastRenderedPageBreak/>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keepNex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lastRenderedPageBreak/>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lastRenderedPageBreak/>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section 13(2);</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tab/>
      </w:r>
      <w:r>
        <w:rPr>
          <w:rStyle w:val="CharDefText"/>
        </w:rPr>
        <w:t>offsets project</w:t>
      </w:r>
      <w:r>
        <w:t xml:space="preserve"> means — </w:t>
      </w:r>
    </w:p>
    <w:p>
      <w:pPr>
        <w:pStyle w:val="Defpara"/>
      </w:pPr>
      <w:r>
        <w:tab/>
        <w:t>(a)</w:t>
      </w:r>
      <w:r>
        <w:tab/>
        <w:t xml:space="preserve">an eligible offsets project as defined in the </w:t>
      </w:r>
      <w:r>
        <w:rPr>
          <w:i/>
        </w:rPr>
        <w:t>Carbon Credits (Carbon Farming Initiative) Act 2011</w:t>
      </w:r>
      <w:r>
        <w:t xml:space="preserve"> (Commonwealth) section 5; or</w:t>
      </w:r>
    </w:p>
    <w:p>
      <w:pPr>
        <w:pStyle w:val="Defpara"/>
      </w:pPr>
      <w:r>
        <w:tab/>
        <w:t>(b)</w:t>
      </w:r>
      <w:r>
        <w:tab/>
        <w:t xml:space="preserve">an offsets project, as defined in the </w:t>
      </w:r>
      <w:r>
        <w:rPr>
          <w:i/>
        </w:rPr>
        <w:t>Carbon Credits (Carbon Farming Initiative) Act 2011</w:t>
      </w:r>
      <w:r>
        <w:t xml:space="preserve"> (Commonwealth) section 5, if — </w:t>
      </w:r>
    </w:p>
    <w:p>
      <w:pPr>
        <w:pStyle w:val="Defsubpara"/>
      </w:pPr>
      <w:r>
        <w:tab/>
        <w:t>(i)</w:t>
      </w:r>
      <w:r>
        <w:tab/>
        <w:t>the offsets project is the subject of an application under section 22 of that Act; and</w:t>
      </w:r>
    </w:p>
    <w:p>
      <w:pPr>
        <w:pStyle w:val="Defsubpara"/>
      </w:pPr>
      <w:r>
        <w:tab/>
        <w:t>(ii)</w:t>
      </w:r>
      <w:r>
        <w:tab/>
        <w:t>a decision on the application has not been made;</w:t>
      </w:r>
    </w:p>
    <w:p>
      <w:pPr>
        <w:pStyle w:val="Defstart"/>
      </w:pPr>
      <w:r>
        <w:rPr>
          <w:b/>
        </w:rPr>
        <w:lastRenderedPageBreak/>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rPr>
          <w:b/>
        </w:rPr>
      </w:pPr>
      <w:r>
        <w:tab/>
      </w:r>
      <w:r>
        <w:rPr>
          <w:rStyle w:val="CharDefText"/>
        </w:rPr>
        <w:t>pastoral lease</w:t>
      </w:r>
      <w:r>
        <w:t xml:space="preserve"> has the meaning given in the </w:t>
      </w:r>
      <w:r>
        <w:rPr>
          <w:i/>
        </w:rPr>
        <w:t xml:space="preserve">Land Administration Act 1997 </w:t>
      </w:r>
      <w:r>
        <w:t>section 3(1);</w:t>
      </w:r>
    </w:p>
    <w:p>
      <w:pPr>
        <w:pStyle w:val="Defstart"/>
      </w:pPr>
      <w: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or a lease or concession otherwise granted by or on behalf of the Crown for grazing purposes only or for timber purposes, a diversification lease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lastRenderedPageBreak/>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t>
      </w:r>
      <w:r>
        <w:lastRenderedPageBreak/>
        <w:t>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 xml:space="preserve">and </w:t>
      </w:r>
      <w:r>
        <w:t>the Minister’s</w:t>
      </w:r>
      <w:r>
        <w:rPr>
          <w:snapToGrid w:val="0"/>
        </w:rPr>
        <w:t xml:space="preserve">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Subsection"/>
        <w:keepNext/>
      </w:pPr>
      <w:r>
        <w:lastRenderedPageBreak/>
        <w:tab/>
        <w:t>(6)</w:t>
      </w:r>
      <w:r>
        <w:tab/>
        <w:t>A reference in this Act to a lease of Crown land for the use and benefit of the Aboriginal inhabitants includes a lease of Crown land for the social, cultural or economic benefit of Aboriginal persons.</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 No. 4 of 2023 s. 131; No. 27 of 2023 s. 4; No. 7 of 2025 s. 4.]</w:t>
      </w:r>
    </w:p>
    <w:p>
      <w:pPr>
        <w:pStyle w:val="Heading5"/>
        <w:rPr>
          <w:snapToGrid w:val="0"/>
        </w:rPr>
      </w:pPr>
      <w:bookmarkStart w:id="9" w:name="_Toc207116372"/>
      <w:r>
        <w:rPr>
          <w:rStyle w:val="CharSectno"/>
        </w:rPr>
        <w:t>8A</w:t>
      </w:r>
      <w:r>
        <w:rPr>
          <w:snapToGrid w:val="0"/>
        </w:rPr>
        <w:t>.</w:t>
      </w:r>
      <w:r>
        <w:rPr>
          <w:snapToGrid w:val="0"/>
        </w:rPr>
        <w:tab/>
        <w:t>Rights in respect of oil shale or coal</w:t>
      </w:r>
      <w:bookmarkEnd w:id="9"/>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lastRenderedPageBreak/>
        <w:tab/>
        <w:t>[Section 8A inserted: No. 69 of 1981 s. 7; amended: No. 35 of 2007 s. 100(4).]</w:t>
      </w:r>
    </w:p>
    <w:p>
      <w:pPr>
        <w:pStyle w:val="Heading5"/>
        <w:rPr>
          <w:snapToGrid w:val="0"/>
        </w:rPr>
      </w:pPr>
      <w:bookmarkStart w:id="10" w:name="_Toc207116373"/>
      <w:r>
        <w:rPr>
          <w:rStyle w:val="CharSectno"/>
        </w:rPr>
        <w:t>9</w:t>
      </w:r>
      <w:r>
        <w:rPr>
          <w:snapToGrid w:val="0"/>
        </w:rPr>
        <w:t>.</w:t>
      </w:r>
      <w:r>
        <w:rPr>
          <w:snapToGrid w:val="0"/>
        </w:rPr>
        <w:tab/>
        <w:t>Gold, silver and other precious metals property of Crown</w:t>
      </w:r>
      <w:bookmarkEnd w:id="10"/>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11" w:name="_Toc207116374"/>
      <w:r>
        <w:rPr>
          <w:rStyle w:val="CharSectno"/>
        </w:rPr>
        <w:t>9A</w:t>
      </w:r>
      <w:r>
        <w:rPr>
          <w:snapToGrid w:val="0"/>
        </w:rPr>
        <w:t>.</w:t>
      </w:r>
      <w:r>
        <w:rPr>
          <w:snapToGrid w:val="0"/>
        </w:rPr>
        <w:tab/>
        <w:t>Effect of change of baseline</w:t>
      </w:r>
      <w:bookmarkEnd w:id="11"/>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lastRenderedPageBreak/>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lastRenderedPageBreak/>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12" w:name="_Toc207116375"/>
      <w:r>
        <w:rPr>
          <w:rStyle w:val="CharSectno"/>
        </w:rPr>
        <w:t>9B</w:t>
      </w:r>
      <w:r>
        <w:t>.</w:t>
      </w:r>
      <w:r>
        <w:tab/>
        <w:t>Position on Earth’s surface</w:t>
      </w:r>
      <w:bookmarkEnd w:id="12"/>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lastRenderedPageBreak/>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13" w:name="_Toc207116376"/>
      <w:r>
        <w:rPr>
          <w:rStyle w:val="CharPartNo"/>
        </w:rPr>
        <w:lastRenderedPageBreak/>
        <w:t>Part II</w:t>
      </w:r>
      <w:r>
        <w:rPr>
          <w:rStyle w:val="CharDivNo"/>
        </w:rPr>
        <w:t> </w:t>
      </w:r>
      <w:r>
        <w:t>—</w:t>
      </w:r>
      <w:r>
        <w:rPr>
          <w:rStyle w:val="CharDivText"/>
        </w:rPr>
        <w:t> </w:t>
      </w:r>
      <w:r>
        <w:rPr>
          <w:rStyle w:val="CharPartText"/>
        </w:rPr>
        <w:t>Administration, mineral fields and courts</w:t>
      </w:r>
      <w:bookmarkEnd w:id="13"/>
    </w:p>
    <w:p>
      <w:pPr>
        <w:pStyle w:val="Heading5"/>
        <w:spacing w:before="260"/>
        <w:rPr>
          <w:snapToGrid w:val="0"/>
        </w:rPr>
      </w:pPr>
      <w:bookmarkStart w:id="14" w:name="_Toc207116377"/>
      <w:r>
        <w:rPr>
          <w:rStyle w:val="CharSectno"/>
        </w:rPr>
        <w:t>10</w:t>
      </w:r>
      <w:r>
        <w:rPr>
          <w:snapToGrid w:val="0"/>
        </w:rPr>
        <w:t>.</w:t>
      </w:r>
      <w:r>
        <w:rPr>
          <w:snapToGrid w:val="0"/>
        </w:rPr>
        <w:tab/>
      </w:r>
      <w:r>
        <w:t>Minister is corporation sole</w:t>
      </w:r>
      <w:bookmarkEnd w:id="14"/>
    </w:p>
    <w:p>
      <w:pPr>
        <w:pStyle w:val="Ednotesubsection"/>
      </w:pPr>
      <w:r>
        <w:tab/>
        <w:t>[(1)</w:t>
      </w:r>
      <w:r>
        <w:tab/>
        <w:t>deleted]</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Footnotesection"/>
        <w:ind w:left="890" w:hanging="890"/>
      </w:pPr>
      <w:r>
        <w:tab/>
        <w:t>[Section 10 amended: No. 7 of 2025 s. 5.]</w:t>
      </w:r>
    </w:p>
    <w:p>
      <w:pPr>
        <w:pStyle w:val="Ednotesection"/>
      </w:pPr>
      <w:r>
        <w:t>[</w:t>
      </w:r>
      <w:r>
        <w:rPr>
          <w:b/>
          <w:bCs/>
        </w:rPr>
        <w:t>11.</w:t>
      </w:r>
      <w:r>
        <w:tab/>
        <w:t>Deleted: No. 7 of 2025 s. 6.]</w:t>
      </w:r>
    </w:p>
    <w:p>
      <w:pPr>
        <w:pStyle w:val="Heading5"/>
      </w:pPr>
      <w:bookmarkStart w:id="15" w:name="_Toc207116378"/>
      <w:r>
        <w:rPr>
          <w:rStyle w:val="CharSectno"/>
        </w:rPr>
        <w:t>12</w:t>
      </w:r>
      <w:r>
        <w:t>.</w:t>
      </w:r>
      <w:r>
        <w:tab/>
        <w:t>Delegation</w:t>
      </w:r>
      <w:bookmarkEnd w:id="15"/>
    </w:p>
    <w:p>
      <w:pPr>
        <w:pStyle w:val="Subsection"/>
      </w:pPr>
      <w:r>
        <w:tab/>
        <w:t>(1)</w:t>
      </w:r>
      <w:r>
        <w:tab/>
        <w:t>The Minister may delegate any power or duty of the Minister under another provision of this Act to a public service officer.</w:t>
      </w:r>
    </w:p>
    <w:p>
      <w:pPr>
        <w:pStyle w:val="Subsection"/>
      </w:pPr>
      <w:r>
        <w:tab/>
        <w:t>(2)</w:t>
      </w:r>
      <w:r>
        <w:tab/>
        <w:t>Without limiting subsection (1), the Minister may delegate any power or duty of the Minister under Part 5A to the Commissioner of State Revenue.</w:t>
      </w:r>
    </w:p>
    <w:p>
      <w:pPr>
        <w:pStyle w:val="Subsection"/>
      </w:pPr>
      <w:r>
        <w:tab/>
        <w:t>(2A)</w:t>
      </w:r>
      <w:r>
        <w:tab/>
        <w:t>The Commissioner of State Revenue may further delegate a power or duty delegated to the Commissioner under subsection (2) to a public service officer.</w:t>
      </w:r>
    </w:p>
    <w:p>
      <w:pPr>
        <w:pStyle w:val="Subsection"/>
      </w:pPr>
      <w:r>
        <w:tab/>
        <w:t>(3)</w:t>
      </w:r>
      <w:r>
        <w:tab/>
        <w:t>The Director General of Mines may delegate to a public service officer any power or duty of the Director General of Mines except this power of delegation.</w:t>
      </w:r>
    </w:p>
    <w:p>
      <w:pPr>
        <w:pStyle w:val="Subsection"/>
      </w:pPr>
      <w:r>
        <w:tab/>
        <w:t>(3A)</w:t>
      </w:r>
      <w:r>
        <w:tab/>
        <w:t>A person to whom a power is delegated under subsection (1) or (3) cannot further delegate that power or duty.</w:t>
      </w:r>
    </w:p>
    <w:p>
      <w:pPr>
        <w:pStyle w:val="Subsection"/>
      </w:pPr>
      <w:r>
        <w:lastRenderedPageBreak/>
        <w:tab/>
        <w:t>(4)</w:t>
      </w:r>
      <w:r>
        <w:tab/>
        <w:t>A delegation under subsection (1), (2), (2A) or (3) must be in writing signed by the person making the delegation.</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Minister, the Commissioner of State Revenue or the Director General of Mines to perform a function through an officer or agent.</w:t>
      </w:r>
    </w:p>
    <w:p>
      <w:pPr>
        <w:pStyle w:val="Footnotesection"/>
        <w:ind w:left="890" w:hanging="890"/>
      </w:pPr>
      <w:r>
        <w:tab/>
        <w:t>[Section 12 inserted: No. 31 of 2022 s. 6; amended: No. 7 of 2025 s. 7.]</w:t>
      </w:r>
    </w:p>
    <w:p>
      <w:pPr>
        <w:pStyle w:val="Heading5"/>
        <w:rPr>
          <w:snapToGrid w:val="0"/>
        </w:rPr>
      </w:pPr>
      <w:bookmarkStart w:id="16" w:name="_Toc207116379"/>
      <w:r>
        <w:rPr>
          <w:rStyle w:val="CharSectno"/>
        </w:rPr>
        <w:t>13</w:t>
      </w:r>
      <w:r>
        <w:rPr>
          <w:snapToGrid w:val="0"/>
        </w:rPr>
        <w:t>.</w:t>
      </w:r>
      <w:r>
        <w:rPr>
          <w:snapToGrid w:val="0"/>
        </w:rPr>
        <w:tab/>
      </w:r>
      <w:r>
        <w:t>Appointment of wardens of mines and mining registrar</w:t>
      </w:r>
      <w:bookmarkEnd w:id="16"/>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Subsection"/>
      </w:pPr>
      <w:r>
        <w:tab/>
        <w:t>(2)</w:t>
      </w:r>
      <w:r>
        <w:tab/>
        <w:t xml:space="preserve">A mining registrar is to be appointed under the </w:t>
      </w:r>
      <w:r>
        <w:rPr>
          <w:i/>
        </w:rPr>
        <w:t>Public Sector Management Act 1994</w:t>
      </w:r>
      <w:r>
        <w:rPr>
          <w:iCs/>
        </w:rPr>
        <w:t xml:space="preserve"> Part 3</w:t>
      </w:r>
      <w:r>
        <w:t>.</w:t>
      </w:r>
    </w:p>
    <w:p>
      <w:pPr>
        <w:pStyle w:val="Ednotesubsection"/>
      </w:pPr>
      <w:r>
        <w:tab/>
        <w:t>[(3), (4)</w:t>
      </w:r>
      <w:r>
        <w:tab/>
        <w:t>deleted]</w:t>
      </w:r>
    </w:p>
    <w:p>
      <w:pPr>
        <w:pStyle w:val="Footnotesection"/>
      </w:pPr>
      <w:r>
        <w:tab/>
        <w:t>[Section 13 amended: No. 100 of 1985 s. 7; No. 32 of 1994 s. 19; No. 39 of 2004 s. 48; No. 59 of 2004 s. 116; No. 39 of 2010 s. 89; No. 7 of 2025 s. 8.]</w:t>
      </w:r>
    </w:p>
    <w:p>
      <w:pPr>
        <w:pStyle w:val="Ednotesection"/>
      </w:pPr>
      <w:r>
        <w:t>[</w:t>
      </w:r>
      <w:r>
        <w:rPr>
          <w:b/>
          <w:bCs/>
        </w:rPr>
        <w:t>14.</w:t>
      </w:r>
      <w:r>
        <w:tab/>
        <w:t>Deleted: No. 39 of 2004 s. 49.]</w:t>
      </w:r>
    </w:p>
    <w:p>
      <w:pPr>
        <w:pStyle w:val="Heading5"/>
        <w:spacing w:before="260"/>
        <w:rPr>
          <w:snapToGrid w:val="0"/>
        </w:rPr>
      </w:pPr>
      <w:bookmarkStart w:id="17" w:name="_Toc207116380"/>
      <w:r>
        <w:rPr>
          <w:rStyle w:val="CharSectno"/>
        </w:rPr>
        <w:t>15</w:t>
      </w:r>
      <w:r>
        <w:rPr>
          <w:snapToGrid w:val="0"/>
        </w:rPr>
        <w:t>.</w:t>
      </w:r>
      <w:r>
        <w:rPr>
          <w:snapToGrid w:val="0"/>
        </w:rPr>
        <w:tab/>
        <w:t>Prohibition from adjudicating in certain matters or from using certain information</w:t>
      </w:r>
      <w:bookmarkEnd w:id="17"/>
    </w:p>
    <w:p>
      <w:pPr>
        <w:pStyle w:val="Subsection"/>
      </w:pPr>
      <w:r>
        <w:tab/>
        <w:t>(1)</w:t>
      </w:r>
      <w:r>
        <w:tab/>
        <w:t xml:space="preserve">A warden who acts or adjudicates in any matter in which the warden has directly or indirectly any pecuniary interest, is guilty of a crime unless — </w:t>
      </w:r>
    </w:p>
    <w:p>
      <w:pPr>
        <w:pStyle w:val="Indenta"/>
      </w:pPr>
      <w:r>
        <w:lastRenderedPageBreak/>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for this subsection: imprisonment for 2 years or a fine of $1 000.</w:t>
      </w:r>
    </w:p>
    <w:p>
      <w:pPr>
        <w:pStyle w:val="Subsection"/>
      </w:pPr>
      <w:r>
        <w:tab/>
        <w:t>(2)</w:t>
      </w:r>
      <w:r>
        <w:tab/>
        <w:t>A warden or public service officer who uses official information for the purpose of personal gain commits a crime.</w:t>
      </w:r>
    </w:p>
    <w:p>
      <w:pPr>
        <w:pStyle w:val="Penstart"/>
      </w:pPr>
      <w:r>
        <w:tab/>
        <w:t>Penalty for this subsection: imprisonment for 2 years or a fine of $1 000.</w:t>
      </w:r>
    </w:p>
    <w:p>
      <w:pPr>
        <w:pStyle w:val="Subsection"/>
      </w:pPr>
      <w:r>
        <w:tab/>
        <w:t>(3)</w:t>
      </w:r>
      <w:r>
        <w:tab/>
        <w:t xml:space="preserve">In subsection (2) — </w:t>
      </w:r>
    </w:p>
    <w:p>
      <w:pPr>
        <w:pStyle w:val="Defstart"/>
      </w:pPr>
      <w:r>
        <w:tab/>
      </w:r>
      <w:r>
        <w:rPr>
          <w:rStyle w:val="CharDefText"/>
        </w:rPr>
        <w:t>official information</w:t>
      </w:r>
      <w:r>
        <w:t xml:space="preserve"> means information that a person obtains in the course of, or because of, the person’s office, position, employment or engagement under, or for the purposes of, this Act.</w:t>
      </w:r>
    </w:p>
    <w:p>
      <w:pPr>
        <w:pStyle w:val="Footnotesection"/>
        <w:ind w:left="890" w:hanging="890"/>
      </w:pPr>
      <w:r>
        <w:tab/>
        <w:t>[Section 15 amended: No. 100 of 1985 s. 9; No. 70 of 2004 s. 82; No. 51 of 2012 s. 6; No. 7 of 2025 s. 9.]</w:t>
      </w:r>
    </w:p>
    <w:p>
      <w:pPr>
        <w:pStyle w:val="Heading5"/>
        <w:spacing w:before="260"/>
        <w:rPr>
          <w:snapToGrid w:val="0"/>
        </w:rPr>
      </w:pPr>
      <w:bookmarkStart w:id="18" w:name="_Toc207116381"/>
      <w:r>
        <w:rPr>
          <w:rStyle w:val="CharSectno"/>
        </w:rPr>
        <w:t>16</w:t>
      </w:r>
      <w:r>
        <w:rPr>
          <w:snapToGrid w:val="0"/>
        </w:rPr>
        <w:t>.</w:t>
      </w:r>
      <w:r>
        <w:rPr>
          <w:snapToGrid w:val="0"/>
        </w:rPr>
        <w:tab/>
      </w:r>
      <w:r>
        <w:t>Constitution of mineral fields and dealings with Crown land in them</w:t>
      </w:r>
      <w:bookmarkEnd w:id="18"/>
      <w:r>
        <w:rPr>
          <w:snapToGrid w:val="0"/>
        </w:rPr>
        <w:t xml:space="preserve"> </w:t>
      </w:r>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 xml:space="preserve">Any part of the State that was immediately before the commencing date a mineral field or district thereof or a goldfield or district thereof under the repealed Act, shall be </w:t>
      </w:r>
      <w:r>
        <w:rPr>
          <w:snapToGrid w:val="0"/>
        </w:rPr>
        <w:lastRenderedPageBreak/>
        <w:t>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Subsection"/>
      </w:pPr>
      <w:r>
        <w:tab/>
        <w:t>(4)</w:t>
      </w:r>
      <w:r>
        <w:tab/>
        <w:t>A provision of a diversification lease over Crown land that is in a mineral field must not be varied so as to alter a purpose of the lease without the approval of the Minister.</w:t>
      </w:r>
    </w:p>
    <w:p>
      <w:pPr>
        <w:pStyle w:val="Subsection"/>
      </w:pPr>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p>
    <w:p>
      <w:pPr>
        <w:pStyle w:val="Footnotesection"/>
      </w:pPr>
      <w:r>
        <w:tab/>
        <w:t>[Section 16 amended: No. 31 of 1997 s. 71(2) and 141; No. 12 of 2003 s. 7; No. 4 of 2023 s. 132.]</w:t>
      </w:r>
    </w:p>
    <w:p>
      <w:pPr>
        <w:pStyle w:val="Heading5"/>
      </w:pPr>
      <w:bookmarkStart w:id="19" w:name="_Toc207116382"/>
      <w:r>
        <w:rPr>
          <w:rStyle w:val="CharSectno"/>
        </w:rPr>
        <w:t>17</w:t>
      </w:r>
      <w:r>
        <w:t>.</w:t>
      </w:r>
      <w:r>
        <w:tab/>
        <w:t>Designated tenement contact</w:t>
      </w:r>
      <w:bookmarkEnd w:id="19"/>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lastRenderedPageBreak/>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20" w:name="_Toc207116383"/>
      <w:r>
        <w:rPr>
          <w:rStyle w:val="CharPartNo"/>
        </w:rPr>
        <w:lastRenderedPageBreak/>
        <w:t>Part III</w:t>
      </w:r>
      <w:r>
        <w:t> — </w:t>
      </w:r>
      <w:r>
        <w:rPr>
          <w:rStyle w:val="CharPartText"/>
        </w:rPr>
        <w:t>Land open for mining</w:t>
      </w:r>
      <w:bookmarkEnd w:id="20"/>
    </w:p>
    <w:p>
      <w:pPr>
        <w:pStyle w:val="Heading3"/>
      </w:pPr>
      <w:bookmarkStart w:id="21" w:name="_Toc207116384"/>
      <w:r>
        <w:rPr>
          <w:rStyle w:val="CharDivNo"/>
        </w:rPr>
        <w:t>Division 1</w:t>
      </w:r>
      <w:r>
        <w:rPr>
          <w:snapToGrid w:val="0"/>
        </w:rPr>
        <w:t> — </w:t>
      </w:r>
      <w:r>
        <w:rPr>
          <w:rStyle w:val="CharDivText"/>
        </w:rPr>
        <w:t>Crown land</w:t>
      </w:r>
      <w:bookmarkEnd w:id="21"/>
    </w:p>
    <w:p>
      <w:pPr>
        <w:pStyle w:val="Heading5"/>
        <w:rPr>
          <w:snapToGrid w:val="0"/>
        </w:rPr>
      </w:pPr>
      <w:bookmarkStart w:id="22" w:name="_Toc207116385"/>
      <w:r>
        <w:rPr>
          <w:rStyle w:val="CharSectno"/>
        </w:rPr>
        <w:t>18</w:t>
      </w:r>
      <w:r>
        <w:rPr>
          <w:snapToGrid w:val="0"/>
        </w:rPr>
        <w:t>.</w:t>
      </w:r>
      <w:r>
        <w:rPr>
          <w:snapToGrid w:val="0"/>
        </w:rPr>
        <w:tab/>
        <w:t>Crown land open for mining</w:t>
      </w:r>
      <w:bookmarkEnd w:id="22"/>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23" w:name="_Toc207116386"/>
      <w:r>
        <w:rPr>
          <w:rStyle w:val="CharSectno"/>
        </w:rPr>
        <w:t>19</w:t>
      </w:r>
      <w:r>
        <w:rPr>
          <w:snapToGrid w:val="0"/>
        </w:rPr>
        <w:t>.</w:t>
      </w:r>
      <w:r>
        <w:rPr>
          <w:snapToGrid w:val="0"/>
        </w:rPr>
        <w:tab/>
        <w:t>Minister may exempt land from mining etc.</w:t>
      </w:r>
      <w:bookmarkEnd w:id="2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lastRenderedPageBreak/>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24" w:name="_Toc207116387"/>
      <w:r>
        <w:rPr>
          <w:rStyle w:val="CharSectno"/>
        </w:rPr>
        <w:t>20</w:t>
      </w:r>
      <w:r>
        <w:rPr>
          <w:snapToGrid w:val="0"/>
        </w:rPr>
        <w:t>.</w:t>
      </w:r>
      <w:r>
        <w:rPr>
          <w:snapToGrid w:val="0"/>
        </w:rPr>
        <w:tab/>
        <w:t>Protection of certain Crown land</w:t>
      </w:r>
      <w:bookmarkEnd w:id="24"/>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 or</w:t>
      </w:r>
    </w:p>
    <w:p>
      <w:pPr>
        <w:pStyle w:val="Indenta"/>
        <w:rPr>
          <w:snapToGrid w:val="0"/>
        </w:rPr>
      </w:pPr>
      <w:r>
        <w:rPr>
          <w:snapToGrid w:val="0"/>
        </w:rPr>
        <w:lastRenderedPageBreak/>
        <w:tab/>
        <w:t>(b)</w:t>
      </w:r>
      <w:r>
        <w:rPr>
          <w:snapToGrid w:val="0"/>
        </w:rPr>
        <w:tab/>
        <w:t>used as or situated within 100 m of a yard, stockyard, garden, cultivated field, orchard, vineyard, plantation, airstrip or airfield; or</w:t>
      </w:r>
    </w:p>
    <w:p>
      <w:pPr>
        <w:pStyle w:val="Indenta"/>
        <w:rPr>
          <w:snapToGrid w:val="0"/>
        </w:rPr>
      </w:pPr>
      <w:r>
        <w:rPr>
          <w:snapToGrid w:val="0"/>
        </w:rPr>
        <w:tab/>
        <w:t>(c)</w:t>
      </w:r>
      <w:r>
        <w:rPr>
          <w:snapToGrid w:val="0"/>
        </w:rPr>
        <w:tab/>
        <w:t>situated within 100 m of any land that is in actual occupation and on which a house or other substantial building is erected; or</w:t>
      </w:r>
    </w:p>
    <w:p>
      <w:pPr>
        <w:pStyle w:val="Indenta"/>
        <w:rPr>
          <w:snapToGrid w:val="0"/>
        </w:rPr>
      </w:pPr>
      <w:r>
        <w:rPr>
          <w:snapToGrid w:val="0"/>
        </w:rPr>
        <w:tab/>
        <w:t>(d)</w:t>
      </w:r>
      <w:r>
        <w:rPr>
          <w:snapToGrid w:val="0"/>
        </w:rPr>
        <w:tab/>
        <w:t>the site of or situated within 100 m of any cemetery or burial ground; or</w:t>
      </w:r>
    </w:p>
    <w:p>
      <w:pPr>
        <w:pStyle w:val="Indenta"/>
      </w:pPr>
      <w:r>
        <w:tab/>
        <w:t>(da)</w:t>
      </w:r>
      <w:r>
        <w:tab/>
        <w:t>the site of or situated within 100 m of a permanent electrical or fibre optic cable; or</w:t>
      </w:r>
    </w:p>
    <w:p>
      <w:pPr>
        <w:pStyle w:val="Indenta"/>
      </w:pPr>
      <w:r>
        <w:tab/>
        <w:t>(db)</w:t>
      </w:r>
      <w:r>
        <w:tab/>
        <w:t xml:space="preserve">land under a diversification lease that is the site of, or situated within 100 m of, a substantial structure that — </w:t>
      </w:r>
    </w:p>
    <w:p>
      <w:pPr>
        <w:pStyle w:val="Indenti"/>
      </w:pPr>
      <w:r>
        <w:tab/>
        <w:t>(i)</w:t>
      </w:r>
      <w:r>
        <w:tab/>
        <w:t>is being erected or commissioned; or</w:t>
      </w:r>
    </w:p>
    <w:p>
      <w:pPr>
        <w:pStyle w:val="Indenti"/>
      </w:pPr>
      <w:r>
        <w:tab/>
        <w:t>(ii)</w:t>
      </w:r>
      <w:r>
        <w:tab/>
        <w:t>has been erected and is used,</w:t>
      </w:r>
      <w:r>
        <w:rPr>
          <w:snapToGrid w:val="0"/>
        </w:rPr>
        <w:t xml:space="preserve"> not being a structure previously erected and used for mining purposes by a person other than a lessee of that </w:t>
      </w:r>
      <w:r>
        <w:t>diversification lease;</w:t>
      </w:r>
    </w:p>
    <w:p>
      <w:pPr>
        <w:pStyle w:val="Indenta"/>
      </w:pPr>
      <w:r>
        <w:tab/>
      </w:r>
      <w:r>
        <w:tab/>
        <w:t>or</w:t>
      </w:r>
    </w:p>
    <w:p>
      <w:pPr>
        <w:pStyle w:val="Indenta"/>
      </w:pPr>
      <w:r>
        <w:rPr>
          <w:snapToGrid w:val="0"/>
        </w:rPr>
        <w:tab/>
        <w:t>(e)</w:t>
      </w:r>
      <w:r>
        <w:rPr>
          <w:snapToGrid w:val="0"/>
        </w:rPr>
        <w:tab/>
        <w:t xml:space="preserve">land </w:t>
      </w:r>
      <w:r>
        <w:t>under a pastoral lease or a diversification lease that</w:t>
      </w:r>
      <w:r>
        <w:rPr>
          <w:snapToGrid w:val="0"/>
        </w:rPr>
        <w:t xml:space="preserve"> is the site of, or is situated within 400 m of the outer edge of, any water works, race, dam, well or bore, not being an excavation previously made and used for mining purposes by a person other than a lessee of that pastoral </w:t>
      </w:r>
      <w:r>
        <w:t>lease or diversification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or (db)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keepNext/>
        <w:rPr>
          <w:snapToGrid w:val="0"/>
        </w:rPr>
      </w:pPr>
      <w:r>
        <w:rPr>
          <w:snapToGrid w:val="0"/>
        </w:rPr>
        <w:lastRenderedPageBreak/>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 or</w:t>
      </w:r>
    </w:p>
    <w:p>
      <w:pPr>
        <w:pStyle w:val="Indenti"/>
      </w:pPr>
      <w:r>
        <w:tab/>
        <w:t>(v)</w:t>
      </w:r>
      <w:r>
        <w:tab/>
        <w:t>the site of a permanent electrical or fibre optic cable; or</w:t>
      </w:r>
    </w:p>
    <w:p>
      <w:pPr>
        <w:pStyle w:val="Indenti"/>
      </w:pPr>
      <w:r>
        <w:tab/>
        <w:t>(vi)</w:t>
      </w:r>
      <w:r>
        <w:tab/>
        <w:t>the site of a substantial structure that is being erected or commissioned or that has been erected and is used;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pPr>
      <w:r>
        <w:t>(5AA)</w:t>
      </w:r>
      <w:r>
        <w:tab/>
        <w:t xml:space="preserve">Subsection (5) does not apply to land under a diversification lease described in subsection (5)(db) unless the land is identified in the diversification lease under the </w:t>
      </w:r>
      <w:r>
        <w:rPr>
          <w:i/>
        </w:rPr>
        <w:t>Land Administration Act 1997</w:t>
      </w:r>
      <w:r>
        <w:t xml:space="preserve"> section 92C(4) for the purposes of this subsection.</w:t>
      </w:r>
    </w:p>
    <w:p>
      <w:pPr>
        <w:pStyle w:val="Subsection"/>
        <w:keepNext/>
        <w:rPr>
          <w:snapToGrid w:val="0"/>
        </w:rPr>
      </w:pPr>
      <w:r>
        <w:rPr>
          <w:snapToGrid w:val="0"/>
        </w:rPr>
        <w:lastRenderedPageBreak/>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lastRenderedPageBreak/>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 No. 4 of 2023 s. 133.]</w:t>
      </w:r>
    </w:p>
    <w:p>
      <w:pPr>
        <w:pStyle w:val="Ednotesection"/>
      </w:pPr>
      <w:r>
        <w:t>[</w:t>
      </w:r>
      <w:r>
        <w:rPr>
          <w:b/>
          <w:bCs/>
        </w:rPr>
        <w:t>20A-20C.</w:t>
      </w:r>
      <w:r>
        <w:tab/>
        <w:t>Deleted: No. 51 of 2012 s. 9.]</w:t>
      </w:r>
    </w:p>
    <w:p>
      <w:pPr>
        <w:pStyle w:val="Heading5"/>
        <w:spacing w:before="180"/>
        <w:rPr>
          <w:snapToGrid w:val="0"/>
        </w:rPr>
      </w:pPr>
      <w:bookmarkStart w:id="25" w:name="_Toc207116388"/>
      <w:r>
        <w:rPr>
          <w:rStyle w:val="CharSectno"/>
        </w:rPr>
        <w:t>21</w:t>
      </w:r>
      <w:r>
        <w:rPr>
          <w:snapToGrid w:val="0"/>
        </w:rPr>
        <w:t>.</w:t>
      </w:r>
      <w:r>
        <w:rPr>
          <w:snapToGrid w:val="0"/>
        </w:rPr>
        <w:tab/>
        <w:t>Power to resume land</w:t>
      </w:r>
      <w:bookmarkEnd w:id="25"/>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w:t>
      </w:r>
      <w:r>
        <w:rPr>
          <w:snapToGrid w:val="0"/>
        </w:rPr>
        <w:lastRenderedPageBreak/>
        <w:t>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26" w:name="_Toc207116389"/>
      <w:r>
        <w:rPr>
          <w:rStyle w:val="CharSectno"/>
        </w:rPr>
        <w:t>22</w:t>
      </w:r>
      <w:r>
        <w:rPr>
          <w:snapToGrid w:val="0"/>
        </w:rPr>
        <w:t>.</w:t>
      </w:r>
      <w:r>
        <w:rPr>
          <w:snapToGrid w:val="0"/>
        </w:rPr>
        <w:tab/>
        <w:t>Effect of resumption</w:t>
      </w:r>
      <w:bookmarkEnd w:id="26"/>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w:t>
      </w:r>
      <w:r>
        <w:rPr>
          <w:snapToGrid w:val="0"/>
        </w:rPr>
        <w:lastRenderedPageBreak/>
        <w:t>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27" w:name="_Toc207116390"/>
      <w:r>
        <w:rPr>
          <w:rStyle w:val="CharDivNo"/>
        </w:rPr>
        <w:t>Division 2</w:t>
      </w:r>
      <w:r>
        <w:rPr>
          <w:snapToGrid w:val="0"/>
        </w:rPr>
        <w:t> — </w:t>
      </w:r>
      <w:r>
        <w:rPr>
          <w:rStyle w:val="CharDivText"/>
        </w:rPr>
        <w:t>Public reserves, etc. and Commonwealth land</w:t>
      </w:r>
      <w:bookmarkEnd w:id="27"/>
    </w:p>
    <w:p>
      <w:pPr>
        <w:pStyle w:val="Footnoteheading"/>
      </w:pPr>
      <w:r>
        <w:tab/>
        <w:t>[Heading amended: No. 51 of 2012 s. 11.]</w:t>
      </w:r>
    </w:p>
    <w:p>
      <w:pPr>
        <w:pStyle w:val="Heading5"/>
      </w:pPr>
      <w:bookmarkStart w:id="28" w:name="_Toc207116391"/>
      <w:r>
        <w:rPr>
          <w:rStyle w:val="CharSectno"/>
        </w:rPr>
        <w:t>23</w:t>
      </w:r>
      <w:r>
        <w:t>.</w:t>
      </w:r>
      <w:r>
        <w:tab/>
        <w:t>Mining on public reserves etc. and Commonwealth land</w:t>
      </w:r>
      <w:bookmarkEnd w:id="28"/>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29" w:name="_Toc207116392"/>
      <w:r>
        <w:rPr>
          <w:rStyle w:val="CharSectno"/>
        </w:rPr>
        <w:lastRenderedPageBreak/>
        <w:t>24</w:t>
      </w:r>
      <w:r>
        <w:rPr>
          <w:snapToGrid w:val="0"/>
        </w:rPr>
        <w:t>.</w:t>
      </w:r>
      <w:r>
        <w:rPr>
          <w:snapToGrid w:val="0"/>
        </w:rPr>
        <w:tab/>
        <w:t>Classification of reserves</w:t>
      </w:r>
      <w:bookmarkEnd w:id="29"/>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lastRenderedPageBreak/>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 xml:space="preserve">The Minister shall cause an Order in Council made pursuant to subsection (2A) to be laid on the table of each House of Parliament within 12 sitting days of its making and if either </w:t>
      </w:r>
      <w:r>
        <w:rPr>
          <w:snapToGrid w:val="0"/>
        </w:rPr>
        <w:lastRenderedPageBreak/>
        <w:t>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lastRenderedPageBreak/>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0" w:name="_Toc207116393"/>
      <w:r>
        <w:rPr>
          <w:rStyle w:val="CharSectno"/>
        </w:rPr>
        <w:lastRenderedPageBreak/>
        <w:t>24A</w:t>
      </w:r>
      <w:r>
        <w:rPr>
          <w:snapToGrid w:val="0"/>
        </w:rPr>
        <w:t>.</w:t>
      </w:r>
      <w:r>
        <w:rPr>
          <w:snapToGrid w:val="0"/>
        </w:rPr>
        <w:tab/>
        <w:t>Mining in marine reserves</w:t>
      </w:r>
      <w:bookmarkEnd w:id="30"/>
    </w:p>
    <w:p>
      <w:pPr>
        <w:pStyle w:val="Subsection"/>
        <w:keepNext/>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lastRenderedPageBreak/>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Next/>
        <w:keepLines w:val="0"/>
      </w:pPr>
      <w:r>
        <w:tab/>
        <w:t>(iii)</w:t>
      </w:r>
      <w:r>
        <w:tab/>
        <w:t xml:space="preserve">a special purpose area which, or that part of such an area which, the conservation Minister has </w:t>
      </w:r>
      <w:r>
        <w:lastRenderedPageBreak/>
        <w:t>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31" w:name="_Toc207116394"/>
      <w:r>
        <w:rPr>
          <w:rStyle w:val="CharSectno"/>
        </w:rPr>
        <w:t>25</w:t>
      </w:r>
      <w:r>
        <w:rPr>
          <w:snapToGrid w:val="0"/>
        </w:rPr>
        <w:t>.</w:t>
      </w:r>
      <w:r>
        <w:rPr>
          <w:snapToGrid w:val="0"/>
        </w:rPr>
        <w:tab/>
        <w:t>Mining on foreshore, sea bed, navigable waters or townsite</w:t>
      </w:r>
      <w:bookmarkEnd w:id="31"/>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w:t>
      </w:r>
      <w:r>
        <w:rPr>
          <w:snapToGrid w:val="0"/>
        </w:rPr>
        <w:lastRenderedPageBreak/>
        <w:t xml:space="preserve">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32" w:name="_Toc207116395"/>
      <w:r>
        <w:rPr>
          <w:rStyle w:val="CharSectno"/>
        </w:rPr>
        <w:t>25A</w:t>
      </w:r>
      <w:r>
        <w:t>.</w:t>
      </w:r>
      <w:r>
        <w:tab/>
        <w:t>Mining on Commonwealth land</w:t>
      </w:r>
      <w:bookmarkEnd w:id="32"/>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33" w:name="_Toc207116396"/>
      <w:r>
        <w:rPr>
          <w:rStyle w:val="CharSectno"/>
        </w:rPr>
        <w:lastRenderedPageBreak/>
        <w:t>26</w:t>
      </w:r>
      <w:r>
        <w:rPr>
          <w:snapToGrid w:val="0"/>
        </w:rPr>
        <w:t>.</w:t>
      </w:r>
      <w:r>
        <w:rPr>
          <w:snapToGrid w:val="0"/>
        </w:rPr>
        <w:tab/>
        <w:t>Terms and conditions</w:t>
      </w:r>
      <w:bookmarkEnd w:id="33"/>
    </w:p>
    <w:p>
      <w:pPr>
        <w:pStyle w:val="Subsection"/>
        <w:keepNext/>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lastRenderedPageBreak/>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34" w:name="_Toc207116397"/>
      <w:r>
        <w:rPr>
          <w:rStyle w:val="CharSectno"/>
        </w:rPr>
        <w:t>26A</w:t>
      </w:r>
      <w:r>
        <w:rPr>
          <w:snapToGrid w:val="0"/>
        </w:rPr>
        <w:t>.</w:t>
      </w:r>
      <w:r>
        <w:rPr>
          <w:snapToGrid w:val="0"/>
        </w:rPr>
        <w:tab/>
        <w:t>Mining tenements within townsites</w:t>
      </w:r>
      <w:bookmarkEnd w:id="34"/>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w:t>
      </w:r>
      <w:r>
        <w:rPr>
          <w:snapToGrid w:val="0"/>
        </w:rPr>
        <w:lastRenderedPageBreak/>
        <w:t xml:space="preserve">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keepNext/>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lastRenderedPageBreak/>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35" w:name="_Toc207116398"/>
      <w:r>
        <w:rPr>
          <w:rStyle w:val="CharDivNo"/>
        </w:rPr>
        <w:t>Division 3</w:t>
      </w:r>
      <w:r>
        <w:rPr>
          <w:snapToGrid w:val="0"/>
        </w:rPr>
        <w:t> — </w:t>
      </w:r>
      <w:r>
        <w:rPr>
          <w:rStyle w:val="CharDivText"/>
        </w:rPr>
        <w:t>Private land</w:t>
      </w:r>
      <w:bookmarkEnd w:id="35"/>
    </w:p>
    <w:p>
      <w:pPr>
        <w:pStyle w:val="Heading5"/>
        <w:rPr>
          <w:snapToGrid w:val="0"/>
        </w:rPr>
      </w:pPr>
      <w:bookmarkStart w:id="36" w:name="_Toc207116399"/>
      <w:r>
        <w:rPr>
          <w:rStyle w:val="CharSectno"/>
        </w:rPr>
        <w:t>27</w:t>
      </w:r>
      <w:r>
        <w:rPr>
          <w:snapToGrid w:val="0"/>
        </w:rPr>
        <w:t>.</w:t>
      </w:r>
      <w:r>
        <w:rPr>
          <w:snapToGrid w:val="0"/>
        </w:rPr>
        <w:tab/>
        <w:t>Private land open for mining</w:t>
      </w:r>
      <w:bookmarkEnd w:id="36"/>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37" w:name="_Toc207116400"/>
      <w:r>
        <w:rPr>
          <w:rStyle w:val="CharSectno"/>
        </w:rPr>
        <w:lastRenderedPageBreak/>
        <w:t>28</w:t>
      </w:r>
      <w:r>
        <w:rPr>
          <w:snapToGrid w:val="0"/>
        </w:rPr>
        <w:t>.</w:t>
      </w:r>
      <w:r>
        <w:rPr>
          <w:snapToGrid w:val="0"/>
        </w:rPr>
        <w:tab/>
        <w:t>Unlawful entry on private land</w:t>
      </w:r>
      <w:bookmarkEnd w:id="37"/>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keepNext/>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keepLines w:val="0"/>
      </w:pPr>
      <w:r>
        <w:tab/>
        <w:t>[Section 28 amended: No. 39 of 2004 s. 51.]</w:t>
      </w:r>
    </w:p>
    <w:p>
      <w:pPr>
        <w:pStyle w:val="Heading5"/>
        <w:rPr>
          <w:snapToGrid w:val="0"/>
        </w:rPr>
      </w:pPr>
      <w:bookmarkStart w:id="38" w:name="_Toc207116401"/>
      <w:r>
        <w:rPr>
          <w:rStyle w:val="CharSectno"/>
        </w:rPr>
        <w:t>29</w:t>
      </w:r>
      <w:r>
        <w:rPr>
          <w:snapToGrid w:val="0"/>
        </w:rPr>
        <w:t>.</w:t>
      </w:r>
      <w:r>
        <w:rPr>
          <w:snapToGrid w:val="0"/>
        </w:rPr>
        <w:tab/>
        <w:t>Granting of mining tenements in respect of private land</w:t>
      </w:r>
      <w:bookmarkEnd w:id="38"/>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lastRenderedPageBreak/>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lastRenderedPageBreak/>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 xml:space="preserve">the </w:t>
      </w:r>
      <w:r>
        <w:rPr>
          <w:rStyle w:val="CharDefText"/>
        </w:rPr>
        <w:t>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lastRenderedPageBreak/>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39" w:name="_Toc207116402"/>
      <w:r>
        <w:rPr>
          <w:rStyle w:val="CharSectno"/>
        </w:rPr>
        <w:t>30</w:t>
      </w:r>
      <w:r>
        <w:rPr>
          <w:snapToGrid w:val="0"/>
        </w:rPr>
        <w:t>.</w:t>
      </w:r>
      <w:r>
        <w:rPr>
          <w:snapToGrid w:val="0"/>
        </w:rPr>
        <w:tab/>
        <w:t>Granting of permits in respect of private land</w:t>
      </w:r>
      <w:bookmarkEnd w:id="39"/>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lastRenderedPageBreak/>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lastRenderedPageBreak/>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40" w:name="_Toc207116403"/>
      <w:r>
        <w:rPr>
          <w:rStyle w:val="CharSectno"/>
        </w:rPr>
        <w:t>31</w:t>
      </w:r>
      <w:r>
        <w:rPr>
          <w:snapToGrid w:val="0"/>
        </w:rPr>
        <w:t>.</w:t>
      </w:r>
      <w:r>
        <w:rPr>
          <w:snapToGrid w:val="0"/>
        </w:rPr>
        <w:tab/>
        <w:t>Holder of permit to give notice to owner and occupier</w:t>
      </w:r>
      <w:bookmarkEnd w:id="40"/>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w:t>
      </w:r>
      <w:r>
        <w:rPr>
          <w:snapToGrid w:val="0"/>
        </w:rPr>
        <w:lastRenderedPageBreak/>
        <w:t>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41" w:name="_Toc207116404"/>
      <w:r>
        <w:rPr>
          <w:rStyle w:val="CharSectno"/>
        </w:rPr>
        <w:t>32</w:t>
      </w:r>
      <w:r>
        <w:rPr>
          <w:snapToGrid w:val="0"/>
        </w:rPr>
        <w:t>.</w:t>
      </w:r>
      <w:r>
        <w:rPr>
          <w:snapToGrid w:val="0"/>
        </w:rPr>
        <w:tab/>
        <w:t>Rights conferred by a permit</w:t>
      </w:r>
      <w:bookmarkEnd w:id="41"/>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lastRenderedPageBreak/>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42" w:name="_Toc207116405"/>
      <w:r>
        <w:rPr>
          <w:rStyle w:val="CharSectno"/>
        </w:rPr>
        <w:t>33</w:t>
      </w:r>
      <w:r>
        <w:rPr>
          <w:snapToGrid w:val="0"/>
        </w:rPr>
        <w:t>.</w:t>
      </w:r>
      <w:r>
        <w:rPr>
          <w:snapToGrid w:val="0"/>
        </w:rPr>
        <w:tab/>
        <w:t>Application for mining tenement by permit holder</w:t>
      </w:r>
      <w:bookmarkEnd w:id="42"/>
    </w:p>
    <w:p>
      <w:pPr>
        <w:pStyle w:val="Subsection"/>
        <w:rPr>
          <w:snapToGrid w:val="0"/>
        </w:rPr>
      </w:pPr>
      <w:r>
        <w:rPr>
          <w:snapToGrid w:val="0"/>
        </w:rPr>
        <w:tab/>
        <w:t>(1)</w:t>
      </w:r>
      <w:r>
        <w:rPr>
          <w:snapToGrid w:val="0"/>
        </w:rPr>
        <w:tab/>
        <w:t xml:space="preserve">Subject to subsection (1a), where an application is made in accordance with this Act for a mining tenement that relates to </w:t>
      </w:r>
      <w:r>
        <w:rPr>
          <w:snapToGrid w:val="0"/>
        </w:rPr>
        <w:lastRenderedPageBreak/>
        <w:t>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 xml:space="preserve">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w:t>
      </w:r>
      <w:r>
        <w:rPr>
          <w:snapToGrid w:val="0"/>
        </w:rPr>
        <w:lastRenderedPageBreak/>
        <w:t>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43" w:name="_Toc207116406"/>
      <w:r>
        <w:rPr>
          <w:rStyle w:val="CharSectno"/>
        </w:rPr>
        <w:t>35</w:t>
      </w:r>
      <w:r>
        <w:rPr>
          <w:snapToGrid w:val="0"/>
        </w:rPr>
        <w:t>.</w:t>
      </w:r>
      <w:r>
        <w:rPr>
          <w:snapToGrid w:val="0"/>
        </w:rPr>
        <w:tab/>
        <w:t>Compensation to be agreed upon or determined before mining operation commences</w:t>
      </w:r>
      <w:bookmarkEnd w:id="43"/>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44" w:name="_Toc207116407"/>
      <w:r>
        <w:rPr>
          <w:rStyle w:val="CharSectno"/>
        </w:rPr>
        <w:lastRenderedPageBreak/>
        <w:t>37</w:t>
      </w:r>
      <w:r>
        <w:rPr>
          <w:snapToGrid w:val="0"/>
        </w:rPr>
        <w:t>.</w:t>
      </w:r>
      <w:r>
        <w:rPr>
          <w:snapToGrid w:val="0"/>
        </w:rPr>
        <w:tab/>
        <w:t>Application to bring certain private land under this Division</w:t>
      </w:r>
      <w:bookmarkEnd w:id="44"/>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45" w:name="_Toc207116408"/>
      <w:r>
        <w:rPr>
          <w:rStyle w:val="CharSectno"/>
        </w:rPr>
        <w:t>38</w:t>
      </w:r>
      <w:r>
        <w:rPr>
          <w:snapToGrid w:val="0"/>
        </w:rPr>
        <w:t>.</w:t>
      </w:r>
      <w:r>
        <w:rPr>
          <w:snapToGrid w:val="0"/>
        </w:rPr>
        <w:tab/>
        <w:t>Right of owner to apply for mining tenement</w:t>
      </w:r>
      <w:bookmarkEnd w:id="45"/>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lastRenderedPageBreak/>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46" w:name="_Toc207116409"/>
      <w:r>
        <w:rPr>
          <w:rStyle w:val="CharSectno"/>
        </w:rPr>
        <w:t>39</w:t>
      </w:r>
      <w:r>
        <w:rPr>
          <w:snapToGrid w:val="0"/>
        </w:rPr>
        <w:t>.</w:t>
      </w:r>
      <w:r>
        <w:rPr>
          <w:snapToGrid w:val="0"/>
        </w:rPr>
        <w:tab/>
        <w:t>Owner to comply with mining tenement conditions</w:t>
      </w:r>
      <w:bookmarkEnd w:id="46"/>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7" w:name="_Toc207116410"/>
      <w:r>
        <w:rPr>
          <w:rStyle w:val="CharPartNo"/>
        </w:rPr>
        <w:lastRenderedPageBreak/>
        <w:t>Part IIIA</w:t>
      </w:r>
      <w:r>
        <w:rPr>
          <w:rStyle w:val="CharDivNo"/>
        </w:rPr>
        <w:t> </w:t>
      </w:r>
      <w:r>
        <w:t>—</w:t>
      </w:r>
      <w:r>
        <w:rPr>
          <w:rStyle w:val="CharDivText"/>
        </w:rPr>
        <w:t> </w:t>
      </w:r>
      <w:r>
        <w:rPr>
          <w:rStyle w:val="CharPartText"/>
        </w:rPr>
        <w:t>Miner’s rights and related permits</w:t>
      </w:r>
      <w:bookmarkEnd w:id="47"/>
    </w:p>
    <w:p>
      <w:pPr>
        <w:pStyle w:val="Footnoteheading"/>
      </w:pPr>
      <w:r>
        <w:tab/>
        <w:t>[Heading inserted: No. 51 of 2012 s. 15.]</w:t>
      </w:r>
    </w:p>
    <w:p>
      <w:pPr>
        <w:pStyle w:val="Heading5"/>
      </w:pPr>
      <w:bookmarkStart w:id="48" w:name="_Toc207116411"/>
      <w:r>
        <w:rPr>
          <w:rStyle w:val="CharSectno"/>
        </w:rPr>
        <w:t>40A</w:t>
      </w:r>
      <w:r>
        <w:t>.</w:t>
      </w:r>
      <w:r>
        <w:tab/>
        <w:t>Terms used</w:t>
      </w:r>
      <w:bookmarkEnd w:id="48"/>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49" w:name="_Toc207116412"/>
      <w:r>
        <w:rPr>
          <w:rStyle w:val="CharSectno"/>
        </w:rPr>
        <w:t>40B</w:t>
      </w:r>
      <w:r>
        <w:t>.</w:t>
      </w:r>
      <w:r>
        <w:tab/>
        <w:t>Conservation land</w:t>
      </w:r>
      <w:bookmarkEnd w:id="49"/>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50" w:name="_Toc207116413"/>
      <w:r>
        <w:rPr>
          <w:rStyle w:val="CharSectno"/>
        </w:rPr>
        <w:lastRenderedPageBreak/>
        <w:t>40C</w:t>
      </w:r>
      <w:r>
        <w:t>.</w:t>
      </w:r>
      <w:r>
        <w:tab/>
        <w:t>Issue of miner’s right</w:t>
      </w:r>
      <w:bookmarkEnd w:id="50"/>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51" w:name="_Toc207116414"/>
      <w:r>
        <w:rPr>
          <w:rStyle w:val="CharSectno"/>
        </w:rPr>
        <w:t>40D</w:t>
      </w:r>
      <w:r>
        <w:t>.</w:t>
      </w:r>
      <w:r>
        <w:tab/>
        <w:t>Authorisation under miner’s right</w:t>
      </w:r>
      <w:bookmarkEnd w:id="51"/>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lastRenderedPageBreak/>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lastRenderedPageBreak/>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52" w:name="_Toc207116415"/>
      <w:r>
        <w:rPr>
          <w:rStyle w:val="CharSectno"/>
        </w:rPr>
        <w:lastRenderedPageBreak/>
        <w:t>40E</w:t>
      </w:r>
      <w:r>
        <w:t>.</w:t>
      </w:r>
      <w:r>
        <w:tab/>
        <w:t>Permit to prospect on Crown land or conservation land subject of exploration licence</w:t>
      </w:r>
      <w:bookmarkEnd w:id="52"/>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lastRenderedPageBreak/>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53" w:name="_Toc207116416"/>
      <w:r>
        <w:rPr>
          <w:rStyle w:val="CharSectno"/>
        </w:rPr>
        <w:t>40F</w:t>
      </w:r>
      <w:r>
        <w:t>.</w:t>
      </w:r>
      <w:r>
        <w:tab/>
        <w:t>Power to remove Crown land or conservation land from operation of s. 40E</w:t>
      </w:r>
      <w:bookmarkEnd w:id="53"/>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54" w:name="_Toc207116417"/>
      <w:r>
        <w:rPr>
          <w:rStyle w:val="CharSectno"/>
        </w:rPr>
        <w:t>40G</w:t>
      </w:r>
      <w:r>
        <w:t>.</w:t>
      </w:r>
      <w:r>
        <w:tab/>
        <w:t>Limitation on actions in tort</w:t>
      </w:r>
      <w:bookmarkEnd w:id="54"/>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lastRenderedPageBreak/>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55" w:name="_Toc207116418"/>
      <w:r>
        <w:rPr>
          <w:rStyle w:val="CharPartNo"/>
        </w:rPr>
        <w:lastRenderedPageBreak/>
        <w:t>Part IV</w:t>
      </w:r>
      <w:r>
        <w:t> — </w:t>
      </w:r>
      <w:r>
        <w:rPr>
          <w:rStyle w:val="CharPartText"/>
        </w:rPr>
        <w:t>Mining tenements</w:t>
      </w:r>
      <w:bookmarkEnd w:id="55"/>
    </w:p>
    <w:p>
      <w:pPr>
        <w:pStyle w:val="Heading3"/>
      </w:pPr>
      <w:bookmarkStart w:id="56" w:name="_Toc207116419"/>
      <w:r>
        <w:rPr>
          <w:rStyle w:val="CharDivNo"/>
        </w:rPr>
        <w:t>Division 1</w:t>
      </w:r>
      <w:r>
        <w:rPr>
          <w:snapToGrid w:val="0"/>
        </w:rPr>
        <w:t> — </w:t>
      </w:r>
      <w:r>
        <w:rPr>
          <w:rStyle w:val="CharDivText"/>
        </w:rPr>
        <w:t>Prospecting licence</w:t>
      </w:r>
      <w:bookmarkEnd w:id="56"/>
    </w:p>
    <w:p>
      <w:pPr>
        <w:pStyle w:val="Ednotesection"/>
      </w:pPr>
      <w:r>
        <w:t>[</w:t>
      </w:r>
      <w:r>
        <w:rPr>
          <w:b/>
        </w:rPr>
        <w:t>39A.</w:t>
      </w:r>
      <w:r>
        <w:rPr>
          <w:b/>
        </w:rPr>
        <w:tab/>
      </w:r>
      <w:r>
        <w:t>Deleted: No. 52 of 1995 s. 21.]</w:t>
      </w:r>
    </w:p>
    <w:p>
      <w:pPr>
        <w:pStyle w:val="Heading5"/>
        <w:rPr>
          <w:snapToGrid w:val="0"/>
        </w:rPr>
      </w:pPr>
      <w:bookmarkStart w:id="57" w:name="_Toc207116420"/>
      <w:r>
        <w:rPr>
          <w:rStyle w:val="CharSectno"/>
        </w:rPr>
        <w:t>40</w:t>
      </w:r>
      <w:r>
        <w:rPr>
          <w:snapToGrid w:val="0"/>
        </w:rPr>
        <w:t>.</w:t>
      </w:r>
      <w:r>
        <w:rPr>
          <w:snapToGrid w:val="0"/>
        </w:rPr>
        <w:tab/>
        <w:t>Grant of prospecting licence</w:t>
      </w:r>
      <w:bookmarkEnd w:id="57"/>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58" w:name="_Toc207116421"/>
      <w:r>
        <w:rPr>
          <w:rStyle w:val="CharSectno"/>
        </w:rPr>
        <w:t>41</w:t>
      </w:r>
      <w:r>
        <w:rPr>
          <w:snapToGrid w:val="0"/>
        </w:rPr>
        <w:t>.</w:t>
      </w:r>
      <w:r>
        <w:rPr>
          <w:snapToGrid w:val="0"/>
        </w:rPr>
        <w:tab/>
        <w:t>Application for prospecting licence</w:t>
      </w:r>
      <w:bookmarkEnd w:id="58"/>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lastRenderedPageBreak/>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59" w:name="_Toc207116422"/>
      <w:r>
        <w:rPr>
          <w:rStyle w:val="CharSectno"/>
        </w:rPr>
        <w:t>42</w:t>
      </w:r>
      <w:r>
        <w:rPr>
          <w:snapToGrid w:val="0"/>
        </w:rPr>
        <w:t>.</w:t>
      </w:r>
      <w:r>
        <w:rPr>
          <w:snapToGrid w:val="0"/>
        </w:rPr>
        <w:tab/>
        <w:t>Determination of application for prospecting licence</w:t>
      </w:r>
      <w:bookmarkEnd w:id="59"/>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prospecting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keepNext/>
        <w:rPr>
          <w:snapToGrid w:val="0"/>
        </w:rPr>
      </w:pPr>
      <w:r>
        <w:rPr>
          <w:snapToGrid w:val="0"/>
        </w:rPr>
        <w:lastRenderedPageBreak/>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 No. 27 of 2023 s. 5.]</w:t>
      </w:r>
    </w:p>
    <w:p>
      <w:pPr>
        <w:pStyle w:val="Heading5"/>
        <w:spacing w:before="240"/>
      </w:pPr>
      <w:bookmarkStart w:id="60" w:name="_Toc207116423"/>
      <w:r>
        <w:rPr>
          <w:rStyle w:val="CharSectno"/>
        </w:rPr>
        <w:t>43</w:t>
      </w:r>
      <w:r>
        <w:t>.</w:t>
      </w:r>
      <w:r>
        <w:tab/>
        <w:t>Prospecting licence not to include land already subject of mining tenement</w:t>
      </w:r>
      <w:bookmarkEnd w:id="60"/>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keepNext/>
        <w:spacing w:before="180"/>
      </w:pPr>
      <w:r>
        <w:tab/>
        <w:t>(2)</w:t>
      </w:r>
      <w:r>
        <w:tab/>
        <w:t xml:space="preserve">Subsection (1) does not apply in relation to a special prospecting licence granted under section 56A, 70 or 85B or a </w:t>
      </w:r>
      <w:r>
        <w:lastRenderedPageBreak/>
        <w:t>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61" w:name="_Toc207116424"/>
      <w:r>
        <w:rPr>
          <w:rStyle w:val="CharSectno"/>
        </w:rPr>
        <w:t>44</w:t>
      </w:r>
      <w:r>
        <w:rPr>
          <w:snapToGrid w:val="0"/>
        </w:rPr>
        <w:t>.</w:t>
      </w:r>
      <w:r>
        <w:rPr>
          <w:snapToGrid w:val="0"/>
        </w:rPr>
        <w:tab/>
        <w:t>Power to grant prospecting licence over all or part of land in application</w:t>
      </w:r>
      <w:bookmarkEnd w:id="61"/>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62" w:name="_Toc207116425"/>
      <w:r>
        <w:rPr>
          <w:rStyle w:val="CharSectno"/>
        </w:rPr>
        <w:t>45</w:t>
      </w:r>
      <w:r>
        <w:rPr>
          <w:snapToGrid w:val="0"/>
        </w:rPr>
        <w:t>.</w:t>
      </w:r>
      <w:r>
        <w:rPr>
          <w:snapToGrid w:val="0"/>
        </w:rPr>
        <w:tab/>
        <w:t>Term of prospecting licence</w:t>
      </w:r>
      <w:bookmarkEnd w:id="62"/>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lastRenderedPageBreak/>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keepNext/>
        <w:rPr>
          <w:snapToGrid w:val="0"/>
        </w:rPr>
      </w:pPr>
      <w:r>
        <w:rPr>
          <w:snapToGrid w:val="0"/>
        </w:rPr>
        <w:tab/>
        <w:t>(2a)</w:t>
      </w:r>
      <w:r>
        <w:rPr>
          <w:snapToGrid w:val="0"/>
        </w:rPr>
        <w:tab/>
        <w:t xml:space="preserve">For the purposes of subsection (2)(b) the holding of shares in a listed public company which held the prospecting licence in </w:t>
      </w:r>
      <w:r>
        <w:rPr>
          <w:snapToGrid w:val="0"/>
        </w:rPr>
        <w:lastRenderedPageBreak/>
        <w:t>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63" w:name="_Toc207116426"/>
      <w:r>
        <w:rPr>
          <w:rStyle w:val="CharSectno"/>
        </w:rPr>
        <w:t>46</w:t>
      </w:r>
      <w:r>
        <w:rPr>
          <w:snapToGrid w:val="0"/>
        </w:rPr>
        <w:t>.</w:t>
      </w:r>
      <w:r>
        <w:rPr>
          <w:snapToGrid w:val="0"/>
        </w:rPr>
        <w:tab/>
        <w:t>Conditions attached to every prospecting licence</w:t>
      </w:r>
      <w:bookmarkEnd w:id="6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keepNext/>
        <w:rPr>
          <w:snapToGrid w:val="0"/>
        </w:rPr>
      </w:pPr>
      <w:r>
        <w:rPr>
          <w:snapToGrid w:val="0"/>
        </w:rPr>
        <w:lastRenderedPageBreak/>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64" w:name="_Toc207116427"/>
      <w:r>
        <w:rPr>
          <w:rStyle w:val="CharSectno"/>
        </w:rPr>
        <w:t>46A</w:t>
      </w:r>
      <w:r>
        <w:rPr>
          <w:snapToGrid w:val="0"/>
        </w:rPr>
        <w:t>.</w:t>
      </w:r>
      <w:r>
        <w:rPr>
          <w:snapToGrid w:val="0"/>
        </w:rPr>
        <w:tab/>
        <w:t>Conditions for prevention or reduction of injury to land</w:t>
      </w:r>
      <w:bookmarkEnd w:id="64"/>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keepNext/>
        <w:rPr>
          <w:snapToGrid w:val="0"/>
        </w:rPr>
      </w:pPr>
      <w:r>
        <w:rPr>
          <w:snapToGrid w:val="0"/>
        </w:rPr>
        <w:tab/>
        <w:t>(b)</w:t>
      </w:r>
      <w:r>
        <w:rPr>
          <w:snapToGrid w:val="0"/>
        </w:rPr>
        <w:tab/>
        <w:t xml:space="preserve">whether or not so endorsed, on notice of the imposition of the condition being given in writing to the holder of </w:t>
      </w:r>
      <w:r>
        <w:rPr>
          <w:snapToGrid w:val="0"/>
        </w:rPr>
        <w:lastRenderedPageBreak/>
        <w:t>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65" w:name="_Toc207116428"/>
      <w:r>
        <w:rPr>
          <w:rStyle w:val="CharSectno"/>
        </w:rPr>
        <w:t>47</w:t>
      </w:r>
      <w:r>
        <w:rPr>
          <w:snapToGrid w:val="0"/>
        </w:rPr>
        <w:t>.</w:t>
      </w:r>
      <w:r>
        <w:rPr>
          <w:snapToGrid w:val="0"/>
        </w:rPr>
        <w:tab/>
        <w:t>Survey of area of prospecting licence not required in first instance</w:t>
      </w:r>
      <w:bookmarkEnd w:id="65"/>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66" w:name="_Toc207116429"/>
      <w:r>
        <w:rPr>
          <w:rStyle w:val="CharSectno"/>
        </w:rPr>
        <w:t>48</w:t>
      </w:r>
      <w:r>
        <w:rPr>
          <w:snapToGrid w:val="0"/>
        </w:rPr>
        <w:t>.</w:t>
      </w:r>
      <w:r>
        <w:rPr>
          <w:snapToGrid w:val="0"/>
        </w:rPr>
        <w:tab/>
        <w:t>Rights conferred by prospecting licence</w:t>
      </w:r>
      <w:bookmarkEnd w:id="66"/>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 xml:space="preserve">to prospect, subject to any conditions imposed under section 24, 24A or 25, for minerals, and to carry on such operations and carry out such works as are necessary for that purpose on such land including digging pits, </w:t>
      </w:r>
      <w:r>
        <w:rPr>
          <w:snapToGrid w:val="0"/>
        </w:rPr>
        <w:lastRenderedPageBreak/>
        <w:t>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67" w:name="_Toc207116430"/>
      <w:r>
        <w:rPr>
          <w:rStyle w:val="CharSectno"/>
        </w:rPr>
        <w:t>49</w:t>
      </w:r>
      <w:r>
        <w:rPr>
          <w:snapToGrid w:val="0"/>
        </w:rPr>
        <w:t>.</w:t>
      </w:r>
      <w:r>
        <w:rPr>
          <w:snapToGrid w:val="0"/>
        </w:rPr>
        <w:tab/>
        <w:t>Holder of prospecting licence to have priority for grant of mining leases or general purpose leases</w:t>
      </w:r>
      <w:bookmarkEnd w:id="67"/>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lastRenderedPageBreak/>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68" w:name="_Toc207116431"/>
      <w:r>
        <w:rPr>
          <w:rStyle w:val="CharSectno"/>
        </w:rPr>
        <w:t>50</w:t>
      </w:r>
      <w:r>
        <w:rPr>
          <w:snapToGrid w:val="0"/>
        </w:rPr>
        <w:t>.</w:t>
      </w:r>
      <w:r>
        <w:rPr>
          <w:snapToGrid w:val="0"/>
        </w:rPr>
        <w:tab/>
        <w:t>Compliance with expenditure conditions</w:t>
      </w:r>
      <w:bookmarkEnd w:id="68"/>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 xml:space="preserve">shall provide for a reduction calculated in the prescribed manner of the amount of expenditure required during the </w:t>
      </w:r>
      <w:r>
        <w:lastRenderedPageBreak/>
        <w:t>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69" w:name="_Toc207116432"/>
      <w:r>
        <w:rPr>
          <w:rStyle w:val="CharSectno"/>
        </w:rPr>
        <w:t>51</w:t>
      </w:r>
      <w:r>
        <w:rPr>
          <w:snapToGrid w:val="0"/>
        </w:rPr>
        <w:t>.</w:t>
      </w:r>
      <w:r>
        <w:rPr>
          <w:snapToGrid w:val="0"/>
        </w:rPr>
        <w:tab/>
        <w:t>Reports of work and expenditure</w:t>
      </w:r>
      <w:bookmarkEnd w:id="69"/>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70" w:name="_Toc207116433"/>
      <w:r>
        <w:rPr>
          <w:rStyle w:val="CharSectno"/>
        </w:rPr>
        <w:t>51A</w:t>
      </w:r>
      <w:r>
        <w:t>.</w:t>
      </w:r>
      <w:r>
        <w:tab/>
        <w:t>Geological samples</w:t>
      </w:r>
      <w:bookmarkEnd w:id="70"/>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71" w:name="_Toc207116434"/>
      <w:r>
        <w:rPr>
          <w:rStyle w:val="CharSectno"/>
        </w:rPr>
        <w:t>52</w:t>
      </w:r>
      <w:r>
        <w:rPr>
          <w:snapToGrid w:val="0"/>
        </w:rPr>
        <w:t>.</w:t>
      </w:r>
      <w:r>
        <w:rPr>
          <w:snapToGrid w:val="0"/>
        </w:rPr>
        <w:tab/>
        <w:t>Security relating to prospecting licence</w:t>
      </w:r>
      <w:bookmarkEnd w:id="71"/>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w:t>
      </w:r>
      <w:r>
        <w:rPr>
          <w:snapToGrid w:val="0"/>
        </w:rPr>
        <w:lastRenderedPageBreak/>
        <w:t>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72" w:name="_Toc207116435"/>
      <w:r>
        <w:rPr>
          <w:rStyle w:val="CharSectno"/>
        </w:rPr>
        <w:t>53</w:t>
      </w:r>
      <w:r>
        <w:t>.</w:t>
      </w:r>
      <w:r>
        <w:tab/>
        <w:t>Application for retention status</w:t>
      </w:r>
      <w:bookmarkEnd w:id="72"/>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lastRenderedPageBreak/>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73" w:name="_Toc207116436"/>
      <w:r>
        <w:rPr>
          <w:rStyle w:val="CharSectno"/>
        </w:rPr>
        <w:t>54</w:t>
      </w:r>
      <w:r>
        <w:t>.</w:t>
      </w:r>
      <w:r>
        <w:tab/>
        <w:t>Approval of retention status</w:t>
      </w:r>
      <w:bookmarkEnd w:id="7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lastRenderedPageBreak/>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keepNext/>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74" w:name="_Toc207116437"/>
      <w:r>
        <w:rPr>
          <w:rStyle w:val="CharSectno"/>
        </w:rPr>
        <w:t>55</w:t>
      </w:r>
      <w:r>
        <w:t>.</w:t>
      </w:r>
      <w:r>
        <w:tab/>
        <w:t>Consultation with other Ministers</w:t>
      </w:r>
      <w:bookmarkEnd w:id="74"/>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keepNext/>
      </w:pPr>
      <w:r>
        <w:tab/>
        <w:t>(4)</w:t>
      </w:r>
      <w:r>
        <w:tab/>
        <w:t xml:space="preserve">Before approving retention status under section 54 for land of the class referred to in section 25(1)(d), the Minister shall </w:t>
      </w:r>
      <w:r>
        <w:lastRenderedPageBreak/>
        <w:t>consult and obtain the recommendations of the other Minister referred to in section 25(3B).</w:t>
      </w:r>
    </w:p>
    <w:p>
      <w:pPr>
        <w:pStyle w:val="Footnotesection"/>
      </w:pPr>
      <w:r>
        <w:tab/>
        <w:t>[Section 55 inserted: No. 39 of 2004 s. 22; amended: No. 19 of 2010 s. 51.]</w:t>
      </w:r>
    </w:p>
    <w:p>
      <w:pPr>
        <w:pStyle w:val="Heading5"/>
      </w:pPr>
      <w:bookmarkStart w:id="75" w:name="_Toc207116438"/>
      <w:r>
        <w:rPr>
          <w:rStyle w:val="CharSectno"/>
        </w:rPr>
        <w:t>55A</w:t>
      </w:r>
      <w:r>
        <w:t>.</w:t>
      </w:r>
      <w:r>
        <w:tab/>
        <w:t>Programme of work</w:t>
      </w:r>
      <w:bookmarkEnd w:id="75"/>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76" w:name="_Toc207116439"/>
      <w:r>
        <w:rPr>
          <w:rStyle w:val="CharSectno"/>
        </w:rPr>
        <w:lastRenderedPageBreak/>
        <w:t>55B</w:t>
      </w:r>
      <w:r>
        <w:t>.</w:t>
      </w:r>
      <w:r>
        <w:tab/>
        <w:t>Holder of prospecting licence with retention status may be required to apply for mining lease</w:t>
      </w:r>
      <w:bookmarkEnd w:id="76"/>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77" w:name="_Toc207116440"/>
      <w:r>
        <w:rPr>
          <w:rStyle w:val="CharSectno"/>
        </w:rPr>
        <w:t>56</w:t>
      </w:r>
      <w:r>
        <w:rPr>
          <w:snapToGrid w:val="0"/>
        </w:rPr>
        <w:t>.</w:t>
      </w:r>
      <w:r>
        <w:rPr>
          <w:snapToGrid w:val="0"/>
        </w:rPr>
        <w:tab/>
        <w:t>Appeal against refusal to grant prospecting licence</w:t>
      </w:r>
      <w:bookmarkEnd w:id="77"/>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78" w:name="_Toc207116441"/>
      <w:r>
        <w:rPr>
          <w:rStyle w:val="CharSectno"/>
        </w:rPr>
        <w:lastRenderedPageBreak/>
        <w:t>56A</w:t>
      </w:r>
      <w:r>
        <w:rPr>
          <w:snapToGrid w:val="0"/>
        </w:rPr>
        <w:t>.</w:t>
      </w:r>
      <w:r>
        <w:rPr>
          <w:snapToGrid w:val="0"/>
        </w:rPr>
        <w:tab/>
        <w:t>Special prospecting licences</w:t>
      </w:r>
      <w:bookmarkEnd w:id="78"/>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 xml:space="preserve">If, after being served with notice of an application for a special prospecting licence, the holder of the primary tenement does not lodge an objection against that application, the mining registrar </w:t>
      </w:r>
      <w:r>
        <w:rPr>
          <w:snapToGrid w:val="0"/>
        </w:rPr>
        <w:lastRenderedPageBreak/>
        <w:t>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lastRenderedPageBreak/>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lastRenderedPageBreak/>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 xml:space="preserve">is capable of being created, affected or dealt with, whether directly or indirectly, except with the prior written consent of </w:t>
      </w:r>
      <w:r>
        <w:rPr>
          <w:snapToGrid w:val="0"/>
        </w:rPr>
        <w:lastRenderedPageBreak/>
        <w:t>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 xml:space="preserve">does not authorise the lessee thereof, his agents or employees to excavate, extract or remove a total amount </w:t>
      </w:r>
      <w:r>
        <w:rPr>
          <w:snapToGrid w:val="0"/>
        </w:rPr>
        <w:lastRenderedPageBreak/>
        <w:t>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lastRenderedPageBreak/>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Lines w:val="0"/>
      </w:pPr>
      <w:bookmarkStart w:id="79" w:name="_Toc207116442"/>
      <w:r>
        <w:rPr>
          <w:rStyle w:val="CharSectno"/>
        </w:rPr>
        <w:lastRenderedPageBreak/>
        <w:t>56B</w:t>
      </w:r>
      <w:r>
        <w:t>.</w:t>
      </w:r>
      <w:r>
        <w:tab/>
        <w:t>Certain licence holders to have right to apply for further prospecting licence</w:t>
      </w:r>
      <w:bookmarkEnd w:id="79"/>
    </w:p>
    <w:p>
      <w:pPr>
        <w:pStyle w:val="Subsection"/>
        <w:keepNext/>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keepLines/>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80" w:name="_Toc207116443"/>
      <w:r>
        <w:rPr>
          <w:rStyle w:val="CharDivNo"/>
        </w:rPr>
        <w:t>Division 2</w:t>
      </w:r>
      <w:r>
        <w:rPr>
          <w:snapToGrid w:val="0"/>
        </w:rPr>
        <w:t> — </w:t>
      </w:r>
      <w:r>
        <w:rPr>
          <w:rStyle w:val="CharDivText"/>
        </w:rPr>
        <w:t>Exploration licence</w:t>
      </w:r>
      <w:bookmarkEnd w:id="80"/>
    </w:p>
    <w:p>
      <w:pPr>
        <w:pStyle w:val="Ednotesection"/>
        <w:ind w:left="890" w:hanging="890"/>
      </w:pPr>
      <w:r>
        <w:t>[</w:t>
      </w:r>
      <w:r>
        <w:rPr>
          <w:b/>
        </w:rPr>
        <w:t>56AA.</w:t>
      </w:r>
      <w:r>
        <w:tab/>
        <w:t>Deleted: No. 52 of 1995 s. 25.]</w:t>
      </w:r>
    </w:p>
    <w:p>
      <w:pPr>
        <w:pStyle w:val="Heading5"/>
        <w:keepNext w:val="0"/>
        <w:keepLines w:val="0"/>
        <w:rPr>
          <w:snapToGrid w:val="0"/>
        </w:rPr>
      </w:pPr>
      <w:bookmarkStart w:id="81" w:name="_Toc207116444"/>
      <w:r>
        <w:rPr>
          <w:rStyle w:val="CharSectno"/>
        </w:rPr>
        <w:t>56C</w:t>
      </w:r>
      <w:r>
        <w:rPr>
          <w:snapToGrid w:val="0"/>
        </w:rPr>
        <w:t>.</w:t>
      </w:r>
      <w:r>
        <w:rPr>
          <w:snapToGrid w:val="0"/>
        </w:rPr>
        <w:tab/>
        <w:t>Graticular sections</w:t>
      </w:r>
      <w:bookmarkEnd w:id="81"/>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keepNext/>
        <w:rPr>
          <w:snapToGrid w:val="0"/>
        </w:rPr>
      </w:pPr>
      <w:r>
        <w:rPr>
          <w:snapToGrid w:val="0"/>
        </w:rPr>
        <w:lastRenderedPageBreak/>
        <w:tab/>
        <w:t>(b)</w:t>
      </w:r>
      <w:r>
        <w:rPr>
          <w:snapToGrid w:val="0"/>
        </w:rPr>
        <w:tab/>
        <w:t>by the equator and by parallels of latitude that are at a distance from the equator of 1, or a multiple of 1, minute of latitude,</w:t>
      </w:r>
    </w:p>
    <w:p>
      <w:pPr>
        <w:pStyle w:val="Subsection"/>
        <w:keepNext/>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keepNext/>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 xml:space="preserve">Despite subsection (1), the meridians of longitude defining the eastern and western boundaries of a graticular section, and the parallels of latitude defining the northern and southern </w:t>
      </w:r>
      <w:r>
        <w:lastRenderedPageBreak/>
        <w:t>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82" w:name="_Toc207116445"/>
      <w:r>
        <w:rPr>
          <w:rStyle w:val="CharSectno"/>
        </w:rPr>
        <w:t>57</w:t>
      </w:r>
      <w:r>
        <w:rPr>
          <w:snapToGrid w:val="0"/>
        </w:rPr>
        <w:t>.</w:t>
      </w:r>
      <w:r>
        <w:rPr>
          <w:snapToGrid w:val="0"/>
        </w:rPr>
        <w:tab/>
        <w:t>Grant of exploration licence</w:t>
      </w:r>
      <w:bookmarkEnd w:id="82"/>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lastRenderedPageBreak/>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keepNext/>
        <w:spacing w:before="100"/>
        <w:rPr>
          <w:snapToGrid w:val="0"/>
        </w:rPr>
      </w:pPr>
      <w:r>
        <w:rPr>
          <w:snapToGrid w:val="0"/>
        </w:rPr>
        <w:lastRenderedPageBreak/>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83" w:name="_Toc207116446"/>
      <w:r>
        <w:rPr>
          <w:rStyle w:val="CharSectno"/>
        </w:rPr>
        <w:lastRenderedPageBreak/>
        <w:t>57A</w:t>
      </w:r>
      <w:r>
        <w:t>.</w:t>
      </w:r>
      <w:r>
        <w:tab/>
        <w:t>Designation of areas for purposes of s. 57(2aa)</w:t>
      </w:r>
      <w:bookmarkEnd w:id="83"/>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84" w:name="_Toc207116447"/>
      <w:r>
        <w:rPr>
          <w:rStyle w:val="CharSectno"/>
        </w:rPr>
        <w:t>58</w:t>
      </w:r>
      <w:r>
        <w:rPr>
          <w:snapToGrid w:val="0"/>
        </w:rPr>
        <w:t>.</w:t>
      </w:r>
      <w:r>
        <w:rPr>
          <w:snapToGrid w:val="0"/>
        </w:rPr>
        <w:tab/>
        <w:t>Application for exploration licence</w:t>
      </w:r>
      <w:bookmarkEnd w:id="84"/>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lastRenderedPageBreak/>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keepNext/>
        <w:spacing w:before="120"/>
      </w:pPr>
      <w:r>
        <w:lastRenderedPageBreak/>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85" w:name="_Toc207116448"/>
      <w:r>
        <w:rPr>
          <w:rStyle w:val="CharSectno"/>
        </w:rPr>
        <w:t>59</w:t>
      </w:r>
      <w:r>
        <w:rPr>
          <w:snapToGrid w:val="0"/>
        </w:rPr>
        <w:t>.</w:t>
      </w:r>
      <w:r>
        <w:rPr>
          <w:snapToGrid w:val="0"/>
        </w:rPr>
        <w:tab/>
        <w:t>Determination of application for exploration licence</w:t>
      </w:r>
      <w:bookmarkEnd w:id="85"/>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keepNext/>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exploration licence, or activities authorised by it, would affect an offsets project.</w:t>
      </w:r>
    </w:p>
    <w:p>
      <w:pPr>
        <w:pStyle w:val="Subsection"/>
      </w:pPr>
      <w:r>
        <w:lastRenderedPageBreak/>
        <w:tab/>
        <w:t>(1C)</w:t>
      </w:r>
      <w:r>
        <w:tab/>
        <w:t>Subsection (1B) does not apply in respect of an offsets project, or any part of an offsets project, situated on land held in freehold.</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lastRenderedPageBreak/>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 No. 27 of 2023 s. 6.]</w:t>
      </w:r>
    </w:p>
    <w:p>
      <w:pPr>
        <w:pStyle w:val="Heading5"/>
        <w:rPr>
          <w:snapToGrid w:val="0"/>
        </w:rPr>
      </w:pPr>
      <w:bookmarkStart w:id="86" w:name="_Toc207116449"/>
      <w:r>
        <w:rPr>
          <w:rStyle w:val="CharSectno"/>
        </w:rPr>
        <w:t>60</w:t>
      </w:r>
      <w:r>
        <w:rPr>
          <w:snapToGrid w:val="0"/>
        </w:rPr>
        <w:t>.</w:t>
      </w:r>
      <w:r>
        <w:rPr>
          <w:snapToGrid w:val="0"/>
        </w:rPr>
        <w:tab/>
        <w:t>Security relating to exploration licence</w:t>
      </w:r>
      <w:bookmarkEnd w:id="86"/>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lastRenderedPageBreak/>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87" w:name="_Toc207116450"/>
      <w:r>
        <w:rPr>
          <w:rStyle w:val="CharSectno"/>
        </w:rPr>
        <w:t>61</w:t>
      </w:r>
      <w:r>
        <w:rPr>
          <w:snapToGrid w:val="0"/>
        </w:rPr>
        <w:t>.</w:t>
      </w:r>
      <w:r>
        <w:rPr>
          <w:snapToGrid w:val="0"/>
        </w:rPr>
        <w:tab/>
        <w:t>Term of exploration licence</w:t>
      </w:r>
      <w:bookmarkEnd w:id="87"/>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 xml:space="preserve">If the holder of an exploration licence transfers the licence after making an application for the extension of the term of the licence under subsection (2), the application continues in the </w:t>
      </w:r>
      <w:r>
        <w:rPr>
          <w:snapToGrid w:val="0"/>
        </w:rPr>
        <w:lastRenderedPageBreak/>
        <w:t>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88" w:name="_Toc207116451"/>
      <w:r>
        <w:rPr>
          <w:rStyle w:val="CharSectno"/>
        </w:rPr>
        <w:t>62</w:t>
      </w:r>
      <w:r>
        <w:rPr>
          <w:snapToGrid w:val="0"/>
        </w:rPr>
        <w:t>.</w:t>
      </w:r>
      <w:r>
        <w:rPr>
          <w:snapToGrid w:val="0"/>
        </w:rPr>
        <w:tab/>
        <w:t>Expenditure conditions</w:t>
      </w:r>
      <w:bookmarkEnd w:id="88"/>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89" w:name="_Toc207116452"/>
      <w:r>
        <w:rPr>
          <w:rStyle w:val="CharSectno"/>
        </w:rPr>
        <w:t>63</w:t>
      </w:r>
      <w:r>
        <w:rPr>
          <w:snapToGrid w:val="0"/>
        </w:rPr>
        <w:t>.</w:t>
      </w:r>
      <w:r>
        <w:rPr>
          <w:snapToGrid w:val="0"/>
        </w:rPr>
        <w:tab/>
        <w:t>Condition attached to exploration licence</w:t>
      </w:r>
      <w:bookmarkEnd w:id="89"/>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keepNext/>
      </w:pPr>
      <w:r>
        <w:lastRenderedPageBreak/>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90" w:name="_Toc207116453"/>
      <w:r>
        <w:rPr>
          <w:rStyle w:val="CharSectno"/>
        </w:rPr>
        <w:t>63AA</w:t>
      </w:r>
      <w:r>
        <w:rPr>
          <w:snapToGrid w:val="0"/>
        </w:rPr>
        <w:t>.</w:t>
      </w:r>
      <w:r>
        <w:rPr>
          <w:snapToGrid w:val="0"/>
        </w:rPr>
        <w:tab/>
        <w:t>Conditions for prevention or reduction of injury to land</w:t>
      </w:r>
      <w:bookmarkEnd w:id="90"/>
    </w:p>
    <w:p>
      <w:pPr>
        <w:pStyle w:val="Subsection"/>
        <w:rPr>
          <w:snapToGrid w:val="0"/>
        </w:rPr>
      </w:pPr>
      <w:r>
        <w:rPr>
          <w:snapToGrid w:val="0"/>
        </w:rPr>
        <w:tab/>
        <w:t>(1)</w:t>
      </w:r>
      <w:r>
        <w:rPr>
          <w:snapToGrid w:val="0"/>
        </w:rPr>
        <w:tab/>
        <w:t xml:space="preserve">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w:t>
      </w:r>
      <w:r>
        <w:rPr>
          <w:snapToGrid w:val="0"/>
        </w:rPr>
        <w:lastRenderedPageBreak/>
        <w:t>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91" w:name="_Toc207116454"/>
      <w:r>
        <w:rPr>
          <w:rStyle w:val="CharSectno"/>
        </w:rPr>
        <w:t>63A</w:t>
      </w:r>
      <w:r>
        <w:rPr>
          <w:snapToGrid w:val="0"/>
        </w:rPr>
        <w:t>.</w:t>
      </w:r>
      <w:r>
        <w:rPr>
          <w:snapToGrid w:val="0"/>
        </w:rPr>
        <w:tab/>
        <w:t>When exploration licence liable to forfeiture</w:t>
      </w:r>
      <w:bookmarkEnd w:id="91"/>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lastRenderedPageBreak/>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92" w:name="_Toc207116455"/>
      <w:r>
        <w:rPr>
          <w:rStyle w:val="CharSectno"/>
        </w:rPr>
        <w:t>64</w:t>
      </w:r>
      <w:r>
        <w:rPr>
          <w:snapToGrid w:val="0"/>
        </w:rPr>
        <w:t>.</w:t>
      </w:r>
      <w:r>
        <w:rPr>
          <w:snapToGrid w:val="0"/>
        </w:rPr>
        <w:tab/>
        <w:t>Consent to dealing in exploration licence</w:t>
      </w:r>
      <w:bookmarkEnd w:id="92"/>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keepNext/>
        <w:spacing w:before="260"/>
        <w:rPr>
          <w:snapToGrid w:val="0"/>
        </w:rPr>
      </w:pPr>
      <w:r>
        <w:rPr>
          <w:snapToGrid w:val="0"/>
        </w:rPr>
        <w:lastRenderedPageBreak/>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93" w:name="_Toc207116456"/>
      <w:r>
        <w:rPr>
          <w:rStyle w:val="CharSectno"/>
        </w:rPr>
        <w:t>65</w:t>
      </w:r>
      <w:r>
        <w:rPr>
          <w:snapToGrid w:val="0"/>
        </w:rPr>
        <w:t>.</w:t>
      </w:r>
      <w:r>
        <w:rPr>
          <w:snapToGrid w:val="0"/>
        </w:rPr>
        <w:tab/>
        <w:t>Surrender of certain areas subject to exploration licence</w:t>
      </w:r>
      <w:bookmarkEnd w:id="93"/>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lastRenderedPageBreak/>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 xml:space="preserve">then, in calculating the area of land that is required to be surrendered under this section, the area of granted land or </w:t>
      </w:r>
      <w:r>
        <w:lastRenderedPageBreak/>
        <w:t>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94" w:name="_Toc207116457"/>
      <w:r>
        <w:rPr>
          <w:rStyle w:val="CharSectno"/>
        </w:rPr>
        <w:t>66</w:t>
      </w:r>
      <w:r>
        <w:rPr>
          <w:snapToGrid w:val="0"/>
        </w:rPr>
        <w:t>.</w:t>
      </w:r>
      <w:r>
        <w:rPr>
          <w:snapToGrid w:val="0"/>
        </w:rPr>
        <w:tab/>
        <w:t>Rights conferred by exploration licence</w:t>
      </w:r>
      <w:bookmarkEnd w:id="94"/>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 xml:space="preserve">to explore, subject to any conditions imposed under section 24, 24A or 25, for minerals, and to carry on such operations and carry out such works as are necessary for that purpose on such land including digging pits, </w:t>
      </w:r>
      <w:r>
        <w:rPr>
          <w:snapToGrid w:val="0"/>
        </w:rPr>
        <w:lastRenderedPageBreak/>
        <w:t>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95" w:name="_Toc207116458"/>
      <w:r>
        <w:rPr>
          <w:rStyle w:val="CharSectno"/>
        </w:rPr>
        <w:t>67</w:t>
      </w:r>
      <w:r>
        <w:rPr>
          <w:snapToGrid w:val="0"/>
        </w:rPr>
        <w:t>.</w:t>
      </w:r>
      <w:r>
        <w:rPr>
          <w:snapToGrid w:val="0"/>
        </w:rPr>
        <w:tab/>
        <w:t>Holder of exploration licence to have priority for grant of mining leases or general purpose leases</w:t>
      </w:r>
      <w:bookmarkEnd w:id="95"/>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lastRenderedPageBreak/>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96" w:name="_Toc207116459"/>
      <w:r>
        <w:rPr>
          <w:rStyle w:val="CharSectno"/>
        </w:rPr>
        <w:t>67A</w:t>
      </w:r>
      <w:r>
        <w:rPr>
          <w:snapToGrid w:val="0"/>
        </w:rPr>
        <w:t>.</w:t>
      </w:r>
      <w:r>
        <w:rPr>
          <w:snapToGrid w:val="0"/>
        </w:rPr>
        <w:tab/>
        <w:t>Holder of exploration licence may apply to amalgamate secondary tenement</w:t>
      </w:r>
      <w:bookmarkEnd w:id="96"/>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w:t>
      </w:r>
      <w:r>
        <w:rPr>
          <w:snapToGrid w:val="0"/>
        </w:rPr>
        <w:lastRenderedPageBreak/>
        <w:t xml:space="preserve">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keepNext/>
      </w:pPr>
      <w:r>
        <w:lastRenderedPageBreak/>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97" w:name="_Toc207116460"/>
      <w:r>
        <w:rPr>
          <w:rStyle w:val="CharSectno"/>
        </w:rPr>
        <w:lastRenderedPageBreak/>
        <w:t>68</w:t>
      </w:r>
      <w:r>
        <w:rPr>
          <w:snapToGrid w:val="0"/>
        </w:rPr>
        <w:t>.</w:t>
      </w:r>
      <w:r>
        <w:rPr>
          <w:snapToGrid w:val="0"/>
        </w:rPr>
        <w:tab/>
        <w:t>Holder of exploration licence to keep geological records</w:t>
      </w:r>
      <w:bookmarkEnd w:id="97"/>
    </w:p>
    <w:p>
      <w:pPr>
        <w:pStyle w:val="Subsection"/>
        <w:keepNext/>
        <w:keepLines/>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98" w:name="_Toc207116461"/>
      <w:r>
        <w:rPr>
          <w:rStyle w:val="CharSectno"/>
        </w:rPr>
        <w:t>69</w:t>
      </w:r>
      <w:r>
        <w:rPr>
          <w:snapToGrid w:val="0"/>
        </w:rPr>
        <w:t>.</w:t>
      </w:r>
      <w:r>
        <w:rPr>
          <w:snapToGrid w:val="0"/>
        </w:rPr>
        <w:tab/>
        <w:t>Land the subject of exploration licence not to be again marked out for a certain period</w:t>
      </w:r>
      <w:bookmarkEnd w:id="98"/>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lastRenderedPageBreak/>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99" w:name="_Toc207116462"/>
      <w:r>
        <w:rPr>
          <w:rStyle w:val="CharSectno"/>
        </w:rPr>
        <w:t>69A</w:t>
      </w:r>
      <w:r>
        <w:t>.</w:t>
      </w:r>
      <w:r>
        <w:tab/>
        <w:t>Application for retention status</w:t>
      </w:r>
      <w:bookmarkEnd w:id="99"/>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 xml:space="preserve">If the holder of an exploration licence transfers the licence after making an application under subsection (2) in respect of the </w:t>
      </w:r>
      <w:r>
        <w:lastRenderedPageBreak/>
        <w:t>licence, the application continues in the name of the transferee of the licence as if the transferee had made it.</w:t>
      </w:r>
    </w:p>
    <w:p>
      <w:pPr>
        <w:pStyle w:val="Footnotesection"/>
      </w:pPr>
      <w:r>
        <w:tab/>
        <w:t>[Section 69A inserted: No. 39 of 2004 s. 24.]</w:t>
      </w:r>
    </w:p>
    <w:p>
      <w:pPr>
        <w:pStyle w:val="Heading5"/>
      </w:pPr>
      <w:bookmarkStart w:id="100" w:name="_Toc207116463"/>
      <w:r>
        <w:rPr>
          <w:rStyle w:val="CharSectno"/>
        </w:rPr>
        <w:t>69B</w:t>
      </w:r>
      <w:r>
        <w:t>.</w:t>
      </w:r>
      <w:r>
        <w:tab/>
        <w:t>Approval of retention status</w:t>
      </w:r>
      <w:bookmarkEnd w:id="100"/>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lastRenderedPageBreak/>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101" w:name="_Toc207116464"/>
      <w:r>
        <w:rPr>
          <w:rStyle w:val="CharSectno"/>
        </w:rPr>
        <w:t>69C</w:t>
      </w:r>
      <w:r>
        <w:t>.</w:t>
      </w:r>
      <w:r>
        <w:tab/>
        <w:t>Consultation with other Ministers</w:t>
      </w:r>
      <w:bookmarkEnd w:id="101"/>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102" w:name="_Toc207116465"/>
      <w:r>
        <w:rPr>
          <w:rStyle w:val="CharSectno"/>
        </w:rPr>
        <w:lastRenderedPageBreak/>
        <w:t>69D</w:t>
      </w:r>
      <w:r>
        <w:t>.</w:t>
      </w:r>
      <w:r>
        <w:tab/>
        <w:t>Programme of work</w:t>
      </w:r>
      <w:bookmarkEnd w:id="102"/>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103" w:name="_Toc207116466"/>
      <w:r>
        <w:rPr>
          <w:rStyle w:val="CharSectno"/>
        </w:rPr>
        <w:t>69E</w:t>
      </w:r>
      <w:r>
        <w:t>.</w:t>
      </w:r>
      <w:r>
        <w:tab/>
        <w:t>Holder of exploration licence with retention status may be required to apply for mining lease</w:t>
      </w:r>
      <w:bookmarkEnd w:id="103"/>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keepNext/>
        <w:spacing w:before="200"/>
      </w:pPr>
      <w:r>
        <w:lastRenderedPageBreak/>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104" w:name="_Toc207116467"/>
      <w:r>
        <w:rPr>
          <w:rStyle w:val="CharSectno"/>
        </w:rPr>
        <w:t>70</w:t>
      </w:r>
      <w:r>
        <w:rPr>
          <w:snapToGrid w:val="0"/>
        </w:rPr>
        <w:t>.</w:t>
      </w:r>
      <w:r>
        <w:rPr>
          <w:snapToGrid w:val="0"/>
        </w:rPr>
        <w:tab/>
        <w:t xml:space="preserve">Special prospecting licence on an </w:t>
      </w:r>
      <w:r>
        <w:t>exploration licence</w:t>
      </w:r>
      <w:bookmarkEnd w:id="104"/>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keepLines/>
      </w:pPr>
      <w:r>
        <w:lastRenderedPageBreak/>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w:t>
      </w:r>
      <w:r>
        <w:rPr>
          <w:snapToGrid w:val="0"/>
        </w:rPr>
        <w:lastRenderedPageBreak/>
        <w:t>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lastRenderedPageBreak/>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lastRenderedPageBreak/>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w:t>
      </w:r>
      <w:r>
        <w:rPr>
          <w:snapToGrid w:val="0"/>
        </w:rPr>
        <w:lastRenderedPageBreak/>
        <w:t>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lastRenderedPageBreak/>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105" w:name="_Toc207116468"/>
      <w:r>
        <w:rPr>
          <w:rStyle w:val="CharDivNo"/>
        </w:rPr>
        <w:lastRenderedPageBreak/>
        <w:t>Division 2A</w:t>
      </w:r>
      <w:r>
        <w:rPr>
          <w:snapToGrid w:val="0"/>
        </w:rPr>
        <w:t> — </w:t>
      </w:r>
      <w:r>
        <w:rPr>
          <w:rStyle w:val="CharDivText"/>
        </w:rPr>
        <w:t>Retention licence</w:t>
      </w:r>
      <w:bookmarkEnd w:id="105"/>
    </w:p>
    <w:p>
      <w:pPr>
        <w:pStyle w:val="Footnoteheading"/>
        <w:keepNext/>
        <w:keepLines/>
        <w:rPr>
          <w:snapToGrid w:val="0"/>
        </w:rPr>
      </w:pPr>
      <w:r>
        <w:rPr>
          <w:snapToGrid w:val="0"/>
        </w:rPr>
        <w:tab/>
        <w:t>[Heading inserted: No. 37 of 1993 s. 10(1).]</w:t>
      </w:r>
    </w:p>
    <w:p>
      <w:pPr>
        <w:pStyle w:val="Heading5"/>
        <w:spacing w:before="180"/>
      </w:pPr>
      <w:bookmarkStart w:id="106" w:name="_Toc207116469"/>
      <w:r>
        <w:rPr>
          <w:rStyle w:val="CharSectno"/>
        </w:rPr>
        <w:t>70A</w:t>
      </w:r>
      <w:r>
        <w:t>.</w:t>
      </w:r>
      <w:r>
        <w:tab/>
        <w:t>Term used: primary tenement</w:t>
      </w:r>
      <w:bookmarkEnd w:id="106"/>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107" w:name="_Toc207116470"/>
      <w:r>
        <w:rPr>
          <w:rStyle w:val="CharSectno"/>
        </w:rPr>
        <w:t>70B</w:t>
      </w:r>
      <w:r>
        <w:rPr>
          <w:snapToGrid w:val="0"/>
        </w:rPr>
        <w:t>.</w:t>
      </w:r>
      <w:r>
        <w:rPr>
          <w:snapToGrid w:val="0"/>
        </w:rPr>
        <w:tab/>
        <w:t>Grant of retention licence</w:t>
      </w:r>
      <w:bookmarkEnd w:id="107"/>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lastRenderedPageBreak/>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108" w:name="_Toc207116471"/>
      <w:r>
        <w:rPr>
          <w:rStyle w:val="CharSectno"/>
        </w:rPr>
        <w:t>70C</w:t>
      </w:r>
      <w:r>
        <w:rPr>
          <w:snapToGrid w:val="0"/>
        </w:rPr>
        <w:t>.</w:t>
      </w:r>
      <w:r>
        <w:rPr>
          <w:snapToGrid w:val="0"/>
        </w:rPr>
        <w:tab/>
        <w:t>Application for retention licence</w:t>
      </w:r>
      <w:bookmarkEnd w:id="108"/>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lastRenderedPageBreak/>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 xml:space="preserve">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w:t>
      </w:r>
      <w:r>
        <w:rPr>
          <w:snapToGrid w:val="0"/>
        </w:rPr>
        <w:lastRenderedPageBreak/>
        <w:t>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keepNext/>
        <w:spacing w:before="120"/>
        <w:rPr>
          <w:snapToGrid w:val="0"/>
        </w:rPr>
      </w:pPr>
      <w:r>
        <w:rPr>
          <w:snapToGrid w:val="0"/>
        </w:rPr>
        <w:tab/>
        <w:t>(8)</w:t>
      </w:r>
      <w:r>
        <w:rPr>
          <w:snapToGrid w:val="0"/>
        </w:rPr>
        <w:tab/>
        <w:t xml:space="preserve">For the purposes of subsection (7), where there are 2 or more transferees of the primary tenement, each of the transferees is to be regarded as an applicant for an interest in the relevant </w:t>
      </w:r>
      <w:r>
        <w:rPr>
          <w:snapToGrid w:val="0"/>
        </w:rPr>
        <w:lastRenderedPageBreak/>
        <w:t>retention licence that corresponds to the interest held by that transferee in the primary tenement.</w:t>
      </w:r>
    </w:p>
    <w:p>
      <w:pPr>
        <w:pStyle w:val="Footnotesection"/>
        <w:keepLines w:val="0"/>
        <w:spacing w:before="80"/>
        <w:ind w:left="890" w:hanging="890"/>
      </w:pPr>
      <w:r>
        <w:tab/>
        <w:t>[Section 70C inserted: No. 37 of 1993 s. 10(1); amended: No. 58 of 1994 s. 23; No. 17 of 1999 s. 10; No. 12 of 2010 s. 27.]</w:t>
      </w:r>
    </w:p>
    <w:p>
      <w:pPr>
        <w:pStyle w:val="Heading5"/>
        <w:rPr>
          <w:snapToGrid w:val="0"/>
        </w:rPr>
      </w:pPr>
      <w:bookmarkStart w:id="109" w:name="_Toc207116472"/>
      <w:r>
        <w:rPr>
          <w:rStyle w:val="CharSectno"/>
        </w:rPr>
        <w:t>70D</w:t>
      </w:r>
      <w:r>
        <w:rPr>
          <w:snapToGrid w:val="0"/>
        </w:rPr>
        <w:t>.</w:t>
      </w:r>
      <w:r>
        <w:rPr>
          <w:snapToGrid w:val="0"/>
        </w:rPr>
        <w:tab/>
        <w:t>Determination of application for retention licence</w:t>
      </w:r>
      <w:bookmarkEnd w:id="109"/>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retention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keepNext/>
        <w:rPr>
          <w:snapToGrid w:val="0"/>
        </w:rPr>
      </w:pPr>
      <w:r>
        <w:rPr>
          <w:snapToGrid w:val="0"/>
        </w:rPr>
        <w:lastRenderedPageBreak/>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keepLines/>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lastRenderedPageBreak/>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keepLines/>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 No. 39 of 2022 s. 11; No. 27 of 2023 s. 7.]</w:t>
      </w:r>
    </w:p>
    <w:p>
      <w:pPr>
        <w:pStyle w:val="Heading5"/>
        <w:rPr>
          <w:snapToGrid w:val="0"/>
        </w:rPr>
      </w:pPr>
      <w:bookmarkStart w:id="110" w:name="_Toc207116473"/>
      <w:r>
        <w:rPr>
          <w:rStyle w:val="CharSectno"/>
        </w:rPr>
        <w:t>70E</w:t>
      </w:r>
      <w:r>
        <w:rPr>
          <w:snapToGrid w:val="0"/>
        </w:rPr>
        <w:t>.</w:t>
      </w:r>
      <w:r>
        <w:rPr>
          <w:snapToGrid w:val="0"/>
        </w:rPr>
        <w:tab/>
        <w:t>Term of retention licence and renewal</w:t>
      </w:r>
      <w:bookmarkEnd w:id="110"/>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111" w:name="_Toc207116474"/>
      <w:r>
        <w:rPr>
          <w:rStyle w:val="CharSectno"/>
        </w:rPr>
        <w:lastRenderedPageBreak/>
        <w:t>70F</w:t>
      </w:r>
      <w:r>
        <w:t>.</w:t>
      </w:r>
      <w:r>
        <w:tab/>
        <w:t>Security relating to retention licence</w:t>
      </w:r>
      <w:bookmarkEnd w:id="111"/>
    </w:p>
    <w:p>
      <w:pPr>
        <w:pStyle w:val="Subsection"/>
        <w:keepNext/>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112" w:name="_Toc207116475"/>
      <w:r>
        <w:rPr>
          <w:rStyle w:val="CharSectno"/>
        </w:rPr>
        <w:t>70G</w:t>
      </w:r>
      <w:r>
        <w:rPr>
          <w:snapToGrid w:val="0"/>
        </w:rPr>
        <w:t>.</w:t>
      </w:r>
      <w:r>
        <w:rPr>
          <w:snapToGrid w:val="0"/>
        </w:rPr>
        <w:tab/>
        <w:t>Survey of area of retention licence not required in first instance</w:t>
      </w:r>
      <w:bookmarkEnd w:id="112"/>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lastRenderedPageBreak/>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113" w:name="_Toc207116476"/>
      <w:r>
        <w:rPr>
          <w:rStyle w:val="CharSectno"/>
        </w:rPr>
        <w:t>70H</w:t>
      </w:r>
      <w:r>
        <w:rPr>
          <w:snapToGrid w:val="0"/>
        </w:rPr>
        <w:t>.</w:t>
      </w:r>
      <w:r>
        <w:rPr>
          <w:snapToGrid w:val="0"/>
        </w:rPr>
        <w:tab/>
        <w:t>Conditions attached to retention licence</w:t>
      </w:r>
      <w:bookmarkEnd w:id="113"/>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lastRenderedPageBreak/>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114" w:name="_Toc207116477"/>
      <w:r>
        <w:rPr>
          <w:rStyle w:val="CharSectno"/>
        </w:rPr>
        <w:t>70I</w:t>
      </w:r>
      <w:r>
        <w:rPr>
          <w:snapToGrid w:val="0"/>
        </w:rPr>
        <w:t>.</w:t>
      </w:r>
      <w:r>
        <w:rPr>
          <w:snapToGrid w:val="0"/>
        </w:rPr>
        <w:tab/>
        <w:t>Conditions for prevention or reduction of injury to land</w:t>
      </w:r>
      <w:bookmarkEnd w:id="114"/>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lastRenderedPageBreak/>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115" w:name="_Toc207116478"/>
      <w:r>
        <w:rPr>
          <w:rStyle w:val="CharSectno"/>
        </w:rPr>
        <w:t>70IA</w:t>
      </w:r>
      <w:r>
        <w:rPr>
          <w:snapToGrid w:val="0"/>
        </w:rPr>
        <w:t>.</w:t>
      </w:r>
      <w:r>
        <w:rPr>
          <w:snapToGrid w:val="0"/>
        </w:rPr>
        <w:tab/>
        <w:t>Programme of work</w:t>
      </w:r>
      <w:bookmarkEnd w:id="115"/>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116" w:name="_Toc207116479"/>
      <w:r>
        <w:rPr>
          <w:rStyle w:val="CharSectno"/>
        </w:rPr>
        <w:lastRenderedPageBreak/>
        <w:t>70J</w:t>
      </w:r>
      <w:r>
        <w:rPr>
          <w:snapToGrid w:val="0"/>
        </w:rPr>
        <w:t>.</w:t>
      </w:r>
      <w:r>
        <w:rPr>
          <w:snapToGrid w:val="0"/>
        </w:rPr>
        <w:tab/>
        <w:t>Rights conferred by retention licence</w:t>
      </w:r>
      <w:bookmarkEnd w:id="116"/>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keepNext/>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xml:space="preserve">,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w:t>
      </w:r>
      <w:r>
        <w:rPr>
          <w:snapToGrid w:val="0"/>
        </w:rPr>
        <w:lastRenderedPageBreak/>
        <w:t>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117" w:name="_Toc207116480"/>
      <w:r>
        <w:rPr>
          <w:rStyle w:val="CharSectno"/>
        </w:rPr>
        <w:t>70K</w:t>
      </w:r>
      <w:r>
        <w:rPr>
          <w:snapToGrid w:val="0"/>
        </w:rPr>
        <w:t>.</w:t>
      </w:r>
      <w:r>
        <w:rPr>
          <w:snapToGrid w:val="0"/>
        </w:rPr>
        <w:tab/>
        <w:t>When retention licence liable to forfeiture</w:t>
      </w:r>
      <w:bookmarkEnd w:id="117"/>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118" w:name="_Toc207116481"/>
      <w:r>
        <w:rPr>
          <w:rStyle w:val="CharSectno"/>
        </w:rPr>
        <w:lastRenderedPageBreak/>
        <w:t>70L</w:t>
      </w:r>
      <w:r>
        <w:rPr>
          <w:snapToGrid w:val="0"/>
        </w:rPr>
        <w:t>.</w:t>
      </w:r>
      <w:r>
        <w:rPr>
          <w:snapToGrid w:val="0"/>
        </w:rPr>
        <w:tab/>
        <w:t>Holder of retention licence to have priority for grant of mining lease or general purpose lease</w:t>
      </w:r>
      <w:bookmarkEnd w:id="118"/>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keepNext/>
        <w:spacing w:before="120"/>
        <w:rPr>
          <w:snapToGrid w:val="0"/>
        </w:rPr>
      </w:pPr>
      <w:r>
        <w:rPr>
          <w:snapToGrid w:val="0"/>
        </w:rPr>
        <w:tab/>
        <w:t>(4)</w:t>
      </w:r>
      <w:r>
        <w:rPr>
          <w:snapToGrid w:val="0"/>
        </w:rPr>
        <w:tab/>
        <w:t xml:space="preserve">For the purposes of subsection (3), where there are 2 or more transferees of the retention licence, each of the transferees is to be regarded as an applicant for an interest in the relevant mining </w:t>
      </w:r>
      <w:r>
        <w:rPr>
          <w:snapToGrid w:val="0"/>
        </w:rPr>
        <w:lastRenderedPageBreak/>
        <w:t>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119" w:name="_Toc207116482"/>
      <w:r>
        <w:rPr>
          <w:rStyle w:val="CharSectno"/>
        </w:rPr>
        <w:t>70M</w:t>
      </w:r>
      <w:r>
        <w:rPr>
          <w:snapToGrid w:val="0"/>
        </w:rPr>
        <w:t>.</w:t>
      </w:r>
      <w:r>
        <w:rPr>
          <w:snapToGrid w:val="0"/>
        </w:rPr>
        <w:tab/>
        <w:t>Holder of retention licence to show cause why mining lease should not be applied for</w:t>
      </w:r>
      <w:bookmarkEnd w:id="119"/>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120" w:name="_Toc207116483"/>
      <w:r>
        <w:rPr>
          <w:rStyle w:val="CharSectno"/>
        </w:rPr>
        <w:t>70N</w:t>
      </w:r>
      <w:r>
        <w:rPr>
          <w:snapToGrid w:val="0"/>
        </w:rPr>
        <w:t>.</w:t>
      </w:r>
      <w:r>
        <w:rPr>
          <w:snapToGrid w:val="0"/>
        </w:rPr>
        <w:tab/>
        <w:t>Land subject of retention licence not to be again marked out for certain period</w:t>
      </w:r>
      <w:bookmarkEnd w:id="120"/>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lastRenderedPageBreak/>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121" w:name="_Toc207116484"/>
      <w:r>
        <w:rPr>
          <w:rStyle w:val="CharDivNo"/>
        </w:rPr>
        <w:t>Division 3</w:t>
      </w:r>
      <w:r>
        <w:rPr>
          <w:snapToGrid w:val="0"/>
        </w:rPr>
        <w:t> — </w:t>
      </w:r>
      <w:r>
        <w:rPr>
          <w:rStyle w:val="CharDivText"/>
        </w:rPr>
        <w:t>Mining lease</w:t>
      </w:r>
      <w:bookmarkEnd w:id="121"/>
    </w:p>
    <w:p>
      <w:pPr>
        <w:pStyle w:val="Heading5"/>
      </w:pPr>
      <w:bookmarkStart w:id="122" w:name="_Toc207116485"/>
      <w:r>
        <w:rPr>
          <w:rStyle w:val="CharSectno"/>
        </w:rPr>
        <w:t>70O</w:t>
      </w:r>
      <w:r>
        <w:t>.</w:t>
      </w:r>
      <w:r>
        <w:tab/>
        <w:t>Terms used</w:t>
      </w:r>
      <w:bookmarkEnd w:id="122"/>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keepNext/>
      </w:pPr>
      <w:r>
        <w:lastRenderedPageBreak/>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123" w:name="_Toc207116486"/>
      <w:r>
        <w:rPr>
          <w:rStyle w:val="CharSectno"/>
        </w:rPr>
        <w:t>70P</w:t>
      </w:r>
      <w:r>
        <w:t>.</w:t>
      </w:r>
      <w:r>
        <w:tab/>
        <w:t>Guidelines to be publicly available</w:t>
      </w:r>
      <w:bookmarkEnd w:id="123"/>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124" w:name="_Toc207116487"/>
      <w:r>
        <w:rPr>
          <w:rStyle w:val="CharSectno"/>
        </w:rPr>
        <w:t>71</w:t>
      </w:r>
      <w:r>
        <w:rPr>
          <w:snapToGrid w:val="0"/>
        </w:rPr>
        <w:t>.</w:t>
      </w:r>
      <w:r>
        <w:rPr>
          <w:snapToGrid w:val="0"/>
        </w:rPr>
        <w:tab/>
        <w:t>Grant of mining lease</w:t>
      </w:r>
      <w:bookmarkEnd w:id="124"/>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125" w:name="_Toc207116488"/>
      <w:r>
        <w:rPr>
          <w:rStyle w:val="CharSectno"/>
        </w:rPr>
        <w:lastRenderedPageBreak/>
        <w:t>72</w:t>
      </w:r>
      <w:r>
        <w:rPr>
          <w:snapToGrid w:val="0"/>
        </w:rPr>
        <w:t>.</w:t>
      </w:r>
      <w:r>
        <w:rPr>
          <w:snapToGrid w:val="0"/>
        </w:rPr>
        <w:tab/>
        <w:t>Person may be granted more than one mining lease</w:t>
      </w:r>
      <w:bookmarkEnd w:id="125"/>
    </w:p>
    <w:p>
      <w:pPr>
        <w:pStyle w:val="Subsection"/>
        <w:rPr>
          <w:snapToGrid w:val="0"/>
        </w:rPr>
      </w:pPr>
      <w:r>
        <w:rPr>
          <w:snapToGrid w:val="0"/>
        </w:rPr>
        <w:tab/>
      </w:r>
      <w:r>
        <w:rPr>
          <w:snapToGrid w:val="0"/>
        </w:rPr>
        <w:tab/>
        <w:t>Any person may be granted more than one mining lease.</w:t>
      </w:r>
    </w:p>
    <w:p>
      <w:pPr>
        <w:pStyle w:val="Heading5"/>
      </w:pPr>
      <w:bookmarkStart w:id="126" w:name="_Toc207116489"/>
      <w:r>
        <w:rPr>
          <w:rStyle w:val="CharSectno"/>
        </w:rPr>
        <w:t>73</w:t>
      </w:r>
      <w:r>
        <w:t>.</w:t>
      </w:r>
      <w:r>
        <w:tab/>
        <w:t>Area of mining lease may be less than area sought</w:t>
      </w:r>
      <w:bookmarkEnd w:id="126"/>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127" w:name="_Toc207116490"/>
      <w:r>
        <w:rPr>
          <w:rStyle w:val="CharSectno"/>
        </w:rPr>
        <w:t>74</w:t>
      </w:r>
      <w:r>
        <w:rPr>
          <w:snapToGrid w:val="0"/>
        </w:rPr>
        <w:t>.</w:t>
      </w:r>
      <w:r>
        <w:rPr>
          <w:snapToGrid w:val="0"/>
        </w:rPr>
        <w:tab/>
        <w:t>Application for mining lease</w:t>
      </w:r>
      <w:bookmarkEnd w:id="127"/>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lastRenderedPageBreak/>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keepLines/>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keepNext/>
      </w:pPr>
      <w:r>
        <w:lastRenderedPageBreak/>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keepNext/>
      </w:pPr>
      <w:r>
        <w:rPr>
          <w:b/>
        </w:rPr>
        <w:lastRenderedPageBreak/>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128" w:name="_Toc207116491"/>
      <w:r>
        <w:rPr>
          <w:rStyle w:val="CharSectno"/>
        </w:rPr>
        <w:t>74A</w:t>
      </w:r>
      <w:r>
        <w:t>.</w:t>
      </w:r>
      <w:r>
        <w:tab/>
        <w:t>Report on significant mineralisation required for certain applications</w:t>
      </w:r>
      <w:bookmarkEnd w:id="128"/>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keepNext/>
      </w:pPr>
      <w:r>
        <w:lastRenderedPageBreak/>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129" w:name="_Toc207116492"/>
      <w:r>
        <w:rPr>
          <w:rStyle w:val="CharSectno"/>
        </w:rPr>
        <w:t>75</w:t>
      </w:r>
      <w:r>
        <w:rPr>
          <w:snapToGrid w:val="0"/>
        </w:rPr>
        <w:t>.</w:t>
      </w:r>
      <w:r>
        <w:rPr>
          <w:snapToGrid w:val="0"/>
        </w:rPr>
        <w:tab/>
        <w:t>Determination of application for mining lease</w:t>
      </w:r>
      <w:bookmarkEnd w:id="129"/>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 xml:space="preserve">A person is not entitled to lodge a notice of objection if the basis for the objection is that — </w:t>
      </w:r>
    </w:p>
    <w:p>
      <w:pPr>
        <w:pStyle w:val="Indenta"/>
      </w:pPr>
      <w:r>
        <w:tab/>
        <w:t>(a)</w:t>
      </w:r>
      <w:r>
        <w:tab/>
        <w:t>there is no significant mineralisation in, on or under the land to which the application relates; or</w:t>
      </w:r>
    </w:p>
    <w:p>
      <w:pPr>
        <w:pStyle w:val="Indenta"/>
      </w:pPr>
      <w:r>
        <w:tab/>
        <w:t>(b)</w:t>
      </w:r>
      <w:r>
        <w:tab/>
        <w:t>the mining lease, or activities authorised by it, would affect an offsets project.</w:t>
      </w:r>
    </w:p>
    <w:p>
      <w:pPr>
        <w:pStyle w:val="Subsection"/>
      </w:pPr>
      <w:r>
        <w:tab/>
        <w:t>(1B)</w:t>
      </w:r>
      <w:r>
        <w:tab/>
        <w:t>Subsection (1A)(b) does not apply in respect of an offsets project, or any part of an offsets project, situated on land held in freehold.</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lastRenderedPageBreak/>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keepNext/>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lastRenderedPageBreak/>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keepNext/>
        <w:rPr>
          <w:snapToGrid w:val="0"/>
        </w:rPr>
      </w:pPr>
      <w:r>
        <w:rPr>
          <w:snapToGrid w:val="0"/>
        </w:rPr>
        <w:tab/>
        <w:t>(c)</w:t>
      </w:r>
      <w:r>
        <w:rPr>
          <w:snapToGrid w:val="0"/>
        </w:rPr>
        <w:tab/>
        <w:t>a retention licence under section 70L,</w:t>
      </w:r>
    </w:p>
    <w:p>
      <w:pPr>
        <w:pStyle w:val="Subsection"/>
        <w:keepNext/>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lastRenderedPageBreak/>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 No. 27 of 2023 s. 8.]</w:t>
      </w:r>
    </w:p>
    <w:p>
      <w:pPr>
        <w:pStyle w:val="Heading5"/>
        <w:rPr>
          <w:snapToGrid w:val="0"/>
        </w:rPr>
      </w:pPr>
      <w:bookmarkStart w:id="130" w:name="_Toc207116493"/>
      <w:r>
        <w:rPr>
          <w:rStyle w:val="CharSectno"/>
        </w:rPr>
        <w:t>76</w:t>
      </w:r>
      <w:r>
        <w:rPr>
          <w:snapToGrid w:val="0"/>
        </w:rPr>
        <w:t>.</w:t>
      </w:r>
      <w:r>
        <w:rPr>
          <w:snapToGrid w:val="0"/>
        </w:rPr>
        <w:tab/>
        <w:t>Priorities as to mining tenements</w:t>
      </w:r>
      <w:bookmarkEnd w:id="130"/>
    </w:p>
    <w:p>
      <w:pPr>
        <w:pStyle w:val="Subsection"/>
        <w:keepNext/>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131" w:name="_Toc207116494"/>
      <w:r>
        <w:rPr>
          <w:rStyle w:val="CharSectno"/>
        </w:rPr>
        <w:lastRenderedPageBreak/>
        <w:t>78</w:t>
      </w:r>
      <w:r>
        <w:rPr>
          <w:snapToGrid w:val="0"/>
        </w:rPr>
        <w:t>.</w:t>
      </w:r>
      <w:r>
        <w:rPr>
          <w:snapToGrid w:val="0"/>
        </w:rPr>
        <w:tab/>
        <w:t>Term of leases, options and renewals</w:t>
      </w:r>
      <w:bookmarkEnd w:id="131"/>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keepNext/>
        <w:rPr>
          <w:snapToGrid w:val="0"/>
        </w:rPr>
      </w:pPr>
      <w:r>
        <w:rPr>
          <w:snapToGrid w:val="0"/>
        </w:rPr>
        <w:tab/>
        <w:t>(b)</w:t>
      </w:r>
      <w:r>
        <w:rPr>
          <w:snapToGrid w:val="0"/>
        </w:rPr>
        <w:tab/>
        <w:t>where there are 2 or more holders of the mining lease, a holder transfers the holder’s interest in the lease,</w:t>
      </w:r>
    </w:p>
    <w:p>
      <w:pPr>
        <w:pStyle w:val="Subsection"/>
        <w:keepNext/>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132" w:name="_Toc207116495"/>
      <w:r>
        <w:rPr>
          <w:rStyle w:val="CharSectno"/>
        </w:rPr>
        <w:t>79</w:t>
      </w:r>
      <w:r>
        <w:rPr>
          <w:snapToGrid w:val="0"/>
        </w:rPr>
        <w:t>.</w:t>
      </w:r>
      <w:r>
        <w:rPr>
          <w:snapToGrid w:val="0"/>
        </w:rPr>
        <w:tab/>
        <w:t>Approval of application</w:t>
      </w:r>
      <w:bookmarkEnd w:id="132"/>
    </w:p>
    <w:p>
      <w:pPr>
        <w:pStyle w:val="Subsection"/>
        <w:spacing w:before="120"/>
        <w:rPr>
          <w:snapToGrid w:val="0"/>
        </w:rPr>
      </w:pPr>
      <w:r>
        <w:rPr>
          <w:snapToGrid w:val="0"/>
        </w:rPr>
        <w:tab/>
        <w:t>(1)</w:t>
      </w:r>
      <w:r>
        <w:rPr>
          <w:snapToGrid w:val="0"/>
        </w:rPr>
        <w:tab/>
        <w:t xml:space="preserve">Where a person has applied for a mining lease and has been notified in writing by or on behalf of the Minister that the Minister has granted the mining lease to which the application </w:t>
      </w:r>
      <w:r>
        <w:rPr>
          <w:snapToGrid w:val="0"/>
        </w:rPr>
        <w:lastRenderedPageBreak/>
        <w:t>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33" w:name="_Toc207116496"/>
      <w:r>
        <w:rPr>
          <w:rStyle w:val="CharSectno"/>
        </w:rPr>
        <w:t>80</w:t>
      </w:r>
      <w:r>
        <w:rPr>
          <w:snapToGrid w:val="0"/>
        </w:rPr>
        <w:t>.</w:t>
      </w:r>
      <w:r>
        <w:rPr>
          <w:snapToGrid w:val="0"/>
        </w:rPr>
        <w:tab/>
        <w:t>Surveys of mining leases</w:t>
      </w:r>
      <w:bookmarkEnd w:id="133"/>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134" w:name="_Toc207116497"/>
      <w:r>
        <w:rPr>
          <w:rStyle w:val="CharSectno"/>
        </w:rPr>
        <w:t>82</w:t>
      </w:r>
      <w:r>
        <w:rPr>
          <w:snapToGrid w:val="0"/>
        </w:rPr>
        <w:t>.</w:t>
      </w:r>
      <w:r>
        <w:rPr>
          <w:snapToGrid w:val="0"/>
        </w:rPr>
        <w:tab/>
        <w:t>Covenants and conditions of lease</w:t>
      </w:r>
      <w:bookmarkEnd w:id="134"/>
    </w:p>
    <w:p>
      <w:pPr>
        <w:pStyle w:val="Subsection"/>
        <w:keepNext/>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lastRenderedPageBreak/>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 xml:space="preserve">be liable to have the lease forfeited if he is in breach of any of the covenants or conditions of the lease, if he fails to comply with any requirement under </w:t>
      </w:r>
      <w:r>
        <w:rPr>
          <w:snapToGrid w:val="0"/>
        </w:rPr>
        <w:lastRenderedPageBreak/>
        <w:t>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keepNext/>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135" w:name="_Toc207116498"/>
      <w:r>
        <w:rPr>
          <w:rStyle w:val="CharSectno"/>
        </w:rPr>
        <w:lastRenderedPageBreak/>
        <w:t>82A</w:t>
      </w:r>
      <w:r>
        <w:t>.</w:t>
      </w:r>
      <w:r>
        <w:tab/>
        <w:t>Condition to be included in certain mining leases</w:t>
      </w:r>
      <w:bookmarkEnd w:id="135"/>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136" w:name="_Toc207116499"/>
      <w:r>
        <w:rPr>
          <w:rStyle w:val="CharSectno"/>
        </w:rPr>
        <w:t>83</w:t>
      </w:r>
      <w:r>
        <w:rPr>
          <w:snapToGrid w:val="0"/>
        </w:rPr>
        <w:t>.</w:t>
      </w:r>
      <w:r>
        <w:rPr>
          <w:snapToGrid w:val="0"/>
        </w:rPr>
        <w:tab/>
        <w:t>Issue of mining leases</w:t>
      </w:r>
      <w:bookmarkEnd w:id="136"/>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lastRenderedPageBreak/>
        <w:tab/>
        <w:t>(i)</w:t>
      </w:r>
      <w:r>
        <w:rPr>
          <w:snapToGrid w:val="0"/>
        </w:rPr>
        <w:tab/>
        <w:t>endorsed with the word “duplicate” on its front page; and</w:t>
      </w:r>
    </w:p>
    <w:p>
      <w:pPr>
        <w:pStyle w:val="Indenti"/>
        <w:keepNext/>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137" w:name="_Toc207116500"/>
      <w:r>
        <w:rPr>
          <w:rStyle w:val="CharSectno"/>
        </w:rPr>
        <w:t>84AA</w:t>
      </w:r>
      <w:r>
        <w:t>.</w:t>
      </w:r>
      <w:r>
        <w:tab/>
        <w:t>Review of mine closure plans</w:t>
      </w:r>
      <w:bookmarkEnd w:id="137"/>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keepNext/>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138" w:name="_Toc207116501"/>
      <w:r>
        <w:rPr>
          <w:rStyle w:val="CharSectno"/>
        </w:rPr>
        <w:t>84</w:t>
      </w:r>
      <w:r>
        <w:rPr>
          <w:snapToGrid w:val="0"/>
        </w:rPr>
        <w:t>.</w:t>
      </w:r>
      <w:r>
        <w:rPr>
          <w:snapToGrid w:val="0"/>
        </w:rPr>
        <w:tab/>
        <w:t>Conditions for prevention or reduction of injury to land</w:t>
      </w:r>
      <w:bookmarkEnd w:id="138"/>
    </w:p>
    <w:p>
      <w:pPr>
        <w:pStyle w:val="Subsection"/>
        <w:rPr>
          <w:snapToGrid w:val="0"/>
        </w:rPr>
      </w:pPr>
      <w:r>
        <w:rPr>
          <w:snapToGrid w:val="0"/>
        </w:rPr>
        <w:tab/>
        <w:t>(1)</w:t>
      </w:r>
      <w:r>
        <w:rPr>
          <w:snapToGrid w:val="0"/>
        </w:rPr>
        <w:tab/>
        <w:t xml:space="preserve">On the granting of a mining lease, or at any subsequent time, the Minister may impose on the lessee reasonable conditions for the purpose of preventing or reducing, or making good, injury to the land in respect of which the lease is sought or was granted, or </w:t>
      </w:r>
      <w:r>
        <w:rPr>
          <w:snapToGrid w:val="0"/>
        </w:rPr>
        <w:lastRenderedPageBreak/>
        <w:t>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keepNext/>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139" w:name="_Toc207116502"/>
      <w:r>
        <w:rPr>
          <w:rStyle w:val="CharSectno"/>
        </w:rPr>
        <w:t>84A</w:t>
      </w:r>
      <w:r>
        <w:t>.</w:t>
      </w:r>
      <w:r>
        <w:tab/>
        <w:t>Security relating to mining lease</w:t>
      </w:r>
      <w:bookmarkEnd w:id="139"/>
    </w:p>
    <w:p>
      <w:pPr>
        <w:pStyle w:val="Subsection"/>
        <w:spacing w:before="200"/>
      </w:pPr>
      <w:r>
        <w:tab/>
        <w:t>(1)</w:t>
      </w:r>
      <w:r>
        <w:tab/>
        <w:t>The applicant for a mining lease shall lodge, in the prescribed manner and within the prescribed period, a security for compliance with —</w:t>
      </w:r>
    </w:p>
    <w:p>
      <w:pPr>
        <w:pStyle w:val="Indenta"/>
      </w:pPr>
      <w:r>
        <w:lastRenderedPageBreak/>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140" w:name="_Toc207116503"/>
      <w:r>
        <w:rPr>
          <w:rStyle w:val="CharSectno"/>
        </w:rPr>
        <w:t>85</w:t>
      </w:r>
      <w:r>
        <w:rPr>
          <w:snapToGrid w:val="0"/>
        </w:rPr>
        <w:t>.</w:t>
      </w:r>
      <w:r>
        <w:rPr>
          <w:snapToGrid w:val="0"/>
        </w:rPr>
        <w:tab/>
        <w:t>Rights of holder of mining lease</w:t>
      </w:r>
      <w:bookmarkEnd w:id="140"/>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xml:space="preserve">, or any Act amending or replacing the relevant provisions of that Act, water from any natural spring, lake, pool or stream situate in or flowing through such land or from any excavation previously made and used for mining purposes, and subject to that </w:t>
      </w:r>
      <w:r>
        <w:rPr>
          <w:snapToGrid w:val="0"/>
        </w:rPr>
        <w:lastRenderedPageBreak/>
        <w:t>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141" w:name="_Toc207116504"/>
      <w:r>
        <w:rPr>
          <w:rStyle w:val="CharSectno"/>
        </w:rPr>
        <w:t>85A</w:t>
      </w:r>
      <w:r>
        <w:rPr>
          <w:snapToGrid w:val="0"/>
        </w:rPr>
        <w:t>.</w:t>
      </w:r>
      <w:r>
        <w:rPr>
          <w:snapToGrid w:val="0"/>
        </w:rPr>
        <w:tab/>
        <w:t>Land the subject of mining lease not to be again marked out for a certain period</w:t>
      </w:r>
      <w:bookmarkEnd w:id="141"/>
    </w:p>
    <w:p>
      <w:pPr>
        <w:pStyle w:val="Subsection"/>
        <w:keepNext/>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lastRenderedPageBreak/>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142" w:name="_Toc207116505"/>
      <w:r>
        <w:rPr>
          <w:rStyle w:val="CharSectno"/>
        </w:rPr>
        <w:t>85B</w:t>
      </w:r>
      <w:r>
        <w:rPr>
          <w:snapToGrid w:val="0"/>
        </w:rPr>
        <w:t>.</w:t>
      </w:r>
      <w:r>
        <w:rPr>
          <w:snapToGrid w:val="0"/>
        </w:rPr>
        <w:tab/>
        <w:t>Special prospecting licence on a mining lease</w:t>
      </w:r>
      <w:bookmarkEnd w:id="142"/>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lastRenderedPageBreak/>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 xml:space="preserve">ceases (and the land in respect of which it was granted reverts to the holder of the primary tenement as an integral part of the mining tenement held by that person) </w:t>
      </w:r>
      <w:r>
        <w:rPr>
          <w:snapToGrid w:val="0"/>
        </w:rPr>
        <w:lastRenderedPageBreak/>
        <w:t>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keepNext/>
        <w:rPr>
          <w:snapToGrid w:val="0"/>
        </w:rPr>
      </w:pPr>
      <w:r>
        <w:rPr>
          <w:snapToGrid w:val="0"/>
        </w:rPr>
        <w:lastRenderedPageBreak/>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lastRenderedPageBreak/>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143" w:name="_Toc207116506"/>
      <w:r>
        <w:rPr>
          <w:rStyle w:val="CharDivNo"/>
        </w:rPr>
        <w:t>Division 4</w:t>
      </w:r>
      <w:r>
        <w:rPr>
          <w:snapToGrid w:val="0"/>
        </w:rPr>
        <w:t> — </w:t>
      </w:r>
      <w:r>
        <w:rPr>
          <w:rStyle w:val="CharDivText"/>
        </w:rPr>
        <w:t>General purpose lease</w:t>
      </w:r>
      <w:bookmarkEnd w:id="143"/>
    </w:p>
    <w:p>
      <w:pPr>
        <w:pStyle w:val="Ednotesection"/>
        <w:keepNext/>
        <w:keepLines/>
      </w:pPr>
      <w:r>
        <w:t>[</w:t>
      </w:r>
      <w:r>
        <w:rPr>
          <w:b/>
        </w:rPr>
        <w:t>85C.</w:t>
      </w:r>
      <w:r>
        <w:tab/>
        <w:t>Deleted: No. 52 of 1995 s. 30.]</w:t>
      </w:r>
    </w:p>
    <w:p>
      <w:pPr>
        <w:pStyle w:val="Heading5"/>
        <w:rPr>
          <w:snapToGrid w:val="0"/>
        </w:rPr>
      </w:pPr>
      <w:bookmarkStart w:id="144" w:name="_Toc207116507"/>
      <w:r>
        <w:rPr>
          <w:rStyle w:val="CharSectno"/>
        </w:rPr>
        <w:t>86</w:t>
      </w:r>
      <w:r>
        <w:rPr>
          <w:snapToGrid w:val="0"/>
        </w:rPr>
        <w:t>.</w:t>
      </w:r>
      <w:r>
        <w:rPr>
          <w:snapToGrid w:val="0"/>
        </w:rPr>
        <w:tab/>
        <w:t>Grant of general purpose lease</w:t>
      </w:r>
      <w:bookmarkEnd w:id="144"/>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 xml:space="preserve">The area of land in respect of which any one general purpose lease may be granted shall not exceed 10 ha, unless the Minister is satisfied that a larger area of land is required for the purposes of the lease, and shall be limited to such depth below the natural </w:t>
      </w:r>
      <w:r>
        <w:rPr>
          <w:snapToGrid w:val="0"/>
        </w:rPr>
        <w:lastRenderedPageBreak/>
        <w:t>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145" w:name="_Toc207116508"/>
      <w:r>
        <w:rPr>
          <w:rStyle w:val="CharSectno"/>
        </w:rPr>
        <w:t>87</w:t>
      </w:r>
      <w:r>
        <w:rPr>
          <w:snapToGrid w:val="0"/>
        </w:rPr>
        <w:t>.</w:t>
      </w:r>
      <w:r>
        <w:rPr>
          <w:snapToGrid w:val="0"/>
        </w:rPr>
        <w:tab/>
        <w:t>Purposes for which general purpose lease may be granted</w:t>
      </w:r>
      <w:bookmarkEnd w:id="145"/>
    </w:p>
    <w:p>
      <w:pPr>
        <w:pStyle w:val="Subsection"/>
        <w:keepNext/>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146" w:name="_Toc207116509"/>
      <w:r>
        <w:rPr>
          <w:rStyle w:val="CharSectno"/>
        </w:rPr>
        <w:lastRenderedPageBreak/>
        <w:t>88</w:t>
      </w:r>
      <w:r>
        <w:rPr>
          <w:snapToGrid w:val="0"/>
        </w:rPr>
        <w:t>.</w:t>
      </w:r>
      <w:r>
        <w:rPr>
          <w:snapToGrid w:val="0"/>
        </w:rPr>
        <w:tab/>
        <w:t>Term of general purpose lease</w:t>
      </w:r>
      <w:bookmarkEnd w:id="146"/>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keepNext/>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keepNext/>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lastRenderedPageBreak/>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147" w:name="_Toc207116510"/>
      <w:r>
        <w:rPr>
          <w:rStyle w:val="CharSectno"/>
        </w:rPr>
        <w:t>89</w:t>
      </w:r>
      <w:r>
        <w:rPr>
          <w:snapToGrid w:val="0"/>
        </w:rPr>
        <w:t>.</w:t>
      </w:r>
      <w:r>
        <w:rPr>
          <w:snapToGrid w:val="0"/>
        </w:rPr>
        <w:tab/>
        <w:t>Form of general purpose lease</w:t>
      </w:r>
      <w:bookmarkEnd w:id="147"/>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148" w:name="_Toc207116511"/>
      <w:r>
        <w:rPr>
          <w:rStyle w:val="CharSectno"/>
        </w:rPr>
        <w:t>90</w:t>
      </w:r>
      <w:r>
        <w:t>.</w:t>
      </w:r>
      <w:r>
        <w:tab/>
        <w:t>Application of certain provisions to general purpose leases</w:t>
      </w:r>
      <w:bookmarkEnd w:id="148"/>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lastRenderedPageBreak/>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keepNext/>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149" w:name="_Toc207116512"/>
      <w:r>
        <w:rPr>
          <w:rStyle w:val="CharDivNo"/>
        </w:rPr>
        <w:t>Division 5</w:t>
      </w:r>
      <w:r>
        <w:rPr>
          <w:snapToGrid w:val="0"/>
        </w:rPr>
        <w:t> — </w:t>
      </w:r>
      <w:r>
        <w:rPr>
          <w:rStyle w:val="CharDivText"/>
        </w:rPr>
        <w:t>Miscellaneous licences</w:t>
      </w:r>
      <w:bookmarkEnd w:id="149"/>
    </w:p>
    <w:p>
      <w:pPr>
        <w:pStyle w:val="Ednotesection"/>
        <w:ind w:left="890" w:hanging="890"/>
      </w:pPr>
      <w:r>
        <w:t>[</w:t>
      </w:r>
      <w:r>
        <w:rPr>
          <w:b/>
        </w:rPr>
        <w:t>90A.</w:t>
      </w:r>
      <w:r>
        <w:rPr>
          <w:b/>
        </w:rPr>
        <w:tab/>
      </w:r>
      <w:r>
        <w:t>Deleted: No. 52 of 1995 s. 31.]</w:t>
      </w:r>
    </w:p>
    <w:p>
      <w:pPr>
        <w:pStyle w:val="Heading5"/>
        <w:keepLines w:val="0"/>
        <w:rPr>
          <w:snapToGrid w:val="0"/>
        </w:rPr>
      </w:pPr>
      <w:bookmarkStart w:id="150" w:name="_Toc207116513"/>
      <w:r>
        <w:rPr>
          <w:rStyle w:val="CharSectno"/>
        </w:rPr>
        <w:t>91</w:t>
      </w:r>
      <w:r>
        <w:rPr>
          <w:snapToGrid w:val="0"/>
        </w:rPr>
        <w:t>.</w:t>
      </w:r>
      <w:r>
        <w:rPr>
          <w:snapToGrid w:val="0"/>
        </w:rPr>
        <w:tab/>
        <w:t>Grant of miscellaneous licence</w:t>
      </w:r>
      <w:bookmarkEnd w:id="150"/>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xml:space="preserve">, or any Act amending or replacing the relevant provisions of that Act, the mining registrar or the warden, in accordance with section 42 (as read with section 92), may, on the application of any person, grant in respect of any land a licence, to be known </w:t>
      </w:r>
      <w:r>
        <w:rPr>
          <w:snapToGrid w:val="0"/>
        </w:rPr>
        <w:lastRenderedPageBreak/>
        <w:t>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151" w:name="_Toc207116514"/>
      <w:r>
        <w:rPr>
          <w:rStyle w:val="CharSectno"/>
        </w:rPr>
        <w:lastRenderedPageBreak/>
        <w:t>91A</w:t>
      </w:r>
      <w:r>
        <w:rPr>
          <w:snapToGrid w:val="0"/>
        </w:rPr>
        <w:t>.</w:t>
      </w:r>
      <w:r>
        <w:rPr>
          <w:snapToGrid w:val="0"/>
        </w:rPr>
        <w:tab/>
        <w:t>Term and renewal of existing licence or licence granted in respect of existing application</w:t>
      </w:r>
      <w:bookmarkEnd w:id="151"/>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lastRenderedPageBreak/>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152" w:name="_Toc207116515"/>
      <w:r>
        <w:rPr>
          <w:rStyle w:val="CharSectno"/>
        </w:rPr>
        <w:t>91B</w:t>
      </w:r>
      <w:r>
        <w:rPr>
          <w:snapToGrid w:val="0"/>
        </w:rPr>
        <w:t>.</w:t>
      </w:r>
      <w:r>
        <w:rPr>
          <w:snapToGrid w:val="0"/>
        </w:rPr>
        <w:tab/>
        <w:t>Term and renewal of licence granted in respect of new application</w:t>
      </w:r>
      <w:bookmarkEnd w:id="152"/>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keepLines/>
        <w:rPr>
          <w:snapToGrid w:val="0"/>
        </w:rPr>
      </w:pPr>
      <w:r>
        <w:rPr>
          <w:snapToGrid w:val="0"/>
        </w:rPr>
        <w:lastRenderedPageBreak/>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keepNext/>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153" w:name="_Toc207116516"/>
      <w:r>
        <w:rPr>
          <w:rStyle w:val="CharSectno"/>
        </w:rPr>
        <w:t>92</w:t>
      </w:r>
      <w:r>
        <w:rPr>
          <w:snapToGrid w:val="0"/>
        </w:rPr>
        <w:t>.</w:t>
      </w:r>
      <w:r>
        <w:rPr>
          <w:snapToGrid w:val="0"/>
        </w:rPr>
        <w:tab/>
        <w:t>Provisions applying to all miscellaneous licences</w:t>
      </w:r>
      <w:bookmarkEnd w:id="153"/>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154" w:name="_Toc207116517"/>
      <w:r>
        <w:rPr>
          <w:rStyle w:val="CharSectno"/>
        </w:rPr>
        <w:t>93</w:t>
      </w:r>
      <w:r>
        <w:rPr>
          <w:snapToGrid w:val="0"/>
        </w:rPr>
        <w:t>.</w:t>
      </w:r>
      <w:r>
        <w:rPr>
          <w:snapToGrid w:val="0"/>
        </w:rPr>
        <w:tab/>
        <w:t>Map to accompany application</w:t>
      </w:r>
      <w:bookmarkEnd w:id="154"/>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w:t>
      </w:r>
      <w:r>
        <w:rPr>
          <w:snapToGrid w:val="0"/>
        </w:rPr>
        <w:lastRenderedPageBreak/>
        <w:t>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155" w:name="_Toc207116518"/>
      <w:r>
        <w:rPr>
          <w:rStyle w:val="CharSectno"/>
        </w:rPr>
        <w:t>94</w:t>
      </w:r>
      <w:r>
        <w:rPr>
          <w:snapToGrid w:val="0"/>
        </w:rPr>
        <w:t>.</w:t>
      </w:r>
      <w:r>
        <w:rPr>
          <w:snapToGrid w:val="0"/>
        </w:rPr>
        <w:tab/>
        <w:t>Terms and conditions</w:t>
      </w:r>
      <w:bookmarkEnd w:id="155"/>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keepNext/>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156" w:name="_Toc207116519"/>
      <w:r>
        <w:rPr>
          <w:rStyle w:val="CharSectno"/>
        </w:rPr>
        <w:t>94A</w:t>
      </w:r>
      <w:r>
        <w:rPr>
          <w:snapToGrid w:val="0"/>
        </w:rPr>
        <w:t>.</w:t>
      </w:r>
      <w:r>
        <w:rPr>
          <w:snapToGrid w:val="0"/>
        </w:rPr>
        <w:tab/>
        <w:t>Grant of mining tenement on land in a miscellaneous licence</w:t>
      </w:r>
      <w:bookmarkEnd w:id="156"/>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keepNext/>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w:t>
      </w:r>
      <w:r>
        <w:rPr>
          <w:snapToGrid w:val="0"/>
        </w:rPr>
        <w:lastRenderedPageBreak/>
        <w:t>licence the other mining tenement and the miscellaneous licence apply concurrently with respect to that land.</w:t>
      </w:r>
    </w:p>
    <w:p>
      <w:pPr>
        <w:pStyle w:val="Footnotesection"/>
        <w:keepNext/>
        <w:spacing w:before="100"/>
        <w:ind w:left="890" w:hanging="890"/>
      </w:pPr>
      <w:r>
        <w:tab/>
        <w:t>[Section 94A inserted: No. 22 of 1990 s. 26; amended: No. 15 of 2002 s. 19.]</w:t>
      </w:r>
    </w:p>
    <w:p>
      <w:pPr>
        <w:pStyle w:val="Heading5"/>
        <w:rPr>
          <w:snapToGrid w:val="0"/>
        </w:rPr>
      </w:pPr>
      <w:bookmarkStart w:id="157" w:name="_Toc207116520"/>
      <w:r>
        <w:rPr>
          <w:rStyle w:val="CharSectno"/>
        </w:rPr>
        <w:t>94B</w:t>
      </w:r>
      <w:r>
        <w:rPr>
          <w:snapToGrid w:val="0"/>
        </w:rPr>
        <w:t>.</w:t>
      </w:r>
      <w:r>
        <w:rPr>
          <w:snapToGrid w:val="0"/>
        </w:rPr>
        <w:tab/>
        <w:t>Surrender, forfeiture or expiry of concurrent tenement</w:t>
      </w:r>
      <w:bookmarkEnd w:id="157"/>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spacing w:before="260"/>
      </w:pPr>
      <w:bookmarkStart w:id="158" w:name="_Toc207116521"/>
      <w:r>
        <w:rPr>
          <w:rStyle w:val="CharDivNo"/>
        </w:rPr>
        <w:t>Division 6</w:t>
      </w:r>
      <w:r>
        <w:rPr>
          <w:snapToGrid w:val="0"/>
        </w:rPr>
        <w:t> — </w:t>
      </w:r>
      <w:r>
        <w:rPr>
          <w:rStyle w:val="CharDivText"/>
        </w:rPr>
        <w:t>Surrender and forfeiture of mining tenements</w:t>
      </w:r>
      <w:bookmarkEnd w:id="158"/>
    </w:p>
    <w:p>
      <w:pPr>
        <w:pStyle w:val="Heading5"/>
        <w:rPr>
          <w:snapToGrid w:val="0"/>
        </w:rPr>
      </w:pPr>
      <w:bookmarkStart w:id="159" w:name="_Toc207116522"/>
      <w:r>
        <w:rPr>
          <w:rStyle w:val="CharSectno"/>
        </w:rPr>
        <w:t>95</w:t>
      </w:r>
      <w:r>
        <w:rPr>
          <w:snapToGrid w:val="0"/>
        </w:rPr>
        <w:t>.</w:t>
      </w:r>
      <w:r>
        <w:rPr>
          <w:snapToGrid w:val="0"/>
        </w:rPr>
        <w:tab/>
        <w:t>Surrender of mining tenement</w:t>
      </w:r>
      <w:bookmarkEnd w:id="159"/>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lastRenderedPageBreak/>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keepNext/>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160" w:name="_Toc207116523"/>
      <w:r>
        <w:rPr>
          <w:rStyle w:val="CharSectno"/>
        </w:rPr>
        <w:t>95A</w:t>
      </w:r>
      <w:r>
        <w:t>.</w:t>
      </w:r>
      <w:r>
        <w:tab/>
        <w:t>Exploration licence — surrender of part of block</w:t>
      </w:r>
      <w:bookmarkEnd w:id="160"/>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lastRenderedPageBreak/>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161" w:name="_Toc207116524"/>
      <w:r>
        <w:rPr>
          <w:rStyle w:val="CharSectno"/>
        </w:rPr>
        <w:t>96</w:t>
      </w:r>
      <w:r>
        <w:rPr>
          <w:snapToGrid w:val="0"/>
        </w:rPr>
        <w:t>.</w:t>
      </w:r>
      <w:r>
        <w:rPr>
          <w:snapToGrid w:val="0"/>
        </w:rPr>
        <w:tab/>
        <w:t>Forfeiture of certain mining tenements</w:t>
      </w:r>
      <w:bookmarkEnd w:id="161"/>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keepNext/>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lastRenderedPageBreak/>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 xml:space="preserve">award the whole or any part of the amount of any such penalty to the applicant if the applicant is not the </w:t>
      </w:r>
      <w:r>
        <w:rPr>
          <w:snapToGrid w:val="0"/>
        </w:rPr>
        <w:lastRenderedPageBreak/>
        <w:t>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 xml:space="preserve">the applicant for forfeiture has, from the date on which the tenement application is withdrawn until the expiry of a period of </w:t>
      </w:r>
      <w:r>
        <w:lastRenderedPageBreak/>
        <w:t>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lastRenderedPageBreak/>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62" w:name="_Toc207116525"/>
      <w:r>
        <w:rPr>
          <w:rStyle w:val="CharSectno"/>
        </w:rPr>
        <w:t>96A</w:t>
      </w:r>
      <w:r>
        <w:rPr>
          <w:snapToGrid w:val="0"/>
        </w:rPr>
        <w:t>.</w:t>
      </w:r>
      <w:r>
        <w:rPr>
          <w:snapToGrid w:val="0"/>
        </w:rPr>
        <w:tab/>
        <w:t>Forfeiture of exploration licence or retention licence</w:t>
      </w:r>
      <w:bookmarkEnd w:id="162"/>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keepNext/>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lastRenderedPageBreak/>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keepNext/>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163" w:name="_Toc207116526"/>
      <w:r>
        <w:rPr>
          <w:rStyle w:val="CharSectno"/>
        </w:rPr>
        <w:t>97</w:t>
      </w:r>
      <w:r>
        <w:rPr>
          <w:snapToGrid w:val="0"/>
        </w:rPr>
        <w:t>.</w:t>
      </w:r>
      <w:r>
        <w:rPr>
          <w:snapToGrid w:val="0"/>
        </w:rPr>
        <w:tab/>
        <w:t>Forfeiture of mining lease or general purpose lease</w:t>
      </w:r>
      <w:bookmarkEnd w:id="163"/>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lastRenderedPageBreak/>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keepNext/>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164" w:name="_Toc207116527"/>
      <w:r>
        <w:rPr>
          <w:rStyle w:val="CharSectno"/>
        </w:rPr>
        <w:lastRenderedPageBreak/>
        <w:t>97A</w:t>
      </w:r>
      <w:r>
        <w:rPr>
          <w:snapToGrid w:val="0"/>
        </w:rPr>
        <w:t>.</w:t>
      </w:r>
      <w:r>
        <w:rPr>
          <w:snapToGrid w:val="0"/>
        </w:rPr>
        <w:tab/>
        <w:t>Application for restoration of mining tenement after forfeiture</w:t>
      </w:r>
      <w:bookmarkEnd w:id="164"/>
    </w:p>
    <w:p>
      <w:pPr>
        <w:pStyle w:val="Subsection"/>
        <w:rPr>
          <w:snapToGrid w:val="0"/>
        </w:rPr>
      </w:pPr>
      <w:r>
        <w:rPr>
          <w:snapToGrid w:val="0"/>
        </w:rPr>
        <w:tab/>
        <w:t>(1)</w:t>
      </w:r>
      <w:r>
        <w:rPr>
          <w:snapToGrid w:val="0"/>
        </w:rPr>
        <w:tab/>
        <w:t xml:space="preserve">Subject to subsection (2), where a mining tenement is forfeited under or by virtue of section 96, 96A or 97 a person who was, immediately prior to the forfeiture, the holder of the tenement concerned may apply for the mining tenement to be restored to </w:t>
      </w:r>
      <w:r>
        <w:t>the person</w:t>
      </w:r>
      <w:r>
        <w:rPr>
          <w:snapToGrid w:val="0"/>
        </w:rPr>
        <w:t xml:space="preserve">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 xml:space="preserve">An application under subsection (1) shall be heard by the warden on a day appointed by </w:t>
      </w:r>
      <w:r>
        <w:t>the warden.</w:t>
      </w:r>
    </w:p>
    <w:p>
      <w:pPr>
        <w:pStyle w:val="Subsection"/>
      </w:pPr>
      <w:r>
        <w:lastRenderedPageBreak/>
        <w:tab/>
        <w:t>(6)</w:t>
      </w:r>
      <w:r>
        <w:tab/>
        <w:t>A person who wishes to object to the granting of an application made under subsection (1) must lodge a notice of objection.</w:t>
      </w:r>
    </w:p>
    <w:p>
      <w:pPr>
        <w:pStyle w:val="Subsection"/>
        <w:keepNext/>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(6B)</w:t>
      </w:r>
      <w:r>
        <w:tab/>
        <w:t>A person is not entitled to lodge a notice of objection if the basis for the objection is that the mining tenement, or activities authorised by it, would affect an offsets project.</w:t>
      </w:r>
    </w:p>
    <w:p>
      <w:pPr>
        <w:pStyle w:val="Subsection"/>
      </w:pPr>
      <w:r>
        <w:tab/>
        <w:t>(6C)</w:t>
      </w:r>
      <w:r>
        <w:tab/>
        <w:t>Subsection (6B) does not apply in respect of an offsets project, or any part of an offsets project, situated on land held in freehold.</w:t>
      </w:r>
    </w:p>
    <w:p>
      <w:pPr>
        <w:pStyle w:val="Subsection"/>
        <w:keepNext/>
        <w:rPr>
          <w:snapToGrid w:val="0"/>
        </w:rPr>
      </w:pPr>
      <w:r>
        <w:rPr>
          <w:snapToGrid w:val="0"/>
        </w:rPr>
        <w:tab/>
        <w:t>(7)</w:t>
      </w:r>
      <w:r>
        <w:rPr>
          <w:snapToGrid w:val="0"/>
        </w:rPr>
        <w:tab/>
        <w:t>On the hearing of an application made under subsection (1) the warden —</w:t>
      </w:r>
    </w:p>
    <w:p>
      <w:pPr>
        <w:pStyle w:val="Indenta"/>
        <w:keepNext/>
        <w:rPr>
          <w:snapToGrid w:val="0"/>
        </w:rPr>
      </w:pPr>
      <w:r>
        <w:rPr>
          <w:snapToGrid w:val="0"/>
        </w:rPr>
        <w:tab/>
        <w:t>(a)</w:t>
      </w:r>
      <w:r>
        <w:rPr>
          <w:snapToGrid w:val="0"/>
        </w:rPr>
        <w:tab/>
        <w:t xml:space="preserve">in a case to which section 96 applies, shall determine the application and make such order as </w:t>
      </w:r>
      <w:r>
        <w:t>the warden</w:t>
      </w:r>
      <w:r>
        <w:rPr>
          <w:snapToGrid w:val="0"/>
        </w:rPr>
        <w:t xml:space="preserv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keepNext/>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w:t>
      </w:r>
      <w:r>
        <w:t>the Minister’s</w:t>
      </w:r>
      <w:r>
        <w:rPr>
          <w:snapToGrid w:val="0"/>
        </w:rPr>
        <w:t xml:space="preserve"> consideration the notes of evidence and any maps or other documents referred to therein, and </w:t>
      </w:r>
      <w:r>
        <w:t>the warden’s</w:t>
      </w:r>
      <w:r>
        <w:rPr>
          <w:snapToGrid w:val="0"/>
        </w:rPr>
        <w:t xml:space="preserve"> report recommending the granting or refusal of the application </w:t>
      </w:r>
      <w:r>
        <w:t>and setting out the</w:t>
      </w:r>
      <w:r>
        <w:rPr>
          <w:snapToGrid w:val="0"/>
        </w:rPr>
        <w:t xml:space="preserve"> reasons for the recommendation.</w:t>
      </w:r>
    </w:p>
    <w:p>
      <w:pPr>
        <w:pStyle w:val="Subsection"/>
        <w:keepNext/>
        <w:rPr>
          <w:snapToGrid w:val="0"/>
        </w:rPr>
      </w:pPr>
      <w:r>
        <w:rPr>
          <w:snapToGrid w:val="0"/>
        </w:rPr>
        <w:lastRenderedPageBreak/>
        <w:tab/>
        <w:t>(8)</w:t>
      </w:r>
      <w:r>
        <w:rPr>
          <w:snapToGrid w:val="0"/>
        </w:rPr>
        <w:tab/>
        <w:t xml:space="preserve">On receipt of notes of evidence and any maps or documents transmitted to </w:t>
      </w:r>
      <w:r>
        <w:t xml:space="preserve">the Minister </w:t>
      </w:r>
      <w:r>
        <w:rPr>
          <w:snapToGrid w:val="0"/>
        </w:rPr>
        <w:t xml:space="preserve">pursuant to subsection (7), the Minister may grant or refuse the application for restoration of the mining tenement, as </w:t>
      </w:r>
      <w:r>
        <w:t>the Minister</w:t>
      </w:r>
      <w:r>
        <w:rPr>
          <w:snapToGrid w:val="0"/>
        </w:rPr>
        <w:t xml:space="preserv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 No. 27 of 2023 s. 9.]</w:t>
      </w:r>
    </w:p>
    <w:p>
      <w:pPr>
        <w:pStyle w:val="Heading5"/>
        <w:rPr>
          <w:snapToGrid w:val="0"/>
        </w:rPr>
      </w:pPr>
      <w:bookmarkStart w:id="165" w:name="_Toc207116528"/>
      <w:r>
        <w:rPr>
          <w:rStyle w:val="CharSectno"/>
        </w:rPr>
        <w:t>98</w:t>
      </w:r>
      <w:r>
        <w:rPr>
          <w:snapToGrid w:val="0"/>
        </w:rPr>
        <w:t>.</w:t>
      </w:r>
      <w:r>
        <w:rPr>
          <w:snapToGrid w:val="0"/>
        </w:rPr>
        <w:tab/>
        <w:t>Application for forfeiture on other grounds</w:t>
      </w:r>
      <w:bookmarkEnd w:id="165"/>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lastRenderedPageBreak/>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keepNext/>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166" w:name="_Toc207116529"/>
      <w:r>
        <w:rPr>
          <w:rStyle w:val="CharSectno"/>
        </w:rPr>
        <w:t>99</w:t>
      </w:r>
      <w:r>
        <w:rPr>
          <w:snapToGrid w:val="0"/>
        </w:rPr>
        <w:t>.</w:t>
      </w:r>
      <w:r>
        <w:rPr>
          <w:snapToGrid w:val="0"/>
        </w:rPr>
        <w:tab/>
        <w:t>Proceedings by Minister on recommendation</w:t>
      </w:r>
      <w:bookmarkEnd w:id="166"/>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lastRenderedPageBreak/>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keepNext/>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167" w:name="_Toc207116530"/>
      <w:r>
        <w:rPr>
          <w:rStyle w:val="CharSectno"/>
        </w:rPr>
        <w:t>100</w:t>
      </w:r>
      <w:r>
        <w:rPr>
          <w:snapToGrid w:val="0"/>
        </w:rPr>
        <w:t>.</w:t>
      </w:r>
      <w:r>
        <w:rPr>
          <w:snapToGrid w:val="0"/>
        </w:rPr>
        <w:tab/>
        <w:t>Applicant to have priority for marking out and applying for surrendered or forfeited licence or lease</w:t>
      </w:r>
      <w:bookmarkEnd w:id="167"/>
    </w:p>
    <w:p>
      <w:pPr>
        <w:pStyle w:val="Subsection"/>
        <w:rPr>
          <w:snapToGrid w:val="0"/>
        </w:rPr>
      </w:pPr>
      <w:r>
        <w:rPr>
          <w:snapToGrid w:val="0"/>
        </w:rPr>
        <w:tab/>
        <w:t>(1)</w:t>
      </w:r>
      <w:r>
        <w:rPr>
          <w:snapToGrid w:val="0"/>
        </w:rPr>
        <w:tab/>
        <w:t xml:space="preserve">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w:t>
      </w:r>
      <w:r>
        <w:rPr>
          <w:snapToGrid w:val="0"/>
        </w:rPr>
        <w:lastRenderedPageBreak/>
        <w:t>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keepNext/>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168" w:name="_Toc207116531"/>
      <w:r>
        <w:rPr>
          <w:rStyle w:val="CharSectno"/>
        </w:rPr>
        <w:t>101</w:t>
      </w:r>
      <w:r>
        <w:rPr>
          <w:snapToGrid w:val="0"/>
        </w:rPr>
        <w:t>.</w:t>
      </w:r>
      <w:r>
        <w:rPr>
          <w:snapToGrid w:val="0"/>
        </w:rPr>
        <w:tab/>
        <w:t>Application for forfeiture of mining tenement while holder is a company in process of winding up</w:t>
      </w:r>
      <w:bookmarkEnd w:id="168"/>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w:t>
      </w:r>
      <w:r>
        <w:rPr>
          <w:snapToGrid w:val="0"/>
        </w:rPr>
        <w:lastRenderedPageBreak/>
        <w:t>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keepNext/>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169" w:name="_Toc207116532"/>
      <w:r>
        <w:rPr>
          <w:rStyle w:val="CharDivNo"/>
        </w:rPr>
        <w:t>Division 7</w:t>
      </w:r>
      <w:r>
        <w:rPr>
          <w:snapToGrid w:val="0"/>
        </w:rPr>
        <w:t> — </w:t>
      </w:r>
      <w:r>
        <w:rPr>
          <w:rStyle w:val="CharDivText"/>
        </w:rPr>
        <w:t>Exemption from expenditure conditions</w:t>
      </w:r>
      <w:bookmarkEnd w:id="169"/>
    </w:p>
    <w:p>
      <w:pPr>
        <w:pStyle w:val="Heading5"/>
        <w:rPr>
          <w:snapToGrid w:val="0"/>
        </w:rPr>
      </w:pPr>
      <w:bookmarkStart w:id="170" w:name="_Toc207116533"/>
      <w:r>
        <w:rPr>
          <w:rStyle w:val="CharSectno"/>
        </w:rPr>
        <w:t>102</w:t>
      </w:r>
      <w:r>
        <w:rPr>
          <w:snapToGrid w:val="0"/>
        </w:rPr>
        <w:t>.</w:t>
      </w:r>
      <w:r>
        <w:rPr>
          <w:snapToGrid w:val="0"/>
        </w:rPr>
        <w:tab/>
        <w:t>Exemption from expenditure conditions</w:t>
      </w:r>
      <w:bookmarkEnd w:id="170"/>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lastRenderedPageBreak/>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xml:space="preserve">) the </w:t>
      </w:r>
      <w:r>
        <w:lastRenderedPageBreak/>
        <w:t>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keepNext/>
        <w:spacing w:before="200"/>
      </w:pPr>
      <w:r>
        <w:tab/>
        <w:t>(2a)</w:t>
      </w:r>
      <w:r>
        <w:tab/>
        <w:t>In subsection (2)(h) —</w:t>
      </w:r>
    </w:p>
    <w:p>
      <w:pPr>
        <w:pStyle w:val="Defstart"/>
        <w:keepNex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lastRenderedPageBreak/>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Next/>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171" w:name="_Toc207116534"/>
      <w:r>
        <w:rPr>
          <w:rStyle w:val="CharSectno"/>
        </w:rPr>
        <w:t>102A</w:t>
      </w:r>
      <w:r>
        <w:rPr>
          <w:snapToGrid w:val="0"/>
        </w:rPr>
        <w:t>.</w:t>
      </w:r>
      <w:r>
        <w:rPr>
          <w:snapToGrid w:val="0"/>
        </w:rPr>
        <w:tab/>
        <w:t>Exemption from expenditure conditions in respect of certain holders of exploration licences</w:t>
      </w:r>
      <w:bookmarkEnd w:id="171"/>
    </w:p>
    <w:p>
      <w:pPr>
        <w:pStyle w:val="Subsection"/>
        <w:rPr>
          <w:snapToGrid w:val="0"/>
        </w:rPr>
      </w:pPr>
      <w:r>
        <w:rPr>
          <w:snapToGrid w:val="0"/>
        </w:rPr>
        <w:tab/>
        <w:t>(1)</w:t>
      </w:r>
      <w:r>
        <w:rPr>
          <w:snapToGrid w:val="0"/>
        </w:rPr>
        <w:tab/>
        <w:t xml:space="preserve">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w:t>
      </w:r>
      <w:r>
        <w:rPr>
          <w:snapToGrid w:val="0"/>
        </w:rPr>
        <w:lastRenderedPageBreak/>
        <w:t>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172" w:name="_Toc207116535"/>
      <w:r>
        <w:rPr>
          <w:rStyle w:val="CharSectno"/>
        </w:rPr>
        <w:t>103</w:t>
      </w:r>
      <w:r>
        <w:rPr>
          <w:snapToGrid w:val="0"/>
        </w:rPr>
        <w:t>.</w:t>
      </w:r>
      <w:r>
        <w:rPr>
          <w:snapToGrid w:val="0"/>
        </w:rPr>
        <w:tab/>
        <w:t>Effect of exemption</w:t>
      </w:r>
      <w:bookmarkEnd w:id="172"/>
    </w:p>
    <w:p>
      <w:pPr>
        <w:pStyle w:val="Subsection"/>
        <w:keepNext/>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173" w:name="_Toc207116536"/>
      <w:r>
        <w:rPr>
          <w:rStyle w:val="CharPartNo"/>
        </w:rPr>
        <w:lastRenderedPageBreak/>
        <w:t>Part IVA</w:t>
      </w:r>
      <w:r>
        <w:rPr>
          <w:rStyle w:val="CharDivNo"/>
        </w:rPr>
        <w:t> </w:t>
      </w:r>
      <w:r>
        <w:t>—</w:t>
      </w:r>
      <w:r>
        <w:rPr>
          <w:rStyle w:val="CharDivText"/>
        </w:rPr>
        <w:t> </w:t>
      </w:r>
      <w:r>
        <w:rPr>
          <w:rStyle w:val="CharPartText"/>
        </w:rPr>
        <w:t>Registration of instruments and register</w:t>
      </w:r>
      <w:bookmarkEnd w:id="173"/>
    </w:p>
    <w:p>
      <w:pPr>
        <w:pStyle w:val="Footnoteheading"/>
        <w:rPr>
          <w:snapToGrid w:val="0"/>
        </w:rPr>
      </w:pPr>
      <w:r>
        <w:rPr>
          <w:snapToGrid w:val="0"/>
        </w:rPr>
        <w:tab/>
        <w:t>[Heading inserted: No. 54 of 1996 s. 15.]</w:t>
      </w:r>
    </w:p>
    <w:p>
      <w:pPr>
        <w:pStyle w:val="Heading5"/>
        <w:rPr>
          <w:snapToGrid w:val="0"/>
        </w:rPr>
      </w:pPr>
      <w:bookmarkStart w:id="174" w:name="_Toc207116537"/>
      <w:r>
        <w:rPr>
          <w:rStyle w:val="CharSectno"/>
        </w:rPr>
        <w:t>103A</w:t>
      </w:r>
      <w:r>
        <w:rPr>
          <w:snapToGrid w:val="0"/>
        </w:rPr>
        <w:t>.</w:t>
      </w:r>
      <w:r>
        <w:rPr>
          <w:snapToGrid w:val="0"/>
        </w:rPr>
        <w:tab/>
        <w:t>Terms used</w:t>
      </w:r>
      <w:bookmarkEnd w:id="174"/>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175" w:name="_Toc207116538"/>
      <w:r>
        <w:rPr>
          <w:rStyle w:val="CharSectno"/>
        </w:rPr>
        <w:t>103B</w:t>
      </w:r>
      <w:r>
        <w:rPr>
          <w:snapToGrid w:val="0"/>
        </w:rPr>
        <w:t>.</w:t>
      </w:r>
      <w:r>
        <w:rPr>
          <w:snapToGrid w:val="0"/>
        </w:rPr>
        <w:tab/>
        <w:t>Authorised officers</w:t>
      </w:r>
      <w:bookmarkEnd w:id="175"/>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176" w:name="_Toc207116539"/>
      <w:r>
        <w:rPr>
          <w:rStyle w:val="CharSectno"/>
        </w:rPr>
        <w:t>103C</w:t>
      </w:r>
      <w:r>
        <w:rPr>
          <w:snapToGrid w:val="0"/>
        </w:rPr>
        <w:t>.</w:t>
      </w:r>
      <w:r>
        <w:rPr>
          <w:snapToGrid w:val="0"/>
        </w:rPr>
        <w:tab/>
        <w:t>Registration</w:t>
      </w:r>
      <w:bookmarkEnd w:id="176"/>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lastRenderedPageBreak/>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lastRenderedPageBreak/>
        <w:tab/>
        <w:t>[Section 103C inserted: No. 54 of 1996 s. 15 (as amended: No. 39 of 2004 s. 103(a)); amended: No. 31 of 2008 s. 15.]</w:t>
      </w:r>
    </w:p>
    <w:p>
      <w:pPr>
        <w:pStyle w:val="Heading5"/>
        <w:rPr>
          <w:snapToGrid w:val="0"/>
        </w:rPr>
      </w:pPr>
      <w:bookmarkStart w:id="177" w:name="_Toc207116540"/>
      <w:r>
        <w:rPr>
          <w:rStyle w:val="CharSectno"/>
        </w:rPr>
        <w:t>103D</w:t>
      </w:r>
      <w:r>
        <w:rPr>
          <w:snapToGrid w:val="0"/>
        </w:rPr>
        <w:t>.</w:t>
      </w:r>
      <w:r>
        <w:rPr>
          <w:snapToGrid w:val="0"/>
        </w:rPr>
        <w:tab/>
        <w:t>Provisional lodgment</w:t>
      </w:r>
      <w:bookmarkEnd w:id="177"/>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178" w:name="_Toc207116541"/>
      <w:r>
        <w:rPr>
          <w:rStyle w:val="CharSectno"/>
        </w:rPr>
        <w:t>103EA</w:t>
      </w:r>
      <w:r>
        <w:t>.</w:t>
      </w:r>
      <w:r>
        <w:tab/>
        <w:t>Memorial for unpaid tax</w:t>
      </w:r>
      <w:bookmarkEnd w:id="178"/>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lastRenderedPageBreak/>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179" w:name="_Toc207116542"/>
      <w:r>
        <w:rPr>
          <w:rStyle w:val="CharSectno"/>
        </w:rPr>
        <w:t>103E</w:t>
      </w:r>
      <w:r>
        <w:rPr>
          <w:snapToGrid w:val="0"/>
        </w:rPr>
        <w:t>.</w:t>
      </w:r>
      <w:r>
        <w:rPr>
          <w:snapToGrid w:val="0"/>
        </w:rPr>
        <w:tab/>
        <w:t>Priority of dealings</w:t>
      </w:r>
      <w:bookmarkEnd w:id="179"/>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180" w:name="_Toc207116543"/>
      <w:r>
        <w:rPr>
          <w:rStyle w:val="CharSectno"/>
        </w:rPr>
        <w:t>103F</w:t>
      </w:r>
      <w:r>
        <w:rPr>
          <w:snapToGrid w:val="0"/>
        </w:rPr>
        <w:t>.</w:t>
      </w:r>
      <w:r>
        <w:rPr>
          <w:snapToGrid w:val="0"/>
        </w:rPr>
        <w:tab/>
        <w:t>Register</w:t>
      </w:r>
      <w:bookmarkEnd w:id="180"/>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lastRenderedPageBreak/>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81" w:name="_Toc207116544"/>
      <w:r>
        <w:rPr>
          <w:rStyle w:val="CharSectno"/>
        </w:rPr>
        <w:t>103G</w:t>
      </w:r>
      <w:r>
        <w:rPr>
          <w:snapToGrid w:val="0"/>
        </w:rPr>
        <w:t>.</w:t>
      </w:r>
      <w:r>
        <w:rPr>
          <w:snapToGrid w:val="0"/>
        </w:rPr>
        <w:tab/>
        <w:t>Amendment of register</w:t>
      </w:r>
      <w:bookmarkEnd w:id="181"/>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82" w:name="_Toc207116545"/>
      <w:r>
        <w:rPr>
          <w:rStyle w:val="CharSectno"/>
        </w:rPr>
        <w:t>103H</w:t>
      </w:r>
      <w:r>
        <w:rPr>
          <w:snapToGrid w:val="0"/>
        </w:rPr>
        <w:t>.</w:t>
      </w:r>
      <w:r>
        <w:rPr>
          <w:snapToGrid w:val="0"/>
        </w:rPr>
        <w:tab/>
        <w:t>Regulations relating to register</w:t>
      </w:r>
      <w:bookmarkEnd w:id="182"/>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83" w:name="_Toc207116546"/>
      <w:r>
        <w:rPr>
          <w:rStyle w:val="CharPartNo"/>
        </w:rPr>
        <w:lastRenderedPageBreak/>
        <w:t>Part V</w:t>
      </w:r>
      <w:r>
        <w:rPr>
          <w:rStyle w:val="CharDivNo"/>
        </w:rPr>
        <w:t> </w:t>
      </w:r>
      <w:r>
        <w:t>—</w:t>
      </w:r>
      <w:r>
        <w:rPr>
          <w:rStyle w:val="CharDivText"/>
        </w:rPr>
        <w:t> </w:t>
      </w:r>
      <w:r>
        <w:rPr>
          <w:rStyle w:val="CharPartText"/>
        </w:rPr>
        <w:t>General provisions relating to mining and mining tenements</w:t>
      </w:r>
      <w:bookmarkEnd w:id="183"/>
    </w:p>
    <w:p>
      <w:pPr>
        <w:pStyle w:val="Heading5"/>
        <w:rPr>
          <w:snapToGrid w:val="0"/>
        </w:rPr>
      </w:pPr>
      <w:bookmarkStart w:id="184" w:name="_Toc207116547"/>
      <w:r>
        <w:rPr>
          <w:rStyle w:val="CharSectno"/>
        </w:rPr>
        <w:t>104</w:t>
      </w:r>
      <w:r>
        <w:rPr>
          <w:snapToGrid w:val="0"/>
        </w:rPr>
        <w:t>.</w:t>
      </w:r>
      <w:r>
        <w:rPr>
          <w:snapToGrid w:val="0"/>
        </w:rPr>
        <w:tab/>
        <w:t>Entry on land for purpose of marking out, surveying etc.</w:t>
      </w:r>
      <w:bookmarkEnd w:id="184"/>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lastRenderedPageBreak/>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185" w:name="_Toc207116548"/>
      <w:r>
        <w:rPr>
          <w:rStyle w:val="CharSectno"/>
        </w:rPr>
        <w:t>105</w:t>
      </w:r>
      <w:r>
        <w:rPr>
          <w:snapToGrid w:val="0"/>
        </w:rPr>
        <w:t>.</w:t>
      </w:r>
      <w:r>
        <w:rPr>
          <w:snapToGrid w:val="0"/>
        </w:rPr>
        <w:tab/>
        <w:t>Marking out of mining tenement</w:t>
      </w:r>
      <w:bookmarkEnd w:id="185"/>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lastRenderedPageBreak/>
        <w:tab/>
        <w:t>(b)</w:t>
      </w:r>
      <w:r>
        <w:tab/>
        <w:t>any order of a court, tribunal or person acting judicially;</w:t>
      </w:r>
    </w:p>
    <w:p>
      <w:pPr>
        <w:pStyle w:val="Indenta"/>
      </w:pPr>
      <w:r>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lastRenderedPageBreak/>
        <w:tab/>
        <w:t>(i)</w:t>
      </w:r>
      <w:r>
        <w:tab/>
        <w:t>as soon as practicable after it becomes possible for the land to be accessed; or</w:t>
      </w:r>
    </w:p>
    <w:p>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186" w:name="_Toc207116549"/>
      <w:r>
        <w:rPr>
          <w:rStyle w:val="CharSectno"/>
        </w:rPr>
        <w:t>105A</w:t>
      </w:r>
      <w:r>
        <w:rPr>
          <w:snapToGrid w:val="0"/>
        </w:rPr>
        <w:t>.</w:t>
      </w:r>
      <w:r>
        <w:rPr>
          <w:snapToGrid w:val="0"/>
        </w:rPr>
        <w:tab/>
        <w:t>Priorities between applicants for certain tenements</w:t>
      </w:r>
      <w:bookmarkEnd w:id="186"/>
    </w:p>
    <w:p>
      <w:pPr>
        <w:pStyle w:val="Subsection"/>
        <w:rPr>
          <w:snapToGrid w:val="0"/>
        </w:rPr>
      </w:pPr>
      <w:r>
        <w:rPr>
          <w:snapToGrid w:val="0"/>
        </w:rPr>
        <w:tab/>
        <w:t>(1)</w:t>
      </w:r>
      <w:r>
        <w:rPr>
          <w:snapToGrid w:val="0"/>
        </w:rPr>
        <w:tab/>
        <w:t xml:space="preserve">Subject to section 111A, where more than one application is received for a mining tenement (other than a miscellaneous licence) in respect of the same land or any part thereof, the applicant who first complies with the initial requirement in </w:t>
      </w:r>
      <w:r>
        <w:rPr>
          <w:snapToGrid w:val="0"/>
        </w:rPr>
        <w:lastRenderedPageBreak/>
        <w:t>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lastRenderedPageBreak/>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187" w:name="_Toc207116550"/>
      <w:r>
        <w:rPr>
          <w:rStyle w:val="CharSectno"/>
        </w:rPr>
        <w:t>105B</w:t>
      </w:r>
      <w:r>
        <w:rPr>
          <w:snapToGrid w:val="0"/>
        </w:rPr>
        <w:t>.</w:t>
      </w:r>
      <w:r>
        <w:rPr>
          <w:snapToGrid w:val="0"/>
        </w:rPr>
        <w:tab/>
        <w:t>Grant of tenement subject to survey</w:t>
      </w:r>
      <w:bookmarkEnd w:id="18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188" w:name="_Toc207116551"/>
      <w:r>
        <w:rPr>
          <w:rStyle w:val="CharSectno"/>
        </w:rPr>
        <w:t>106</w:t>
      </w:r>
      <w:r>
        <w:rPr>
          <w:snapToGrid w:val="0"/>
        </w:rPr>
        <w:t>.</w:t>
      </w:r>
      <w:r>
        <w:rPr>
          <w:snapToGrid w:val="0"/>
        </w:rPr>
        <w:tab/>
        <w:t>Offence of destroying marks or obstructing surveyor etc.</w:t>
      </w:r>
      <w:bookmarkEnd w:id="18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lastRenderedPageBreak/>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189" w:name="_Toc207116552"/>
      <w:r>
        <w:rPr>
          <w:rStyle w:val="CharSectno"/>
        </w:rPr>
        <w:t>107</w:t>
      </w:r>
      <w:r>
        <w:rPr>
          <w:snapToGrid w:val="0"/>
        </w:rPr>
        <w:t>.</w:t>
      </w:r>
      <w:r>
        <w:rPr>
          <w:snapToGrid w:val="0"/>
        </w:rPr>
        <w:tab/>
        <w:t>Areas covered by water not required to be marked out</w:t>
      </w:r>
      <w:bookmarkEnd w:id="189"/>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90" w:name="_Toc207116553"/>
      <w:r>
        <w:rPr>
          <w:rStyle w:val="CharSectno"/>
        </w:rPr>
        <w:t>108</w:t>
      </w:r>
      <w:r>
        <w:rPr>
          <w:snapToGrid w:val="0"/>
        </w:rPr>
        <w:t>.</w:t>
      </w:r>
      <w:r>
        <w:rPr>
          <w:snapToGrid w:val="0"/>
        </w:rPr>
        <w:tab/>
        <w:t>Rent payable for mining tenement</w:t>
      </w:r>
      <w:bookmarkEnd w:id="190"/>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Ednotesection"/>
      </w:pPr>
      <w:r>
        <w:t>[</w:t>
      </w:r>
      <w:r>
        <w:rPr>
          <w:b/>
          <w:bCs/>
        </w:rPr>
        <w:t>109, 109A.</w:t>
      </w:r>
      <w:r>
        <w:tab/>
        <w:t>Deleted: No. 7 of 2025 s. 10.]</w:t>
      </w:r>
    </w:p>
    <w:p>
      <w:pPr>
        <w:pStyle w:val="Heading5"/>
        <w:spacing w:before="180"/>
        <w:rPr>
          <w:snapToGrid w:val="0"/>
        </w:rPr>
      </w:pPr>
      <w:bookmarkStart w:id="191" w:name="_Toc207116554"/>
      <w:r>
        <w:rPr>
          <w:rStyle w:val="CharSectno"/>
        </w:rPr>
        <w:t>110</w:t>
      </w:r>
      <w:r>
        <w:rPr>
          <w:snapToGrid w:val="0"/>
        </w:rPr>
        <w:t>.</w:t>
      </w:r>
      <w:r>
        <w:rPr>
          <w:snapToGrid w:val="0"/>
        </w:rPr>
        <w:tab/>
        <w:t>Mining lease restricted to certain minerals</w:t>
      </w:r>
      <w:bookmarkEnd w:id="191"/>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192" w:name="_Toc207116555"/>
      <w:r>
        <w:rPr>
          <w:rStyle w:val="CharSectno"/>
        </w:rPr>
        <w:lastRenderedPageBreak/>
        <w:t>111</w:t>
      </w:r>
      <w:r>
        <w:rPr>
          <w:snapToGrid w:val="0"/>
        </w:rPr>
        <w:t>.</w:t>
      </w:r>
      <w:r>
        <w:rPr>
          <w:snapToGrid w:val="0"/>
        </w:rPr>
        <w:tab/>
        <w:t>Iron authorisations</w:t>
      </w:r>
      <w:bookmarkEnd w:id="192"/>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193" w:name="_Toc207116556"/>
      <w:r>
        <w:rPr>
          <w:rStyle w:val="CharSectno"/>
        </w:rPr>
        <w:t>111A</w:t>
      </w:r>
      <w:r>
        <w:rPr>
          <w:snapToGrid w:val="0"/>
        </w:rPr>
        <w:t>.</w:t>
      </w:r>
      <w:r>
        <w:rPr>
          <w:snapToGrid w:val="0"/>
        </w:rPr>
        <w:tab/>
        <w:t>Minister may terminate or summarily refuse certain applications</w:t>
      </w:r>
      <w:bookmarkEnd w:id="193"/>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 xml:space="preserve">by notice served on the mining registrar or the warden, as the case requires, terminate an application for a mining tenement before the mining registrar or the </w:t>
      </w:r>
      <w:r>
        <w:rPr>
          <w:snapToGrid w:val="0"/>
        </w:rPr>
        <w:lastRenderedPageBreak/>
        <w:t>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lastRenderedPageBreak/>
        <w:tab/>
        <w:t>[Section 111A inserted: No. 58 of 1994 s. 44.]</w:t>
      </w:r>
    </w:p>
    <w:p>
      <w:pPr>
        <w:pStyle w:val="Heading5"/>
        <w:rPr>
          <w:snapToGrid w:val="0"/>
        </w:rPr>
      </w:pPr>
      <w:bookmarkStart w:id="194" w:name="_Toc207116557"/>
      <w:r>
        <w:rPr>
          <w:rStyle w:val="CharSectno"/>
        </w:rPr>
        <w:t>112</w:t>
      </w:r>
      <w:r>
        <w:rPr>
          <w:snapToGrid w:val="0"/>
        </w:rPr>
        <w:t>.</w:t>
      </w:r>
      <w:r>
        <w:rPr>
          <w:snapToGrid w:val="0"/>
        </w:rPr>
        <w:tab/>
        <w:t>Reservation in favour of Crown on prospecting licence or exploration licence to take rock etc.</w:t>
      </w:r>
      <w:bookmarkEnd w:id="194"/>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195" w:name="_Toc207116558"/>
      <w:r>
        <w:rPr>
          <w:rStyle w:val="CharSectno"/>
        </w:rPr>
        <w:t>113</w:t>
      </w:r>
      <w:r>
        <w:rPr>
          <w:snapToGrid w:val="0"/>
        </w:rPr>
        <w:t>.</w:t>
      </w:r>
      <w:r>
        <w:rPr>
          <w:snapToGrid w:val="0"/>
        </w:rPr>
        <w:tab/>
        <w:t>Repossession of land on expiry, surrender or forfeiture of mining tenement</w:t>
      </w:r>
      <w:bookmarkEnd w:id="195"/>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196" w:name="_Toc207116559"/>
      <w:r>
        <w:rPr>
          <w:rStyle w:val="CharSectno"/>
        </w:rPr>
        <w:lastRenderedPageBreak/>
        <w:t>114</w:t>
      </w:r>
      <w:r>
        <w:rPr>
          <w:snapToGrid w:val="0"/>
        </w:rPr>
        <w:t>.</w:t>
      </w:r>
      <w:r>
        <w:rPr>
          <w:snapToGrid w:val="0"/>
        </w:rPr>
        <w:tab/>
        <w:t>Removal of mining plant on expiry, surrender or forfeiture of mining tenement</w:t>
      </w:r>
      <w:bookmarkEnd w:id="19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lastRenderedPageBreak/>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 xml:space="preserve">at the expiration of a period of 3 months from the time when, in the opinion of the Minister, treatment of the tailings or other mining product is discontinued, if the former holder, having commenced treatment of the tailings or other mining product within the prescribed </w:t>
      </w:r>
      <w:r>
        <w:rPr>
          <w:snapToGrid w:val="0"/>
        </w:rPr>
        <w:lastRenderedPageBreak/>
        <w:t>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197" w:name="_Toc207116560"/>
      <w:r>
        <w:rPr>
          <w:rStyle w:val="CharSectno"/>
        </w:rPr>
        <w:t>114A</w:t>
      </w:r>
      <w:r>
        <w:rPr>
          <w:snapToGrid w:val="0"/>
        </w:rPr>
        <w:t>.</w:t>
      </w:r>
      <w:r>
        <w:rPr>
          <w:snapToGrid w:val="0"/>
        </w:rPr>
        <w:tab/>
        <w:t>Rights conferred under mining tenement exercisable in respect of mining product belonging to Crown</w:t>
      </w:r>
      <w:bookmarkEnd w:id="197"/>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lastRenderedPageBreak/>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198" w:name="_Toc207116561"/>
      <w:r>
        <w:rPr>
          <w:rStyle w:val="CharSectno"/>
        </w:rPr>
        <w:t>114B</w:t>
      </w:r>
      <w:r>
        <w:t>.</w:t>
      </w:r>
      <w:r>
        <w:tab/>
        <w:t>Continuation of liability after expiry, surrender or forfeiture of mining tenement</w:t>
      </w:r>
      <w:bookmarkEnd w:id="198"/>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199" w:name="_Toc207116562"/>
      <w:r>
        <w:rPr>
          <w:rStyle w:val="CharSectno"/>
        </w:rPr>
        <w:t>114C</w:t>
      </w:r>
      <w:r>
        <w:t>.</w:t>
      </w:r>
      <w:r>
        <w:tab/>
        <w:t>Right to enter land to carry out remedial work after expiry, surrender or forfeiture of mining tenement</w:t>
      </w:r>
      <w:bookmarkEnd w:id="199"/>
    </w:p>
    <w:p>
      <w:pPr>
        <w:pStyle w:val="Subsection"/>
        <w:keepNext/>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lastRenderedPageBreak/>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200" w:name="_Toc207116563"/>
      <w:r>
        <w:rPr>
          <w:rStyle w:val="CharSectno"/>
        </w:rPr>
        <w:t>115</w:t>
      </w:r>
      <w:r>
        <w:rPr>
          <w:snapToGrid w:val="0"/>
        </w:rPr>
        <w:t>.</w:t>
      </w:r>
      <w:r>
        <w:rPr>
          <w:snapToGrid w:val="0"/>
        </w:rPr>
        <w:tab/>
        <w:t>Power to enter on land for surveys</w:t>
      </w:r>
      <w:bookmarkEnd w:id="200"/>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lastRenderedPageBreak/>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201" w:name="_Toc207116564"/>
      <w:r>
        <w:rPr>
          <w:rStyle w:val="CharSectno"/>
        </w:rPr>
        <w:t>115A</w:t>
      </w:r>
      <w:r>
        <w:rPr>
          <w:snapToGrid w:val="0"/>
        </w:rPr>
        <w:t>.</w:t>
      </w:r>
      <w:r>
        <w:rPr>
          <w:snapToGrid w:val="0"/>
        </w:rPr>
        <w:tab/>
        <w:t>Mineral exploration reports</w:t>
      </w:r>
      <w:bookmarkEnd w:id="201"/>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lastRenderedPageBreak/>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keepNext/>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202" w:name="_Toc207116565"/>
      <w:r>
        <w:rPr>
          <w:rStyle w:val="CharSectno"/>
        </w:rPr>
        <w:t>115B</w:t>
      </w:r>
      <w:r>
        <w:t>.</w:t>
      </w:r>
      <w:r>
        <w:tab/>
        <w:t>Verification of expenditure amounts in operations reports</w:t>
      </w:r>
      <w:bookmarkEnd w:id="202"/>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lastRenderedPageBreak/>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203" w:name="_Toc207116566"/>
      <w:r>
        <w:rPr>
          <w:rStyle w:val="CharSectno"/>
        </w:rPr>
        <w:t>116</w:t>
      </w:r>
      <w:r>
        <w:rPr>
          <w:snapToGrid w:val="0"/>
        </w:rPr>
        <w:t>.</w:t>
      </w:r>
      <w:r>
        <w:rPr>
          <w:snapToGrid w:val="0"/>
        </w:rPr>
        <w:tab/>
        <w:t>Instrument of licence or lease</w:t>
      </w:r>
      <w:bookmarkEnd w:id="203"/>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 xml:space="preserve">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w:t>
      </w:r>
      <w:r>
        <w:rPr>
          <w:snapToGrid w:val="0"/>
        </w:rPr>
        <w:lastRenderedPageBreak/>
        <w:t>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204" w:name="_Toc207116567"/>
      <w:r>
        <w:rPr>
          <w:rStyle w:val="CharSectno"/>
        </w:rPr>
        <w:t>117</w:t>
      </w:r>
      <w:r>
        <w:rPr>
          <w:snapToGrid w:val="0"/>
        </w:rPr>
        <w:t>.</w:t>
      </w:r>
      <w:r>
        <w:rPr>
          <w:snapToGrid w:val="0"/>
        </w:rPr>
        <w:tab/>
        <w:t>Mining tenements protected</w:t>
      </w:r>
      <w:bookmarkEnd w:id="204"/>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keepNext/>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205" w:name="_Toc207116568"/>
      <w:r>
        <w:rPr>
          <w:rStyle w:val="CharSectno"/>
        </w:rPr>
        <w:lastRenderedPageBreak/>
        <w:t>118</w:t>
      </w:r>
      <w:r>
        <w:rPr>
          <w:snapToGrid w:val="0"/>
        </w:rPr>
        <w:t>.</w:t>
      </w:r>
      <w:r>
        <w:rPr>
          <w:snapToGrid w:val="0"/>
        </w:rPr>
        <w:tab/>
      </w:r>
      <w:r>
        <w:t>Notice of application to be given to lessee of pastoral lease or diversification lease</w:t>
      </w:r>
      <w:bookmarkEnd w:id="205"/>
    </w:p>
    <w:p>
      <w:pPr>
        <w:pStyle w:val="Subsection"/>
        <w:rPr>
          <w:snapToGrid w:val="0"/>
        </w:rPr>
      </w:pPr>
      <w:r>
        <w:rPr>
          <w:snapToGrid w:val="0"/>
        </w:rPr>
        <w:tab/>
      </w:r>
      <w:r>
        <w:rPr>
          <w:snapToGrid w:val="0"/>
        </w:rPr>
        <w:tab/>
        <w:t xml:space="preserve">Where any land comprised in an application for a mining tenement is held subject to a pastoral lease or a lease otherwise granted by or on behalf of the Crown for grazing purposes only </w:t>
      </w:r>
      <w:r>
        <w:t>or a diversification lease,</w:t>
      </w:r>
      <w:r>
        <w:rPr>
          <w:snapToGrid w:val="0"/>
        </w:rPr>
        <w:t xml:space="preserve">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 No. 4 of 2023 s. 134.]</w:t>
      </w:r>
    </w:p>
    <w:p>
      <w:pPr>
        <w:pStyle w:val="Heading5"/>
      </w:pPr>
      <w:bookmarkStart w:id="206" w:name="_Toc207116569"/>
      <w:r>
        <w:rPr>
          <w:rStyle w:val="CharSectno"/>
        </w:rPr>
        <w:t>118A</w:t>
      </w:r>
      <w:r>
        <w:t>.</w:t>
      </w:r>
      <w:r>
        <w:tab/>
        <w:t>Tenement holder may authorise mining by third party</w:t>
      </w:r>
      <w:bookmarkEnd w:id="206"/>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lastRenderedPageBreak/>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207" w:name="_Toc207116570"/>
      <w:r>
        <w:rPr>
          <w:rStyle w:val="CharSectno"/>
        </w:rPr>
        <w:t>119</w:t>
      </w:r>
      <w:r>
        <w:rPr>
          <w:snapToGrid w:val="0"/>
        </w:rPr>
        <w:t>.</w:t>
      </w:r>
      <w:r>
        <w:rPr>
          <w:snapToGrid w:val="0"/>
        </w:rPr>
        <w:tab/>
        <w:t>Mining tenement may be sold, encumbered etc.</w:t>
      </w:r>
      <w:bookmarkEnd w:id="207"/>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208" w:name="_Toc207116571"/>
      <w:r>
        <w:rPr>
          <w:rStyle w:val="CharSectno"/>
        </w:rPr>
        <w:t>119A</w:t>
      </w:r>
      <w:r>
        <w:rPr>
          <w:snapToGrid w:val="0"/>
        </w:rPr>
        <w:t>.</w:t>
      </w:r>
      <w:r>
        <w:rPr>
          <w:snapToGrid w:val="0"/>
        </w:rPr>
        <w:tab/>
        <w:t>Mining tenement may be mortgaged</w:t>
      </w:r>
      <w:bookmarkEnd w:id="208"/>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lastRenderedPageBreak/>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209" w:name="_Toc207116572"/>
      <w:r>
        <w:rPr>
          <w:rStyle w:val="CharSectno"/>
        </w:rPr>
        <w:t>120</w:t>
      </w:r>
      <w:r>
        <w:rPr>
          <w:snapToGrid w:val="0"/>
        </w:rPr>
        <w:t>.</w:t>
      </w:r>
      <w:r>
        <w:rPr>
          <w:snapToGrid w:val="0"/>
        </w:rPr>
        <w:tab/>
        <w:t>Planning schemes to be considered but not to derogate from this Act</w:t>
      </w:r>
      <w:bookmarkEnd w:id="209"/>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210" w:name="_Toc207116573"/>
      <w:r>
        <w:rPr>
          <w:rStyle w:val="CharSectno"/>
        </w:rPr>
        <w:lastRenderedPageBreak/>
        <w:t>120AA</w:t>
      </w:r>
      <w:r>
        <w:t>.</w:t>
      </w:r>
      <w:r>
        <w:tab/>
        <w:t>Scheme for reversion licence applications</w:t>
      </w:r>
      <w:bookmarkEnd w:id="210"/>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lastRenderedPageBreak/>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211" w:name="_Toc207116574"/>
      <w:r>
        <w:rPr>
          <w:rStyle w:val="CharPartNo"/>
        </w:rPr>
        <w:lastRenderedPageBreak/>
        <w:t>Part 5A</w:t>
      </w:r>
      <w:r>
        <w:t> — </w:t>
      </w:r>
      <w:r>
        <w:rPr>
          <w:rStyle w:val="CharPartText"/>
        </w:rPr>
        <w:t>Royalties</w:t>
      </w:r>
      <w:bookmarkEnd w:id="211"/>
    </w:p>
    <w:p>
      <w:pPr>
        <w:pStyle w:val="Footnoteheading"/>
      </w:pPr>
      <w:r>
        <w:tab/>
        <w:t>[Heading inserted: No. 7 of 2025 s. 11.]</w:t>
      </w:r>
    </w:p>
    <w:p>
      <w:pPr>
        <w:pStyle w:val="Heading3"/>
      </w:pPr>
      <w:bookmarkStart w:id="212" w:name="_Toc207116575"/>
      <w:r>
        <w:rPr>
          <w:rStyle w:val="CharDivNo"/>
        </w:rPr>
        <w:t>Division 1</w:t>
      </w:r>
      <w:r>
        <w:t> — </w:t>
      </w:r>
      <w:r>
        <w:rPr>
          <w:rStyle w:val="CharDivText"/>
        </w:rPr>
        <w:t>General provisions about royalties</w:t>
      </w:r>
      <w:bookmarkEnd w:id="212"/>
    </w:p>
    <w:p>
      <w:pPr>
        <w:pStyle w:val="Footnoteheading"/>
      </w:pPr>
      <w:r>
        <w:tab/>
        <w:t>[Heading inserted: No. 7 of 2025 s. 11.]</w:t>
      </w:r>
    </w:p>
    <w:p>
      <w:pPr>
        <w:pStyle w:val="Heading5"/>
      </w:pPr>
      <w:bookmarkStart w:id="213" w:name="_Toc207116576"/>
      <w:r>
        <w:rPr>
          <w:rStyle w:val="CharSectno"/>
        </w:rPr>
        <w:t>120A</w:t>
      </w:r>
      <w:r>
        <w:t>.</w:t>
      </w:r>
      <w:r>
        <w:tab/>
        <w:t>Terms used</w:t>
      </w:r>
      <w:bookmarkEnd w:id="213"/>
    </w:p>
    <w:p>
      <w:pPr>
        <w:pStyle w:val="Subsection"/>
      </w:pPr>
      <w:r>
        <w:tab/>
        <w:t>(1)</w:t>
      </w:r>
      <w:r>
        <w:tab/>
        <w:t xml:space="preserve">In this Part — </w:t>
      </w:r>
    </w:p>
    <w:p>
      <w:pPr>
        <w:pStyle w:val="Defstart"/>
      </w:pPr>
      <w:r>
        <w:tab/>
      </w:r>
      <w:r>
        <w:rPr>
          <w:rStyle w:val="CharDefText"/>
        </w:rPr>
        <w:t>information</w:t>
      </w:r>
      <w:r>
        <w:t xml:space="preserve"> includes — </w:t>
      </w:r>
    </w:p>
    <w:p>
      <w:pPr>
        <w:pStyle w:val="Defpara"/>
      </w:pPr>
      <w:r>
        <w:tab/>
        <w:t>(a)</w:t>
      </w:r>
      <w:r>
        <w:tab/>
        <w:t>accounting or other records; and</w:t>
      </w:r>
    </w:p>
    <w:p>
      <w:pPr>
        <w:pStyle w:val="Defpara"/>
      </w:pPr>
      <w:r>
        <w:tab/>
        <w:t>(b)</w:t>
      </w:r>
      <w:r>
        <w:tab/>
        <w:t>a document;</w:t>
      </w:r>
    </w:p>
    <w:p>
      <w:pPr>
        <w:pStyle w:val="Defstart"/>
      </w:pPr>
      <w:r>
        <w:tab/>
      </w:r>
      <w:r>
        <w:rPr>
          <w:rStyle w:val="CharDefText"/>
        </w:rPr>
        <w:t>investigator</w:t>
      </w:r>
      <w:r>
        <w:t xml:space="preserve"> — </w:t>
      </w:r>
    </w:p>
    <w:p>
      <w:pPr>
        <w:pStyle w:val="Defpara"/>
      </w:pPr>
      <w:r>
        <w:tab/>
        <w:t>(a)</w:t>
      </w:r>
      <w:r>
        <w:tab/>
        <w:t>means a person appointed to be an investigator under section 120J(1); and</w:t>
      </w:r>
    </w:p>
    <w:p>
      <w:pPr>
        <w:pStyle w:val="Defpara"/>
      </w:pPr>
      <w:r>
        <w:tab/>
        <w:t>(b)</w:t>
      </w:r>
      <w:r>
        <w:tab/>
        <w:t>if section 120J(2) applies — includes the Commissioner of State Revenue;</w:t>
      </w:r>
    </w:p>
    <w:p>
      <w:pPr>
        <w:pStyle w:val="Defstart"/>
      </w:pPr>
      <w:r>
        <w:tab/>
      </w:r>
      <w:r>
        <w:rPr>
          <w:rStyle w:val="CharDefText"/>
        </w:rPr>
        <w:t>premises</w:t>
      </w:r>
      <w:r>
        <w:t xml:space="preserve"> includes — </w:t>
      </w:r>
    </w:p>
    <w:p>
      <w:pPr>
        <w:pStyle w:val="Defpara"/>
      </w:pPr>
      <w:r>
        <w:tab/>
        <w:t>(a)</w:t>
      </w:r>
      <w:r>
        <w:tab/>
        <w:t>a structure, building, vehicle, vessel or aircraft; and</w:t>
      </w:r>
    </w:p>
    <w:p>
      <w:pPr>
        <w:pStyle w:val="Defpara"/>
      </w:pPr>
      <w:r>
        <w:tab/>
        <w:t>(b)</w:t>
      </w:r>
      <w:r>
        <w:tab/>
        <w:t>a place (whether or not enclosed or built on); and</w:t>
      </w:r>
    </w:p>
    <w:p>
      <w:pPr>
        <w:pStyle w:val="Defpara"/>
      </w:pPr>
      <w:r>
        <w:tab/>
        <w:t>(c)</w:t>
      </w:r>
      <w:r>
        <w:tab/>
        <w:t>a part of a thing referred to in paragraph (a) or (b);</w:t>
      </w:r>
    </w:p>
    <w:p>
      <w:pPr>
        <w:pStyle w:val="Defstart"/>
      </w:pPr>
      <w:r>
        <w:tab/>
      </w:r>
      <w:r>
        <w:rPr>
          <w:rStyle w:val="CharDefText"/>
        </w:rPr>
        <w:t>royalty investigation purpose</w:t>
      </w:r>
      <w:r>
        <w:t xml:space="preserve"> has the meaning given in section 120I(2);</w:t>
      </w:r>
    </w:p>
    <w:p>
      <w:pPr>
        <w:pStyle w:val="Defstart"/>
      </w:pPr>
      <w:r>
        <w:tab/>
      </w:r>
      <w:r>
        <w:rPr>
          <w:rStyle w:val="CharDefText"/>
        </w:rPr>
        <w:t>royalty payer</w:t>
      </w:r>
      <w:r>
        <w:t xml:space="preserve"> means a person who is, or may be, liable to pay a royalty for a mineral.</w:t>
      </w:r>
    </w:p>
    <w:p>
      <w:pPr>
        <w:pStyle w:val="Subsection"/>
      </w:pPr>
      <w:r>
        <w:tab/>
        <w:t>(2)</w:t>
      </w:r>
      <w:r>
        <w:tab/>
        <w:t>In this Part, a reference to a mineral includes a reference to a material containing that mineral.</w:t>
      </w:r>
    </w:p>
    <w:p>
      <w:pPr>
        <w:pStyle w:val="Subsection"/>
      </w:pPr>
      <w:r>
        <w:tab/>
        <w:t>(3)</w:t>
      </w:r>
      <w:r>
        <w:tab/>
        <w:t>In Divisions 2 to 4, a reference to a royalty for a mineral includes a reference to additional rent (as defined in section 120E(1)) payable for the mining tenement from which the mineral is obtained.</w:t>
      </w:r>
    </w:p>
    <w:p>
      <w:pPr>
        <w:pStyle w:val="Footnotesection"/>
        <w:ind w:left="890" w:hanging="890"/>
      </w:pPr>
      <w:r>
        <w:lastRenderedPageBreak/>
        <w:tab/>
        <w:t>[Section 120A inserted: No. 7 of 2025 s. 11.]</w:t>
      </w:r>
    </w:p>
    <w:p>
      <w:pPr>
        <w:pStyle w:val="Heading5"/>
      </w:pPr>
      <w:bookmarkStart w:id="214" w:name="_Toc207116577"/>
      <w:r>
        <w:rPr>
          <w:rStyle w:val="CharSectno"/>
        </w:rPr>
        <w:t>120B</w:t>
      </w:r>
      <w:r>
        <w:t>.</w:t>
      </w:r>
      <w:r>
        <w:tab/>
        <w:t>Royalty payable</w:t>
      </w:r>
      <w:bookmarkEnd w:id="214"/>
    </w:p>
    <w:p>
      <w:pPr>
        <w:pStyle w:val="Subsection"/>
      </w:pPr>
      <w:r>
        <w:tab/>
      </w:r>
      <w:r>
        <w:tab/>
        <w:t>A royalty is payable to the State for a mineral obtained from a mining tenement, or from land the subject of an application for a mining tenement, as prescribed, including at the rate prescribed.</w:t>
      </w:r>
    </w:p>
    <w:p>
      <w:pPr>
        <w:pStyle w:val="Footnotesection"/>
        <w:ind w:left="890" w:hanging="890"/>
      </w:pPr>
      <w:r>
        <w:tab/>
        <w:t>[Section 120B inserted: No. 7 of 2025 s. 11.]</w:t>
      </w:r>
    </w:p>
    <w:p>
      <w:pPr>
        <w:pStyle w:val="Heading5"/>
      </w:pPr>
      <w:bookmarkStart w:id="215" w:name="_Toc207116578"/>
      <w:r>
        <w:rPr>
          <w:rStyle w:val="CharSectno"/>
        </w:rPr>
        <w:t>120C</w:t>
      </w:r>
      <w:r>
        <w:t>.</w:t>
      </w:r>
      <w:r>
        <w:tab/>
        <w:t>Prescription of royalty</w:t>
      </w:r>
      <w:bookmarkEnd w:id="215"/>
    </w:p>
    <w:p>
      <w:pPr>
        <w:pStyle w:val="Subsection"/>
      </w:pPr>
      <w:r>
        <w:tab/>
      </w:r>
      <w:r>
        <w:tab/>
        <w:t xml:space="preserve">The regulations may deal with the royalties payable for a mineral, including by dealing with the following matters — </w:t>
      </w:r>
    </w:p>
    <w:p>
      <w:pPr>
        <w:pStyle w:val="Indenta"/>
      </w:pPr>
      <w:r>
        <w:tab/>
        <w:t>(a)</w:t>
      </w:r>
      <w:r>
        <w:tab/>
        <w:t>prescribing how, when and by whom a royalty for a mineral is payable;</w:t>
      </w:r>
    </w:p>
    <w:p>
      <w:pPr>
        <w:pStyle w:val="Indenta"/>
      </w:pPr>
      <w:r>
        <w:tab/>
        <w:t>(b)</w:t>
      </w:r>
      <w:r>
        <w:tab/>
        <w:t xml:space="preserve">prescribing the rate of royalty, or basis for calculating the royalty, payable for a mineral or class of mineral; </w:t>
      </w:r>
    </w:p>
    <w:p>
      <w:pPr>
        <w:pStyle w:val="Indenta"/>
      </w:pPr>
      <w:r>
        <w:tab/>
        <w:t>(c)</w:t>
      </w:r>
      <w:r>
        <w:tab/>
        <w:t>prescribing different rates of royalty, or different bases for calculating a royalty, for different minerals or classes of mineral;</w:t>
      </w:r>
    </w:p>
    <w:p>
      <w:pPr>
        <w:pStyle w:val="Indenta"/>
      </w:pPr>
      <w:r>
        <w:tab/>
        <w:t>(d)</w:t>
      </w:r>
      <w:r>
        <w:tab/>
        <w:t>for the purposes of calculating the rate of royalty payable, authorising the Minister to decide the method for valuing a mineral or class of mineral;</w:t>
      </w:r>
    </w:p>
    <w:p>
      <w:pPr>
        <w:pStyle w:val="Indenta"/>
      </w:pPr>
      <w:r>
        <w:tab/>
        <w:t>(e)</w:t>
      </w:r>
      <w:r>
        <w:tab/>
        <w:t>authorising the Minister to decide the rate of royalty, or basis for calculating the royalty, for a mineral that applies in prescribed circumstances;</w:t>
      </w:r>
    </w:p>
    <w:p>
      <w:pPr>
        <w:pStyle w:val="Indenta"/>
      </w:pPr>
      <w:r>
        <w:tab/>
        <w:t>(f)</w:t>
      </w:r>
      <w:r>
        <w:tab/>
        <w:t xml:space="preserve">exempting a person, or class of persons, from paying a royalty for a mineral — </w:t>
      </w:r>
    </w:p>
    <w:p>
      <w:pPr>
        <w:pStyle w:val="Indenti"/>
      </w:pPr>
      <w:r>
        <w:tab/>
        <w:t>(i)</w:t>
      </w:r>
      <w:r>
        <w:tab/>
        <w:t>subject to conditions or unconditionally; or</w:t>
      </w:r>
    </w:p>
    <w:p>
      <w:pPr>
        <w:pStyle w:val="Indenti"/>
      </w:pPr>
      <w:r>
        <w:tab/>
        <w:t>(ii)</w:t>
      </w:r>
      <w:r>
        <w:tab/>
        <w:t>generally or in a specified case or class of case; or</w:t>
      </w:r>
    </w:p>
    <w:p>
      <w:pPr>
        <w:pStyle w:val="Indenti"/>
      </w:pPr>
      <w:r>
        <w:tab/>
        <w:t>(iii)</w:t>
      </w:r>
      <w:r>
        <w:tab/>
        <w:t>wholly or to a specified extent;</w:t>
      </w:r>
    </w:p>
    <w:p>
      <w:pPr>
        <w:pStyle w:val="Indenta"/>
        <w:rPr>
          <w:snapToGrid w:val="0"/>
        </w:rPr>
      </w:pPr>
      <w:r>
        <w:lastRenderedPageBreak/>
        <w:tab/>
        <w:t>(g)</w:t>
      </w:r>
      <w:r>
        <w:tab/>
      </w:r>
      <w:r>
        <w:rPr>
          <w:snapToGrid w:val="0"/>
        </w:rPr>
        <w:t>providing that contravention of a regulation relating to royalties, or providing information relevant to the assessment and calculation of a royalty, is an offence.</w:t>
      </w:r>
    </w:p>
    <w:p>
      <w:pPr>
        <w:pStyle w:val="PermNoteHeading"/>
      </w:pPr>
      <w:r>
        <w:tab/>
        <w:t>Example for this section:</w:t>
      </w:r>
    </w:p>
    <w:p>
      <w:pPr>
        <w:pStyle w:val="PermNoteText"/>
      </w:pPr>
      <w:r>
        <w:tab/>
      </w:r>
      <w:r>
        <w:tab/>
        <w:t>For the purposes of paragraph (d), a method for valuing a mineral is to value the mineral using the fair market price of the mineral in the form in which it is first sold.</w:t>
      </w:r>
    </w:p>
    <w:p>
      <w:pPr>
        <w:pStyle w:val="Footnotesection"/>
        <w:ind w:left="890" w:hanging="890"/>
      </w:pPr>
      <w:r>
        <w:tab/>
        <w:t>[Section 120C inserted: No. 7 of 2025 s. 11.]</w:t>
      </w:r>
    </w:p>
    <w:p>
      <w:pPr>
        <w:pStyle w:val="Heading5"/>
      </w:pPr>
      <w:bookmarkStart w:id="216" w:name="_Toc207116579"/>
      <w:r>
        <w:rPr>
          <w:rStyle w:val="CharSectno"/>
        </w:rPr>
        <w:t>120D</w:t>
      </w:r>
      <w:r>
        <w:t>.</w:t>
      </w:r>
      <w:r>
        <w:tab/>
        <w:t>Requirement for royalty return</w:t>
      </w:r>
      <w:bookmarkEnd w:id="216"/>
    </w:p>
    <w:p>
      <w:pPr>
        <w:pStyle w:val="Subsection"/>
      </w:pPr>
      <w:r>
        <w:tab/>
        <w:t>(1)</w:t>
      </w:r>
      <w:r>
        <w:tab/>
        <w:t xml:space="preserve">A person who is required, under the regulations, to pay a royalty for a mineral obtained from a mining tenement, or from land the subject of an application for a mining tenement, must lodge a return (a </w:t>
      </w:r>
      <w:r>
        <w:rPr>
          <w:rStyle w:val="CharDefText"/>
        </w:rPr>
        <w:t>royalty return</w:t>
      </w:r>
      <w:r>
        <w:t>) in relation to the royalty.</w:t>
      </w:r>
    </w:p>
    <w:p>
      <w:pPr>
        <w:pStyle w:val="Subsection"/>
      </w:pPr>
      <w:r>
        <w:tab/>
        <w:t>(2)</w:t>
      </w:r>
      <w:r>
        <w:tab/>
        <w:t>The royalty return must comply with, and be lodged in the way required by, the regulations.</w:t>
      </w:r>
    </w:p>
    <w:p>
      <w:pPr>
        <w:pStyle w:val="Footnotesection"/>
        <w:ind w:left="890" w:hanging="890"/>
      </w:pPr>
      <w:r>
        <w:tab/>
        <w:t>[Section 120D inserted: No. 7 of 2025 s. 11.]</w:t>
      </w:r>
    </w:p>
    <w:p>
      <w:pPr>
        <w:pStyle w:val="Heading5"/>
      </w:pPr>
      <w:bookmarkStart w:id="217" w:name="_Toc207116580"/>
      <w:r>
        <w:rPr>
          <w:rStyle w:val="CharSectno"/>
        </w:rPr>
        <w:t>120E</w:t>
      </w:r>
      <w:r>
        <w:t>.</w:t>
      </w:r>
      <w:r>
        <w:tab/>
        <w:t>Additional rent payable for mining tenement</w:t>
      </w:r>
      <w:bookmarkEnd w:id="217"/>
    </w:p>
    <w:p>
      <w:pPr>
        <w:pStyle w:val="Subsection"/>
      </w:pPr>
      <w:r>
        <w:tab/>
        <w:t>(1)</w:t>
      </w:r>
      <w:r>
        <w:tab/>
        <w:t>Rent for a mining tenement (</w:t>
      </w:r>
      <w:r>
        <w:rPr>
          <w:rStyle w:val="CharDefText"/>
        </w:rPr>
        <w:t>additional rent</w:t>
      </w:r>
      <w:r>
        <w:t>) is payable to the State as prescribed, including at the rate prescribed, in addition to the rent payable for the tenement under section 108.</w:t>
      </w:r>
    </w:p>
    <w:p>
      <w:pPr>
        <w:pStyle w:val="Subsection"/>
      </w:pPr>
      <w:r>
        <w:tab/>
        <w:t>(2)</w:t>
      </w:r>
      <w:r>
        <w:tab/>
        <w:t xml:space="preserve">The regulations may deal with the additional rent payable for a mining tenement, including by — </w:t>
      </w:r>
    </w:p>
    <w:p>
      <w:pPr>
        <w:pStyle w:val="Indenta"/>
      </w:pPr>
      <w:r>
        <w:tab/>
        <w:t>(a)</w:t>
      </w:r>
      <w:r>
        <w:tab/>
        <w:t>prescribing how, when and by whom the additional rent is payable; and</w:t>
      </w:r>
    </w:p>
    <w:p>
      <w:pPr>
        <w:pStyle w:val="Indenta"/>
      </w:pPr>
      <w:r>
        <w:tab/>
        <w:t>(b)</w:t>
      </w:r>
      <w:r>
        <w:tab/>
        <w:t>prescribing the rate of the additional rent.</w:t>
      </w:r>
    </w:p>
    <w:p>
      <w:pPr>
        <w:pStyle w:val="Subsection"/>
      </w:pPr>
      <w:r>
        <w:tab/>
        <w:t>(3)</w:t>
      </w:r>
      <w:r>
        <w:tab/>
        <w:t>Regulations prescribing the rate of additional rent under subsection (2)(b) must provide for the additional rent to be calculated, wholly or partly, by reference to the quantity or value of the mineral obtained from the tenement.</w:t>
      </w:r>
    </w:p>
    <w:p>
      <w:pPr>
        <w:pStyle w:val="Subsection"/>
      </w:pPr>
      <w:r>
        <w:lastRenderedPageBreak/>
        <w:tab/>
        <w:t>(4)</w:t>
      </w:r>
      <w:r>
        <w:tab/>
        <w:t>A person who is required, under the regulations, to pay additional rent for a mining tenement must lodge a return in relation to the rent.</w:t>
      </w:r>
    </w:p>
    <w:p>
      <w:pPr>
        <w:pStyle w:val="Subsection"/>
      </w:pPr>
      <w:r>
        <w:tab/>
        <w:t>(5)</w:t>
      </w:r>
      <w:r>
        <w:tab/>
        <w:t>The return must comply with, and be lodged in the way required by, the regulations.</w:t>
      </w:r>
    </w:p>
    <w:p>
      <w:pPr>
        <w:pStyle w:val="Footnotesection"/>
        <w:ind w:left="890" w:hanging="890"/>
      </w:pPr>
      <w:r>
        <w:tab/>
        <w:t>[Section 120E inserted: No. 7 of 2025 s. 11.]</w:t>
      </w:r>
    </w:p>
    <w:p>
      <w:pPr>
        <w:pStyle w:val="Heading3"/>
      </w:pPr>
      <w:bookmarkStart w:id="218" w:name="_Toc207116581"/>
      <w:r>
        <w:rPr>
          <w:rStyle w:val="CharDivNo"/>
        </w:rPr>
        <w:t>Division 2</w:t>
      </w:r>
      <w:r>
        <w:t> — </w:t>
      </w:r>
      <w:r>
        <w:rPr>
          <w:rStyle w:val="CharDivText"/>
        </w:rPr>
        <w:t>Verification of royalties payable</w:t>
      </w:r>
      <w:bookmarkEnd w:id="218"/>
    </w:p>
    <w:p>
      <w:pPr>
        <w:pStyle w:val="Footnoteheading"/>
      </w:pPr>
      <w:r>
        <w:tab/>
        <w:t>[Heading inserted: No. 7 of 2025 s. 11.]</w:t>
      </w:r>
    </w:p>
    <w:p>
      <w:pPr>
        <w:pStyle w:val="Heading5"/>
      </w:pPr>
      <w:bookmarkStart w:id="219" w:name="_Toc207116582"/>
      <w:r>
        <w:rPr>
          <w:rStyle w:val="CharSectno"/>
        </w:rPr>
        <w:t>120F</w:t>
      </w:r>
      <w:r>
        <w:t>.</w:t>
      </w:r>
      <w:r>
        <w:tab/>
        <w:t>Determination of royalty</w:t>
      </w:r>
      <w:bookmarkEnd w:id="219"/>
    </w:p>
    <w:p>
      <w:pPr>
        <w:pStyle w:val="Subsection"/>
      </w:pPr>
      <w:r>
        <w:tab/>
        <w:t>(1)</w:t>
      </w:r>
      <w:r>
        <w:tab/>
        <w:t xml:space="preserve">This section applies if the Minister is satisfied — </w:t>
      </w:r>
    </w:p>
    <w:p>
      <w:pPr>
        <w:pStyle w:val="Indenta"/>
      </w:pPr>
      <w:r>
        <w:tab/>
        <w:t>(a)</w:t>
      </w:r>
      <w:r>
        <w:tab/>
        <w:t>a royalty has not been paid; or</w:t>
      </w:r>
    </w:p>
    <w:p>
      <w:pPr>
        <w:pStyle w:val="Indenta"/>
      </w:pPr>
      <w:r>
        <w:tab/>
        <w:t>(b)</w:t>
      </w:r>
      <w:r>
        <w:tab/>
        <w:t>the amount of a royalty was not properly assessed or calculated.</w:t>
      </w:r>
    </w:p>
    <w:p>
      <w:pPr>
        <w:pStyle w:val="Subsection"/>
      </w:pPr>
      <w:r>
        <w:tab/>
        <w:t>(2)</w:t>
      </w:r>
      <w:r>
        <w:tab/>
        <w:t>The Minister may determine the amount of the royalty, taking into account the information available to the Minister.</w:t>
      </w:r>
    </w:p>
    <w:p>
      <w:pPr>
        <w:pStyle w:val="Subsection"/>
      </w:pPr>
      <w:r>
        <w:tab/>
        <w:t>(3)</w:t>
      </w:r>
      <w:r>
        <w:tab/>
        <w:t>The Minister may base a determination under subsection (2) on an estimate of the amount of the royalty if the Minister is satisfied that the information available to make a determination is inadequate or unreliable.</w:t>
      </w:r>
    </w:p>
    <w:p>
      <w:pPr>
        <w:pStyle w:val="Subsection"/>
      </w:pPr>
      <w:r>
        <w:tab/>
        <w:t>(4)</w:t>
      </w:r>
      <w:r>
        <w:tab/>
        <w:t xml:space="preserve">Before finalising the determination, the Minister must give a royalty payer a notice — </w:t>
      </w:r>
    </w:p>
    <w:p>
      <w:pPr>
        <w:pStyle w:val="Indenta"/>
      </w:pPr>
      <w:r>
        <w:tab/>
        <w:t>(a)</w:t>
      </w:r>
      <w:r>
        <w:tab/>
        <w:t>stating that the Minister is determining the amount of the royalty under this section; and</w:t>
      </w:r>
    </w:p>
    <w:p>
      <w:pPr>
        <w:pStyle w:val="Indenta"/>
      </w:pPr>
      <w:r>
        <w:tab/>
        <w:t>(b)</w:t>
      </w:r>
      <w:r>
        <w:tab/>
        <w:t>setting out the way in which the Minister proposes to determine the amount; and</w:t>
      </w:r>
    </w:p>
    <w:p>
      <w:pPr>
        <w:pStyle w:val="Indenta"/>
      </w:pPr>
      <w:r>
        <w:tab/>
        <w:t>(c)</w:t>
      </w:r>
      <w:r>
        <w:tab/>
        <w:t>inviting the person to make submissions about the proposed determination on or before the day specified in the notice.</w:t>
      </w:r>
    </w:p>
    <w:p>
      <w:pPr>
        <w:pStyle w:val="Subsection"/>
      </w:pPr>
      <w:r>
        <w:lastRenderedPageBreak/>
        <w:tab/>
        <w:t>(5)</w:t>
      </w:r>
      <w:r>
        <w:tab/>
        <w:t>On making the determination, the Minister must consider any submissions made by the royalty payer on or before the specified day.</w:t>
      </w:r>
    </w:p>
    <w:p>
      <w:pPr>
        <w:pStyle w:val="Subsection"/>
      </w:pPr>
      <w:r>
        <w:tab/>
        <w:t>(6)</w:t>
      </w:r>
      <w:r>
        <w:tab/>
        <w:t>The Minister may determine the amount of the royalty under this section even if the Minister accepts a certificate about the determination of the royalty given to the Minister under section 120H.</w:t>
      </w:r>
    </w:p>
    <w:p>
      <w:pPr>
        <w:pStyle w:val="Footnotesection"/>
        <w:ind w:left="890" w:hanging="890"/>
      </w:pPr>
      <w:r>
        <w:tab/>
        <w:t>[Section 120F inserted: No. 7 of 2025 s. 11.]</w:t>
      </w:r>
    </w:p>
    <w:p>
      <w:pPr>
        <w:pStyle w:val="Heading5"/>
      </w:pPr>
      <w:bookmarkStart w:id="220" w:name="_Toc207116583"/>
      <w:r>
        <w:rPr>
          <w:rStyle w:val="CharSectno"/>
        </w:rPr>
        <w:t>120G</w:t>
      </w:r>
      <w:r>
        <w:t>.</w:t>
      </w:r>
      <w:r>
        <w:tab/>
        <w:t>Notice of royalty determination</w:t>
      </w:r>
      <w:bookmarkEnd w:id="220"/>
      <w:r>
        <w:t xml:space="preserve"> </w:t>
      </w:r>
    </w:p>
    <w:p>
      <w:pPr>
        <w:pStyle w:val="Subsection"/>
      </w:pPr>
      <w:r>
        <w:tab/>
        <w:t>(1)</w:t>
      </w:r>
      <w:r>
        <w:tab/>
        <w:t>When the Minister determines the amount of a royalty under section 120F, the Minister must give the royalty payer a notice about the determination.</w:t>
      </w:r>
    </w:p>
    <w:p>
      <w:pPr>
        <w:pStyle w:val="Subsection"/>
      </w:pPr>
      <w:r>
        <w:tab/>
        <w:t>(2)</w:t>
      </w:r>
      <w:r>
        <w:tab/>
        <w:t xml:space="preserve">The notice must state — </w:t>
      </w:r>
    </w:p>
    <w:p>
      <w:pPr>
        <w:pStyle w:val="Indenta"/>
      </w:pPr>
      <w:r>
        <w:tab/>
        <w:t>(a)</w:t>
      </w:r>
      <w:r>
        <w:tab/>
        <w:t>the amount of royalty the Minister determined is payable; and</w:t>
      </w:r>
    </w:p>
    <w:p>
      <w:pPr>
        <w:pStyle w:val="Indenta"/>
      </w:pPr>
      <w:r>
        <w:tab/>
        <w:t>(b)</w:t>
      </w:r>
      <w:r>
        <w:tab/>
        <w:t>if an amount of the royalty has been paid — whether the amount determined is more or less than the amount paid; and</w:t>
      </w:r>
    </w:p>
    <w:p>
      <w:pPr>
        <w:pStyle w:val="Indenta"/>
      </w:pPr>
      <w:r>
        <w:tab/>
        <w:t>(c)</w:t>
      </w:r>
      <w:r>
        <w:tab/>
        <w:t>if an amount of the royalty remains unpaid —the day by which the amount must be paid; and</w:t>
      </w:r>
    </w:p>
    <w:p>
      <w:pPr>
        <w:pStyle w:val="Indenta"/>
      </w:pPr>
      <w:r>
        <w:tab/>
        <w:t>(d)</w:t>
      </w:r>
      <w:r>
        <w:tab/>
        <w:t>if an amount of royalty has been overpaid —the amount of the overpayment and that the overpaid amount will be paid or credited to the royalty payer.</w:t>
      </w:r>
    </w:p>
    <w:p>
      <w:pPr>
        <w:pStyle w:val="Footnotesection"/>
        <w:ind w:left="890" w:hanging="890"/>
      </w:pPr>
      <w:r>
        <w:tab/>
        <w:t>[Section 120G inserted: No. 7 of 2025 s. 11.]</w:t>
      </w:r>
    </w:p>
    <w:p>
      <w:pPr>
        <w:pStyle w:val="Heading5"/>
      </w:pPr>
      <w:bookmarkStart w:id="221" w:name="_Toc207116584"/>
      <w:r>
        <w:rPr>
          <w:rStyle w:val="CharSectno"/>
        </w:rPr>
        <w:t>120H</w:t>
      </w:r>
      <w:r>
        <w:t>.</w:t>
      </w:r>
      <w:r>
        <w:tab/>
        <w:t>Certificate verifying assessment of royalty</w:t>
      </w:r>
      <w:bookmarkEnd w:id="221"/>
    </w:p>
    <w:p>
      <w:pPr>
        <w:pStyle w:val="Subsection"/>
      </w:pPr>
      <w:r>
        <w:tab/>
        <w:t>(1)</w:t>
      </w:r>
      <w:r>
        <w:tab/>
        <w:t xml:space="preserve">In this section — </w:t>
      </w:r>
    </w:p>
    <w:p>
      <w:pPr>
        <w:pStyle w:val="Defstart"/>
      </w:pPr>
      <w:r>
        <w:tab/>
      </w:r>
      <w:r>
        <w:rPr>
          <w:rStyle w:val="CharDefText"/>
        </w:rPr>
        <w:t>independent assessor</w:t>
      </w:r>
      <w:r>
        <w:t xml:space="preserve"> means — </w:t>
      </w:r>
    </w:p>
    <w:p>
      <w:pPr>
        <w:pStyle w:val="Defpara"/>
      </w:pPr>
      <w:r>
        <w:tab/>
        <w:t>(a)</w:t>
      </w:r>
      <w:r>
        <w:tab/>
        <w:t>a person registered, or taken to be registered, as an auditor under the Corporations Act Part 9.2; or</w:t>
      </w:r>
    </w:p>
    <w:p>
      <w:pPr>
        <w:pStyle w:val="Defpara"/>
      </w:pPr>
      <w:r>
        <w:lastRenderedPageBreak/>
        <w:tab/>
        <w:t>(b)</w:t>
      </w:r>
      <w:r>
        <w:tab/>
        <w:t>otherwise, a person approved as an independent assessor by the Minister under subsection (5).</w:t>
      </w:r>
    </w:p>
    <w:p>
      <w:pPr>
        <w:pStyle w:val="Subsection"/>
      </w:pPr>
      <w:r>
        <w:tab/>
        <w:t>(2)</w:t>
      </w:r>
      <w:r>
        <w:tab/>
        <w:t>This section applies if the Minister gives a royalty payer notice that the Minister considers it is necessary to verify the amount of a royalty payable for a specified period.</w:t>
      </w:r>
    </w:p>
    <w:p>
      <w:pPr>
        <w:pStyle w:val="Subsection"/>
      </w:pPr>
      <w:r>
        <w:tab/>
        <w:t>(3)</w:t>
      </w:r>
      <w:r>
        <w:tab/>
        <w:t>The Minister may accept the certificate of an independent assessor that the royalty appears to have been properly assessed and calculated for the specified period.</w:t>
      </w:r>
    </w:p>
    <w:p>
      <w:pPr>
        <w:pStyle w:val="Subsection"/>
      </w:pPr>
      <w:r>
        <w:tab/>
        <w:t>(4)</w:t>
      </w:r>
      <w:r>
        <w:tab/>
        <w:t xml:space="preserve">The certificate must — </w:t>
      </w:r>
    </w:p>
    <w:p>
      <w:pPr>
        <w:pStyle w:val="Indenta"/>
      </w:pPr>
      <w:r>
        <w:tab/>
        <w:t>(a)</w:t>
      </w:r>
      <w:r>
        <w:tab/>
        <w:t>be signed by an independent assessor; and</w:t>
      </w:r>
    </w:p>
    <w:p>
      <w:pPr>
        <w:pStyle w:val="Indenta"/>
      </w:pPr>
      <w:r>
        <w:tab/>
        <w:t>(b)</w:t>
      </w:r>
      <w:r>
        <w:tab/>
        <w:t>state the amount of the royalty paid or payable; and</w:t>
      </w:r>
    </w:p>
    <w:p>
      <w:pPr>
        <w:pStyle w:val="Indenta"/>
      </w:pPr>
      <w:r>
        <w:tab/>
        <w:t>(c)</w:t>
      </w:r>
      <w:r>
        <w:tab/>
        <w:t>set out sufficient information about how the amount was assessed and calculated to enable the assessment and calculation to be verified; and</w:t>
      </w:r>
    </w:p>
    <w:p>
      <w:pPr>
        <w:pStyle w:val="Indenta"/>
      </w:pPr>
      <w:r>
        <w:tab/>
        <w:t>(d)</w:t>
      </w:r>
      <w:r>
        <w:tab/>
        <w:t>be prepared at the cost of the royalty payer.</w:t>
      </w:r>
    </w:p>
    <w:p>
      <w:pPr>
        <w:pStyle w:val="Subsection"/>
      </w:pPr>
      <w:r>
        <w:tab/>
        <w:t>(5)</w:t>
      </w:r>
      <w:r>
        <w:tab/>
        <w:t>The Minister may approve a person as an independent assessor if the Minister is satisfied the person is suitably qualified or experienced to provide a certificate under this section.</w:t>
      </w:r>
    </w:p>
    <w:p>
      <w:pPr>
        <w:pStyle w:val="Footnotesection"/>
        <w:ind w:left="890" w:hanging="890"/>
      </w:pPr>
      <w:r>
        <w:tab/>
        <w:t>[Section 120H inserted: No. 7 of 2025 s. 11.]</w:t>
      </w:r>
    </w:p>
    <w:p>
      <w:pPr>
        <w:pStyle w:val="Heading3"/>
      </w:pPr>
      <w:bookmarkStart w:id="222" w:name="_Toc207116585"/>
      <w:r>
        <w:rPr>
          <w:rStyle w:val="CharDivNo"/>
        </w:rPr>
        <w:t>Division 3</w:t>
      </w:r>
      <w:r>
        <w:t> — </w:t>
      </w:r>
      <w:r>
        <w:rPr>
          <w:rStyle w:val="CharDivText"/>
        </w:rPr>
        <w:t>Investigations</w:t>
      </w:r>
      <w:bookmarkEnd w:id="222"/>
    </w:p>
    <w:p>
      <w:pPr>
        <w:pStyle w:val="Footnoteheading"/>
      </w:pPr>
      <w:r>
        <w:tab/>
        <w:t>[Heading inserted: No. 7 of 2025 s. 11.]</w:t>
      </w:r>
    </w:p>
    <w:p>
      <w:pPr>
        <w:pStyle w:val="Heading5"/>
      </w:pPr>
      <w:bookmarkStart w:id="223" w:name="_Toc207116586"/>
      <w:r>
        <w:rPr>
          <w:rStyle w:val="CharSectno"/>
        </w:rPr>
        <w:t>120I</w:t>
      </w:r>
      <w:r>
        <w:t>.</w:t>
      </w:r>
      <w:r>
        <w:tab/>
        <w:t>Purposes of investigations</w:t>
      </w:r>
      <w:bookmarkEnd w:id="223"/>
    </w:p>
    <w:p>
      <w:pPr>
        <w:pStyle w:val="Subsection"/>
      </w:pPr>
      <w:r>
        <w:tab/>
        <w:t>(1)</w:t>
      </w:r>
      <w:r>
        <w:tab/>
        <w:t xml:space="preserve">An investigation may be carried out under this Division for any or all of the following purposes — </w:t>
      </w:r>
    </w:p>
    <w:p>
      <w:pPr>
        <w:pStyle w:val="Indenta"/>
      </w:pPr>
      <w:r>
        <w:tab/>
        <w:t>(a)</w:t>
      </w:r>
      <w:r>
        <w:tab/>
        <w:t>to ascertain whether a royalty is payable in relation to a mining operation;</w:t>
      </w:r>
    </w:p>
    <w:p>
      <w:pPr>
        <w:pStyle w:val="Indenta"/>
      </w:pPr>
      <w:r>
        <w:tab/>
        <w:t>(b)</w:t>
      </w:r>
      <w:r>
        <w:tab/>
        <w:t xml:space="preserve">to determine the amount of a royalty payable for a mineral and related matters, including, for example — </w:t>
      </w:r>
    </w:p>
    <w:p>
      <w:pPr>
        <w:pStyle w:val="Indenti"/>
      </w:pPr>
      <w:r>
        <w:tab/>
        <w:t>(i)</w:t>
      </w:r>
      <w:r>
        <w:tab/>
        <w:t>the rate at which a royalty is payable; or</w:t>
      </w:r>
    </w:p>
    <w:p>
      <w:pPr>
        <w:pStyle w:val="Indenti"/>
      </w:pPr>
      <w:r>
        <w:lastRenderedPageBreak/>
        <w:tab/>
        <w:t>(ii)</w:t>
      </w:r>
      <w:r>
        <w:tab/>
        <w:t>the method to be used to value the mineral; or</w:t>
      </w:r>
    </w:p>
    <w:p>
      <w:pPr>
        <w:pStyle w:val="Indenti"/>
      </w:pPr>
      <w:r>
        <w:tab/>
        <w:t>(iii)</w:t>
      </w:r>
      <w:r>
        <w:tab/>
        <w:t>the price for which the mineral is or may be sold and the way the mineral is priced;</w:t>
      </w:r>
    </w:p>
    <w:p>
      <w:pPr>
        <w:pStyle w:val="Indenta"/>
      </w:pPr>
      <w:r>
        <w:tab/>
        <w:t>(c)</w:t>
      </w:r>
      <w:r>
        <w:tab/>
        <w:t xml:space="preserve">to gather information about — </w:t>
      </w:r>
    </w:p>
    <w:p>
      <w:pPr>
        <w:pStyle w:val="Indenti"/>
      </w:pPr>
      <w:r>
        <w:tab/>
        <w:t xml:space="preserve">(i) </w:t>
      </w:r>
      <w:r>
        <w:tab/>
        <w:t>the storage, transport, processing or marketing of a mineral, or other matters that affect the value of a mineral; or</w:t>
      </w:r>
    </w:p>
    <w:p>
      <w:pPr>
        <w:pStyle w:val="Indenti"/>
      </w:pPr>
      <w:r>
        <w:tab/>
        <w:t>(ii)</w:t>
      </w:r>
      <w:r>
        <w:tab/>
        <w:t>accounting methods used to calculate or assess the amount of a royalty payable.</w:t>
      </w:r>
    </w:p>
    <w:p>
      <w:pPr>
        <w:pStyle w:val="Subsection"/>
      </w:pPr>
      <w:r>
        <w:tab/>
        <w:t>(2)</w:t>
      </w:r>
      <w:r>
        <w:tab/>
        <w:t xml:space="preserve">A purpose mentioned in subsection (1) is a </w:t>
      </w:r>
      <w:r>
        <w:rPr>
          <w:rStyle w:val="CharDefText"/>
        </w:rPr>
        <w:t>royalty investigation purpose</w:t>
      </w:r>
      <w:r>
        <w:t xml:space="preserve">. </w:t>
      </w:r>
    </w:p>
    <w:p>
      <w:pPr>
        <w:pStyle w:val="Footnotesection"/>
        <w:ind w:left="890" w:hanging="890"/>
      </w:pPr>
      <w:r>
        <w:tab/>
        <w:t>[Section 120I inserted: No. 7 of 2025 s. 11.]</w:t>
      </w:r>
    </w:p>
    <w:p>
      <w:pPr>
        <w:pStyle w:val="Heading5"/>
      </w:pPr>
      <w:bookmarkStart w:id="224" w:name="_Toc207116587"/>
      <w:r>
        <w:rPr>
          <w:rStyle w:val="CharSectno"/>
        </w:rPr>
        <w:t>120J</w:t>
      </w:r>
      <w:r>
        <w:t>.</w:t>
      </w:r>
      <w:r>
        <w:tab/>
        <w:t>Investigators</w:t>
      </w:r>
      <w:bookmarkEnd w:id="224"/>
    </w:p>
    <w:p>
      <w:pPr>
        <w:pStyle w:val="Subsection"/>
      </w:pPr>
      <w:r>
        <w:tab/>
        <w:t>(1)</w:t>
      </w:r>
      <w:r>
        <w:tab/>
        <w:t>The Minister may appoint a person as an investigator for this Part.</w:t>
      </w:r>
    </w:p>
    <w:p>
      <w:pPr>
        <w:pStyle w:val="Subsection"/>
      </w:pPr>
      <w:r>
        <w:tab/>
        <w:t>(2)</w:t>
      </w:r>
      <w:r>
        <w:tab/>
        <w:t>If the Minister’s power under subsection (1) is delegated to the Commissioner of State Revenue under section 12(2), the Commissioner is also an investigator for this Part.</w:t>
      </w:r>
    </w:p>
    <w:p>
      <w:pPr>
        <w:pStyle w:val="Subsection"/>
      </w:pPr>
      <w:r>
        <w:tab/>
        <w:t>(3)</w:t>
      </w:r>
      <w:r>
        <w:tab/>
        <w:t xml:space="preserve">An investigator must be issued an identity card that includes — </w:t>
      </w:r>
    </w:p>
    <w:p>
      <w:pPr>
        <w:pStyle w:val="Indenta"/>
      </w:pPr>
      <w:r>
        <w:tab/>
        <w:t>(a)</w:t>
      </w:r>
      <w:r>
        <w:tab/>
        <w:t>a statement to the effect that the person identified by the card is an investigator for this Part; and</w:t>
      </w:r>
    </w:p>
    <w:p>
      <w:pPr>
        <w:pStyle w:val="Indenta"/>
      </w:pPr>
      <w:r>
        <w:tab/>
        <w:t>(b)</w:t>
      </w:r>
      <w:r>
        <w:tab/>
        <w:t>a photograph of the investigator.</w:t>
      </w:r>
    </w:p>
    <w:p>
      <w:pPr>
        <w:pStyle w:val="Subsection"/>
      </w:pPr>
      <w:r>
        <w:tab/>
        <w:t>(4)</w:t>
      </w:r>
      <w:r>
        <w:tab/>
        <w:t>If a person to whom an identity card is issued ceases to be an investigator, the person must immediately return the card.</w:t>
      </w:r>
    </w:p>
    <w:p>
      <w:pPr>
        <w:pStyle w:val="Penstart"/>
      </w:pPr>
      <w:r>
        <w:tab/>
        <w:t>Penalty for this subsection: a fine of $20 000.</w:t>
      </w:r>
    </w:p>
    <w:p>
      <w:pPr>
        <w:pStyle w:val="Footnotesection"/>
        <w:ind w:left="890" w:hanging="890"/>
      </w:pPr>
      <w:r>
        <w:tab/>
        <w:t>[Section 120J inserted: No. 7 of 2025 s. 11.]</w:t>
      </w:r>
    </w:p>
    <w:p>
      <w:pPr>
        <w:pStyle w:val="Heading5"/>
      </w:pPr>
      <w:bookmarkStart w:id="225" w:name="_Toc207116588"/>
      <w:r>
        <w:rPr>
          <w:rStyle w:val="CharSectno"/>
        </w:rPr>
        <w:lastRenderedPageBreak/>
        <w:t>120K</w:t>
      </w:r>
      <w:r>
        <w:t>.</w:t>
      </w:r>
      <w:r>
        <w:tab/>
        <w:t>Power to enter land or premises</w:t>
      </w:r>
      <w:bookmarkEnd w:id="225"/>
    </w:p>
    <w:p>
      <w:pPr>
        <w:pStyle w:val="Subsection"/>
        <w:keepNext/>
      </w:pPr>
      <w:r>
        <w:tab/>
        <w:t>(1)</w:t>
      </w:r>
      <w:r>
        <w:tab/>
        <w:t xml:space="preserve">An investigator may, for a royalty investigation purpose, enter — </w:t>
      </w:r>
    </w:p>
    <w:p>
      <w:pPr>
        <w:pStyle w:val="Indenta"/>
      </w:pPr>
      <w:r>
        <w:tab/>
        <w:t>(a)</w:t>
      </w:r>
      <w:r>
        <w:tab/>
        <w:t>land on which mining operations are carried out, including any premises on the land; or</w:t>
      </w:r>
    </w:p>
    <w:p>
      <w:pPr>
        <w:pStyle w:val="Indenta"/>
      </w:pPr>
      <w:r>
        <w:tab/>
        <w:t>(b)</w:t>
      </w:r>
      <w:r>
        <w:tab/>
        <w:t>premises used to prepare accounting or other records relating to mining operations; or</w:t>
      </w:r>
    </w:p>
    <w:p>
      <w:pPr>
        <w:pStyle w:val="Indenta"/>
      </w:pPr>
      <w:r>
        <w:tab/>
        <w:t>(c)</w:t>
      </w:r>
      <w:r>
        <w:tab/>
        <w:t>if the investigator believes, on reasonable grounds, that a mineral derived from mining operations, or documents or other records relating to the mineral, are present on any other land or at any other premises — the other land or premises.</w:t>
      </w:r>
    </w:p>
    <w:p>
      <w:pPr>
        <w:pStyle w:val="Subsection"/>
      </w:pPr>
      <w:r>
        <w:tab/>
        <w:t>(2)</w:t>
      </w:r>
      <w:r>
        <w:tab/>
        <w:t xml:space="preserve">However, the investigator can only enter land or premises under subsection (1)(c) if — </w:t>
      </w:r>
    </w:p>
    <w:p>
      <w:pPr>
        <w:pStyle w:val="Indenta"/>
        <w:rPr>
          <w:snapToGrid w:val="0"/>
        </w:rPr>
      </w:pPr>
      <w:r>
        <w:rPr>
          <w:snapToGrid w:val="0"/>
        </w:rPr>
        <w:tab/>
        <w:t>(a)</w:t>
      </w:r>
      <w:r>
        <w:rPr>
          <w:snapToGrid w:val="0"/>
        </w:rPr>
        <w:tab/>
        <w:t>the investigator believes, on reasonable grounds, that an offence against this Act, or a breach of the conditions of a mining tenement, has been, is being, or is about to be committed; or</w:t>
      </w:r>
    </w:p>
    <w:p>
      <w:pPr>
        <w:pStyle w:val="Indenta"/>
        <w:rPr>
          <w:snapToGrid w:val="0"/>
        </w:rPr>
      </w:pPr>
      <w:r>
        <w:rPr>
          <w:snapToGrid w:val="0"/>
        </w:rPr>
        <w:tab/>
        <w:t>(b)</w:t>
      </w:r>
      <w:r>
        <w:rPr>
          <w:snapToGrid w:val="0"/>
        </w:rPr>
        <w:tab/>
        <w:t>the entry is in accordance with the consent of the occupier of the land or premises.</w:t>
      </w:r>
    </w:p>
    <w:p>
      <w:pPr>
        <w:pStyle w:val="Footnotesection"/>
        <w:ind w:left="890" w:hanging="890"/>
      </w:pPr>
      <w:r>
        <w:tab/>
        <w:t>[Section 120K inserted: No. 7 of 2025 s. 11.]</w:t>
      </w:r>
    </w:p>
    <w:p>
      <w:pPr>
        <w:pStyle w:val="Heading5"/>
      </w:pPr>
      <w:bookmarkStart w:id="226" w:name="_Toc207116589"/>
      <w:r>
        <w:rPr>
          <w:rStyle w:val="CharSectno"/>
        </w:rPr>
        <w:t>120L</w:t>
      </w:r>
      <w:r>
        <w:t>.</w:t>
      </w:r>
      <w:r>
        <w:tab/>
        <w:t>Powers of investigation while on land or premises</w:t>
      </w:r>
      <w:bookmarkEnd w:id="226"/>
    </w:p>
    <w:p>
      <w:pPr>
        <w:pStyle w:val="Subsection"/>
      </w:pPr>
      <w:r>
        <w:tab/>
        <w:t>(1)</w:t>
      </w:r>
      <w:r>
        <w:tab/>
        <w:t>An investigator may exercise the powers under this section in relation to land or premises entered under section 120K for a royalty investigation purpose.</w:t>
      </w:r>
    </w:p>
    <w:p>
      <w:pPr>
        <w:pStyle w:val="Subsection"/>
      </w:pPr>
      <w:r>
        <w:tab/>
        <w:t>(2)</w:t>
      </w:r>
      <w:r>
        <w:tab/>
        <w:t xml:space="preserve">The investigator may, in relation to the land or premises — </w:t>
      </w:r>
    </w:p>
    <w:p>
      <w:pPr>
        <w:pStyle w:val="Indenta"/>
      </w:pPr>
      <w:r>
        <w:tab/>
        <w:t>(a)</w:t>
      </w:r>
      <w:r>
        <w:tab/>
        <w:t xml:space="preserve">inspect or examine — </w:t>
      </w:r>
    </w:p>
    <w:p>
      <w:pPr>
        <w:pStyle w:val="Indenti"/>
      </w:pPr>
      <w:r>
        <w:tab/>
        <w:t>(i)</w:t>
      </w:r>
      <w:r>
        <w:tab/>
        <w:t>any mining operations carried out on the land or premises; or</w:t>
      </w:r>
    </w:p>
    <w:p>
      <w:pPr>
        <w:pStyle w:val="Indenti"/>
      </w:pPr>
      <w:r>
        <w:lastRenderedPageBreak/>
        <w:tab/>
        <w:t>(ii)</w:t>
      </w:r>
      <w:r>
        <w:tab/>
        <w:t>any mining product or mineral in relation to which a royalty is or, in the investigator’s opinion, may be, payable;</w:t>
      </w:r>
    </w:p>
    <w:p>
      <w:pPr>
        <w:pStyle w:val="Indenta"/>
      </w:pPr>
      <w:r>
        <w:tab/>
      </w:r>
      <w:r>
        <w:tab/>
        <w:t>or</w:t>
      </w:r>
    </w:p>
    <w:p>
      <w:pPr>
        <w:pStyle w:val="Indenta"/>
      </w:pPr>
      <w:r>
        <w:tab/>
        <w:t>(b)</w:t>
      </w:r>
      <w:r>
        <w:tab/>
        <w:t>inspect or examine, and make copies of or take extracts from, any document or other record that, in the investigator’s opinion, relates to the mining operations, mining product or mineral mentioned in paragraph (a).</w:t>
      </w:r>
    </w:p>
    <w:p>
      <w:pPr>
        <w:pStyle w:val="Subsection"/>
      </w:pPr>
      <w:r>
        <w:tab/>
        <w:t>(3)</w:t>
      </w:r>
      <w:r>
        <w:tab/>
        <w:t>The investigator may require a person apparently in charge of the land or premises to provide the investigator with assistance and facilities reasonably necessary for effectively exercising the investigator’s powers.</w:t>
      </w:r>
    </w:p>
    <w:p>
      <w:pPr>
        <w:pStyle w:val="Subsection"/>
      </w:pPr>
      <w:r>
        <w:tab/>
        <w:t>(4)</w:t>
      </w:r>
      <w:r>
        <w:tab/>
        <w:t>A person must not, without reasonable excuse, fail to provide assistance or facilities required of the person under subsection (3).</w:t>
      </w:r>
    </w:p>
    <w:p>
      <w:pPr>
        <w:pStyle w:val="Penstart"/>
      </w:pPr>
      <w:r>
        <w:tab/>
        <w:t>Penalty for this subsection: a fine of $5 000.</w:t>
      </w:r>
    </w:p>
    <w:p>
      <w:pPr>
        <w:pStyle w:val="Footnotesection"/>
        <w:ind w:left="890" w:hanging="890"/>
      </w:pPr>
      <w:r>
        <w:tab/>
        <w:t>[Section 120L inserted: No. 7 of 2025 s. 11.]</w:t>
      </w:r>
    </w:p>
    <w:p>
      <w:pPr>
        <w:pStyle w:val="Heading5"/>
      </w:pPr>
      <w:bookmarkStart w:id="227" w:name="_Toc207116590"/>
      <w:r>
        <w:rPr>
          <w:rStyle w:val="CharSectno"/>
        </w:rPr>
        <w:t>120M</w:t>
      </w:r>
      <w:r>
        <w:t>.</w:t>
      </w:r>
      <w:r>
        <w:tab/>
        <w:t>Power to require person to provide information</w:t>
      </w:r>
      <w:bookmarkEnd w:id="227"/>
    </w:p>
    <w:p>
      <w:pPr>
        <w:pStyle w:val="Subsection"/>
      </w:pPr>
      <w:r>
        <w:tab/>
        <w:t>(1)</w:t>
      </w:r>
      <w:r>
        <w:tab/>
        <w:t xml:space="preserve">In this section — </w:t>
      </w:r>
    </w:p>
    <w:p>
      <w:pPr>
        <w:pStyle w:val="Defstart"/>
      </w:pPr>
      <w:r>
        <w:tab/>
      </w:r>
      <w:r>
        <w:rPr>
          <w:rStyle w:val="CharDefText"/>
        </w:rPr>
        <w:t>relevant information</w:t>
      </w:r>
      <w:r>
        <w:t xml:space="preserve"> means information related to — </w:t>
      </w:r>
    </w:p>
    <w:p>
      <w:pPr>
        <w:pStyle w:val="Defpara"/>
      </w:pPr>
      <w:r>
        <w:tab/>
        <w:t>(a)</w:t>
      </w:r>
      <w:r>
        <w:tab/>
        <w:t>a mining tenement or land the subject of an application for a mining tenement; or</w:t>
      </w:r>
    </w:p>
    <w:p>
      <w:pPr>
        <w:pStyle w:val="Defpara"/>
      </w:pPr>
      <w:r>
        <w:tab/>
        <w:t>(b)</w:t>
      </w:r>
      <w:r>
        <w:tab/>
        <w:t>mining operations; or</w:t>
      </w:r>
    </w:p>
    <w:p>
      <w:pPr>
        <w:pStyle w:val="Defpara"/>
      </w:pPr>
      <w:r>
        <w:tab/>
        <w:t>(c)</w:t>
      </w:r>
      <w:r>
        <w:tab/>
        <w:t>a mineral derived from mining operations.</w:t>
      </w:r>
    </w:p>
    <w:p>
      <w:pPr>
        <w:pStyle w:val="Subsection"/>
      </w:pPr>
      <w:r>
        <w:tab/>
        <w:t>(2)</w:t>
      </w:r>
      <w:r>
        <w:tab/>
        <w:t xml:space="preserve">An investigator may require a person to produce to the investigator relevant information in the person’s possession or control if, in the investigator’s opinion, the information is necessary for the purpose of — </w:t>
      </w:r>
    </w:p>
    <w:p>
      <w:pPr>
        <w:pStyle w:val="Indenta"/>
      </w:pPr>
      <w:r>
        <w:tab/>
        <w:t>(a)</w:t>
      </w:r>
      <w:r>
        <w:tab/>
        <w:t>ascertaining whether a royalty is payable in relation to a mining operation; or</w:t>
      </w:r>
    </w:p>
    <w:p>
      <w:pPr>
        <w:pStyle w:val="Indenta"/>
      </w:pPr>
      <w:r>
        <w:lastRenderedPageBreak/>
        <w:tab/>
        <w:t>(b)</w:t>
      </w:r>
      <w:r>
        <w:tab/>
        <w:t>determining the amount of a royalty payable for a mineral.</w:t>
      </w:r>
    </w:p>
    <w:p>
      <w:pPr>
        <w:pStyle w:val="Subsection"/>
      </w:pPr>
      <w:r>
        <w:tab/>
        <w:t>(3)</w:t>
      </w:r>
      <w:r>
        <w:tab/>
        <w:t xml:space="preserve">The requirement is made by giving the person a written notice that specifies — </w:t>
      </w:r>
    </w:p>
    <w:p>
      <w:pPr>
        <w:pStyle w:val="Indenta"/>
      </w:pPr>
      <w:r>
        <w:tab/>
        <w:t>(a)</w:t>
      </w:r>
      <w:r>
        <w:tab/>
        <w:t>the information to be produced; and</w:t>
      </w:r>
    </w:p>
    <w:p>
      <w:pPr>
        <w:pStyle w:val="Indenta"/>
      </w:pPr>
      <w:r>
        <w:tab/>
        <w:t>(b)</w:t>
      </w:r>
      <w:r>
        <w:tab/>
        <w:t>the time and place for the information to be produced.</w:t>
      </w:r>
    </w:p>
    <w:p>
      <w:pPr>
        <w:pStyle w:val="Subsection"/>
      </w:pPr>
      <w:r>
        <w:tab/>
        <w:t>(4)</w:t>
      </w:r>
      <w:r>
        <w:tab/>
        <w:t xml:space="preserve">Despite subsection (3), if an investigator has entered land or premises under section 120K, the notice under subsection (3) — </w:t>
      </w:r>
    </w:p>
    <w:p>
      <w:pPr>
        <w:pStyle w:val="Indenta"/>
      </w:pPr>
      <w:r>
        <w:tab/>
        <w:t>(a)</w:t>
      </w:r>
      <w:r>
        <w:tab/>
        <w:t>may be given orally; and</w:t>
      </w:r>
    </w:p>
    <w:p>
      <w:pPr>
        <w:pStyle w:val="Indenta"/>
      </w:pPr>
      <w:r>
        <w:tab/>
        <w:t>(b)</w:t>
      </w:r>
      <w:r>
        <w:tab/>
        <w:t>may require the information to be produced immediately to the investigator.</w:t>
      </w:r>
    </w:p>
    <w:p>
      <w:pPr>
        <w:pStyle w:val="Subsection"/>
      </w:pPr>
      <w:r>
        <w:tab/>
        <w:t>(5)</w:t>
      </w:r>
      <w:r>
        <w:tab/>
        <w:t>A person must comply with a requirement under this section within the time specified in the notice under subsection (3) or (4), or within any further time allowed by the investigator, unless the person has a reasonable excuse.</w:t>
      </w:r>
    </w:p>
    <w:p>
      <w:pPr>
        <w:pStyle w:val="Penstart"/>
      </w:pPr>
      <w:r>
        <w:tab/>
        <w:t>Penalty for this subsection: a fine of $5 000.</w:t>
      </w:r>
    </w:p>
    <w:p>
      <w:pPr>
        <w:pStyle w:val="Footnotesection"/>
        <w:ind w:left="890" w:hanging="890"/>
      </w:pPr>
      <w:r>
        <w:tab/>
        <w:t>[Section 120M inserted: No. 7 of 2025 s. 11.]</w:t>
      </w:r>
    </w:p>
    <w:p>
      <w:pPr>
        <w:pStyle w:val="Heading5"/>
      </w:pPr>
      <w:bookmarkStart w:id="228" w:name="_Toc207116591"/>
      <w:r>
        <w:rPr>
          <w:rStyle w:val="CharSectno"/>
        </w:rPr>
        <w:t>120N</w:t>
      </w:r>
      <w:r>
        <w:t>.</w:t>
      </w:r>
      <w:r>
        <w:tab/>
        <w:t>Obstruct or hinder investigator</w:t>
      </w:r>
      <w:bookmarkEnd w:id="228"/>
    </w:p>
    <w:p>
      <w:pPr>
        <w:pStyle w:val="Subsection"/>
      </w:pPr>
      <w:r>
        <w:tab/>
      </w:r>
      <w:r>
        <w:tab/>
        <w:t>A person must not, without reasonable excuse, obstruct or hinder an investigator exercising or attempting to exercise the investigator’s powers.</w:t>
      </w:r>
    </w:p>
    <w:p>
      <w:pPr>
        <w:pStyle w:val="Penstart"/>
      </w:pPr>
      <w:r>
        <w:tab/>
        <w:t>Penalty: a fine of $5 000.</w:t>
      </w:r>
    </w:p>
    <w:p>
      <w:pPr>
        <w:pStyle w:val="Footnotesection"/>
        <w:ind w:left="890" w:hanging="890"/>
      </w:pPr>
      <w:r>
        <w:tab/>
        <w:t>[Section 120N inserted: No. 7 of 2025 s. 11.]</w:t>
      </w:r>
    </w:p>
    <w:p>
      <w:pPr>
        <w:pStyle w:val="Heading5"/>
      </w:pPr>
      <w:bookmarkStart w:id="229" w:name="_Toc207116592"/>
      <w:r>
        <w:rPr>
          <w:rStyle w:val="CharSectno"/>
        </w:rPr>
        <w:t>120O</w:t>
      </w:r>
      <w:r>
        <w:t>.</w:t>
      </w:r>
      <w:r>
        <w:tab/>
        <w:t>False or misleading information</w:t>
      </w:r>
      <w:bookmarkEnd w:id="229"/>
    </w:p>
    <w:p>
      <w:pPr>
        <w:pStyle w:val="Subsection"/>
      </w:pPr>
      <w:r>
        <w:tab/>
      </w:r>
      <w:r>
        <w:tab/>
        <w:t>A person must not provide information relating to a royalty to the Minister or an investigator knowing it to be false or misleading in a material particular.</w:t>
      </w:r>
    </w:p>
    <w:p>
      <w:pPr>
        <w:pStyle w:val="Penstart"/>
      </w:pPr>
      <w:r>
        <w:tab/>
        <w:t>Penalty: a fine of $5 000.</w:t>
      </w:r>
    </w:p>
    <w:p>
      <w:pPr>
        <w:pStyle w:val="Footnotesection"/>
        <w:ind w:left="890" w:hanging="890"/>
      </w:pPr>
      <w:r>
        <w:tab/>
        <w:t>[Section 120O inserted: No. 7 of 2025 s. 11.]</w:t>
      </w:r>
    </w:p>
    <w:p>
      <w:pPr>
        <w:pStyle w:val="Heading5"/>
      </w:pPr>
      <w:bookmarkStart w:id="230" w:name="_Toc207116593"/>
      <w:r>
        <w:rPr>
          <w:rStyle w:val="CharSectno"/>
        </w:rPr>
        <w:lastRenderedPageBreak/>
        <w:t>120P</w:t>
      </w:r>
      <w:r>
        <w:t>.</w:t>
      </w:r>
      <w:r>
        <w:tab/>
        <w:t>Royalty penalty following conviction</w:t>
      </w:r>
      <w:bookmarkEnd w:id="230"/>
    </w:p>
    <w:p>
      <w:pPr>
        <w:pStyle w:val="Subsection"/>
      </w:pPr>
      <w:r>
        <w:tab/>
        <w:t>(1)</w:t>
      </w:r>
      <w:r>
        <w:tab/>
        <w:t xml:space="preserve">This section applies if a royalty payer is convicted of an offence against section 120L(4), 120M(5), 120N or 120O in relation to — </w:t>
      </w:r>
    </w:p>
    <w:p>
      <w:pPr>
        <w:pStyle w:val="Indenta"/>
      </w:pPr>
      <w:r>
        <w:tab/>
        <w:t>(a)</w:t>
      </w:r>
      <w:r>
        <w:tab/>
        <w:t xml:space="preserve">a mining tenement of which the royalty payer is a holder; or </w:t>
      </w:r>
    </w:p>
    <w:p>
      <w:pPr>
        <w:pStyle w:val="Indenta"/>
      </w:pPr>
      <w:r>
        <w:tab/>
        <w:t>(b)</w:t>
      </w:r>
      <w:r>
        <w:tab/>
        <w:t>land the subject of an application for a mining tenement for which the royalty payer is an applicant.</w:t>
      </w:r>
    </w:p>
    <w:p>
      <w:pPr>
        <w:pStyle w:val="Subsection"/>
      </w:pPr>
      <w:r>
        <w:tab/>
        <w:t>(2)</w:t>
      </w:r>
      <w:r>
        <w:tab/>
        <w:t>The Minister may, taking into account the information available to the Minister, estimate the amount of royalty that would have been payable for a mineral obtained from the mining tenement or land if the contravention giving rise to the conviction had not occurred.</w:t>
      </w:r>
    </w:p>
    <w:p>
      <w:pPr>
        <w:pStyle w:val="Subsection"/>
      </w:pPr>
      <w:r>
        <w:tab/>
        <w:t>(3)</w:t>
      </w:r>
      <w:r>
        <w:tab/>
        <w:t>The Minister may decide that the royalty payer is liable to pay a penalty of an amount, not more than 50% of the estimated amount of the royalty, decided by the Minister.</w:t>
      </w:r>
    </w:p>
    <w:p>
      <w:pPr>
        <w:pStyle w:val="Subsection"/>
      </w:pPr>
      <w:r>
        <w:tab/>
        <w:t>(4)</w:t>
      </w:r>
      <w:r>
        <w:tab/>
        <w:t xml:space="preserve">The Minister must give the royalty payer a notice about the estimate of royalty that states the following — </w:t>
      </w:r>
    </w:p>
    <w:p>
      <w:pPr>
        <w:pStyle w:val="Indenta"/>
      </w:pPr>
      <w:r>
        <w:tab/>
        <w:t>(a)</w:t>
      </w:r>
      <w:r>
        <w:tab/>
        <w:t>the amount of royalty the Minister estimates is payable;</w:t>
      </w:r>
    </w:p>
    <w:p>
      <w:pPr>
        <w:pStyle w:val="Indenta"/>
      </w:pPr>
      <w:r>
        <w:tab/>
        <w:t>(b)</w:t>
      </w:r>
      <w:r>
        <w:tab/>
        <w:t xml:space="preserve">if an amount of the royalty has been paid — whether the amount estimated is more or less than the amount paid; </w:t>
      </w:r>
    </w:p>
    <w:p>
      <w:pPr>
        <w:pStyle w:val="Indenta"/>
      </w:pPr>
      <w:r>
        <w:tab/>
        <w:t>(c)</w:t>
      </w:r>
      <w:r>
        <w:tab/>
        <w:t>if an amount of the royalty remains unpaid — the amount that remains unpaid and that the royalty payer is liable to pay the amount;</w:t>
      </w:r>
    </w:p>
    <w:p>
      <w:pPr>
        <w:pStyle w:val="Indenta"/>
      </w:pPr>
      <w:r>
        <w:tab/>
        <w:t>(d)</w:t>
      </w:r>
      <w:r>
        <w:tab/>
        <w:t>if an amount of the royalty has been overpaid — the amount of the overpayment and that the overpaid amount will be paid or credited to the royalty payer;</w:t>
      </w:r>
    </w:p>
    <w:p>
      <w:pPr>
        <w:pStyle w:val="Indenta"/>
      </w:pPr>
      <w:r>
        <w:tab/>
        <w:t>(e)</w:t>
      </w:r>
      <w:r>
        <w:tab/>
        <w:t>if the Minister decided under subsection (3) that the royalty payer is liable to pay a penalty — that fact and the amount of the penalty payable;</w:t>
      </w:r>
    </w:p>
    <w:p>
      <w:pPr>
        <w:pStyle w:val="Indenta"/>
      </w:pPr>
      <w:r>
        <w:lastRenderedPageBreak/>
        <w:tab/>
        <w:t>(f)</w:t>
      </w:r>
      <w:r>
        <w:tab/>
        <w:t>if the royalty payer is liable to pay an amount mentioned in paragraph (c) or (e) — the day by which the amount must be paid.</w:t>
      </w:r>
    </w:p>
    <w:p>
      <w:pPr>
        <w:pStyle w:val="Footnotesection"/>
        <w:ind w:left="890" w:hanging="890"/>
      </w:pPr>
      <w:r>
        <w:tab/>
        <w:t>[Section 120P inserted: No. 7 of 2025 s. 11.]</w:t>
      </w:r>
    </w:p>
    <w:p>
      <w:pPr>
        <w:pStyle w:val="Heading5"/>
      </w:pPr>
      <w:bookmarkStart w:id="231" w:name="_Toc207116594"/>
      <w:r>
        <w:rPr>
          <w:rStyle w:val="CharSectno"/>
        </w:rPr>
        <w:t>120Q</w:t>
      </w:r>
      <w:r>
        <w:t>.</w:t>
      </w:r>
      <w:r>
        <w:tab/>
        <w:t>Consequences of failure to pay royalty penalty</w:t>
      </w:r>
      <w:bookmarkEnd w:id="231"/>
    </w:p>
    <w:p>
      <w:pPr>
        <w:pStyle w:val="Subsection"/>
      </w:pPr>
      <w:r>
        <w:tab/>
        <w:t>(1)</w:t>
      </w:r>
      <w:r>
        <w:tab/>
        <w:t>This section applies if the Minister gives a royalty payer a notice under section 120P(4) that states the royalty payer is liable to pay an amount by a specified day and the royalty payer fails to pay the amount as required.</w:t>
      </w:r>
    </w:p>
    <w:p>
      <w:pPr>
        <w:pStyle w:val="Subsection"/>
      </w:pPr>
      <w:r>
        <w:tab/>
        <w:t>(2)</w:t>
      </w:r>
      <w:r>
        <w:tab/>
        <w:t xml:space="preserve">The royalty payer’s failure to pay the amount is taken to be — </w:t>
      </w:r>
    </w:p>
    <w:p>
      <w:pPr>
        <w:pStyle w:val="Indenta"/>
      </w:pPr>
      <w:r>
        <w:tab/>
        <w:t>(a)</w:t>
      </w:r>
      <w:r>
        <w:tab/>
        <w:t>in the case of a mining tenement — a breach of a covenant under the mining tenement for the royalty payer to pay royalty in respect of the tenement that is sufficient grounds for the tenement to be forfeited; or</w:t>
      </w:r>
    </w:p>
    <w:p>
      <w:pPr>
        <w:pStyle w:val="Indenta"/>
      </w:pPr>
      <w:r>
        <w:tab/>
        <w:t>(b)</w:t>
      </w:r>
      <w:r>
        <w:tab/>
        <w:t>in the case of an application for a mining tenement — reasonable grounds in the public interest that the application should not be granted for the purposes of section 111A.</w:t>
      </w:r>
    </w:p>
    <w:p>
      <w:pPr>
        <w:pStyle w:val="Footnotesection"/>
        <w:ind w:left="890" w:hanging="890"/>
      </w:pPr>
      <w:r>
        <w:tab/>
        <w:t>[Section 120Q inserted: No. 7 of 2025 s. 11.]</w:t>
      </w:r>
    </w:p>
    <w:p>
      <w:pPr>
        <w:pStyle w:val="Heading3"/>
      </w:pPr>
      <w:bookmarkStart w:id="232" w:name="_Toc207116595"/>
      <w:r>
        <w:rPr>
          <w:rStyle w:val="CharDivNo"/>
        </w:rPr>
        <w:t>Division 4</w:t>
      </w:r>
      <w:r>
        <w:t> — </w:t>
      </w:r>
      <w:r>
        <w:rPr>
          <w:rStyle w:val="CharDivText"/>
        </w:rPr>
        <w:t>General</w:t>
      </w:r>
      <w:bookmarkEnd w:id="232"/>
    </w:p>
    <w:p>
      <w:pPr>
        <w:pStyle w:val="Footnoteheading"/>
      </w:pPr>
      <w:r>
        <w:tab/>
        <w:t>[Heading inserted: No. 7 of 2025 s. 11.]</w:t>
      </w:r>
    </w:p>
    <w:p>
      <w:pPr>
        <w:pStyle w:val="Heading5"/>
      </w:pPr>
      <w:bookmarkStart w:id="233" w:name="_Toc207116596"/>
      <w:r>
        <w:rPr>
          <w:rStyle w:val="CharSectno"/>
        </w:rPr>
        <w:t>120R</w:t>
      </w:r>
      <w:r>
        <w:t>.</w:t>
      </w:r>
      <w:r>
        <w:tab/>
        <w:t>Disclosure and use of royalty information</w:t>
      </w:r>
      <w:bookmarkEnd w:id="233"/>
    </w:p>
    <w:p>
      <w:pPr>
        <w:pStyle w:val="Subsection"/>
      </w:pPr>
      <w:r>
        <w:tab/>
        <w:t>(1)</w:t>
      </w:r>
      <w:r>
        <w:tab/>
        <w:t xml:space="preserve">In this section — </w:t>
      </w:r>
    </w:p>
    <w:p>
      <w:pPr>
        <w:pStyle w:val="Defstart"/>
      </w:pPr>
      <w:r>
        <w:tab/>
      </w:r>
      <w:r>
        <w:rPr>
          <w:rStyle w:val="CharDefText"/>
        </w:rPr>
        <w:t>disclose</w:t>
      </w:r>
      <w:r>
        <w:t xml:space="preserve"> includes give and give access to;</w:t>
      </w:r>
    </w:p>
    <w:p>
      <w:pPr>
        <w:pStyle w:val="Defstart"/>
      </w:pPr>
      <w:r>
        <w:tab/>
      </w:r>
      <w:r>
        <w:rPr>
          <w:rStyle w:val="CharDefText"/>
        </w:rPr>
        <w:t>royalties information</w:t>
      </w:r>
      <w:r>
        <w:t xml:space="preserve"> means information — </w:t>
      </w:r>
    </w:p>
    <w:p>
      <w:pPr>
        <w:pStyle w:val="Defpara"/>
      </w:pPr>
      <w:r>
        <w:tab/>
        <w:t>(a)</w:t>
      </w:r>
      <w:r>
        <w:tab/>
        <w:t>obtained in, or in connection with, the administration or collection of royalties for minerals; or</w:t>
      </w:r>
    </w:p>
    <w:p>
      <w:pPr>
        <w:pStyle w:val="Defpara"/>
      </w:pPr>
      <w:r>
        <w:tab/>
        <w:t>(b)</w:t>
      </w:r>
      <w:r>
        <w:tab/>
        <w:t xml:space="preserve">that is otherwise relevant to the administration or collection of royalties for minerals and is obtained in, or </w:t>
      </w:r>
      <w:r>
        <w:lastRenderedPageBreak/>
        <w:t>in connection with, performing a function under this Act.</w:t>
      </w:r>
    </w:p>
    <w:p>
      <w:pPr>
        <w:pStyle w:val="Subsection"/>
      </w:pPr>
      <w:r>
        <w:tab/>
        <w:t>(2)</w:t>
      </w:r>
      <w:r>
        <w:tab/>
        <w:t xml:space="preserve">A person who obtains royalties information because of the person’s office, position, employment or engagement under or for the purposes of this Act may record, disclose or use the information — </w:t>
      </w:r>
    </w:p>
    <w:p>
      <w:pPr>
        <w:pStyle w:val="Indenta"/>
      </w:pPr>
      <w:r>
        <w:tab/>
        <w:t>(a)</w:t>
      </w:r>
      <w:r>
        <w:tab/>
        <w:t>for the purpose of, or in connection with, the person, or another person, performing a function under this Act; or</w:t>
      </w:r>
    </w:p>
    <w:p>
      <w:pPr>
        <w:pStyle w:val="Indenta"/>
      </w:pPr>
      <w:r>
        <w:tab/>
        <w:t>(b)</w:t>
      </w:r>
      <w:r>
        <w:tab/>
        <w:t xml:space="preserve">as permitted or required by — </w:t>
      </w:r>
    </w:p>
    <w:p>
      <w:pPr>
        <w:pStyle w:val="Indenti"/>
      </w:pPr>
      <w:r>
        <w:tab/>
        <w:t>(i)</w:t>
      </w:r>
      <w:r>
        <w:tab/>
        <w:t>regulations made under section 162(2)(x) or otherwise by this Act; or</w:t>
      </w:r>
    </w:p>
    <w:p>
      <w:pPr>
        <w:pStyle w:val="Indenti"/>
      </w:pPr>
      <w:r>
        <w:tab/>
        <w:t>(ii)</w:t>
      </w:r>
      <w:r>
        <w:tab/>
        <w:t xml:space="preserve">another law that specifically or by necessary implication overrides the duty of confidentiality imposed by this section; </w:t>
      </w:r>
    </w:p>
    <w:p>
      <w:pPr>
        <w:pStyle w:val="Indenta"/>
      </w:pPr>
      <w:r>
        <w:tab/>
      </w:r>
      <w:r>
        <w:tab/>
        <w:t>or</w:t>
      </w:r>
    </w:p>
    <w:p>
      <w:pPr>
        <w:pStyle w:val="Indenta"/>
      </w:pPr>
      <w:r>
        <w:tab/>
        <w:t>(c)</w:t>
      </w:r>
      <w:r>
        <w:tab/>
        <w:t>for the purposes of legal proceedings arising out of the administration of this Act to which the person whose affairs the information relates is a party; or</w:t>
      </w:r>
    </w:p>
    <w:p>
      <w:pPr>
        <w:pStyle w:val="Indenta"/>
      </w:pPr>
      <w:r>
        <w:tab/>
        <w:t>(d)</w:t>
      </w:r>
      <w:r>
        <w:tab/>
        <w:t>with the written consent of the person to whom the information relates.</w:t>
      </w:r>
    </w:p>
    <w:p>
      <w:pPr>
        <w:pStyle w:val="Subsection"/>
      </w:pPr>
      <w:r>
        <w:tab/>
        <w:t>(3)</w:t>
      </w:r>
      <w:r>
        <w:tab/>
        <w:t xml:space="preserve">A person to whom royalties information is disclosed under subsection (2) may record, disclose or use the information — </w:t>
      </w:r>
    </w:p>
    <w:p>
      <w:pPr>
        <w:pStyle w:val="Indenta"/>
      </w:pPr>
      <w:r>
        <w:tab/>
        <w:t>(a)</w:t>
      </w:r>
      <w:r>
        <w:tab/>
        <w:t>if the information is disclosed to the person for the purpose of, or in connection with, performing a function under this Act — also in accordance with subsection (2); or</w:t>
      </w:r>
    </w:p>
    <w:p>
      <w:pPr>
        <w:pStyle w:val="Indenta"/>
      </w:pPr>
      <w:r>
        <w:tab/>
        <w:t>(b)</w:t>
      </w:r>
      <w:r>
        <w:tab/>
        <w:t>otherwise — for the purpose for which the information was disclosed.</w:t>
      </w:r>
    </w:p>
    <w:p>
      <w:pPr>
        <w:pStyle w:val="Subsection"/>
      </w:pPr>
      <w:r>
        <w:tab/>
        <w:t>(4)</w:t>
      </w:r>
      <w:r>
        <w:tab/>
        <w:t>Subsection (2) authorises a person to disclose royalties information to the Minister or another Minister.</w:t>
      </w:r>
    </w:p>
    <w:p>
      <w:pPr>
        <w:pStyle w:val="Subsection"/>
      </w:pPr>
      <w:r>
        <w:tab/>
        <w:t>(5)</w:t>
      </w:r>
      <w:r>
        <w:tab/>
        <w:t xml:space="preserve">A person mentioned in subsection (2) or (3) commits an offence if the person, directly or indirectly, records, discloses or uses </w:t>
      </w:r>
      <w:r>
        <w:lastRenderedPageBreak/>
        <w:t>royalties information in a way that is not authorised under those subsections.</w:t>
      </w:r>
    </w:p>
    <w:p>
      <w:pPr>
        <w:pStyle w:val="Penstart"/>
      </w:pPr>
      <w:r>
        <w:tab/>
        <w:t>Penalty for this subsection: a fine of $10 000.</w:t>
      </w:r>
    </w:p>
    <w:p>
      <w:pPr>
        <w:pStyle w:val="Subsection"/>
      </w:pPr>
      <w:r>
        <w:tab/>
        <w:t>(6)</w:t>
      </w:r>
      <w:r>
        <w:tab/>
        <w:t>This section does not limit the disclosure or use of statistical or summary information if the identity of a particular person or mining operation cannot reasonably be ascertained from the information.</w:t>
      </w:r>
    </w:p>
    <w:p>
      <w:pPr>
        <w:pStyle w:val="Footnotesection"/>
        <w:ind w:left="890" w:hanging="890"/>
      </w:pPr>
      <w:r>
        <w:tab/>
        <w:t>[Section 120R inserted: No. 7 of 2025 s. 11.]</w:t>
      </w:r>
    </w:p>
    <w:p>
      <w:pPr>
        <w:pStyle w:val="Heading5"/>
      </w:pPr>
      <w:bookmarkStart w:id="234" w:name="_Toc207116597"/>
      <w:r>
        <w:rPr>
          <w:rStyle w:val="CharSectno"/>
        </w:rPr>
        <w:t>120S</w:t>
      </w:r>
      <w:r>
        <w:t>.</w:t>
      </w:r>
      <w:r>
        <w:tab/>
        <w:t>Time limit for prosecution action</w:t>
      </w:r>
      <w:bookmarkEnd w:id="234"/>
    </w:p>
    <w:p>
      <w:pPr>
        <w:pStyle w:val="Subsection"/>
      </w:pPr>
      <w:r>
        <w:tab/>
        <w:t>(1)</w:t>
      </w:r>
      <w:r>
        <w:tab/>
        <w:t xml:space="preserve">This section applies in relation to an offence against this Part of — </w:t>
      </w:r>
    </w:p>
    <w:p>
      <w:pPr>
        <w:pStyle w:val="Indenta"/>
      </w:pPr>
      <w:r>
        <w:tab/>
        <w:t>(a)</w:t>
      </w:r>
      <w:r>
        <w:tab/>
        <w:t>failing to provide information relevant to the assessment of a royalty; or</w:t>
      </w:r>
    </w:p>
    <w:p>
      <w:pPr>
        <w:pStyle w:val="Indenta"/>
      </w:pPr>
      <w:r>
        <w:tab/>
        <w:t>(b)</w:t>
      </w:r>
      <w:r>
        <w:tab/>
        <w:t>failing to pay a royalty.</w:t>
      </w:r>
    </w:p>
    <w:p>
      <w:pPr>
        <w:pStyle w:val="Subsection"/>
        <w:rPr>
          <w:snapToGrid w:val="0"/>
        </w:rPr>
      </w:pPr>
      <w:r>
        <w:tab/>
        <w:t>(2)</w:t>
      </w:r>
      <w:r>
        <w:tab/>
        <w:t xml:space="preserve">Despite section 160B, a prosecution </w:t>
      </w:r>
      <w:r>
        <w:rPr>
          <w:snapToGrid w:val="0"/>
        </w:rPr>
        <w:t>for the offence may, with the consent of the Minister, be commenced more than 3 years after the day on which the offence is alleged to have been committed.</w:t>
      </w:r>
    </w:p>
    <w:p>
      <w:pPr>
        <w:pStyle w:val="Footnotesection"/>
        <w:ind w:left="890" w:hanging="890"/>
      </w:pPr>
      <w:r>
        <w:tab/>
        <w:t>[Section 120S inserted: No. 7 of 2025 s. 11.]</w:t>
      </w:r>
    </w:p>
    <w:p>
      <w:pPr>
        <w:pStyle w:val="Heading5"/>
      </w:pPr>
      <w:bookmarkStart w:id="235" w:name="_Toc207116598"/>
      <w:r>
        <w:rPr>
          <w:rStyle w:val="CharSectno"/>
        </w:rPr>
        <w:t>120T</w:t>
      </w:r>
      <w:r>
        <w:t>.</w:t>
      </w:r>
      <w:r>
        <w:tab/>
        <w:t>Recovery of unpaid royalty</w:t>
      </w:r>
      <w:bookmarkEnd w:id="235"/>
    </w:p>
    <w:p>
      <w:pPr>
        <w:pStyle w:val="Subsection"/>
      </w:pPr>
      <w:r>
        <w:tab/>
        <w:t>(1)</w:t>
      </w:r>
      <w:r>
        <w:tab/>
        <w:t>An amount of unpaid royalty is a debt due to the State that may be recovered by action in a court of competent jurisdiction.</w:t>
      </w:r>
    </w:p>
    <w:p>
      <w:pPr>
        <w:pStyle w:val="Subsection"/>
      </w:pPr>
      <w:r>
        <w:tab/>
        <w:t>(2)</w:t>
      </w:r>
      <w:r>
        <w:tab/>
        <w:t>The Minister may appoint a person to represent the State in court proceedings for the recovery of unpaid royalty.</w:t>
      </w:r>
    </w:p>
    <w:p>
      <w:pPr>
        <w:pStyle w:val="Subsection"/>
      </w:pPr>
      <w:r>
        <w:tab/>
        <w:t>(3)</w:t>
      </w:r>
      <w:r>
        <w:tab/>
        <w:t>An appointed representative may represent the Minister in accordance with the appointment.</w:t>
      </w:r>
    </w:p>
    <w:p>
      <w:pPr>
        <w:pStyle w:val="Footnotesection"/>
        <w:ind w:left="890" w:hanging="890"/>
      </w:pPr>
      <w:r>
        <w:tab/>
        <w:t>[Section 120T inserted: No. 7 of 2025 s. 11.]</w:t>
      </w:r>
    </w:p>
    <w:p>
      <w:pPr>
        <w:pStyle w:val="Heading2"/>
      </w:pPr>
      <w:bookmarkStart w:id="236" w:name="_Toc207116599"/>
      <w:r>
        <w:rPr>
          <w:rStyle w:val="CharPartNo"/>
        </w:rPr>
        <w:lastRenderedPageBreak/>
        <w:t>Part VI</w:t>
      </w:r>
      <w:r>
        <w:rPr>
          <w:rStyle w:val="CharDivNo"/>
        </w:rPr>
        <w:t> </w:t>
      </w:r>
      <w:r>
        <w:t>—</w:t>
      </w:r>
      <w:r>
        <w:rPr>
          <w:rStyle w:val="CharDivText"/>
        </w:rPr>
        <w:t> </w:t>
      </w:r>
      <w:r>
        <w:rPr>
          <w:rStyle w:val="CharPartText"/>
        </w:rPr>
        <w:t>Caveats</w:t>
      </w:r>
      <w:bookmarkEnd w:id="236"/>
    </w:p>
    <w:p>
      <w:pPr>
        <w:pStyle w:val="Footnoteheading"/>
        <w:rPr>
          <w:snapToGrid w:val="0"/>
        </w:rPr>
      </w:pPr>
      <w:r>
        <w:rPr>
          <w:snapToGrid w:val="0"/>
        </w:rPr>
        <w:tab/>
        <w:t>[Heading inserted: No. 54 of 1996 s. 18.]</w:t>
      </w:r>
    </w:p>
    <w:p>
      <w:pPr>
        <w:pStyle w:val="Heading5"/>
        <w:spacing w:before="260"/>
        <w:rPr>
          <w:snapToGrid w:val="0"/>
        </w:rPr>
      </w:pPr>
      <w:bookmarkStart w:id="237" w:name="_Toc207116600"/>
      <w:r>
        <w:rPr>
          <w:rStyle w:val="CharSectno"/>
        </w:rPr>
        <w:t>121</w:t>
      </w:r>
      <w:r>
        <w:rPr>
          <w:snapToGrid w:val="0"/>
        </w:rPr>
        <w:t>.</w:t>
      </w:r>
      <w:r>
        <w:rPr>
          <w:snapToGrid w:val="0"/>
        </w:rPr>
        <w:tab/>
        <w:t>Terms used</w:t>
      </w:r>
      <w:bookmarkEnd w:id="237"/>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238" w:name="_Toc207116601"/>
      <w:r>
        <w:rPr>
          <w:snapToGrid w:val="0"/>
        </w:rPr>
        <w:t>122.</w:t>
      </w:r>
      <w:r>
        <w:rPr>
          <w:snapToGrid w:val="0"/>
        </w:rPr>
        <w:tab/>
        <w:t>Certain surrenders not affected by this Part</w:t>
      </w:r>
      <w:bookmarkEnd w:id="238"/>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239" w:name="_Toc207116602"/>
      <w:r>
        <w:rPr>
          <w:rStyle w:val="CharSectno"/>
        </w:rPr>
        <w:lastRenderedPageBreak/>
        <w:t>122A</w:t>
      </w:r>
      <w:r>
        <w:rPr>
          <w:snapToGrid w:val="0"/>
        </w:rPr>
        <w:t>.</w:t>
      </w:r>
      <w:r>
        <w:rPr>
          <w:snapToGrid w:val="0"/>
        </w:rPr>
        <w:tab/>
        <w:t>Lodgment of caveats</w:t>
      </w:r>
      <w:bookmarkEnd w:id="239"/>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lastRenderedPageBreak/>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240" w:name="_Toc207116603"/>
      <w:r>
        <w:rPr>
          <w:rStyle w:val="CharSectno"/>
        </w:rPr>
        <w:t>122B</w:t>
      </w:r>
      <w:r>
        <w:rPr>
          <w:snapToGrid w:val="0"/>
        </w:rPr>
        <w:t>.</w:t>
      </w:r>
      <w:r>
        <w:rPr>
          <w:snapToGrid w:val="0"/>
        </w:rPr>
        <w:tab/>
        <w:t>Provisional lodgment</w:t>
      </w:r>
      <w:bookmarkEnd w:id="240"/>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lastRenderedPageBreak/>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241" w:name="_Toc207116604"/>
      <w:r>
        <w:rPr>
          <w:rStyle w:val="CharSectno"/>
        </w:rPr>
        <w:t>122C</w:t>
      </w:r>
      <w:r>
        <w:rPr>
          <w:snapToGrid w:val="0"/>
        </w:rPr>
        <w:t>.</w:t>
      </w:r>
      <w:r>
        <w:rPr>
          <w:snapToGrid w:val="0"/>
        </w:rPr>
        <w:tab/>
        <w:t>Caveats deemed to be lodged against later tenements</w:t>
      </w:r>
      <w:bookmarkEnd w:id="241"/>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242" w:name="_Toc207116605"/>
      <w:r>
        <w:rPr>
          <w:rStyle w:val="CharSectno"/>
        </w:rPr>
        <w:t>122D</w:t>
      </w:r>
      <w:r>
        <w:rPr>
          <w:snapToGrid w:val="0"/>
        </w:rPr>
        <w:t>.</w:t>
      </w:r>
      <w:r>
        <w:rPr>
          <w:snapToGrid w:val="0"/>
        </w:rPr>
        <w:tab/>
        <w:t>Effect of caveat</w:t>
      </w:r>
      <w:bookmarkEnd w:id="242"/>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lastRenderedPageBreak/>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243" w:name="_Toc207116606"/>
      <w:r>
        <w:rPr>
          <w:rStyle w:val="CharSectno"/>
        </w:rPr>
        <w:t>122E</w:t>
      </w:r>
      <w:r>
        <w:rPr>
          <w:snapToGrid w:val="0"/>
        </w:rPr>
        <w:t>.</w:t>
      </w:r>
      <w:r>
        <w:rPr>
          <w:snapToGrid w:val="0"/>
        </w:rPr>
        <w:tab/>
        <w:t>Duration of caveat</w:t>
      </w:r>
      <w:bookmarkEnd w:id="243"/>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lastRenderedPageBreak/>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244" w:name="_Toc207116607"/>
      <w:r>
        <w:rPr>
          <w:rStyle w:val="CharPartNo"/>
        </w:rPr>
        <w:lastRenderedPageBreak/>
        <w:t>Part VII</w:t>
      </w:r>
      <w:r>
        <w:rPr>
          <w:rStyle w:val="CharDivNo"/>
        </w:rPr>
        <w:t> </w:t>
      </w:r>
      <w:r>
        <w:t>—</w:t>
      </w:r>
      <w:r>
        <w:rPr>
          <w:rStyle w:val="CharDivText"/>
        </w:rPr>
        <w:t> </w:t>
      </w:r>
      <w:r>
        <w:rPr>
          <w:rStyle w:val="CharPartText"/>
        </w:rPr>
        <w:t>Compensation</w:t>
      </w:r>
      <w:bookmarkEnd w:id="244"/>
    </w:p>
    <w:p>
      <w:pPr>
        <w:pStyle w:val="Heading5"/>
        <w:rPr>
          <w:snapToGrid w:val="0"/>
        </w:rPr>
      </w:pPr>
      <w:bookmarkStart w:id="245" w:name="_Toc207116608"/>
      <w:r>
        <w:rPr>
          <w:rStyle w:val="CharSectno"/>
        </w:rPr>
        <w:t>123</w:t>
      </w:r>
      <w:r>
        <w:rPr>
          <w:snapToGrid w:val="0"/>
        </w:rPr>
        <w:t>.</w:t>
      </w:r>
      <w:r>
        <w:rPr>
          <w:snapToGrid w:val="0"/>
        </w:rPr>
        <w:tab/>
        <w:t>Compensation in respect of mining</w:t>
      </w:r>
      <w:bookmarkEnd w:id="245"/>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lastRenderedPageBreak/>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 xml:space="preserve">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w:t>
      </w:r>
      <w:r>
        <w:rPr>
          <w:snapToGrid w:val="0"/>
        </w:rPr>
        <w:lastRenderedPageBreak/>
        <w:t>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pPr>
      <w:r>
        <w:rPr>
          <w:snapToGrid w:val="0"/>
        </w:rPr>
        <w:tab/>
        <w:t>(a)</w:t>
      </w:r>
      <w:r>
        <w:rPr>
          <w:snapToGrid w:val="0"/>
        </w:rPr>
        <w:tab/>
        <w:t xml:space="preserve">which is leased to </w:t>
      </w:r>
      <w:r>
        <w:t xml:space="preserve">or held by that person under a pastoral lease or </w:t>
      </w:r>
      <w:r>
        <w:rPr>
          <w:snapToGrid w:val="0"/>
        </w:rPr>
        <w:t xml:space="preserve">a lease or concession otherwise granted by or on </w:t>
      </w:r>
      <w:r>
        <w:rPr>
          <w:snapToGrid w:val="0"/>
        </w:rPr>
        <w:lastRenderedPageBreak/>
        <w:t xml:space="preserve">behalf of the Crown for grazing purposes only </w:t>
      </w:r>
      <w:r>
        <w:t>or a diversification lease</w:t>
      </w:r>
      <w:r>
        <w:rPr>
          <w:snapToGrid w:val="0"/>
        </w:rPr>
        <w:t xml:space="preserve">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 No. 4 of 2023 s. 135.]</w:t>
      </w:r>
    </w:p>
    <w:p>
      <w:pPr>
        <w:pStyle w:val="Heading5"/>
        <w:rPr>
          <w:snapToGrid w:val="0"/>
        </w:rPr>
      </w:pPr>
      <w:bookmarkStart w:id="246" w:name="_Toc207116609"/>
      <w:r>
        <w:rPr>
          <w:rStyle w:val="CharSectno"/>
        </w:rPr>
        <w:lastRenderedPageBreak/>
        <w:t>124</w:t>
      </w:r>
      <w:r>
        <w:rPr>
          <w:snapToGrid w:val="0"/>
        </w:rPr>
        <w:t>.</w:t>
      </w:r>
      <w:r>
        <w:rPr>
          <w:snapToGrid w:val="0"/>
        </w:rPr>
        <w:tab/>
        <w:t>Matters to be considered by warden’s court in relation to compensation</w:t>
      </w:r>
      <w:bookmarkEnd w:id="246"/>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lastRenderedPageBreak/>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247" w:name="_Toc207116610"/>
      <w:r>
        <w:rPr>
          <w:rStyle w:val="CharSectno"/>
        </w:rPr>
        <w:t>125</w:t>
      </w:r>
      <w:r>
        <w:rPr>
          <w:snapToGrid w:val="0"/>
        </w:rPr>
        <w:t>.</w:t>
      </w:r>
      <w:r>
        <w:rPr>
          <w:snapToGrid w:val="0"/>
        </w:rPr>
        <w:tab/>
        <w:t>Limitation on compensation</w:t>
      </w:r>
      <w:bookmarkEnd w:id="247"/>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248" w:name="_Toc207116611"/>
      <w:r>
        <w:rPr>
          <w:rStyle w:val="CharSectno"/>
        </w:rPr>
        <w:t>125A</w:t>
      </w:r>
      <w:r>
        <w:rPr>
          <w:snapToGrid w:val="0"/>
        </w:rPr>
        <w:t>.</w:t>
      </w:r>
      <w:r>
        <w:rPr>
          <w:snapToGrid w:val="0"/>
        </w:rPr>
        <w:tab/>
        <w:t>Liability for payment of compensation to native title holders</w:t>
      </w:r>
      <w:bookmarkEnd w:id="248"/>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 xml:space="preserve">If, at the relevant time, there is no holder of the mining tenement because the mining tenement has been surrendered or forfeited or has expired, a reference in subsection (1) to the </w:t>
      </w:r>
      <w:r>
        <w:lastRenderedPageBreak/>
        <w:t>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249" w:name="_Toc207116612"/>
      <w:r>
        <w:rPr>
          <w:rStyle w:val="CharSectno"/>
        </w:rPr>
        <w:t>126</w:t>
      </w:r>
      <w:r>
        <w:rPr>
          <w:snapToGrid w:val="0"/>
        </w:rPr>
        <w:t>.</w:t>
      </w:r>
      <w:r>
        <w:rPr>
          <w:snapToGrid w:val="0"/>
        </w:rPr>
        <w:tab/>
        <w:t>Securities</w:t>
      </w:r>
      <w:bookmarkEnd w:id="249"/>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lastRenderedPageBreak/>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lastRenderedPageBreak/>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250" w:name="_Toc207116613"/>
      <w:r>
        <w:rPr>
          <w:rStyle w:val="CharPartNo"/>
        </w:rPr>
        <w:lastRenderedPageBreak/>
        <w:t>Part VIII</w:t>
      </w:r>
      <w:r>
        <w:rPr>
          <w:rStyle w:val="CharDivNo"/>
        </w:rPr>
        <w:t> </w:t>
      </w:r>
      <w:r>
        <w:t>—</w:t>
      </w:r>
      <w:r>
        <w:rPr>
          <w:rStyle w:val="CharDivText"/>
        </w:rPr>
        <w:t> </w:t>
      </w:r>
      <w:r>
        <w:rPr>
          <w:rStyle w:val="CharPartText"/>
        </w:rPr>
        <w:t>Administration of justice</w:t>
      </w:r>
      <w:bookmarkEnd w:id="250"/>
    </w:p>
    <w:p>
      <w:pPr>
        <w:pStyle w:val="Heading5"/>
        <w:rPr>
          <w:snapToGrid w:val="0"/>
        </w:rPr>
      </w:pPr>
      <w:bookmarkStart w:id="251" w:name="_Toc207116614"/>
      <w:r>
        <w:rPr>
          <w:rStyle w:val="CharSectno"/>
        </w:rPr>
        <w:t>127</w:t>
      </w:r>
      <w:r>
        <w:rPr>
          <w:snapToGrid w:val="0"/>
        </w:rPr>
        <w:t>.</w:t>
      </w:r>
      <w:r>
        <w:rPr>
          <w:snapToGrid w:val="0"/>
        </w:rPr>
        <w:tab/>
        <w:t>Establishment of wardens’ courts</w:t>
      </w:r>
      <w:bookmarkEnd w:id="25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252" w:name="_Toc207116615"/>
      <w:r>
        <w:rPr>
          <w:rStyle w:val="CharSectno"/>
        </w:rPr>
        <w:t>128</w:t>
      </w:r>
      <w:r>
        <w:rPr>
          <w:snapToGrid w:val="0"/>
        </w:rPr>
        <w:t>.</w:t>
      </w:r>
      <w:r>
        <w:rPr>
          <w:snapToGrid w:val="0"/>
        </w:rPr>
        <w:tab/>
        <w:t>Warden’s court to be court of record</w:t>
      </w:r>
      <w:bookmarkEnd w:id="252"/>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53" w:name="_Toc207116616"/>
      <w:r>
        <w:rPr>
          <w:rStyle w:val="CharSectno"/>
        </w:rPr>
        <w:t>129</w:t>
      </w:r>
      <w:r>
        <w:rPr>
          <w:snapToGrid w:val="0"/>
        </w:rPr>
        <w:t>.</w:t>
      </w:r>
      <w:r>
        <w:rPr>
          <w:snapToGrid w:val="0"/>
        </w:rPr>
        <w:tab/>
        <w:t>Signing of process</w:t>
      </w:r>
      <w:bookmarkEnd w:id="253"/>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54" w:name="_Toc207116617"/>
      <w:r>
        <w:rPr>
          <w:rStyle w:val="CharSectno"/>
        </w:rPr>
        <w:lastRenderedPageBreak/>
        <w:t>130</w:t>
      </w:r>
      <w:r>
        <w:rPr>
          <w:snapToGrid w:val="0"/>
        </w:rPr>
        <w:t>.</w:t>
      </w:r>
      <w:r>
        <w:rPr>
          <w:snapToGrid w:val="0"/>
        </w:rPr>
        <w:tab/>
        <w:t>Times for holding warden’s court</w:t>
      </w:r>
      <w:bookmarkEnd w:id="254"/>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255" w:name="_Toc207116618"/>
      <w:r>
        <w:rPr>
          <w:rStyle w:val="CharSectno"/>
        </w:rPr>
        <w:t>131</w:t>
      </w:r>
      <w:r>
        <w:rPr>
          <w:snapToGrid w:val="0"/>
        </w:rPr>
        <w:t>.</w:t>
      </w:r>
      <w:r>
        <w:rPr>
          <w:snapToGrid w:val="0"/>
        </w:rPr>
        <w:tab/>
        <w:t>Power of warden to act in absence of warden usually presiding</w:t>
      </w:r>
      <w:bookmarkEnd w:id="255"/>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256" w:name="_Toc207116619"/>
      <w:r>
        <w:rPr>
          <w:rStyle w:val="CharSectno"/>
        </w:rPr>
        <w:t>132</w:t>
      </w:r>
      <w:r>
        <w:rPr>
          <w:snapToGrid w:val="0"/>
        </w:rPr>
        <w:t>.</w:t>
      </w:r>
      <w:r>
        <w:rPr>
          <w:snapToGrid w:val="0"/>
        </w:rPr>
        <w:tab/>
        <w:t>Jurisdiction of warden’s court</w:t>
      </w:r>
      <w:bookmarkEnd w:id="256"/>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lastRenderedPageBreak/>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lastRenderedPageBreak/>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257" w:name="_Toc207116620"/>
      <w:r>
        <w:rPr>
          <w:rStyle w:val="CharSectno"/>
        </w:rPr>
        <w:t>133</w:t>
      </w:r>
      <w:r>
        <w:t>.</w:t>
      </w:r>
      <w:r>
        <w:tab/>
        <w:t>Offences to be dealt with by magistrate</w:t>
      </w:r>
      <w:bookmarkEnd w:id="257"/>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258" w:name="_Toc207116621"/>
      <w:r>
        <w:rPr>
          <w:rStyle w:val="CharSectno"/>
        </w:rPr>
        <w:t>134</w:t>
      </w:r>
      <w:r>
        <w:rPr>
          <w:snapToGrid w:val="0"/>
        </w:rPr>
        <w:t>.</w:t>
      </w:r>
      <w:r>
        <w:rPr>
          <w:snapToGrid w:val="0"/>
        </w:rPr>
        <w:tab/>
        <w:t>Powers of warden’s court</w:t>
      </w:r>
      <w:bookmarkEnd w:id="258"/>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the determination of the area, extent, dimensions or boundaries of any mining tenement or as to the respective rights of the owner of the primary tenement and the special prospecting licence or mining lease for </w:t>
      </w:r>
      <w:r>
        <w:rPr>
          <w:snapToGrid w:val="0"/>
        </w:rPr>
        <w:lastRenderedPageBreak/>
        <w:t>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lastRenderedPageBreak/>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w:t>
      </w:r>
      <w:r>
        <w:rPr>
          <w:snapToGrid w:val="0"/>
        </w:rPr>
        <w:lastRenderedPageBreak/>
        <w:t xml:space="preserve">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259" w:name="_Toc207116622"/>
      <w:r>
        <w:rPr>
          <w:rStyle w:val="CharSectno"/>
        </w:rPr>
        <w:lastRenderedPageBreak/>
        <w:t>135</w:t>
      </w:r>
      <w:r>
        <w:rPr>
          <w:snapToGrid w:val="0"/>
        </w:rPr>
        <w:t>.</w:t>
      </w:r>
      <w:r>
        <w:rPr>
          <w:snapToGrid w:val="0"/>
        </w:rPr>
        <w:tab/>
        <w:t>Summary determination by warden by consent</w:t>
      </w:r>
      <w:bookmarkEnd w:id="259"/>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260" w:name="_Toc207116623"/>
      <w:r>
        <w:rPr>
          <w:rStyle w:val="CharSectno"/>
        </w:rPr>
        <w:t>136</w:t>
      </w:r>
      <w:r>
        <w:rPr>
          <w:snapToGrid w:val="0"/>
        </w:rPr>
        <w:t>.</w:t>
      </w:r>
      <w:r>
        <w:rPr>
          <w:snapToGrid w:val="0"/>
        </w:rPr>
        <w:tab/>
        <w:t>Practice and procedure in warden’s court</w:t>
      </w:r>
      <w:bookmarkEnd w:id="260"/>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keepNext/>
      </w:pPr>
      <w:r>
        <w:lastRenderedPageBreak/>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261" w:name="_Toc207116624"/>
      <w:r>
        <w:rPr>
          <w:rStyle w:val="CharSectno"/>
        </w:rPr>
        <w:t>137</w:t>
      </w:r>
      <w:r>
        <w:rPr>
          <w:snapToGrid w:val="0"/>
        </w:rPr>
        <w:t>.</w:t>
      </w:r>
      <w:r>
        <w:rPr>
          <w:snapToGrid w:val="0"/>
        </w:rPr>
        <w:tab/>
        <w:t>Records of evidence</w:t>
      </w:r>
      <w:bookmarkEnd w:id="261"/>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262" w:name="_Toc207116625"/>
      <w:r>
        <w:rPr>
          <w:rStyle w:val="CharSectno"/>
        </w:rPr>
        <w:t>138</w:t>
      </w:r>
      <w:r>
        <w:rPr>
          <w:snapToGrid w:val="0"/>
        </w:rPr>
        <w:t>.</w:t>
      </w:r>
      <w:r>
        <w:rPr>
          <w:snapToGrid w:val="0"/>
        </w:rPr>
        <w:tab/>
        <w:t>Mode of trial</w:t>
      </w:r>
      <w:bookmarkEnd w:id="262"/>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 xml:space="preserve">Where a warden’s court, for any reason cannot be held at the time and place so appointed, the warden or in his place the </w:t>
      </w:r>
      <w:r>
        <w:rPr>
          <w:snapToGrid w:val="0"/>
        </w:rPr>
        <w:lastRenderedPageBreak/>
        <w:t>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263" w:name="_Toc207116626"/>
      <w:r>
        <w:rPr>
          <w:rStyle w:val="CharSectno"/>
        </w:rPr>
        <w:t>139</w:t>
      </w:r>
      <w:r>
        <w:rPr>
          <w:snapToGrid w:val="0"/>
        </w:rPr>
        <w:t>.</w:t>
      </w:r>
      <w:r>
        <w:rPr>
          <w:snapToGrid w:val="0"/>
        </w:rPr>
        <w:tab/>
        <w:t>Contempt of court</w:t>
      </w:r>
      <w:bookmarkEnd w:id="263"/>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lastRenderedPageBreak/>
        <w:tab/>
        <w:t>[Section 139 amended: No. 22 of 1990 s. 38.]</w:t>
      </w:r>
    </w:p>
    <w:p>
      <w:pPr>
        <w:pStyle w:val="Heading5"/>
      </w:pPr>
      <w:bookmarkStart w:id="264" w:name="_Toc207116627"/>
      <w:r>
        <w:rPr>
          <w:rStyle w:val="CharSectno"/>
        </w:rPr>
        <w:t>140</w:t>
      </w:r>
      <w:r>
        <w:t>.</w:t>
      </w:r>
      <w:r>
        <w:tab/>
        <w:t>Judgments, enforcement of</w:t>
      </w:r>
      <w:bookmarkEnd w:id="264"/>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265" w:name="_Toc207116628"/>
      <w:r>
        <w:rPr>
          <w:rStyle w:val="CharSectno"/>
        </w:rPr>
        <w:t>142</w:t>
      </w:r>
      <w:r>
        <w:rPr>
          <w:snapToGrid w:val="0"/>
        </w:rPr>
        <w:t>.</w:t>
      </w:r>
      <w:r>
        <w:rPr>
          <w:snapToGrid w:val="0"/>
        </w:rPr>
        <w:tab/>
        <w:t>Informality and amendment</w:t>
      </w:r>
      <w:bookmarkEnd w:id="265"/>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w:t>
      </w:r>
      <w:r>
        <w:rPr>
          <w:snapToGrid w:val="0"/>
        </w:rPr>
        <w:lastRenderedPageBreak/>
        <w:t>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266" w:name="_Toc207116629"/>
      <w:r>
        <w:rPr>
          <w:rStyle w:val="CharSectno"/>
        </w:rPr>
        <w:t>143</w:t>
      </w:r>
      <w:r>
        <w:rPr>
          <w:snapToGrid w:val="0"/>
        </w:rPr>
        <w:t>.</w:t>
      </w:r>
      <w:r>
        <w:rPr>
          <w:snapToGrid w:val="0"/>
        </w:rPr>
        <w:tab/>
        <w:t>Grant of injunction affecting mining tenement to be notified</w:t>
      </w:r>
      <w:bookmarkEnd w:id="266"/>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267" w:name="_Toc207116630"/>
      <w:r>
        <w:rPr>
          <w:rStyle w:val="CharSectno"/>
        </w:rPr>
        <w:lastRenderedPageBreak/>
        <w:t>146</w:t>
      </w:r>
      <w:r>
        <w:rPr>
          <w:snapToGrid w:val="0"/>
        </w:rPr>
        <w:t>.</w:t>
      </w:r>
      <w:r>
        <w:rPr>
          <w:snapToGrid w:val="0"/>
        </w:rPr>
        <w:tab/>
        <w:t>Reservation of questions of law: hearing and determination</w:t>
      </w:r>
      <w:bookmarkEnd w:id="267"/>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xml:space="preserve">, on the application of any party to </w:t>
      </w:r>
      <w:r>
        <w:rPr>
          <w:snapToGrid w:val="0"/>
        </w:rPr>
        <w:lastRenderedPageBreak/>
        <w:t>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268" w:name="_Toc207116631"/>
      <w:r>
        <w:rPr>
          <w:rStyle w:val="CharSectno"/>
        </w:rPr>
        <w:t>147</w:t>
      </w:r>
      <w:r>
        <w:rPr>
          <w:snapToGrid w:val="0"/>
        </w:rPr>
        <w:t>.</w:t>
      </w:r>
      <w:r>
        <w:rPr>
          <w:snapToGrid w:val="0"/>
        </w:rPr>
        <w:tab/>
        <w:t>Appeal to Supreme Court</w:t>
      </w:r>
      <w:bookmarkEnd w:id="268"/>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269" w:name="_Toc207116632"/>
      <w:r>
        <w:rPr>
          <w:rStyle w:val="CharSectno"/>
        </w:rPr>
        <w:lastRenderedPageBreak/>
        <w:t>148</w:t>
      </w:r>
      <w:r>
        <w:rPr>
          <w:snapToGrid w:val="0"/>
        </w:rPr>
        <w:t>.</w:t>
      </w:r>
      <w:r>
        <w:rPr>
          <w:snapToGrid w:val="0"/>
        </w:rPr>
        <w:tab/>
        <w:t>Procedure on appeal</w:t>
      </w:r>
      <w:bookmarkEnd w:id="269"/>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keepNext/>
        <w:rPr>
          <w:snapToGrid w:val="0"/>
        </w:rPr>
      </w:pPr>
      <w:r>
        <w:rPr>
          <w:snapToGrid w:val="0"/>
        </w:rPr>
        <w:lastRenderedPageBreak/>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270" w:name="_Toc207116633"/>
      <w:r>
        <w:rPr>
          <w:rStyle w:val="CharSectno"/>
        </w:rPr>
        <w:t>149</w:t>
      </w:r>
      <w:r>
        <w:rPr>
          <w:snapToGrid w:val="0"/>
        </w:rPr>
        <w:t>.</w:t>
      </w:r>
      <w:r>
        <w:rPr>
          <w:snapToGrid w:val="0"/>
        </w:rPr>
        <w:tab/>
        <w:t>Power of Supreme Court on appeal</w:t>
      </w:r>
      <w:bookmarkEnd w:id="270"/>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lastRenderedPageBreak/>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71" w:name="_Toc207116634"/>
      <w:r>
        <w:rPr>
          <w:rStyle w:val="CharSectno"/>
        </w:rPr>
        <w:t>150</w:t>
      </w:r>
      <w:r>
        <w:rPr>
          <w:snapToGrid w:val="0"/>
        </w:rPr>
        <w:t>.</w:t>
      </w:r>
      <w:r>
        <w:rPr>
          <w:snapToGrid w:val="0"/>
        </w:rPr>
        <w:tab/>
        <w:t>Withdrawal or failure to prosecute appeal</w:t>
      </w:r>
      <w:bookmarkEnd w:id="271"/>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72" w:name="_Toc207116635"/>
      <w:r>
        <w:rPr>
          <w:rStyle w:val="CharSectno"/>
        </w:rPr>
        <w:t>151</w:t>
      </w:r>
      <w:r>
        <w:rPr>
          <w:snapToGrid w:val="0"/>
        </w:rPr>
        <w:t>.</w:t>
      </w:r>
      <w:r>
        <w:rPr>
          <w:snapToGrid w:val="0"/>
        </w:rPr>
        <w:tab/>
        <w:t>Limitation of right of appeal</w:t>
      </w:r>
      <w:bookmarkEnd w:id="272"/>
    </w:p>
    <w:p>
      <w:pPr>
        <w:pStyle w:val="Subsection"/>
        <w:rPr>
          <w:snapToGrid w:val="0"/>
        </w:rPr>
      </w:pPr>
      <w:r>
        <w:rPr>
          <w:snapToGrid w:val="0"/>
        </w:rPr>
        <w:tab/>
      </w:r>
      <w:r>
        <w:rPr>
          <w:snapToGrid w:val="0"/>
        </w:rPr>
        <w:tab/>
        <w:t xml:space="preserve">There shall be no right of appeal under this Part where at or before the hearing of any proceedings in the warden’s court the parties thereto have agreed by a memorandum in writing lodged </w:t>
      </w:r>
      <w:r>
        <w:rPr>
          <w:snapToGrid w:val="0"/>
        </w:rPr>
        <w:lastRenderedPageBreak/>
        <w:t>in the warden’s office, that the decision of the warden’s court therein shall be final.</w:t>
      </w:r>
    </w:p>
    <w:p>
      <w:pPr>
        <w:pStyle w:val="Footnotesection"/>
      </w:pPr>
      <w:r>
        <w:tab/>
        <w:t>[Section 151 amended: No. 58 of 1994 s. 49; No. 39 of 2004 s. 80.]</w:t>
      </w:r>
    </w:p>
    <w:p>
      <w:pPr>
        <w:pStyle w:val="Heading2"/>
      </w:pPr>
      <w:bookmarkStart w:id="273" w:name="_Toc207116636"/>
      <w:r>
        <w:rPr>
          <w:rStyle w:val="CharPartNo"/>
        </w:rPr>
        <w:lastRenderedPageBreak/>
        <w:t>Part IX</w:t>
      </w:r>
      <w:r>
        <w:rPr>
          <w:rStyle w:val="CharDivNo"/>
        </w:rPr>
        <w:t> </w:t>
      </w:r>
      <w:r>
        <w:t>—</w:t>
      </w:r>
      <w:r>
        <w:rPr>
          <w:rStyle w:val="CharDivText"/>
        </w:rPr>
        <w:t> </w:t>
      </w:r>
      <w:r>
        <w:rPr>
          <w:rStyle w:val="CharPartText"/>
        </w:rPr>
        <w:t>Miscellaneous and regulations</w:t>
      </w:r>
      <w:bookmarkEnd w:id="273"/>
    </w:p>
    <w:p>
      <w:pPr>
        <w:pStyle w:val="Heading5"/>
        <w:rPr>
          <w:snapToGrid w:val="0"/>
        </w:rPr>
      </w:pPr>
      <w:bookmarkStart w:id="274" w:name="_Toc207116637"/>
      <w:r>
        <w:rPr>
          <w:rStyle w:val="CharSectno"/>
        </w:rPr>
        <w:t>152</w:t>
      </w:r>
      <w:r>
        <w:rPr>
          <w:snapToGrid w:val="0"/>
        </w:rPr>
        <w:t>.</w:t>
      </w:r>
      <w:r>
        <w:rPr>
          <w:snapToGrid w:val="0"/>
        </w:rPr>
        <w:tab/>
        <w:t>Police to assist warden</w:t>
      </w:r>
      <w:bookmarkEnd w:id="274"/>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75" w:name="_Toc207116638"/>
      <w:r>
        <w:rPr>
          <w:rStyle w:val="CharSectno"/>
        </w:rPr>
        <w:t>153</w:t>
      </w:r>
      <w:r>
        <w:rPr>
          <w:snapToGrid w:val="0"/>
        </w:rPr>
        <w:t>.</w:t>
      </w:r>
      <w:r>
        <w:rPr>
          <w:snapToGrid w:val="0"/>
        </w:rPr>
        <w:tab/>
        <w:t>Minor capable of being sued and of suing</w:t>
      </w:r>
      <w:bookmarkEnd w:id="275"/>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76" w:name="_Toc207116639"/>
      <w:r>
        <w:rPr>
          <w:rStyle w:val="CharSectno"/>
        </w:rPr>
        <w:t>154</w:t>
      </w:r>
      <w:r>
        <w:rPr>
          <w:snapToGrid w:val="0"/>
        </w:rPr>
        <w:t>.</w:t>
      </w:r>
      <w:r>
        <w:rPr>
          <w:snapToGrid w:val="0"/>
        </w:rPr>
        <w:tab/>
        <w:t>General penalty</w:t>
      </w:r>
      <w:bookmarkEnd w:id="276"/>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pPr>
      <w:bookmarkStart w:id="277" w:name="_Toc207116640"/>
      <w:r>
        <w:rPr>
          <w:rStyle w:val="CharSectno"/>
        </w:rPr>
        <w:lastRenderedPageBreak/>
        <w:t>154A</w:t>
      </w:r>
      <w:r>
        <w:t>.</w:t>
      </w:r>
      <w:r>
        <w:tab/>
        <w:t>Liability of officers for offence by body corporate</w:t>
      </w:r>
      <w:bookmarkEnd w:id="277"/>
    </w:p>
    <w:p>
      <w:pPr>
        <w:pStyle w:val="Subsection"/>
      </w:pPr>
      <w:r>
        <w:tab/>
      </w:r>
      <w:r>
        <w:tab/>
      </w:r>
      <w:r>
        <w:rPr>
          <w:i/>
        </w:rPr>
        <w:t>The Criminal Code</w:t>
      </w:r>
      <w:r>
        <w:t xml:space="preserve"> section 39 (which provides for the criminal liability of officers of a body corporate) applies to an offence under section 155(1) of this Act.</w:t>
      </w:r>
    </w:p>
    <w:p>
      <w:pPr>
        <w:pStyle w:val="Footnotesection"/>
      </w:pPr>
      <w:r>
        <w:tab/>
        <w:t>[Section 154A inserted: No. 9 of 2023 s. 106.]</w:t>
      </w:r>
    </w:p>
    <w:p>
      <w:pPr>
        <w:pStyle w:val="Heading5"/>
        <w:rPr>
          <w:snapToGrid w:val="0"/>
        </w:rPr>
      </w:pPr>
      <w:bookmarkStart w:id="278" w:name="_Toc207116641"/>
      <w:r>
        <w:rPr>
          <w:rStyle w:val="CharSectno"/>
        </w:rPr>
        <w:t>155</w:t>
      </w:r>
      <w:r>
        <w:rPr>
          <w:snapToGrid w:val="0"/>
        </w:rPr>
        <w:t>.</w:t>
      </w:r>
      <w:r>
        <w:rPr>
          <w:snapToGrid w:val="0"/>
        </w:rPr>
        <w:tab/>
        <w:t>Offence of mining without authority</w:t>
      </w:r>
      <w:bookmarkEnd w:id="278"/>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lastRenderedPageBreak/>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279" w:name="_Toc207116642"/>
      <w:r>
        <w:rPr>
          <w:rStyle w:val="CharSectno"/>
        </w:rPr>
        <w:t>155A</w:t>
      </w:r>
      <w:r>
        <w:rPr>
          <w:snapToGrid w:val="0"/>
        </w:rPr>
        <w:t>.</w:t>
      </w:r>
      <w:r>
        <w:rPr>
          <w:snapToGrid w:val="0"/>
        </w:rPr>
        <w:tab/>
        <w:t>Aerial survey work</w:t>
      </w:r>
      <w:bookmarkEnd w:id="279"/>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280" w:name="_Toc207116643"/>
      <w:r>
        <w:rPr>
          <w:rStyle w:val="CharSectno"/>
        </w:rPr>
        <w:t>156</w:t>
      </w:r>
      <w:r>
        <w:rPr>
          <w:snapToGrid w:val="0"/>
        </w:rPr>
        <w:t>.</w:t>
      </w:r>
      <w:r>
        <w:rPr>
          <w:snapToGrid w:val="0"/>
        </w:rPr>
        <w:tab/>
        <w:t>Offences</w:t>
      </w:r>
      <w:bookmarkEnd w:id="280"/>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pPr>
      <w:r>
        <w:tab/>
        <w:t>(i)</w:t>
      </w:r>
      <w:r>
        <w:tab/>
        <w:t>any warden; or</w:t>
      </w:r>
    </w:p>
    <w:p>
      <w:pPr>
        <w:pStyle w:val="Indenti"/>
        <w:rPr>
          <w:snapToGrid w:val="0"/>
        </w:rPr>
      </w:pPr>
      <w:r>
        <w:rPr>
          <w:snapToGrid w:val="0"/>
        </w:rPr>
        <w:tab/>
        <w:t>(ii)</w:t>
      </w:r>
      <w:r>
        <w:rPr>
          <w:snapToGrid w:val="0"/>
        </w:rPr>
        <w:tab/>
        <w:t xml:space="preserve">any </w:t>
      </w:r>
      <w:r>
        <w:t>public service officer or</w:t>
      </w:r>
      <w:r>
        <w:rPr>
          <w:snapToGrid w:val="0"/>
        </w:rPr>
        <w:t xml:space="preserve"> other person duly authorised under this Act to perform any act or </w:t>
      </w:r>
      <w:r>
        <w:rPr>
          <w:snapToGrid w:val="0"/>
        </w:rPr>
        <w:lastRenderedPageBreak/>
        <w:t>duty, in the course of performance of that act or duty,</w:t>
      </w:r>
    </w:p>
    <w:p>
      <w:pPr>
        <w:pStyle w:val="Indenta"/>
        <w:rPr>
          <w:snapToGrid w:val="0"/>
        </w:rPr>
      </w:pPr>
      <w:r>
        <w:rPr>
          <w:snapToGrid w:val="0"/>
        </w:rPr>
        <w:tab/>
      </w:r>
      <w:r>
        <w:rPr>
          <w:snapToGrid w:val="0"/>
        </w:rPr>
        <w:tab/>
        <w:t xml:space="preserve">or who when required to do so </w:t>
      </w:r>
      <w:r>
        <w:t>by the warden, officer or other person, fails to give the person’s</w:t>
      </w:r>
      <w:r>
        <w:rPr>
          <w:snapToGrid w:val="0"/>
        </w:rPr>
        <w:t xml:space="preserve">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 No. 7 of 2025 s. 12.]</w:t>
      </w:r>
    </w:p>
    <w:p>
      <w:pPr>
        <w:pStyle w:val="Heading5"/>
        <w:rPr>
          <w:snapToGrid w:val="0"/>
        </w:rPr>
      </w:pPr>
      <w:bookmarkStart w:id="281" w:name="_Toc207116644"/>
      <w:r>
        <w:rPr>
          <w:rStyle w:val="CharSectno"/>
        </w:rPr>
        <w:t>157</w:t>
      </w:r>
      <w:r>
        <w:rPr>
          <w:snapToGrid w:val="0"/>
        </w:rPr>
        <w:t>.</w:t>
      </w:r>
      <w:r>
        <w:rPr>
          <w:snapToGrid w:val="0"/>
        </w:rPr>
        <w:tab/>
        <w:t>Obstruction of persons authorised to mine under this Act</w:t>
      </w:r>
      <w:bookmarkEnd w:id="281"/>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282" w:name="_Toc207116645"/>
      <w:r>
        <w:rPr>
          <w:rStyle w:val="CharSectno"/>
        </w:rPr>
        <w:t>158</w:t>
      </w:r>
      <w:r>
        <w:rPr>
          <w:snapToGrid w:val="0"/>
        </w:rPr>
        <w:t>.</w:t>
      </w:r>
      <w:r>
        <w:rPr>
          <w:snapToGrid w:val="0"/>
        </w:rPr>
        <w:tab/>
        <w:t>Power to require information as to right to mine</w:t>
      </w:r>
      <w:bookmarkEnd w:id="282"/>
    </w:p>
    <w:p>
      <w:pPr>
        <w:pStyle w:val="Subsection"/>
        <w:keepNext/>
        <w:rPr>
          <w:snapToGrid w:val="0"/>
        </w:rPr>
      </w:pPr>
      <w:r>
        <w:rPr>
          <w:snapToGrid w:val="0"/>
        </w:rPr>
        <w:tab/>
        <w:t>(1)</w:t>
      </w:r>
      <w:r>
        <w:rPr>
          <w:snapToGrid w:val="0"/>
        </w:rPr>
        <w:tab/>
        <w:t xml:space="preserve">Where there is reason to suspect that a person is mining on land without authority under this Act a member of the Police Force </w:t>
      </w:r>
      <w:r>
        <w:rPr>
          <w:snapToGrid w:val="0"/>
        </w:rPr>
        <w:lastRenderedPageBreak/>
        <w:t>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lastRenderedPageBreak/>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283" w:name="_Toc207116646"/>
      <w:r>
        <w:rPr>
          <w:rStyle w:val="CharSectno"/>
        </w:rPr>
        <w:t>159</w:t>
      </w:r>
      <w:r>
        <w:rPr>
          <w:snapToGrid w:val="0"/>
        </w:rPr>
        <w:t>.</w:t>
      </w:r>
      <w:r>
        <w:rPr>
          <w:snapToGrid w:val="0"/>
        </w:rPr>
        <w:tab/>
        <w:t>Disputes between licensees and other persons</w:t>
      </w:r>
      <w:bookmarkEnd w:id="283"/>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lastRenderedPageBreak/>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284" w:name="_Toc207116647"/>
      <w:r>
        <w:rPr>
          <w:rStyle w:val="CharSectno"/>
        </w:rPr>
        <w:t>160</w:t>
      </w:r>
      <w:r>
        <w:rPr>
          <w:snapToGrid w:val="0"/>
        </w:rPr>
        <w:t>.</w:t>
      </w:r>
      <w:r>
        <w:rPr>
          <w:snapToGrid w:val="0"/>
        </w:rPr>
        <w:tab/>
        <w:t>Saving of civil remedies</w:t>
      </w:r>
      <w:bookmarkEnd w:id="284"/>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285" w:name="_Toc207116648"/>
      <w:r>
        <w:rPr>
          <w:rStyle w:val="CharSectno"/>
        </w:rPr>
        <w:t>160AA</w:t>
      </w:r>
      <w:r>
        <w:t>.</w:t>
      </w:r>
      <w:r>
        <w:tab/>
        <w:t>Authority to perform certain functions of LAA Minister under this Act</w:t>
      </w:r>
      <w:bookmarkEnd w:id="285"/>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lastRenderedPageBreak/>
        <w:tab/>
        <w:t>[Section 160AA inserted: No. 8 of 2010 s. 19; amended: No. 17 of 2014 s. 29.]</w:t>
      </w:r>
    </w:p>
    <w:p>
      <w:pPr>
        <w:pStyle w:val="Heading5"/>
      </w:pPr>
      <w:bookmarkStart w:id="286" w:name="_Toc207116649"/>
      <w:r>
        <w:rPr>
          <w:rStyle w:val="CharSectno"/>
        </w:rPr>
        <w:t>160AB</w:t>
      </w:r>
      <w:r>
        <w:t>.</w:t>
      </w:r>
      <w:r>
        <w:tab/>
        <w:t>Inspectors</w:t>
      </w:r>
      <w:bookmarkEnd w:id="286"/>
    </w:p>
    <w:p>
      <w:pPr>
        <w:pStyle w:val="Subsection"/>
      </w:pPr>
      <w:r>
        <w:tab/>
      </w:r>
      <w:r>
        <w:tab/>
        <w:t>The Minister may, by instrument in writing, appoint a person to be an inspector for all or some of the purposes of this Act specified in the instrument of appointment.</w:t>
      </w:r>
    </w:p>
    <w:p>
      <w:pPr>
        <w:pStyle w:val="Footnotesection"/>
      </w:pPr>
      <w:r>
        <w:tab/>
        <w:t>[Section 160AB inserted: No. 7 of 2025 s. 13.]</w:t>
      </w:r>
    </w:p>
    <w:p>
      <w:pPr>
        <w:pStyle w:val="Heading5"/>
        <w:spacing w:before="120"/>
        <w:rPr>
          <w:snapToGrid w:val="0"/>
        </w:rPr>
      </w:pPr>
      <w:bookmarkStart w:id="287" w:name="_Toc207116650"/>
      <w:r>
        <w:rPr>
          <w:rStyle w:val="CharSectno"/>
        </w:rPr>
        <w:t>160A</w:t>
      </w:r>
      <w:r>
        <w:rPr>
          <w:snapToGrid w:val="0"/>
        </w:rPr>
        <w:t>.</w:t>
      </w:r>
      <w:r>
        <w:rPr>
          <w:snapToGrid w:val="0"/>
        </w:rPr>
        <w:tab/>
        <w:t xml:space="preserve">Immunity of Minister, </w:t>
      </w:r>
      <w:r>
        <w:t>wardens</w:t>
      </w:r>
      <w:r>
        <w:rPr>
          <w:snapToGrid w:val="0"/>
        </w:rPr>
        <w:t xml:space="preserve"> and officials</w:t>
      </w:r>
      <w:bookmarkEnd w:id="287"/>
    </w:p>
    <w:p>
      <w:pPr>
        <w:pStyle w:val="Subsection"/>
        <w:spacing w:before="100"/>
        <w:rPr>
          <w:snapToGrid w:val="0"/>
        </w:rPr>
      </w:pPr>
      <w:r>
        <w:rPr>
          <w:snapToGrid w:val="0"/>
        </w:rPr>
        <w:tab/>
      </w:r>
      <w:r>
        <w:rPr>
          <w:snapToGrid w:val="0"/>
        </w:rPr>
        <w:tab/>
        <w:t xml:space="preserve">No liability shall attach to the Minister, a </w:t>
      </w:r>
      <w:r>
        <w:t>warden, a public service officer,</w:t>
      </w:r>
      <w:r>
        <w:rPr>
          <w:snapToGrid w:val="0"/>
        </w:rPr>
        <w:t xml:space="preserve">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 No. 7 of 2025 s. 14.]</w:t>
      </w:r>
    </w:p>
    <w:p>
      <w:pPr>
        <w:pStyle w:val="Heading5"/>
      </w:pPr>
      <w:bookmarkStart w:id="288" w:name="_Toc207116651"/>
      <w:r>
        <w:rPr>
          <w:rStyle w:val="CharSectno"/>
        </w:rPr>
        <w:t>160B</w:t>
      </w:r>
      <w:r>
        <w:t>.</w:t>
      </w:r>
      <w:r>
        <w:tab/>
        <w:t>Time limit for prosecution action</w:t>
      </w:r>
      <w:bookmarkEnd w:id="288"/>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289" w:name="_Toc207116652"/>
      <w:r>
        <w:rPr>
          <w:rStyle w:val="CharSectno"/>
        </w:rPr>
        <w:t>160C</w:t>
      </w:r>
      <w:r>
        <w:t>.</w:t>
      </w:r>
      <w:r>
        <w:tab/>
        <w:t>No right of appeal from certain decisions of warden, mining registrar or Minister</w:t>
      </w:r>
      <w:bookmarkEnd w:id="289"/>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lastRenderedPageBreak/>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keepNext/>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290" w:name="_Toc207116653"/>
      <w:r>
        <w:rPr>
          <w:rStyle w:val="CharSectno"/>
        </w:rPr>
        <w:t>160D</w:t>
      </w:r>
      <w:r>
        <w:t>.</w:t>
      </w:r>
      <w:r>
        <w:tab/>
        <w:t>Persons before whom affidavit may be sworn</w:t>
      </w:r>
      <w:bookmarkEnd w:id="290"/>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291" w:name="_Toc207116654"/>
      <w:r>
        <w:rPr>
          <w:rStyle w:val="CharSectno"/>
        </w:rPr>
        <w:lastRenderedPageBreak/>
        <w:t>161</w:t>
      </w:r>
      <w:r>
        <w:rPr>
          <w:snapToGrid w:val="0"/>
        </w:rPr>
        <w:t>.</w:t>
      </w:r>
      <w:r>
        <w:rPr>
          <w:snapToGrid w:val="0"/>
        </w:rPr>
        <w:tab/>
        <w:t>Evidentiary provisions</w:t>
      </w:r>
      <w:bookmarkEnd w:id="291"/>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lastRenderedPageBreak/>
        <w:tab/>
        <w:t>[Section 161 amended: No. 122 of 1982 s. 29; No. 37 of 1993 s. 23; No. 54 of 1996 s. 21; No. 5 of 1997 s. 41(2); No. 39 of 2004 s. 83; No. 84 of 2004 s. 80.]</w:t>
      </w:r>
    </w:p>
    <w:p>
      <w:pPr>
        <w:pStyle w:val="Heading5"/>
      </w:pPr>
      <w:bookmarkStart w:id="292" w:name="_Toc207116655"/>
      <w:r>
        <w:rPr>
          <w:rStyle w:val="CharSectno"/>
        </w:rPr>
        <w:t>162A</w:t>
      </w:r>
      <w:r>
        <w:t>.</w:t>
      </w:r>
      <w:r>
        <w:tab/>
        <w:t xml:space="preserve">Certain things are not personal property for purposes of </w:t>
      </w:r>
      <w:r>
        <w:rPr>
          <w:i/>
          <w:iCs/>
        </w:rPr>
        <w:t>Personal Property Securities Act 2009</w:t>
      </w:r>
      <w:r>
        <w:t xml:space="preserve"> (Cwlth)</w:t>
      </w:r>
      <w:bookmarkEnd w:id="292"/>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293" w:name="_Toc207116656"/>
      <w:r>
        <w:rPr>
          <w:rStyle w:val="CharSectno"/>
        </w:rPr>
        <w:t>162B</w:t>
      </w:r>
      <w:r>
        <w:t>.</w:t>
      </w:r>
      <w:r>
        <w:tab/>
        <w:t>Extension of prescribed period or time</w:t>
      </w:r>
      <w:bookmarkEnd w:id="293"/>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294" w:name="_Toc207116657"/>
      <w:r>
        <w:rPr>
          <w:rStyle w:val="CharSectno"/>
        </w:rPr>
        <w:lastRenderedPageBreak/>
        <w:t>162</w:t>
      </w:r>
      <w:r>
        <w:rPr>
          <w:snapToGrid w:val="0"/>
        </w:rPr>
        <w:t>.</w:t>
      </w:r>
      <w:r>
        <w:rPr>
          <w:snapToGrid w:val="0"/>
        </w:rPr>
        <w:tab/>
        <w:t>Regulations</w:t>
      </w:r>
      <w:bookmarkEnd w:id="294"/>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 xml:space="preserve">authorise an inspector appointed under </w:t>
      </w:r>
      <w:r>
        <w:t>section 160AB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lastRenderedPageBreak/>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lastRenderedPageBreak/>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keepNext/>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 xml:space="preserve">provide for matters relating to the giving of information, a document, a notice or a notification required or permitted to be given under this Act (including the </w:t>
      </w:r>
      <w:r>
        <w:lastRenderedPageBreak/>
        <w:t>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pPr>
      <w:r>
        <w:tab/>
        <w:t>(f)</w:t>
      </w:r>
      <w:r>
        <w:tab/>
        <w:t>prescribe how and when rent for a mining tenement is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lastRenderedPageBreak/>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lastRenderedPageBreak/>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lastRenderedPageBreak/>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 xml:space="preserve">prescribe and regulate the responsibilities of the holders of mining tenements as to authorising, or obtaining </w:t>
      </w:r>
      <w:r>
        <w:rPr>
          <w:snapToGrid w:val="0"/>
        </w:rPr>
        <w:lastRenderedPageBreak/>
        <w:t>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16; No. 7 of 2025 s. 15.]</w:t>
      </w:r>
    </w:p>
    <w:p>
      <w:pPr>
        <w:pStyle w:val="Heading5"/>
      </w:pPr>
      <w:bookmarkStart w:id="295" w:name="_Toc207116658"/>
      <w:r>
        <w:rPr>
          <w:rStyle w:val="CharSectno"/>
        </w:rPr>
        <w:lastRenderedPageBreak/>
        <w:t>163</w:t>
      </w:r>
      <w:r>
        <w:t>.</w:t>
      </w:r>
      <w:r>
        <w:tab/>
        <w:t>Review of Act</w:t>
      </w:r>
      <w:bookmarkEnd w:id="295"/>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296" w:name="_Toc207116659"/>
      <w:r>
        <w:rPr>
          <w:rStyle w:val="CharSchNo"/>
        </w:rPr>
        <w:lastRenderedPageBreak/>
        <w:t>Second Schedule</w:t>
      </w:r>
      <w:r>
        <w:t> — </w:t>
      </w:r>
      <w:r>
        <w:rPr>
          <w:rStyle w:val="CharSchText"/>
        </w:rPr>
        <w:t>Transitional provisions</w:t>
      </w:r>
      <w:bookmarkEnd w:id="296"/>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297" w:name="_Toc207116660"/>
      <w:r>
        <w:rPr>
          <w:rStyle w:val="CharSDivNo"/>
        </w:rPr>
        <w:t>Division 1</w:t>
      </w:r>
      <w:r>
        <w:rPr>
          <w:b w:val="0"/>
        </w:rPr>
        <w:t> — </w:t>
      </w:r>
      <w:r>
        <w:rPr>
          <w:rStyle w:val="CharSDivText"/>
        </w:rPr>
        <w:t>Provisions relating to transition from repealed Act</w:t>
      </w:r>
      <w:bookmarkEnd w:id="297"/>
    </w:p>
    <w:p>
      <w:pPr>
        <w:pStyle w:val="yFootnoteheading"/>
        <w:rPr>
          <w:snapToGrid w:val="0"/>
        </w:rPr>
      </w:pPr>
      <w:r>
        <w:rPr>
          <w:snapToGrid w:val="0"/>
        </w:rPr>
        <w:tab/>
        <w:t>[Heading inserted: No. 51 of 2012 s. 42.]</w:t>
      </w:r>
    </w:p>
    <w:p>
      <w:pPr>
        <w:pStyle w:val="yHeading5"/>
      </w:pPr>
      <w:bookmarkStart w:id="298" w:name="_Toc207116661"/>
      <w:r>
        <w:rPr>
          <w:rStyle w:val="CharSClsNo"/>
        </w:rPr>
        <w:t>1</w:t>
      </w:r>
      <w:r>
        <w:t>.</w:t>
      </w:r>
      <w:r>
        <w:tab/>
        <w:t>Continuation of certain temporary reserves and rights of occupancy</w:t>
      </w:r>
      <w:bookmarkEnd w:id="298"/>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 xml:space="preserve">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w:t>
      </w:r>
      <w:r>
        <w:rPr>
          <w:rFonts w:ascii="Times" w:hAnsi="Times"/>
          <w:snapToGrid w:val="0"/>
        </w:rPr>
        <w:lastRenderedPageBreak/>
        <w:t>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299" w:name="_Toc207116662"/>
      <w:r>
        <w:rPr>
          <w:rStyle w:val="CharSClsNo"/>
        </w:rPr>
        <w:t>2</w:t>
      </w:r>
      <w:r>
        <w:t>.</w:t>
      </w:r>
      <w:r>
        <w:tab/>
        <w:t>Certain gold mining leases, coal mining leases and mineral leases to become mining leases</w:t>
      </w:r>
      <w:bookmarkEnd w:id="299"/>
    </w:p>
    <w:p>
      <w:pPr>
        <w:pStyle w:val="ySubsection"/>
        <w:spacing w:before="200"/>
        <w:rPr>
          <w:snapToGrid w:val="0"/>
        </w:rPr>
      </w:pPr>
      <w:r>
        <w:rPr>
          <w:snapToGrid w:val="0"/>
        </w:rPr>
        <w:tab/>
        <w:t>(1)</w:t>
      </w:r>
      <w:r>
        <w:rPr>
          <w:snapToGrid w:val="0"/>
        </w:rPr>
        <w:tab/>
        <w:t xml:space="preserve">Every gold mining lease, coal mining lease, or mineral lease granted under section 42, 48 or 61 or pursuant to section 153 of the repealed </w:t>
      </w:r>
      <w:r>
        <w:rPr>
          <w:snapToGrid w:val="0"/>
        </w:rPr>
        <w:lastRenderedPageBreak/>
        <w:t>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lastRenderedPageBreak/>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300" w:name="_Toc207116663"/>
      <w:r>
        <w:rPr>
          <w:rStyle w:val="CharSClsNo"/>
        </w:rPr>
        <w:t>3</w:t>
      </w:r>
      <w:r>
        <w:t>.</w:t>
      </w:r>
      <w:r>
        <w:tab/>
        <w:t>Rights conferred on holders of certain mineral claims and dredging claims</w:t>
      </w:r>
      <w:bookmarkEnd w:id="300"/>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lastRenderedPageBreak/>
        <w:tab/>
        <w:t>[Clause 3 inserted: No. 69 of 1981 s. 29; amended: No. 122 of 1982 s. 30(b).]</w:t>
      </w:r>
    </w:p>
    <w:p>
      <w:pPr>
        <w:pStyle w:val="yHeading5"/>
      </w:pPr>
      <w:bookmarkStart w:id="301" w:name="_Toc207116664"/>
      <w:r>
        <w:rPr>
          <w:rStyle w:val="CharSClsNo"/>
        </w:rPr>
        <w:t>4</w:t>
      </w:r>
      <w:r>
        <w:t>.</w:t>
      </w:r>
      <w:r>
        <w:tab/>
        <w:t>Rights conferred on holders of certain miners’ homestead leases, residential leases, residence areas, business areas and garden areas</w:t>
      </w:r>
      <w:bookmarkEnd w:id="301"/>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lastRenderedPageBreak/>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302" w:name="_Toc207116665"/>
      <w:r>
        <w:rPr>
          <w:rStyle w:val="CharSClsNo"/>
        </w:rPr>
        <w:t>5</w:t>
      </w:r>
      <w:r>
        <w:t>.</w:t>
      </w:r>
      <w:r>
        <w:tab/>
        <w:t>Continuation of mining tenements held by virtue of miners’ rights</w:t>
      </w:r>
      <w:bookmarkEnd w:id="302"/>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303" w:name="_Toc207116666"/>
      <w:r>
        <w:rPr>
          <w:rStyle w:val="CharSClsNo"/>
        </w:rPr>
        <w:t>6</w:t>
      </w:r>
      <w:r>
        <w:t>.</w:t>
      </w:r>
      <w:r>
        <w:tab/>
        <w:t>Temporary continuation of certain machinery areas, tailings areas, quarrying areas and water rights</w:t>
      </w:r>
      <w:bookmarkEnd w:id="303"/>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 xml:space="preserve">a water right in force by virtue of subclause (1) may, while the water right is so in force, apply to the Minister for a </w:t>
      </w:r>
      <w:r>
        <w:rPr>
          <w:snapToGrid w:val="0"/>
        </w:rPr>
        <w:lastRenderedPageBreak/>
        <w:t>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304" w:name="_Toc207116667"/>
      <w:r>
        <w:rPr>
          <w:rStyle w:val="CharSClsNo"/>
        </w:rPr>
        <w:t>7</w:t>
      </w:r>
      <w:r>
        <w:t>.</w:t>
      </w:r>
      <w:r>
        <w:tab/>
        <w:t>Continuation of certain licences</w:t>
      </w:r>
      <w:bookmarkEnd w:id="304"/>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keepNext/>
        <w:rPr>
          <w:snapToGrid w:val="0"/>
        </w:rPr>
      </w:pPr>
      <w:r>
        <w:rPr>
          <w:snapToGrid w:val="0"/>
        </w:rPr>
        <w:lastRenderedPageBreak/>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lastRenderedPageBreak/>
        <w:tab/>
        <w:t>[Clause 7 inserted: No. 69 of 1981 s. 29; amended: No. 122 of 1982 s. 30(d); No. 37 of 1993 s. 25; amended: Gazette 20 Nov 1987 p. 4239.]</w:t>
      </w:r>
    </w:p>
    <w:p>
      <w:pPr>
        <w:pStyle w:val="yHeading5"/>
      </w:pPr>
      <w:bookmarkStart w:id="305" w:name="_Toc207116668"/>
      <w:r>
        <w:rPr>
          <w:rStyle w:val="CharSClsNo"/>
        </w:rPr>
        <w:t>8</w:t>
      </w:r>
      <w:r>
        <w:t>.</w:t>
      </w:r>
      <w:r>
        <w:tab/>
        <w:t>Disposal of pending applications for mining tenements</w:t>
      </w:r>
      <w:bookmarkEnd w:id="305"/>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 xml:space="preserve">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w:t>
      </w:r>
      <w:r>
        <w:rPr>
          <w:snapToGrid w:val="0"/>
        </w:rPr>
        <w:lastRenderedPageBreak/>
        <w:t>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 xml:space="preserve">An application for a miner’s homestead lease, a residential lease, a residence area, a business area or a garden area, which application was pending immediately before the commencing date, lapses on the </w:t>
      </w:r>
      <w:r>
        <w:rPr>
          <w:snapToGrid w:val="0"/>
        </w:rPr>
        <w:lastRenderedPageBreak/>
        <w:t>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306" w:name="_Toc207116669"/>
      <w:r>
        <w:rPr>
          <w:rStyle w:val="CharSClsNo"/>
        </w:rPr>
        <w:t>9</w:t>
      </w:r>
      <w:r>
        <w:t>.</w:t>
      </w:r>
      <w:r>
        <w:tab/>
        <w:t>Rights of holders of certain prospecting areas</w:t>
      </w:r>
      <w:bookmarkEnd w:id="306"/>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307" w:name="_Toc207116670"/>
      <w:r>
        <w:rPr>
          <w:rStyle w:val="CharSClsNo"/>
        </w:rPr>
        <w:t>10</w:t>
      </w:r>
      <w:r>
        <w:t>.</w:t>
      </w:r>
      <w:r>
        <w:tab/>
        <w:t>Transitional provisions relating to mortgages</w:t>
      </w:r>
      <w:bookmarkEnd w:id="307"/>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lastRenderedPageBreak/>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lastRenderedPageBreak/>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308" w:name="_Toc207116671"/>
      <w:r>
        <w:rPr>
          <w:rStyle w:val="CharSClsNo"/>
        </w:rPr>
        <w:t>11</w:t>
      </w:r>
      <w:r>
        <w:t>.</w:t>
      </w:r>
      <w:r>
        <w:tab/>
        <w:t>Officers</w:t>
      </w:r>
      <w:bookmarkEnd w:id="308"/>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309" w:name="_Toc207116672"/>
      <w:r>
        <w:t>12.</w:t>
      </w:r>
      <w:r>
        <w:tab/>
        <w:t>Warden’s courts and warden’s offices</w:t>
      </w:r>
      <w:bookmarkEnd w:id="309"/>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310" w:name="_Toc207116673"/>
      <w:r>
        <w:t>13.</w:t>
      </w:r>
      <w:r>
        <w:tab/>
        <w:t>Lodging of certain applications</w:t>
      </w:r>
      <w:bookmarkEnd w:id="310"/>
    </w:p>
    <w:p>
      <w:pPr>
        <w:pStyle w:val="ySubsection"/>
        <w:keepNext/>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 xml:space="preserve">in the </w:t>
      </w:r>
      <w:r>
        <w:rPr>
          <w:sz w:val="23"/>
          <w:szCs w:val="23"/>
        </w:rPr>
        <w:lastRenderedPageBreak/>
        <w:t>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311" w:name="_Toc207116674"/>
      <w:r>
        <w:rPr>
          <w:rStyle w:val="CharSClsNo"/>
        </w:rPr>
        <w:t>13A</w:t>
      </w:r>
      <w:r>
        <w:t>.</w:t>
      </w:r>
      <w:r>
        <w:tab/>
        <w:t>Consents to follow land</w:t>
      </w:r>
      <w:bookmarkEnd w:id="311"/>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312" w:name="_Toc207116675"/>
      <w:r>
        <w:rPr>
          <w:rStyle w:val="CharSClsNo"/>
        </w:rPr>
        <w:t>14</w:t>
      </w:r>
      <w:r>
        <w:t>.</w:t>
      </w:r>
      <w:r>
        <w:tab/>
        <w:t>References to repealed Act</w:t>
      </w:r>
      <w:bookmarkEnd w:id="312"/>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313" w:name="_Toc207116676"/>
      <w:r>
        <w:rPr>
          <w:rStyle w:val="CharSClsNo"/>
        </w:rPr>
        <w:lastRenderedPageBreak/>
        <w:t>15</w:t>
      </w:r>
      <w:r>
        <w:t>.</w:t>
      </w:r>
      <w:r>
        <w:tab/>
        <w:t>Prevention of anomalies during transitional period</w:t>
      </w:r>
      <w:bookmarkEnd w:id="313"/>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314" w:name="_Toc207116677"/>
      <w:r>
        <w:rPr>
          <w:rStyle w:val="CharSDivNo"/>
        </w:rPr>
        <w:t>Division 2</w:t>
      </w:r>
      <w:r>
        <w:rPr>
          <w:b w:val="0"/>
        </w:rPr>
        <w:t> — </w:t>
      </w:r>
      <w:r>
        <w:rPr>
          <w:rStyle w:val="CharSDivText"/>
        </w:rPr>
        <w:t xml:space="preserve">Provisions relating to </w:t>
      </w:r>
      <w:r>
        <w:rPr>
          <w:rStyle w:val="CharSDivText"/>
          <w:i/>
        </w:rPr>
        <w:t>Mining Amendment Act 2012</w:t>
      </w:r>
      <w:bookmarkEnd w:id="314"/>
    </w:p>
    <w:p>
      <w:pPr>
        <w:pStyle w:val="yFootnoteheading"/>
        <w:rPr>
          <w:snapToGrid w:val="0"/>
        </w:rPr>
      </w:pPr>
      <w:r>
        <w:rPr>
          <w:snapToGrid w:val="0"/>
        </w:rPr>
        <w:tab/>
        <w:t>[Heading inserted: No. 51 of 2012 s. 43.]</w:t>
      </w:r>
    </w:p>
    <w:p>
      <w:pPr>
        <w:pStyle w:val="yHeading5"/>
      </w:pPr>
      <w:bookmarkStart w:id="315" w:name="_Toc207116678"/>
      <w:r>
        <w:rPr>
          <w:rStyle w:val="CharSClsNo"/>
        </w:rPr>
        <w:t>16</w:t>
      </w:r>
      <w:r>
        <w:t>.</w:t>
      </w:r>
      <w:r>
        <w:tab/>
        <w:t>Miner’s rights</w:t>
      </w:r>
      <w:bookmarkEnd w:id="31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316" w:name="_Toc207116679"/>
      <w:r>
        <w:rPr>
          <w:rStyle w:val="CharSClsNo"/>
        </w:rPr>
        <w:t>17</w:t>
      </w:r>
      <w:r>
        <w:t>.</w:t>
      </w:r>
      <w:r>
        <w:tab/>
        <w:t>Surrender requirements</w:t>
      </w:r>
      <w:bookmarkEnd w:id="316"/>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lastRenderedPageBreak/>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317" w:name="_Toc207116680"/>
      <w:r>
        <w:rPr>
          <w:rStyle w:val="CharSClsNo"/>
        </w:rPr>
        <w:t>18</w:t>
      </w:r>
      <w:r>
        <w:t>.</w:t>
      </w:r>
      <w:r>
        <w:tab/>
        <w:t>Commonwealth land</w:t>
      </w:r>
      <w:bookmarkEnd w:id="317"/>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318" w:name="_Toc207116681"/>
      <w:r>
        <w:rPr>
          <w:rStyle w:val="CharSClsNo"/>
        </w:rPr>
        <w:t>19</w:t>
      </w:r>
      <w:r>
        <w:t>.</w:t>
      </w:r>
      <w:r>
        <w:tab/>
        <w:t>Time limit for prosecution action</w:t>
      </w:r>
      <w:bookmarkEnd w:id="31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lastRenderedPageBreak/>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pStyle w:val="yHeading3"/>
      </w:pPr>
      <w:bookmarkStart w:id="319" w:name="_Toc207116682"/>
      <w:r>
        <w:rPr>
          <w:rStyle w:val="CharSDivNo"/>
        </w:rPr>
        <w:t>Division 3</w:t>
      </w:r>
      <w:r>
        <w:t> — </w:t>
      </w:r>
      <w:r>
        <w:rPr>
          <w:rStyle w:val="CharSDivText"/>
        </w:rPr>
        <w:t xml:space="preserve">Provisions relating to </w:t>
      </w:r>
      <w:r>
        <w:rPr>
          <w:rStyle w:val="CharSDivText"/>
          <w:i/>
        </w:rPr>
        <w:t>Mining Amendment Act 2022</w:t>
      </w:r>
      <w:bookmarkEnd w:id="319"/>
    </w:p>
    <w:p>
      <w:pPr>
        <w:pStyle w:val="yFootnoteheading"/>
        <w:rPr>
          <w:snapToGrid w:val="0"/>
        </w:rPr>
      </w:pPr>
      <w:r>
        <w:rPr>
          <w:snapToGrid w:val="0"/>
        </w:rPr>
        <w:tab/>
        <w:t>[Heading inserted: No. 31 of 2022 s. 41.]</w:t>
      </w:r>
    </w:p>
    <w:p>
      <w:pPr>
        <w:pStyle w:val="yHeading5"/>
      </w:pPr>
      <w:bookmarkStart w:id="320" w:name="_Toc207116683"/>
      <w:r>
        <w:rPr>
          <w:rStyle w:val="CharSClsNo"/>
        </w:rPr>
        <w:t>20</w:t>
      </w:r>
      <w:r>
        <w:t>.</w:t>
      </w:r>
      <w:r>
        <w:tab/>
        <w:t>Terms used</w:t>
      </w:r>
      <w:bookmarkEnd w:id="320"/>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Mining Amendment Act 2022</w:t>
      </w:r>
      <w:r>
        <w:t xml:space="preserve"> section 34 comes into operation;</w:t>
      </w:r>
    </w:p>
    <w:p>
      <w:pPr>
        <w:pStyle w:val="yDefstart"/>
      </w:pPr>
      <w:r>
        <w:tab/>
      </w:r>
      <w:r>
        <w:rPr>
          <w:rStyle w:val="CharDefText"/>
        </w:rPr>
        <w:t>former</w:t>
      </w:r>
      <w:r>
        <w:t>, in relation to a provision, means the provision as in force immediately before commencement day.</w:t>
      </w:r>
    </w:p>
    <w:p>
      <w:pPr>
        <w:pStyle w:val="yFootnotesection"/>
      </w:pPr>
      <w:r>
        <w:tab/>
        <w:t>[Clause 20 inserted: No. 31 of 2022 s. 41.]</w:t>
      </w:r>
    </w:p>
    <w:p>
      <w:pPr>
        <w:pStyle w:val="yHeading5"/>
      </w:pPr>
      <w:bookmarkStart w:id="321" w:name="_Toc207116684"/>
      <w:r>
        <w:rPr>
          <w:rStyle w:val="CharSClsNo"/>
        </w:rPr>
        <w:t>21</w:t>
      </w:r>
      <w:r>
        <w:t>.</w:t>
      </w:r>
      <w:r>
        <w:tab/>
        <w:t>Continuation of conditions for prevention or reduction of injury to land</w:t>
      </w:r>
      <w:bookmarkEnd w:id="321"/>
    </w:p>
    <w:p>
      <w:pPr>
        <w:pStyle w:val="ySubsection"/>
      </w:pPr>
      <w:r>
        <w:tab/>
        <w:t>(1)</w:t>
      </w:r>
      <w:r>
        <w:tab/>
        <w:t xml:space="preserve">In this clause — </w:t>
      </w:r>
    </w:p>
    <w:p>
      <w:pPr>
        <w:pStyle w:val="yDefstart"/>
      </w:pPr>
      <w:r>
        <w:tab/>
      </w:r>
      <w:r>
        <w:rPr>
          <w:rStyle w:val="CharDefText"/>
        </w:rPr>
        <w:t>former provision</w:t>
      </w:r>
      <w:r>
        <w:t xml:space="preserve"> means — </w:t>
      </w:r>
    </w:p>
    <w:p>
      <w:pPr>
        <w:pStyle w:val="yDefpara"/>
      </w:pPr>
      <w:r>
        <w:tab/>
        <w:t>(a)</w:t>
      </w:r>
      <w:r>
        <w:tab/>
        <w:t>former section 46A; or</w:t>
      </w:r>
    </w:p>
    <w:p>
      <w:pPr>
        <w:pStyle w:val="yDefpara"/>
      </w:pPr>
      <w:r>
        <w:tab/>
        <w:t>(b)</w:t>
      </w:r>
      <w:r>
        <w:tab/>
        <w:t>former section 63AA; or</w:t>
      </w:r>
    </w:p>
    <w:p>
      <w:pPr>
        <w:pStyle w:val="yDefpara"/>
      </w:pPr>
      <w:r>
        <w:tab/>
        <w:t>(c)</w:t>
      </w:r>
      <w:r>
        <w:tab/>
        <w:t>former section 70I; or</w:t>
      </w:r>
    </w:p>
    <w:p>
      <w:pPr>
        <w:pStyle w:val="yDefpara"/>
      </w:pPr>
      <w:r>
        <w:tab/>
        <w:t>(d)</w:t>
      </w:r>
      <w:r>
        <w:tab/>
        <w:t>former section 84.</w:t>
      </w:r>
    </w:p>
    <w:p>
      <w:pPr>
        <w:pStyle w:val="ySubsection"/>
      </w:pPr>
      <w:r>
        <w:tab/>
        <w:t>(2)</w:t>
      </w:r>
      <w:r>
        <w:tab/>
        <w:t>A condition that was, immediately before commencement day, imposed on the holder of a mining tenement under a former provision has effect, on and from commencement day, as if it were a condition imposed on the mining tenement under section 103AU(1).</w:t>
      </w:r>
    </w:p>
    <w:p>
      <w:pPr>
        <w:pStyle w:val="ySubsection"/>
      </w:pPr>
      <w:r>
        <w:tab/>
        <w:t>(3)</w:t>
      </w:r>
      <w:r>
        <w:tab/>
        <w:t>Subclause (2) applies whether or not the condition is of a kind that, on or after commencement day, could be imposed on the mining tenement under section 103AU(1).</w:t>
      </w:r>
    </w:p>
    <w:p>
      <w:pPr>
        <w:pStyle w:val="yFootnotesection"/>
      </w:pPr>
      <w:r>
        <w:tab/>
        <w:t>[Clause 21 inserted: No. 31 of 2022 s. 41.]</w:t>
      </w:r>
    </w:p>
    <w:p>
      <w:pPr>
        <w:pStyle w:val="yHeading5"/>
      </w:pPr>
      <w:bookmarkStart w:id="322" w:name="_Toc207116685"/>
      <w:r>
        <w:rPr>
          <w:rStyle w:val="CharSClsNo"/>
        </w:rPr>
        <w:lastRenderedPageBreak/>
        <w:t>22</w:t>
      </w:r>
      <w:r>
        <w:t>.</w:t>
      </w:r>
      <w:r>
        <w:tab/>
        <w:t>Continuation of securities</w:t>
      </w:r>
      <w:bookmarkEnd w:id="322"/>
    </w:p>
    <w:p>
      <w:pPr>
        <w:pStyle w:val="ySubsection"/>
      </w:pPr>
      <w:r>
        <w:tab/>
        <w:t>(1)</w:t>
      </w:r>
      <w:r>
        <w:tab/>
        <w:t xml:space="preserve">In this clause — </w:t>
      </w:r>
    </w:p>
    <w:p>
      <w:pPr>
        <w:pStyle w:val="yDefstart"/>
      </w:pPr>
      <w:r>
        <w:tab/>
      </w:r>
      <w:r>
        <w:rPr>
          <w:rStyle w:val="CharDefText"/>
        </w:rPr>
        <w:t>former provision</w:t>
      </w:r>
      <w:r>
        <w:t xml:space="preserve"> means — </w:t>
      </w:r>
    </w:p>
    <w:p>
      <w:pPr>
        <w:pStyle w:val="yDefpara"/>
      </w:pPr>
      <w:r>
        <w:tab/>
        <w:t>(a)</w:t>
      </w:r>
      <w:r>
        <w:tab/>
        <w:t>former section 52(1a); or</w:t>
      </w:r>
    </w:p>
    <w:p>
      <w:pPr>
        <w:pStyle w:val="yDefpara"/>
      </w:pPr>
      <w:r>
        <w:tab/>
        <w:t>(b)</w:t>
      </w:r>
      <w:r>
        <w:tab/>
        <w:t>former section 60(1a); or</w:t>
      </w:r>
    </w:p>
    <w:p>
      <w:pPr>
        <w:pStyle w:val="yDefpara"/>
      </w:pPr>
      <w:r>
        <w:tab/>
        <w:t>(c)</w:t>
      </w:r>
      <w:r>
        <w:tab/>
        <w:t>former section 70F(2); or</w:t>
      </w:r>
    </w:p>
    <w:p>
      <w:pPr>
        <w:pStyle w:val="yDefpara"/>
      </w:pPr>
      <w:r>
        <w:tab/>
        <w:t>(d)</w:t>
      </w:r>
      <w:r>
        <w:tab/>
        <w:t>former section 84A(2).</w:t>
      </w:r>
    </w:p>
    <w:p>
      <w:pPr>
        <w:pStyle w:val="ySubsection"/>
      </w:pPr>
      <w:r>
        <w:tab/>
        <w:t>(2)</w:t>
      </w:r>
      <w:r>
        <w:tab/>
        <w:t>A security that was, immediately before commencement day, required to be lodged by the holder of a mining tenement under a former provision is, on and from commencement day, taken to be a security required to be lodged by the holder of the mining tenement under section 103AV(1).</w:t>
      </w:r>
    </w:p>
    <w:p>
      <w:pPr>
        <w:pStyle w:val="yFootnotesection"/>
      </w:pPr>
      <w:r>
        <w:tab/>
        <w:t>[Clause 22 inserted: No. 31 of 2022 s. 41.]</w:t>
      </w:r>
    </w:p>
    <w:p>
      <w:pPr>
        <w:pStyle w:val="yHeading5"/>
      </w:pPr>
      <w:bookmarkStart w:id="323" w:name="_Toc207116686"/>
      <w:r>
        <w:rPr>
          <w:rStyle w:val="CharSClsNo"/>
        </w:rPr>
        <w:t>23</w:t>
      </w:r>
      <w:r>
        <w:t>.</w:t>
      </w:r>
      <w:r>
        <w:tab/>
        <w:t>Transitional provisions for programmes of work</w:t>
      </w:r>
      <w:bookmarkEnd w:id="323"/>
    </w:p>
    <w:p>
      <w:pPr>
        <w:pStyle w:val="ySubsection"/>
      </w:pPr>
      <w:r>
        <w:tab/>
        <w:t>(1)</w:t>
      </w:r>
      <w:r>
        <w:tab/>
        <w:t xml:space="preserve">In this clause — </w:t>
      </w:r>
    </w:p>
    <w:p>
      <w:pPr>
        <w:pStyle w:val="yDefstart"/>
      </w:pPr>
      <w:r>
        <w:tab/>
      </w:r>
      <w:r>
        <w:rPr>
          <w:rStyle w:val="CharDefText"/>
        </w:rPr>
        <w:t>existing undetermined programme of work</w:t>
      </w:r>
      <w:r>
        <w:t xml:space="preserve"> means a programme of work that — </w:t>
      </w:r>
    </w:p>
    <w:p>
      <w:pPr>
        <w:pStyle w:val="yDefpara"/>
      </w:pPr>
      <w:r>
        <w:tab/>
        <w:t>(a)</w:t>
      </w:r>
      <w:r>
        <w:tab/>
        <w:t>was lodged before commencement day in accordance with a former provision; and</w:t>
      </w:r>
    </w:p>
    <w:p>
      <w:pPr>
        <w:pStyle w:val="yDefpara"/>
      </w:pPr>
      <w:r>
        <w:tab/>
        <w:t>(b)</w:t>
      </w:r>
      <w:r>
        <w:tab/>
        <w:t>was not, before commencement day, approved or refused to be approved as described in that former provision;</w:t>
      </w:r>
    </w:p>
    <w:p>
      <w:pPr>
        <w:pStyle w:val="yDefstart"/>
      </w:pPr>
      <w:r>
        <w:tab/>
      </w:r>
      <w:r>
        <w:rPr>
          <w:rStyle w:val="CharDefText"/>
        </w:rPr>
        <w:t>former provision</w:t>
      </w:r>
      <w:r>
        <w:t xml:space="preserve"> means — </w:t>
      </w:r>
    </w:p>
    <w:p>
      <w:pPr>
        <w:pStyle w:val="yDefpara"/>
      </w:pPr>
      <w:r>
        <w:tab/>
        <w:t>(a)</w:t>
      </w:r>
      <w:r>
        <w:tab/>
        <w:t>former section 46(aa); or</w:t>
      </w:r>
    </w:p>
    <w:p>
      <w:pPr>
        <w:pStyle w:val="yDefpara"/>
      </w:pPr>
      <w:r>
        <w:tab/>
        <w:t>(b)</w:t>
      </w:r>
      <w:r>
        <w:tab/>
        <w:t>former section 63(aa); or</w:t>
      </w:r>
    </w:p>
    <w:p>
      <w:pPr>
        <w:pStyle w:val="yDefpara"/>
      </w:pPr>
      <w:r>
        <w:tab/>
        <w:t>(c)</w:t>
      </w:r>
      <w:r>
        <w:tab/>
        <w:t>former section 70H(1)(aa); or</w:t>
      </w:r>
    </w:p>
    <w:p>
      <w:pPr>
        <w:pStyle w:val="yDefpara"/>
      </w:pPr>
      <w:r>
        <w:tab/>
        <w:t>(d)</w:t>
      </w:r>
      <w:r>
        <w:tab/>
        <w:t>former section 82(1)(ca)(i);</w:t>
      </w:r>
    </w:p>
    <w:p>
      <w:pPr>
        <w:pStyle w:val="yDefstart"/>
      </w:pPr>
      <w:r>
        <w:tab/>
      </w:r>
      <w:r>
        <w:rPr>
          <w:rStyle w:val="CharDefText"/>
        </w:rPr>
        <w:t>previously approved programme of work</w:t>
      </w:r>
      <w:r>
        <w:t xml:space="preserve"> means a programme of work referred to in a former provision for which there was, immediately before commencement day, approval as described in that former provision.</w:t>
      </w:r>
    </w:p>
    <w:p>
      <w:pPr>
        <w:pStyle w:val="ySubsection"/>
        <w:keepNext/>
      </w:pPr>
      <w:r>
        <w:lastRenderedPageBreak/>
        <w:tab/>
        <w:t>(2)</w:t>
      </w:r>
      <w:r>
        <w:tab/>
        <w:t xml:space="preserve">On and from commencement day — </w:t>
      </w:r>
    </w:p>
    <w:p>
      <w:pPr>
        <w:pStyle w:val="yIndenta"/>
      </w:pPr>
      <w:r>
        <w:tab/>
        <w:t>(a)</w:t>
      </w:r>
      <w:r>
        <w:tab/>
        <w:t>a previously approved programme of work is taken to be a programme of work lodged in accordance with section 103AJ(2); and</w:t>
      </w:r>
    </w:p>
    <w:p>
      <w:pPr>
        <w:pStyle w:val="yIndenta"/>
      </w:pPr>
      <w:r>
        <w:tab/>
        <w:t>(b)</w:t>
      </w:r>
      <w:r>
        <w:tab/>
        <w:t>an activity proposed in a previously approved programme of work is taken to be approved under section 103AK(1).</w:t>
      </w:r>
    </w:p>
    <w:p>
      <w:pPr>
        <w:pStyle w:val="ySubsection"/>
      </w:pPr>
      <w:r>
        <w:tab/>
        <w:t>(3)</w:t>
      </w:r>
      <w:r>
        <w:tab/>
        <w:t>On and from commencement day, an existing undetermined programme of work is taken to be a programme of work lodged in accordance with section 103AJ(2).</w:t>
      </w:r>
    </w:p>
    <w:p>
      <w:pPr>
        <w:pStyle w:val="yFootnotesection"/>
      </w:pPr>
      <w:r>
        <w:tab/>
        <w:t>[Clause 23 inserted: No. 31 of 2022 s. 41.]</w:t>
      </w:r>
    </w:p>
    <w:p>
      <w:pPr>
        <w:pStyle w:val="yHeading5"/>
      </w:pPr>
      <w:bookmarkStart w:id="324" w:name="_Toc207116687"/>
      <w:r>
        <w:rPr>
          <w:rStyle w:val="CharSClsNo"/>
        </w:rPr>
        <w:t>24</w:t>
      </w:r>
      <w:r>
        <w:t>.</w:t>
      </w:r>
      <w:r>
        <w:tab/>
        <w:t>Transitional provisions for existing undetermined mining proposals</w:t>
      </w:r>
      <w:bookmarkEnd w:id="324"/>
    </w:p>
    <w:p>
      <w:pPr>
        <w:pStyle w:val="ySubsection"/>
      </w:pPr>
      <w:r>
        <w:tab/>
        <w:t>(1)</w:t>
      </w:r>
      <w:r>
        <w:tab/>
        <w:t xml:space="preserve">In this clause — </w:t>
      </w:r>
    </w:p>
    <w:p>
      <w:pPr>
        <w:pStyle w:val="yDefstart"/>
      </w:pPr>
      <w:r>
        <w:tab/>
      </w:r>
      <w:r>
        <w:rPr>
          <w:rStyle w:val="CharDefText"/>
        </w:rPr>
        <w:t>existing undetermined mining proposal</w:t>
      </w:r>
      <w:r>
        <w:t xml:space="preserve"> means — </w:t>
      </w:r>
    </w:p>
    <w:p>
      <w:pPr>
        <w:pStyle w:val="yDefpara"/>
      </w:pPr>
      <w:r>
        <w:tab/>
        <w:t>(a)</w:t>
      </w:r>
      <w:r>
        <w:tab/>
        <w:t>a mining proposal that accompanied, under former section 74(1)(ca)(i), the application for a mining lease that was lodged, but not finally determined, before commencement day; or</w:t>
      </w:r>
    </w:p>
    <w:p>
      <w:pPr>
        <w:pStyle w:val="yDefpara"/>
      </w:pPr>
      <w:r>
        <w:tab/>
        <w:t>(b)</w:t>
      </w:r>
      <w:r>
        <w:tab/>
        <w:t>a mining proposal that was lodged before commencement day in accordance with former section 82A(2)(a) and written approval for the mining proposal was not obtained before commencement day, as described in former section 82A(2)(b); or</w:t>
      </w:r>
    </w:p>
    <w:p>
      <w:pPr>
        <w:pStyle w:val="yDefpara"/>
      </w:pPr>
      <w:r>
        <w:tab/>
        <w:t>(c)</w:t>
      </w:r>
      <w:r>
        <w:tab/>
        <w:t>a mining proposal that was lodged before commencement day in accordance with a condition imposed under former section 84 and was not, before commencement day, approved or refused to be approved as described in the condition.</w:t>
      </w:r>
    </w:p>
    <w:p>
      <w:pPr>
        <w:pStyle w:val="ySubsection"/>
      </w:pPr>
      <w:r>
        <w:tab/>
        <w:t>(2)</w:t>
      </w:r>
      <w:r>
        <w:tab/>
        <w:t xml:space="preserve">On and from commencement day — </w:t>
      </w:r>
    </w:p>
    <w:p>
      <w:pPr>
        <w:pStyle w:val="yIndenta"/>
      </w:pPr>
      <w:r>
        <w:tab/>
        <w:t>(a)</w:t>
      </w:r>
      <w:r>
        <w:tab/>
        <w:t>an existing undetermined mining proposal is taken to be a mining development and closure proposal lodged in accordance with section 103AN(2); and</w:t>
      </w:r>
    </w:p>
    <w:p>
      <w:pPr>
        <w:pStyle w:val="yIndenta"/>
        <w:keepNext/>
      </w:pPr>
      <w:r>
        <w:tab/>
        <w:t>(b)</w:t>
      </w:r>
      <w:r>
        <w:tab/>
        <w:t xml:space="preserve">a mine closure plan contained in an existing undetermined mining proposal is taken to be information required under section 103AN(3)(d)(ii), (iii) and (iv) to be included in a </w:t>
      </w:r>
      <w:r>
        <w:lastRenderedPageBreak/>
        <w:t>mining development and closure proposal lodged in accordance with section 103AN(2).</w:t>
      </w:r>
    </w:p>
    <w:p>
      <w:pPr>
        <w:pStyle w:val="yFootnotesection"/>
      </w:pPr>
      <w:r>
        <w:tab/>
        <w:t>[Clause 24 inserted: No. 31 of 2022 s. 41.]</w:t>
      </w:r>
    </w:p>
    <w:p>
      <w:pPr>
        <w:pStyle w:val="yHeading5"/>
      </w:pPr>
      <w:bookmarkStart w:id="325" w:name="_Toc207116688"/>
      <w:r>
        <w:rPr>
          <w:rStyle w:val="CharSClsNo"/>
        </w:rPr>
        <w:t>25</w:t>
      </w:r>
      <w:r>
        <w:t>.</w:t>
      </w:r>
      <w:r>
        <w:tab/>
        <w:t>Transitional provisions for previously approved mining proposals</w:t>
      </w:r>
      <w:bookmarkEnd w:id="325"/>
    </w:p>
    <w:p>
      <w:pPr>
        <w:pStyle w:val="ySubsection"/>
      </w:pPr>
      <w:r>
        <w:tab/>
        <w:t>(1)</w:t>
      </w:r>
      <w:r>
        <w:tab/>
        <w:t xml:space="preserve">In this clause — </w:t>
      </w:r>
    </w:p>
    <w:p>
      <w:pPr>
        <w:pStyle w:val="yDefstart"/>
      </w:pPr>
      <w:r>
        <w:tab/>
      </w:r>
      <w:r>
        <w:rPr>
          <w:rStyle w:val="CharDefText"/>
        </w:rPr>
        <w:t>previously approved mining proposal</w:t>
      </w:r>
      <w:r>
        <w:t xml:space="preserve"> means — </w:t>
      </w:r>
    </w:p>
    <w:p>
      <w:pPr>
        <w:pStyle w:val="yDefpara"/>
      </w:pPr>
      <w:r>
        <w:tab/>
        <w:t>(a)</w:t>
      </w:r>
      <w:r>
        <w:tab/>
        <w:t>a mining proposal that accompanied, under former section 74(1)(ca)(i), the application for a mining lease that was granted before commencement day; or</w:t>
      </w:r>
    </w:p>
    <w:p>
      <w:pPr>
        <w:pStyle w:val="yDefpara"/>
      </w:pPr>
      <w:r>
        <w:tab/>
        <w:t>(b)</w:t>
      </w:r>
      <w:r>
        <w:tab/>
        <w:t>a mining proposal for which there was, immediately before commencement day, approval as described in former section 82A(2)(b); or</w:t>
      </w:r>
    </w:p>
    <w:p>
      <w:pPr>
        <w:pStyle w:val="yDefpara"/>
      </w:pPr>
      <w:r>
        <w:tab/>
        <w:t>(c)</w:t>
      </w:r>
      <w:r>
        <w:tab/>
        <w:t>a mining proposal for which there was, immediately before commencement day, approval as described in a condition imposed under former section 84;</w:t>
      </w:r>
    </w:p>
    <w:p>
      <w:pPr>
        <w:pStyle w:val="yDefstart"/>
      </w:pPr>
      <w:r>
        <w:tab/>
      </w:r>
      <w:r>
        <w:rPr>
          <w:rStyle w:val="CharDefText"/>
        </w:rPr>
        <w:t>transition period</w:t>
      </w:r>
      <w:r>
        <w:t xml:space="preserve"> means the period beginning on commencement day and ending — </w:t>
      </w:r>
    </w:p>
    <w:p>
      <w:pPr>
        <w:pStyle w:val="yDefpara"/>
      </w:pPr>
      <w:r>
        <w:tab/>
        <w:t>(a)</w:t>
      </w:r>
      <w:r>
        <w:tab/>
        <w:t>10 years after that day; or</w:t>
      </w:r>
    </w:p>
    <w:p>
      <w:pPr>
        <w:pStyle w:val="yDefpara"/>
      </w:pPr>
      <w:r>
        <w:tab/>
        <w:t>(b)</w:t>
      </w:r>
      <w:r>
        <w:tab/>
        <w:t>on a later day approved by —</w:t>
      </w:r>
    </w:p>
    <w:p>
      <w:pPr>
        <w:pStyle w:val="yDefsubpara"/>
      </w:pPr>
      <w:r>
        <w:tab/>
        <w:t>(i)</w:t>
      </w:r>
      <w:r>
        <w:tab/>
        <w:t>the Minister; or</w:t>
      </w:r>
    </w:p>
    <w:p>
      <w:pPr>
        <w:pStyle w:val="yDefsubpara"/>
      </w:pPr>
      <w:r>
        <w:tab/>
        <w:t>(ii)</w:t>
      </w:r>
      <w:r>
        <w:tab/>
        <w:t>if the Minister does not approve a later day — the Director General of Mines.</w:t>
      </w:r>
    </w:p>
    <w:p>
      <w:pPr>
        <w:pStyle w:val="ySubsection"/>
      </w:pPr>
      <w:r>
        <w:tab/>
        <w:t>(2)</w:t>
      </w:r>
      <w:r>
        <w:tab/>
        <w:t>During the transition period, a copy of an approvals statement may be given to the holder of a mining tenement in accordance with section 103AO(2)(b).</w:t>
      </w:r>
    </w:p>
    <w:p>
      <w:pPr>
        <w:pStyle w:val="ySubsection"/>
      </w:pPr>
      <w:r>
        <w:tab/>
        <w:t>(3)</w:t>
      </w:r>
      <w:r>
        <w:tab/>
        <w:t xml:space="preserve">If an approvals statement is given under subclause (2) — </w:t>
      </w:r>
    </w:p>
    <w:p>
      <w:pPr>
        <w:pStyle w:val="yIndenta"/>
      </w:pPr>
      <w:r>
        <w:tab/>
        <w:t>(a)</w:t>
      </w:r>
      <w:r>
        <w:tab/>
        <w:t>a previously approved mining proposal for the mining tenement is taken to be a mining development and closure proposal lodged in accordance with section 103AN(2); and</w:t>
      </w:r>
    </w:p>
    <w:p>
      <w:pPr>
        <w:pStyle w:val="yIndenta"/>
      </w:pPr>
      <w:r>
        <w:tab/>
        <w:t>(b)</w:t>
      </w:r>
      <w:r>
        <w:tab/>
        <w:t xml:space="preserve">the mining operations proposed in the previously approved mining proposal for the mining tenement is taken to be an activity (a </w:t>
      </w:r>
      <w:r>
        <w:rPr>
          <w:rStyle w:val="CharDefText"/>
        </w:rPr>
        <w:t>transitioned activity</w:t>
      </w:r>
      <w:r>
        <w:t>) approved under section 103AO(1); and</w:t>
      </w:r>
    </w:p>
    <w:p>
      <w:pPr>
        <w:pStyle w:val="yIndenta"/>
      </w:pPr>
      <w:r>
        <w:lastRenderedPageBreak/>
        <w:tab/>
        <w:t>(c)</w:t>
      </w:r>
      <w:r>
        <w:tab/>
        <w:t>the mine closure plan contained in the previously approved mining proposal for the mining tenement is taken to be a mine closure plan lodged in accordance with section 103AT(1).</w:t>
      </w:r>
    </w:p>
    <w:p>
      <w:pPr>
        <w:pStyle w:val="ySubsection"/>
      </w:pPr>
      <w:r>
        <w:tab/>
        <w:t>(4)</w:t>
      </w:r>
      <w:r>
        <w:tab/>
        <w:t>An approval of a transitioned activity must be recorded on the approvals statement in accordance with section 103AO(2)(a).</w:t>
      </w:r>
    </w:p>
    <w:p>
      <w:pPr>
        <w:pStyle w:val="yFootnotesection"/>
      </w:pPr>
      <w:r>
        <w:tab/>
        <w:t>[Clause 25 inserted: No. 31 of 2022 s. 41.]</w:t>
      </w:r>
    </w:p>
    <w:p>
      <w:pPr>
        <w:pStyle w:val="yHeading3"/>
      </w:pPr>
      <w:bookmarkStart w:id="326" w:name="_Toc207116689"/>
      <w:r>
        <w:rPr>
          <w:rStyle w:val="CharSDivNo"/>
        </w:rPr>
        <w:t>Division 4</w:t>
      </w:r>
      <w:r>
        <w:t> — </w:t>
      </w:r>
      <w:r>
        <w:rPr>
          <w:rStyle w:val="CharSDivText"/>
        </w:rPr>
        <w:t xml:space="preserve">Provisions relating to </w:t>
      </w:r>
      <w:r>
        <w:rPr>
          <w:rStyle w:val="CharSDivText"/>
          <w:i/>
        </w:rPr>
        <w:t>Mining Amendment (Transfer of Royalty Administration) Act 2025</w:t>
      </w:r>
      <w:bookmarkEnd w:id="326"/>
    </w:p>
    <w:p>
      <w:pPr>
        <w:pStyle w:val="yFootnoteheading"/>
        <w:rPr>
          <w:snapToGrid w:val="0"/>
        </w:rPr>
      </w:pPr>
      <w:r>
        <w:rPr>
          <w:snapToGrid w:val="0"/>
        </w:rPr>
        <w:tab/>
        <w:t>[Heading inserted: No. 7 of 2025 s. 16.]</w:t>
      </w:r>
    </w:p>
    <w:p>
      <w:pPr>
        <w:pStyle w:val="yHeading5"/>
      </w:pPr>
      <w:bookmarkStart w:id="327" w:name="_Toc207116690"/>
      <w:r>
        <w:rPr>
          <w:rStyle w:val="CharSClsNo"/>
        </w:rPr>
        <w:t>26</w:t>
      </w:r>
      <w:r>
        <w:t>.</w:t>
      </w:r>
      <w:r>
        <w:tab/>
      </w:r>
      <w:r>
        <w:rPr>
          <w:i/>
        </w:rPr>
        <w:t>Interpretation Act 1984</w:t>
      </w:r>
      <w:r>
        <w:t xml:space="preserve"> not affected</w:t>
      </w:r>
      <w:bookmarkEnd w:id="327"/>
    </w:p>
    <w:p>
      <w:pPr>
        <w:pStyle w:val="ySubsection"/>
      </w:pPr>
      <w:r>
        <w:tab/>
      </w:r>
      <w:r>
        <w:tab/>
        <w:t xml:space="preserve">This Division is in addition to the </w:t>
      </w:r>
      <w:r>
        <w:rPr>
          <w:i/>
        </w:rPr>
        <w:t>Interpretation Act 1984</w:t>
      </w:r>
      <w:r>
        <w:t xml:space="preserve"> and does not limit or otherwise affect the operation of the provisions of that Act.</w:t>
      </w:r>
    </w:p>
    <w:p>
      <w:pPr>
        <w:pStyle w:val="yFootnotesection"/>
      </w:pPr>
      <w:r>
        <w:tab/>
        <w:t>[Clause 26 inserted: No. 7 of 2025 s. 16.]</w:t>
      </w:r>
    </w:p>
    <w:p>
      <w:pPr>
        <w:pStyle w:val="yHeading5"/>
      </w:pPr>
      <w:bookmarkStart w:id="328" w:name="_Toc207116691"/>
      <w:r>
        <w:rPr>
          <w:rStyle w:val="CharSClsNo"/>
        </w:rPr>
        <w:t>27</w:t>
      </w:r>
      <w:r>
        <w:t>.</w:t>
      </w:r>
      <w:r>
        <w:tab/>
        <w:t>Act continues to be administered by Minister</w:t>
      </w:r>
      <w:bookmarkEnd w:id="328"/>
    </w:p>
    <w:p>
      <w:pPr>
        <w:pStyle w:val="ySubsection"/>
      </w:pPr>
      <w:r>
        <w:tab/>
      </w:r>
      <w:r>
        <w:tab/>
        <w:t xml:space="preserve">Despite the repeal of section 10(1) by the </w:t>
      </w:r>
      <w:r>
        <w:rPr>
          <w:i/>
        </w:rPr>
        <w:t>Mining Amendment (Transfer of Royalty Administration) Act 2025</w:t>
      </w:r>
      <w:r>
        <w:t xml:space="preserve"> section 5, this Act continues to be, and is taken always to have been, administered by the Minister to whom its administration is for the time being, and has from time to time been, committed by the Governor.</w:t>
      </w:r>
    </w:p>
    <w:p>
      <w:pPr>
        <w:pStyle w:val="yFootnotesection"/>
      </w:pPr>
      <w:r>
        <w:tab/>
        <w:t>[Clause 27 inserted: No. 7 of 2025 s. 16.]</w:t>
      </w:r>
    </w:p>
    <w:p>
      <w:pPr>
        <w:pStyle w:val="yHeading5"/>
      </w:pPr>
      <w:bookmarkStart w:id="329" w:name="_Toc207116692"/>
      <w:r>
        <w:rPr>
          <w:rStyle w:val="CharSClsNo"/>
        </w:rPr>
        <w:t>28</w:t>
      </w:r>
      <w:r>
        <w:t>.</w:t>
      </w:r>
      <w:r>
        <w:tab/>
        <w:t>Existence of department and appointment of chief executive officer and other officers not affected</w:t>
      </w:r>
      <w:bookmarkEnd w:id="329"/>
    </w:p>
    <w:p>
      <w:pPr>
        <w:pStyle w:val="ySubsection"/>
      </w:pPr>
      <w:r>
        <w:tab/>
      </w:r>
      <w:r>
        <w:tab/>
        <w:t xml:space="preserve">The following are not affected by the repeal of section 11 by the </w:t>
      </w:r>
      <w:r>
        <w:rPr>
          <w:i/>
        </w:rPr>
        <w:t>Mining Amendment (Transfer of Royalty Administration) Act 2025</w:t>
      </w:r>
      <w:r>
        <w:t xml:space="preserve"> section 6 — </w:t>
      </w:r>
    </w:p>
    <w:p>
      <w:pPr>
        <w:pStyle w:val="yIndenta"/>
      </w:pPr>
      <w:r>
        <w:tab/>
        <w:t>(a)</w:t>
      </w:r>
      <w:r>
        <w:tab/>
        <w:t>the existence of the department of the Public Service referred to in repealed section 11;</w:t>
      </w:r>
    </w:p>
    <w:p>
      <w:pPr>
        <w:pStyle w:val="yIndenta"/>
      </w:pPr>
      <w:r>
        <w:lastRenderedPageBreak/>
        <w:tab/>
        <w:t>(b)</w:t>
      </w:r>
      <w:r>
        <w:tab/>
        <w:t xml:space="preserve">the appointment, referred to in repealed section 11, of the chief executive officer and other officers of that department under the </w:t>
      </w:r>
      <w:r>
        <w:rPr>
          <w:i/>
        </w:rPr>
        <w:t>Public Sector Management Act 1994</w:t>
      </w:r>
      <w:r>
        <w:t xml:space="preserve"> Part 3.</w:t>
      </w:r>
    </w:p>
    <w:p>
      <w:pPr>
        <w:pStyle w:val="yFootnotesection"/>
      </w:pPr>
      <w:r>
        <w:tab/>
        <w:t>[Clause 28 inserted: No. 7 of 2025 s. 16.]</w:t>
      </w:r>
    </w:p>
    <w:p>
      <w:pPr>
        <w:pStyle w:val="yHeading5"/>
      </w:pPr>
      <w:bookmarkStart w:id="330" w:name="_Toc207116693"/>
      <w:r>
        <w:rPr>
          <w:rStyle w:val="CharSClsNo"/>
        </w:rPr>
        <w:t>29</w:t>
      </w:r>
      <w:r>
        <w:t>.</w:t>
      </w:r>
      <w:r>
        <w:tab/>
        <w:t>Royalties actions taken under repealed provisions before commencement day</w:t>
      </w:r>
      <w:bookmarkEnd w:id="33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(Transfer of Royalty Administration) Act 2025</w:t>
      </w:r>
      <w:r>
        <w:t xml:space="preserve"> section 10 comes into operation;</w:t>
      </w:r>
    </w:p>
    <w:p>
      <w:pPr>
        <w:pStyle w:val="yDefstart"/>
      </w:pPr>
      <w:r>
        <w:tab/>
      </w:r>
      <w:r>
        <w:rPr>
          <w:rStyle w:val="CharDefText"/>
        </w:rPr>
        <w:t>corresponding provision</w:t>
      </w:r>
      <w:r>
        <w:t>, of Part 5A in relation to a repealed provision, means the provision of Part 5A, or a regulation under Part 5A, that is substantially the same as the repealed provision;</w:t>
      </w:r>
    </w:p>
    <w:p>
      <w:pPr>
        <w:pStyle w:val="yDefstart"/>
      </w:pPr>
      <w:r>
        <w:tab/>
      </w:r>
      <w:r>
        <w:rPr>
          <w:rStyle w:val="CharDefText"/>
        </w:rPr>
        <w:t>repealed</w:t>
      </w:r>
      <w:r>
        <w:t>, in relation to section 109 or 109A or a regulation under section 109, means that provision as in force from time to time before the commencement day;</w:t>
      </w:r>
    </w:p>
    <w:p>
      <w:pPr>
        <w:pStyle w:val="yDefstart"/>
      </w:pPr>
      <w:r>
        <w:tab/>
      </w:r>
      <w:r>
        <w:rPr>
          <w:rStyle w:val="CharDefText"/>
        </w:rPr>
        <w:t>repealed provisions</w:t>
      </w:r>
      <w:r>
        <w:t xml:space="preserve"> means repealed sections 109 and 109A and regulations under repealed section 109.</w:t>
      </w:r>
    </w:p>
    <w:p>
      <w:pPr>
        <w:pStyle w:val="ySubsection"/>
      </w:pPr>
      <w:r>
        <w:tab/>
        <w:t>(2)</w:t>
      </w:r>
      <w:r>
        <w:tab/>
        <w:t xml:space="preserve">Anything done or that may have been done by the Minister under a repealed provision before the commencement day — </w:t>
      </w:r>
    </w:p>
    <w:p>
      <w:pPr>
        <w:pStyle w:val="yIndenta"/>
      </w:pPr>
      <w:r>
        <w:tab/>
        <w:t>(a)</w:t>
      </w:r>
      <w:r>
        <w:tab/>
        <w:t>is, on and from the commencement day, taken to have been done by the Minister under the corresponding provision of Part 5A; and</w:t>
      </w:r>
    </w:p>
    <w:p>
      <w:pPr>
        <w:pStyle w:val="yIndenta"/>
      </w:pPr>
      <w:r>
        <w:tab/>
        <w:t>(b)</w:t>
      </w:r>
      <w:r>
        <w:tab/>
        <w:t>if doing the thing is ongoing, unfinished or yet to be started, may, on or after the commencement day, continue to be done or started by the Minister under the corresponding provision of Part 5A.</w:t>
      </w:r>
    </w:p>
    <w:p>
      <w:pPr>
        <w:pStyle w:val="ySubsection"/>
      </w:pPr>
      <w:r>
        <w:tab/>
        <w:t>(3)</w:t>
      </w:r>
      <w:r>
        <w:tab/>
        <w:t xml:space="preserve">Without limiting subclause (2) — </w:t>
      </w:r>
    </w:p>
    <w:p>
      <w:pPr>
        <w:pStyle w:val="yIndenta"/>
      </w:pPr>
      <w:r>
        <w:tab/>
        <w:t>(a)</w:t>
      </w:r>
      <w:r>
        <w:tab/>
        <w:t>an estimate or determination of a royalty payable that is, or may be, made by the Minister under repealed section 109A(1) or (6) is taken to have been made, or may be made, by the Minister under section 120F; and</w:t>
      </w:r>
    </w:p>
    <w:p>
      <w:pPr>
        <w:pStyle w:val="yIndenta"/>
      </w:pPr>
      <w:r>
        <w:tab/>
        <w:t>(b)</w:t>
      </w:r>
      <w:r>
        <w:tab/>
        <w:t xml:space="preserve">a notice about an estimate or determination of a royalty payable that is, or may be, given by the Minister under </w:t>
      </w:r>
      <w:r>
        <w:lastRenderedPageBreak/>
        <w:t>repealed section 109A(1) or (6) is taken to have been given, or may be given, by the Minister under section 120G; and</w:t>
      </w:r>
    </w:p>
    <w:p>
      <w:pPr>
        <w:pStyle w:val="yIndenta"/>
      </w:pPr>
      <w:r>
        <w:tab/>
        <w:t>(c)</w:t>
      </w:r>
      <w:r>
        <w:tab/>
        <w:t>a certificate that a royalty has been properly assessed and calculated accepted by, or given to but not yet accepted by, the Minister under repealed section 109A(2) is taken to have been accepted by or given to the Minister under section 120H; and</w:t>
      </w:r>
    </w:p>
    <w:p>
      <w:pPr>
        <w:pStyle w:val="yIndenta"/>
      </w:pPr>
      <w:r>
        <w:tab/>
        <w:t>(d)</w:t>
      </w:r>
      <w:r>
        <w:tab/>
        <w:t>a penalty amount determined, or that may be determined, by the Minister under repealed section 109A(6)(b) is taken to have been determined, or may be determined, by the Minister under section 120P(3).</w:t>
      </w:r>
    </w:p>
    <w:p>
      <w:pPr>
        <w:pStyle w:val="ySubsection"/>
      </w:pPr>
      <w:r>
        <w:tab/>
        <w:t>(4)</w:t>
      </w:r>
      <w:r>
        <w:tab/>
        <w:t xml:space="preserve">Despite subclauses (2) and (3), a legal proceeding about anything done by the Minister under a repealed provision that, immediately before the commencement day, was being taken, or may have been taken, by or against the Minister may be continued or taken by or against the Minister as though the </w:t>
      </w:r>
      <w:r>
        <w:rPr>
          <w:i/>
        </w:rPr>
        <w:t>Mining Amendment (Transfer of Royalty Administration) Act 2025</w:t>
      </w:r>
      <w:r>
        <w:t xml:space="preserve"> had not been enacted.</w:t>
      </w:r>
    </w:p>
    <w:p>
      <w:pPr>
        <w:pStyle w:val="yFootnotesection"/>
      </w:pPr>
      <w:r>
        <w:tab/>
        <w:t>[Clause 29 inserted: No. 7 of 2025 s. 16.]</w:t>
      </w:r>
    </w:p>
    <w:p>
      <w:pPr>
        <w:pStyle w:val="yHeading5"/>
      </w:pPr>
      <w:bookmarkStart w:id="331" w:name="_Toc207116694"/>
      <w:r>
        <w:rPr>
          <w:rStyle w:val="CharSClsNo"/>
        </w:rPr>
        <w:t>30</w:t>
      </w:r>
      <w:r>
        <w:t>.</w:t>
      </w:r>
      <w:r>
        <w:tab/>
        <w:t>Transitional regulations</w:t>
      </w:r>
      <w:bookmarkEnd w:id="331"/>
    </w:p>
    <w:p>
      <w:pPr>
        <w:pStyle w:val="ySubsection"/>
      </w:pPr>
      <w:r>
        <w:tab/>
        <w:t>(1)</w:t>
      </w:r>
      <w:r>
        <w:tab/>
        <w:t xml:space="preserve">In this clause — </w:t>
      </w:r>
    </w:p>
    <w:p>
      <w:pPr>
        <w:pStyle w:val="yDefstart"/>
      </w:pPr>
      <w:r>
        <w:tab/>
      </w:r>
      <w:r>
        <w:rPr>
          <w:rStyle w:val="CharDefText"/>
        </w:rPr>
        <w:t>commencement day</w:t>
      </w:r>
      <w:r>
        <w:t xml:space="preserve"> means the day on which this clause comes into operation;</w:t>
      </w:r>
    </w:p>
    <w:p>
      <w:pPr>
        <w:pStyle w:val="yDefstart"/>
      </w:pPr>
      <w:r>
        <w:tab/>
      </w:r>
      <w:r>
        <w:rPr>
          <w:rStyle w:val="CharDefText"/>
        </w:rPr>
        <w:t>publication day</w:t>
      </w:r>
      <w:r>
        <w:t xml:space="preserve">, in relation to transitional regulations, means the day on which the regulations are published in accordance with the </w:t>
      </w:r>
      <w:r>
        <w:rPr>
          <w:i/>
          <w:iCs/>
        </w:rPr>
        <w:t>Interpretation Act 1984</w:t>
      </w:r>
      <w:r>
        <w:t xml:space="preserve"> section 41(1)(a);</w:t>
      </w:r>
    </w:p>
    <w:p>
      <w:pPr>
        <w:pStyle w:val="yDefstart"/>
      </w:pPr>
      <w:r>
        <w:tab/>
      </w:r>
      <w:r>
        <w:rPr>
          <w:rStyle w:val="CharDefText"/>
        </w:rPr>
        <w:t>transitional regulations</w:t>
      </w:r>
      <w:r>
        <w:t xml:space="preserve"> means regulations made for the purposes of subclause (2).</w:t>
      </w:r>
    </w:p>
    <w:p>
      <w:pPr>
        <w:pStyle w:val="ySubsection"/>
      </w:pPr>
      <w:r>
        <w:tab/>
        <w:t>(2)</w:t>
      </w:r>
      <w:r>
        <w:tab/>
        <w:t xml:space="preserve">The regulations may deal with matters of a transitional, savings or application nature arising as a result of the enactment of the </w:t>
      </w:r>
      <w:r>
        <w:rPr>
          <w:i/>
        </w:rPr>
        <w:t>Mining Amendment (Transfer of Royalty Administration) Act 2025</w:t>
      </w:r>
      <w:r>
        <w:t xml:space="preserve"> Part 2.</w:t>
      </w:r>
    </w:p>
    <w:p>
      <w:pPr>
        <w:pStyle w:val="ySubsection"/>
      </w:pPr>
      <w:r>
        <w:tab/>
        <w:t>(3)</w:t>
      </w:r>
      <w:r>
        <w:tab/>
        <w:t>Transitional regulations may not be made after the end of the period of 2 years beginning on the commencement day.</w:t>
      </w:r>
    </w:p>
    <w:p>
      <w:pPr>
        <w:pStyle w:val="ySubsection"/>
      </w:pPr>
      <w:r>
        <w:tab/>
        <w:t>(4)</w:t>
      </w:r>
      <w:r>
        <w:tab/>
        <w:t xml:space="preserve">If transitional regulations provide that a state of affairs is taken to have existed, or not to have existed, on and from a day that is earlier </w:t>
      </w:r>
      <w:r>
        <w:lastRenderedPageBreak/>
        <w:t>than the publication day, but not earlier than the commencement day, the regulations have effect according to their terms.</w:t>
      </w:r>
    </w:p>
    <w:p>
      <w:pPr>
        <w:pStyle w:val="ySubsection"/>
      </w:pPr>
      <w:r>
        <w:tab/>
        <w:t>(5)</w:t>
      </w:r>
      <w:r>
        <w:tab/>
        <w:t xml:space="preserve">If transitional regulations contain a provision referred to in subclause (4), the provision does not operate so as to — </w:t>
      </w:r>
    </w:p>
    <w:p>
      <w:pPr>
        <w:pStyle w:val="yIndenta"/>
      </w:pPr>
      <w:r>
        <w:tab/>
        <w:t>(a)</w:t>
      </w:r>
      <w:r>
        <w:tab/>
        <w:t>affect, in a manner prejudicial to any person (other than the State or an authority of the State), the rights of that person existing before publication day; or</w:t>
      </w:r>
    </w:p>
    <w:p>
      <w:pPr>
        <w:pStyle w:val="yIndenta"/>
      </w:pPr>
      <w:r>
        <w:tab/>
        <w:t>(b)</w:t>
      </w:r>
      <w:r>
        <w:tab/>
        <w:t>impose liabilities on any person (other than the State or an authority of the State) in respect of anything done or omitted to be done before publication day.</w:t>
      </w:r>
    </w:p>
    <w:p>
      <w:pPr>
        <w:pStyle w:val="yFootnotesection"/>
      </w:pPr>
      <w:r>
        <w:tab/>
        <w:t>[Clause 30 inserted: No. 7 of 2025 s. 16.]</w:t>
      </w:r>
    </w:p>
    <w:p>
      <w:pPr>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outlineLvl w:val="0"/>
      </w:pPr>
      <w:bookmarkStart w:id="333" w:name="_Toc207116695"/>
      <w:r>
        <w:rPr>
          <w:rStyle w:val="CharSchNo"/>
        </w:rPr>
        <w:lastRenderedPageBreak/>
        <w:t>Third Schedule</w:t>
      </w:r>
      <w:r>
        <w:rPr>
          <w:rStyle w:val="CharSDivNo"/>
        </w:rPr>
        <w:t> </w:t>
      </w:r>
      <w:r>
        <w:t>—</w:t>
      </w:r>
      <w:r>
        <w:rPr>
          <w:rStyle w:val="CharSDivText"/>
        </w:rPr>
        <w:t> </w:t>
      </w:r>
      <w:r>
        <w:rPr>
          <w:rStyle w:val="CharSchText"/>
        </w:rPr>
        <w:t>Private land not open for mining</w:t>
      </w:r>
      <w:bookmarkEnd w:id="333"/>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334" w:name="_Toc207116696"/>
      <w:r>
        <w:lastRenderedPageBreak/>
        <w:t>Notes</w:t>
      </w:r>
      <w:bookmarkEnd w:id="334"/>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335" w:name="_Toc207116697"/>
      <w:r>
        <w:t>Compilation table</w:t>
      </w:r>
      <w:bookmarkEnd w:id="33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lastRenderedPageBreak/>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lastRenderedPageBreak/>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rPr>
          <w:cantSplit/>
        </w:trPr>
        <w:tc>
          <w:tcPr>
            <w:tcW w:w="2268" w:type="dxa"/>
            <w:tcBorders>
              <w:top w:val="nil"/>
              <w:bottom w:val="nil"/>
            </w:tcBorders>
            <w:shd w:val="clear" w:color="auto" w:fill="auto"/>
          </w:tcPr>
          <w:p>
            <w:pPr>
              <w:pStyle w:val="nTable"/>
              <w:spacing w:after="40"/>
              <w:rPr>
                <w:i/>
              </w:rPr>
            </w:pPr>
            <w:r>
              <w:rPr>
                <w:i/>
              </w:rPr>
              <w:t xml:space="preserve">Mining Amendment Act 2022 </w:t>
            </w:r>
            <w:r>
              <w:rPr>
                <w:iCs/>
              </w:rPr>
              <w:t>s. 1</w:t>
            </w:r>
            <w:r>
              <w:rPr>
                <w:iCs/>
              </w:rPr>
              <w:noBreakHyphen/>
              <w:t>3, 6 and 41</w:t>
            </w:r>
          </w:p>
        </w:tc>
        <w:tc>
          <w:tcPr>
            <w:tcW w:w="1134" w:type="dxa"/>
            <w:tcBorders>
              <w:top w:val="nil"/>
              <w:bottom w:val="nil"/>
            </w:tcBorders>
            <w:shd w:val="clear" w:color="auto" w:fill="auto"/>
          </w:tcPr>
          <w:p>
            <w:pPr>
              <w:pStyle w:val="nTable"/>
              <w:spacing w:after="40"/>
            </w:pPr>
            <w:r>
              <w:t>31 of 2022</w:t>
            </w:r>
          </w:p>
        </w:tc>
        <w:tc>
          <w:tcPr>
            <w:tcW w:w="1134" w:type="dxa"/>
            <w:tcBorders>
              <w:top w:val="nil"/>
              <w:bottom w:val="nil"/>
            </w:tcBorders>
            <w:shd w:val="clear" w:color="auto" w:fill="auto"/>
          </w:tcPr>
          <w:p>
            <w:pPr>
              <w:pStyle w:val="nTable"/>
              <w:spacing w:after="40"/>
            </w:pPr>
            <w:r>
              <w:t>28 Sep 2022</w:t>
            </w:r>
          </w:p>
        </w:tc>
        <w:tc>
          <w:tcPr>
            <w:tcW w:w="2552" w:type="dxa"/>
            <w:tcBorders>
              <w:top w:val="nil"/>
              <w:bottom w:val="nil"/>
            </w:tcBorders>
            <w:shd w:val="clear" w:color="auto" w:fill="auto"/>
          </w:tcPr>
          <w:p>
            <w:pPr>
              <w:pStyle w:val="nTable"/>
              <w:spacing w:after="40"/>
              <w:rPr>
                <w:snapToGrid w:val="0"/>
              </w:rPr>
            </w:pPr>
            <w:r>
              <w:rPr>
                <w:snapToGrid w:val="0"/>
              </w:rPr>
              <w:t>s. 1 and 2: 28 Sep 2022 (see s. 2(a));</w:t>
            </w:r>
            <w:r>
              <w:rPr>
                <w:snapToGrid w:val="0"/>
              </w:rPr>
              <w:br/>
              <w:t>s. 3, 6 and 41: 31 Aug 2025 (see s. 2(b) and SL 2025/155 cl. 2)</w:t>
            </w:r>
          </w:p>
        </w:tc>
      </w:tr>
      <w:tr>
        <w:trPr>
          <w:cantSplit/>
        </w:trPr>
        <w:tc>
          <w:tcPr>
            <w:tcW w:w="2268" w:type="dxa"/>
            <w:tcBorders>
              <w:top w:val="nil"/>
              <w:bottom w:val="nil"/>
            </w:tcBorders>
            <w:shd w:val="clear" w:color="auto" w:fill="auto"/>
          </w:tcPr>
          <w:p>
            <w:pPr>
              <w:pStyle w:val="nTable"/>
              <w:spacing w:after="40"/>
              <w:rPr>
                <w:i/>
              </w:rPr>
            </w:pPr>
            <w:r>
              <w:rPr>
                <w:i/>
                <w:snapToGrid w:val="0"/>
              </w:rPr>
              <w:t>Mining Amendment Act (No. 2) 2022</w:t>
            </w:r>
          </w:p>
        </w:tc>
        <w:tc>
          <w:tcPr>
            <w:tcW w:w="1134" w:type="dxa"/>
            <w:tcBorders>
              <w:top w:val="nil"/>
              <w:bottom w:val="nil"/>
            </w:tcBorders>
            <w:shd w:val="clear" w:color="auto" w:fill="auto"/>
          </w:tcPr>
          <w:p>
            <w:pPr>
              <w:pStyle w:val="nTable"/>
              <w:spacing w:after="40"/>
            </w:pPr>
            <w:r>
              <w:t>39 of 2022</w:t>
            </w:r>
          </w:p>
        </w:tc>
        <w:tc>
          <w:tcPr>
            <w:tcW w:w="1134" w:type="dxa"/>
            <w:tcBorders>
              <w:top w:val="nil"/>
              <w:bottom w:val="nil"/>
            </w:tcBorders>
            <w:shd w:val="clear" w:color="auto" w:fill="auto"/>
          </w:tcPr>
          <w:p>
            <w:pPr>
              <w:pStyle w:val="nTable"/>
              <w:spacing w:after="40"/>
            </w:pPr>
            <w:r>
              <w:t>1 Nov 2022</w:t>
            </w:r>
          </w:p>
        </w:tc>
        <w:tc>
          <w:tcPr>
            <w:tcW w:w="2552" w:type="dxa"/>
            <w:tcBorders>
              <w:top w:val="nil"/>
              <w:bottom w:val="nil"/>
            </w:tcBorders>
            <w:shd w:val="clear" w:color="auto" w:fill="auto"/>
          </w:tcPr>
          <w:p>
            <w:pPr>
              <w:pStyle w:val="nTable"/>
              <w:spacing w:after="40"/>
              <w:rPr>
                <w:snapToGrid w:val="0"/>
              </w:rPr>
            </w:pPr>
            <w:r>
              <w:t>s. 1 and 2: 1 Nov 2022 (see s. 2(a));</w:t>
            </w:r>
            <w:r>
              <w:br/>
              <w:t>Act other than s. 1 and 2: 2 Nov 2022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Land and Public Works Legislation Amendment Act 2023</w:t>
            </w:r>
            <w:r>
              <w:rPr>
                <w:snapToGrid w:val="0"/>
              </w:rPr>
              <w:t xml:space="preserve"> Pt. 4 Div. 8</w:t>
            </w:r>
          </w:p>
        </w:tc>
        <w:tc>
          <w:tcPr>
            <w:tcW w:w="1134" w:type="dxa"/>
            <w:shd w:val="clear" w:color="auto" w:fill="auto"/>
          </w:tcPr>
          <w:p>
            <w:pPr>
              <w:pStyle w:val="nTable"/>
              <w:spacing w:after="40"/>
            </w:pPr>
            <w:r>
              <w:t>4 of 2023</w:t>
            </w:r>
          </w:p>
        </w:tc>
        <w:tc>
          <w:tcPr>
            <w:tcW w:w="1134" w:type="dxa"/>
            <w:shd w:val="clear" w:color="auto" w:fill="auto"/>
          </w:tcPr>
          <w:p>
            <w:pPr>
              <w:pStyle w:val="nTable"/>
              <w:spacing w:after="40"/>
            </w:pPr>
            <w:r>
              <w:t>24 Mar 2023</w:t>
            </w:r>
          </w:p>
        </w:tc>
        <w:tc>
          <w:tcPr>
            <w:tcW w:w="2552" w:type="dxa"/>
            <w:shd w:val="clear" w:color="auto" w:fill="auto"/>
          </w:tcPr>
          <w:p>
            <w:pPr>
              <w:pStyle w:val="nTable"/>
              <w:spacing w:after="40"/>
            </w:pPr>
            <w:r>
              <w:t>10 Aug 2023 (see s. 2(b) and SL 2023/132 cl. 2)</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Directors’ Liability Reform Act 2023</w:t>
            </w:r>
            <w:r>
              <w:rPr>
                <w:snapToGrid w:val="0"/>
              </w:rPr>
              <w:t xml:space="preserve"> Pt. 3 Div. 41</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Mining Amendment Act 2023</w:t>
            </w:r>
          </w:p>
        </w:tc>
        <w:tc>
          <w:tcPr>
            <w:tcW w:w="1134" w:type="dxa"/>
            <w:tcBorders>
              <w:top w:val="nil"/>
              <w:bottom w:val="nil"/>
            </w:tcBorders>
            <w:shd w:val="clear" w:color="auto" w:fill="auto"/>
          </w:tcPr>
          <w:p>
            <w:pPr>
              <w:pStyle w:val="nTable"/>
              <w:spacing w:after="40"/>
            </w:pPr>
            <w:r>
              <w:t>27 of 2023</w:t>
            </w:r>
          </w:p>
        </w:tc>
        <w:tc>
          <w:tcPr>
            <w:tcW w:w="1134" w:type="dxa"/>
            <w:tcBorders>
              <w:top w:val="nil"/>
              <w:bottom w:val="nil"/>
            </w:tcBorders>
            <w:shd w:val="clear" w:color="auto" w:fill="auto"/>
          </w:tcPr>
          <w:p>
            <w:pPr>
              <w:pStyle w:val="nTable"/>
              <w:spacing w:after="40"/>
            </w:pPr>
            <w:r>
              <w:t>17 Nov 2023</w:t>
            </w:r>
          </w:p>
        </w:tc>
        <w:tc>
          <w:tcPr>
            <w:tcW w:w="2552" w:type="dxa"/>
            <w:tcBorders>
              <w:top w:val="nil"/>
              <w:bottom w:val="nil"/>
            </w:tcBorders>
            <w:shd w:val="clear" w:color="auto" w:fill="auto"/>
          </w:tcPr>
          <w:p>
            <w:pPr>
              <w:pStyle w:val="nTable"/>
              <w:spacing w:after="40"/>
            </w:pPr>
            <w:r>
              <w:t>s. 1 and 2: 17 Nov 2023 (see s. 2(a));</w:t>
            </w:r>
            <w:r>
              <w:br/>
              <w:t>Act other than s. 1 and 2: 18 Nov 2023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pPr>
            <w:r>
              <w:rPr>
                <w:i/>
                <w:snapToGrid w:val="0"/>
              </w:rPr>
              <w:t>Mining Amendment (Transfer of Royalty Administration) Act 2025</w:t>
            </w:r>
            <w:r>
              <w:rPr>
                <w:iCs/>
                <w:snapToGrid w:val="0"/>
              </w:rPr>
              <w:t xml:space="preserve"> Pt. 2</w:t>
            </w:r>
          </w:p>
        </w:tc>
        <w:tc>
          <w:tcPr>
            <w:tcW w:w="1134" w:type="dxa"/>
            <w:tcBorders>
              <w:bottom w:val="single" w:sz="4" w:space="0" w:color="auto"/>
            </w:tcBorders>
            <w:shd w:val="clear" w:color="auto" w:fill="auto"/>
          </w:tcPr>
          <w:p>
            <w:pPr>
              <w:pStyle w:val="nTable"/>
              <w:spacing w:after="40"/>
            </w:pPr>
            <w:r>
              <w:t>7 of 2025</w:t>
            </w:r>
          </w:p>
        </w:tc>
        <w:tc>
          <w:tcPr>
            <w:tcW w:w="1134" w:type="dxa"/>
            <w:tcBorders>
              <w:bottom w:val="single" w:sz="4" w:space="0" w:color="auto"/>
            </w:tcBorders>
            <w:shd w:val="clear" w:color="auto" w:fill="auto"/>
          </w:tcPr>
          <w:p>
            <w:pPr>
              <w:pStyle w:val="nTable"/>
              <w:spacing w:after="40"/>
            </w:pPr>
            <w:r>
              <w:t>2 Jul 2025</w:t>
            </w:r>
          </w:p>
        </w:tc>
        <w:tc>
          <w:tcPr>
            <w:tcW w:w="2552" w:type="dxa"/>
            <w:tcBorders>
              <w:bottom w:val="single" w:sz="4" w:space="0" w:color="auto"/>
            </w:tcBorders>
            <w:shd w:val="clear" w:color="auto" w:fill="auto"/>
          </w:tcPr>
          <w:p>
            <w:pPr>
              <w:pStyle w:val="nTable"/>
              <w:spacing w:after="40"/>
            </w:pPr>
            <w:r>
              <w:t>1 Sep 2025 (see s. 2(b) and SL 2025/151 cl. 2)</w:t>
            </w:r>
          </w:p>
        </w:tc>
      </w:tr>
    </w:tbl>
    <w:p>
      <w:pPr>
        <w:pStyle w:val="nHeading3"/>
      </w:pPr>
      <w:bookmarkStart w:id="336" w:name="_Toc207116698"/>
      <w:r>
        <w:t>Uncommenced provisions table</w:t>
      </w:r>
      <w:bookmarkEnd w:id="336"/>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lastRenderedPageBreak/>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snapToGrid w:val="0"/>
              </w:rPr>
            </w:pPr>
            <w:r>
              <w:rPr>
                <w:i/>
                <w:snapToGrid w:val="0"/>
              </w:rPr>
              <w:t xml:space="preserve">Mining Amendment Act 2022 </w:t>
            </w:r>
            <w:r>
              <w:rPr>
                <w:snapToGrid w:val="0"/>
              </w:rPr>
              <w:t>(other than s. 1</w:t>
            </w:r>
            <w:r>
              <w:rPr>
                <w:snapToGrid w:val="0"/>
              </w:rPr>
              <w:noBreakHyphen/>
              <w:t>3, 6 and 41)</w:t>
            </w:r>
          </w:p>
        </w:tc>
        <w:tc>
          <w:tcPr>
            <w:tcW w:w="1134" w:type="dxa"/>
            <w:tcBorders>
              <w:top w:val="nil"/>
              <w:bottom w:val="nil"/>
            </w:tcBorders>
            <w:shd w:val="clear" w:color="auto" w:fill="auto"/>
          </w:tcPr>
          <w:p>
            <w:pPr>
              <w:pStyle w:val="nTable"/>
              <w:keepNext/>
              <w:spacing w:after="40"/>
            </w:pPr>
            <w:r>
              <w:t>31 of 2022</w:t>
            </w:r>
          </w:p>
        </w:tc>
        <w:tc>
          <w:tcPr>
            <w:tcW w:w="1134" w:type="dxa"/>
            <w:tcBorders>
              <w:top w:val="nil"/>
              <w:bottom w:val="nil"/>
            </w:tcBorders>
            <w:shd w:val="clear" w:color="auto" w:fill="auto"/>
          </w:tcPr>
          <w:p>
            <w:pPr>
              <w:pStyle w:val="nTable"/>
              <w:keepNext/>
              <w:spacing w:after="40"/>
            </w:pPr>
            <w:r>
              <w:t>28 Sep 2022</w:t>
            </w:r>
          </w:p>
        </w:tc>
        <w:tc>
          <w:tcPr>
            <w:tcW w:w="2552" w:type="dxa"/>
            <w:tcBorders>
              <w:top w:val="nil"/>
              <w:bottom w:val="nil"/>
            </w:tcBorders>
            <w:shd w:val="clear" w:color="auto" w:fill="auto"/>
          </w:tcPr>
          <w:p>
            <w:pPr>
              <w:pStyle w:val="nTable"/>
              <w:keepNext/>
              <w:spacing w:after="40"/>
            </w:pPr>
            <w:r>
              <w:t>9 Sep 2025 (see s. 2(b) and SL 2025/152 cl. 2)</w:t>
            </w:r>
          </w:p>
        </w:tc>
      </w:tr>
      <w:tr>
        <w:trPr>
          <w:cantSplit/>
        </w:trPr>
        <w:tc>
          <w:tcPr>
            <w:tcW w:w="2273" w:type="dxa"/>
            <w:tcBorders>
              <w:top w:val="nil"/>
              <w:bottom w:val="single" w:sz="4" w:space="0" w:color="auto"/>
            </w:tcBorders>
            <w:shd w:val="clear" w:color="auto" w:fill="auto"/>
          </w:tcPr>
          <w:p>
            <w:pPr>
              <w:pStyle w:val="nTable"/>
              <w:spacing w:after="40"/>
              <w:ind w:right="113"/>
              <w:rPr>
                <w:iCs/>
                <w:snapToGrid w:val="0"/>
              </w:rPr>
            </w:pPr>
            <w:r>
              <w:rPr>
                <w:i/>
                <w:snapToGrid w:val="0"/>
              </w:rPr>
              <w:t xml:space="preserve">Petroleum Legislation Amendment Act 2024 </w:t>
            </w:r>
            <w:r>
              <w:rPr>
                <w:iCs/>
                <w:snapToGrid w:val="0"/>
              </w:rPr>
              <w:t>Pt. 5 Div. 8</w:t>
            </w:r>
          </w:p>
        </w:tc>
        <w:tc>
          <w:tcPr>
            <w:tcW w:w="1134" w:type="dxa"/>
            <w:tcBorders>
              <w:top w:val="nil"/>
              <w:bottom w:val="single" w:sz="4" w:space="0" w:color="auto"/>
            </w:tcBorders>
            <w:shd w:val="clear" w:color="auto" w:fill="auto"/>
          </w:tcPr>
          <w:p>
            <w:pPr>
              <w:pStyle w:val="nTable"/>
              <w:keepNext/>
              <w:spacing w:after="40"/>
            </w:pPr>
            <w:r>
              <w:t>17 of 2024</w:t>
            </w:r>
          </w:p>
        </w:tc>
        <w:tc>
          <w:tcPr>
            <w:tcW w:w="1134" w:type="dxa"/>
            <w:tcBorders>
              <w:top w:val="nil"/>
              <w:bottom w:val="single" w:sz="4" w:space="0" w:color="auto"/>
            </w:tcBorders>
            <w:shd w:val="clear" w:color="auto" w:fill="auto"/>
          </w:tcPr>
          <w:p>
            <w:pPr>
              <w:pStyle w:val="nTable"/>
              <w:keepNext/>
              <w:spacing w:after="40"/>
            </w:pPr>
            <w:r>
              <w:t>14 May 2024</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337" w:name="_Toc207116699"/>
      <w:r>
        <w:t>Other notes</w:t>
      </w:r>
      <w:bookmarkEnd w:id="337"/>
    </w:p>
    <w:p>
      <w:pPr>
        <w:pStyle w:val="nNote"/>
        <w:keepNext/>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keepNext/>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compilation, the department is called the Department of Mines, Industry Regulation and Safety.</w:t>
      </w:r>
    </w:p>
    <w:p>
      <w:pPr>
        <w:pStyle w:val="nNote"/>
        <w:keepNext/>
        <w:keepLines/>
        <w:rPr>
          <w:snapToGrid w:val="0"/>
        </w:rPr>
      </w:pPr>
      <w:r>
        <w:rPr>
          <w:vertAlign w:val="superscript"/>
        </w:rPr>
        <w:lastRenderedPageBreak/>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keepNext/>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lastRenderedPageBreak/>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lastRenderedPageBreak/>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lastRenderedPageBreak/>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lastRenderedPageBreak/>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lastRenderedPageBreak/>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keepNext/>
      </w:pPr>
      <w:r>
        <w:tab/>
        <w:t>(1)</w:t>
      </w:r>
      <w:r>
        <w:tab/>
        <w:t>In this section —</w:t>
      </w:r>
    </w:p>
    <w:p>
      <w:pPr>
        <w:pStyle w:val="nzDefstart"/>
        <w:keepNex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keepNex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lastRenderedPageBreak/>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lastRenderedPageBreak/>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lastRenderedPageBreak/>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lastRenderedPageBreak/>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w:t>
      </w:r>
      <w:r>
        <w:lastRenderedPageBreak/>
        <w:t xml:space="preserve">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339" w:name="_Toc207116700"/>
      <w:r>
        <w:rPr>
          <w:sz w:val="28"/>
        </w:rPr>
        <w:lastRenderedPageBreak/>
        <w:t>Defined terms</w:t>
      </w:r>
      <w:bookmarkEnd w:id="3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additional rent</w:t>
      </w:r>
      <w:r>
        <w:tab/>
        <w:t>120E(1)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commencement day</w:t>
      </w:r>
      <w:r>
        <w:tab/>
        <w:t>Second Sch. cl. 16(1), 17(1), 18(1), 19(1),</w:t>
      </w:r>
      <w:r>
        <w:br/>
      </w:r>
      <w:r>
        <w:tab/>
        <w:t>20, 29(1) and 30(1)</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corresponding provision</w:t>
      </w:r>
      <w:r>
        <w:tab/>
        <w:t>Second Sch. cl. 29(1)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designated tenement contact (DTC)</w:t>
      </w:r>
      <w:r>
        <w:tab/>
        <w:t>8(1)</w:t>
      </w:r>
    </w:p>
    <w:p>
      <w:pPr>
        <w:pStyle w:val="DefinedTerms"/>
      </w:pPr>
      <w:r>
        <w:t>Director General of Mines</w:t>
      </w:r>
      <w:r>
        <w:tab/>
        <w:t>8(1)</w:t>
      </w:r>
    </w:p>
    <w:p>
      <w:pPr>
        <w:pStyle w:val="DefinedTerms"/>
      </w:pPr>
      <w:r>
        <w:t>Director, Geological Survey</w:t>
      </w:r>
      <w:r>
        <w:tab/>
        <w:t>8(1)</w:t>
      </w:r>
    </w:p>
    <w:p>
      <w:pPr>
        <w:pStyle w:val="DefinedTerms"/>
      </w:pPr>
      <w:r>
        <w:t>disclose</w:t>
      </w:r>
      <w:r>
        <w:tab/>
        <w:t>120R(1)</w:t>
      </w:r>
    </w:p>
    <w:p>
      <w:pPr>
        <w:pStyle w:val="DefinedTerms"/>
      </w:pPr>
      <w:r>
        <w:t>diversification lease</w:t>
      </w:r>
      <w:r>
        <w:tab/>
        <w:t>8(1)</w:t>
      </w:r>
    </w:p>
    <w:p>
      <w:pPr>
        <w:pStyle w:val="DefinedTerms"/>
      </w:pPr>
      <w:r>
        <w:lastRenderedPageBreak/>
        <w:t>end day</w:t>
      </w:r>
      <w:r>
        <w:tab/>
        <w:t>65(1)</w:t>
      </w:r>
    </w:p>
    <w:p>
      <w:pPr>
        <w:pStyle w:val="DefinedTerms"/>
      </w:pPr>
      <w:r>
        <w:t>existing application</w:t>
      </w:r>
      <w:r>
        <w:tab/>
        <w:t>Second Sch. cl. 18(1)</w:t>
      </w:r>
    </w:p>
    <w:p>
      <w:pPr>
        <w:pStyle w:val="DefinedTerms"/>
      </w:pPr>
      <w:r>
        <w:t>existing undetermined mining proposal</w:t>
      </w:r>
      <w:r>
        <w:tab/>
        <w:t>Second Sch. cl. 24(1)</w:t>
      </w:r>
    </w:p>
    <w:p>
      <w:pPr>
        <w:pStyle w:val="DefinedTerms"/>
      </w:pPr>
      <w:r>
        <w:t>existing undetermined programme of work</w:t>
      </w:r>
      <w:r>
        <w:tab/>
        <w:t>Second Sch. cl. 23(1)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former</w:t>
      </w:r>
      <w:r>
        <w:tab/>
        <w:t>Second Sch. cl. 20</w:t>
      </w:r>
    </w:p>
    <w:p>
      <w:pPr>
        <w:pStyle w:val="DefinedTerms"/>
      </w:pPr>
      <w:r>
        <w:t>former holder</w:t>
      </w:r>
      <w:r>
        <w:tab/>
        <w:t>114(7), 114C(1)</w:t>
      </w:r>
    </w:p>
    <w:p>
      <w:pPr>
        <w:pStyle w:val="DefinedTerms"/>
      </w:pPr>
      <w:r>
        <w:t>former provision</w:t>
      </w:r>
      <w:r>
        <w:tab/>
        <w:t>Second Sch. cl. 21(1), 22(1) and 23(1)</w:t>
      </w:r>
    </w:p>
    <w:p>
      <w:pPr>
        <w:pStyle w:val="DefinedTerms"/>
      </w:pPr>
      <w:r>
        <w:t>fossick</w:t>
      </w:r>
      <w:r>
        <w:tab/>
        <w:t>8(1)</w:t>
      </w:r>
    </w:p>
    <w:p>
      <w:pPr>
        <w:pStyle w:val="DefinedTerms"/>
      </w:pPr>
      <w:r>
        <w:t>geological sample</w:t>
      </w:r>
      <w:r>
        <w:tab/>
        <w:t>8(1)</w:t>
      </w:r>
    </w:p>
    <w:p>
      <w:pPr>
        <w:pStyle w:val="DefinedTerms"/>
      </w:pPr>
      <w:r>
        <w:t>give</w:t>
      </w:r>
      <w:r>
        <w:tab/>
        <w:t>17(1)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independent assessor</w:t>
      </w:r>
      <w:r>
        <w:tab/>
        <w:t>120H(1)</w:t>
      </w:r>
    </w:p>
    <w:p>
      <w:pPr>
        <w:pStyle w:val="DefinedTerms"/>
      </w:pPr>
      <w:r>
        <w:t>information</w:t>
      </w:r>
      <w:r>
        <w:tab/>
        <w:t>120A(1)</w:t>
      </w:r>
    </w:p>
    <w:p>
      <w:pPr>
        <w:pStyle w:val="DefinedTerms"/>
      </w:pPr>
      <w:r>
        <w:t>investigator</w:t>
      </w:r>
      <w:r>
        <w:tab/>
        <w:t>120A(1)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122C(1)</w:t>
      </w:r>
    </w:p>
    <w:p>
      <w:pPr>
        <w:pStyle w:val="DefinedTerms"/>
      </w:pPr>
      <w:r>
        <w:t>lease application</w:t>
      </w:r>
      <w:r>
        <w:tab/>
        <w:t>120AA(1)</w:t>
      </w:r>
    </w:p>
    <w:p>
      <w:pPr>
        <w:pStyle w:val="DefinedTerms"/>
      </w:pPr>
      <w:r>
        <w:t>lessee</w:t>
      </w:r>
      <w:r>
        <w:tab/>
        <w:t>123(7), 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lastRenderedPageBreak/>
        <w:t>mine</w:t>
      </w:r>
      <w:r>
        <w:tab/>
        <w:t>8(1)</w:t>
      </w:r>
    </w:p>
    <w:p>
      <w:pPr>
        <w:pStyle w:val="DefinedTerms"/>
      </w:pPr>
      <w:r>
        <w:t>mine closure plan</w:t>
      </w:r>
      <w:r>
        <w:tab/>
        <w:t>70O(1)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miner’s right</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new mining tenement</w:t>
      </w:r>
      <w:r>
        <w:tab/>
        <w:t>Second Sch. cl. 10(1) and (3)</w:t>
      </w:r>
    </w:p>
    <w:p>
      <w:pPr>
        <w:pStyle w:val="DefinedTerms"/>
      </w:pPr>
      <w:r>
        <w:t>occupier</w:t>
      </w:r>
      <w:r>
        <w:tab/>
        <w:t>8(1)</w:t>
      </w:r>
    </w:p>
    <w:p>
      <w:pPr>
        <w:pStyle w:val="DefinedTerms"/>
      </w:pPr>
      <w:r>
        <w:t>official information</w:t>
      </w:r>
      <w:r>
        <w:tab/>
        <w:t>15(3)</w:t>
      </w:r>
    </w:p>
    <w:p>
      <w:pPr>
        <w:pStyle w:val="DefinedTerms"/>
      </w:pPr>
      <w:r>
        <w:t>offsets project</w:t>
      </w:r>
      <w:r>
        <w:tab/>
        <w:t>8(1)</w:t>
      </w:r>
    </w:p>
    <w:p>
      <w:pPr>
        <w:pStyle w:val="DefinedTerms"/>
      </w:pPr>
      <w:r>
        <w:t>offshore area</w:t>
      </w:r>
      <w:r>
        <w:tab/>
        <w:t>9A(2)</w:t>
      </w:r>
    </w:p>
    <w:p>
      <w:pPr>
        <w:pStyle w:val="DefinedTerms"/>
      </w:pPr>
      <w:r>
        <w:t>oil shale</w:t>
      </w:r>
      <w:r>
        <w:tab/>
        <w:t>8(1)</w:t>
      </w:r>
    </w:p>
    <w:p>
      <w:pPr>
        <w:pStyle w:val="DefinedTerms"/>
      </w:pPr>
      <w:r>
        <w:t>old mining tenement</w:t>
      </w:r>
      <w:r>
        <w:tab/>
        <w:t>Second Sch. cl. 10(1) and (3)</w:t>
      </w:r>
    </w:p>
    <w:p>
      <w:pPr>
        <w:pStyle w:val="DefinedTerms"/>
      </w:pPr>
      <w:r>
        <w:t>old mining tenements</w:t>
      </w:r>
      <w:r>
        <w:tab/>
        <w:t>Second Sch. cl. 10(1)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pastoral lease</w:t>
      </w:r>
      <w:r>
        <w:tab/>
        <w:t>8(1)</w:t>
      </w:r>
    </w:p>
    <w:p>
      <w:pPr>
        <w:pStyle w:val="DefinedTerms"/>
      </w:pPr>
      <w:r>
        <w:t>permit</w:t>
      </w:r>
      <w:r>
        <w:tab/>
        <w:t>40G(1)</w:t>
      </w:r>
    </w:p>
    <w:p>
      <w:pPr>
        <w:pStyle w:val="DefinedTerms"/>
      </w:pPr>
      <w:r>
        <w:t>permit land</w:t>
      </w:r>
      <w:r>
        <w:tab/>
        <w:t>40G(1)</w:t>
      </w:r>
    </w:p>
    <w:p>
      <w:pPr>
        <w:pStyle w:val="DefinedTerms"/>
      </w:pPr>
      <w:r>
        <w:t>premises</w:t>
      </w:r>
      <w:r>
        <w:tab/>
        <w:t>120A(1)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prescribed provision</w:t>
      </w:r>
      <w:r>
        <w:tab/>
        <w:t>17(1)</w:t>
      </w:r>
    </w:p>
    <w:p>
      <w:pPr>
        <w:pStyle w:val="DefinedTerms"/>
      </w:pPr>
      <w:r>
        <w:t>previously approved mining proposal</w:t>
      </w:r>
      <w:r>
        <w:tab/>
        <w:t>Second Sch. cl. 25(1)</w:t>
      </w:r>
    </w:p>
    <w:p>
      <w:pPr>
        <w:pStyle w:val="DefinedTerms"/>
      </w:pPr>
      <w:r>
        <w:t>previously approved programme of work</w:t>
      </w:r>
      <w:r>
        <w:tab/>
        <w:t>Second Sch. cl. 23(1)</w:t>
      </w:r>
    </w:p>
    <w:p>
      <w:pPr>
        <w:pStyle w:val="DefinedTerms"/>
      </w:pPr>
      <w:r>
        <w:t>primary tenement</w:t>
      </w:r>
      <w:r>
        <w:tab/>
        <w:t>56A(1), 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publication day</w:t>
      </w:r>
      <w:r>
        <w:tab/>
        <w:t>Second Sch. cl. 30(1)</w:t>
      </w:r>
    </w:p>
    <w:p>
      <w:pPr>
        <w:pStyle w:val="DefinedTerms"/>
      </w:pPr>
      <w:r>
        <w:t>public purpose</w:t>
      </w:r>
      <w:r>
        <w:tab/>
        <w:t>8(1)</w:t>
      </w:r>
    </w:p>
    <w:p>
      <w:pPr>
        <w:pStyle w:val="DefinedTerms"/>
      </w:pPr>
      <w:r>
        <w:lastRenderedPageBreak/>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information</w:t>
      </w:r>
      <w:r>
        <w:tab/>
        <w:t>120M(1)</w:t>
      </w:r>
    </w:p>
    <w:p>
      <w:pPr>
        <w:pStyle w:val="DefinedTerms"/>
      </w:pPr>
      <w:r>
        <w:t>relevant licence</w:t>
      </w:r>
      <w:r>
        <w:tab/>
        <w:t>56B(1)</w:t>
      </w:r>
    </w:p>
    <w:p>
      <w:pPr>
        <w:pStyle w:val="DefinedTerms"/>
      </w:pPr>
      <w:r>
        <w:t>relevant mining proposal</w:t>
      </w:r>
      <w:r>
        <w:tab/>
        <w:t>70O(1)</w:t>
      </w:r>
    </w:p>
    <w:p>
      <w:pPr>
        <w:pStyle w:val="DefinedTerms"/>
      </w:pPr>
      <w:r>
        <w:t>relevant portion</w:t>
      </w:r>
      <w:r>
        <w:tab/>
        <w:t>29(6a)</w:t>
      </w:r>
    </w:p>
    <w:p>
      <w:pPr>
        <w:pStyle w:val="DefinedTerms"/>
      </w:pPr>
      <w:r>
        <w:t>relevant tenement</w:t>
      </w:r>
      <w:r>
        <w:tab/>
        <w:t>118A(2)</w:t>
      </w:r>
    </w:p>
    <w:p>
      <w:pPr>
        <w:pStyle w:val="DefinedTerms"/>
      </w:pPr>
      <w:r>
        <w:t>remedial work</w:t>
      </w:r>
      <w:r>
        <w:tab/>
        <w:t>114C(1)</w:t>
      </w:r>
    </w:p>
    <w:p>
      <w:pPr>
        <w:pStyle w:val="DefinedTerms"/>
      </w:pPr>
      <w:r>
        <w:t>repealed</w:t>
      </w:r>
      <w:r>
        <w:tab/>
        <w:t>Second Sch. cl. 29(1)</w:t>
      </w:r>
    </w:p>
    <w:p>
      <w:pPr>
        <w:pStyle w:val="DefinedTerms"/>
      </w:pPr>
      <w:r>
        <w:t>repealed Act</w:t>
      </w:r>
      <w:r>
        <w:tab/>
        <w:t>8(1)</w:t>
      </w:r>
    </w:p>
    <w:p>
      <w:pPr>
        <w:pStyle w:val="DefinedTerms"/>
      </w:pPr>
      <w:r>
        <w:t>repealed provisions</w:t>
      </w:r>
      <w:r>
        <w:tab/>
        <w:t>Second Sch. cl. 29(1)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royalties information</w:t>
      </w:r>
      <w:r>
        <w:tab/>
        <w:t>120R(1)</w:t>
      </w:r>
    </w:p>
    <w:p>
      <w:pPr>
        <w:pStyle w:val="DefinedTerms"/>
      </w:pPr>
      <w:r>
        <w:t>royalty investigation purpose</w:t>
      </w:r>
      <w:r>
        <w:tab/>
        <w:t>120A(1), 120I(2)</w:t>
      </w:r>
    </w:p>
    <w:p>
      <w:pPr>
        <w:pStyle w:val="DefinedTerms"/>
      </w:pPr>
      <w:r>
        <w:t>royalty payer</w:t>
      </w:r>
      <w:r>
        <w:tab/>
        <w:t>120A(1)</w:t>
      </w:r>
    </w:p>
    <w:p>
      <w:pPr>
        <w:pStyle w:val="DefinedTerms"/>
      </w:pPr>
      <w:r>
        <w:t>royalty return</w:t>
      </w:r>
      <w:r>
        <w:tab/>
        <w:t>120D(1)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transitional regulations</w:t>
      </w:r>
      <w:r>
        <w:tab/>
        <w:t>Second Sch. cl. 30(1)</w:t>
      </w:r>
    </w:p>
    <w:p>
      <w:pPr>
        <w:pStyle w:val="DefinedTerms"/>
      </w:pPr>
      <w:r>
        <w:t>transitioned activity</w:t>
      </w:r>
      <w:r>
        <w:tab/>
        <w:t>Second Sch. cl. 25(3)</w:t>
      </w:r>
    </w:p>
    <w:p>
      <w:pPr>
        <w:pStyle w:val="DefinedTerms"/>
      </w:pPr>
      <w:r>
        <w:t>transition period</w:t>
      </w:r>
      <w:r>
        <w:tab/>
        <w:t>Second Sch. cl. 18(1) and 25(1)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2" w:name="Schedule"/>
    <w:bookmarkEnd w:id="3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8" w:name="Compilation"/>
    <w:bookmarkEnd w:id="3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40" w:name="DefinedTerms"/>
    <w:bookmarkEnd w:id="34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1" w:name="Coversheet"/>
    <w:bookmarkEnd w:id="3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6155743"/>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 w:name="WAFER_20230809151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1046_GUID" w:val="cded0e72-b197-497b-9027-f9cc5bbda81d"/>
    <w:docVar w:name="WAFER_2023111514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142706_GUID" w:val="3b869f9d-e544-4092-9a4d-8bb2c339e4e2"/>
    <w:docVar w:name="WAFER_20231227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22_GUID" w:val="13f13e9c-3eb9-4c53-b2bc-f6eddcda73f9"/>
    <w:docVar w:name="WAFER_2024051513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4053_GUID" w:val="83b4f51a-dc30-405a-b20c-e71a355e5cb1"/>
    <w:docVar w:name="WAFER_2025063014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30143340_GUID" w:val="8e17ceaa-d54b-49a6-81d0-ad0c39228040"/>
    <w:docVar w:name="WAFER_2025082609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091335_GUID" w:val="9fde0d32-d763-4c58-b5a7-679ffc72e83c"/>
    <w:docVar w:name="WAFER_2025082615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155743_GUID" w:val="da7f7f2d-9832-4095-82c0-5c99d37570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94236</Words>
  <Characters>441972</Characters>
  <Application>Microsoft Office Word</Application>
  <DocSecurity>0</DocSecurity>
  <Lines>11332</Lines>
  <Paragraphs>5644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1978 - 09-o0-00</dc:title>
  <dc:subject/>
  <dc:creator/>
  <cp:keywords/>
  <dc:description/>
  <cp:lastModifiedBy>Master Repository Process</cp:lastModifiedBy>
  <cp:revision>4</cp:revision>
  <cp:lastPrinted>2017-02-13T08:14:00Z</cp:lastPrinted>
  <dcterms:created xsi:type="dcterms:W3CDTF">2025-08-29T02:43:00Z</dcterms:created>
  <dcterms:modified xsi:type="dcterms:W3CDTF">2025-08-29T02:43:00Z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AsAtDate">
    <vt:lpwstr>01 Sep 2025</vt:lpwstr>
  </property>
  <property fmtid="{D5CDD505-2E9C-101B-9397-08002B2CF9AE}" pid="8" name="Suffix">
    <vt:lpwstr>09-o0-00</vt:lpwstr>
  </property>
  <property fmtid="{D5CDD505-2E9C-101B-9397-08002B2CF9AE}" pid="9" name="Official">
    <vt:lpwstr/>
  </property>
  <property fmtid="{D5CDD505-2E9C-101B-9397-08002B2CF9AE}" pid="10" name="CommencementDate">
    <vt:lpwstr>20250901</vt:lpwstr>
  </property>
  <property fmtid="{D5CDD505-2E9C-101B-9397-08002B2CF9AE}" pid="11" name="CommencementAsAt">
    <vt:filetime>2025-08-31T16:00:00Z</vt:filetime>
  </property>
  <property fmtid="{D5CDD505-2E9C-101B-9397-08002B2CF9AE}" pid="12" name="CommencementYear">
    <vt:lpwstr>2025</vt:lpwstr>
  </property>
</Properties>
</file>