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_Toc137024114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_Toc137024115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_Toc137024117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_Toc137024119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_Toc137024121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_Toc137024122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_Toc137024123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_Toc137024124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_Toc137024125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_Toc137024127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_Toc137024128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_Toc137024129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_Toc137024130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_Toc137024131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_Toc137024132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_Toc137024133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_Toc137024134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_Toc137024136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_Toc137024137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_Toc137024138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_Toc137024139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_Toc137024140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_Toc137024141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_Toc137024142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_Toc137024143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_Toc137024144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_Toc137024145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_Toc137024146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_Toc137024147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_Toc137024149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Appeal against decision of Corporation on objection</w:t>
      </w:r>
      <w:r>
        <w:tab/>
      </w:r>
      <w:r>
        <w:fldChar w:fldCharType="begin"/>
      </w:r>
      <w:r>
        <w:instrText xml:space="preserve"> PAGEREF _Toc137024150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Appeal against refusal to extend time for objection or appeal</w:t>
      </w:r>
      <w:r>
        <w:tab/>
      </w:r>
      <w:r>
        <w:fldChar w:fldCharType="begin"/>
      </w:r>
      <w:r>
        <w:instrText xml:space="preserve"> PAGEREF _Toc137024151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_Toc137024152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_Toc137024153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and appeals against valuations</w:t>
      </w:r>
      <w:r>
        <w:tab/>
      </w:r>
      <w:r>
        <w:fldChar w:fldCharType="begin"/>
      </w:r>
      <w:r>
        <w:instrText xml:space="preserve"> PAGEREF _Toc137024154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or appeal not to affect liability to pay the charges</w:t>
      </w:r>
      <w:r>
        <w:tab/>
      </w:r>
      <w:r>
        <w:fldChar w:fldCharType="begin"/>
      </w:r>
      <w:r>
        <w:instrText xml:space="preserve"> PAGEREF _Toc137024155 \h </w:instrText>
      </w:r>
      <w:r>
        <w:fldChar w:fldCharType="separate"/>
      </w:r>
      <w:r>
        <w:t>27</w:t>
      </w:r>
      <w:r>
        <w:fldChar w:fldCharType="end"/>
      </w:r>
    </w:p>
    <w:p>
      <w:pPr>
        <w:pStyle w:val="TOC8"/>
        <w:rPr>
          <w:sz w:val="24"/>
          <w:szCs w:val="24"/>
        </w:rPr>
      </w:pPr>
      <w:r>
        <w:rPr>
          <w:szCs w:val="24"/>
        </w:rPr>
        <w:t>65A</w:t>
      </w:r>
      <w:r>
        <w:rPr>
          <w:snapToGrid w:val="0"/>
          <w:szCs w:val="24"/>
        </w:rPr>
        <w:t xml:space="preserve">. </w:t>
      </w:r>
      <w:r>
        <w:rPr>
          <w:snapToGrid w:val="0"/>
          <w:szCs w:val="24"/>
        </w:rPr>
        <w:tab/>
        <w:t>Corporation to amend records and assessment consequent on objection or appeal</w:t>
      </w:r>
      <w:r>
        <w:tab/>
      </w:r>
      <w:r>
        <w:fldChar w:fldCharType="begin"/>
      </w:r>
      <w:r>
        <w:instrText xml:space="preserve"> PAGEREF _Toc137024156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_Toc137024158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_Toc137024159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_Toc137024160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_Toc137024161 \h </w:instrText>
      </w:r>
      <w:r>
        <w:fldChar w:fldCharType="separate"/>
      </w:r>
      <w:r>
        <w:t>29</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_Toc137024162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_Toc137024163 \h </w:instrText>
      </w:r>
      <w:r>
        <w:fldChar w:fldCharType="separate"/>
      </w:r>
      <w:r>
        <w:t>30</w:t>
      </w:r>
      <w:r>
        <w:fldChar w:fldCharType="end"/>
      </w:r>
    </w:p>
    <w:p>
      <w:pPr>
        <w:pStyle w:val="TOC8"/>
        <w:rPr>
          <w:sz w:val="24"/>
          <w:szCs w:val="24"/>
        </w:rPr>
      </w:pPr>
      <w:r>
        <w:rPr>
          <w:szCs w:val="24"/>
        </w:rPr>
        <w:t>82.</w:t>
      </w:r>
      <w:r>
        <w:rPr>
          <w:szCs w:val="24"/>
        </w:rPr>
        <w:tab/>
        <w:t>Application and expiry of this Division</w:t>
      </w:r>
      <w:r>
        <w:tab/>
      </w:r>
      <w:r>
        <w:fldChar w:fldCharType="begin"/>
      </w:r>
      <w:r>
        <w:instrText xml:space="preserve"> PAGEREF _Toc137024164 \h </w:instrText>
      </w:r>
      <w:r>
        <w:fldChar w:fldCharType="separate"/>
      </w:r>
      <w:r>
        <w:t>31</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_Toc137024166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_Toc137024167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_Toc137024168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_Toc137024169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_Toc137024170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_Toc137024171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_Toc137024172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_Toc137024173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_Toc137024174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_Toc137024175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_Toc137024176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_Toc137024177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_Toc137024178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_Toc137024179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_Toc137024180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_Toc137024181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_Toc137024183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_Toc137024185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_Toc137024186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_Toc137024187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_Toc137024188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_Toc137024189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_Toc137024190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_Toc137024191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_Toc137024192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_Toc137024193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_Toc137024194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_Toc137024195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_Toc137024196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_Toc137024198 \h </w:instrText>
      </w:r>
      <w:r>
        <w:fldChar w:fldCharType="separate"/>
      </w:r>
      <w:r>
        <w:t>49</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90453537"/>
      <w:bookmarkStart w:id="14" w:name="_Toc526065376"/>
      <w:bookmarkStart w:id="15" w:name="_Toc531669476"/>
      <w:bookmarkStart w:id="16" w:name="_Toc104706057"/>
      <w:bookmarkStart w:id="17" w:name="_Toc137024114"/>
      <w:r>
        <w:rPr>
          <w:rStyle w:val="CharSectno"/>
        </w:rPr>
        <w:t>1</w:t>
      </w:r>
      <w:r>
        <w:rPr>
          <w:snapToGrid w:val="0"/>
        </w:rPr>
        <w:t>.</w:t>
      </w:r>
      <w:r>
        <w:rPr>
          <w:snapToGrid w:val="0"/>
        </w:rPr>
        <w:tab/>
        <w:t>Short title and 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18" w:name="_Toc490453538"/>
      <w:bookmarkStart w:id="19" w:name="_Toc526065377"/>
      <w:bookmarkStart w:id="20" w:name="_Toc531669477"/>
      <w:bookmarkStart w:id="21" w:name="_Toc104706058"/>
      <w:bookmarkStart w:id="22" w:name="_Toc137024115"/>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23" w:name="_Toc89498915"/>
      <w:bookmarkStart w:id="24" w:name="_Toc89499002"/>
      <w:bookmarkStart w:id="25" w:name="_Toc89510024"/>
      <w:bookmarkStart w:id="26" w:name="_Toc90866811"/>
      <w:bookmarkStart w:id="27" w:name="_Toc92509585"/>
      <w:bookmarkStart w:id="28" w:name="_Toc97105540"/>
      <w:bookmarkStart w:id="29" w:name="_Toc101952164"/>
      <w:bookmarkStart w:id="30" w:name="_Toc103064739"/>
      <w:bookmarkStart w:id="31" w:name="_Toc104706059"/>
      <w:bookmarkStart w:id="32" w:name="_Toc136934243"/>
      <w:bookmarkStart w:id="33" w:name="_Toc136934331"/>
      <w:bookmarkStart w:id="34" w:name="_Toc137024116"/>
      <w:r>
        <w:rPr>
          <w:rStyle w:val="CharPartNo"/>
        </w:rPr>
        <w:t>Part II</w:t>
      </w:r>
      <w:r>
        <w:rPr>
          <w:rStyle w:val="CharDivNo"/>
        </w:rPr>
        <w:t> </w:t>
      </w:r>
      <w:r>
        <w:t>—</w:t>
      </w:r>
      <w:r>
        <w:rPr>
          <w:rStyle w:val="CharDivText"/>
        </w:rPr>
        <w:t> </w:t>
      </w:r>
      <w:r>
        <w:rPr>
          <w:rStyle w:val="CharPartText"/>
        </w:rPr>
        <w:t>Sewerage areas</w:t>
      </w:r>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pPr>
      <w:r>
        <w:tab/>
        <w:t xml:space="preserve">[Heading amended by No. 52 of 1964 s. 4.] </w:t>
      </w:r>
    </w:p>
    <w:p>
      <w:pPr>
        <w:pStyle w:val="Heading5"/>
        <w:rPr>
          <w:snapToGrid w:val="0"/>
        </w:rPr>
      </w:pPr>
      <w:bookmarkStart w:id="35" w:name="_Toc490453539"/>
      <w:bookmarkStart w:id="36" w:name="_Toc526065378"/>
      <w:bookmarkStart w:id="37" w:name="_Toc531669478"/>
      <w:bookmarkStart w:id="38" w:name="_Toc104706060"/>
      <w:bookmarkStart w:id="39" w:name="_Toc137024117"/>
      <w:r>
        <w:rPr>
          <w:rStyle w:val="CharSectno"/>
        </w:rPr>
        <w:t>4</w:t>
      </w:r>
      <w:r>
        <w:rPr>
          <w:snapToGrid w:val="0"/>
        </w:rPr>
        <w:t>.</w:t>
      </w:r>
      <w:r>
        <w:rPr>
          <w:snapToGrid w:val="0"/>
        </w:rPr>
        <w:tab/>
        <w:t>Constitution of sewerage areas</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40" w:name="_Toc89498917"/>
      <w:bookmarkStart w:id="41" w:name="_Toc89499004"/>
      <w:bookmarkStart w:id="42" w:name="_Toc89510026"/>
      <w:bookmarkStart w:id="43" w:name="_Toc90866813"/>
      <w:bookmarkStart w:id="44" w:name="_Toc92509587"/>
      <w:bookmarkStart w:id="45" w:name="_Toc97105542"/>
      <w:bookmarkStart w:id="46" w:name="_Toc101952166"/>
      <w:bookmarkStart w:id="47" w:name="_Toc103064741"/>
      <w:bookmarkStart w:id="48" w:name="_Toc104706061"/>
      <w:bookmarkStart w:id="49" w:name="_Toc136934245"/>
      <w:bookmarkStart w:id="50" w:name="_Toc136934333"/>
      <w:bookmarkStart w:id="51" w:name="_Toc137024118"/>
      <w:r>
        <w:rPr>
          <w:rStyle w:val="CharPartNo"/>
        </w:rPr>
        <w:t>Part III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52" w:name="_Toc490453540"/>
      <w:bookmarkStart w:id="53" w:name="_Toc526065379"/>
      <w:bookmarkStart w:id="54" w:name="_Toc531669479"/>
      <w:bookmarkStart w:id="55" w:name="_Toc104706062"/>
      <w:bookmarkStart w:id="56" w:name="_Toc137024119"/>
      <w:r>
        <w:rPr>
          <w:rStyle w:val="CharSectno"/>
        </w:rPr>
        <w:t>9</w:t>
      </w:r>
      <w:r>
        <w:rPr>
          <w:snapToGrid w:val="0"/>
        </w:rPr>
        <w:t>.</w:t>
      </w:r>
      <w:r>
        <w:rPr>
          <w:snapToGrid w:val="0"/>
        </w:rPr>
        <w:tab/>
        <w:t>Minister may delegate his powers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57" w:name="_Toc89498919"/>
      <w:bookmarkStart w:id="58" w:name="_Toc89499006"/>
      <w:bookmarkStart w:id="59" w:name="_Toc89510028"/>
      <w:bookmarkStart w:id="60" w:name="_Toc90866815"/>
      <w:bookmarkStart w:id="61" w:name="_Toc92509589"/>
      <w:bookmarkStart w:id="62" w:name="_Toc97105544"/>
      <w:bookmarkStart w:id="63" w:name="_Toc101952168"/>
      <w:bookmarkStart w:id="64" w:name="_Toc103064743"/>
      <w:bookmarkStart w:id="65" w:name="_Toc104706063"/>
      <w:bookmarkStart w:id="66" w:name="_Toc136934247"/>
      <w:bookmarkStart w:id="67" w:name="_Toc136934335"/>
      <w:bookmarkStart w:id="68" w:name="_Toc137024120"/>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69" w:name="_Toc490453541"/>
      <w:bookmarkStart w:id="70" w:name="_Toc526065380"/>
      <w:bookmarkStart w:id="71" w:name="_Toc531669480"/>
      <w:bookmarkStart w:id="72" w:name="_Toc104706064"/>
      <w:bookmarkStart w:id="73" w:name="_Toc137024121"/>
      <w:r>
        <w:rPr>
          <w:rStyle w:val="CharSectno"/>
        </w:rPr>
        <w:t>11</w:t>
      </w:r>
      <w:r>
        <w:rPr>
          <w:snapToGrid w:val="0"/>
        </w:rPr>
        <w:t>.</w:t>
      </w:r>
      <w:r>
        <w:rPr>
          <w:snapToGrid w:val="0"/>
        </w:rPr>
        <w:tab/>
        <w:t>Corporation may construct works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74" w:name="_Toc490453542"/>
      <w:bookmarkStart w:id="75" w:name="_Toc526065381"/>
      <w:bookmarkStart w:id="76" w:name="_Toc531669481"/>
      <w:bookmarkStart w:id="77" w:name="_Toc104706065"/>
      <w:bookmarkStart w:id="78" w:name="_Toc137024122"/>
      <w:r>
        <w:rPr>
          <w:rStyle w:val="CharSectno"/>
        </w:rPr>
        <w:t>23</w:t>
      </w:r>
      <w:r>
        <w:rPr>
          <w:snapToGrid w:val="0"/>
        </w:rPr>
        <w:t>.</w:t>
      </w:r>
      <w:r>
        <w:rPr>
          <w:snapToGrid w:val="0"/>
        </w:rPr>
        <w:tab/>
        <w:t>Altering sewers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79" w:name="_Toc490453543"/>
      <w:bookmarkStart w:id="80" w:name="_Toc526065382"/>
      <w:bookmarkStart w:id="81" w:name="_Toc531669482"/>
      <w:bookmarkStart w:id="82" w:name="_Toc104706066"/>
      <w:bookmarkStart w:id="83" w:name="_Toc137024123"/>
      <w:r>
        <w:rPr>
          <w:rStyle w:val="CharSectno"/>
        </w:rPr>
        <w:t>23A</w:t>
      </w:r>
      <w:r>
        <w:rPr>
          <w:snapToGrid w:val="0"/>
        </w:rPr>
        <w:t xml:space="preserve">. </w:t>
      </w:r>
      <w:r>
        <w:rPr>
          <w:snapToGrid w:val="0"/>
        </w:rPr>
        <w:tab/>
        <w:t>Extension of sewerage works to land not subject to a charge</w:t>
      </w:r>
      <w:bookmarkEnd w:id="79"/>
      <w:bookmarkEnd w:id="80"/>
      <w:bookmarkEnd w:id="81"/>
      <w:bookmarkEnd w:id="82"/>
      <w:bookmarkEnd w:id="83"/>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84" w:name="_Toc490453544"/>
      <w:bookmarkStart w:id="85" w:name="_Toc526065383"/>
      <w:bookmarkStart w:id="86" w:name="_Toc531669483"/>
      <w:bookmarkStart w:id="87" w:name="_Toc104706067"/>
      <w:bookmarkStart w:id="88" w:name="_Toc137024124"/>
      <w:r>
        <w:rPr>
          <w:rStyle w:val="CharSectno"/>
        </w:rPr>
        <w:t>24</w:t>
      </w:r>
      <w:r>
        <w:rPr>
          <w:snapToGrid w:val="0"/>
        </w:rPr>
        <w:t>.</w:t>
      </w:r>
      <w:r>
        <w:rPr>
          <w:snapToGrid w:val="0"/>
        </w:rPr>
        <w:tab/>
        <w:t>Corporation to keep sewers cleansed</w:t>
      </w:r>
      <w:bookmarkEnd w:id="84"/>
      <w:bookmarkEnd w:id="85"/>
      <w:bookmarkEnd w:id="86"/>
      <w:bookmarkEnd w:id="87"/>
      <w:bookmarkEnd w:id="88"/>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89" w:name="_Toc490453545"/>
      <w:bookmarkStart w:id="90" w:name="_Toc526065384"/>
      <w:bookmarkStart w:id="91" w:name="_Toc531669484"/>
      <w:bookmarkStart w:id="92" w:name="_Toc104706068"/>
      <w:bookmarkStart w:id="93" w:name="_Toc137024125"/>
      <w:r>
        <w:rPr>
          <w:rStyle w:val="CharSectno"/>
        </w:rPr>
        <w:t>25</w:t>
      </w:r>
      <w:r>
        <w:rPr>
          <w:snapToGrid w:val="0"/>
        </w:rPr>
        <w:t>.</w:t>
      </w:r>
      <w:r>
        <w:rPr>
          <w:snapToGrid w:val="0"/>
        </w:rPr>
        <w:tab/>
        <w:t>As to ventilators, etc.</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94" w:name="_Toc89498925"/>
      <w:bookmarkStart w:id="95" w:name="_Toc89499012"/>
      <w:bookmarkStart w:id="96" w:name="_Toc89510034"/>
      <w:bookmarkStart w:id="97" w:name="_Toc90866821"/>
      <w:bookmarkStart w:id="98" w:name="_Toc92509595"/>
      <w:bookmarkStart w:id="99" w:name="_Toc97105550"/>
      <w:bookmarkStart w:id="100" w:name="_Toc101952174"/>
      <w:bookmarkStart w:id="101" w:name="_Toc103064749"/>
      <w:bookmarkStart w:id="102" w:name="_Toc104706069"/>
      <w:bookmarkStart w:id="103" w:name="_Toc136934253"/>
      <w:bookmarkStart w:id="104" w:name="_Toc136934341"/>
      <w:bookmarkStart w:id="105" w:name="_Toc137024126"/>
      <w:r>
        <w:rPr>
          <w:rStyle w:val="CharPartNo"/>
        </w:rPr>
        <w:t>Part V</w:t>
      </w:r>
      <w:r>
        <w:rPr>
          <w:rStyle w:val="CharDivNo"/>
        </w:rPr>
        <w:t> </w:t>
      </w:r>
      <w:r>
        <w:t>—</w:t>
      </w:r>
      <w:r>
        <w:rPr>
          <w:rStyle w:val="CharDivText"/>
        </w:rPr>
        <w:t> </w:t>
      </w:r>
      <w:r>
        <w:rPr>
          <w:rStyle w:val="CharPartText"/>
        </w:rPr>
        <w:t>The protection of works</w:t>
      </w:r>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90453546"/>
      <w:bookmarkStart w:id="107" w:name="_Toc526065385"/>
      <w:bookmarkStart w:id="108" w:name="_Toc531669485"/>
      <w:bookmarkStart w:id="109" w:name="_Toc104706070"/>
      <w:bookmarkStart w:id="110" w:name="_Toc137024127"/>
      <w:r>
        <w:rPr>
          <w:rStyle w:val="CharSectno"/>
        </w:rPr>
        <w:t>27</w:t>
      </w:r>
      <w:r>
        <w:rPr>
          <w:snapToGrid w:val="0"/>
        </w:rPr>
        <w:t>.</w:t>
      </w:r>
      <w:r>
        <w:rPr>
          <w:snapToGrid w:val="0"/>
        </w:rPr>
        <w:tab/>
        <w:t>Duty to keep fittings in repair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11" w:name="_Toc490453547"/>
      <w:bookmarkStart w:id="112" w:name="_Toc526065386"/>
      <w:bookmarkStart w:id="113" w:name="_Toc531669486"/>
      <w:bookmarkStart w:id="114" w:name="_Toc104706071"/>
      <w:bookmarkStart w:id="115" w:name="_Toc137024128"/>
      <w:r>
        <w:rPr>
          <w:rStyle w:val="CharSectno"/>
        </w:rPr>
        <w:t>28</w:t>
      </w:r>
      <w:r>
        <w:rPr>
          <w:snapToGrid w:val="0"/>
        </w:rPr>
        <w:t>.</w:t>
      </w:r>
      <w:r>
        <w:rPr>
          <w:snapToGrid w:val="0"/>
        </w:rPr>
        <w:tab/>
        <w:t>Fittings not to be connected or disconnected without notice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16" w:name="_Toc490453548"/>
      <w:bookmarkStart w:id="117" w:name="_Toc526065387"/>
      <w:bookmarkStart w:id="118" w:name="_Toc531669487"/>
      <w:bookmarkStart w:id="119" w:name="_Toc104706072"/>
      <w:bookmarkStart w:id="120" w:name="_Toc137024129"/>
      <w:r>
        <w:rPr>
          <w:rStyle w:val="CharSectno"/>
        </w:rPr>
        <w:t>29</w:t>
      </w:r>
      <w:r>
        <w:rPr>
          <w:snapToGrid w:val="0"/>
        </w:rPr>
        <w:t>.</w:t>
      </w:r>
      <w:r>
        <w:rPr>
          <w:snapToGrid w:val="0"/>
        </w:rPr>
        <w:tab/>
        <w:t>Power to enter and examine whether water is wasted, etc.</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21" w:name="_Toc490453549"/>
      <w:bookmarkStart w:id="122" w:name="_Toc526065388"/>
      <w:bookmarkStart w:id="123" w:name="_Toc531669488"/>
      <w:bookmarkStart w:id="124" w:name="_Toc104706073"/>
      <w:bookmarkStart w:id="125" w:name="_Toc137024130"/>
      <w:r>
        <w:rPr>
          <w:rStyle w:val="CharSectno"/>
        </w:rPr>
        <w:t>30</w:t>
      </w:r>
      <w:r>
        <w:rPr>
          <w:snapToGrid w:val="0"/>
        </w:rPr>
        <w:t>.</w:t>
      </w:r>
      <w:r>
        <w:rPr>
          <w:snapToGrid w:val="0"/>
        </w:rPr>
        <w:tab/>
        <w:t>Protection of fittings</w:t>
      </w:r>
      <w:bookmarkEnd w:id="121"/>
      <w:bookmarkEnd w:id="122"/>
      <w:bookmarkEnd w:id="123"/>
      <w:bookmarkEnd w:id="124"/>
      <w:bookmarkEnd w:id="125"/>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26" w:name="_Toc490453550"/>
      <w:bookmarkStart w:id="127" w:name="_Toc526065389"/>
      <w:bookmarkStart w:id="128" w:name="_Toc531669489"/>
      <w:bookmarkStart w:id="129" w:name="_Toc104706074"/>
      <w:bookmarkStart w:id="130" w:name="_Toc137024131"/>
      <w:r>
        <w:rPr>
          <w:rStyle w:val="CharSectno"/>
        </w:rPr>
        <w:t>31</w:t>
      </w:r>
      <w:r>
        <w:rPr>
          <w:snapToGrid w:val="0"/>
        </w:rPr>
        <w:t>.</w:t>
      </w:r>
      <w:r>
        <w:rPr>
          <w:snapToGrid w:val="0"/>
        </w:rPr>
        <w:tab/>
        <w:t>Power to enter on land and fix fittings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 xml:space="preserve">(2) </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31" w:name="_Toc490453551"/>
      <w:bookmarkStart w:id="132" w:name="_Toc526065390"/>
      <w:bookmarkStart w:id="133" w:name="_Toc531669490"/>
      <w:bookmarkStart w:id="134" w:name="_Toc104706075"/>
      <w:bookmarkStart w:id="135" w:name="_Toc137024132"/>
      <w:r>
        <w:rPr>
          <w:rStyle w:val="CharSectno"/>
        </w:rPr>
        <w:t>32</w:t>
      </w:r>
      <w:r>
        <w:rPr>
          <w:snapToGrid w:val="0"/>
        </w:rPr>
        <w:t>.</w:t>
      </w:r>
      <w:r>
        <w:rPr>
          <w:snapToGrid w:val="0"/>
        </w:rPr>
        <w:tab/>
        <w:t>Penalty for using unauthorised fittings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136" w:name="_Toc490453552"/>
      <w:bookmarkStart w:id="137" w:name="_Toc526065391"/>
      <w:bookmarkStart w:id="138" w:name="_Toc531669491"/>
      <w:bookmarkStart w:id="139" w:name="_Toc104706076"/>
      <w:bookmarkStart w:id="140" w:name="_Toc137024133"/>
      <w:r>
        <w:rPr>
          <w:rStyle w:val="CharSectno"/>
        </w:rPr>
        <w:t>33</w:t>
      </w:r>
      <w:r>
        <w:rPr>
          <w:snapToGrid w:val="0"/>
        </w:rPr>
        <w:t>.</w:t>
      </w:r>
      <w:r>
        <w:rPr>
          <w:snapToGrid w:val="0"/>
        </w:rPr>
        <w:tab/>
        <w:t>Penalty for not repairing fittings</w:t>
      </w:r>
      <w:bookmarkEnd w:id="136"/>
      <w:bookmarkEnd w:id="137"/>
      <w:bookmarkEnd w:id="138"/>
      <w:bookmarkEnd w:id="139"/>
      <w:bookmarkEnd w:id="140"/>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141" w:name="_Toc490453553"/>
      <w:bookmarkStart w:id="142" w:name="_Toc526065392"/>
      <w:bookmarkStart w:id="143" w:name="_Toc531669492"/>
      <w:bookmarkStart w:id="144" w:name="_Toc104706077"/>
      <w:bookmarkStart w:id="145" w:name="_Toc137024134"/>
      <w:r>
        <w:rPr>
          <w:rStyle w:val="CharSectno"/>
        </w:rPr>
        <w:t>34</w:t>
      </w:r>
      <w:r>
        <w:rPr>
          <w:snapToGrid w:val="0"/>
        </w:rPr>
        <w:t>.</w:t>
      </w:r>
      <w:r>
        <w:rPr>
          <w:snapToGrid w:val="0"/>
        </w:rPr>
        <w:tab/>
        <w:t>Penalty for destroying valves, etc.</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146" w:name="_Toc89498934"/>
      <w:bookmarkStart w:id="147" w:name="_Toc89499021"/>
      <w:bookmarkStart w:id="148" w:name="_Toc89510043"/>
      <w:bookmarkStart w:id="149" w:name="_Toc90866830"/>
      <w:bookmarkStart w:id="150" w:name="_Toc92509604"/>
      <w:bookmarkStart w:id="151" w:name="_Toc97105559"/>
      <w:bookmarkStart w:id="152" w:name="_Toc101952183"/>
      <w:bookmarkStart w:id="153" w:name="_Toc103064758"/>
      <w:bookmarkStart w:id="154" w:name="_Toc104706078"/>
      <w:bookmarkStart w:id="155" w:name="_Toc136934262"/>
      <w:bookmarkStart w:id="156" w:name="_Toc136934350"/>
      <w:bookmarkStart w:id="157" w:name="_Toc137024135"/>
      <w:r>
        <w:rPr>
          <w:rStyle w:val="CharPartNo"/>
        </w:rPr>
        <w:t>Part VI</w:t>
      </w:r>
      <w:r>
        <w:rPr>
          <w:rStyle w:val="CharDivNo"/>
        </w:rPr>
        <w:t> </w:t>
      </w:r>
      <w:r>
        <w:t>—</w:t>
      </w:r>
      <w:r>
        <w:rPr>
          <w:rStyle w:val="CharDivText"/>
        </w:rPr>
        <w:t> </w:t>
      </w:r>
      <w:r>
        <w:rPr>
          <w:rStyle w:val="CharPartText"/>
        </w:rPr>
        <w:t>Connections to property</w:t>
      </w:r>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pPr>
      <w:r>
        <w:tab/>
        <w:t xml:space="preserve">[Heading inserted by No. 25 of 1985 s. 174.] </w:t>
      </w:r>
    </w:p>
    <w:p>
      <w:pPr>
        <w:pStyle w:val="Heading5"/>
        <w:rPr>
          <w:snapToGrid w:val="0"/>
        </w:rPr>
      </w:pPr>
      <w:bookmarkStart w:id="158" w:name="_Toc490453554"/>
      <w:bookmarkStart w:id="159" w:name="_Toc526065393"/>
      <w:bookmarkStart w:id="160" w:name="_Toc531669493"/>
      <w:bookmarkStart w:id="161" w:name="_Toc104706079"/>
      <w:bookmarkStart w:id="162" w:name="_Toc137024136"/>
      <w:r>
        <w:rPr>
          <w:rStyle w:val="CharSectno"/>
        </w:rPr>
        <w:t>35</w:t>
      </w:r>
      <w:r>
        <w:rPr>
          <w:snapToGrid w:val="0"/>
        </w:rPr>
        <w:t>.</w:t>
      </w:r>
      <w:r>
        <w:rPr>
          <w:snapToGrid w:val="0"/>
        </w:rPr>
        <w:tab/>
        <w:t>Owners and occupiers to make and attach property sewers to public sewers</w:t>
      </w:r>
      <w:bookmarkEnd w:id="158"/>
      <w:bookmarkEnd w:id="159"/>
      <w:bookmarkEnd w:id="160"/>
      <w:bookmarkEnd w:id="161"/>
      <w:bookmarkEnd w:id="162"/>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163" w:name="_Toc490453555"/>
      <w:bookmarkStart w:id="164" w:name="_Toc526065394"/>
      <w:bookmarkStart w:id="165" w:name="_Toc531669494"/>
      <w:bookmarkStart w:id="166" w:name="_Toc104706080"/>
      <w:bookmarkStart w:id="167" w:name="_Toc137024137"/>
      <w:r>
        <w:rPr>
          <w:rStyle w:val="CharSectno"/>
        </w:rPr>
        <w:t>36</w:t>
      </w:r>
      <w:r>
        <w:rPr>
          <w:snapToGrid w:val="0"/>
        </w:rPr>
        <w:t>.</w:t>
      </w:r>
      <w:r>
        <w:rPr>
          <w:snapToGrid w:val="0"/>
        </w:rPr>
        <w:tab/>
        <w:t>Corporation may make property sewers and attach ventilators in default of compliance with orders</w:t>
      </w:r>
      <w:bookmarkEnd w:id="163"/>
      <w:bookmarkEnd w:id="164"/>
      <w:bookmarkEnd w:id="165"/>
      <w:bookmarkEnd w:id="166"/>
      <w:bookmarkEnd w:id="167"/>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168" w:name="_Toc490453556"/>
      <w:bookmarkStart w:id="169" w:name="_Toc526065395"/>
      <w:bookmarkStart w:id="170" w:name="_Toc531669495"/>
      <w:bookmarkStart w:id="171" w:name="_Toc104706081"/>
      <w:bookmarkStart w:id="172" w:name="_Toc137024138"/>
      <w:r>
        <w:rPr>
          <w:rStyle w:val="CharSectno"/>
        </w:rPr>
        <w:t>37</w:t>
      </w:r>
      <w:r>
        <w:rPr>
          <w:snapToGrid w:val="0"/>
        </w:rPr>
        <w:t>.</w:t>
      </w:r>
      <w:r>
        <w:rPr>
          <w:snapToGrid w:val="0"/>
        </w:rPr>
        <w:tab/>
        <w:t>Persons liable for payment for compulsory drainage may agree to pay by deferred payments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173" w:name="_Toc490453557"/>
      <w:bookmarkStart w:id="174" w:name="_Toc526065396"/>
      <w:bookmarkStart w:id="175" w:name="_Toc531669496"/>
      <w:bookmarkStart w:id="176" w:name="_Toc104706082"/>
      <w:bookmarkStart w:id="177" w:name="_Toc137024139"/>
      <w:r>
        <w:rPr>
          <w:rStyle w:val="CharSectno"/>
        </w:rPr>
        <w:t>39</w:t>
      </w:r>
      <w:r>
        <w:rPr>
          <w:snapToGrid w:val="0"/>
        </w:rPr>
        <w:t>.</w:t>
      </w:r>
      <w:r>
        <w:rPr>
          <w:snapToGrid w:val="0"/>
        </w:rPr>
        <w:tab/>
        <w:t>Property sewers to be cleansed</w:t>
      </w:r>
      <w:bookmarkEnd w:id="173"/>
      <w:bookmarkEnd w:id="174"/>
      <w:bookmarkEnd w:id="175"/>
      <w:bookmarkEnd w:id="176"/>
      <w:bookmarkEnd w:id="177"/>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178" w:name="_Toc490453558"/>
      <w:bookmarkStart w:id="179" w:name="_Toc526065397"/>
      <w:bookmarkStart w:id="180" w:name="_Toc531669497"/>
      <w:bookmarkStart w:id="181" w:name="_Toc104706083"/>
      <w:bookmarkStart w:id="182" w:name="_Toc137024140"/>
      <w:r>
        <w:rPr>
          <w:rStyle w:val="CharSectno"/>
        </w:rPr>
        <w:t>40</w:t>
      </w:r>
      <w:r>
        <w:rPr>
          <w:snapToGrid w:val="0"/>
        </w:rPr>
        <w:t>.</w:t>
      </w:r>
      <w:r>
        <w:rPr>
          <w:snapToGrid w:val="0"/>
        </w:rPr>
        <w:tab/>
        <w:t>Notice to be given to the Corporation before commencing or continuing sanitary work</w:t>
      </w:r>
      <w:bookmarkEnd w:id="178"/>
      <w:bookmarkEnd w:id="179"/>
      <w:bookmarkEnd w:id="180"/>
      <w:bookmarkEnd w:id="181"/>
      <w:bookmarkEnd w:id="182"/>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183" w:name="_Toc490453559"/>
      <w:bookmarkStart w:id="184" w:name="_Toc526065398"/>
      <w:bookmarkStart w:id="185" w:name="_Toc531669498"/>
      <w:bookmarkStart w:id="186" w:name="_Toc104706084"/>
      <w:bookmarkStart w:id="187" w:name="_Toc137024141"/>
      <w:r>
        <w:rPr>
          <w:rStyle w:val="CharSectno"/>
        </w:rPr>
        <w:t>41</w:t>
      </w:r>
      <w:r>
        <w:rPr>
          <w:snapToGrid w:val="0"/>
        </w:rPr>
        <w:t>.</w:t>
      </w:r>
      <w:r>
        <w:rPr>
          <w:snapToGrid w:val="0"/>
        </w:rPr>
        <w:tab/>
        <w:t>Inspection by Corporation</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188" w:name="_Toc490453560"/>
      <w:bookmarkStart w:id="189" w:name="_Toc526065399"/>
      <w:bookmarkStart w:id="190" w:name="_Toc531669499"/>
      <w:bookmarkStart w:id="191" w:name="_Toc104706085"/>
      <w:bookmarkStart w:id="192" w:name="_Toc137024142"/>
      <w:r>
        <w:rPr>
          <w:rStyle w:val="CharSectno"/>
        </w:rPr>
        <w:t>41A</w:t>
      </w:r>
      <w:r>
        <w:rPr>
          <w:snapToGrid w:val="0"/>
        </w:rPr>
        <w:t xml:space="preserve">. </w:t>
      </w:r>
      <w:r>
        <w:rPr>
          <w:snapToGrid w:val="0"/>
        </w:rPr>
        <w:tab/>
        <w:t>Notification of building or alteration</w:t>
      </w:r>
      <w:bookmarkEnd w:id="188"/>
      <w:bookmarkEnd w:id="189"/>
      <w:bookmarkEnd w:id="190"/>
      <w:bookmarkEnd w:id="191"/>
      <w:bookmarkEnd w:id="192"/>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 xml:space="preserve">(3) </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193" w:name="_Toc490453561"/>
      <w:bookmarkStart w:id="194" w:name="_Toc526065400"/>
      <w:bookmarkStart w:id="195" w:name="_Toc531669500"/>
      <w:bookmarkStart w:id="196" w:name="_Toc104706086"/>
      <w:bookmarkStart w:id="197" w:name="_Toc137024143"/>
      <w:r>
        <w:rPr>
          <w:rStyle w:val="CharSectno"/>
        </w:rPr>
        <w:t>42</w:t>
      </w:r>
      <w:r>
        <w:rPr>
          <w:snapToGrid w:val="0"/>
        </w:rPr>
        <w:t>.</w:t>
      </w:r>
      <w:r>
        <w:rPr>
          <w:snapToGrid w:val="0"/>
        </w:rPr>
        <w:tab/>
        <w:t>No construction over sewers except by consent</w:t>
      </w:r>
      <w:bookmarkEnd w:id="193"/>
      <w:bookmarkEnd w:id="194"/>
      <w:bookmarkEnd w:id="195"/>
      <w:bookmarkEnd w:id="196"/>
      <w:bookmarkEnd w:id="197"/>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 xml:space="preserve">(2) </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 xml:space="preserve">(3) </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rPr>
          <w:snapToGrid w:val="0"/>
        </w:rPr>
      </w:pPr>
      <w:bookmarkStart w:id="198" w:name="_Toc490453562"/>
      <w:bookmarkStart w:id="199" w:name="_Toc526065401"/>
      <w:bookmarkStart w:id="200" w:name="_Toc531669501"/>
      <w:bookmarkStart w:id="201" w:name="_Toc104706087"/>
      <w:bookmarkStart w:id="202" w:name="_Toc137024144"/>
      <w:r>
        <w:rPr>
          <w:rStyle w:val="CharSectno"/>
        </w:rPr>
        <w:t>43</w:t>
      </w:r>
      <w:r>
        <w:rPr>
          <w:snapToGrid w:val="0"/>
        </w:rPr>
        <w:t>.</w:t>
      </w:r>
      <w:r>
        <w:rPr>
          <w:snapToGrid w:val="0"/>
        </w:rPr>
        <w:tab/>
        <w:t>Inspection of communicating property sewers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rPr>
          <w:snapToGrid w:val="0"/>
        </w:rPr>
      </w:pPr>
      <w:bookmarkStart w:id="203" w:name="_Toc490453563"/>
      <w:bookmarkStart w:id="204" w:name="_Toc526065402"/>
      <w:bookmarkStart w:id="205" w:name="_Toc531669502"/>
      <w:bookmarkStart w:id="206" w:name="_Toc104706088"/>
      <w:bookmarkStart w:id="207" w:name="_Toc137024145"/>
      <w:r>
        <w:rPr>
          <w:rStyle w:val="CharSectno"/>
        </w:rPr>
        <w:t>44</w:t>
      </w:r>
      <w:r>
        <w:rPr>
          <w:snapToGrid w:val="0"/>
        </w:rPr>
        <w:t>.</w:t>
      </w:r>
      <w:r>
        <w:rPr>
          <w:snapToGrid w:val="0"/>
        </w:rPr>
        <w:tab/>
        <w:t>Penalty for giving use of property sewer without permission</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08" w:name="_Toc490453564"/>
      <w:bookmarkStart w:id="209" w:name="_Toc526065403"/>
      <w:bookmarkStart w:id="210" w:name="_Toc531669503"/>
      <w:bookmarkStart w:id="211" w:name="_Toc104706089"/>
      <w:bookmarkStart w:id="212" w:name="_Toc137024146"/>
      <w:r>
        <w:rPr>
          <w:rStyle w:val="CharSectno"/>
        </w:rPr>
        <w:t>45</w:t>
      </w:r>
      <w:r>
        <w:rPr>
          <w:snapToGrid w:val="0"/>
        </w:rPr>
        <w:t>.</w:t>
      </w:r>
      <w:r>
        <w:rPr>
          <w:snapToGrid w:val="0"/>
        </w:rPr>
        <w:tab/>
        <w:t>Where separate properties are drained by a common property sewer each to be liable</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213" w:name="_Toc490453565"/>
      <w:bookmarkStart w:id="214" w:name="_Toc526065404"/>
      <w:bookmarkStart w:id="215" w:name="_Toc531669504"/>
      <w:bookmarkStart w:id="216" w:name="_Toc104706090"/>
      <w:bookmarkStart w:id="217" w:name="_Toc137024147"/>
      <w:r>
        <w:rPr>
          <w:rStyle w:val="CharSectno"/>
        </w:rPr>
        <w:t>46</w:t>
      </w:r>
      <w:r>
        <w:rPr>
          <w:snapToGrid w:val="0"/>
        </w:rPr>
        <w:t>.</w:t>
      </w:r>
      <w:r>
        <w:rPr>
          <w:snapToGrid w:val="0"/>
        </w:rPr>
        <w:tab/>
        <w:t>Agreement with Corporation</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218" w:name="_Toc89498947"/>
      <w:bookmarkStart w:id="219" w:name="_Toc89499034"/>
      <w:bookmarkStart w:id="220" w:name="_Toc89510056"/>
      <w:bookmarkStart w:id="221" w:name="_Toc90866843"/>
      <w:bookmarkStart w:id="222" w:name="_Toc92509617"/>
      <w:bookmarkStart w:id="223" w:name="_Toc97105572"/>
      <w:bookmarkStart w:id="224" w:name="_Toc101952196"/>
      <w:bookmarkStart w:id="225" w:name="_Toc103064771"/>
      <w:bookmarkStart w:id="226" w:name="_Toc104706091"/>
      <w:bookmarkStart w:id="227" w:name="_Toc136934275"/>
      <w:bookmarkStart w:id="228" w:name="_Toc136934363"/>
      <w:bookmarkStart w:id="229" w:name="_Toc137024148"/>
      <w:r>
        <w:rPr>
          <w:rStyle w:val="CharPartNo"/>
        </w:rPr>
        <w:t>Part VII</w:t>
      </w:r>
      <w:r>
        <w:rPr>
          <w:rStyle w:val="CharDivNo"/>
        </w:rPr>
        <w:t> </w:t>
      </w:r>
      <w:r>
        <w:t>—</w:t>
      </w:r>
      <w:r>
        <w:rPr>
          <w:rStyle w:val="CharDivText"/>
        </w:rPr>
        <w:t> </w:t>
      </w:r>
      <w:r>
        <w:rPr>
          <w:rStyle w:val="CharPartText"/>
        </w:rPr>
        <w:t>Sewerage charges</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Footnoteheading"/>
        <w:rPr>
          <w:snapToGrid w:val="0"/>
        </w:rPr>
      </w:pPr>
      <w:r>
        <w:rPr>
          <w:snapToGrid w:val="0"/>
        </w:rPr>
        <w:tab/>
        <w:t xml:space="preserve">[Heading to Part VII inserted by No. 24 of 1987 s. 115.] </w:t>
      </w:r>
    </w:p>
    <w:p>
      <w:pPr>
        <w:pStyle w:val="Ednotesection"/>
      </w:pPr>
      <w:r>
        <w:tab/>
        <w:t>[Heading (1) repealed by No. 24 of 1987 s. 116.]</w:t>
      </w:r>
    </w:p>
    <w:p>
      <w:pPr>
        <w:pStyle w:val="Ednotesection"/>
      </w:pPr>
      <w:r>
        <w:rPr>
          <w:b/>
        </w:rPr>
        <w:t>[47.</w:t>
      </w:r>
      <w:r>
        <w:tab/>
        <w:t xml:space="preserve">Repealed by No. 24 of 1987 s. 116.] </w:t>
      </w:r>
    </w:p>
    <w:p>
      <w:pPr>
        <w:pStyle w:val="Ednotesection"/>
      </w:pPr>
      <w:r>
        <w:tab/>
        <w:t>[Heading (2) repealed by No. 24 of 1987 s. 116.]</w:t>
      </w:r>
    </w:p>
    <w:p>
      <w:pPr>
        <w:pStyle w:val="Ednotesection"/>
      </w:pP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rPr>
          <w:i/>
          <w:iCs/>
          <w:snapToGrid w:val="0"/>
        </w:rPr>
      </w:pPr>
      <w:bookmarkStart w:id="230" w:name="_Toc530277795"/>
      <w:bookmarkStart w:id="231" w:name="_Toc531669505"/>
      <w:bookmarkStart w:id="232" w:name="_Toc104706092"/>
      <w:r>
        <w:rPr>
          <w:i/>
          <w:iCs/>
          <w:snapToGrid w:val="0"/>
        </w:rPr>
        <w:t xml:space="preserve">(3)  Objections and </w:t>
      </w:r>
      <w:bookmarkEnd w:id="230"/>
      <w:bookmarkEnd w:id="231"/>
      <w:r>
        <w:rPr>
          <w:i/>
          <w:iCs/>
        </w:rPr>
        <w:t>Review</w:t>
      </w:r>
      <w:bookmarkEnd w:id="232"/>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233" w:name="_Toc490453566"/>
      <w:bookmarkStart w:id="234" w:name="_Toc526065405"/>
      <w:bookmarkStart w:id="235" w:name="_Toc531669506"/>
      <w:bookmarkStart w:id="236" w:name="_Toc104706093"/>
      <w:bookmarkStart w:id="237" w:name="_Toc137024149"/>
      <w:r>
        <w:rPr>
          <w:rStyle w:val="CharSectno"/>
        </w:rPr>
        <w:t>61</w:t>
      </w:r>
      <w:r>
        <w:rPr>
          <w:snapToGrid w:val="0"/>
        </w:rPr>
        <w:t>.</w:t>
      </w:r>
      <w:r>
        <w:rPr>
          <w:snapToGrid w:val="0"/>
        </w:rPr>
        <w:tab/>
        <w:t>Objection to entry in records</w:t>
      </w:r>
      <w:bookmarkEnd w:id="233"/>
      <w:bookmarkEnd w:id="234"/>
      <w:bookmarkEnd w:id="235"/>
      <w:bookmarkEnd w:id="236"/>
      <w:bookmarkEnd w:id="237"/>
      <w:r>
        <w:rPr>
          <w:snapToGrid w:val="0"/>
        </w:rPr>
        <w:t xml:space="preserve"> </w:t>
      </w:r>
    </w:p>
    <w:p>
      <w:pPr>
        <w:pStyle w:val="Subsection"/>
        <w:rPr>
          <w:snapToGrid w:val="0"/>
        </w:rPr>
      </w:pPr>
      <w:r>
        <w:rPr>
          <w:snapToGrid w:val="0"/>
        </w:rPr>
        <w:tab/>
        <w:t xml:space="preserve">(1) </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 xml:space="preserve">(2) </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 xml:space="preserve">(4) </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 xml:space="preserve">(5) </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 xml:space="preserve">(6) </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238" w:name="_Toc490453567"/>
      <w:bookmarkStart w:id="239" w:name="_Toc526065406"/>
      <w:bookmarkStart w:id="240" w:name="_Toc531669507"/>
      <w:bookmarkStart w:id="241" w:name="_Toc104706094"/>
      <w:bookmarkStart w:id="242" w:name="_Toc137024150"/>
      <w:r>
        <w:rPr>
          <w:rStyle w:val="CharSectno"/>
        </w:rPr>
        <w:t>62</w:t>
      </w:r>
      <w:r>
        <w:rPr>
          <w:snapToGrid w:val="0"/>
        </w:rPr>
        <w:t>.</w:t>
      </w:r>
      <w:r>
        <w:rPr>
          <w:snapToGrid w:val="0"/>
        </w:rPr>
        <w:tab/>
        <w:t>Appeal against decision of Corporation on objection</w:t>
      </w:r>
      <w:bookmarkEnd w:id="238"/>
      <w:bookmarkEnd w:id="239"/>
      <w:bookmarkEnd w:id="240"/>
      <w:bookmarkEnd w:id="241"/>
      <w:bookmarkEnd w:id="242"/>
      <w:r>
        <w:rPr>
          <w:snapToGrid w:val="0"/>
        </w:rPr>
        <w:t xml:space="preserve"> </w:t>
      </w:r>
    </w:p>
    <w:p>
      <w:pPr>
        <w:pStyle w:val="Subsection"/>
        <w:rPr>
          <w:snapToGrid w:val="0"/>
        </w:rPr>
      </w:pPr>
      <w:r>
        <w:rPr>
          <w:snapToGrid w:val="0"/>
        </w:rPr>
        <w:tab/>
        <w:t xml:space="preserve">(1) </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 xml:space="preserve">(2) </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243" w:name="_Toc490453568"/>
      <w:bookmarkStart w:id="244" w:name="_Toc526065407"/>
      <w:bookmarkStart w:id="245" w:name="_Toc531669508"/>
      <w:bookmarkStart w:id="246" w:name="_Toc104706095"/>
      <w:bookmarkStart w:id="247" w:name="_Toc137024151"/>
      <w:r>
        <w:rPr>
          <w:rStyle w:val="CharSectno"/>
        </w:rPr>
        <w:t>63</w:t>
      </w:r>
      <w:r>
        <w:rPr>
          <w:snapToGrid w:val="0"/>
        </w:rPr>
        <w:t>.</w:t>
      </w:r>
      <w:r>
        <w:rPr>
          <w:snapToGrid w:val="0"/>
        </w:rPr>
        <w:tab/>
        <w:t>Appeal against refusal to extend time for objection or appeal</w:t>
      </w:r>
      <w:bookmarkEnd w:id="243"/>
      <w:bookmarkEnd w:id="244"/>
      <w:bookmarkEnd w:id="245"/>
      <w:bookmarkEnd w:id="246"/>
      <w:bookmarkEnd w:id="247"/>
      <w:r>
        <w:rPr>
          <w:snapToGrid w:val="0"/>
        </w:rPr>
        <w:t xml:space="preserve"> </w:t>
      </w:r>
    </w:p>
    <w:p>
      <w:pPr>
        <w:pStyle w:val="Subsection"/>
        <w:rPr>
          <w:snapToGrid w:val="0"/>
        </w:rPr>
      </w:pPr>
      <w:r>
        <w:rPr>
          <w:snapToGrid w:val="0"/>
        </w:rPr>
        <w:tab/>
        <w:t xml:space="preserve">(1) </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 xml:space="preserve">(2) </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248" w:name="_Toc104706096"/>
      <w:bookmarkStart w:id="249" w:name="_Toc137024152"/>
      <w:bookmarkStart w:id="250" w:name="_Toc490453569"/>
      <w:bookmarkStart w:id="251" w:name="_Toc526065408"/>
      <w:bookmarkStart w:id="252" w:name="_Toc531669509"/>
      <w:r>
        <w:rPr>
          <w:rStyle w:val="CharSectno"/>
        </w:rPr>
        <w:t>63A</w:t>
      </w:r>
      <w:r>
        <w:rPr>
          <w:snapToGrid w:val="0"/>
        </w:rPr>
        <w:t>.</w:t>
      </w:r>
      <w:r>
        <w:rPr>
          <w:snapToGrid w:val="0"/>
        </w:rPr>
        <w:tab/>
        <w:t>New matters raised on review</w:t>
      </w:r>
      <w:bookmarkEnd w:id="248"/>
      <w:bookmarkEnd w:id="249"/>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253" w:name="_Toc104706097"/>
      <w:bookmarkStart w:id="254" w:name="_Toc137024153"/>
      <w:r>
        <w:rPr>
          <w:rStyle w:val="CharSectno"/>
        </w:rPr>
        <w:t>63B</w:t>
      </w:r>
      <w:r>
        <w:rPr>
          <w:snapToGrid w:val="0"/>
        </w:rPr>
        <w:t>.</w:t>
      </w:r>
      <w:r>
        <w:rPr>
          <w:snapToGrid w:val="0"/>
        </w:rPr>
        <w:tab/>
        <w:t>Written reasons for certain determinations to be given and published</w:t>
      </w:r>
      <w:bookmarkEnd w:id="253"/>
      <w:bookmarkEnd w:id="25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255" w:name="_Toc104706098"/>
      <w:bookmarkStart w:id="256" w:name="_Toc137024154"/>
      <w:r>
        <w:rPr>
          <w:rStyle w:val="CharSectno"/>
        </w:rPr>
        <w:t>64</w:t>
      </w:r>
      <w:r>
        <w:rPr>
          <w:snapToGrid w:val="0"/>
        </w:rPr>
        <w:t>.</w:t>
      </w:r>
      <w:r>
        <w:rPr>
          <w:snapToGrid w:val="0"/>
        </w:rPr>
        <w:tab/>
        <w:t>Objections and appeals against valuations</w:t>
      </w:r>
      <w:bookmarkEnd w:id="250"/>
      <w:bookmarkEnd w:id="251"/>
      <w:bookmarkEnd w:id="252"/>
      <w:bookmarkEnd w:id="255"/>
      <w:bookmarkEnd w:id="256"/>
      <w:r>
        <w:rPr>
          <w:snapToGrid w:val="0"/>
        </w:rPr>
        <w:t xml:space="preserve"> </w:t>
      </w:r>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257" w:name="_Toc490453570"/>
      <w:bookmarkStart w:id="258" w:name="_Toc526065409"/>
      <w:bookmarkStart w:id="259" w:name="_Toc531669510"/>
      <w:bookmarkStart w:id="260" w:name="_Toc104706099"/>
      <w:bookmarkStart w:id="261" w:name="_Toc137024155"/>
      <w:r>
        <w:rPr>
          <w:rStyle w:val="CharSectno"/>
        </w:rPr>
        <w:t>65</w:t>
      </w:r>
      <w:r>
        <w:rPr>
          <w:snapToGrid w:val="0"/>
        </w:rPr>
        <w:t>.</w:t>
      </w:r>
      <w:r>
        <w:rPr>
          <w:snapToGrid w:val="0"/>
        </w:rPr>
        <w:tab/>
        <w:t>Objection or appeal not to affect liability to pay the charges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262" w:name="_Toc490453571"/>
      <w:bookmarkStart w:id="263" w:name="_Toc526065410"/>
      <w:bookmarkStart w:id="264" w:name="_Toc531669511"/>
      <w:bookmarkStart w:id="265" w:name="_Toc104706100"/>
      <w:bookmarkStart w:id="266" w:name="_Toc137024156"/>
      <w:r>
        <w:rPr>
          <w:rStyle w:val="CharSectno"/>
        </w:rPr>
        <w:t>65A</w:t>
      </w:r>
      <w:r>
        <w:rPr>
          <w:snapToGrid w:val="0"/>
        </w:rPr>
        <w:t xml:space="preserve">. </w:t>
      </w:r>
      <w:r>
        <w:rPr>
          <w:snapToGrid w:val="0"/>
        </w:rPr>
        <w:tab/>
        <w:t>Corporation to amend records and assessment consequent on objection or appeal</w:t>
      </w:r>
      <w:bookmarkEnd w:id="262"/>
      <w:bookmarkEnd w:id="263"/>
      <w:bookmarkEnd w:id="264"/>
      <w:bookmarkEnd w:id="265"/>
      <w:bookmarkEnd w:id="266"/>
      <w:r>
        <w:rPr>
          <w:snapToGrid w:val="0"/>
        </w:rPr>
        <w:t xml:space="preserve"> </w:t>
      </w:r>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ab/>
        <w:t>[Heading (4) Repealed by No. 24 of 1987 s. 123.]</w:t>
      </w:r>
    </w:p>
    <w:p>
      <w:pPr>
        <w:pStyle w:val="Ednotesection"/>
      </w:pPr>
      <w:r>
        <w:t>[</w:t>
      </w:r>
      <w:r>
        <w:rPr>
          <w:b/>
        </w:rPr>
        <w:t>66-70.</w:t>
      </w:r>
      <w:r>
        <w:tab/>
        <w:t xml:space="preserve">Repealed by No. 24 of 1987 s. 123.] </w:t>
      </w:r>
    </w:p>
    <w:p>
      <w:pPr>
        <w:pStyle w:val="Ednotesection"/>
      </w:pPr>
      <w:r>
        <w:rPr>
          <w:b/>
        </w:rPr>
        <w:t>[71.</w:t>
      </w:r>
      <w:r>
        <w:tab/>
        <w:t xml:space="preserve">Repealed by No. 25 of 1985 s. 194.] </w:t>
      </w:r>
    </w:p>
    <w:p>
      <w:pPr>
        <w:pStyle w:val="Ednotesection"/>
      </w:pPr>
      <w:r>
        <w:rPr>
          <w:b/>
        </w:rPr>
        <w:t>[72, 72A, 72B.</w:t>
      </w:r>
      <w:r>
        <w:tab/>
        <w:t xml:space="preserve">Repealed by No. 24 of 1987 s. 123.] </w:t>
      </w:r>
    </w:p>
    <w:p>
      <w:pPr>
        <w:pStyle w:val="Ednotesection"/>
      </w:pPr>
      <w:r>
        <w:tab/>
        <w:t>[Heading (5) repealed by No. 24 of 1987 s. 123.]</w:t>
      </w:r>
    </w:p>
    <w:p>
      <w:pPr>
        <w:pStyle w:val="Ednotesection"/>
      </w:pPr>
      <w:r>
        <w:t>[</w:t>
      </w:r>
      <w:r>
        <w:rPr>
          <w:b/>
        </w:rPr>
        <w:t>73, 73A, 74.</w:t>
      </w:r>
      <w:r>
        <w:tab/>
        <w:t xml:space="preserve">Repealed by No. 24 of 1987 s. 123.] </w:t>
      </w:r>
    </w:p>
    <w:p>
      <w:pPr>
        <w:pStyle w:val="MiscellaneousHeading"/>
        <w:rPr>
          <w:i/>
          <w:iCs/>
          <w:snapToGrid w:val="0"/>
        </w:rPr>
      </w:pPr>
      <w:bookmarkStart w:id="267" w:name="_Toc530277802"/>
      <w:bookmarkStart w:id="268" w:name="_Toc531669512"/>
      <w:bookmarkStart w:id="269" w:name="_Toc104706101"/>
      <w:r>
        <w:rPr>
          <w:i/>
          <w:iCs/>
          <w:snapToGrid w:val="0"/>
        </w:rPr>
        <w:t>(6)  Liability for and Recovery of Charges</w:t>
      </w:r>
      <w:bookmarkEnd w:id="267"/>
      <w:bookmarkEnd w:id="268"/>
      <w:bookmarkEnd w:id="269"/>
    </w:p>
    <w:p>
      <w:pPr>
        <w:pStyle w:val="Footnoteheading"/>
        <w:rPr>
          <w:snapToGrid w:val="0"/>
        </w:rPr>
      </w:pPr>
      <w:r>
        <w:rPr>
          <w:snapToGrid w:val="0"/>
        </w:rPr>
        <w:tab/>
        <w:t>[Heading amended by No. 24 of 1987 s. 124.]</w:t>
      </w:r>
    </w:p>
    <w:p>
      <w:pPr>
        <w:pStyle w:val="Heading3"/>
        <w:rPr>
          <w:snapToGrid w:val="0"/>
          <w:sz w:val="24"/>
        </w:rPr>
      </w:pPr>
      <w:bookmarkStart w:id="270" w:name="_Toc89498956"/>
      <w:bookmarkStart w:id="271" w:name="_Toc89499043"/>
      <w:bookmarkStart w:id="272" w:name="_Toc89510065"/>
      <w:bookmarkStart w:id="273" w:name="_Toc90866852"/>
      <w:bookmarkStart w:id="274" w:name="_Toc92509628"/>
      <w:bookmarkStart w:id="275" w:name="_Toc97105583"/>
      <w:bookmarkStart w:id="276" w:name="_Toc101952207"/>
      <w:bookmarkStart w:id="277" w:name="_Toc103064782"/>
      <w:bookmarkStart w:id="278" w:name="_Toc104706102"/>
      <w:bookmarkStart w:id="279" w:name="_Toc136934284"/>
      <w:bookmarkStart w:id="280" w:name="_Toc136934372"/>
      <w:bookmarkStart w:id="281" w:name="_Toc137024157"/>
      <w:r>
        <w:rPr>
          <w:snapToGrid w:val="0"/>
          <w:sz w:val="24"/>
        </w:rPr>
        <w:t>Division (1) — Generally</w:t>
      </w:r>
      <w:bookmarkEnd w:id="270"/>
      <w:bookmarkEnd w:id="271"/>
      <w:bookmarkEnd w:id="272"/>
      <w:bookmarkEnd w:id="273"/>
      <w:bookmarkEnd w:id="274"/>
      <w:bookmarkEnd w:id="275"/>
      <w:bookmarkEnd w:id="276"/>
      <w:bookmarkEnd w:id="277"/>
      <w:bookmarkEnd w:id="278"/>
      <w:bookmarkEnd w:id="279"/>
      <w:bookmarkEnd w:id="280"/>
      <w:bookmarkEnd w:id="281"/>
      <w:r>
        <w:rPr>
          <w:snapToGrid w:val="0"/>
          <w:sz w:val="24"/>
        </w:rPr>
        <w:t xml:space="preserve"> </w:t>
      </w:r>
    </w:p>
    <w:p>
      <w:pPr>
        <w:pStyle w:val="Heading5"/>
        <w:rPr>
          <w:snapToGrid w:val="0"/>
        </w:rPr>
      </w:pPr>
      <w:bookmarkStart w:id="282" w:name="_Toc490453572"/>
      <w:bookmarkStart w:id="283" w:name="_Toc526065411"/>
      <w:bookmarkStart w:id="284" w:name="_Toc531669513"/>
      <w:bookmarkStart w:id="285" w:name="_Toc104706103"/>
      <w:bookmarkStart w:id="286" w:name="_Toc137024158"/>
      <w:r>
        <w:rPr>
          <w:rStyle w:val="CharSectno"/>
        </w:rPr>
        <w:t>75</w:t>
      </w:r>
      <w:r>
        <w:rPr>
          <w:snapToGrid w:val="0"/>
        </w:rPr>
        <w:t>.</w:t>
      </w:r>
      <w:r>
        <w:rPr>
          <w:snapToGrid w:val="0"/>
        </w:rPr>
        <w:tab/>
        <w:t>Who is liable for charges</w:t>
      </w:r>
      <w:bookmarkEnd w:id="282"/>
      <w:bookmarkEnd w:id="283"/>
      <w:bookmarkEnd w:id="284"/>
      <w:bookmarkEnd w:id="285"/>
      <w:bookmarkEnd w:id="286"/>
      <w:r>
        <w:rPr>
          <w:snapToGrid w:val="0"/>
        </w:rPr>
        <w:t xml:space="preserve"> </w:t>
      </w:r>
    </w:p>
    <w:p>
      <w:pPr>
        <w:pStyle w:val="Subsection"/>
        <w:rPr>
          <w:snapToGrid w:val="0"/>
        </w:rPr>
      </w:pPr>
      <w:r>
        <w:rPr>
          <w:snapToGrid w:val="0"/>
        </w:rPr>
        <w:tab/>
        <w:t xml:space="preserve">(1) </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287" w:name="_Toc490453573"/>
      <w:bookmarkStart w:id="288" w:name="_Toc526065412"/>
      <w:bookmarkStart w:id="289" w:name="_Toc531669514"/>
      <w:bookmarkStart w:id="290" w:name="_Toc104706104"/>
      <w:bookmarkStart w:id="291" w:name="_Toc137024159"/>
      <w:r>
        <w:rPr>
          <w:rStyle w:val="CharSectno"/>
        </w:rPr>
        <w:t>76</w:t>
      </w:r>
      <w:r>
        <w:rPr>
          <w:snapToGrid w:val="0"/>
        </w:rPr>
        <w:t>.</w:t>
      </w:r>
      <w:r>
        <w:rPr>
          <w:snapToGrid w:val="0"/>
        </w:rPr>
        <w:tab/>
        <w:t>Payment by mortgagee</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292" w:name="_Toc490453574"/>
      <w:bookmarkStart w:id="293" w:name="_Toc526065413"/>
      <w:bookmarkStart w:id="294" w:name="_Toc531669515"/>
      <w:bookmarkStart w:id="295" w:name="_Toc104706105"/>
      <w:bookmarkStart w:id="296" w:name="_Toc137024160"/>
      <w:r>
        <w:rPr>
          <w:rStyle w:val="CharSectno"/>
        </w:rPr>
        <w:t>77</w:t>
      </w:r>
      <w:r>
        <w:rPr>
          <w:snapToGrid w:val="0"/>
        </w:rPr>
        <w:t>.</w:t>
      </w:r>
      <w:r>
        <w:rPr>
          <w:snapToGrid w:val="0"/>
        </w:rPr>
        <w:tab/>
        <w:t>Charges apportioned on the occupier, etc., quitting</w:t>
      </w:r>
      <w:bookmarkEnd w:id="292"/>
      <w:bookmarkEnd w:id="293"/>
      <w:bookmarkEnd w:id="294"/>
      <w:bookmarkEnd w:id="295"/>
      <w:bookmarkEnd w:id="296"/>
      <w:r>
        <w:rPr>
          <w:snapToGrid w:val="0"/>
        </w:rPr>
        <w:t xml:space="preserve"> </w:t>
      </w:r>
    </w:p>
    <w:p>
      <w:pPr>
        <w:pStyle w:val="Subsection"/>
        <w:rPr>
          <w:snapToGrid w:val="0"/>
        </w:rPr>
      </w:pPr>
      <w:r>
        <w:rPr>
          <w:snapToGrid w:val="0"/>
        </w:rPr>
        <w:tab/>
        <w:t xml:space="preserve">(1) </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 xml:space="preserve">(2) </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 xml:space="preserve">(3) </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297" w:name="_Toc490453575"/>
      <w:bookmarkStart w:id="298" w:name="_Toc526065414"/>
      <w:bookmarkStart w:id="299" w:name="_Toc531669516"/>
      <w:bookmarkStart w:id="300" w:name="_Toc104706106"/>
      <w:bookmarkStart w:id="301" w:name="_Toc137024161"/>
      <w:r>
        <w:rPr>
          <w:rStyle w:val="CharSectno"/>
        </w:rPr>
        <w:t>78</w:t>
      </w:r>
      <w:r>
        <w:rPr>
          <w:snapToGrid w:val="0"/>
        </w:rPr>
        <w:t>.</w:t>
      </w:r>
      <w:r>
        <w:rPr>
          <w:snapToGrid w:val="0"/>
        </w:rPr>
        <w:tab/>
        <w:t>Persons liable to be resorted to in succession</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302" w:name="_Toc490453576"/>
      <w:bookmarkStart w:id="303" w:name="_Toc526065415"/>
      <w:bookmarkStart w:id="304" w:name="_Toc531669517"/>
      <w:bookmarkStart w:id="305" w:name="_Toc104706107"/>
      <w:bookmarkStart w:id="306" w:name="_Toc137024162"/>
      <w:r>
        <w:rPr>
          <w:rStyle w:val="CharSectno"/>
        </w:rPr>
        <w:t>79</w:t>
      </w:r>
      <w:r>
        <w:rPr>
          <w:snapToGrid w:val="0"/>
        </w:rPr>
        <w:t>.</w:t>
      </w:r>
      <w:r>
        <w:rPr>
          <w:snapToGrid w:val="0"/>
        </w:rPr>
        <w:tab/>
        <w:t>How charges may be recovered</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307" w:name="_Toc490453577"/>
      <w:bookmarkStart w:id="308" w:name="_Toc526065416"/>
      <w:bookmarkStart w:id="309" w:name="_Toc531669518"/>
      <w:bookmarkStart w:id="310" w:name="_Toc104706108"/>
      <w:bookmarkStart w:id="311" w:name="_Toc137024163"/>
      <w:r>
        <w:rPr>
          <w:rStyle w:val="CharSectno"/>
        </w:rPr>
        <w:t>80</w:t>
      </w:r>
      <w:r>
        <w:rPr>
          <w:snapToGrid w:val="0"/>
        </w:rPr>
        <w:t>.</w:t>
      </w:r>
      <w:r>
        <w:rPr>
          <w:snapToGrid w:val="0"/>
        </w:rPr>
        <w:tab/>
        <w:t>Records to be evidence</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312" w:name="_Toc89498964"/>
      <w:bookmarkStart w:id="313" w:name="_Toc89499051"/>
      <w:bookmarkStart w:id="314" w:name="_Toc89510073"/>
      <w:bookmarkStart w:id="315" w:name="_Toc90866860"/>
      <w:bookmarkStart w:id="316" w:name="_Toc92509636"/>
      <w:bookmarkStart w:id="317" w:name="_Toc97105591"/>
      <w:bookmarkStart w:id="318" w:name="_Toc101952215"/>
      <w:bookmarkStart w:id="319" w:name="_Toc103064790"/>
      <w:bookmarkStart w:id="320" w:name="_Toc104706110"/>
      <w:bookmarkStart w:id="321" w:name="_Toc136934292"/>
      <w:bookmarkStart w:id="322" w:name="_Toc136934380"/>
      <w:bookmarkStart w:id="323" w:name="_Toc137024165"/>
      <w:r>
        <w:rPr>
          <w:snapToGrid w:val="0"/>
          <w:sz w:val="24"/>
        </w:rPr>
        <w:t>Division (2) — Power of sale</w:t>
      </w:r>
      <w:bookmarkEnd w:id="312"/>
      <w:bookmarkEnd w:id="313"/>
      <w:bookmarkEnd w:id="314"/>
      <w:bookmarkEnd w:id="315"/>
      <w:bookmarkEnd w:id="316"/>
      <w:bookmarkEnd w:id="317"/>
      <w:bookmarkEnd w:id="318"/>
      <w:bookmarkEnd w:id="319"/>
      <w:bookmarkEnd w:id="320"/>
      <w:bookmarkEnd w:id="321"/>
      <w:bookmarkEnd w:id="322"/>
      <w:bookmarkEnd w:id="323"/>
      <w:r>
        <w:rPr>
          <w:rStyle w:val="CharDivText"/>
          <w:sz w:val="24"/>
        </w:rPr>
        <w:t xml:space="preserve"> </w:t>
      </w:r>
    </w:p>
    <w:p>
      <w:pPr>
        <w:pStyle w:val="Heading5"/>
      </w:pPr>
      <w:bookmarkStart w:id="324" w:name="_Toc137024164"/>
      <w:bookmarkStart w:id="325" w:name="_Toc490453579"/>
      <w:bookmarkStart w:id="326" w:name="_Toc526065418"/>
      <w:bookmarkStart w:id="327" w:name="_Toc531669520"/>
      <w:bookmarkStart w:id="328" w:name="_Toc104706111"/>
      <w:bookmarkStart w:id="329" w:name="_Toc137024166"/>
      <w:r>
        <w:rPr>
          <w:rStyle w:val="CharSectno"/>
        </w:rPr>
        <w:t>82</w:t>
      </w:r>
      <w:r>
        <w:t>.</w:t>
      </w:r>
      <w:r>
        <w:tab/>
        <w:t>Application and expiry of this Division</w:t>
      </w:r>
      <w:bookmarkEnd w:id="324"/>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r>
        <w:rPr>
          <w:rStyle w:val="CharSectno"/>
        </w:rPr>
        <w:t>83</w:t>
      </w:r>
      <w:r>
        <w:rPr>
          <w:snapToGrid w:val="0"/>
        </w:rPr>
        <w:t>.</w:t>
      </w:r>
      <w:r>
        <w:rPr>
          <w:snapToGrid w:val="0"/>
        </w:rPr>
        <w:tab/>
        <w:t>Land may be sold for arrears of charges, etc., remaining unpaid for 5 years</w:t>
      </w:r>
      <w:bookmarkEnd w:id="325"/>
      <w:bookmarkEnd w:id="326"/>
      <w:bookmarkEnd w:id="327"/>
      <w:bookmarkEnd w:id="328"/>
      <w:bookmarkEnd w:id="329"/>
      <w:r>
        <w:rPr>
          <w:snapToGrid w:val="0"/>
        </w:rPr>
        <w:t xml:space="preserve"> </w:t>
      </w:r>
    </w:p>
    <w:p>
      <w:pPr>
        <w:pStyle w:val="Subsection"/>
        <w:rPr>
          <w:snapToGrid w:val="0"/>
        </w:rPr>
      </w:pPr>
      <w:r>
        <w:rPr>
          <w:snapToGrid w:val="0"/>
        </w:rPr>
        <w:tab/>
        <w:t xml:space="preserve">(1) </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 xml:space="preserve">(2) </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330" w:name="_Toc490453580"/>
      <w:bookmarkStart w:id="331" w:name="_Toc526065419"/>
      <w:bookmarkStart w:id="332" w:name="_Toc531669521"/>
      <w:bookmarkStart w:id="333" w:name="_Toc104706112"/>
      <w:bookmarkStart w:id="334" w:name="_Toc137024167"/>
      <w:r>
        <w:rPr>
          <w:rStyle w:val="CharSectno"/>
        </w:rPr>
        <w:t>84</w:t>
      </w:r>
      <w:r>
        <w:rPr>
          <w:snapToGrid w:val="0"/>
        </w:rPr>
        <w:t>.</w:t>
      </w:r>
      <w:r>
        <w:rPr>
          <w:snapToGrid w:val="0"/>
        </w:rPr>
        <w:tab/>
        <w:t>Conditions for exercise of power of sale</w:t>
      </w:r>
      <w:bookmarkEnd w:id="330"/>
      <w:bookmarkEnd w:id="331"/>
      <w:bookmarkEnd w:id="332"/>
      <w:bookmarkEnd w:id="333"/>
      <w:bookmarkEnd w:id="334"/>
      <w:r>
        <w:rPr>
          <w:snapToGrid w:val="0"/>
        </w:rPr>
        <w:t xml:space="preserve"> </w:t>
      </w:r>
    </w:p>
    <w:p>
      <w:pPr>
        <w:pStyle w:val="Subsection"/>
        <w:rPr>
          <w:snapToGrid w:val="0"/>
        </w:rPr>
      </w:pPr>
      <w:r>
        <w:rPr>
          <w:snapToGrid w:val="0"/>
        </w:rPr>
        <w:tab/>
        <w:t xml:space="preserve">(1) </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spacing w:before="180"/>
        <w:rPr>
          <w:snapToGrid w:val="0"/>
        </w:rPr>
      </w:pPr>
      <w:bookmarkStart w:id="335" w:name="_Toc490453581"/>
      <w:bookmarkStart w:id="336" w:name="_Toc526065420"/>
      <w:bookmarkStart w:id="337" w:name="_Toc531669522"/>
      <w:bookmarkStart w:id="338" w:name="_Toc104706113"/>
      <w:bookmarkStart w:id="339" w:name="_Toc137024168"/>
      <w:r>
        <w:rPr>
          <w:rStyle w:val="CharSectno"/>
        </w:rPr>
        <w:t>85</w:t>
      </w:r>
      <w:r>
        <w:rPr>
          <w:snapToGrid w:val="0"/>
        </w:rPr>
        <w:t>.</w:t>
      </w:r>
      <w:r>
        <w:rPr>
          <w:snapToGrid w:val="0"/>
        </w:rPr>
        <w:tab/>
        <w:t>Contents of notice</w:t>
      </w:r>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Every notice requiring payment shall — </w:t>
      </w:r>
    </w:p>
    <w:p>
      <w:pPr>
        <w:pStyle w:val="Indenta"/>
        <w:spacing w:before="60"/>
        <w:rPr>
          <w:snapToGrid w:val="0"/>
        </w:rPr>
      </w:pPr>
      <w:r>
        <w:rPr>
          <w:snapToGrid w:val="0"/>
        </w:rPr>
        <w:tab/>
        <w:t xml:space="preserve">(a) </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spacing w:before="180"/>
        <w:rPr>
          <w:snapToGrid w:val="0"/>
        </w:rPr>
      </w:pPr>
      <w:bookmarkStart w:id="340" w:name="_Toc490453582"/>
      <w:bookmarkStart w:id="341" w:name="_Toc526065421"/>
      <w:bookmarkStart w:id="342" w:name="_Toc531669523"/>
      <w:bookmarkStart w:id="343" w:name="_Toc104706114"/>
      <w:bookmarkStart w:id="344" w:name="_Toc137024169"/>
      <w:r>
        <w:rPr>
          <w:rStyle w:val="CharSectno"/>
        </w:rPr>
        <w:t>86</w:t>
      </w:r>
      <w:r>
        <w:rPr>
          <w:snapToGrid w:val="0"/>
        </w:rPr>
        <w:t>.</w:t>
      </w:r>
      <w:r>
        <w:rPr>
          <w:snapToGrid w:val="0"/>
        </w:rPr>
        <w:tab/>
        <w:t>Fixing of time for sale by auction</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345" w:name="_Toc490453583"/>
      <w:bookmarkStart w:id="346" w:name="_Toc526065422"/>
      <w:bookmarkStart w:id="347" w:name="_Toc531669524"/>
      <w:bookmarkStart w:id="348" w:name="_Toc104706115"/>
      <w:bookmarkStart w:id="349" w:name="_Toc137024170"/>
      <w:r>
        <w:rPr>
          <w:rStyle w:val="CharSectno"/>
        </w:rPr>
        <w:t>87</w:t>
      </w:r>
      <w:r>
        <w:rPr>
          <w:snapToGrid w:val="0"/>
        </w:rPr>
        <w:t>.</w:t>
      </w:r>
      <w:r>
        <w:rPr>
          <w:snapToGrid w:val="0"/>
        </w:rPr>
        <w:tab/>
        <w:t>Advertisement for sale</w:t>
      </w:r>
      <w:bookmarkEnd w:id="345"/>
      <w:bookmarkEnd w:id="346"/>
      <w:bookmarkEnd w:id="347"/>
      <w:bookmarkEnd w:id="348"/>
      <w:bookmarkEnd w:id="349"/>
      <w:r>
        <w:rPr>
          <w:snapToGrid w:val="0"/>
        </w:rPr>
        <w:t xml:space="preserve"> </w:t>
      </w:r>
    </w:p>
    <w:p>
      <w:pPr>
        <w:pStyle w:val="Subsection"/>
        <w:rPr>
          <w:snapToGrid w:val="0"/>
        </w:rPr>
      </w:pPr>
      <w:r>
        <w:rPr>
          <w:snapToGrid w:val="0"/>
        </w:rPr>
        <w:tab/>
        <w:t xml:space="preserve">(1) </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 xml:space="preserve">(3) </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350" w:name="_Toc490453584"/>
      <w:bookmarkStart w:id="351" w:name="_Toc526065423"/>
      <w:bookmarkStart w:id="352" w:name="_Toc531669525"/>
      <w:bookmarkStart w:id="353" w:name="_Toc104706116"/>
      <w:bookmarkStart w:id="354" w:name="_Toc137024171"/>
      <w:r>
        <w:rPr>
          <w:rStyle w:val="CharSectno"/>
        </w:rPr>
        <w:t>88</w:t>
      </w:r>
      <w:r>
        <w:rPr>
          <w:snapToGrid w:val="0"/>
        </w:rPr>
        <w:t>.</w:t>
      </w:r>
      <w:r>
        <w:rPr>
          <w:snapToGrid w:val="0"/>
        </w:rPr>
        <w:tab/>
        <w:t>Right to pay charges</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355" w:name="_Toc490453585"/>
      <w:bookmarkStart w:id="356" w:name="_Toc526065424"/>
      <w:bookmarkStart w:id="357" w:name="_Toc531669526"/>
      <w:bookmarkStart w:id="358" w:name="_Toc104706117"/>
      <w:bookmarkStart w:id="359" w:name="_Toc137024172"/>
      <w:r>
        <w:rPr>
          <w:rStyle w:val="CharSectno"/>
        </w:rPr>
        <w:t>89</w:t>
      </w:r>
      <w:r>
        <w:rPr>
          <w:snapToGrid w:val="0"/>
        </w:rPr>
        <w:t>.</w:t>
      </w:r>
      <w:r>
        <w:rPr>
          <w:snapToGrid w:val="0"/>
        </w:rPr>
        <w:tab/>
        <w:t>Power to transfer or convey land</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rPr>
          <w:snapToGrid w:val="0"/>
        </w:rPr>
      </w:pPr>
      <w:bookmarkStart w:id="360" w:name="_Toc490453586"/>
      <w:bookmarkStart w:id="361" w:name="_Toc526065425"/>
      <w:bookmarkStart w:id="362" w:name="_Toc531669527"/>
      <w:bookmarkStart w:id="363" w:name="_Toc104706118"/>
      <w:bookmarkStart w:id="364" w:name="_Toc137024173"/>
      <w:r>
        <w:rPr>
          <w:rStyle w:val="CharSectno"/>
        </w:rPr>
        <w:t>90</w:t>
      </w:r>
      <w:r>
        <w:rPr>
          <w:snapToGrid w:val="0"/>
        </w:rPr>
        <w:t>.</w:t>
      </w:r>
      <w:r>
        <w:rPr>
          <w:snapToGrid w:val="0"/>
        </w:rPr>
        <w:tab/>
        <w:t>Statutory declaration</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rPr>
          <w:snapToGrid w:val="0"/>
        </w:rPr>
      </w:pPr>
      <w:bookmarkStart w:id="365" w:name="_Toc490453587"/>
      <w:bookmarkStart w:id="366" w:name="_Toc526065426"/>
      <w:bookmarkStart w:id="367" w:name="_Toc531669528"/>
      <w:bookmarkStart w:id="368" w:name="_Toc104706119"/>
      <w:bookmarkStart w:id="369" w:name="_Toc137024174"/>
      <w:r>
        <w:rPr>
          <w:rStyle w:val="CharSectno"/>
        </w:rPr>
        <w:t>91</w:t>
      </w:r>
      <w:r>
        <w:rPr>
          <w:snapToGrid w:val="0"/>
        </w:rPr>
        <w:t>.</w:t>
      </w:r>
      <w:r>
        <w:rPr>
          <w:snapToGrid w:val="0"/>
        </w:rPr>
        <w:tab/>
        <w:t>Functions of Corporation and Registrar relating to transfer or conveyance</w:t>
      </w:r>
      <w:bookmarkEnd w:id="365"/>
      <w:bookmarkEnd w:id="366"/>
      <w:bookmarkEnd w:id="367"/>
      <w:bookmarkEnd w:id="368"/>
      <w:bookmarkEnd w:id="369"/>
      <w:r>
        <w:rPr>
          <w:snapToGrid w:val="0"/>
        </w:rPr>
        <w:t xml:space="preserve"> </w:t>
      </w:r>
    </w:p>
    <w:p>
      <w:pPr>
        <w:pStyle w:val="Subsection"/>
        <w:rPr>
          <w:snapToGrid w:val="0"/>
        </w:rPr>
      </w:pPr>
      <w:r>
        <w:rPr>
          <w:snapToGrid w:val="0"/>
        </w:rPr>
        <w:tab/>
        <w:t xml:space="preserve">(1) </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 xml:space="preserve">(2) </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 xml:space="preserve">(3) </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 xml:space="preserve">(4) </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rPr>
          <w:snapToGrid w:val="0"/>
        </w:rPr>
      </w:pPr>
      <w:bookmarkStart w:id="370" w:name="_Toc490453588"/>
      <w:bookmarkStart w:id="371" w:name="_Toc526065427"/>
      <w:bookmarkStart w:id="372" w:name="_Toc531669529"/>
      <w:bookmarkStart w:id="373" w:name="_Toc104706120"/>
      <w:bookmarkStart w:id="374" w:name="_Toc137024175"/>
      <w:r>
        <w:rPr>
          <w:rStyle w:val="CharSectno"/>
        </w:rPr>
        <w:t>92</w:t>
      </w:r>
      <w:r>
        <w:rPr>
          <w:snapToGrid w:val="0"/>
        </w:rPr>
        <w:t>.</w:t>
      </w:r>
      <w:r>
        <w:rPr>
          <w:snapToGrid w:val="0"/>
        </w:rPr>
        <w:tab/>
        <w:t>Combination of all lands of same owner</w:t>
      </w:r>
      <w:bookmarkEnd w:id="370"/>
      <w:bookmarkEnd w:id="371"/>
      <w:bookmarkEnd w:id="372"/>
      <w:bookmarkEnd w:id="373"/>
      <w:bookmarkEnd w:id="374"/>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75" w:name="_Toc490453589"/>
      <w:bookmarkStart w:id="376" w:name="_Toc526065428"/>
      <w:bookmarkStart w:id="377" w:name="_Toc531669530"/>
      <w:bookmarkStart w:id="378" w:name="_Toc104706121"/>
      <w:bookmarkStart w:id="379" w:name="_Toc137024176"/>
      <w:r>
        <w:rPr>
          <w:rStyle w:val="CharSectno"/>
        </w:rPr>
        <w:t>93</w:t>
      </w:r>
      <w:r>
        <w:rPr>
          <w:snapToGrid w:val="0"/>
        </w:rPr>
        <w:t>.</w:t>
      </w:r>
      <w:r>
        <w:rPr>
          <w:snapToGrid w:val="0"/>
        </w:rPr>
        <w:tab/>
        <w:t>Application of purchase money</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Subsection"/>
        <w:ind w:left="1440"/>
        <w:rPr>
          <w:snapToGrid w:val="0"/>
        </w:rPr>
      </w:pPr>
      <w:r>
        <w:rPr>
          <w:snapToGrid w:val="0"/>
        </w:rPr>
        <w:tab/>
      </w:r>
      <w:r>
        <w:rPr>
          <w:snapToGrid w:val="0"/>
        </w:rPr>
        <w:tab/>
        <w:t>Firstly — In payment of the costs, charges and expenses properly incurred by the Corporation as incidental to the sale or attempted sale or otherwise.</w:t>
      </w:r>
    </w:p>
    <w:p>
      <w:pPr>
        <w:pStyle w:val="Subsection"/>
        <w:ind w:left="1440"/>
        <w:rPr>
          <w:snapToGrid w:val="0"/>
        </w:rPr>
      </w:pPr>
      <w:r>
        <w:rPr>
          <w:snapToGrid w:val="0"/>
        </w:rPr>
        <w:tab/>
      </w:r>
      <w:r>
        <w:rPr>
          <w:snapToGrid w:val="0"/>
        </w:rPr>
        <w:tab/>
        <w:t>Secondly — In payment of all moneys owing and referred to in section 83.</w:t>
      </w:r>
    </w:p>
    <w:p>
      <w:pPr>
        <w:pStyle w:val="Subsection"/>
        <w:ind w:left="1440"/>
        <w:rPr>
          <w:snapToGrid w:val="0"/>
        </w:rPr>
      </w:pPr>
      <w:r>
        <w:rPr>
          <w:snapToGrid w:val="0"/>
        </w:rPr>
        <w:tab/>
      </w: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Subsection"/>
        <w:tabs>
          <w:tab w:val="clear" w:pos="879"/>
          <w:tab w:val="left" w:pos="1418"/>
        </w:tabs>
        <w:ind w:left="1418" w:hanging="1418"/>
        <w:rPr>
          <w:snapToGrid w:val="0"/>
        </w:rPr>
      </w:pPr>
      <w:r>
        <w:rPr>
          <w:snapToGrid w:val="0"/>
        </w:rPr>
        <w:tab/>
      </w:r>
      <w:r>
        <w:rPr>
          <w:snapToGrid w:val="0"/>
        </w:rPr>
        <w:tab/>
        <w:t xml:space="preserve">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w:t>
      </w:r>
      <w:r>
        <w:rPr>
          <w:i/>
          <w:snapToGrid w:val="0"/>
        </w:rPr>
        <w:t>pro rata</w:t>
      </w:r>
      <w:r>
        <w:rPr>
          <w:snapToGrid w:val="0"/>
        </w:rPr>
        <w:t xml:space="preserve"> with the amounts of their claims respectively.</w:t>
      </w:r>
    </w:p>
    <w:p>
      <w:pPr>
        <w:pStyle w:val="Subsection"/>
        <w:tabs>
          <w:tab w:val="clear" w:pos="879"/>
          <w:tab w:val="left" w:pos="1418"/>
        </w:tabs>
        <w:ind w:left="1418" w:hanging="1418"/>
        <w:rPr>
          <w:snapToGrid w:val="0"/>
        </w:rPr>
      </w:pPr>
      <w:r>
        <w:rPr>
          <w:snapToGrid w:val="0"/>
        </w:rPr>
        <w:tab/>
      </w: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Subsection"/>
        <w:ind w:left="1440"/>
        <w:rPr>
          <w:snapToGrid w:val="0"/>
        </w:rPr>
      </w:pPr>
      <w:r>
        <w:rPr>
          <w:snapToGrid w:val="0"/>
        </w:rPr>
        <w:tab/>
      </w:r>
      <w:r>
        <w:rPr>
          <w:snapToGrid w:val="0"/>
        </w:rPr>
        <w:tab/>
        <w:t>Fourthly — In payment of all vendor’s costs and expenses of and in connection with conferring upon the purchaser a clear title to the land.</w:t>
      </w:r>
    </w:p>
    <w:p>
      <w:pPr>
        <w:pStyle w:val="Subsection"/>
        <w:ind w:left="1440"/>
        <w:rPr>
          <w:snapToGrid w:val="0"/>
        </w:rPr>
      </w:pPr>
      <w:r>
        <w:rPr>
          <w:snapToGrid w:val="0"/>
        </w:rPr>
        <w:tab/>
      </w:r>
      <w:r>
        <w:rPr>
          <w:snapToGrid w:val="0"/>
        </w:rPr>
        <w:tab/>
        <w:t>Fifthly — In or towards the discharge of all or any other mortgages, encumbrances, whether registered or not, according to their respective priorities, so far as the same can be ascertained by the Corporation.</w:t>
      </w:r>
    </w:p>
    <w:p>
      <w:pPr>
        <w:pStyle w:val="Subsection"/>
        <w:ind w:left="1440"/>
        <w:rPr>
          <w:snapToGrid w:val="0"/>
        </w:rPr>
      </w:pPr>
      <w:r>
        <w:rPr>
          <w:snapToGrid w:val="0"/>
        </w:rPr>
        <w:tab/>
      </w: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tabs>
          <w:tab w:val="clear" w:pos="879"/>
          <w:tab w:val="left" w:pos="1418"/>
        </w:tabs>
        <w:ind w:left="1418" w:hanging="1418"/>
        <w:rPr>
          <w:snapToGrid w:val="0"/>
        </w:rPr>
      </w:pPr>
      <w:r>
        <w:rPr>
          <w:snapToGrid w:val="0"/>
        </w:rPr>
        <w:tab/>
      </w:r>
      <w:r>
        <w:rPr>
          <w:snapToGrid w:val="0"/>
        </w:rPr>
        <w:tab/>
        <w:t xml:space="preserve">Provided that, if any person is entitled to an estate in reversion or remainder in the land, the money may be paid into the Supreme Court under section 99 of the </w:t>
      </w:r>
      <w:r>
        <w:rPr>
          <w:i/>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380" w:name="_Toc490453590"/>
      <w:bookmarkStart w:id="381" w:name="_Toc526065429"/>
      <w:bookmarkStart w:id="382" w:name="_Toc531669531"/>
      <w:bookmarkStart w:id="383" w:name="_Toc104706122"/>
      <w:bookmarkStart w:id="384" w:name="_Toc137024177"/>
      <w:r>
        <w:rPr>
          <w:rStyle w:val="CharSectno"/>
        </w:rPr>
        <w:t>94</w:t>
      </w:r>
      <w:r>
        <w:rPr>
          <w:snapToGrid w:val="0"/>
        </w:rPr>
        <w:t>.</w:t>
      </w:r>
      <w:r>
        <w:rPr>
          <w:snapToGrid w:val="0"/>
        </w:rPr>
        <w:tab/>
        <w:t>Receipt a discharge</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385" w:name="_Toc490453591"/>
      <w:bookmarkStart w:id="386" w:name="_Toc526065430"/>
      <w:bookmarkStart w:id="387" w:name="_Toc531669532"/>
      <w:bookmarkStart w:id="388" w:name="_Toc104706123"/>
      <w:bookmarkStart w:id="389" w:name="_Toc137024178"/>
      <w:r>
        <w:rPr>
          <w:rStyle w:val="CharSectno"/>
        </w:rPr>
        <w:t>95</w:t>
      </w:r>
      <w:r>
        <w:rPr>
          <w:snapToGrid w:val="0"/>
        </w:rPr>
        <w:t>.</w:t>
      </w:r>
      <w:r>
        <w:rPr>
          <w:snapToGrid w:val="0"/>
        </w:rPr>
        <w:tab/>
        <w:t>Power to sell after advertisement lapses if sale not made within a year</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390" w:name="_Toc490453592"/>
      <w:bookmarkStart w:id="391" w:name="_Toc526065431"/>
      <w:bookmarkStart w:id="392" w:name="_Toc531669533"/>
      <w:bookmarkStart w:id="393" w:name="_Toc104706124"/>
      <w:bookmarkStart w:id="394" w:name="_Toc137024179"/>
      <w:r>
        <w:rPr>
          <w:rStyle w:val="CharSectno"/>
        </w:rPr>
        <w:t>96</w:t>
      </w:r>
      <w:r>
        <w:rPr>
          <w:snapToGrid w:val="0"/>
        </w:rPr>
        <w:t>.</w:t>
      </w:r>
      <w:r>
        <w:rPr>
          <w:snapToGrid w:val="0"/>
        </w:rPr>
        <w:tab/>
        <w:t>Power to transfer land to Crown</w:t>
      </w:r>
      <w:bookmarkEnd w:id="390"/>
      <w:bookmarkEnd w:id="391"/>
      <w:bookmarkEnd w:id="392"/>
      <w:bookmarkEnd w:id="393"/>
      <w:bookmarkEnd w:id="394"/>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395" w:name="_Toc490453593"/>
      <w:bookmarkStart w:id="396" w:name="_Toc526065432"/>
      <w:bookmarkStart w:id="397" w:name="_Toc531669534"/>
      <w:bookmarkStart w:id="398" w:name="_Toc104706125"/>
      <w:bookmarkStart w:id="399" w:name="_Toc137024180"/>
      <w:r>
        <w:rPr>
          <w:rStyle w:val="CharSectno"/>
        </w:rPr>
        <w:t>97</w:t>
      </w:r>
      <w:r>
        <w:rPr>
          <w:snapToGrid w:val="0"/>
        </w:rPr>
        <w:t>.</w:t>
      </w:r>
      <w:r>
        <w:rPr>
          <w:snapToGrid w:val="0"/>
        </w:rPr>
        <w:tab/>
        <w:t>Discharge of liability on sale of land</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400" w:name="_Toc490453594"/>
      <w:bookmarkStart w:id="401" w:name="_Toc526065433"/>
      <w:bookmarkStart w:id="402" w:name="_Toc531669535"/>
      <w:bookmarkStart w:id="403" w:name="_Toc104706126"/>
      <w:bookmarkStart w:id="404" w:name="_Toc137024181"/>
      <w:r>
        <w:rPr>
          <w:rStyle w:val="CharSectno"/>
        </w:rPr>
        <w:t>98</w:t>
      </w:r>
      <w:r>
        <w:rPr>
          <w:snapToGrid w:val="0"/>
        </w:rPr>
        <w:t>.</w:t>
      </w:r>
      <w:r>
        <w:rPr>
          <w:snapToGrid w:val="0"/>
        </w:rPr>
        <w:tab/>
        <w:t>Saving provision</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repealed by No. 25 of 1985 s. 205.]</w:t>
      </w:r>
    </w:p>
    <w:p>
      <w:pPr>
        <w:pStyle w:val="Heading2"/>
      </w:pPr>
      <w:bookmarkStart w:id="405" w:name="_Toc89498981"/>
      <w:bookmarkStart w:id="406" w:name="_Toc89499068"/>
      <w:bookmarkStart w:id="407" w:name="_Toc89510090"/>
      <w:bookmarkStart w:id="408" w:name="_Toc90866877"/>
      <w:bookmarkStart w:id="409" w:name="_Toc92509653"/>
      <w:bookmarkStart w:id="410" w:name="_Toc97105608"/>
      <w:bookmarkStart w:id="411" w:name="_Toc101952232"/>
      <w:bookmarkStart w:id="412" w:name="_Toc103064807"/>
      <w:bookmarkStart w:id="413" w:name="_Toc104706127"/>
      <w:bookmarkStart w:id="414" w:name="_Toc136934309"/>
      <w:bookmarkStart w:id="415" w:name="_Toc136934397"/>
      <w:bookmarkStart w:id="416" w:name="_Toc13702418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rPr>
          <w:snapToGrid w:val="0"/>
        </w:rPr>
      </w:pPr>
      <w:bookmarkStart w:id="417" w:name="_Toc490453595"/>
      <w:bookmarkStart w:id="418" w:name="_Toc526065434"/>
      <w:bookmarkStart w:id="419" w:name="_Toc531669536"/>
      <w:bookmarkStart w:id="420" w:name="_Toc104706128"/>
      <w:bookmarkStart w:id="421" w:name="_Toc137024183"/>
      <w:r>
        <w:rPr>
          <w:rStyle w:val="CharSectno"/>
        </w:rPr>
        <w:t>102</w:t>
      </w:r>
      <w:r>
        <w:rPr>
          <w:snapToGrid w:val="0"/>
        </w:rPr>
        <w:t>.</w:t>
      </w:r>
      <w:r>
        <w:rPr>
          <w:snapToGrid w:val="0"/>
        </w:rPr>
        <w:tab/>
        <w:t>Minister may make by</w:t>
      </w:r>
      <w:r>
        <w:rPr>
          <w:snapToGrid w:val="0"/>
        </w:rPr>
        <w:noBreakHyphen/>
        <w:t>laws</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tabs>
          <w:tab w:val="clear" w:pos="1325"/>
          <w:tab w:val="clear" w:pos="1613"/>
          <w:tab w:val="right" w:pos="2127"/>
          <w:tab w:val="left" w:pos="2410"/>
        </w:tabs>
        <w:ind w:left="2835" w:hanging="2835"/>
      </w:pPr>
      <w:r>
        <w:tab/>
        <w:t>[(1) and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tabs>
          <w:tab w:val="clear" w:pos="1325"/>
          <w:tab w:val="clear" w:pos="1613"/>
          <w:tab w:val="right" w:pos="1843"/>
          <w:tab w:val="left" w:pos="2410"/>
        </w:tabs>
        <w:ind w:left="2410" w:hanging="2410"/>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tabs>
          <w:tab w:val="clear" w:pos="1325"/>
          <w:tab w:val="clear" w:pos="1613"/>
          <w:tab w:val="right" w:pos="2268"/>
          <w:tab w:val="left" w:pos="2552"/>
        </w:tabs>
        <w:ind w:left="2552" w:hanging="2552"/>
      </w:pPr>
      <w:r>
        <w:tab/>
        <w:t>[(14) and (15)</w:t>
      </w:r>
      <w:r>
        <w:tab/>
        <w:t>deleted]</w:t>
      </w:r>
    </w:p>
    <w:p>
      <w:pPr>
        <w:pStyle w:val="Indenta"/>
        <w:rPr>
          <w:snapToGrid w:val="0"/>
        </w:rPr>
      </w:pPr>
      <w:r>
        <w:rPr>
          <w:snapToGrid w:val="0"/>
        </w:rPr>
        <w:tab/>
        <w:t xml:space="preserve">(16) </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422" w:name="_Toc89498983"/>
      <w:bookmarkStart w:id="423" w:name="_Toc89499070"/>
      <w:bookmarkStart w:id="424" w:name="_Toc89510092"/>
      <w:bookmarkStart w:id="425" w:name="_Toc90866879"/>
      <w:bookmarkStart w:id="426" w:name="_Toc92509655"/>
      <w:bookmarkStart w:id="427" w:name="_Toc97105610"/>
      <w:bookmarkStart w:id="428" w:name="_Toc101952234"/>
      <w:bookmarkStart w:id="429" w:name="_Toc103064809"/>
      <w:bookmarkStart w:id="430" w:name="_Toc104706129"/>
      <w:bookmarkStart w:id="431" w:name="_Toc136934311"/>
      <w:bookmarkStart w:id="432" w:name="_Toc136934399"/>
      <w:bookmarkStart w:id="433" w:name="_Toc137024184"/>
      <w:r>
        <w:rPr>
          <w:rStyle w:val="CharPartNo"/>
        </w:rPr>
        <w:t>Part X</w:t>
      </w:r>
      <w:r>
        <w:rPr>
          <w:rStyle w:val="CharDivNo"/>
        </w:rPr>
        <w:t> </w:t>
      </w:r>
      <w:r>
        <w:t>—</w:t>
      </w:r>
      <w:r>
        <w:rPr>
          <w:rStyle w:val="CharDivText"/>
        </w:rPr>
        <w:t> </w:t>
      </w:r>
      <w:r>
        <w:rPr>
          <w:rStyle w:val="CharPartText"/>
        </w:rPr>
        <w:t>Miscellaneous</w:t>
      </w:r>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90453596"/>
      <w:bookmarkStart w:id="435" w:name="_Toc526065435"/>
      <w:bookmarkStart w:id="436" w:name="_Toc531669537"/>
      <w:bookmarkStart w:id="437" w:name="_Toc104706130"/>
      <w:bookmarkStart w:id="438" w:name="_Toc137024185"/>
      <w:r>
        <w:rPr>
          <w:rStyle w:val="CharSectno"/>
        </w:rPr>
        <w:t>104</w:t>
      </w:r>
      <w:r>
        <w:rPr>
          <w:snapToGrid w:val="0"/>
        </w:rPr>
        <w:t>.</w:t>
      </w:r>
      <w:r>
        <w:rPr>
          <w:snapToGrid w:val="0"/>
        </w:rPr>
        <w:tab/>
        <w:t>Notices</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39" w:name="_Toc490453597"/>
      <w:bookmarkStart w:id="440" w:name="_Toc526065436"/>
      <w:bookmarkStart w:id="441" w:name="_Toc531669538"/>
      <w:bookmarkStart w:id="442" w:name="_Toc104706131"/>
      <w:bookmarkStart w:id="443" w:name="_Toc137024186"/>
      <w:r>
        <w:rPr>
          <w:rStyle w:val="CharSectno"/>
        </w:rPr>
        <w:t>105</w:t>
      </w:r>
      <w:r>
        <w:rPr>
          <w:snapToGrid w:val="0"/>
        </w:rPr>
        <w:t>.</w:t>
      </w:r>
      <w:r>
        <w:rPr>
          <w:snapToGrid w:val="0"/>
        </w:rPr>
        <w:tab/>
        <w:t>Service of notices when name of owner or occupier unknown</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444" w:name="_Toc490453598"/>
      <w:bookmarkStart w:id="445" w:name="_Toc526065437"/>
      <w:bookmarkStart w:id="446" w:name="_Toc531669539"/>
      <w:bookmarkStart w:id="447" w:name="_Toc104706132"/>
      <w:bookmarkStart w:id="448" w:name="_Toc137024187"/>
      <w:r>
        <w:rPr>
          <w:rStyle w:val="CharSectno"/>
        </w:rPr>
        <w:t>106</w:t>
      </w:r>
      <w:r>
        <w:rPr>
          <w:snapToGrid w:val="0"/>
        </w:rPr>
        <w:t>.</w:t>
      </w:r>
      <w:r>
        <w:rPr>
          <w:snapToGrid w:val="0"/>
        </w:rPr>
        <w:tab/>
        <w:t>Notices binding on persons claiming under owner or occupier</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449" w:name="_Toc490453599"/>
      <w:bookmarkStart w:id="450" w:name="_Toc526065438"/>
      <w:bookmarkStart w:id="451" w:name="_Toc531669540"/>
      <w:bookmarkStart w:id="452" w:name="_Toc104706133"/>
      <w:bookmarkStart w:id="453" w:name="_Toc137024188"/>
      <w:r>
        <w:rPr>
          <w:rStyle w:val="CharSectno"/>
        </w:rPr>
        <w:t>108</w:t>
      </w:r>
      <w:r>
        <w:rPr>
          <w:snapToGrid w:val="0"/>
        </w:rPr>
        <w:t>.</w:t>
      </w:r>
      <w:r>
        <w:rPr>
          <w:snapToGrid w:val="0"/>
        </w:rPr>
        <w:tab/>
        <w:t>Saving of civil remedy</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spacing w:before="180"/>
        <w:rPr>
          <w:snapToGrid w:val="0"/>
        </w:rPr>
      </w:pPr>
      <w:bookmarkStart w:id="454" w:name="_Toc490453600"/>
      <w:bookmarkStart w:id="455" w:name="_Toc526065439"/>
      <w:bookmarkStart w:id="456" w:name="_Toc531669541"/>
      <w:bookmarkStart w:id="457" w:name="_Toc104706134"/>
      <w:bookmarkStart w:id="458" w:name="_Toc137024189"/>
      <w:r>
        <w:rPr>
          <w:rStyle w:val="CharSectno"/>
        </w:rPr>
        <w:t>109</w:t>
      </w:r>
      <w:r>
        <w:rPr>
          <w:snapToGrid w:val="0"/>
        </w:rPr>
        <w:t>.</w:t>
      </w:r>
      <w:r>
        <w:rPr>
          <w:snapToGrid w:val="0"/>
        </w:rPr>
        <w:tab/>
        <w:t>Contribution between owner and occupier</w:t>
      </w:r>
      <w:bookmarkEnd w:id="454"/>
      <w:bookmarkEnd w:id="455"/>
      <w:bookmarkEnd w:id="456"/>
      <w:bookmarkEnd w:id="457"/>
      <w:bookmarkEnd w:id="458"/>
      <w:r>
        <w:rPr>
          <w:snapToGrid w:val="0"/>
        </w:rPr>
        <w:t xml:space="preserve"> </w:t>
      </w:r>
    </w:p>
    <w:p>
      <w:pPr>
        <w:pStyle w:val="Subsection"/>
        <w:keepNext/>
        <w:keepLines/>
        <w:spacing w:before="120"/>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spacing w:before="180"/>
        <w:rPr>
          <w:snapToGrid w:val="0"/>
        </w:rPr>
      </w:pPr>
      <w:bookmarkStart w:id="459" w:name="_Toc490453601"/>
      <w:bookmarkStart w:id="460" w:name="_Toc526065440"/>
      <w:bookmarkStart w:id="461" w:name="_Toc531669542"/>
      <w:bookmarkStart w:id="462" w:name="_Toc104706135"/>
      <w:bookmarkStart w:id="463" w:name="_Toc137024190"/>
      <w:r>
        <w:rPr>
          <w:rStyle w:val="CharSectno"/>
        </w:rPr>
        <w:t>110</w:t>
      </w:r>
      <w:r>
        <w:rPr>
          <w:snapToGrid w:val="0"/>
        </w:rPr>
        <w:t>.</w:t>
      </w:r>
      <w:r>
        <w:rPr>
          <w:snapToGrid w:val="0"/>
        </w:rPr>
        <w:tab/>
        <w:t>Obstructing Corporation or officers in performance of duty</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spacing w:before="180"/>
        <w:rPr>
          <w:snapToGrid w:val="0"/>
        </w:rPr>
      </w:pPr>
      <w:bookmarkStart w:id="464" w:name="_Toc490453602"/>
      <w:bookmarkStart w:id="465" w:name="_Toc526065441"/>
      <w:bookmarkStart w:id="466" w:name="_Toc531669543"/>
      <w:bookmarkStart w:id="467" w:name="_Toc104706136"/>
      <w:bookmarkStart w:id="468" w:name="_Toc137024191"/>
      <w:r>
        <w:rPr>
          <w:rStyle w:val="CharSectno"/>
        </w:rPr>
        <w:t>111</w:t>
      </w:r>
      <w:r>
        <w:rPr>
          <w:snapToGrid w:val="0"/>
        </w:rPr>
        <w:t>.</w:t>
      </w:r>
      <w:r>
        <w:rPr>
          <w:snapToGrid w:val="0"/>
        </w:rPr>
        <w:tab/>
        <w:t>Penalty for refusing to give up possession of works</w:t>
      </w:r>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469" w:name="_Toc490453604"/>
      <w:bookmarkStart w:id="470" w:name="_Toc526065443"/>
      <w:bookmarkStart w:id="471" w:name="_Toc531669545"/>
      <w:bookmarkStart w:id="472" w:name="_Toc104706138"/>
      <w:r>
        <w:t>[</w:t>
      </w:r>
      <w:r>
        <w:rPr>
          <w:b/>
          <w:bCs/>
        </w:rPr>
        <w:t>112.</w:t>
      </w:r>
      <w:r>
        <w:tab/>
        <w:t>Repealed by No. 25 of 2005 s. 32.]</w:t>
      </w:r>
    </w:p>
    <w:p>
      <w:pPr>
        <w:pStyle w:val="Heading5"/>
        <w:rPr>
          <w:snapToGrid w:val="0"/>
        </w:rPr>
      </w:pPr>
      <w:bookmarkStart w:id="473" w:name="_Toc137024192"/>
      <w:r>
        <w:rPr>
          <w:rStyle w:val="CharSectno"/>
        </w:rPr>
        <w:t>113</w:t>
      </w:r>
      <w:r>
        <w:rPr>
          <w:snapToGrid w:val="0"/>
        </w:rPr>
        <w:t>.</w:t>
      </w:r>
      <w:r>
        <w:rPr>
          <w:snapToGrid w:val="0"/>
        </w:rPr>
        <w:tab/>
        <w:t>Prosecution of offences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Footnotesection"/>
      </w:pPr>
      <w:r>
        <w:tab/>
        <w:t xml:space="preserve">[Section 113 inserted by No. 10 of 1998 s. 24(1); amended by No. 84 of 2004 s. 80.] </w:t>
      </w:r>
    </w:p>
    <w:p>
      <w:pPr>
        <w:pStyle w:val="Heading5"/>
        <w:rPr>
          <w:snapToGrid w:val="0"/>
        </w:rPr>
      </w:pPr>
      <w:bookmarkStart w:id="474" w:name="_Toc490453605"/>
      <w:bookmarkStart w:id="475" w:name="_Toc526065444"/>
      <w:bookmarkStart w:id="476" w:name="_Toc531669546"/>
      <w:bookmarkStart w:id="477" w:name="_Toc104706139"/>
      <w:bookmarkStart w:id="478" w:name="_Toc137024193"/>
      <w:r>
        <w:rPr>
          <w:rStyle w:val="CharSectno"/>
        </w:rPr>
        <w:t>114</w:t>
      </w:r>
      <w:r>
        <w:rPr>
          <w:snapToGrid w:val="0"/>
        </w:rPr>
        <w:t>.</w:t>
      </w:r>
      <w:r>
        <w:rPr>
          <w:snapToGrid w:val="0"/>
        </w:rPr>
        <w:tab/>
        <w:t>Corporation may be represented by officer</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t>.</w:t>
      </w:r>
      <w:r>
        <w:tab/>
        <w:t xml:space="preserve">Repealed by No. 25 of 1985 s. 213.] </w:t>
      </w:r>
    </w:p>
    <w:p>
      <w:pPr>
        <w:pStyle w:val="Heading5"/>
        <w:rPr>
          <w:snapToGrid w:val="0"/>
        </w:rPr>
      </w:pPr>
      <w:bookmarkStart w:id="479" w:name="_Toc490453606"/>
      <w:bookmarkStart w:id="480" w:name="_Toc526065445"/>
      <w:bookmarkStart w:id="481" w:name="_Toc531669547"/>
      <w:bookmarkStart w:id="482" w:name="_Toc104706140"/>
      <w:bookmarkStart w:id="483" w:name="_Toc137024194"/>
      <w:r>
        <w:rPr>
          <w:rStyle w:val="CharSectno"/>
        </w:rPr>
        <w:t>118</w:t>
      </w:r>
      <w:r>
        <w:rPr>
          <w:snapToGrid w:val="0"/>
        </w:rPr>
        <w:t>.</w:t>
      </w:r>
      <w:r>
        <w:rPr>
          <w:snapToGrid w:val="0"/>
        </w:rPr>
        <w:tab/>
        <w:t>Proof of ownership or occupancy</w:t>
      </w:r>
      <w:bookmarkEnd w:id="479"/>
      <w:bookmarkEnd w:id="480"/>
      <w:bookmarkEnd w:id="481"/>
      <w:bookmarkEnd w:id="482"/>
      <w:bookmarkEnd w:id="483"/>
      <w:r>
        <w:rPr>
          <w:snapToGrid w:val="0"/>
        </w:rPr>
        <w:t xml:space="preserve"> </w:t>
      </w:r>
    </w:p>
    <w:p>
      <w:pPr>
        <w:pStyle w:val="Subsection"/>
        <w:keepNext/>
        <w:keepLines/>
        <w:rPr>
          <w:snapToGrid w:val="0"/>
        </w:rPr>
      </w:pPr>
      <w:r>
        <w:rPr>
          <w:snapToGrid w:val="0"/>
        </w:rPr>
        <w:tab/>
        <w:t xml:space="preserve">(1) </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3</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w:t>
      </w:r>
      <w:r>
        <w:rPr>
          <w:snapToGrid w:val="0"/>
          <w:vertAlign w:val="superscript"/>
        </w:rPr>
        <w:t>4</w:t>
      </w:r>
      <w:r>
        <w:rPr>
          <w:snapToGrid w:val="0"/>
        </w:rPr>
        <w:t xml:space="preserve">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484" w:name="_Toc490453607"/>
      <w:bookmarkStart w:id="485" w:name="_Toc526065446"/>
      <w:bookmarkStart w:id="486" w:name="_Toc531669548"/>
      <w:bookmarkStart w:id="487" w:name="_Toc104706141"/>
      <w:bookmarkStart w:id="488" w:name="_Toc137024195"/>
      <w:r>
        <w:rPr>
          <w:rStyle w:val="CharSectno"/>
        </w:rPr>
        <w:t>119</w:t>
      </w:r>
      <w:r>
        <w:rPr>
          <w:snapToGrid w:val="0"/>
        </w:rPr>
        <w:t>.</w:t>
      </w:r>
      <w:r>
        <w:rPr>
          <w:snapToGrid w:val="0"/>
        </w:rPr>
        <w:tab/>
        <w:t>Certificate of chief executive officer of the Corporation evidence of certain facts</w:t>
      </w:r>
      <w:bookmarkEnd w:id="484"/>
      <w:bookmarkEnd w:id="485"/>
      <w:bookmarkEnd w:id="486"/>
      <w:bookmarkEnd w:id="487"/>
      <w:bookmarkEnd w:id="488"/>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489" w:name="_Toc490453608"/>
      <w:bookmarkStart w:id="490" w:name="_Toc526065447"/>
      <w:bookmarkStart w:id="491" w:name="_Toc531669549"/>
      <w:bookmarkStart w:id="492" w:name="_Toc104706142"/>
      <w:bookmarkStart w:id="493" w:name="_Toc137024196"/>
      <w:r>
        <w:rPr>
          <w:rStyle w:val="CharSectno"/>
        </w:rPr>
        <w:t>120</w:t>
      </w:r>
      <w:r>
        <w:rPr>
          <w:snapToGrid w:val="0"/>
        </w:rPr>
        <w:t>.</w:t>
      </w:r>
      <w:r>
        <w:rPr>
          <w:snapToGrid w:val="0"/>
        </w:rPr>
        <w:tab/>
        <w:t>Power to suspend certain provisions of local government Acts</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94" w:name="_Toc89498997"/>
      <w:bookmarkStart w:id="495" w:name="_Toc89499084"/>
      <w:bookmarkStart w:id="496" w:name="_Toc89510106"/>
      <w:bookmarkStart w:id="497" w:name="_Toc90866893"/>
      <w:bookmarkStart w:id="498" w:name="_Toc92509669"/>
      <w:bookmarkStart w:id="499" w:name="_Toc97105624"/>
      <w:bookmarkStart w:id="500" w:name="_Toc101952248"/>
      <w:bookmarkStart w:id="501" w:name="_Toc103064823"/>
      <w:bookmarkStart w:id="502" w:name="_Toc104706143"/>
      <w:bookmarkStart w:id="503" w:name="_Toc136934325"/>
      <w:bookmarkStart w:id="504" w:name="_Toc136934413"/>
      <w:bookmarkStart w:id="505" w:name="_Toc137024197"/>
      <w:r>
        <w:t>Notes</w:t>
      </w:r>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Country Towns Sewerage Act 1948</w:t>
      </w:r>
      <w:r>
        <w:rPr>
          <w:snapToGrid w:val="0"/>
        </w:rPr>
        <w:t xml:space="preserve"> and includes the amendments made by the other written laws referred to in the following table</w:t>
      </w:r>
      <w:r>
        <w:rPr>
          <w:snapToGrid w:val="0"/>
          <w:vertAlign w:val="superscript"/>
        </w:rPr>
        <w:t> 6, 7</w:t>
      </w:r>
      <w:r>
        <w:rPr>
          <w:snapToGrid w:val="0"/>
        </w:rPr>
        <w:t>.  The table also contains information about any reprint.</w:t>
      </w:r>
    </w:p>
    <w:p>
      <w:pPr>
        <w:pStyle w:val="nHeading3"/>
        <w:rPr>
          <w:snapToGrid w:val="0"/>
        </w:rPr>
      </w:pPr>
      <w:bookmarkStart w:id="506" w:name="UpToHere"/>
      <w:bookmarkStart w:id="507" w:name="_Toc531669550"/>
      <w:bookmarkStart w:id="508" w:name="_Toc104706144"/>
      <w:bookmarkStart w:id="509" w:name="_Toc137024198"/>
      <w:bookmarkEnd w:id="506"/>
      <w:r>
        <w:rPr>
          <w:snapToGrid w:val="0"/>
        </w:rPr>
        <w:t>Compilation table</w:t>
      </w:r>
      <w:bookmarkEnd w:id="507"/>
      <w:bookmarkEnd w:id="508"/>
      <w:bookmarkEnd w:id="509"/>
    </w:p>
    <w:tbl>
      <w:tblPr>
        <w:tblW w:w="7088" w:type="dxa"/>
        <w:tblInd w:w="11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Country Towns Sewerage Act 1948</w:t>
            </w:r>
          </w:p>
        </w:tc>
        <w:tc>
          <w:tcPr>
            <w:tcW w:w="1134" w:type="dxa"/>
          </w:tcPr>
          <w:p>
            <w:pPr>
              <w:pStyle w:val="nTable"/>
              <w:spacing w:before="120"/>
              <w:rPr>
                <w:sz w:val="19"/>
              </w:rPr>
            </w:pPr>
            <w:r>
              <w:rPr>
                <w:sz w:val="19"/>
              </w:rPr>
              <w:t>82 of 1948</w:t>
            </w:r>
          </w:p>
        </w:tc>
        <w:tc>
          <w:tcPr>
            <w:tcW w:w="1134" w:type="dxa"/>
          </w:tcPr>
          <w:p>
            <w:pPr>
              <w:pStyle w:val="nTable"/>
              <w:spacing w:before="120"/>
              <w:rPr>
                <w:sz w:val="19"/>
              </w:rPr>
            </w:pPr>
            <w:r>
              <w:rPr>
                <w:sz w:val="19"/>
              </w:rPr>
              <w:t>26 Jan 1949</w:t>
            </w:r>
          </w:p>
        </w:tc>
        <w:tc>
          <w:tcPr>
            <w:tcW w:w="2552" w:type="dxa"/>
          </w:tcPr>
          <w:p>
            <w:pPr>
              <w:pStyle w:val="nTable"/>
              <w:spacing w:before="12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before="120"/>
              <w:ind w:right="113"/>
              <w:rPr>
                <w:sz w:val="19"/>
              </w:rPr>
            </w:pPr>
            <w:r>
              <w:rPr>
                <w:i/>
                <w:sz w:val="19"/>
              </w:rPr>
              <w:t>Country Towns Sewerage Act Amendment Act 1951</w:t>
            </w:r>
          </w:p>
        </w:tc>
        <w:tc>
          <w:tcPr>
            <w:tcW w:w="1134" w:type="dxa"/>
          </w:tcPr>
          <w:p>
            <w:pPr>
              <w:pStyle w:val="nTable"/>
              <w:spacing w:before="120"/>
              <w:rPr>
                <w:sz w:val="19"/>
              </w:rPr>
            </w:pPr>
            <w:r>
              <w:rPr>
                <w:sz w:val="19"/>
              </w:rPr>
              <w:t>15 of 1951</w:t>
            </w:r>
          </w:p>
        </w:tc>
        <w:tc>
          <w:tcPr>
            <w:tcW w:w="1134" w:type="dxa"/>
          </w:tcPr>
          <w:p>
            <w:pPr>
              <w:pStyle w:val="nTable"/>
              <w:spacing w:before="120"/>
              <w:rPr>
                <w:sz w:val="19"/>
              </w:rPr>
            </w:pPr>
            <w:r>
              <w:rPr>
                <w:sz w:val="19"/>
              </w:rPr>
              <w:t>23 Nov 1951</w:t>
            </w:r>
          </w:p>
        </w:tc>
        <w:tc>
          <w:tcPr>
            <w:tcW w:w="2552" w:type="dxa"/>
          </w:tcPr>
          <w:p>
            <w:pPr>
              <w:pStyle w:val="nTable"/>
              <w:spacing w:before="120"/>
              <w:rPr>
                <w:sz w:val="19"/>
              </w:rPr>
            </w:pPr>
            <w:r>
              <w:rPr>
                <w:sz w:val="19"/>
              </w:rPr>
              <w:t>23 Nov 1951</w:t>
            </w:r>
          </w:p>
        </w:tc>
      </w:tr>
      <w:tr>
        <w:trPr>
          <w:cantSplit/>
        </w:trPr>
        <w:tc>
          <w:tcPr>
            <w:tcW w:w="2268" w:type="dxa"/>
          </w:tcPr>
          <w:p>
            <w:pPr>
              <w:pStyle w:val="nTable"/>
              <w:spacing w:before="120"/>
              <w:ind w:right="113"/>
              <w:rPr>
                <w:sz w:val="19"/>
              </w:rPr>
            </w:pPr>
            <w:r>
              <w:rPr>
                <w:i/>
                <w:sz w:val="19"/>
              </w:rPr>
              <w:t>Limitation Act Amendment Act 1954</w:t>
            </w:r>
            <w:r>
              <w:rPr>
                <w:sz w:val="19"/>
              </w:rPr>
              <w:t xml:space="preserve"> s. 8</w:t>
            </w:r>
          </w:p>
        </w:tc>
        <w:tc>
          <w:tcPr>
            <w:tcW w:w="1134" w:type="dxa"/>
          </w:tcPr>
          <w:p>
            <w:pPr>
              <w:pStyle w:val="nTable"/>
              <w:spacing w:before="120"/>
              <w:rPr>
                <w:sz w:val="19"/>
              </w:rPr>
            </w:pPr>
            <w:r>
              <w:rPr>
                <w:sz w:val="19"/>
              </w:rPr>
              <w:t>73 of 1954</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1 Mar 1955 (see s. 2 and </w:t>
            </w:r>
            <w:r>
              <w:rPr>
                <w:i/>
                <w:sz w:val="19"/>
              </w:rPr>
              <w:t>Gazette</w:t>
            </w:r>
            <w:r>
              <w:rPr>
                <w:sz w:val="19"/>
              </w:rPr>
              <w:t xml:space="preserve"> 18 Feb 1955 p. 343)</w:t>
            </w:r>
          </w:p>
        </w:tc>
      </w:tr>
      <w:tr>
        <w:trPr>
          <w:cantSplit/>
        </w:trPr>
        <w:tc>
          <w:tcPr>
            <w:tcW w:w="2268" w:type="dxa"/>
          </w:tcPr>
          <w:p>
            <w:pPr>
              <w:pStyle w:val="nTable"/>
              <w:spacing w:before="120"/>
              <w:ind w:right="113"/>
              <w:rPr>
                <w:sz w:val="19"/>
              </w:rPr>
            </w:pPr>
            <w:r>
              <w:rPr>
                <w:i/>
                <w:sz w:val="19"/>
              </w:rPr>
              <w:t>Country Towns Sewerage Act Amendment Act 1964</w:t>
            </w:r>
          </w:p>
        </w:tc>
        <w:tc>
          <w:tcPr>
            <w:tcW w:w="1134" w:type="dxa"/>
          </w:tcPr>
          <w:p>
            <w:pPr>
              <w:pStyle w:val="nTable"/>
              <w:spacing w:before="120"/>
              <w:rPr>
                <w:sz w:val="19"/>
              </w:rPr>
            </w:pPr>
            <w:r>
              <w:rPr>
                <w:sz w:val="19"/>
              </w:rPr>
              <w:t>52 of 1964</w:t>
            </w:r>
          </w:p>
        </w:tc>
        <w:tc>
          <w:tcPr>
            <w:tcW w:w="1134" w:type="dxa"/>
          </w:tcPr>
          <w:p>
            <w:pPr>
              <w:pStyle w:val="nTable"/>
              <w:spacing w:before="120"/>
              <w:rPr>
                <w:sz w:val="19"/>
              </w:rPr>
            </w:pPr>
            <w:r>
              <w:rPr>
                <w:sz w:val="19"/>
              </w:rPr>
              <w:t>30 Nov 1964</w:t>
            </w:r>
          </w:p>
        </w:tc>
        <w:tc>
          <w:tcPr>
            <w:tcW w:w="2552" w:type="dxa"/>
          </w:tcPr>
          <w:p>
            <w:pPr>
              <w:pStyle w:val="nTable"/>
              <w:spacing w:before="120"/>
              <w:rPr>
                <w:sz w:val="19"/>
              </w:rPr>
            </w:pPr>
            <w:r>
              <w:rPr>
                <w:sz w:val="19"/>
              </w:rPr>
              <w:t>30 Nov 1964</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w:t>
            </w:r>
          </w:p>
        </w:tc>
      </w:tr>
      <w:tr>
        <w:trPr>
          <w:cantSplit/>
        </w:trPr>
        <w:tc>
          <w:tcPr>
            <w:tcW w:w="2268" w:type="dxa"/>
          </w:tcPr>
          <w:p>
            <w:pPr>
              <w:pStyle w:val="nTable"/>
              <w:spacing w:before="120"/>
              <w:ind w:right="113"/>
              <w:rPr>
                <w:sz w:val="19"/>
              </w:rPr>
            </w:pPr>
            <w:r>
              <w:rPr>
                <w:i/>
                <w:sz w:val="19"/>
              </w:rPr>
              <w:t>Country Towns Sewerage Act Amendment Act 1967</w:t>
            </w:r>
          </w:p>
        </w:tc>
        <w:tc>
          <w:tcPr>
            <w:tcW w:w="1134" w:type="dxa"/>
          </w:tcPr>
          <w:p>
            <w:pPr>
              <w:pStyle w:val="nTable"/>
              <w:spacing w:before="120"/>
              <w:rPr>
                <w:sz w:val="19"/>
              </w:rPr>
            </w:pPr>
            <w:r>
              <w:rPr>
                <w:sz w:val="19"/>
              </w:rPr>
              <w:t>47 of 1967</w:t>
            </w:r>
          </w:p>
        </w:tc>
        <w:tc>
          <w:tcPr>
            <w:tcW w:w="1134" w:type="dxa"/>
          </w:tcPr>
          <w:p>
            <w:pPr>
              <w:pStyle w:val="nTable"/>
              <w:spacing w:before="120"/>
              <w:rPr>
                <w:sz w:val="19"/>
              </w:rPr>
            </w:pPr>
            <w:r>
              <w:rPr>
                <w:sz w:val="19"/>
              </w:rPr>
              <w:t>24 Nov 1967</w:t>
            </w:r>
          </w:p>
        </w:tc>
        <w:tc>
          <w:tcPr>
            <w:tcW w:w="2552" w:type="dxa"/>
          </w:tcPr>
          <w:p>
            <w:pPr>
              <w:pStyle w:val="nTable"/>
              <w:spacing w:before="12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13 Jul 1971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Metric Conversion Act 1972</w:t>
            </w:r>
          </w:p>
        </w:tc>
        <w:tc>
          <w:tcPr>
            <w:tcW w:w="1134" w:type="dxa"/>
          </w:tcPr>
          <w:p>
            <w:pPr>
              <w:pStyle w:val="nTable"/>
              <w:keepNext/>
              <w:spacing w:before="120"/>
              <w:rPr>
                <w:sz w:val="19"/>
              </w:rPr>
            </w:pPr>
            <w:r>
              <w:rPr>
                <w:sz w:val="19"/>
              </w:rPr>
              <w:t>94 of 1972</w:t>
            </w:r>
          </w:p>
        </w:tc>
        <w:tc>
          <w:tcPr>
            <w:tcW w:w="1134" w:type="dxa"/>
          </w:tcPr>
          <w:p>
            <w:pPr>
              <w:pStyle w:val="nTable"/>
              <w:keepNext/>
              <w:spacing w:before="120"/>
              <w:rPr>
                <w:sz w:val="19"/>
              </w:rPr>
            </w:pPr>
            <w:r>
              <w:rPr>
                <w:sz w:val="19"/>
              </w:rPr>
              <w:t>4 Dec 1972</w:t>
            </w:r>
          </w:p>
        </w:tc>
        <w:tc>
          <w:tcPr>
            <w:tcW w:w="2552" w:type="dxa"/>
          </w:tcPr>
          <w:p>
            <w:pPr>
              <w:pStyle w:val="nTable"/>
              <w:keepNext/>
              <w:spacing w:before="12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before="120"/>
              <w:ind w:right="113"/>
              <w:rPr>
                <w:sz w:val="19"/>
              </w:rPr>
            </w:pPr>
            <w:r>
              <w:rPr>
                <w:i/>
                <w:sz w:val="19"/>
              </w:rPr>
              <w:t>Country Towns Sewerage Act Amendment Act 1976</w:t>
            </w:r>
          </w:p>
        </w:tc>
        <w:tc>
          <w:tcPr>
            <w:tcW w:w="1134" w:type="dxa"/>
          </w:tcPr>
          <w:p>
            <w:pPr>
              <w:pStyle w:val="nTable"/>
              <w:spacing w:before="120"/>
              <w:rPr>
                <w:sz w:val="19"/>
              </w:rPr>
            </w:pPr>
            <w:r>
              <w:rPr>
                <w:sz w:val="19"/>
              </w:rPr>
              <w:t>49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Country Towns Sewerage Act Amendment Act 1977</w:t>
            </w:r>
          </w:p>
        </w:tc>
        <w:tc>
          <w:tcPr>
            <w:tcW w:w="1134" w:type="dxa"/>
          </w:tcPr>
          <w:p>
            <w:pPr>
              <w:pStyle w:val="nTable"/>
              <w:spacing w:before="120"/>
              <w:rPr>
                <w:sz w:val="19"/>
              </w:rPr>
            </w:pPr>
            <w:r>
              <w:rPr>
                <w:sz w:val="19"/>
              </w:rPr>
              <w:t>15 of 1977</w:t>
            </w:r>
          </w:p>
        </w:tc>
        <w:tc>
          <w:tcPr>
            <w:tcW w:w="1134" w:type="dxa"/>
          </w:tcPr>
          <w:p>
            <w:pPr>
              <w:pStyle w:val="nTable"/>
              <w:spacing w:before="120"/>
              <w:rPr>
                <w:sz w:val="19"/>
              </w:rPr>
            </w:pPr>
            <w:r>
              <w:rPr>
                <w:sz w:val="19"/>
              </w:rPr>
              <w:t>11 Oct 1977</w:t>
            </w:r>
          </w:p>
        </w:tc>
        <w:tc>
          <w:tcPr>
            <w:tcW w:w="2552" w:type="dxa"/>
          </w:tcPr>
          <w:p>
            <w:pPr>
              <w:pStyle w:val="nTable"/>
              <w:spacing w:before="120"/>
              <w:rPr>
                <w:sz w:val="19"/>
              </w:rPr>
            </w:pPr>
            <w:r>
              <w:rPr>
                <w:sz w:val="19"/>
              </w:rPr>
              <w:t>11 Oct 1977</w:t>
            </w:r>
          </w:p>
        </w:tc>
      </w:tr>
      <w:tr>
        <w:trPr>
          <w:cantSplit/>
        </w:trPr>
        <w:tc>
          <w:tcPr>
            <w:tcW w:w="2268" w:type="dxa"/>
          </w:tcPr>
          <w:p>
            <w:pPr>
              <w:pStyle w:val="nTable"/>
              <w:spacing w:before="120"/>
              <w:ind w:right="113"/>
              <w:rPr>
                <w:sz w:val="19"/>
              </w:rPr>
            </w:pPr>
            <w:r>
              <w:rPr>
                <w:i/>
                <w:sz w:val="19"/>
              </w:rPr>
              <w:t>Acts Amendment and Repeal (Valuation of Land) Act 1978</w:t>
            </w:r>
            <w:r>
              <w:rPr>
                <w:sz w:val="19"/>
              </w:rPr>
              <w:t xml:space="preserve"> Pt. V</w:t>
            </w:r>
          </w:p>
        </w:tc>
        <w:tc>
          <w:tcPr>
            <w:tcW w:w="1134" w:type="dxa"/>
          </w:tcPr>
          <w:p>
            <w:pPr>
              <w:pStyle w:val="nTable"/>
              <w:spacing w:before="120"/>
              <w:rPr>
                <w:sz w:val="19"/>
              </w:rPr>
            </w:pPr>
            <w:r>
              <w:rPr>
                <w:sz w:val="19"/>
              </w:rPr>
              <w:t>76 of 1978</w:t>
            </w:r>
          </w:p>
        </w:tc>
        <w:tc>
          <w:tcPr>
            <w:tcW w:w="1134" w:type="dxa"/>
          </w:tcPr>
          <w:p>
            <w:pPr>
              <w:pStyle w:val="nTable"/>
              <w:spacing w:before="120"/>
              <w:rPr>
                <w:sz w:val="19"/>
              </w:rPr>
            </w:pPr>
            <w:r>
              <w:rPr>
                <w:sz w:val="19"/>
              </w:rPr>
              <w:t>20 Oct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before="120"/>
              <w:ind w:right="113"/>
              <w:rPr>
                <w:sz w:val="19"/>
              </w:rPr>
            </w:pPr>
            <w:r>
              <w:rPr>
                <w:i/>
                <w:sz w:val="19"/>
              </w:rPr>
              <w:t>Country Towns Sewerage Act Amendment Act 1978</w:t>
            </w:r>
          </w:p>
        </w:tc>
        <w:tc>
          <w:tcPr>
            <w:tcW w:w="1134" w:type="dxa"/>
          </w:tcPr>
          <w:p>
            <w:pPr>
              <w:pStyle w:val="nTable"/>
              <w:spacing w:before="120"/>
              <w:rPr>
                <w:sz w:val="19"/>
              </w:rPr>
            </w:pPr>
            <w:r>
              <w:rPr>
                <w:sz w:val="19"/>
              </w:rPr>
              <w:t>96 of 1978</w:t>
            </w:r>
          </w:p>
        </w:tc>
        <w:tc>
          <w:tcPr>
            <w:tcW w:w="1134" w:type="dxa"/>
          </w:tcPr>
          <w:p>
            <w:pPr>
              <w:pStyle w:val="nTable"/>
              <w:spacing w:before="120"/>
              <w:rPr>
                <w:sz w:val="19"/>
              </w:rPr>
            </w:pPr>
            <w:r>
              <w:rPr>
                <w:sz w:val="19"/>
              </w:rPr>
              <w:t>17 Nov 1978</w:t>
            </w:r>
          </w:p>
        </w:tc>
        <w:tc>
          <w:tcPr>
            <w:tcW w:w="2552" w:type="dxa"/>
          </w:tcPr>
          <w:p>
            <w:pPr>
              <w:pStyle w:val="nTable"/>
              <w:spacing w:before="12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11 Mar 1980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rPr>
                <w:sz w:val="19"/>
              </w:rPr>
            </w:pPr>
            <w:r>
              <w:rPr>
                <w:sz w:val="19"/>
              </w:rPr>
              <w:t>13 Oct 1981</w:t>
            </w:r>
          </w:p>
        </w:tc>
      </w:tr>
      <w:tr>
        <w:trPr>
          <w:cantSplit/>
        </w:trPr>
        <w:tc>
          <w:tcPr>
            <w:tcW w:w="2268" w:type="dxa"/>
          </w:tcPr>
          <w:p>
            <w:pPr>
              <w:pStyle w:val="nTable"/>
              <w:spacing w:before="120"/>
              <w:ind w:right="113"/>
              <w:rPr>
                <w:sz w:val="19"/>
              </w:rPr>
            </w:pPr>
            <w:r>
              <w:rPr>
                <w:i/>
                <w:sz w:val="19"/>
              </w:rPr>
              <w:t>Country Towns Sewerage Amendment Act 1981</w:t>
            </w:r>
          </w:p>
        </w:tc>
        <w:tc>
          <w:tcPr>
            <w:tcW w:w="1134" w:type="dxa"/>
          </w:tcPr>
          <w:p>
            <w:pPr>
              <w:pStyle w:val="nTable"/>
              <w:spacing w:before="120"/>
              <w:rPr>
                <w:sz w:val="19"/>
              </w:rPr>
            </w:pPr>
            <w:r>
              <w:rPr>
                <w:sz w:val="19"/>
              </w:rPr>
              <w:t>104 of 1981</w:t>
            </w:r>
          </w:p>
        </w:tc>
        <w:tc>
          <w:tcPr>
            <w:tcW w:w="1134" w:type="dxa"/>
          </w:tcPr>
          <w:p>
            <w:pPr>
              <w:pStyle w:val="nTable"/>
              <w:spacing w:before="120"/>
              <w:rPr>
                <w:sz w:val="19"/>
              </w:rPr>
            </w:pPr>
            <w:r>
              <w:rPr>
                <w:sz w:val="19"/>
              </w:rPr>
              <w:t>4 Dec 1981</w:t>
            </w:r>
          </w:p>
        </w:tc>
        <w:tc>
          <w:tcPr>
            <w:tcW w:w="2552" w:type="dxa"/>
          </w:tcPr>
          <w:p>
            <w:pPr>
              <w:pStyle w:val="nTable"/>
              <w:spacing w:before="120"/>
              <w:rPr>
                <w:sz w:val="19"/>
              </w:rPr>
            </w:pPr>
            <w:r>
              <w:rPr>
                <w:sz w:val="19"/>
              </w:rPr>
              <w:t>4 Dec 1981</w:t>
            </w:r>
          </w:p>
        </w:tc>
      </w:tr>
      <w:tr>
        <w:trPr>
          <w:cantSplit/>
        </w:trPr>
        <w:tc>
          <w:tcPr>
            <w:tcW w:w="2268" w:type="dxa"/>
          </w:tcPr>
          <w:p>
            <w:pPr>
              <w:pStyle w:val="nTable"/>
              <w:spacing w:before="120"/>
              <w:ind w:right="113"/>
              <w:rPr>
                <w:sz w:val="19"/>
              </w:rPr>
            </w:pPr>
            <w:r>
              <w:rPr>
                <w:i/>
                <w:sz w:val="19"/>
              </w:rPr>
              <w:t>Acts Amendment (Country Water and Sewerage) Act 1982</w:t>
            </w:r>
            <w:r>
              <w:rPr>
                <w:sz w:val="19"/>
              </w:rPr>
              <w:t xml:space="preserve"> Pt. IV</w:t>
            </w:r>
          </w:p>
        </w:tc>
        <w:tc>
          <w:tcPr>
            <w:tcW w:w="1134" w:type="dxa"/>
          </w:tcPr>
          <w:p>
            <w:pPr>
              <w:pStyle w:val="nTable"/>
              <w:spacing w:before="120"/>
              <w:rPr>
                <w:sz w:val="19"/>
              </w:rPr>
            </w:pPr>
            <w:r>
              <w:rPr>
                <w:sz w:val="19"/>
              </w:rPr>
              <w:t>14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keepNext/>
              <w:spacing w:before="120"/>
              <w:ind w:right="113"/>
              <w:rPr>
                <w:sz w:val="19"/>
                <w:vertAlign w:val="superscript"/>
              </w:rPr>
            </w:pPr>
            <w:r>
              <w:rPr>
                <w:i/>
                <w:sz w:val="19"/>
              </w:rPr>
              <w:t>Country Towns Sewerage Amendment Act 1984 </w:t>
            </w:r>
            <w:r>
              <w:rPr>
                <w:sz w:val="19"/>
                <w:vertAlign w:val="superscript"/>
              </w:rPr>
              <w:t>9</w:t>
            </w:r>
          </w:p>
        </w:tc>
        <w:tc>
          <w:tcPr>
            <w:tcW w:w="1134" w:type="dxa"/>
          </w:tcPr>
          <w:p>
            <w:pPr>
              <w:pStyle w:val="nTable"/>
              <w:keepNext/>
              <w:spacing w:before="120"/>
              <w:rPr>
                <w:sz w:val="19"/>
              </w:rPr>
            </w:pPr>
            <w:r>
              <w:rPr>
                <w:sz w:val="19"/>
              </w:rPr>
              <w:t>16 of 1984</w:t>
            </w:r>
          </w:p>
        </w:tc>
        <w:tc>
          <w:tcPr>
            <w:tcW w:w="1134" w:type="dxa"/>
          </w:tcPr>
          <w:p>
            <w:pPr>
              <w:pStyle w:val="nTable"/>
              <w:keepNext/>
              <w:spacing w:before="120"/>
              <w:rPr>
                <w:sz w:val="19"/>
              </w:rPr>
            </w:pPr>
            <w:r>
              <w:rPr>
                <w:sz w:val="19"/>
              </w:rPr>
              <w:t>31 May 1984</w:t>
            </w:r>
          </w:p>
        </w:tc>
        <w:tc>
          <w:tcPr>
            <w:tcW w:w="2552" w:type="dxa"/>
          </w:tcPr>
          <w:p>
            <w:pPr>
              <w:pStyle w:val="nTable"/>
              <w:keepNext/>
              <w:spacing w:before="120"/>
              <w:rPr>
                <w:sz w:val="19"/>
              </w:rPr>
            </w:pPr>
            <w:r>
              <w:rPr>
                <w:sz w:val="19"/>
              </w:rPr>
              <w:t xml:space="preserve">s. 8: 28 Jun 1984 (see s. 2(2)); </w:t>
            </w:r>
            <w:r>
              <w:rPr>
                <w:sz w:val="19"/>
              </w:rPr>
              <w:br/>
              <w:t>balance (except s. 6 and 7): 31 May 1984</w:t>
            </w:r>
          </w:p>
        </w:tc>
      </w:tr>
      <w:tr>
        <w:trPr>
          <w:cantSplit/>
        </w:trPr>
        <w:tc>
          <w:tcPr>
            <w:tcW w:w="2268" w:type="dxa"/>
          </w:tcPr>
          <w:p>
            <w:pPr>
              <w:pStyle w:val="nTable"/>
              <w:spacing w:before="120"/>
              <w:ind w:right="113"/>
              <w:rPr>
                <w:sz w:val="19"/>
              </w:rPr>
            </w:pPr>
            <w:r>
              <w:rPr>
                <w:i/>
                <w:sz w:val="19"/>
              </w:rPr>
              <w:t>Acts Amendment and Repeal (Water Authorities) Act 1985</w:t>
            </w:r>
            <w:r>
              <w:rPr>
                <w:sz w:val="19"/>
              </w:rPr>
              <w:t xml:space="preserve"> Pt. VII</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VI</w:t>
            </w:r>
          </w:p>
        </w:tc>
        <w:tc>
          <w:tcPr>
            <w:tcW w:w="1134" w:type="dxa"/>
          </w:tcPr>
          <w:p>
            <w:pPr>
              <w:pStyle w:val="nTable"/>
              <w:spacing w:before="120"/>
              <w:rPr>
                <w:sz w:val="19"/>
              </w:rPr>
            </w:pPr>
            <w:r>
              <w:rPr>
                <w:sz w:val="19"/>
              </w:rPr>
              <w:t>110 of 1985 (as amended by No. 74 of 2003 s. 24)</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s. 74: 14 Jul 1987 (see s. 2 and </w:t>
            </w:r>
            <w:r>
              <w:rPr>
                <w:i/>
                <w:sz w:val="19"/>
              </w:rPr>
              <w:t>Gazette</w:t>
            </w:r>
            <w:r>
              <w:rPr>
                <w:sz w:val="19"/>
              </w:rPr>
              <w:t xml:space="preserve"> 14 Jul 1987 p. 2647);</w:t>
            </w:r>
            <w:r>
              <w:rPr>
                <w:sz w:val="19"/>
              </w:rPr>
              <w:br/>
              <w:t xml:space="preserve">s. 90: 1 Jul 1986 (see s. 2 and </w:t>
            </w:r>
            <w:r>
              <w:rPr>
                <w:i/>
                <w:sz w:val="19"/>
              </w:rPr>
              <w:t>Gazette</w:t>
            </w:r>
            <w:r>
              <w:rPr>
                <w:sz w:val="19"/>
              </w:rPr>
              <w:t xml:space="preserve"> 14 Mar 1986 p. 726); </w:t>
            </w:r>
            <w:r>
              <w:rPr>
                <w:sz w:val="19"/>
              </w:rPr>
              <w:br/>
              <w:t xml:space="preserve">s. 72: 1 Feb 1990 (see s. 2 and </w:t>
            </w:r>
            <w:r>
              <w:rPr>
                <w:i/>
                <w:sz w:val="19"/>
              </w:rPr>
              <w:t>Gazette</w:t>
            </w:r>
            <w:r>
              <w:rPr>
                <w:sz w:val="19"/>
              </w:rPr>
              <w:t xml:space="preserve"> 5 Jan 1990 p. 38); </w:t>
            </w:r>
            <w:r>
              <w:rPr>
                <w:sz w:val="19"/>
              </w:rPr>
              <w:br/>
              <w:t xml:space="preserve">s. 73 and 94(a) repealed by No. 74 of 2003 s. 24; </w:t>
            </w:r>
            <w:r>
              <w:rPr>
                <w:sz w:val="19"/>
              </w:rPr>
              <w:br/>
              <w:t xml:space="preserve">balance: 14 Mar 1986 (see s. 2 and </w:t>
            </w:r>
            <w:r>
              <w:rPr>
                <w:i/>
                <w:sz w:val="19"/>
              </w:rPr>
              <w:t>Gazette</w:t>
            </w:r>
            <w:r>
              <w:rPr>
                <w:sz w:val="19"/>
              </w:rPr>
              <w:t xml:space="preserve"> 14 Mar 1986 p. 726)</w:t>
            </w:r>
          </w:p>
        </w:tc>
      </w:tr>
      <w:tr>
        <w:trPr>
          <w:cantSplit/>
        </w:trPr>
        <w:tc>
          <w:tcPr>
            <w:tcW w:w="2268" w:type="dxa"/>
          </w:tcPr>
          <w:p>
            <w:pPr>
              <w:pStyle w:val="nTable"/>
              <w:keepNext/>
              <w:spacing w:before="12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before="120"/>
              <w:rPr>
                <w:sz w:val="19"/>
              </w:rPr>
            </w:pPr>
            <w:r>
              <w:rPr>
                <w:sz w:val="19"/>
              </w:rPr>
              <w:t>24 of 1987</w:t>
            </w:r>
          </w:p>
        </w:tc>
        <w:tc>
          <w:tcPr>
            <w:tcW w:w="1134" w:type="dxa"/>
          </w:tcPr>
          <w:p>
            <w:pPr>
              <w:pStyle w:val="nTable"/>
              <w:keepNext/>
              <w:spacing w:before="120"/>
              <w:rPr>
                <w:sz w:val="19"/>
              </w:rPr>
            </w:pPr>
            <w:r>
              <w:rPr>
                <w:sz w:val="19"/>
              </w:rPr>
              <w:t>25 Jun 1987</w:t>
            </w:r>
          </w:p>
        </w:tc>
        <w:tc>
          <w:tcPr>
            <w:tcW w:w="2552" w:type="dxa"/>
          </w:tcPr>
          <w:p>
            <w:pPr>
              <w:pStyle w:val="nTable"/>
              <w:keepNext/>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R&amp;I Bank Amendment Act 1994</w:t>
            </w:r>
            <w:r>
              <w:rPr>
                <w:sz w:val="19"/>
              </w:rPr>
              <w:t xml:space="preserve"> s.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 xml:space="preserve"> s.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1 Dec 1995 (see s. 2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28 May 1996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 and (2)</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 xml:space="preserve"> Pt. 18 and s. 142</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keepLines/>
              <w:spacing w:before="120"/>
              <w:ind w:right="113"/>
              <w:rPr>
                <w:sz w:val="19"/>
              </w:rPr>
            </w:pPr>
            <w:r>
              <w:rPr>
                <w:i/>
                <w:sz w:val="19"/>
              </w:rPr>
              <w:t>Statutes (Repeals and Minor Amendments) Act 1997</w:t>
            </w:r>
            <w:r>
              <w:rPr>
                <w:sz w:val="19"/>
              </w:rPr>
              <w:t xml:space="preserve"> s. 44</w:t>
            </w:r>
          </w:p>
        </w:tc>
        <w:tc>
          <w:tcPr>
            <w:tcW w:w="1134" w:type="dxa"/>
          </w:tcPr>
          <w:p>
            <w:pPr>
              <w:pStyle w:val="nTable"/>
              <w:keepLines/>
              <w:spacing w:before="120"/>
              <w:rPr>
                <w:sz w:val="19"/>
              </w:rPr>
            </w:pPr>
            <w:r>
              <w:rPr>
                <w:sz w:val="19"/>
              </w:rPr>
              <w:t>57 of 1997</w:t>
            </w:r>
          </w:p>
        </w:tc>
        <w:tc>
          <w:tcPr>
            <w:tcW w:w="1134" w:type="dxa"/>
          </w:tcPr>
          <w:p>
            <w:pPr>
              <w:pStyle w:val="nTable"/>
              <w:keepLines/>
              <w:spacing w:before="120"/>
              <w:rPr>
                <w:sz w:val="19"/>
              </w:rPr>
            </w:pPr>
            <w:r>
              <w:rPr>
                <w:sz w:val="19"/>
              </w:rPr>
              <w:t>15 Dec 1997</w:t>
            </w:r>
          </w:p>
        </w:tc>
        <w:tc>
          <w:tcPr>
            <w:tcW w:w="2552" w:type="dxa"/>
          </w:tcPr>
          <w:p>
            <w:pPr>
              <w:pStyle w:val="nTable"/>
              <w:keepLines/>
              <w:spacing w:before="120"/>
              <w:rPr>
                <w:sz w:val="19"/>
              </w:rPr>
            </w:pPr>
            <w:r>
              <w:rPr>
                <w:sz w:val="19"/>
              </w:rPr>
              <w:t>15 Dec 1997 (see s. 2(1))</w:t>
            </w:r>
          </w:p>
        </w:tc>
      </w:tr>
      <w:tr>
        <w:trPr>
          <w:cantSplit/>
        </w:trPr>
        <w:tc>
          <w:tcPr>
            <w:tcW w:w="2268" w:type="dxa"/>
          </w:tcPr>
          <w:p>
            <w:pPr>
              <w:pStyle w:val="nTable"/>
              <w:keepLines/>
              <w:spacing w:before="120"/>
              <w:ind w:right="113"/>
              <w:rPr>
                <w:sz w:val="19"/>
              </w:rPr>
            </w:pPr>
            <w:r>
              <w:rPr>
                <w:i/>
                <w:sz w:val="19"/>
              </w:rPr>
              <w:t>Statutes (Repeals and Minor Amendments) Act (No. 2) 1998</w:t>
            </w:r>
            <w:r>
              <w:rPr>
                <w:sz w:val="19"/>
              </w:rPr>
              <w:t xml:space="preserve"> s. 24(1)</w:t>
            </w:r>
          </w:p>
        </w:tc>
        <w:tc>
          <w:tcPr>
            <w:tcW w:w="1134" w:type="dxa"/>
          </w:tcPr>
          <w:p>
            <w:pPr>
              <w:pStyle w:val="nTable"/>
              <w:keepLines/>
              <w:spacing w:before="120"/>
              <w:rPr>
                <w:sz w:val="19"/>
              </w:rPr>
            </w:pPr>
            <w:r>
              <w:rPr>
                <w:sz w:val="19"/>
              </w:rPr>
              <w:t>10 of 1998</w:t>
            </w:r>
          </w:p>
        </w:tc>
        <w:tc>
          <w:tcPr>
            <w:tcW w:w="1134" w:type="dxa"/>
          </w:tcPr>
          <w:p>
            <w:pPr>
              <w:pStyle w:val="nTable"/>
              <w:keepLines/>
              <w:spacing w:before="120"/>
              <w:rPr>
                <w:sz w:val="19"/>
              </w:rPr>
            </w:pPr>
            <w:r>
              <w:rPr>
                <w:sz w:val="19"/>
              </w:rPr>
              <w:t>30 Apr 1998</w:t>
            </w:r>
          </w:p>
        </w:tc>
        <w:tc>
          <w:tcPr>
            <w:tcW w:w="2552" w:type="dxa"/>
          </w:tcPr>
          <w:p>
            <w:pPr>
              <w:pStyle w:val="nTable"/>
              <w:keepLines/>
              <w:spacing w:before="120"/>
              <w:rPr>
                <w:sz w:val="19"/>
              </w:rPr>
            </w:pPr>
            <w:r>
              <w:rPr>
                <w:sz w:val="19"/>
              </w:rPr>
              <w:t>30 Apr 1998 (see s. 2(1))</w:t>
            </w:r>
          </w:p>
        </w:tc>
      </w:tr>
      <w:tr>
        <w:trPr>
          <w:cantSplit/>
        </w:trPr>
        <w:tc>
          <w:tcPr>
            <w:tcW w:w="2268" w:type="dxa"/>
          </w:tcPr>
          <w:p>
            <w:pPr>
              <w:pStyle w:val="nTable"/>
              <w:keepLines/>
              <w:spacing w:before="120"/>
              <w:ind w:right="113"/>
              <w:rPr>
                <w:sz w:val="19"/>
              </w:rPr>
            </w:pPr>
            <w:r>
              <w:rPr>
                <w:i/>
                <w:sz w:val="19"/>
              </w:rPr>
              <w:t xml:space="preserve">Water Services Coordination Amendment Act 1999 </w:t>
            </w:r>
            <w:r>
              <w:rPr>
                <w:sz w:val="19"/>
              </w:rPr>
              <w:t>s. 11(4)</w:t>
            </w:r>
          </w:p>
        </w:tc>
        <w:tc>
          <w:tcPr>
            <w:tcW w:w="1134" w:type="dxa"/>
          </w:tcPr>
          <w:p>
            <w:pPr>
              <w:pStyle w:val="nTable"/>
              <w:keepLines/>
              <w:spacing w:before="120"/>
              <w:rPr>
                <w:sz w:val="19"/>
              </w:rPr>
            </w:pPr>
            <w:r>
              <w:rPr>
                <w:sz w:val="19"/>
              </w:rPr>
              <w:t>39 of 1999</w:t>
            </w:r>
          </w:p>
        </w:tc>
        <w:tc>
          <w:tcPr>
            <w:tcW w:w="1134" w:type="dxa"/>
          </w:tcPr>
          <w:p>
            <w:pPr>
              <w:pStyle w:val="nTable"/>
              <w:keepLines/>
              <w:spacing w:before="120"/>
              <w:rPr>
                <w:sz w:val="19"/>
              </w:rPr>
            </w:pPr>
            <w:r>
              <w:rPr>
                <w:sz w:val="19"/>
              </w:rPr>
              <w:t>9 Nov 1999</w:t>
            </w:r>
          </w:p>
        </w:tc>
        <w:tc>
          <w:tcPr>
            <w:tcW w:w="2552" w:type="dxa"/>
          </w:tcPr>
          <w:p>
            <w:pPr>
              <w:pStyle w:val="nTable"/>
              <w:keepLines/>
              <w:spacing w:before="12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9 Nov 2001</w:t>
            </w:r>
            <w:r>
              <w:rPr>
                <w:b/>
                <w:sz w:val="19"/>
              </w:rPr>
              <w:br/>
            </w:r>
            <w:r>
              <w:rPr>
                <w:sz w:val="19"/>
              </w:rPr>
              <w:t>(includes amendments listed above)</w:t>
            </w:r>
          </w:p>
        </w:tc>
      </w:tr>
      <w:tr>
        <w:trPr>
          <w:cantSplit/>
        </w:trPr>
        <w:tc>
          <w:tcPr>
            <w:tcW w:w="2268" w:type="dxa"/>
          </w:tcPr>
          <w:p>
            <w:pPr>
              <w:pStyle w:val="nTable"/>
              <w:keepLines/>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Lines/>
              <w:spacing w:before="120"/>
              <w:rPr>
                <w:sz w:val="19"/>
              </w:rPr>
            </w:pPr>
            <w:r>
              <w:rPr>
                <w:snapToGrid w:val="0"/>
                <w:sz w:val="19"/>
                <w:lang w:val="en-US"/>
              </w:rPr>
              <w:t>59 of 2004</w:t>
            </w:r>
          </w:p>
        </w:tc>
        <w:tc>
          <w:tcPr>
            <w:tcW w:w="1134" w:type="dxa"/>
          </w:tcPr>
          <w:p>
            <w:pPr>
              <w:pStyle w:val="nTable"/>
              <w:keepLines/>
              <w:spacing w:before="120"/>
              <w:rPr>
                <w:sz w:val="19"/>
              </w:rPr>
            </w:pPr>
            <w:r>
              <w:rPr>
                <w:sz w:val="19"/>
              </w:rPr>
              <w:t>23 Nov 2004</w:t>
            </w:r>
          </w:p>
        </w:tc>
        <w:tc>
          <w:tcPr>
            <w:tcW w:w="2552" w:type="dxa"/>
          </w:tcPr>
          <w:p>
            <w:pPr>
              <w:pStyle w:val="nTable"/>
              <w:keepLines/>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Lines/>
              <w:spacing w:before="12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12, 13</w:t>
            </w:r>
          </w:p>
        </w:tc>
        <w:tc>
          <w:tcPr>
            <w:tcW w:w="1134" w:type="dxa"/>
          </w:tcPr>
          <w:p>
            <w:pPr>
              <w:pStyle w:val="nTable"/>
              <w:keepLines/>
              <w:spacing w:before="120"/>
              <w:rPr>
                <w:sz w:val="19"/>
              </w:rPr>
            </w:pPr>
            <w:r>
              <w:rPr>
                <w:sz w:val="19"/>
              </w:rPr>
              <w:t>55 of 2004</w:t>
            </w:r>
          </w:p>
        </w:tc>
        <w:tc>
          <w:tcPr>
            <w:tcW w:w="1134" w:type="dxa"/>
          </w:tcPr>
          <w:p>
            <w:pPr>
              <w:pStyle w:val="nTable"/>
              <w:keepLines/>
              <w:spacing w:before="120"/>
              <w:rPr>
                <w:sz w:val="19"/>
              </w:rPr>
            </w:pPr>
            <w:r>
              <w:rPr>
                <w:sz w:val="19"/>
              </w:rPr>
              <w:t>24 Nov 2004</w:t>
            </w:r>
          </w:p>
        </w:tc>
        <w:tc>
          <w:tcPr>
            <w:tcW w:w="2552" w:type="dxa"/>
          </w:tcPr>
          <w:p>
            <w:pPr>
              <w:pStyle w:val="nTable"/>
              <w:keepLines/>
              <w:spacing w:before="12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Lines/>
              <w:spacing w:before="12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Lines/>
              <w:spacing w:before="120"/>
              <w:rPr>
                <w:sz w:val="19"/>
              </w:rPr>
            </w:pPr>
            <w:r>
              <w:rPr>
                <w:snapToGrid w:val="0"/>
                <w:sz w:val="19"/>
                <w:lang w:val="en-US"/>
              </w:rPr>
              <w:t>70 of 2004</w:t>
            </w:r>
          </w:p>
        </w:tc>
        <w:tc>
          <w:tcPr>
            <w:tcW w:w="1134" w:type="dxa"/>
          </w:tcPr>
          <w:p>
            <w:pPr>
              <w:pStyle w:val="nTable"/>
              <w:keepLines/>
              <w:spacing w:before="120"/>
              <w:rPr>
                <w:sz w:val="19"/>
              </w:rPr>
            </w:pPr>
            <w:r>
              <w:rPr>
                <w:snapToGrid w:val="0"/>
                <w:sz w:val="19"/>
                <w:lang w:val="en-US"/>
              </w:rPr>
              <w:t>8 Dec 2004</w:t>
            </w:r>
          </w:p>
        </w:tc>
        <w:tc>
          <w:tcPr>
            <w:tcW w:w="2552" w:type="dxa"/>
          </w:tcPr>
          <w:p>
            <w:pPr>
              <w:pStyle w:val="nTable"/>
              <w:keepLines/>
              <w:spacing w:before="12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Lines/>
              <w:spacing w:before="12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before="120"/>
              <w:rPr>
                <w:sz w:val="19"/>
              </w:rPr>
            </w:pPr>
            <w:r>
              <w:rPr>
                <w:snapToGrid w:val="0"/>
                <w:sz w:val="19"/>
                <w:lang w:val="en-US"/>
              </w:rPr>
              <w:t>84 of 2004</w:t>
            </w:r>
          </w:p>
        </w:tc>
        <w:tc>
          <w:tcPr>
            <w:tcW w:w="1134" w:type="dxa"/>
          </w:tcPr>
          <w:p>
            <w:pPr>
              <w:pStyle w:val="nTable"/>
              <w:keepLines/>
              <w:spacing w:before="120"/>
              <w:rPr>
                <w:sz w:val="19"/>
              </w:rPr>
            </w:pPr>
            <w:r>
              <w:rPr>
                <w:sz w:val="19"/>
              </w:rPr>
              <w:t>16 Dec 2004</w:t>
            </w:r>
          </w:p>
        </w:tc>
        <w:tc>
          <w:tcPr>
            <w:tcW w:w="2552" w:type="dxa"/>
          </w:tcPr>
          <w:p>
            <w:pPr>
              <w:pStyle w:val="nTable"/>
              <w:keepLines/>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keepLines/>
              <w:spacing w:before="12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25 of 2005</w:t>
            </w:r>
          </w:p>
        </w:tc>
        <w:tc>
          <w:tcPr>
            <w:tcW w:w="1134" w:type="dxa"/>
            <w:tcBorders>
              <w:bottom w:val="single" w:sz="4" w:space="0" w:color="auto"/>
            </w:tcBorders>
          </w:tcPr>
          <w:p>
            <w:pPr>
              <w:pStyle w:val="nTable"/>
              <w:keepLines/>
              <w:spacing w:before="120"/>
              <w:rPr>
                <w:sz w:val="19"/>
              </w:rPr>
            </w:pPr>
            <w:r>
              <w:rPr>
                <w:sz w:val="19"/>
              </w:rPr>
              <w:t>12 Dec 2005</w:t>
            </w:r>
          </w:p>
        </w:tc>
        <w:tc>
          <w:tcPr>
            <w:tcW w:w="2552" w:type="dxa"/>
            <w:tcBorders>
              <w:bottom w:val="single" w:sz="4" w:space="0" w:color="auto"/>
            </w:tcBorders>
          </w:tcPr>
          <w:p>
            <w:pPr>
              <w:pStyle w:val="nTable"/>
              <w:keepLines/>
              <w:spacing w:before="12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bl>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spacing w:before="12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snapToGrid w:val="0"/>
        </w:rPr>
      </w:pPr>
      <w:r>
        <w:rPr>
          <w:snapToGrid w:val="0"/>
          <w:vertAlign w:val="superscript"/>
        </w:rPr>
        <w:t>3</w:t>
      </w:r>
      <w:r>
        <w:rPr>
          <w:i/>
          <w:snapToGrid w:val="0"/>
        </w:rPr>
        <w:tab/>
      </w:r>
      <w:r>
        <w:rPr>
          <w:snapToGrid w:val="0"/>
        </w:rPr>
        <w:t>Under the</w:t>
      </w:r>
      <w:r>
        <w:rPr>
          <w:i/>
          <w:snapToGrid w:val="0"/>
        </w:rPr>
        <w:t xml:space="preserve"> Public Sector Management Act 1994</w:t>
      </w:r>
      <w:r>
        <w:rPr>
          <w:snapToGrid w:val="0"/>
        </w:rPr>
        <w:t xml:space="preserve"> the names of departments can be changed.  At the time of this reprint the former Department of Lands is called the Department of Land Administration and its administrative head is called the chief executive officer.</w:t>
      </w:r>
    </w:p>
    <w:p>
      <w:pPr>
        <w:pStyle w:val="nSubsection"/>
        <w:rPr>
          <w:snapToGrid w:val="0"/>
        </w:rPr>
      </w:pPr>
      <w:r>
        <w:rPr>
          <w:snapToGrid w:val="0"/>
          <w:vertAlign w:val="superscript"/>
        </w:rPr>
        <w:t>4</w:t>
      </w:r>
      <w:r>
        <w:rPr>
          <w:snapToGrid w:val="0"/>
        </w:rPr>
        <w:tab/>
        <w:t xml:space="preserve">Under the </w:t>
      </w:r>
      <w:r>
        <w:rPr>
          <w:i/>
          <w:snapToGrid w:val="0"/>
        </w:rPr>
        <w:t xml:space="preserve">Acts Amendment (Public Service) Act 1987 </w:t>
      </w:r>
      <w:r>
        <w:rPr>
          <w:snapToGrid w:val="0"/>
        </w:rPr>
        <w:t xml:space="preserve">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2) 2001</w:t>
      </w:r>
      <w:r>
        <w:rPr>
          <w:snapToGrid w:val="0"/>
        </w:rPr>
        <w:t xml:space="preserve"> a reference in any law to the Department of Mines is to be read and construed as a reference to the Department of Mineral and Petroleum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Country Towns Sewerage Amendment Act 1984</w:t>
      </w:r>
      <w:r>
        <w:t xml:space="preserve"> s. 6 and 7 were repealed by the </w:t>
      </w:r>
      <w:r>
        <w:rPr>
          <w:i/>
        </w:rPr>
        <w:t>Acts Amendment and Repeal (Water Authorities) Act 1985</w:t>
      </w:r>
      <w:r>
        <w:t xml:space="preserve"> s. 216.</w:t>
      </w:r>
    </w:p>
    <w:p>
      <w:pPr>
        <w:pStyle w:val="nSubsection"/>
      </w:pPr>
      <w:r>
        <w:rPr>
          <w:vertAlign w:val="superscript"/>
        </w:rPr>
        <w:t>10</w:t>
      </w:r>
      <w:r>
        <w:tab/>
        <w:t>Footnote no longer applicable.</w:t>
      </w:r>
    </w:p>
    <w:p>
      <w:pPr>
        <w:pStyle w:val="nSubsection"/>
        <w:rPr>
          <w:snapToGrid w:val="0"/>
        </w:rPr>
      </w:pPr>
      <w:r>
        <w:rPr>
          <w:vertAlign w:val="superscript"/>
        </w:rPr>
        <w:t>11</w:t>
      </w:r>
      <w:r>
        <w:tab/>
      </w:r>
      <w:r>
        <w:rPr>
          <w:snapToGrid w:val="0"/>
        </w:rPr>
        <w:t>Footnote no longer applicable.</w:t>
      </w:r>
    </w:p>
    <w:p>
      <w:pPr>
        <w:pStyle w:val="nSubsection"/>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13</w:t>
      </w:r>
      <w:r>
        <w:tab/>
        <w:t xml:space="preserve">The </w:t>
      </w:r>
      <w:r>
        <w:rPr>
          <w:i/>
        </w:rPr>
        <w:t>State Administrative Tribunal Regulations 2004</w:t>
      </w:r>
      <w:r>
        <w:t xml:space="preserve"> r. 44 reads as follows:</w:t>
      </w:r>
    </w:p>
    <w:p>
      <w:pPr>
        <w:pStyle w:val="MiscOpen"/>
      </w:pPr>
      <w:r>
        <w:t>“</w:t>
      </w:r>
    </w:p>
    <w:p>
      <w:pPr>
        <w:pStyle w:val="nzHeading5"/>
      </w:pPr>
      <w:bookmarkStart w:id="510" w:name="_Toc90957853"/>
      <w:bookmarkStart w:id="511" w:name="_Toc92182268"/>
      <w:r>
        <w:rPr>
          <w:rStyle w:val="CharSectno"/>
        </w:rPr>
        <w:t>44</w:t>
      </w:r>
      <w:r>
        <w:t>.</w:t>
      </w:r>
      <w:r>
        <w:tab/>
      </w:r>
      <w:r>
        <w:rPr>
          <w:i/>
        </w:rPr>
        <w:t>Country Towns Sewerage Act 1948</w:t>
      </w:r>
      <w:bookmarkEnd w:id="510"/>
      <w:bookmarkEnd w:id="51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rStyle w:val="CharDefText"/>
        </w:rPr>
        <w:t>Corporation</w:t>
      </w:r>
      <w:r>
        <w:rPr>
          <w:b/>
        </w:rPr>
        <w:t>”</w:t>
      </w:r>
      <w:r>
        <w:t xml:space="preserve"> has the meaning given to that term in the CTS Act section 3(1);</w:t>
      </w:r>
    </w:p>
    <w:p>
      <w:pPr>
        <w:pStyle w:val="nzDefstart"/>
      </w:pPr>
      <w:r>
        <w:rPr>
          <w:b/>
        </w:rPr>
        <w:tab/>
        <w:t>“</w:t>
      </w:r>
      <w:r>
        <w:rPr>
          <w:rStyle w:val="CharDefText"/>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16254</Words>
  <Characters>72821</Characters>
  <Application>Microsoft Office Word</Application>
  <DocSecurity>0</DocSecurity>
  <Lines>1916</Lines>
  <Paragraphs>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1948 - 05-f0-04</dc:title>
  <dc:subject/>
  <dc:creator/>
  <cp:keywords/>
  <dc:description/>
  <cp:lastModifiedBy>svcMRProcess</cp:lastModifiedBy>
  <cp:revision>4</cp:revision>
  <cp:lastPrinted>2001-11-22T03:49:00Z</cp:lastPrinted>
  <dcterms:created xsi:type="dcterms:W3CDTF">2018-08-22T07:21:00Z</dcterms:created>
  <dcterms:modified xsi:type="dcterms:W3CDTF">2018-08-22T07:21:00Z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190</vt:i4>
  </property>
  <property fmtid="{D5CDD505-2E9C-101B-9397-08002B2CF9AE}" pid="6" name="AsAtDate">
    <vt:lpwstr>03 Jun 2006</vt:lpwstr>
  </property>
  <property fmtid="{D5CDD505-2E9C-101B-9397-08002B2CF9AE}" pid="7" name="Suffix">
    <vt:lpwstr>05-f0-04</vt:lpwstr>
  </property>
</Properties>
</file>