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Teacher Registration (Accreditation of Initial Teacher Education Programs) Amendment Regulations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(Accreditation of Initial Teacher Education Programs) Amendment Regulations 2025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_Toc207362778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_Toc207362779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Regulations amended</w:t>
      </w:r>
      <w:r>
        <w:tab/>
      </w:r>
      <w:r>
        <w:fldChar w:fldCharType="begin"/>
      </w:r>
      <w:r>
        <w:instrText xml:space="preserve"> PAGEREF _Toc207362780 \h </w:instrText>
      </w:r>
      <w:r>
        <w:fldChar w:fldCharType="separate"/>
      </w:r>
      <w:r>
        <w:t>1</w:t>
      </w:r>
      <w:r>
        <w:fldChar w:fldCharType="end"/>
      </w:r>
    </w:p>
    <w:p>
      <w:pPr>
        <w:pStyle w:val="TOC8"/>
        <w:rPr>
          <w:rFonts w:asciiTheme="minorHAnsi" w:eastAsiaTheme="minorEastAsia" w:hAnsiTheme="minorHAnsi" w:cstheme="minorBidi"/>
          <w:szCs w:val="22"/>
        </w:rPr>
      </w:pPr>
      <w:r>
        <w:t>4.</w:t>
      </w:r>
      <w:r>
        <w:tab/>
        <w:t>Regulation 3 amended</w:t>
      </w:r>
      <w:r>
        <w:tab/>
      </w:r>
      <w:r>
        <w:fldChar w:fldCharType="begin"/>
      </w:r>
      <w:r>
        <w:instrText xml:space="preserve"> PAGEREF _Toc207362781 \h </w:instrText>
      </w:r>
      <w:r>
        <w:fldChar w:fldCharType="separate"/>
      </w:r>
      <w:r>
        <w:t>1</w:t>
      </w:r>
      <w:r>
        <w:fldChar w:fldCharType="end"/>
      </w:r>
    </w:p>
    <w:p>
      <w:pPr>
        <w:pStyle w:val="TOC8"/>
        <w:rPr>
          <w:rFonts w:asciiTheme="minorHAnsi" w:eastAsiaTheme="minorEastAsia" w:hAnsiTheme="minorHAnsi" w:cstheme="minorBidi"/>
          <w:szCs w:val="22"/>
        </w:rPr>
      </w:pPr>
      <w:r>
        <w:t>5.</w:t>
      </w:r>
      <w:r>
        <w:tab/>
        <w:t>Regulation 4 amended</w:t>
      </w:r>
      <w:r>
        <w:tab/>
      </w:r>
      <w:r>
        <w:fldChar w:fldCharType="begin"/>
      </w:r>
      <w:r>
        <w:instrText xml:space="preserve"> PAGEREF _Toc207362782 \h </w:instrText>
      </w:r>
      <w:r>
        <w:fldChar w:fldCharType="separate"/>
      </w:r>
      <w:r>
        <w:t>2</w:t>
      </w:r>
      <w:r>
        <w:fldChar w:fldCharType="end"/>
      </w:r>
    </w:p>
    <w:p>
      <w:pPr>
        <w:pStyle w:val="TOC8"/>
        <w:rPr>
          <w:rFonts w:asciiTheme="minorHAnsi" w:eastAsiaTheme="minorEastAsia" w:hAnsiTheme="minorHAnsi" w:cstheme="minorBidi"/>
          <w:szCs w:val="22"/>
        </w:rPr>
      </w:pPr>
      <w:r>
        <w:t>6.</w:t>
      </w:r>
      <w:r>
        <w:tab/>
        <w:t>Regulation 5 amended</w:t>
      </w:r>
      <w:r>
        <w:tab/>
      </w:r>
      <w:r>
        <w:fldChar w:fldCharType="begin"/>
      </w:r>
      <w:r>
        <w:instrText xml:space="preserve"> PAGEREF _Toc207362783 \h </w:instrText>
      </w:r>
      <w:r>
        <w:fldChar w:fldCharType="separate"/>
      </w:r>
      <w:r>
        <w:t>3</w:t>
      </w:r>
      <w:r>
        <w:fldChar w:fldCharType="end"/>
      </w:r>
    </w:p>
    <w:p>
      <w:pPr>
        <w:pStyle w:val="TOC8"/>
        <w:rPr>
          <w:rFonts w:asciiTheme="minorHAnsi" w:eastAsiaTheme="minorEastAsia" w:hAnsiTheme="minorHAnsi" w:cstheme="minorBidi"/>
          <w:szCs w:val="22"/>
        </w:rPr>
      </w:pPr>
      <w:r>
        <w:t>7.</w:t>
      </w:r>
      <w:r>
        <w:tab/>
        <w:t>Regulation 6 amended</w:t>
      </w:r>
      <w:r>
        <w:tab/>
      </w:r>
      <w:r>
        <w:fldChar w:fldCharType="begin"/>
      </w:r>
      <w:r>
        <w:instrText xml:space="preserve"> PAGEREF _Toc207362784 \h </w:instrText>
      </w:r>
      <w:r>
        <w:fldChar w:fldCharType="separate"/>
      </w:r>
      <w:r>
        <w:t>3</w:t>
      </w:r>
      <w:r>
        <w:fldChar w:fldCharType="end"/>
      </w:r>
    </w:p>
    <w:p>
      <w:pPr>
        <w:pStyle w:val="TOC8"/>
        <w:rPr>
          <w:rFonts w:asciiTheme="minorHAnsi" w:eastAsiaTheme="minorEastAsia" w:hAnsiTheme="minorHAnsi" w:cstheme="minorBidi"/>
          <w:szCs w:val="22"/>
        </w:rPr>
      </w:pPr>
      <w:r>
        <w:t>8.</w:t>
      </w:r>
      <w:r>
        <w:tab/>
        <w:t>Regulations 10 and 11 replaced</w:t>
      </w:r>
      <w:r>
        <w:tab/>
      </w:r>
      <w:r>
        <w:fldChar w:fldCharType="begin"/>
      </w:r>
      <w:r>
        <w:instrText xml:space="preserve"> PAGEREF _Toc207362785 \h </w:instrText>
      </w:r>
      <w:r>
        <w:fldChar w:fldCharType="separate"/>
      </w:r>
      <w:r>
        <w:t>3</w:t>
      </w:r>
      <w:r>
        <w:fldChar w:fldCharType="end"/>
      </w:r>
    </w:p>
    <w:p>
      <w:pPr>
        <w:pStyle w:val="TOC9"/>
        <w:rPr>
          <w:rFonts w:asciiTheme="minorHAnsi" w:eastAsiaTheme="minorEastAsia" w:hAnsiTheme="minorHAnsi" w:cstheme="minorBidi"/>
          <w:noProof/>
          <w:sz w:val="22"/>
          <w:szCs w:val="22"/>
        </w:rPr>
      </w:pPr>
      <w:r>
        <w:rPr>
          <w:noProof/>
        </w:rPr>
        <w:t>10.</w:t>
      </w:r>
      <w:r>
        <w:rPr>
          <w:noProof/>
        </w:rPr>
        <w:tab/>
        <w:t>Accreditation</w:t>
      </w:r>
      <w:r>
        <w:rPr>
          <w:noProof/>
        </w:rPr>
        <w:tab/>
      </w:r>
      <w:r>
        <w:rPr>
          <w:noProof/>
        </w:rPr>
        <w:fldChar w:fldCharType="begin"/>
      </w:r>
      <w:r>
        <w:rPr>
          <w:noProof/>
        </w:rPr>
        <w:instrText xml:space="preserve"> PAGEREF _Toc207362786 \h </w:instrText>
      </w:r>
      <w:r>
        <w:rPr>
          <w:noProof/>
        </w:rPr>
      </w:r>
      <w:r>
        <w:rPr>
          <w:noProof/>
        </w:rPr>
        <w:fldChar w:fldCharType="separate"/>
      </w:r>
      <w:r>
        <w:rPr>
          <w:noProof/>
        </w:rPr>
        <w:t>3</w:t>
      </w:r>
      <w:r>
        <w:rPr>
          <w:noProof/>
        </w:rPr>
        <w:fldChar w:fldCharType="end"/>
      </w:r>
    </w:p>
    <w:p>
      <w:pPr>
        <w:pStyle w:val="TOC9"/>
        <w:rPr>
          <w:rFonts w:asciiTheme="minorHAnsi" w:eastAsiaTheme="minorEastAsia" w:hAnsiTheme="minorHAnsi" w:cstheme="minorBidi"/>
          <w:noProof/>
          <w:sz w:val="22"/>
          <w:szCs w:val="22"/>
        </w:rPr>
      </w:pPr>
      <w:r>
        <w:rPr>
          <w:noProof/>
        </w:rPr>
        <w:t>11.</w:t>
      </w:r>
      <w:r>
        <w:rPr>
          <w:noProof/>
        </w:rPr>
        <w:tab/>
        <w:t>Re-accreditation</w:t>
      </w:r>
      <w:r>
        <w:rPr>
          <w:noProof/>
        </w:rPr>
        <w:tab/>
      </w:r>
      <w:r>
        <w:rPr>
          <w:noProof/>
        </w:rPr>
        <w:fldChar w:fldCharType="begin"/>
      </w:r>
      <w:r>
        <w:rPr>
          <w:noProof/>
        </w:rPr>
        <w:instrText xml:space="preserve"> PAGEREF _Toc207362787 \h </w:instrText>
      </w:r>
      <w:r>
        <w:rPr>
          <w:noProof/>
        </w:rPr>
      </w:r>
      <w:r>
        <w:rPr>
          <w:noProof/>
        </w:rPr>
        <w:fldChar w:fldCharType="separate"/>
      </w:r>
      <w:r>
        <w:rPr>
          <w:noProof/>
        </w:rPr>
        <w:t>5</w:t>
      </w:r>
      <w:r>
        <w:rPr>
          <w:noProof/>
        </w:rPr>
        <w:fldChar w:fldCharType="end"/>
      </w:r>
    </w:p>
    <w:p>
      <w:pPr>
        <w:pStyle w:val="TOC8"/>
        <w:rPr>
          <w:rFonts w:asciiTheme="minorHAnsi" w:eastAsiaTheme="minorEastAsia" w:hAnsiTheme="minorHAnsi" w:cstheme="minorBidi"/>
          <w:szCs w:val="22"/>
        </w:rPr>
      </w:pPr>
      <w:r>
        <w:t>9.</w:t>
      </w:r>
      <w:r>
        <w:tab/>
        <w:t>Regulation 15 amended</w:t>
      </w:r>
      <w:r>
        <w:tab/>
      </w:r>
      <w:r>
        <w:fldChar w:fldCharType="begin"/>
      </w:r>
      <w:r>
        <w:instrText xml:space="preserve"> PAGEREF _Toc207362788 \h </w:instrText>
      </w:r>
      <w:r>
        <w:fldChar w:fldCharType="separate"/>
      </w:r>
      <w:r>
        <w:t>5</w:t>
      </w:r>
      <w:r>
        <w:fldChar w:fldCharType="end"/>
      </w:r>
    </w:p>
    <w:p>
      <w:pPr>
        <w:pStyle w:val="TOC8"/>
        <w:rPr>
          <w:rFonts w:asciiTheme="minorHAnsi" w:eastAsiaTheme="minorEastAsia" w:hAnsiTheme="minorHAnsi" w:cstheme="minorBidi"/>
          <w:szCs w:val="22"/>
        </w:rPr>
      </w:pPr>
      <w:r>
        <w:t>10.</w:t>
      </w:r>
      <w:r>
        <w:tab/>
        <w:t>Regulation 16 amended</w:t>
      </w:r>
      <w:r>
        <w:tab/>
      </w:r>
      <w:r>
        <w:fldChar w:fldCharType="begin"/>
      </w:r>
      <w:r>
        <w:instrText xml:space="preserve"> PAGEREF _Toc207362789 \h </w:instrText>
      </w:r>
      <w:r>
        <w:fldChar w:fldCharType="separate"/>
      </w:r>
      <w:r>
        <w:t>6</w:t>
      </w:r>
      <w:r>
        <w:fldChar w:fldCharType="end"/>
      </w:r>
    </w:p>
    <w:p>
      <w:pPr>
        <w:pStyle w:val="TOC8"/>
        <w:rPr>
          <w:rFonts w:asciiTheme="minorHAnsi" w:eastAsiaTheme="minorEastAsia" w:hAnsiTheme="minorHAnsi" w:cstheme="minorBidi"/>
          <w:szCs w:val="22"/>
        </w:rPr>
      </w:pPr>
      <w:r>
        <w:t>11.</w:t>
      </w:r>
      <w:r>
        <w:tab/>
        <w:t>Regulation 18 amended</w:t>
      </w:r>
      <w:r>
        <w:tab/>
      </w:r>
      <w:r>
        <w:fldChar w:fldCharType="begin"/>
      </w:r>
      <w:r>
        <w:instrText xml:space="preserve"> PAGEREF _Toc207362790 \h </w:instrText>
      </w:r>
      <w:r>
        <w:fldChar w:fldCharType="separate"/>
      </w:r>
      <w:r>
        <w:t>6</w:t>
      </w:r>
      <w:r>
        <w:fldChar w:fldCharType="end"/>
      </w:r>
    </w:p>
    <w:p>
      <w:pPr>
        <w:pStyle w:val="TOC8"/>
        <w:rPr>
          <w:rFonts w:asciiTheme="minorHAnsi" w:eastAsiaTheme="minorEastAsia" w:hAnsiTheme="minorHAnsi" w:cstheme="minorBidi"/>
          <w:szCs w:val="22"/>
        </w:rPr>
      </w:pPr>
      <w:r>
        <w:t>12.</w:t>
      </w:r>
      <w:r>
        <w:tab/>
        <w:t>Regulation 25 amended</w:t>
      </w:r>
      <w:r>
        <w:tab/>
      </w:r>
      <w:r>
        <w:fldChar w:fldCharType="begin"/>
      </w:r>
      <w:r>
        <w:instrText xml:space="preserve"> PAGEREF _Toc207362791 \h </w:instrText>
      </w:r>
      <w:r>
        <w:fldChar w:fldCharType="separate"/>
      </w:r>
      <w:r>
        <w:t>7</w:t>
      </w:r>
      <w:r>
        <w:fldChar w:fldCharType="end"/>
      </w:r>
    </w:p>
    <w:p>
      <w:pPr>
        <w:pStyle w:val="TOC8"/>
        <w:rPr>
          <w:rFonts w:asciiTheme="minorHAnsi" w:eastAsiaTheme="minorEastAsia" w:hAnsiTheme="minorHAnsi" w:cstheme="minorBidi"/>
          <w:szCs w:val="22"/>
        </w:rPr>
      </w:pPr>
      <w:r>
        <w:t>13.</w:t>
      </w:r>
      <w:r>
        <w:tab/>
        <w:t>Part 5 deleted</w:t>
      </w:r>
      <w:r>
        <w:tab/>
      </w:r>
      <w:r>
        <w:fldChar w:fldCharType="begin"/>
      </w:r>
      <w:r>
        <w:instrText xml:space="preserve"> PAGEREF _Toc207362792 \h </w:instrText>
      </w:r>
      <w:r>
        <w:fldChar w:fldCharType="separate"/>
      </w:r>
      <w:r>
        <w:t>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Teacher Registration Act 2012</w:t>
      </w:r>
    </w:p>
    <w:p>
      <w:pPr>
        <w:pStyle w:val="NameofActReg"/>
      </w:pPr>
      <w:r>
        <w:t>Teacher Registration (Accreditation of Initial Teacher Education Programs) Amendment Regulations 2025</w:t>
      </w:r>
    </w:p>
    <w:p>
      <w:pPr>
        <w:pStyle w:val="MadeBy"/>
      </w:pPr>
      <w:r>
        <w:t>Made by the deputy of the Governor in Executive Council.</w:t>
      </w:r>
    </w:p>
    <w:p>
      <w:pPr>
        <w:pStyle w:val="Heading5"/>
      </w:pPr>
      <w:bookmarkStart w:id="2" w:name="_Toc207362608"/>
      <w:bookmarkStart w:id="3" w:name="_Toc207362778"/>
      <w:r>
        <w:rPr>
          <w:rStyle w:val="CharSectno"/>
        </w:rPr>
        <w:t>1</w:t>
      </w:r>
      <w:r>
        <w:t>.</w:t>
      </w:r>
      <w:r>
        <w:tab/>
        <w:t>Citation</w:t>
      </w:r>
      <w:bookmarkEnd w:id="2"/>
      <w:bookmarkEnd w:id="3"/>
    </w:p>
    <w:p>
      <w:pPr>
        <w:pStyle w:val="Subsection"/>
      </w:pPr>
      <w:r>
        <w:tab/>
      </w:r>
      <w:r>
        <w:tab/>
      </w:r>
      <w:bookmarkStart w:id="4" w:name="Start_Cursor"/>
      <w:bookmarkEnd w:id="4"/>
      <w:r>
        <w:t xml:space="preserve">These </w:t>
      </w:r>
      <w:r>
        <w:rPr>
          <w:spacing w:val="-2"/>
        </w:rPr>
        <w:t>regulations</w:t>
      </w:r>
      <w:r>
        <w:t xml:space="preserve"> are the </w:t>
      </w:r>
      <w:r>
        <w:rPr>
          <w:i/>
        </w:rPr>
        <w:t>Teacher Registration (Accreditation of Initial Teacher Education Programs) Amendment Regulations 2025</w:t>
      </w:r>
      <w:r>
        <w:t>.</w:t>
      </w:r>
    </w:p>
    <w:p>
      <w:pPr>
        <w:pStyle w:val="Heading5"/>
        <w:rPr>
          <w:spacing w:val="-2"/>
        </w:rPr>
      </w:pPr>
      <w:bookmarkStart w:id="5" w:name="_Toc207362609"/>
      <w:bookmarkStart w:id="6" w:name="_Toc207362779"/>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on the WA legislation website;</w:t>
      </w:r>
    </w:p>
    <w:p>
      <w:pPr>
        <w:pStyle w:val="Indenta"/>
        <w:rPr>
          <w:rStyle w:val="DraftersNotes"/>
          <w:b w:val="0"/>
          <w:i w:val="0"/>
          <w:sz w:val="24"/>
        </w:rPr>
      </w:pPr>
      <w:r>
        <w:tab/>
        <w:t>(b)</w:t>
      </w:r>
      <w:r>
        <w:tab/>
        <w:t xml:space="preserve">the rest of the </w:t>
      </w:r>
      <w:r>
        <w:rPr>
          <w:spacing w:val="-2"/>
        </w:rPr>
        <w:t>regulations</w:t>
      </w:r>
      <w:r>
        <w:t> — on the day after that day.</w:t>
      </w:r>
    </w:p>
    <w:p>
      <w:pPr>
        <w:pStyle w:val="Heading5"/>
        <w:rPr>
          <w:snapToGrid w:val="0"/>
        </w:rPr>
      </w:pPr>
      <w:bookmarkStart w:id="7" w:name="_Toc207362610"/>
      <w:bookmarkStart w:id="8" w:name="_Toc207362780"/>
      <w:r>
        <w:rPr>
          <w:rStyle w:val="CharSectno"/>
        </w:rPr>
        <w:t>3</w:t>
      </w:r>
      <w:r>
        <w:rPr>
          <w:snapToGrid w:val="0"/>
        </w:rPr>
        <w:t>.</w:t>
      </w:r>
      <w:r>
        <w:rPr>
          <w:snapToGrid w:val="0"/>
        </w:rPr>
        <w:tab/>
        <w:t>Regulations amended</w:t>
      </w:r>
      <w:bookmarkEnd w:id="7"/>
      <w:bookmarkEnd w:id="8"/>
    </w:p>
    <w:p>
      <w:pPr>
        <w:pStyle w:val="Subsection"/>
      </w:pPr>
      <w:r>
        <w:tab/>
      </w:r>
      <w:r>
        <w:tab/>
        <w:t xml:space="preserve">These </w:t>
      </w:r>
      <w:r>
        <w:rPr>
          <w:spacing w:val="-2"/>
        </w:rPr>
        <w:t>regulations amend</w:t>
      </w:r>
      <w:r>
        <w:t xml:space="preserve"> the </w:t>
      </w:r>
      <w:r>
        <w:rPr>
          <w:i/>
        </w:rPr>
        <w:t>Teacher Registration (Accreditation of Initial Teacher Education Programs) Regulations 2012</w:t>
      </w:r>
      <w:r>
        <w:t>.</w:t>
      </w:r>
    </w:p>
    <w:p>
      <w:pPr>
        <w:pStyle w:val="Heading5"/>
      </w:pPr>
      <w:bookmarkStart w:id="9" w:name="_Toc207362611"/>
      <w:bookmarkStart w:id="10" w:name="_Toc207362781"/>
      <w:r>
        <w:rPr>
          <w:rStyle w:val="CharSectno"/>
        </w:rPr>
        <w:t>4</w:t>
      </w:r>
      <w:r>
        <w:t>.</w:t>
      </w:r>
      <w:r>
        <w:tab/>
        <w:t>Regulation 3 amended</w:t>
      </w:r>
      <w:bookmarkEnd w:id="9"/>
      <w:bookmarkEnd w:id="10"/>
    </w:p>
    <w:p>
      <w:pPr>
        <w:pStyle w:val="Subsection"/>
      </w:pPr>
      <w:r>
        <w:tab/>
        <w:t>(1)</w:t>
      </w:r>
      <w:r>
        <w:tab/>
        <w:t>In regulation 3 delete the definitions of:</w:t>
      </w:r>
    </w:p>
    <w:p>
      <w:pPr>
        <w:pStyle w:val="DeleteListSub"/>
      </w:pPr>
      <w:r>
        <w:rPr>
          <w:b/>
          <w:bCs/>
          <w:i/>
          <w:iCs/>
        </w:rPr>
        <w:t>ATRA</w:t>
      </w:r>
    </w:p>
    <w:p>
      <w:pPr>
        <w:pStyle w:val="DeleteListSub"/>
      </w:pPr>
      <w:r>
        <w:rPr>
          <w:b/>
          <w:bCs/>
          <w:i/>
          <w:iCs/>
        </w:rPr>
        <w:t>education provider</w:t>
      </w:r>
    </w:p>
    <w:p>
      <w:pPr>
        <w:pStyle w:val="DeleteListSub"/>
      </w:pPr>
      <w:r>
        <w:rPr>
          <w:b/>
          <w:bCs/>
          <w:i/>
          <w:iCs/>
        </w:rPr>
        <w:t>program</w:t>
      </w:r>
    </w:p>
    <w:p>
      <w:pPr>
        <w:pStyle w:val="Subsection"/>
        <w:keepNext/>
      </w:pPr>
      <w:r>
        <w:lastRenderedPageBreak/>
        <w:tab/>
        <w:t>(2)</w:t>
      </w:r>
      <w:r>
        <w:tab/>
        <w:t>In regulation 3 insert in alphabetical order:</w:t>
      </w:r>
    </w:p>
    <w:p>
      <w:pPr>
        <w:pStyle w:val="BlankOpen"/>
        <w:rPr>
          <w:highlight w:val="yellow"/>
        </w:rPr>
      </w:pPr>
    </w:p>
    <w:p>
      <w:pPr>
        <w:pStyle w:val="zDefstart"/>
      </w:pPr>
      <w:r>
        <w:tab/>
      </w:r>
      <w:r>
        <w:rPr>
          <w:rStyle w:val="CharDefText"/>
        </w:rPr>
        <w:t>education provider</w:t>
      </w:r>
      <w:r>
        <w:t xml:space="preserve"> means a registered higher education provider as defined in the </w:t>
      </w:r>
      <w:r>
        <w:rPr>
          <w:i/>
          <w:iCs/>
        </w:rPr>
        <w:t>Tertiary Education Quality and Standards Agency Act 2011</w:t>
      </w:r>
      <w:r>
        <w:t xml:space="preserve"> (Commonwealth) section 5;</w:t>
      </w:r>
    </w:p>
    <w:p>
      <w:pPr>
        <w:pStyle w:val="zDefstart"/>
      </w:pPr>
      <w:r>
        <w:tab/>
      </w:r>
      <w:r>
        <w:rPr>
          <w:rStyle w:val="CharDefText"/>
        </w:rPr>
        <w:t>program</w:t>
      </w:r>
      <w:r>
        <w:t xml:space="preserve"> means an initial teacher education program that is —</w:t>
      </w:r>
    </w:p>
    <w:p>
      <w:pPr>
        <w:pStyle w:val="zDefpara"/>
      </w:pPr>
      <w:r>
        <w:tab/>
        <w:t>(a)</w:t>
      </w:r>
      <w:r>
        <w:tab/>
        <w:t>designed to qualify a graduate of the program to teach in an educational institution; and</w:t>
      </w:r>
    </w:p>
    <w:p>
      <w:pPr>
        <w:pStyle w:val="zDefpara"/>
      </w:pPr>
      <w:r>
        <w:tab/>
        <w:t>(b)</w:t>
      </w:r>
      <w:r>
        <w:tab/>
        <w:t xml:space="preserve">an accredited course as defined in the </w:t>
      </w:r>
      <w:r>
        <w:rPr>
          <w:i/>
        </w:rPr>
        <w:t>Tertiary Education Quality and Standards Agency Act 2011</w:t>
      </w:r>
      <w:r>
        <w:rPr>
          <w:iCs/>
        </w:rPr>
        <w:t xml:space="preserve"> </w:t>
      </w:r>
      <w:r>
        <w:t>(Commonwealth) section 5.</w:t>
      </w:r>
    </w:p>
    <w:p>
      <w:pPr>
        <w:pStyle w:val="BlankClose"/>
      </w:pPr>
    </w:p>
    <w:p>
      <w:pPr>
        <w:pStyle w:val="Heading5"/>
      </w:pPr>
      <w:bookmarkStart w:id="11" w:name="_Toc207362612"/>
      <w:bookmarkStart w:id="12" w:name="_Toc207362782"/>
      <w:r>
        <w:rPr>
          <w:rStyle w:val="CharSectno"/>
        </w:rPr>
        <w:t>5</w:t>
      </w:r>
      <w:r>
        <w:t>.</w:t>
      </w:r>
      <w:r>
        <w:tab/>
        <w:t>Regulation 4 amended</w:t>
      </w:r>
      <w:bookmarkEnd w:id="11"/>
      <w:bookmarkEnd w:id="12"/>
    </w:p>
    <w:p>
      <w:pPr>
        <w:pStyle w:val="Subsection"/>
      </w:pPr>
      <w:r>
        <w:tab/>
        <w:t>(1)</w:t>
      </w:r>
      <w:r>
        <w:tab/>
        <w:t>In regulation 4(1)(b):</w:t>
      </w:r>
    </w:p>
    <w:p>
      <w:pPr>
        <w:pStyle w:val="Indenta"/>
      </w:pPr>
      <w:r>
        <w:tab/>
        <w:t>(a)</w:t>
      </w:r>
      <w:r>
        <w:tab/>
        <w:t>after “by” insert:</w:t>
      </w:r>
    </w:p>
    <w:p>
      <w:pPr>
        <w:pStyle w:val="BlankOpen"/>
      </w:pPr>
    </w:p>
    <w:p>
      <w:pPr>
        <w:pStyle w:val="Indenta"/>
      </w:pPr>
      <w:r>
        <w:tab/>
      </w:r>
      <w:r>
        <w:tab/>
        <w:t>the Board or by</w:t>
      </w:r>
    </w:p>
    <w:p>
      <w:pPr>
        <w:pStyle w:val="BlankClose"/>
      </w:pPr>
    </w:p>
    <w:p>
      <w:pPr>
        <w:pStyle w:val="Indenta"/>
      </w:pPr>
      <w:r>
        <w:tab/>
        <w:t>(b)</w:t>
      </w:r>
      <w:r>
        <w:tab/>
        <w:t>delete “a member of ATRA or is recognised by AITSL as authorised” and insert:</w:t>
      </w:r>
    </w:p>
    <w:p>
      <w:pPr>
        <w:pStyle w:val="BlankOpen"/>
      </w:pPr>
    </w:p>
    <w:p>
      <w:pPr>
        <w:pStyle w:val="Indenta"/>
      </w:pPr>
      <w:r>
        <w:tab/>
      </w:r>
      <w:r>
        <w:tab/>
        <w:t>authorised by the law of another State or a Territory</w:t>
      </w:r>
    </w:p>
    <w:p>
      <w:pPr>
        <w:pStyle w:val="BlankClose"/>
      </w:pPr>
    </w:p>
    <w:p>
      <w:pPr>
        <w:pStyle w:val="Subsection"/>
      </w:pPr>
      <w:r>
        <w:tab/>
        <w:t>(2)</w:t>
      </w:r>
      <w:r>
        <w:tab/>
        <w:t>In regulation 4(2) delete “31 December 2025 —” and insert:</w:t>
      </w:r>
    </w:p>
    <w:p>
      <w:pPr>
        <w:pStyle w:val="BlankOpen"/>
      </w:pPr>
    </w:p>
    <w:p>
      <w:pPr>
        <w:pStyle w:val="Subsection"/>
      </w:pPr>
      <w:r>
        <w:tab/>
      </w:r>
      <w:r>
        <w:tab/>
        <w:t xml:space="preserve">30 June 2026 — </w:t>
      </w:r>
    </w:p>
    <w:p>
      <w:pPr>
        <w:pStyle w:val="BlankClose"/>
      </w:pPr>
    </w:p>
    <w:p>
      <w:pPr>
        <w:pStyle w:val="Heading5"/>
      </w:pPr>
      <w:bookmarkStart w:id="13" w:name="_Toc207362613"/>
      <w:bookmarkStart w:id="14" w:name="_Toc207362783"/>
      <w:r>
        <w:rPr>
          <w:rStyle w:val="CharSectno"/>
        </w:rPr>
        <w:lastRenderedPageBreak/>
        <w:t>6</w:t>
      </w:r>
      <w:r>
        <w:t>.</w:t>
      </w:r>
      <w:r>
        <w:tab/>
        <w:t>Regulation 5 amended</w:t>
      </w:r>
      <w:bookmarkEnd w:id="13"/>
      <w:bookmarkEnd w:id="14"/>
    </w:p>
    <w:p>
      <w:pPr>
        <w:pStyle w:val="Subsection"/>
      </w:pPr>
      <w:r>
        <w:tab/>
      </w:r>
      <w:r>
        <w:tab/>
        <w:t>In regulation 5(3):</w:t>
      </w:r>
    </w:p>
    <w:p>
      <w:pPr>
        <w:pStyle w:val="Indenta"/>
      </w:pPr>
      <w:r>
        <w:tab/>
        <w:t>(a)</w:t>
      </w:r>
      <w:r>
        <w:tab/>
        <w:t>delete “is to — ” and insert:</w:t>
      </w:r>
    </w:p>
    <w:p>
      <w:pPr>
        <w:pStyle w:val="BlankOpen"/>
      </w:pPr>
    </w:p>
    <w:p>
      <w:pPr>
        <w:pStyle w:val="Indenta"/>
      </w:pPr>
      <w:r>
        <w:tab/>
      </w:r>
      <w:r>
        <w:tab/>
        <w:t xml:space="preserve">must — </w:t>
      </w:r>
    </w:p>
    <w:p>
      <w:pPr>
        <w:pStyle w:val="BlankClose"/>
      </w:pPr>
    </w:p>
    <w:p>
      <w:pPr>
        <w:pStyle w:val="Indenta"/>
      </w:pPr>
      <w:r>
        <w:tab/>
        <w:t>(b)</w:t>
      </w:r>
      <w:r>
        <w:tab/>
        <w:t>delete paragraph (b) and insert:</w:t>
      </w:r>
    </w:p>
    <w:p>
      <w:pPr>
        <w:pStyle w:val="BlankOpen"/>
      </w:pPr>
    </w:p>
    <w:p>
      <w:pPr>
        <w:pStyle w:val="zIndenta"/>
      </w:pPr>
      <w:r>
        <w:tab/>
        <w:t>(b)</w:t>
      </w:r>
      <w:r>
        <w:tab/>
        <w:t>specify whether accreditation is sought under regulation 10(1) or (2); and</w:t>
      </w:r>
    </w:p>
    <w:p>
      <w:pPr>
        <w:pStyle w:val="zIndenta"/>
      </w:pPr>
      <w:r>
        <w:tab/>
        <w:t>(c)</w:t>
      </w:r>
      <w:r>
        <w:tab/>
        <w:t>if accreditation is sought under regulation 10(1) — be accompanied by the fee of $2 256.</w:t>
      </w:r>
    </w:p>
    <w:p>
      <w:pPr>
        <w:pStyle w:val="BlankClose"/>
      </w:pPr>
    </w:p>
    <w:p>
      <w:pPr>
        <w:pStyle w:val="Heading5"/>
      </w:pPr>
      <w:bookmarkStart w:id="15" w:name="_Toc207362614"/>
      <w:bookmarkStart w:id="16" w:name="_Toc207362784"/>
      <w:r>
        <w:rPr>
          <w:rStyle w:val="CharSectno"/>
        </w:rPr>
        <w:t>7</w:t>
      </w:r>
      <w:r>
        <w:t>.</w:t>
      </w:r>
      <w:r>
        <w:tab/>
        <w:t>Regulation 6 amended</w:t>
      </w:r>
      <w:bookmarkEnd w:id="15"/>
      <w:bookmarkEnd w:id="16"/>
    </w:p>
    <w:p>
      <w:pPr>
        <w:pStyle w:val="Subsection"/>
      </w:pPr>
      <w:r>
        <w:tab/>
      </w:r>
      <w:r>
        <w:tab/>
        <w:t>In regulation 6(4):</w:t>
      </w:r>
    </w:p>
    <w:p>
      <w:pPr>
        <w:pStyle w:val="Indenta"/>
      </w:pPr>
      <w:r>
        <w:t xml:space="preserve"> </w:t>
      </w:r>
      <w:r>
        <w:tab/>
        <w:t>(a)</w:t>
      </w:r>
      <w:r>
        <w:tab/>
        <w:t>delete “is to — ” and insert:</w:t>
      </w:r>
    </w:p>
    <w:p>
      <w:pPr>
        <w:pStyle w:val="BlankOpen"/>
      </w:pPr>
    </w:p>
    <w:p>
      <w:pPr>
        <w:pStyle w:val="Indenta"/>
      </w:pPr>
      <w:r>
        <w:tab/>
      </w:r>
      <w:r>
        <w:tab/>
        <w:t xml:space="preserve">must — </w:t>
      </w:r>
    </w:p>
    <w:p>
      <w:pPr>
        <w:pStyle w:val="BlankClose"/>
      </w:pPr>
    </w:p>
    <w:p>
      <w:pPr>
        <w:pStyle w:val="Indenta"/>
      </w:pPr>
      <w:r>
        <w:tab/>
        <w:t>(b)</w:t>
      </w:r>
      <w:r>
        <w:tab/>
        <w:t>in paragraph (b) before “be” insert:</w:t>
      </w:r>
    </w:p>
    <w:p>
      <w:pPr>
        <w:pStyle w:val="BlankOpen"/>
      </w:pPr>
    </w:p>
    <w:p>
      <w:pPr>
        <w:pStyle w:val="Indenta"/>
      </w:pPr>
      <w:r>
        <w:tab/>
      </w:r>
      <w:r>
        <w:tab/>
        <w:t xml:space="preserve">if the program is accredited under regulation 10(1) — </w:t>
      </w:r>
    </w:p>
    <w:p>
      <w:pPr>
        <w:pStyle w:val="BlankClose"/>
      </w:pPr>
    </w:p>
    <w:p>
      <w:pPr>
        <w:pStyle w:val="Heading5"/>
      </w:pPr>
      <w:bookmarkStart w:id="17" w:name="_Toc207362615"/>
      <w:bookmarkStart w:id="18" w:name="_Toc207362785"/>
      <w:r>
        <w:rPr>
          <w:rStyle w:val="CharSectno"/>
        </w:rPr>
        <w:t>8</w:t>
      </w:r>
      <w:r>
        <w:t>.</w:t>
      </w:r>
      <w:r>
        <w:tab/>
        <w:t>Regulations 10 and 11 replaced</w:t>
      </w:r>
      <w:bookmarkEnd w:id="17"/>
      <w:bookmarkEnd w:id="18"/>
    </w:p>
    <w:p>
      <w:pPr>
        <w:pStyle w:val="Subsection"/>
        <w:keepNext/>
      </w:pPr>
      <w:r>
        <w:tab/>
      </w:r>
      <w:r>
        <w:tab/>
        <w:t>Delete regulations 10 and 11 and insert:</w:t>
      </w:r>
    </w:p>
    <w:p>
      <w:pPr>
        <w:pStyle w:val="BlankOpen"/>
      </w:pPr>
    </w:p>
    <w:p>
      <w:pPr>
        <w:pStyle w:val="zHeading5"/>
      </w:pPr>
      <w:bookmarkStart w:id="19" w:name="_Toc207362616"/>
      <w:bookmarkStart w:id="20" w:name="_Toc207362786"/>
      <w:r>
        <w:t>10.</w:t>
      </w:r>
      <w:r>
        <w:tab/>
        <w:t>Accreditation</w:t>
      </w:r>
      <w:bookmarkEnd w:id="19"/>
      <w:bookmarkEnd w:id="20"/>
    </w:p>
    <w:p>
      <w:pPr>
        <w:pStyle w:val="zSubsection"/>
      </w:pPr>
      <w:r>
        <w:tab/>
        <w:t>(1)</w:t>
      </w:r>
      <w:r>
        <w:tab/>
        <w:t xml:space="preserve">The Board may accredit a program if — </w:t>
      </w:r>
    </w:p>
    <w:p>
      <w:pPr>
        <w:pStyle w:val="zIndenta"/>
      </w:pPr>
      <w:r>
        <w:lastRenderedPageBreak/>
        <w:tab/>
        <w:t>(a)</w:t>
      </w:r>
      <w:r>
        <w:tab/>
        <w:t>it is satisfied that the program meets the accreditation standards; and</w:t>
      </w:r>
    </w:p>
    <w:p>
      <w:pPr>
        <w:pStyle w:val="zIndenta"/>
      </w:pPr>
      <w:r>
        <w:tab/>
        <w:t>(b)</w:t>
      </w:r>
      <w:r>
        <w:tab/>
        <w:t>it is of the opinion that the program is suitable for accreditation.</w:t>
      </w:r>
    </w:p>
    <w:p>
      <w:pPr>
        <w:pStyle w:val="zSubsection"/>
      </w:pPr>
      <w:r>
        <w:tab/>
        <w:t>(2)</w:t>
      </w:r>
      <w:r>
        <w:tab/>
        <w:t xml:space="preserve">The Board may accredit a program if — </w:t>
      </w:r>
    </w:p>
    <w:p>
      <w:pPr>
        <w:pStyle w:val="zIndenta"/>
      </w:pPr>
      <w:r>
        <w:tab/>
        <w:t>(a)</w:t>
      </w:r>
      <w:r>
        <w:tab/>
        <w:t xml:space="preserve">the Board is satisfied as to the following — </w:t>
      </w:r>
    </w:p>
    <w:p>
      <w:pPr>
        <w:pStyle w:val="zIndenti"/>
      </w:pPr>
      <w:r>
        <w:tab/>
        <w:t>(i)</w:t>
      </w:r>
      <w:r>
        <w:tab/>
        <w:t>the program leads to a bachelor’s degree or a postgraduate degree;</w:t>
      </w:r>
    </w:p>
    <w:p>
      <w:pPr>
        <w:pStyle w:val="zIndenti"/>
      </w:pPr>
      <w:r>
        <w:tab/>
        <w:t>(ii)</w:t>
      </w:r>
      <w:r>
        <w:tab/>
        <w:t>if the program leads to a bachelor’s degree — the duration of the program is ordinarily at least 4 years (full</w:t>
      </w:r>
      <w:r>
        <w:noBreakHyphen/>
        <w:t>time or part</w:t>
      </w:r>
      <w:r>
        <w:noBreakHyphen/>
        <w:t>time equivalent) of higher education study;</w:t>
      </w:r>
    </w:p>
    <w:p>
      <w:pPr>
        <w:pStyle w:val="zIndenti"/>
      </w:pPr>
      <w:r>
        <w:tab/>
        <w:t>(iii)</w:t>
      </w:r>
      <w:r>
        <w:tab/>
        <w:t>if the program leads to a postgraduate degree — the duration of the program is ordinarily at least 1 year (full</w:t>
      </w:r>
      <w:r>
        <w:noBreakHyphen/>
        <w:t>time or part</w:t>
      </w:r>
      <w:r>
        <w:noBreakHyphen/>
        <w:t>time equivalent) of higher education study;</w:t>
      </w:r>
    </w:p>
    <w:p>
      <w:pPr>
        <w:pStyle w:val="zIndenti"/>
      </w:pPr>
      <w:r>
        <w:tab/>
        <w:t>(iv)</w:t>
      </w:r>
      <w:r>
        <w:tab/>
        <w:t>the program includes at least 1 year (full</w:t>
      </w:r>
      <w:r>
        <w:noBreakHyphen/>
        <w:t>time or part</w:t>
      </w:r>
      <w:r>
        <w:noBreakHyphen/>
        <w:t>time equivalent) of professional teacher education content;</w:t>
      </w:r>
    </w:p>
    <w:p>
      <w:pPr>
        <w:pStyle w:val="zIndenti"/>
      </w:pPr>
      <w:r>
        <w:tab/>
        <w:t>(v)</w:t>
      </w:r>
      <w:r>
        <w:tab/>
        <w:t>the program includes at least 45 days of supervised teaching practice undertaken at a primary or secondary school or in an early childhood education setting;</w:t>
      </w:r>
    </w:p>
    <w:p>
      <w:pPr>
        <w:pStyle w:val="zIndenta"/>
      </w:pPr>
      <w:r>
        <w:tab/>
      </w:r>
      <w:r>
        <w:tab/>
        <w:t>and</w:t>
      </w:r>
    </w:p>
    <w:p>
      <w:pPr>
        <w:pStyle w:val="zIndenta"/>
      </w:pPr>
      <w:r>
        <w:tab/>
        <w:t>(b)</w:t>
      </w:r>
      <w:r>
        <w:tab/>
        <w:t xml:space="preserve">the Board is of the opinion that — </w:t>
      </w:r>
    </w:p>
    <w:p>
      <w:pPr>
        <w:pStyle w:val="zIndenti"/>
      </w:pPr>
      <w:r>
        <w:tab/>
        <w:t>(i)</w:t>
      </w:r>
      <w:r>
        <w:tab/>
        <w:t>the content of the program is sufficiently similar to the content of programs accredited under subregulation (1); and</w:t>
      </w:r>
    </w:p>
    <w:p>
      <w:pPr>
        <w:pStyle w:val="zIndenti"/>
      </w:pPr>
      <w:r>
        <w:tab/>
        <w:t>(ii)</w:t>
      </w:r>
      <w:r>
        <w:tab/>
        <w:t>the program is suitable for accreditation.</w:t>
      </w:r>
    </w:p>
    <w:p>
      <w:pPr>
        <w:pStyle w:val="zHeading5"/>
      </w:pPr>
      <w:bookmarkStart w:id="21" w:name="_Toc207362617"/>
      <w:bookmarkStart w:id="22" w:name="_Toc207362787"/>
      <w:r>
        <w:lastRenderedPageBreak/>
        <w:t>11.</w:t>
      </w:r>
      <w:r>
        <w:tab/>
        <w:t>Re-accreditation</w:t>
      </w:r>
      <w:bookmarkEnd w:id="21"/>
      <w:bookmarkEnd w:id="22"/>
    </w:p>
    <w:p>
      <w:pPr>
        <w:pStyle w:val="zSubsection"/>
      </w:pPr>
      <w:r>
        <w:tab/>
      </w:r>
      <w:r>
        <w:tab/>
        <w:t>The Board may re</w:t>
      </w:r>
      <w:r>
        <w:noBreakHyphen/>
        <w:t xml:space="preserve">accredit a program if satisfied as to the following — </w:t>
      </w:r>
    </w:p>
    <w:p>
      <w:pPr>
        <w:pStyle w:val="zIndenta"/>
      </w:pPr>
      <w:r>
        <w:tab/>
        <w:t>(a)</w:t>
      </w:r>
      <w:r>
        <w:tab/>
        <w:t>in the case of a program accredited under regulation 10(1) — that it continues to meet the requirements set out in regulation 10(1);</w:t>
      </w:r>
    </w:p>
    <w:p>
      <w:pPr>
        <w:pStyle w:val="zIndenta"/>
      </w:pPr>
      <w:r>
        <w:tab/>
        <w:t>(b)</w:t>
      </w:r>
      <w:r>
        <w:tab/>
        <w:t>in the case of a program accredited under regulation 10(2) — that it continues to meet the requirements set out in regulation 10(2);</w:t>
      </w:r>
    </w:p>
    <w:p>
      <w:pPr>
        <w:pStyle w:val="zIndenta"/>
      </w:pPr>
      <w:r>
        <w:tab/>
        <w:t>(c)</w:t>
      </w:r>
      <w:r>
        <w:tab/>
        <w:t>in either case — that any conditions to which the accreditation is subject are being complied with.</w:t>
      </w:r>
    </w:p>
    <w:p>
      <w:pPr>
        <w:pStyle w:val="BlankClose"/>
      </w:pPr>
    </w:p>
    <w:p>
      <w:pPr>
        <w:pStyle w:val="Heading5"/>
      </w:pPr>
      <w:bookmarkStart w:id="23" w:name="_Toc207362618"/>
      <w:bookmarkStart w:id="24" w:name="_Toc207362788"/>
      <w:r>
        <w:rPr>
          <w:rStyle w:val="CharSectno"/>
        </w:rPr>
        <w:t>9</w:t>
      </w:r>
      <w:r>
        <w:t>.</w:t>
      </w:r>
      <w:r>
        <w:tab/>
        <w:t>Regulation 15 amended</w:t>
      </w:r>
      <w:bookmarkEnd w:id="23"/>
      <w:bookmarkEnd w:id="24"/>
    </w:p>
    <w:p>
      <w:pPr>
        <w:pStyle w:val="Subsection"/>
      </w:pPr>
      <w:r>
        <w:tab/>
      </w:r>
      <w:r>
        <w:tab/>
        <w:t>Delete regulation 15(4) and insert:</w:t>
      </w:r>
    </w:p>
    <w:p>
      <w:pPr>
        <w:pStyle w:val="BlankOpen"/>
      </w:pPr>
    </w:p>
    <w:p>
      <w:pPr>
        <w:pStyle w:val="zSubsection"/>
      </w:pPr>
      <w:r>
        <w:tab/>
        <w:t>(4)</w:t>
      </w:r>
      <w:r>
        <w:tab/>
        <w:t>Conditions imposed or modified by the Board under this regulation must be reasonable and relevant to ensuring that —</w:t>
      </w:r>
    </w:p>
    <w:p>
      <w:pPr>
        <w:pStyle w:val="zIndenta"/>
      </w:pPr>
      <w:r>
        <w:tab/>
        <w:t>(a)</w:t>
      </w:r>
      <w:r>
        <w:tab/>
        <w:t>if the program is accredited under regulation 10(1) — it satisfies or continues to satisfy the requirements set out in regulation 10(1); or</w:t>
      </w:r>
    </w:p>
    <w:p>
      <w:pPr>
        <w:pStyle w:val="zIndenta"/>
      </w:pPr>
      <w:r>
        <w:tab/>
        <w:t>(b)</w:t>
      </w:r>
      <w:r>
        <w:tab/>
        <w:t>if the program is accredited under regulation 10(2) — it satisfies or continues to satisfy the requirements set out in regulation 10(2).</w:t>
      </w:r>
    </w:p>
    <w:p>
      <w:pPr>
        <w:pStyle w:val="BlankClose"/>
      </w:pPr>
    </w:p>
    <w:p>
      <w:pPr>
        <w:pStyle w:val="Heading5"/>
      </w:pPr>
      <w:bookmarkStart w:id="25" w:name="_Toc207362619"/>
      <w:bookmarkStart w:id="26" w:name="_Toc207362789"/>
      <w:r>
        <w:rPr>
          <w:rStyle w:val="CharSectno"/>
        </w:rPr>
        <w:lastRenderedPageBreak/>
        <w:t>10</w:t>
      </w:r>
      <w:r>
        <w:t>.</w:t>
      </w:r>
      <w:r>
        <w:tab/>
        <w:t>Regulation 16 amended</w:t>
      </w:r>
      <w:bookmarkEnd w:id="25"/>
      <w:bookmarkEnd w:id="26"/>
    </w:p>
    <w:p>
      <w:pPr>
        <w:pStyle w:val="Subsection"/>
        <w:keepNext/>
      </w:pPr>
      <w:r>
        <w:tab/>
      </w:r>
      <w:r>
        <w:tab/>
        <w:t>Delete regulation 16(1) and insert:</w:t>
      </w:r>
    </w:p>
    <w:p>
      <w:pPr>
        <w:pStyle w:val="BlankOpen"/>
      </w:pPr>
    </w:p>
    <w:p>
      <w:pPr>
        <w:pStyle w:val="zSubsection"/>
      </w:pPr>
      <w:r>
        <w:tab/>
        <w:t>(1)</w:t>
      </w:r>
      <w:r>
        <w:tab/>
        <w:t xml:space="preserve">The Board must cancel the accreditation of a program under this Part as soon as possible after the Board forms any of the following views — </w:t>
      </w:r>
    </w:p>
    <w:p>
      <w:pPr>
        <w:pStyle w:val="zIndenta"/>
      </w:pPr>
      <w:r>
        <w:tab/>
        <w:t>(a)</w:t>
      </w:r>
      <w:r>
        <w:tab/>
        <w:t>in the case of a program accredited under regulation 10(1) — that it does not meet or no longer meets the requirements set out in regulation 10(1);</w:t>
      </w:r>
    </w:p>
    <w:p>
      <w:pPr>
        <w:pStyle w:val="zIndenta"/>
      </w:pPr>
      <w:r>
        <w:tab/>
        <w:t>(b)</w:t>
      </w:r>
      <w:r>
        <w:tab/>
        <w:t>in the case of a program accredited under regulation 10(2) — that it does not meet or no longer meets the requirements set out in regulation 10(2);</w:t>
      </w:r>
    </w:p>
    <w:p>
      <w:pPr>
        <w:pStyle w:val="zIndenta"/>
      </w:pPr>
      <w:r>
        <w:tab/>
        <w:t>(c)</w:t>
      </w:r>
      <w:r>
        <w:tab/>
        <w:t>in either case — that a condition to which the accreditation is subject is not being complied with.</w:t>
      </w:r>
    </w:p>
    <w:p>
      <w:pPr>
        <w:pStyle w:val="BlankClose"/>
      </w:pPr>
    </w:p>
    <w:p>
      <w:pPr>
        <w:pStyle w:val="Heading5"/>
      </w:pPr>
      <w:bookmarkStart w:id="27" w:name="_Toc207362620"/>
      <w:bookmarkStart w:id="28" w:name="_Toc207362790"/>
      <w:r>
        <w:rPr>
          <w:rStyle w:val="CharSectno"/>
        </w:rPr>
        <w:t>11</w:t>
      </w:r>
      <w:r>
        <w:t>.</w:t>
      </w:r>
      <w:r>
        <w:tab/>
        <w:t>Regulation 18 amended</w:t>
      </w:r>
      <w:bookmarkEnd w:id="27"/>
      <w:bookmarkEnd w:id="28"/>
    </w:p>
    <w:p>
      <w:pPr>
        <w:pStyle w:val="Subsection"/>
      </w:pPr>
      <w:r>
        <w:tab/>
      </w:r>
      <w:r>
        <w:tab/>
        <w:t>Delete regulation 18(1) and insert:</w:t>
      </w:r>
    </w:p>
    <w:p>
      <w:pPr>
        <w:pStyle w:val="BlankOpen"/>
      </w:pPr>
    </w:p>
    <w:p>
      <w:pPr>
        <w:pStyle w:val="zSubsection"/>
      </w:pPr>
      <w:r>
        <w:tab/>
        <w:t>(1)</w:t>
      </w:r>
      <w:r>
        <w:tab/>
        <w:t xml:space="preserve">The Board must cancel the accreditation of a program under this Part immediately after it comes to the attention of the Board that the program is no longer authorised or permitted to be provided (however described) by an education provider under and in accordance with the </w:t>
      </w:r>
      <w:r>
        <w:rPr>
          <w:i/>
        </w:rPr>
        <w:t>Tertiary Education Quality and Standards Agency Act 2011</w:t>
      </w:r>
      <w:r>
        <w:t xml:space="preserve"> (Commonwealth).</w:t>
      </w:r>
    </w:p>
    <w:p>
      <w:pPr>
        <w:pStyle w:val="BlankClose"/>
      </w:pPr>
    </w:p>
    <w:p>
      <w:pPr>
        <w:pStyle w:val="Heading5"/>
      </w:pPr>
      <w:bookmarkStart w:id="29" w:name="_Toc207362621"/>
      <w:bookmarkStart w:id="30" w:name="_Toc207362791"/>
      <w:r>
        <w:rPr>
          <w:rStyle w:val="CharSectno"/>
        </w:rPr>
        <w:lastRenderedPageBreak/>
        <w:t>12</w:t>
      </w:r>
      <w:r>
        <w:t>.</w:t>
      </w:r>
      <w:r>
        <w:tab/>
        <w:t>Regulation 25 amended</w:t>
      </w:r>
      <w:bookmarkEnd w:id="29"/>
      <w:bookmarkEnd w:id="30"/>
    </w:p>
    <w:p>
      <w:pPr>
        <w:pStyle w:val="Subsection"/>
        <w:keepNext/>
      </w:pPr>
      <w:r>
        <w:tab/>
      </w:r>
      <w:r>
        <w:tab/>
        <w:t>After regulation 25(1)(a) insert:</w:t>
      </w:r>
    </w:p>
    <w:p>
      <w:pPr>
        <w:pStyle w:val="BlankOpen"/>
      </w:pPr>
    </w:p>
    <w:p>
      <w:pPr>
        <w:pStyle w:val="zIndenta"/>
      </w:pPr>
      <w:r>
        <w:tab/>
        <w:t>(ab)</w:t>
      </w:r>
      <w:r>
        <w:tab/>
        <w:t>whether the program is accredited under regulation 10(1) or (2);</w:t>
      </w:r>
    </w:p>
    <w:p>
      <w:pPr>
        <w:pStyle w:val="BlankClose"/>
      </w:pPr>
    </w:p>
    <w:p>
      <w:pPr>
        <w:pStyle w:val="Heading5"/>
      </w:pPr>
      <w:bookmarkStart w:id="31" w:name="_Toc207362622"/>
      <w:bookmarkStart w:id="32" w:name="_Toc207362792"/>
      <w:r>
        <w:rPr>
          <w:rStyle w:val="CharSectno"/>
        </w:rPr>
        <w:t>13</w:t>
      </w:r>
      <w:r>
        <w:t>.</w:t>
      </w:r>
      <w:r>
        <w:tab/>
        <w:t>Part 5 deleted</w:t>
      </w:r>
      <w:bookmarkEnd w:id="31"/>
      <w:bookmarkEnd w:id="32"/>
    </w:p>
    <w:p>
      <w:pPr>
        <w:pStyle w:val="Subsection"/>
      </w:pPr>
      <w:r>
        <w:tab/>
      </w:r>
      <w:r>
        <w:tab/>
        <w:t>Delete Part 5.</w:t>
      </w:r>
    </w:p>
    <w:p>
      <w:pPr>
        <w:pStyle w:val="ByCommand"/>
      </w:pPr>
      <w:r>
        <w:t>K. COLLERAN, Clerk of the Executive Council</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8207FF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E61E505" w14:textId="163AD59A" w:rsidR="00C24A50" w:rsidRDefault="00C24A5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5C9BB90C" w14:textId="77777777" w:rsidR="00C24A50" w:rsidRDefault="00C24A5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D16DF18" w14:textId="5A093A13" w:rsidR="00C24A50" w:rsidRDefault="00C24A5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51797E79" w14:textId="77777777" w:rsidR="00C24A50" w:rsidRDefault="00C24A5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2025/161</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03 Sep 2025</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2025/161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03 Sep 2025</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2025/161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03 Sep 2025</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2025/161</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03 Sep 2025</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2025/161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03 Sep 2025</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2025/161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03 Sep 2025</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3" w:name="Coversheet"/>
    <w:bookmarkEnd w:id="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Amendment Regulations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Amendment Regulations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Amendment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Amendment Regulations 2025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8"/>
  </w:num>
  <w:num w:numId="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82912174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7151459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ChangeTrackAuthors.ChangeAuthor"/>
    <w:docVar w:name="WAFER_20250715145954_GUID" w:val="9c731d37-80e0-4063-86d4-068ababc65cf"/>
    <w:docVar w:name="WAFER_202508291217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829121744_GUID" w:val="9f9e2570-a721-4464-bcb4-839cf4cc852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5:docId w15:val="{29191AEA-9394-4D90-A263-3B46B916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1152</Words>
  <Characters>6042</Characters>
  <Application>Microsoft Office Word</Application>
  <DocSecurity>0</DocSecurity>
  <Lines>251</Lines>
  <Paragraphs>143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Programs) Amendment Regulations 2025 - 00-00-00</dc:title>
  <dc:subject/>
  <dc:creator/>
  <cp:keywords/>
  <dc:description/>
  <cp:lastModifiedBy>Master Repository Process</cp:lastModifiedBy>
  <cp:revision>4</cp:revision>
  <cp:lastPrinted>2025-06-23T02:01:00Z</cp:lastPrinted>
  <dcterms:created xsi:type="dcterms:W3CDTF">2025-09-02T04:09:00Z</dcterms:created>
  <dcterms:modified xsi:type="dcterms:W3CDTF">2025-09-02T04:09:00Z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55033</vt:lpwstr>
  </property>
  <property fmtid="{D5CDD505-2E9C-101B-9397-08002B2CF9AE}" pid="3" name="DocumentType">
    <vt:lpwstr>Reg</vt:lpwstr>
  </property>
  <property fmtid="{D5CDD505-2E9C-101B-9397-08002B2CF9AE}" pid="4" name="AsAtDate">
    <vt:lpwstr>03 Sep 2025</vt:lpwstr>
  </property>
  <property fmtid="{D5CDD505-2E9C-101B-9397-08002B2CF9AE}" pid="5" name="Suffix">
    <vt:lpwstr>00-00-00</vt:lpwstr>
  </property>
  <property fmtid="{D5CDD505-2E9C-101B-9397-08002B2CF9AE}" pid="6" name="Official">
    <vt:lpwstr/>
  </property>
  <property fmtid="{D5CDD505-2E9C-101B-9397-08002B2CF9AE}" pid="7" name="SLAPId">
    <vt:lpwstr>2025/161</vt:lpwstr>
  </property>
  <property fmtid="{D5CDD505-2E9C-101B-9397-08002B2CF9AE}" pid="8" name="PublishDate">
    <vt:lpwstr>3 Sep 2025</vt:lpwstr>
  </property>
  <property fmtid="{D5CDD505-2E9C-101B-9397-08002B2CF9AE}" pid="9" name="CommencementDate">
    <vt:lpwstr>20250903</vt:lpwstr>
  </property>
  <property fmtid="{D5CDD505-2E9C-101B-9397-08002B2CF9AE}" pid="10" name="CommencementAsAt">
    <vt:filetime>2025-09-02T16:00:00Z</vt:filetime>
  </property>
  <property fmtid="{D5CDD505-2E9C-101B-9397-08002B2CF9AE}" pid="11" name="CommencementYear">
    <vt:lpwstr>2025</vt:lpwstr>
  </property>
</Properties>
</file>