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_Toc207800950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_Toc207800951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_Toc207800952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_Toc207800953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_Toc207800954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_Toc207800955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_Toc207800956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_Toc207800957 \h </w:instrText>
      </w:r>
      <w:r>
        <w:fldChar w:fldCharType="separate"/>
      </w:r>
      <w:r>
        <w:t>15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_Toc207800958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_Toc207800959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r>
      <w:r>
        <w:t>Minister is corporation sole</w:t>
      </w:r>
      <w:r>
        <w:tab/>
      </w:r>
      <w:r>
        <w:fldChar w:fldCharType="begin"/>
      </w:r>
      <w:r>
        <w:instrText xml:space="preserve"> PAGEREF _Toc207800961 \h </w:instrText>
      </w:r>
      <w:r>
        <w:fldChar w:fldCharType="separate"/>
      </w:r>
      <w:r>
        <w:t>19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_Toc207800962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Appointment of wardens of mines and mining registrar</w:t>
      </w:r>
      <w:r>
        <w:tab/>
      </w:r>
      <w:r>
        <w:fldChar w:fldCharType="begin"/>
      </w:r>
      <w:r>
        <w:instrText xml:space="preserve"> PAGEREF _Toc207800963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_Toc207800964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_Toc207800965 \h </w:instrText>
      </w:r>
      <w:r>
        <w:fldChar w:fldCharType="separate"/>
      </w:r>
      <w:r>
        <w:t>21</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_Toc207800966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_Toc207800969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_Toc207800970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_Toc207800971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_Toc207800972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_Toc207800973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_Toc207800975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_Toc207800976 \h </w:instrText>
      </w:r>
      <w:r>
        <w:fldChar w:fldCharType="separate"/>
      </w:r>
      <w:r>
        <w:t>33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_Toc207800977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_Toc207800978 \h </w:instrText>
      </w:r>
      <w:r>
        <w:fldChar w:fldCharType="separate"/>
      </w:r>
      <w:r>
        <w:t>39</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_Toc207800979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_Toc207800980 \h </w:instrText>
      </w:r>
      <w:r>
        <w:fldChar w:fldCharType="separate"/>
      </w:r>
      <w:r>
        <w:t>41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_Toc207800981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_Toc207800983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_Toc207800984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_Toc207800985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_Toc207800986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_Toc207800987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_Toc207800988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_Toc207800989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_Toc207800990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_Toc207800991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_Toc207800992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_Toc207800993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_Toc207800995 \h </w:instrText>
      </w:r>
      <w:r>
        <w:fldChar w:fldCharType="separate"/>
      </w:r>
      <w:r>
        <w:t>57</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_Toc207800996 \h </w:instrText>
      </w:r>
      <w:r>
        <w:fldChar w:fldCharType="separate"/>
      </w:r>
      <w:r>
        <w:t>57</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_Toc207800997 \h </w:instrText>
      </w:r>
      <w:r>
        <w:fldChar w:fldCharType="separate"/>
      </w:r>
      <w:r>
        <w:t>58</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_Toc207800998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_Toc207800999 \h </w:instrText>
      </w:r>
      <w:r>
        <w:fldChar w:fldCharType="separate"/>
      </w:r>
      <w:r>
        <w:t>61</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_Toc207801000 \h </w:instrText>
      </w:r>
      <w:r>
        <w:fldChar w:fldCharType="separate"/>
      </w:r>
      <w:r>
        <w:t>62</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_Toc207801001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_Toc207801004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_Toc207801005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_Toc207801006 \h </w:instrText>
      </w:r>
      <w:r>
        <w:fldChar w:fldCharType="separate"/>
      </w:r>
      <w:r>
        <w:t>65</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_Toc207801007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_Toc207801008 \h </w:instrText>
      </w:r>
      <w:r>
        <w:fldChar w:fldCharType="separate"/>
      </w:r>
      <w:r>
        <w:t>67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_Toc207801009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_Toc207801010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_Toc207801011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_Toc207801012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_Toc207801013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_Toc207801014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_Toc207801015 \h </w:instrText>
      </w:r>
      <w:r>
        <w:fldChar w:fldCharType="separate"/>
      </w:r>
      <w:r>
        <w:t>73</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_Toc207801016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_Toc207801017 \h </w:instrText>
      </w:r>
      <w:r>
        <w:fldChar w:fldCharType="separate"/>
      </w:r>
      <w:r>
        <w:t>73</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_Toc207801018 \h </w:instrText>
      </w:r>
      <w:r>
        <w:fldChar w:fldCharType="separate"/>
      </w:r>
      <w:r>
        <w:t>74</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_Toc207801019 \h </w:instrText>
      </w:r>
      <w:r>
        <w:fldChar w:fldCharType="separate"/>
      </w:r>
      <w:r>
        <w:t>74</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_Toc207801020 \h </w:instrText>
      </w:r>
      <w:r>
        <w:fldChar w:fldCharType="separate"/>
      </w:r>
      <w:r>
        <w:t>76</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_Toc207801021 \h </w:instrText>
      </w:r>
      <w:r>
        <w:fldChar w:fldCharType="separate"/>
      </w:r>
      <w:r>
        <w:t>76</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_Toc207801022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_Toc207801023 \h </w:instrText>
      </w:r>
      <w:r>
        <w:fldChar w:fldCharType="separate"/>
      </w:r>
      <w:r>
        <w:t>78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_Toc207801024 \h </w:instrText>
      </w:r>
      <w:r>
        <w:fldChar w:fldCharType="separate"/>
      </w:r>
      <w:r>
        <w:t>78</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_Toc207801025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_Toc207801027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_Toc207801028 \h </w:instrText>
      </w:r>
      <w:r>
        <w:fldChar w:fldCharType="separate"/>
      </w:r>
      <w:r>
        <w:t>87</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_Toc207801029 \h </w:instrText>
      </w:r>
      <w:r>
        <w:fldChar w:fldCharType="separate"/>
      </w:r>
      <w:r>
        <w:t>90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_Toc207801030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_Toc207801031 \h </w:instrText>
      </w:r>
      <w:r>
        <w:fldChar w:fldCharType="separate"/>
      </w:r>
      <w:r>
        <w:t>92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_Toc207801032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_Toc207801033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_Toc207801034 \h </w:instrText>
      </w:r>
      <w:r>
        <w:fldChar w:fldCharType="separate"/>
      </w:r>
      <w:r>
        <w:t>95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r>
      <w:r>
        <w:t>Conditions attached to exploration licence</w:t>
      </w:r>
      <w:r>
        <w:tab/>
      </w:r>
      <w:r>
        <w:fldChar w:fldCharType="begin"/>
      </w:r>
      <w:r>
        <w:instrText xml:space="preserve"> PAGEREF _Toc207801035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_Toc207801036 \h </w:instrText>
      </w:r>
      <w:r>
        <w:fldChar w:fldCharType="separate"/>
      </w:r>
      <w:r>
        <w:t>97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_Toc207801037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_Toc207801038 \h </w:instrText>
      </w:r>
      <w:r>
        <w:fldChar w:fldCharType="separate"/>
      </w:r>
      <w:r>
        <w:t>99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_Toc207801039 \h </w:instrText>
      </w:r>
      <w:r>
        <w:fldChar w:fldCharType="separate"/>
      </w:r>
      <w:r>
        <w:t>101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_Toc207801040 \h </w:instrText>
      </w:r>
      <w:r>
        <w:fldChar w:fldCharType="separate"/>
      </w:r>
      <w:r>
        <w:t>102</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_Toc207801041 \h </w:instrText>
      </w:r>
      <w:r>
        <w:fldChar w:fldCharType="separate"/>
      </w:r>
      <w:r>
        <w:t>103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_Toc207801042 \h </w:instrText>
      </w:r>
      <w:r>
        <w:fldChar w:fldCharType="separate"/>
      </w:r>
      <w:r>
        <w:t>105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_Toc207801043 \h </w:instrText>
      </w:r>
      <w:r>
        <w:fldChar w:fldCharType="separate"/>
      </w:r>
      <w:r>
        <w:t>106</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_Toc207801044 \h </w:instrText>
      </w:r>
      <w:r>
        <w:fldChar w:fldCharType="separate"/>
      </w:r>
      <w:r>
        <w:t>107</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_Toc207801045 \h </w:instrText>
      </w:r>
      <w:r>
        <w:fldChar w:fldCharType="separate"/>
      </w:r>
      <w:r>
        <w:t>107</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_Toc207801046 \h </w:instrText>
      </w:r>
      <w:r>
        <w:fldChar w:fldCharType="separate"/>
      </w:r>
      <w:r>
        <w:t>109</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_Toc207801047 \h </w:instrText>
      </w:r>
      <w:r>
        <w:fldChar w:fldCharType="separate"/>
      </w:r>
      <w:r>
        <w:t>109</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_Toc207801048 \h </w:instrText>
      </w:r>
      <w:r>
        <w:fldChar w:fldCharType="separate"/>
      </w:r>
      <w:r>
        <w:t>110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_Toc207801049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_Toc207801051 \h </w:instrText>
      </w:r>
      <w:r>
        <w:fldChar w:fldCharType="separate"/>
      </w:r>
      <w:r>
        <w:t>117</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_Toc207801052 \h </w:instrText>
      </w:r>
      <w:r>
        <w:fldChar w:fldCharType="separate"/>
      </w:r>
      <w:r>
        <w:t>118</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_Toc207801053 \h </w:instrText>
      </w:r>
      <w:r>
        <w:fldChar w:fldCharType="separate"/>
      </w:r>
      <w:r>
        <w:t>119</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_Toc207801054 \h </w:instrText>
      </w:r>
      <w:r>
        <w:fldChar w:fldCharType="separate"/>
      </w:r>
      <w:r>
        <w:t>121</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_Toc207801055 \h </w:instrText>
      </w:r>
      <w:r>
        <w:fldChar w:fldCharType="separate"/>
      </w:r>
      <w:r>
        <w:t>123</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_Toc207801056 \h </w:instrText>
      </w:r>
      <w:r>
        <w:fldChar w:fldCharType="separate"/>
      </w:r>
      <w:r>
        <w:t>124</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_Toc207801057 \h </w:instrText>
      </w:r>
      <w:r>
        <w:fldChar w:fldCharType="separate"/>
      </w:r>
      <w:r>
        <w:t>124</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_Toc207801058 \h </w:instrText>
      </w:r>
      <w:r>
        <w:fldChar w:fldCharType="separate"/>
      </w:r>
      <w:r>
        <w:t>125</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_Toc207801059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70J</w:t>
      </w:r>
      <w:r>
        <w:rPr>
          <w:snapToGrid w:val="0"/>
        </w:rPr>
        <w:t>.</w:t>
      </w:r>
      <w:r>
        <w:rPr>
          <w:snapToGrid w:val="0"/>
        </w:rPr>
        <w:tab/>
        <w:t>Rights conferred by retention licence</w:t>
      </w:r>
      <w:r>
        <w:tab/>
      </w:r>
      <w:r>
        <w:fldChar w:fldCharType="begin"/>
      </w:r>
      <w:r>
        <w:instrText xml:space="preserve"> PAGEREF _Toc207801060 \h </w:instrText>
      </w:r>
      <w:r>
        <w:fldChar w:fldCharType="separate"/>
      </w:r>
      <w:r>
        <w:t>127</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_Toc207801061 \h </w:instrText>
      </w:r>
      <w:r>
        <w:fldChar w:fldCharType="separate"/>
      </w:r>
      <w:r>
        <w:t>128</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_Toc207801062 \h </w:instrText>
      </w:r>
      <w:r>
        <w:fldChar w:fldCharType="separate"/>
      </w:r>
      <w:r>
        <w:t>129</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_Toc207801063 \h </w:instrText>
      </w:r>
      <w:r>
        <w:fldChar w:fldCharType="separate"/>
      </w:r>
      <w:r>
        <w:t>130</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_Toc207801064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Significant mineralisation</w:t>
      </w:r>
      <w:r>
        <w:tab/>
      </w:r>
      <w:r>
        <w:fldChar w:fldCharType="begin"/>
      </w:r>
      <w:r>
        <w:instrText xml:space="preserve"> PAGEREF _Toc207801066 \h </w:instrText>
      </w:r>
      <w:r>
        <w:fldChar w:fldCharType="separate"/>
      </w:r>
      <w:r>
        <w:t>131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_Toc207801067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_Toc207801068 \h </w:instrText>
      </w:r>
      <w:r>
        <w:fldChar w:fldCharType="separate"/>
      </w:r>
      <w:r>
        <w:t>132</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_Toc207801069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_Toc207801070 \h </w:instrText>
      </w:r>
      <w:r>
        <w:fldChar w:fldCharType="separate"/>
      </w:r>
      <w:r>
        <w:t>132</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_Toc207801071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_Toc207801072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_Toc207801073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_Toc207801074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_Toc207801075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_Toc207801076 \h </w:instrText>
      </w:r>
      <w:r>
        <w:fldChar w:fldCharType="separate"/>
      </w:r>
      <w:r>
        <w:t>141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_Toc207801077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_Toc207801078 \h </w:instrText>
      </w:r>
      <w:r>
        <w:fldChar w:fldCharType="separate"/>
      </w:r>
      <w:r>
        <w:t>144</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_Toc207801079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_Toc207801080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_Toc207801081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_Toc207801082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_Toc207801084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_Toc207801085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_Toc207801086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_Toc207801087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_Toc207801088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_Toc207801090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91A</w:t>
      </w:r>
      <w:r>
        <w:rPr>
          <w:snapToGrid w:val="0"/>
        </w:rPr>
        <w:t>.</w:t>
      </w:r>
      <w:r>
        <w:rPr>
          <w:snapToGrid w:val="0"/>
        </w:rPr>
        <w:tab/>
        <w:t>Term and renewal of existing licence or licence granted in respect of existing application</w:t>
      </w:r>
      <w:r>
        <w:tab/>
      </w:r>
      <w:r>
        <w:fldChar w:fldCharType="begin"/>
      </w:r>
      <w:r>
        <w:instrText xml:space="preserve"> PAGEREF _Toc207801091 \h </w:instrText>
      </w:r>
      <w:r>
        <w:fldChar w:fldCharType="separate"/>
      </w:r>
      <w:r>
        <w:t>157</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_Toc207801092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_Toc207801093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_Toc207801094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_Toc207801095 \h </w:instrText>
      </w:r>
      <w:r>
        <w:fldChar w:fldCharType="separate"/>
      </w:r>
      <w:r>
        <w:t>160</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_Toc207801096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_Toc207801097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_Toc207801099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_Toc207801100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_Toc207801101 \h </w:instrText>
      </w:r>
      <w:r>
        <w:fldChar w:fldCharType="separate"/>
      </w:r>
      <w:r>
        <w:t>163</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_Toc207801102 \h </w:instrText>
      </w:r>
      <w:r>
        <w:fldChar w:fldCharType="separate"/>
      </w:r>
      <w:r>
        <w:t>167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_Toc207801103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_Toc207801104 \h </w:instrText>
      </w:r>
      <w:r>
        <w:fldChar w:fldCharType="separate"/>
      </w:r>
      <w:r>
        <w:t>170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_Toc207801105 \h </w:instrText>
      </w:r>
      <w:r>
        <w:fldChar w:fldCharType="separate"/>
      </w:r>
      <w:r>
        <w:t>172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_Toc207801106 \h </w:instrText>
      </w:r>
      <w:r>
        <w:fldChar w:fldCharType="separate"/>
      </w:r>
      <w:r>
        <w:t>173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_Toc207801107 \h </w:instrText>
      </w:r>
      <w:r>
        <w:fldChar w:fldCharType="separate"/>
      </w:r>
      <w:r>
        <w:t>174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_Toc207801108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_Toc207801110 \h </w:instrText>
      </w:r>
      <w:r>
        <w:fldChar w:fldCharType="separate"/>
      </w:r>
      <w:r>
        <w:t>176</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_Toc207801111 \h </w:instrText>
      </w:r>
      <w:r>
        <w:fldChar w:fldCharType="separate"/>
      </w:r>
      <w:r>
        <w:t>179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_Toc207801112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4AA — Conditions and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103AA.</w:t>
      </w:r>
      <w:r>
        <w:tab/>
        <w:t>Terms used</w:t>
      </w:r>
      <w:r>
        <w:tab/>
      </w:r>
      <w:r>
        <w:fldChar w:fldCharType="begin"/>
      </w:r>
      <w:r>
        <w:instrText xml:space="preserve"> PAGEREF _Toc207801115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2 — Conditions and notices relating to eligible mining activities</w:t>
      </w:r>
    </w:p>
    <w:p>
      <w:pPr>
        <w:pStyle w:val="TOC8"/>
        <w:rPr>
          <w:rFonts w:asciiTheme="minorHAnsi" w:eastAsiaTheme="minorEastAsia" w:hAnsiTheme="minorHAnsi" w:cstheme="minorBidi"/>
          <w:szCs w:val="22"/>
        </w:rPr>
      </w:pPr>
      <w:r>
        <w:t>103AB.</w:t>
      </w:r>
      <w:r>
        <w:tab/>
        <w:t>Eligible mining activities</w:t>
      </w:r>
      <w:r>
        <w:tab/>
      </w:r>
      <w:r>
        <w:fldChar w:fldCharType="begin"/>
      </w:r>
      <w:r>
        <w:instrText xml:space="preserve"> PAGEREF _Toc207801117 \h </w:instrText>
      </w:r>
      <w:r>
        <w:fldChar w:fldCharType="separate"/>
      </w:r>
      <w:r>
        <w:t>182</w:t>
      </w:r>
      <w:r>
        <w:fldChar w:fldCharType="end"/>
      </w:r>
    </w:p>
    <w:p>
      <w:pPr>
        <w:pStyle w:val="TOC8"/>
        <w:rPr>
          <w:rFonts w:asciiTheme="minorHAnsi" w:eastAsiaTheme="minorEastAsia" w:hAnsiTheme="minorHAnsi" w:cstheme="minorBidi"/>
          <w:szCs w:val="22"/>
        </w:rPr>
      </w:pPr>
      <w:r>
        <w:t>103AC.</w:t>
      </w:r>
      <w:r>
        <w:tab/>
        <w:t>Excluded area notices</w:t>
      </w:r>
      <w:r>
        <w:tab/>
      </w:r>
      <w:r>
        <w:fldChar w:fldCharType="begin"/>
      </w:r>
      <w:r>
        <w:instrText xml:space="preserve"> PAGEREF _Toc207801118 \h </w:instrText>
      </w:r>
      <w:r>
        <w:fldChar w:fldCharType="separate"/>
      </w:r>
      <w:r>
        <w:t>182</w:t>
      </w:r>
      <w:r>
        <w:fldChar w:fldCharType="end"/>
      </w:r>
    </w:p>
    <w:p>
      <w:pPr>
        <w:pStyle w:val="TOC8"/>
        <w:rPr>
          <w:rFonts w:asciiTheme="minorHAnsi" w:eastAsiaTheme="minorEastAsia" w:hAnsiTheme="minorHAnsi" w:cstheme="minorBidi"/>
          <w:szCs w:val="22"/>
        </w:rPr>
      </w:pPr>
      <w:r>
        <w:t>103AD.</w:t>
      </w:r>
      <w:r>
        <w:tab/>
        <w:t>Certain lands excluded from EMAs</w:t>
      </w:r>
      <w:r>
        <w:tab/>
      </w:r>
      <w:r>
        <w:fldChar w:fldCharType="begin"/>
      </w:r>
      <w:r>
        <w:instrText xml:space="preserve"> PAGEREF _Toc207801119 \h </w:instrText>
      </w:r>
      <w:r>
        <w:fldChar w:fldCharType="separate"/>
      </w:r>
      <w:r>
        <w:t>183</w:t>
      </w:r>
      <w:r>
        <w:fldChar w:fldCharType="end"/>
      </w:r>
    </w:p>
    <w:p>
      <w:pPr>
        <w:pStyle w:val="TOC8"/>
        <w:rPr>
          <w:rFonts w:asciiTheme="minorHAnsi" w:eastAsiaTheme="minorEastAsia" w:hAnsiTheme="minorHAnsi" w:cstheme="minorBidi"/>
          <w:szCs w:val="22"/>
        </w:rPr>
      </w:pPr>
      <w:r>
        <w:t>103AE.</w:t>
      </w:r>
      <w:r>
        <w:tab/>
        <w:t>Condition relating to carrying out EMAs in accordance with prescribed requirements</w:t>
      </w:r>
      <w:r>
        <w:tab/>
      </w:r>
      <w:r>
        <w:fldChar w:fldCharType="begin"/>
      </w:r>
      <w:r>
        <w:instrText xml:space="preserve"> PAGEREF _Toc207801120 \h </w:instrText>
      </w:r>
      <w:r>
        <w:fldChar w:fldCharType="separate"/>
      </w:r>
      <w:r>
        <w:t>183</w:t>
      </w:r>
      <w:r>
        <w:fldChar w:fldCharType="end"/>
      </w:r>
    </w:p>
    <w:p>
      <w:pPr>
        <w:pStyle w:val="TOC8"/>
        <w:rPr>
          <w:rFonts w:asciiTheme="minorHAnsi" w:eastAsiaTheme="minorEastAsia" w:hAnsiTheme="minorHAnsi" w:cstheme="minorBidi"/>
          <w:szCs w:val="22"/>
        </w:rPr>
      </w:pPr>
      <w:r>
        <w:t>103AF.</w:t>
      </w:r>
      <w:r>
        <w:tab/>
        <w:t>EMA notices and notices of completion</w:t>
      </w:r>
      <w:r>
        <w:tab/>
      </w:r>
      <w:r>
        <w:fldChar w:fldCharType="begin"/>
      </w:r>
      <w:r>
        <w:instrText xml:space="preserve"> PAGEREF _Toc207801121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Programmes of work</w:t>
      </w:r>
    </w:p>
    <w:p>
      <w:pPr>
        <w:pStyle w:val="TOC8"/>
        <w:rPr>
          <w:rFonts w:asciiTheme="minorHAnsi" w:eastAsiaTheme="minorEastAsia" w:hAnsiTheme="minorHAnsi" w:cstheme="minorBidi"/>
          <w:szCs w:val="22"/>
        </w:rPr>
      </w:pPr>
      <w:r>
        <w:t>103AG.</w:t>
      </w:r>
      <w:r>
        <w:tab/>
        <w:t>Conditions attached to prospecting licences, exploration licences and retention licences</w:t>
      </w:r>
      <w:r>
        <w:tab/>
      </w:r>
      <w:r>
        <w:fldChar w:fldCharType="begin"/>
      </w:r>
      <w:r>
        <w:instrText xml:space="preserve"> PAGEREF _Toc207801123 \h </w:instrText>
      </w:r>
      <w:r>
        <w:fldChar w:fldCharType="separate"/>
      </w:r>
      <w:r>
        <w:t>184</w:t>
      </w:r>
      <w:r>
        <w:fldChar w:fldCharType="end"/>
      </w:r>
    </w:p>
    <w:p>
      <w:pPr>
        <w:pStyle w:val="TOC8"/>
        <w:rPr>
          <w:rFonts w:asciiTheme="minorHAnsi" w:eastAsiaTheme="minorEastAsia" w:hAnsiTheme="minorHAnsi" w:cstheme="minorBidi"/>
          <w:szCs w:val="22"/>
        </w:rPr>
      </w:pPr>
      <w:r>
        <w:t>103AH.</w:t>
      </w:r>
      <w:r>
        <w:tab/>
        <w:t>Conditions attached to mining leases</w:t>
      </w:r>
      <w:r>
        <w:tab/>
      </w:r>
      <w:r>
        <w:fldChar w:fldCharType="begin"/>
      </w:r>
      <w:r>
        <w:instrText xml:space="preserve"> PAGEREF _Toc207801124 \h </w:instrText>
      </w:r>
      <w:r>
        <w:fldChar w:fldCharType="separate"/>
      </w:r>
      <w:r>
        <w:t>185</w:t>
      </w:r>
      <w:r>
        <w:fldChar w:fldCharType="end"/>
      </w:r>
    </w:p>
    <w:p>
      <w:pPr>
        <w:pStyle w:val="TOC8"/>
        <w:rPr>
          <w:rFonts w:asciiTheme="minorHAnsi" w:eastAsiaTheme="minorEastAsia" w:hAnsiTheme="minorHAnsi" w:cstheme="minorBidi"/>
          <w:szCs w:val="22"/>
        </w:rPr>
      </w:pPr>
      <w:r>
        <w:t>103AI.</w:t>
      </w:r>
      <w:r>
        <w:tab/>
        <w:t>Conditions attached to miscellaneous licences</w:t>
      </w:r>
      <w:r>
        <w:tab/>
      </w:r>
      <w:r>
        <w:fldChar w:fldCharType="begin"/>
      </w:r>
      <w:r>
        <w:instrText xml:space="preserve"> PAGEREF _Toc207801125 \h </w:instrText>
      </w:r>
      <w:r>
        <w:fldChar w:fldCharType="separate"/>
      </w:r>
      <w:r>
        <w:t>186</w:t>
      </w:r>
      <w:r>
        <w:fldChar w:fldCharType="end"/>
      </w:r>
    </w:p>
    <w:p>
      <w:pPr>
        <w:pStyle w:val="TOC8"/>
        <w:rPr>
          <w:rFonts w:asciiTheme="minorHAnsi" w:eastAsiaTheme="minorEastAsia" w:hAnsiTheme="minorHAnsi" w:cstheme="minorBidi"/>
          <w:szCs w:val="22"/>
        </w:rPr>
      </w:pPr>
      <w:r>
        <w:t>103AJ.</w:t>
      </w:r>
      <w:r>
        <w:tab/>
        <w:t>Lodgment of programmes of work</w:t>
      </w:r>
      <w:r>
        <w:tab/>
      </w:r>
      <w:r>
        <w:fldChar w:fldCharType="begin"/>
      </w:r>
      <w:r>
        <w:instrText xml:space="preserve"> PAGEREF _Toc207801126 \h </w:instrText>
      </w:r>
      <w:r>
        <w:fldChar w:fldCharType="separate"/>
      </w:r>
      <w:r>
        <w:t>188</w:t>
      </w:r>
      <w:r>
        <w:fldChar w:fldCharType="end"/>
      </w:r>
    </w:p>
    <w:p>
      <w:pPr>
        <w:pStyle w:val="TOC8"/>
        <w:rPr>
          <w:rFonts w:asciiTheme="minorHAnsi" w:eastAsiaTheme="minorEastAsia" w:hAnsiTheme="minorHAnsi" w:cstheme="minorBidi"/>
          <w:szCs w:val="22"/>
        </w:rPr>
      </w:pPr>
      <w:r>
        <w:t>103AK.</w:t>
      </w:r>
      <w:r>
        <w:tab/>
        <w:t>Approval of activities in programmes of work</w:t>
      </w:r>
      <w:r>
        <w:tab/>
      </w:r>
      <w:r>
        <w:fldChar w:fldCharType="begin"/>
      </w:r>
      <w:r>
        <w:instrText xml:space="preserve"> PAGEREF _Toc207801127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Mining development and closure proposals</w:t>
      </w:r>
    </w:p>
    <w:p>
      <w:pPr>
        <w:pStyle w:val="TOC8"/>
        <w:rPr>
          <w:rFonts w:asciiTheme="minorHAnsi" w:eastAsiaTheme="minorEastAsia" w:hAnsiTheme="minorHAnsi" w:cstheme="minorBidi"/>
          <w:szCs w:val="22"/>
        </w:rPr>
      </w:pPr>
      <w:r>
        <w:t>103AL.</w:t>
      </w:r>
      <w:r>
        <w:tab/>
        <w:t>Conditions relating to mining operations on land subject of mining leases</w:t>
      </w:r>
      <w:r>
        <w:tab/>
      </w:r>
      <w:r>
        <w:fldChar w:fldCharType="begin"/>
      </w:r>
      <w:r>
        <w:instrText xml:space="preserve"> PAGEREF _Toc207801129 \h </w:instrText>
      </w:r>
      <w:r>
        <w:fldChar w:fldCharType="separate"/>
      </w:r>
      <w:r>
        <w:t>190</w:t>
      </w:r>
      <w:r>
        <w:fldChar w:fldCharType="end"/>
      </w:r>
    </w:p>
    <w:p>
      <w:pPr>
        <w:pStyle w:val="TOC8"/>
        <w:rPr>
          <w:rFonts w:asciiTheme="minorHAnsi" w:eastAsiaTheme="minorEastAsia" w:hAnsiTheme="minorHAnsi" w:cstheme="minorBidi"/>
          <w:szCs w:val="22"/>
        </w:rPr>
      </w:pPr>
      <w:r>
        <w:t>103AM.</w:t>
      </w:r>
      <w:r>
        <w:tab/>
        <w:t>Conditions relating to mining operations on land subject of miscellaneous licences</w:t>
      </w:r>
      <w:r>
        <w:tab/>
      </w:r>
      <w:r>
        <w:fldChar w:fldCharType="begin"/>
      </w:r>
      <w:r>
        <w:instrText xml:space="preserve"> PAGEREF _Toc207801130 \h </w:instrText>
      </w:r>
      <w:r>
        <w:fldChar w:fldCharType="separate"/>
      </w:r>
      <w:r>
        <w:t>191</w:t>
      </w:r>
      <w:r>
        <w:fldChar w:fldCharType="end"/>
      </w:r>
    </w:p>
    <w:p>
      <w:pPr>
        <w:pStyle w:val="TOC8"/>
        <w:rPr>
          <w:rFonts w:asciiTheme="minorHAnsi" w:eastAsiaTheme="minorEastAsia" w:hAnsiTheme="minorHAnsi" w:cstheme="minorBidi"/>
          <w:szCs w:val="22"/>
        </w:rPr>
      </w:pPr>
      <w:r>
        <w:t>103AN.</w:t>
      </w:r>
      <w:r>
        <w:tab/>
        <w:t>Lodgment of mining development and closure proposal</w:t>
      </w:r>
      <w:r>
        <w:tab/>
      </w:r>
      <w:r>
        <w:fldChar w:fldCharType="begin"/>
      </w:r>
      <w:r>
        <w:instrText xml:space="preserve"> PAGEREF _Toc207801131 \h </w:instrText>
      </w:r>
      <w:r>
        <w:fldChar w:fldCharType="separate"/>
      </w:r>
      <w:r>
        <w:t>192</w:t>
      </w:r>
      <w:r>
        <w:fldChar w:fldCharType="end"/>
      </w:r>
    </w:p>
    <w:p>
      <w:pPr>
        <w:pStyle w:val="TOC8"/>
        <w:rPr>
          <w:rFonts w:asciiTheme="minorHAnsi" w:eastAsiaTheme="minorEastAsia" w:hAnsiTheme="minorHAnsi" w:cstheme="minorBidi"/>
          <w:szCs w:val="22"/>
        </w:rPr>
      </w:pPr>
      <w:r>
        <w:t>103AO.</w:t>
      </w:r>
      <w:r>
        <w:tab/>
        <w:t>Approval of activities in mining development and closure proposals</w:t>
      </w:r>
      <w:r>
        <w:tab/>
      </w:r>
      <w:r>
        <w:fldChar w:fldCharType="begin"/>
      </w:r>
      <w:r>
        <w:instrText xml:space="preserve"> PAGEREF _Toc207801132 \h </w:instrText>
      </w:r>
      <w:r>
        <w:fldChar w:fldCharType="separate"/>
      </w:r>
      <w:r>
        <w:t>194</w:t>
      </w:r>
      <w:r>
        <w:fldChar w:fldCharType="end"/>
      </w:r>
    </w:p>
    <w:p>
      <w:pPr>
        <w:pStyle w:val="TOC8"/>
        <w:rPr>
          <w:rFonts w:asciiTheme="minorHAnsi" w:eastAsiaTheme="minorEastAsia" w:hAnsiTheme="minorHAnsi" w:cstheme="minorBidi"/>
          <w:szCs w:val="22"/>
        </w:rPr>
      </w:pPr>
      <w:r>
        <w:t>103AP.</w:t>
      </w:r>
      <w:r>
        <w:tab/>
        <w:t>Approvals statements</w:t>
      </w:r>
      <w:r>
        <w:tab/>
      </w:r>
      <w:r>
        <w:fldChar w:fldCharType="begin"/>
      </w:r>
      <w:r>
        <w:instrText xml:space="preserve"> PAGEREF _Toc207801133 \h </w:instrText>
      </w:r>
      <w:r>
        <w:fldChar w:fldCharType="separate"/>
      </w:r>
      <w:r>
        <w:t>195</w:t>
      </w:r>
      <w:r>
        <w:fldChar w:fldCharType="end"/>
      </w:r>
    </w:p>
    <w:p>
      <w:pPr>
        <w:pStyle w:val="TOC8"/>
        <w:rPr>
          <w:rFonts w:asciiTheme="minorHAnsi" w:eastAsiaTheme="minorEastAsia" w:hAnsiTheme="minorHAnsi" w:cstheme="minorBidi"/>
          <w:szCs w:val="22"/>
        </w:rPr>
      </w:pPr>
      <w:r>
        <w:t>103AQ.</w:t>
      </w:r>
      <w:r>
        <w:tab/>
        <w:t>Cancellations and variations recorded on approvals statements</w:t>
      </w:r>
      <w:r>
        <w:tab/>
      </w:r>
      <w:r>
        <w:fldChar w:fldCharType="begin"/>
      </w:r>
      <w:r>
        <w:instrText xml:space="preserve"> PAGEREF _Toc207801134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5 — Mine closure plans</w:t>
      </w:r>
    </w:p>
    <w:p>
      <w:pPr>
        <w:pStyle w:val="TOC8"/>
        <w:rPr>
          <w:rFonts w:asciiTheme="minorHAnsi" w:eastAsiaTheme="minorEastAsia" w:hAnsiTheme="minorHAnsi" w:cstheme="minorBidi"/>
          <w:szCs w:val="22"/>
        </w:rPr>
      </w:pPr>
      <w:r>
        <w:t>103AR.</w:t>
      </w:r>
      <w:r>
        <w:tab/>
        <w:t>Contents of mine closure plan</w:t>
      </w:r>
      <w:r>
        <w:tab/>
      </w:r>
      <w:r>
        <w:fldChar w:fldCharType="begin"/>
      </w:r>
      <w:r>
        <w:instrText xml:space="preserve"> PAGEREF _Toc207801136 \h </w:instrText>
      </w:r>
      <w:r>
        <w:fldChar w:fldCharType="separate"/>
      </w:r>
      <w:r>
        <w:t>196</w:t>
      </w:r>
      <w:r>
        <w:fldChar w:fldCharType="end"/>
      </w:r>
    </w:p>
    <w:p>
      <w:pPr>
        <w:pStyle w:val="TOC8"/>
        <w:rPr>
          <w:rFonts w:asciiTheme="minorHAnsi" w:eastAsiaTheme="minorEastAsia" w:hAnsiTheme="minorHAnsi" w:cstheme="minorBidi"/>
          <w:szCs w:val="22"/>
        </w:rPr>
      </w:pPr>
      <w:r>
        <w:t>103AS.</w:t>
      </w:r>
      <w:r>
        <w:tab/>
        <w:t>Conditions relating to mine closure plans</w:t>
      </w:r>
      <w:r>
        <w:tab/>
      </w:r>
      <w:r>
        <w:fldChar w:fldCharType="begin"/>
      </w:r>
      <w:r>
        <w:instrText xml:space="preserve"> PAGEREF _Toc207801137 \h </w:instrText>
      </w:r>
      <w:r>
        <w:fldChar w:fldCharType="separate"/>
      </w:r>
      <w:r>
        <w:t>197</w:t>
      </w:r>
      <w:r>
        <w:fldChar w:fldCharType="end"/>
      </w:r>
    </w:p>
    <w:p>
      <w:pPr>
        <w:pStyle w:val="TOC8"/>
        <w:rPr>
          <w:rFonts w:asciiTheme="minorHAnsi" w:eastAsiaTheme="minorEastAsia" w:hAnsiTheme="minorHAnsi" w:cstheme="minorBidi"/>
          <w:szCs w:val="22"/>
        </w:rPr>
      </w:pPr>
      <w:r>
        <w:t>103AT.</w:t>
      </w:r>
      <w:r>
        <w:tab/>
        <w:t>Lodgment of mine closure plans</w:t>
      </w:r>
      <w:r>
        <w:tab/>
      </w:r>
      <w:r>
        <w:fldChar w:fldCharType="begin"/>
      </w:r>
      <w:r>
        <w:instrText xml:space="preserve"> PAGEREF _Toc207801138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conditions</w:t>
      </w:r>
    </w:p>
    <w:p>
      <w:pPr>
        <w:pStyle w:val="TOC8"/>
        <w:rPr>
          <w:rFonts w:asciiTheme="minorHAnsi" w:eastAsiaTheme="minorEastAsia" w:hAnsiTheme="minorHAnsi" w:cstheme="minorBidi"/>
          <w:szCs w:val="22"/>
        </w:rPr>
      </w:pPr>
      <w:r>
        <w:t>103AU.</w:t>
      </w:r>
      <w:r>
        <w:tab/>
        <w:t>Conditions for preventing, reducing or remediating injury to land and for other purposes</w:t>
      </w:r>
      <w:r>
        <w:tab/>
      </w:r>
      <w:r>
        <w:fldChar w:fldCharType="begin"/>
      </w:r>
      <w:r>
        <w:instrText xml:space="preserve"> PAGEREF _Toc207801140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Securities</w:t>
      </w:r>
    </w:p>
    <w:p>
      <w:pPr>
        <w:pStyle w:val="TOC8"/>
        <w:rPr>
          <w:rFonts w:asciiTheme="minorHAnsi" w:eastAsiaTheme="minorEastAsia" w:hAnsiTheme="minorHAnsi" w:cstheme="minorBidi"/>
          <w:szCs w:val="22"/>
        </w:rPr>
      </w:pPr>
      <w:r>
        <w:t>103AV.</w:t>
      </w:r>
      <w:r>
        <w:tab/>
        <w:t>Security for compliance with conditions</w:t>
      </w:r>
      <w:r>
        <w:tab/>
      </w:r>
      <w:r>
        <w:fldChar w:fldCharType="begin"/>
      </w:r>
      <w:r>
        <w:instrText xml:space="preserve"> PAGEREF _Toc207801142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_Toc207801144 \h </w:instrText>
      </w:r>
      <w:r>
        <w:fldChar w:fldCharType="separate"/>
      </w:r>
      <w:r>
        <w:t>200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_Toc207801145 \h </w:instrText>
      </w:r>
      <w:r>
        <w:fldChar w:fldCharType="separate"/>
      </w:r>
      <w:r>
        <w:t>200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_Toc207801146 \h </w:instrText>
      </w:r>
      <w:r>
        <w:fldChar w:fldCharType="separate"/>
      </w:r>
      <w:r>
        <w:t>200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_Toc207801147 \h </w:instrText>
      </w:r>
      <w:r>
        <w:fldChar w:fldCharType="separate"/>
      </w:r>
      <w:r>
        <w:t>202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_Toc207801148 \h </w:instrText>
      </w:r>
      <w:r>
        <w:fldChar w:fldCharType="separate"/>
      </w:r>
      <w:r>
        <w:t>202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_Toc207801149 \h </w:instrText>
      </w:r>
      <w:r>
        <w:fldChar w:fldCharType="separate"/>
      </w:r>
      <w:r>
        <w:t>203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_Toc207801150 \h </w:instrText>
      </w:r>
      <w:r>
        <w:fldChar w:fldCharType="separate"/>
      </w:r>
      <w:r>
        <w:t>203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_Toc207801151 \h </w:instrText>
      </w:r>
      <w:r>
        <w:fldChar w:fldCharType="separate"/>
      </w:r>
      <w:r>
        <w:t>204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_Toc207801152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_Toc207801154 \h </w:instrText>
      </w:r>
      <w:r>
        <w:fldChar w:fldCharType="separate"/>
      </w:r>
      <w:r>
        <w:t>205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_Toc207801155 \h </w:instrText>
      </w:r>
      <w:r>
        <w:fldChar w:fldCharType="separate"/>
      </w:r>
      <w:r>
        <w:t>206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_Toc207801156 \h </w:instrText>
      </w:r>
      <w:r>
        <w:fldChar w:fldCharType="separate"/>
      </w:r>
      <w:r>
        <w:t>208</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_Toc207801157 \h </w:instrText>
      </w:r>
      <w:r>
        <w:fldChar w:fldCharType="separate"/>
      </w:r>
      <w:r>
        <w:t>210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_Toc207801158 \h </w:instrText>
      </w:r>
      <w:r>
        <w:fldChar w:fldCharType="separate"/>
      </w:r>
      <w:r>
        <w:t>210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_Toc207801159 \h </w:instrText>
      </w:r>
      <w:r>
        <w:fldChar w:fldCharType="separate"/>
      </w:r>
      <w:r>
        <w:t>211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_Toc207801160 \h </w:instrText>
      </w:r>
      <w:r>
        <w:fldChar w:fldCharType="separate"/>
      </w:r>
      <w:r>
        <w:t>211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_Toc207801161 \h </w:instrText>
      </w:r>
      <w:r>
        <w:fldChar w:fldCharType="separate"/>
      </w:r>
      <w:r>
        <w:t>211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_Toc207801162 \h </w:instrText>
      </w:r>
      <w:r>
        <w:fldChar w:fldCharType="separate"/>
      </w:r>
      <w:r>
        <w:t>212</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_Toc207801163 \h </w:instrText>
      </w:r>
      <w:r>
        <w:fldChar w:fldCharType="separate"/>
      </w:r>
      <w:r>
        <w:t>212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_Toc207801164 \h </w:instrText>
      </w:r>
      <w:r>
        <w:fldChar w:fldCharType="separate"/>
      </w:r>
      <w:r>
        <w:t>214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surrender or forfeiture of mining tenement</w:t>
      </w:r>
      <w:r>
        <w:tab/>
      </w:r>
      <w:r>
        <w:fldChar w:fldCharType="begin"/>
      </w:r>
      <w:r>
        <w:instrText xml:space="preserve"> PAGEREF _Toc207801165 \h </w:instrText>
      </w:r>
      <w:r>
        <w:fldChar w:fldCharType="separate"/>
      </w:r>
      <w:r>
        <w:t>214</w:t>
      </w:r>
      <w:r>
        <w:fldChar w:fldCharType="end"/>
      </w:r>
    </w:p>
    <w:p>
      <w:pPr>
        <w:pStyle w:val="TOC8"/>
        <w:rPr>
          <w:rFonts w:asciiTheme="minorHAnsi" w:eastAsiaTheme="minorEastAsia" w:hAnsiTheme="minorHAnsi" w:cstheme="minorBidi"/>
          <w:szCs w:val="22"/>
        </w:rPr>
      </w:pPr>
      <w:r>
        <w:lastRenderedPageBreak/>
        <w:t>114</w:t>
      </w:r>
      <w:r>
        <w:rPr>
          <w:snapToGrid w:val="0"/>
        </w:rPr>
        <w:t>.</w:t>
      </w:r>
      <w:r>
        <w:rPr>
          <w:snapToGrid w:val="0"/>
        </w:rPr>
        <w:tab/>
        <w:t>Removal of mining plant on expiry, surrender or forfeiture of mining tenement</w:t>
      </w:r>
      <w:r>
        <w:tab/>
      </w:r>
      <w:r>
        <w:fldChar w:fldCharType="begin"/>
      </w:r>
      <w:r>
        <w:instrText xml:space="preserve"> PAGEREF _Toc207801166 \h </w:instrText>
      </w:r>
      <w:r>
        <w:fldChar w:fldCharType="separate"/>
      </w:r>
      <w:r>
        <w:t>215</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_Toc207801167 \h </w:instrText>
      </w:r>
      <w:r>
        <w:fldChar w:fldCharType="separate"/>
      </w:r>
      <w:r>
        <w:t>217</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_Toc207801168 \h </w:instrText>
      </w:r>
      <w:r>
        <w:fldChar w:fldCharType="separate"/>
      </w:r>
      <w:r>
        <w:t>218</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_Toc207801169 \h </w:instrText>
      </w:r>
      <w:r>
        <w:fldChar w:fldCharType="separate"/>
      </w:r>
      <w:r>
        <w:t>218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_Toc207801170 \h </w:instrText>
      </w:r>
      <w:r>
        <w:fldChar w:fldCharType="separate"/>
      </w:r>
      <w:r>
        <w:t>219</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_Toc207801171 \h </w:instrText>
      </w:r>
      <w:r>
        <w:fldChar w:fldCharType="separate"/>
      </w:r>
      <w:r>
        <w:t>220</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_Toc207801172 \h </w:instrText>
      </w:r>
      <w:r>
        <w:fldChar w:fldCharType="separate"/>
      </w:r>
      <w:r>
        <w:t>221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_Toc207801173 \h </w:instrText>
      </w:r>
      <w:r>
        <w:fldChar w:fldCharType="separate"/>
      </w:r>
      <w:r>
        <w:t>222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_Toc207801174 \h </w:instrText>
      </w:r>
      <w:r>
        <w:fldChar w:fldCharType="separate"/>
      </w:r>
      <w:r>
        <w:t>223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_Toc207801175 \h </w:instrText>
      </w:r>
      <w:r>
        <w:fldChar w:fldCharType="separate"/>
      </w:r>
      <w:r>
        <w:t>224</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_Toc207801176 \h </w:instrText>
      </w:r>
      <w:r>
        <w:fldChar w:fldCharType="separate"/>
      </w:r>
      <w:r>
        <w:t>224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_Toc207801177 \h </w:instrText>
      </w:r>
      <w:r>
        <w:fldChar w:fldCharType="separate"/>
      </w:r>
      <w:r>
        <w:t>225</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_Toc207801178 \h </w:instrText>
      </w:r>
      <w:r>
        <w:fldChar w:fldCharType="separate"/>
      </w:r>
      <w:r>
        <w:t>225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_Toc207801179 \h </w:instrText>
      </w:r>
      <w:r>
        <w:fldChar w:fldCharType="separate"/>
      </w:r>
      <w:r>
        <w:t>226</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_Toc207801180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5A — Royalties</w:t>
      </w:r>
    </w:p>
    <w:p>
      <w:pPr>
        <w:pStyle w:val="TOC4"/>
        <w:tabs>
          <w:tab w:val="right" w:leader="dot" w:pos="7077"/>
        </w:tabs>
        <w:rPr>
          <w:rFonts w:asciiTheme="minorHAnsi" w:eastAsiaTheme="minorEastAsia" w:hAnsiTheme="minorHAnsi" w:cstheme="minorBidi"/>
          <w:b w:val="0"/>
          <w:szCs w:val="22"/>
        </w:rPr>
      </w:pPr>
      <w:r>
        <w:t>Division 1 — General provisions about royalties</w:t>
      </w:r>
    </w:p>
    <w:p>
      <w:pPr>
        <w:pStyle w:val="TOC8"/>
        <w:rPr>
          <w:rFonts w:asciiTheme="minorHAnsi" w:eastAsiaTheme="minorEastAsia" w:hAnsiTheme="minorHAnsi" w:cstheme="minorBidi"/>
          <w:szCs w:val="22"/>
        </w:rPr>
      </w:pPr>
      <w:r>
        <w:t>120A.</w:t>
      </w:r>
      <w:r>
        <w:tab/>
        <w:t>Terms used</w:t>
      </w:r>
      <w:r>
        <w:tab/>
      </w:r>
      <w:r>
        <w:fldChar w:fldCharType="begin"/>
      </w:r>
      <w:r>
        <w:instrText xml:space="preserve"> PAGEREF _Toc207801183 \h </w:instrText>
      </w:r>
      <w:r>
        <w:fldChar w:fldCharType="separate"/>
      </w:r>
      <w:r>
        <w:t>229</w:t>
      </w:r>
      <w:r>
        <w:fldChar w:fldCharType="end"/>
      </w:r>
    </w:p>
    <w:p>
      <w:pPr>
        <w:pStyle w:val="TOC8"/>
        <w:rPr>
          <w:rFonts w:asciiTheme="minorHAnsi" w:eastAsiaTheme="minorEastAsia" w:hAnsiTheme="minorHAnsi" w:cstheme="minorBidi"/>
          <w:szCs w:val="22"/>
        </w:rPr>
      </w:pPr>
      <w:r>
        <w:t>120B.</w:t>
      </w:r>
      <w:r>
        <w:tab/>
        <w:t>Royalty payable</w:t>
      </w:r>
      <w:r>
        <w:tab/>
      </w:r>
      <w:r>
        <w:fldChar w:fldCharType="begin"/>
      </w:r>
      <w:r>
        <w:instrText xml:space="preserve"> PAGEREF _Toc207801184 \h </w:instrText>
      </w:r>
      <w:r>
        <w:fldChar w:fldCharType="separate"/>
      </w:r>
      <w:r>
        <w:t>230</w:t>
      </w:r>
      <w:r>
        <w:fldChar w:fldCharType="end"/>
      </w:r>
    </w:p>
    <w:p>
      <w:pPr>
        <w:pStyle w:val="TOC8"/>
        <w:rPr>
          <w:rFonts w:asciiTheme="minorHAnsi" w:eastAsiaTheme="minorEastAsia" w:hAnsiTheme="minorHAnsi" w:cstheme="minorBidi"/>
          <w:szCs w:val="22"/>
        </w:rPr>
      </w:pPr>
      <w:r>
        <w:t>120C.</w:t>
      </w:r>
      <w:r>
        <w:tab/>
        <w:t>Prescription of royalty</w:t>
      </w:r>
      <w:r>
        <w:tab/>
      </w:r>
      <w:r>
        <w:fldChar w:fldCharType="begin"/>
      </w:r>
      <w:r>
        <w:instrText xml:space="preserve"> PAGEREF _Toc207801185 \h </w:instrText>
      </w:r>
      <w:r>
        <w:fldChar w:fldCharType="separate"/>
      </w:r>
      <w:r>
        <w:t>230</w:t>
      </w:r>
      <w:r>
        <w:fldChar w:fldCharType="end"/>
      </w:r>
    </w:p>
    <w:p>
      <w:pPr>
        <w:pStyle w:val="TOC8"/>
        <w:rPr>
          <w:rFonts w:asciiTheme="minorHAnsi" w:eastAsiaTheme="minorEastAsia" w:hAnsiTheme="minorHAnsi" w:cstheme="minorBidi"/>
          <w:szCs w:val="22"/>
        </w:rPr>
      </w:pPr>
      <w:r>
        <w:t>120D.</w:t>
      </w:r>
      <w:r>
        <w:tab/>
        <w:t>Requirement for royalty return</w:t>
      </w:r>
      <w:r>
        <w:tab/>
      </w:r>
      <w:r>
        <w:fldChar w:fldCharType="begin"/>
      </w:r>
      <w:r>
        <w:instrText xml:space="preserve"> PAGEREF _Toc207801186 \h </w:instrText>
      </w:r>
      <w:r>
        <w:fldChar w:fldCharType="separate"/>
      </w:r>
      <w:r>
        <w:t>231</w:t>
      </w:r>
      <w:r>
        <w:fldChar w:fldCharType="end"/>
      </w:r>
    </w:p>
    <w:p>
      <w:pPr>
        <w:pStyle w:val="TOC8"/>
        <w:rPr>
          <w:rFonts w:asciiTheme="minorHAnsi" w:eastAsiaTheme="minorEastAsia" w:hAnsiTheme="minorHAnsi" w:cstheme="minorBidi"/>
          <w:szCs w:val="22"/>
        </w:rPr>
      </w:pPr>
      <w:r>
        <w:t>120E.</w:t>
      </w:r>
      <w:r>
        <w:tab/>
        <w:t>Additional rent payable for mining tenement</w:t>
      </w:r>
      <w:r>
        <w:tab/>
      </w:r>
      <w:r>
        <w:fldChar w:fldCharType="begin"/>
      </w:r>
      <w:r>
        <w:instrText xml:space="preserve"> PAGEREF _Toc207801187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Verification of royalties payable</w:t>
      </w:r>
    </w:p>
    <w:p>
      <w:pPr>
        <w:pStyle w:val="TOC8"/>
        <w:rPr>
          <w:rFonts w:asciiTheme="minorHAnsi" w:eastAsiaTheme="minorEastAsia" w:hAnsiTheme="minorHAnsi" w:cstheme="minorBidi"/>
          <w:szCs w:val="22"/>
        </w:rPr>
      </w:pPr>
      <w:r>
        <w:t>120F.</w:t>
      </w:r>
      <w:r>
        <w:tab/>
        <w:t>Determination of royalty</w:t>
      </w:r>
      <w:r>
        <w:tab/>
      </w:r>
      <w:r>
        <w:fldChar w:fldCharType="begin"/>
      </w:r>
      <w:r>
        <w:instrText xml:space="preserve"> PAGEREF _Toc207801189 \h </w:instrText>
      </w:r>
      <w:r>
        <w:fldChar w:fldCharType="separate"/>
      </w:r>
      <w:r>
        <w:t>232</w:t>
      </w:r>
      <w:r>
        <w:fldChar w:fldCharType="end"/>
      </w:r>
    </w:p>
    <w:p>
      <w:pPr>
        <w:pStyle w:val="TOC8"/>
        <w:rPr>
          <w:rFonts w:asciiTheme="minorHAnsi" w:eastAsiaTheme="minorEastAsia" w:hAnsiTheme="minorHAnsi" w:cstheme="minorBidi"/>
          <w:szCs w:val="22"/>
        </w:rPr>
      </w:pPr>
      <w:r>
        <w:t>120G.</w:t>
      </w:r>
      <w:r>
        <w:tab/>
        <w:t>Notice of royalty determination</w:t>
      </w:r>
      <w:r>
        <w:tab/>
      </w:r>
      <w:r>
        <w:fldChar w:fldCharType="begin"/>
      </w:r>
      <w:r>
        <w:instrText xml:space="preserve"> PAGEREF _Toc207801190 \h </w:instrText>
      </w:r>
      <w:r>
        <w:fldChar w:fldCharType="separate"/>
      </w:r>
      <w:r>
        <w:t>233</w:t>
      </w:r>
      <w:r>
        <w:fldChar w:fldCharType="end"/>
      </w:r>
    </w:p>
    <w:p>
      <w:pPr>
        <w:pStyle w:val="TOC8"/>
        <w:rPr>
          <w:rFonts w:asciiTheme="minorHAnsi" w:eastAsiaTheme="minorEastAsia" w:hAnsiTheme="minorHAnsi" w:cstheme="minorBidi"/>
          <w:szCs w:val="22"/>
        </w:rPr>
      </w:pPr>
      <w:r>
        <w:t>120H.</w:t>
      </w:r>
      <w:r>
        <w:tab/>
        <w:t>Certificate verifying assessment of royalty</w:t>
      </w:r>
      <w:r>
        <w:tab/>
      </w:r>
      <w:r>
        <w:fldChar w:fldCharType="begin"/>
      </w:r>
      <w:r>
        <w:instrText xml:space="preserve"> PAGEREF _Toc207801191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120I.</w:t>
      </w:r>
      <w:r>
        <w:tab/>
        <w:t>Purposes of investigations</w:t>
      </w:r>
      <w:r>
        <w:tab/>
      </w:r>
      <w:r>
        <w:fldChar w:fldCharType="begin"/>
      </w:r>
      <w:r>
        <w:instrText xml:space="preserve"> PAGEREF _Toc207801193 \h </w:instrText>
      </w:r>
      <w:r>
        <w:fldChar w:fldCharType="separate"/>
      </w:r>
      <w:r>
        <w:t>234</w:t>
      </w:r>
      <w:r>
        <w:fldChar w:fldCharType="end"/>
      </w:r>
    </w:p>
    <w:p>
      <w:pPr>
        <w:pStyle w:val="TOC8"/>
        <w:rPr>
          <w:rFonts w:asciiTheme="minorHAnsi" w:eastAsiaTheme="minorEastAsia" w:hAnsiTheme="minorHAnsi" w:cstheme="minorBidi"/>
          <w:szCs w:val="22"/>
        </w:rPr>
      </w:pPr>
      <w:r>
        <w:t>120J.</w:t>
      </w:r>
      <w:r>
        <w:tab/>
        <w:t>Investigators</w:t>
      </w:r>
      <w:r>
        <w:tab/>
      </w:r>
      <w:r>
        <w:fldChar w:fldCharType="begin"/>
      </w:r>
      <w:r>
        <w:instrText xml:space="preserve"> PAGEREF _Toc207801194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120K.</w:t>
      </w:r>
      <w:r>
        <w:tab/>
        <w:t>Power to enter land or premises</w:t>
      </w:r>
      <w:r>
        <w:tab/>
      </w:r>
      <w:r>
        <w:fldChar w:fldCharType="begin"/>
      </w:r>
      <w:r>
        <w:instrText xml:space="preserve"> PAGEREF _Toc207801195 \h </w:instrText>
      </w:r>
      <w:r>
        <w:fldChar w:fldCharType="separate"/>
      </w:r>
      <w:r>
        <w:t>236</w:t>
      </w:r>
      <w:r>
        <w:fldChar w:fldCharType="end"/>
      </w:r>
    </w:p>
    <w:p>
      <w:pPr>
        <w:pStyle w:val="TOC8"/>
        <w:rPr>
          <w:rFonts w:asciiTheme="minorHAnsi" w:eastAsiaTheme="minorEastAsia" w:hAnsiTheme="minorHAnsi" w:cstheme="minorBidi"/>
          <w:szCs w:val="22"/>
        </w:rPr>
      </w:pPr>
      <w:r>
        <w:t>120L.</w:t>
      </w:r>
      <w:r>
        <w:tab/>
        <w:t>Powers of investigation while on land or premises</w:t>
      </w:r>
      <w:r>
        <w:tab/>
      </w:r>
      <w:r>
        <w:fldChar w:fldCharType="begin"/>
      </w:r>
      <w:r>
        <w:instrText xml:space="preserve"> PAGEREF _Toc207801196 \h </w:instrText>
      </w:r>
      <w:r>
        <w:fldChar w:fldCharType="separate"/>
      </w:r>
      <w:r>
        <w:t>236</w:t>
      </w:r>
      <w:r>
        <w:fldChar w:fldCharType="end"/>
      </w:r>
    </w:p>
    <w:p>
      <w:pPr>
        <w:pStyle w:val="TOC8"/>
        <w:rPr>
          <w:rFonts w:asciiTheme="minorHAnsi" w:eastAsiaTheme="minorEastAsia" w:hAnsiTheme="minorHAnsi" w:cstheme="minorBidi"/>
          <w:szCs w:val="22"/>
        </w:rPr>
      </w:pPr>
      <w:r>
        <w:t>120M.</w:t>
      </w:r>
      <w:r>
        <w:tab/>
        <w:t>Power to require person to provide information</w:t>
      </w:r>
      <w:r>
        <w:tab/>
      </w:r>
      <w:r>
        <w:fldChar w:fldCharType="begin"/>
      </w:r>
      <w:r>
        <w:instrText xml:space="preserve"> PAGEREF _Toc207801197 \h </w:instrText>
      </w:r>
      <w:r>
        <w:fldChar w:fldCharType="separate"/>
      </w:r>
      <w:r>
        <w:t>237</w:t>
      </w:r>
      <w:r>
        <w:fldChar w:fldCharType="end"/>
      </w:r>
    </w:p>
    <w:p>
      <w:pPr>
        <w:pStyle w:val="TOC8"/>
        <w:rPr>
          <w:rFonts w:asciiTheme="minorHAnsi" w:eastAsiaTheme="minorEastAsia" w:hAnsiTheme="minorHAnsi" w:cstheme="minorBidi"/>
          <w:szCs w:val="22"/>
        </w:rPr>
      </w:pPr>
      <w:r>
        <w:t>120N.</w:t>
      </w:r>
      <w:r>
        <w:tab/>
        <w:t>Obstruct or hinder investigator</w:t>
      </w:r>
      <w:r>
        <w:tab/>
      </w:r>
      <w:r>
        <w:fldChar w:fldCharType="begin"/>
      </w:r>
      <w:r>
        <w:instrText xml:space="preserve"> PAGEREF _Toc207801198 \h </w:instrText>
      </w:r>
      <w:r>
        <w:fldChar w:fldCharType="separate"/>
      </w:r>
      <w:r>
        <w:t>238</w:t>
      </w:r>
      <w:r>
        <w:fldChar w:fldCharType="end"/>
      </w:r>
    </w:p>
    <w:p>
      <w:pPr>
        <w:pStyle w:val="TOC8"/>
        <w:rPr>
          <w:rFonts w:asciiTheme="minorHAnsi" w:eastAsiaTheme="minorEastAsia" w:hAnsiTheme="minorHAnsi" w:cstheme="minorBidi"/>
          <w:szCs w:val="22"/>
        </w:rPr>
      </w:pPr>
      <w:r>
        <w:t>120O.</w:t>
      </w:r>
      <w:r>
        <w:tab/>
        <w:t>False or misleading information</w:t>
      </w:r>
      <w:r>
        <w:tab/>
      </w:r>
      <w:r>
        <w:fldChar w:fldCharType="begin"/>
      </w:r>
      <w:r>
        <w:instrText xml:space="preserve"> PAGEREF _Toc207801199 \h </w:instrText>
      </w:r>
      <w:r>
        <w:fldChar w:fldCharType="separate"/>
      </w:r>
      <w:r>
        <w:t>238</w:t>
      </w:r>
      <w:r>
        <w:fldChar w:fldCharType="end"/>
      </w:r>
    </w:p>
    <w:p>
      <w:pPr>
        <w:pStyle w:val="TOC8"/>
        <w:rPr>
          <w:rFonts w:asciiTheme="minorHAnsi" w:eastAsiaTheme="minorEastAsia" w:hAnsiTheme="minorHAnsi" w:cstheme="minorBidi"/>
          <w:szCs w:val="22"/>
        </w:rPr>
      </w:pPr>
      <w:r>
        <w:t>120P.</w:t>
      </w:r>
      <w:r>
        <w:tab/>
        <w:t>Royalty penalty following conviction</w:t>
      </w:r>
      <w:r>
        <w:tab/>
      </w:r>
      <w:r>
        <w:fldChar w:fldCharType="begin"/>
      </w:r>
      <w:r>
        <w:instrText xml:space="preserve"> PAGEREF _Toc207801200 \h </w:instrText>
      </w:r>
      <w:r>
        <w:fldChar w:fldCharType="separate"/>
      </w:r>
      <w:r>
        <w:t>239</w:t>
      </w:r>
      <w:r>
        <w:fldChar w:fldCharType="end"/>
      </w:r>
    </w:p>
    <w:p>
      <w:pPr>
        <w:pStyle w:val="TOC8"/>
        <w:rPr>
          <w:rFonts w:asciiTheme="minorHAnsi" w:eastAsiaTheme="minorEastAsia" w:hAnsiTheme="minorHAnsi" w:cstheme="minorBidi"/>
          <w:szCs w:val="22"/>
        </w:rPr>
      </w:pPr>
      <w:r>
        <w:t>120Q.</w:t>
      </w:r>
      <w:r>
        <w:tab/>
        <w:t>Consequences of failure to pay royalty penalty</w:t>
      </w:r>
      <w:r>
        <w:tab/>
      </w:r>
      <w:r>
        <w:fldChar w:fldCharType="begin"/>
      </w:r>
      <w:r>
        <w:instrText xml:space="preserve"> PAGEREF _Toc207801201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120R.</w:t>
      </w:r>
      <w:r>
        <w:tab/>
        <w:t>Disclosure and use of royalty information</w:t>
      </w:r>
      <w:r>
        <w:tab/>
      </w:r>
      <w:r>
        <w:fldChar w:fldCharType="begin"/>
      </w:r>
      <w:r>
        <w:instrText xml:space="preserve"> PAGEREF _Toc207801203 \h </w:instrText>
      </w:r>
      <w:r>
        <w:fldChar w:fldCharType="separate"/>
      </w:r>
      <w:r>
        <w:t>240</w:t>
      </w:r>
      <w:r>
        <w:fldChar w:fldCharType="end"/>
      </w:r>
    </w:p>
    <w:p>
      <w:pPr>
        <w:pStyle w:val="TOC8"/>
        <w:rPr>
          <w:rFonts w:asciiTheme="minorHAnsi" w:eastAsiaTheme="minorEastAsia" w:hAnsiTheme="minorHAnsi" w:cstheme="minorBidi"/>
          <w:szCs w:val="22"/>
        </w:rPr>
      </w:pPr>
      <w:r>
        <w:t>120S.</w:t>
      </w:r>
      <w:r>
        <w:tab/>
        <w:t>Time limit for prosecution action</w:t>
      </w:r>
      <w:r>
        <w:tab/>
      </w:r>
      <w:r>
        <w:fldChar w:fldCharType="begin"/>
      </w:r>
      <w:r>
        <w:instrText xml:space="preserve"> PAGEREF _Toc207801204 \h </w:instrText>
      </w:r>
      <w:r>
        <w:fldChar w:fldCharType="separate"/>
      </w:r>
      <w:r>
        <w:t>242</w:t>
      </w:r>
      <w:r>
        <w:fldChar w:fldCharType="end"/>
      </w:r>
    </w:p>
    <w:p>
      <w:pPr>
        <w:pStyle w:val="TOC8"/>
        <w:rPr>
          <w:rFonts w:asciiTheme="minorHAnsi" w:eastAsiaTheme="minorEastAsia" w:hAnsiTheme="minorHAnsi" w:cstheme="minorBidi"/>
          <w:szCs w:val="22"/>
        </w:rPr>
      </w:pPr>
      <w:r>
        <w:t>120T.</w:t>
      </w:r>
      <w:r>
        <w:tab/>
        <w:t>Recovery of unpaid royalty</w:t>
      </w:r>
      <w:r>
        <w:tab/>
      </w:r>
      <w:r>
        <w:fldChar w:fldCharType="begin"/>
      </w:r>
      <w:r>
        <w:instrText xml:space="preserve"> PAGEREF _Toc207801205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_Toc207801207 \h </w:instrText>
      </w:r>
      <w:r>
        <w:fldChar w:fldCharType="separate"/>
      </w:r>
      <w:r>
        <w:t>243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_Toc207801208 \h </w:instrText>
      </w:r>
      <w:r>
        <w:fldChar w:fldCharType="separate"/>
      </w:r>
      <w:r>
        <w:t>243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_Toc207801209 \h </w:instrText>
      </w:r>
      <w:r>
        <w:fldChar w:fldCharType="separate"/>
      </w:r>
      <w:r>
        <w:t>244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_Toc207801210 \h </w:instrText>
      </w:r>
      <w:r>
        <w:fldChar w:fldCharType="separate"/>
      </w:r>
      <w:r>
        <w:t>245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_Toc207801211 \h </w:instrText>
      </w:r>
      <w:r>
        <w:fldChar w:fldCharType="separate"/>
      </w:r>
      <w:r>
        <w:t>246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_Toc207801212 \h </w:instrText>
      </w:r>
      <w:r>
        <w:fldChar w:fldCharType="separate"/>
      </w:r>
      <w:r>
        <w:t>246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_Toc207801213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_Toc207801215 \h </w:instrText>
      </w:r>
      <w:r>
        <w:fldChar w:fldCharType="separate"/>
      </w:r>
      <w:r>
        <w:t>249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_Toc207801216 \h </w:instrText>
      </w:r>
      <w:r>
        <w:fldChar w:fldCharType="separate"/>
      </w:r>
      <w:r>
        <w:t>253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_Toc207801217 \h </w:instrText>
      </w:r>
      <w:r>
        <w:fldChar w:fldCharType="separate"/>
      </w:r>
      <w:r>
        <w:t>254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_Toc207801218 \h </w:instrText>
      </w:r>
      <w:r>
        <w:fldChar w:fldCharType="separate"/>
      </w:r>
      <w:r>
        <w:t>254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_Toc207801219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_Toc207801221 \h </w:instrText>
      </w:r>
      <w:r>
        <w:fldChar w:fldCharType="separate"/>
      </w:r>
      <w:r>
        <w:t>258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_Toc207801222 \h </w:instrText>
      </w:r>
      <w:r>
        <w:fldChar w:fldCharType="separate"/>
      </w:r>
      <w:r>
        <w:t>258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_Toc207801223 \h </w:instrText>
      </w:r>
      <w:r>
        <w:fldChar w:fldCharType="separate"/>
      </w:r>
      <w:r>
        <w:t>258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_Toc207801224 \h </w:instrText>
      </w:r>
      <w:r>
        <w:fldChar w:fldCharType="separate"/>
      </w:r>
      <w:r>
        <w:t>259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_Toc207801225 \h </w:instrText>
      </w:r>
      <w:r>
        <w:fldChar w:fldCharType="separate"/>
      </w:r>
      <w:r>
        <w:t>259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_Toc207801226 \h </w:instrText>
      </w:r>
      <w:r>
        <w:fldChar w:fldCharType="separate"/>
      </w:r>
      <w:r>
        <w:t>259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_Toc207801227 \h </w:instrText>
      </w:r>
      <w:r>
        <w:fldChar w:fldCharType="separate"/>
      </w:r>
      <w:r>
        <w:t>261</w:t>
      </w:r>
      <w:r>
        <w:fldChar w:fldCharType="end"/>
      </w:r>
    </w:p>
    <w:p>
      <w:pPr>
        <w:pStyle w:val="TOC8"/>
        <w:rPr>
          <w:rFonts w:asciiTheme="minorHAnsi" w:eastAsiaTheme="minorEastAsia" w:hAnsiTheme="minorHAnsi" w:cstheme="minorBidi"/>
          <w:szCs w:val="22"/>
        </w:rPr>
      </w:pPr>
      <w:r>
        <w:lastRenderedPageBreak/>
        <w:t>134</w:t>
      </w:r>
      <w:r>
        <w:rPr>
          <w:snapToGrid w:val="0"/>
        </w:rPr>
        <w:t>.</w:t>
      </w:r>
      <w:r>
        <w:rPr>
          <w:snapToGrid w:val="0"/>
        </w:rPr>
        <w:tab/>
        <w:t>Powers of warden’s court</w:t>
      </w:r>
      <w:r>
        <w:tab/>
      </w:r>
      <w:r>
        <w:fldChar w:fldCharType="begin"/>
      </w:r>
      <w:r>
        <w:instrText xml:space="preserve"> PAGEREF _Toc207801228 \h </w:instrText>
      </w:r>
      <w:r>
        <w:fldChar w:fldCharType="separate"/>
      </w:r>
      <w:r>
        <w:t>261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_Toc207801229 \h </w:instrText>
      </w:r>
      <w:r>
        <w:fldChar w:fldCharType="separate"/>
      </w:r>
      <w:r>
        <w:t>265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_Toc207801230 \h </w:instrText>
      </w:r>
      <w:r>
        <w:fldChar w:fldCharType="separate"/>
      </w:r>
      <w:r>
        <w:t>265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_Toc207801231 \h </w:instrText>
      </w:r>
      <w:r>
        <w:fldChar w:fldCharType="separate"/>
      </w:r>
      <w:r>
        <w:t>266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_Toc207801232 \h </w:instrText>
      </w:r>
      <w:r>
        <w:fldChar w:fldCharType="separate"/>
      </w:r>
      <w:r>
        <w:t>266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_Toc207801233 \h </w:instrText>
      </w:r>
      <w:r>
        <w:fldChar w:fldCharType="separate"/>
      </w:r>
      <w:r>
        <w:t>267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_Toc207801234 \h </w:instrText>
      </w:r>
      <w:r>
        <w:fldChar w:fldCharType="separate"/>
      </w:r>
      <w:r>
        <w:t>268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_Toc207801235 \h </w:instrText>
      </w:r>
      <w:r>
        <w:fldChar w:fldCharType="separate"/>
      </w:r>
      <w:r>
        <w:t>268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_Toc207801236 \h </w:instrText>
      </w:r>
      <w:r>
        <w:fldChar w:fldCharType="separate"/>
      </w:r>
      <w:r>
        <w:t>269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_Toc207801237 \h </w:instrText>
      </w:r>
      <w:r>
        <w:fldChar w:fldCharType="separate"/>
      </w:r>
      <w:r>
        <w:t>270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_Toc207801238 \h </w:instrText>
      </w:r>
      <w:r>
        <w:fldChar w:fldCharType="separate"/>
      </w:r>
      <w:r>
        <w:t>271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_Toc207801239 \h </w:instrText>
      </w:r>
      <w:r>
        <w:fldChar w:fldCharType="separate"/>
      </w:r>
      <w:r>
        <w:t>272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_Toc207801240 \h </w:instrText>
      </w:r>
      <w:r>
        <w:fldChar w:fldCharType="separate"/>
      </w:r>
      <w:r>
        <w:t>273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_Toc207801241 \h </w:instrText>
      </w:r>
      <w:r>
        <w:fldChar w:fldCharType="separate"/>
      </w:r>
      <w:r>
        <w:t>274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_Toc207801242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_Toc207801244 \h </w:instrText>
      </w:r>
      <w:r>
        <w:fldChar w:fldCharType="separate"/>
      </w:r>
      <w:r>
        <w:t>276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_Toc207801245 \h </w:instrText>
      </w:r>
      <w:r>
        <w:fldChar w:fldCharType="separate"/>
      </w:r>
      <w:r>
        <w:t>276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_Toc207801246 \h </w:instrText>
      </w:r>
      <w:r>
        <w:fldChar w:fldCharType="separate"/>
      </w:r>
      <w:r>
        <w:t>276</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_Toc207801247 \h </w:instrText>
      </w:r>
      <w:r>
        <w:fldChar w:fldCharType="separate"/>
      </w:r>
      <w:r>
        <w:t>277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_Toc207801248 \h </w:instrText>
      </w:r>
      <w:r>
        <w:fldChar w:fldCharType="separate"/>
      </w:r>
      <w:r>
        <w:t>277</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_Toc207801249 \h </w:instrText>
      </w:r>
      <w:r>
        <w:fldChar w:fldCharType="separate"/>
      </w:r>
      <w:r>
        <w:t>278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_Toc207801250 \h </w:instrText>
      </w:r>
      <w:r>
        <w:fldChar w:fldCharType="separate"/>
      </w:r>
      <w:r>
        <w:t>278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_Toc207801251 \h </w:instrText>
      </w:r>
      <w:r>
        <w:fldChar w:fldCharType="separate"/>
      </w:r>
      <w:r>
        <w:t>279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_Toc207801252 \h </w:instrText>
      </w:r>
      <w:r>
        <w:fldChar w:fldCharType="separate"/>
      </w:r>
      <w:r>
        <w:t>279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_Toc207801253 \h </w:instrText>
      </w:r>
      <w:r>
        <w:fldChar w:fldCharType="separate"/>
      </w:r>
      <w:r>
        <w:t>281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_Toc207801254 \h </w:instrText>
      </w:r>
      <w:r>
        <w:fldChar w:fldCharType="separate"/>
      </w:r>
      <w:r>
        <w:t>282</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_Toc207801255 \h </w:instrText>
      </w:r>
      <w:r>
        <w:fldChar w:fldCharType="separate"/>
      </w:r>
      <w:r>
        <w:t>282</w:t>
      </w:r>
      <w:r>
        <w:fldChar w:fldCharType="end"/>
      </w:r>
    </w:p>
    <w:p>
      <w:pPr>
        <w:pStyle w:val="TOC8"/>
        <w:rPr>
          <w:rFonts w:asciiTheme="minorHAnsi" w:eastAsiaTheme="minorEastAsia" w:hAnsiTheme="minorHAnsi" w:cstheme="minorBidi"/>
          <w:szCs w:val="22"/>
        </w:rPr>
      </w:pPr>
      <w:r>
        <w:t>160AB.</w:t>
      </w:r>
      <w:r>
        <w:tab/>
        <w:t>Inspectors</w:t>
      </w:r>
      <w:r>
        <w:tab/>
      </w:r>
      <w:r>
        <w:fldChar w:fldCharType="begin"/>
      </w:r>
      <w:r>
        <w:instrText xml:space="preserve"> PAGEREF _Toc207801256 \h </w:instrText>
      </w:r>
      <w:r>
        <w:fldChar w:fldCharType="separate"/>
      </w:r>
      <w:r>
        <w:t>283</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_Toc207801257 \h </w:instrText>
      </w:r>
      <w:r>
        <w:fldChar w:fldCharType="separate"/>
      </w:r>
      <w:r>
        <w:t>283</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_Toc207801258 \h </w:instrText>
      </w:r>
      <w:r>
        <w:fldChar w:fldCharType="separate"/>
      </w:r>
      <w:r>
        <w:t>283</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_Toc207801259 \h </w:instrText>
      </w:r>
      <w:r>
        <w:fldChar w:fldCharType="separate"/>
      </w:r>
      <w:r>
        <w:t>283</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_Toc207801260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Evidentiary provisions</w:t>
      </w:r>
      <w:r>
        <w:tab/>
      </w:r>
      <w:r>
        <w:fldChar w:fldCharType="begin"/>
      </w:r>
      <w:r>
        <w:instrText xml:space="preserve"> PAGEREF _Toc207801261 \h </w:instrText>
      </w:r>
      <w:r>
        <w:fldChar w:fldCharType="separate"/>
      </w:r>
      <w:r>
        <w:t>285</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_Toc207801262 \h </w:instrText>
      </w:r>
      <w:r>
        <w:fldChar w:fldCharType="separate"/>
      </w:r>
      <w:r>
        <w:t>286</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_Toc207801263 \h </w:instrText>
      </w:r>
      <w:r>
        <w:fldChar w:fldCharType="separate"/>
      </w:r>
      <w:r>
        <w:t>286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_Toc207801264 \h </w:instrText>
      </w:r>
      <w:r>
        <w:fldChar w:fldCharType="separate"/>
      </w:r>
      <w:r>
        <w:t>287</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_Toc207801265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_Toc207801268 \h </w:instrText>
      </w:r>
      <w:r>
        <w:fldChar w:fldCharType="separate"/>
      </w:r>
      <w:r>
        <w:t>296</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_Toc207801269 \h </w:instrText>
      </w:r>
      <w:r>
        <w:fldChar w:fldCharType="separate"/>
      </w:r>
      <w:r>
        <w:t>297</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_Toc207801270 \h </w:instrText>
      </w:r>
      <w:r>
        <w:fldChar w:fldCharType="separate"/>
      </w:r>
      <w:r>
        <w:t>299</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_Toc207801271 \h </w:instrText>
      </w:r>
      <w:r>
        <w:fldChar w:fldCharType="separate"/>
      </w:r>
      <w:r>
        <w:t>300</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_Toc207801272 \h </w:instrText>
      </w:r>
      <w:r>
        <w:fldChar w:fldCharType="separate"/>
      </w:r>
      <w:r>
        <w:t>301</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_Toc207801273 \h </w:instrText>
      </w:r>
      <w:r>
        <w:fldChar w:fldCharType="separate"/>
      </w:r>
      <w:r>
        <w:t>301</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_Toc207801274 \h </w:instrText>
      </w:r>
      <w:r>
        <w:fldChar w:fldCharType="separate"/>
      </w:r>
      <w:r>
        <w:t>302</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_Toc207801275 \h </w:instrText>
      </w:r>
      <w:r>
        <w:fldChar w:fldCharType="separate"/>
      </w:r>
      <w:r>
        <w:t>304</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_Toc207801276 \h </w:instrText>
      </w:r>
      <w:r>
        <w:fldChar w:fldCharType="separate"/>
      </w:r>
      <w:r>
        <w:t>306</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_Toc207801277 \h </w:instrText>
      </w:r>
      <w:r>
        <w:fldChar w:fldCharType="separate"/>
      </w:r>
      <w:r>
        <w:t>306</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_Toc207801278 \h </w:instrText>
      </w:r>
      <w:r>
        <w:fldChar w:fldCharType="separate"/>
      </w:r>
      <w:r>
        <w:t>308</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_Toc207801279 \h </w:instrText>
      </w:r>
      <w:r>
        <w:fldChar w:fldCharType="separate"/>
      </w:r>
      <w:r>
        <w:t>308</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_Toc207801280 \h </w:instrText>
      </w:r>
      <w:r>
        <w:fldChar w:fldCharType="separate"/>
      </w:r>
      <w:r>
        <w:t>308</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_Toc207801281 \h </w:instrText>
      </w:r>
      <w:r>
        <w:fldChar w:fldCharType="separate"/>
      </w:r>
      <w:r>
        <w:t>309</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_Toc207801282 \h </w:instrText>
      </w:r>
      <w:r>
        <w:fldChar w:fldCharType="separate"/>
      </w:r>
      <w:r>
        <w:t>309</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_Toc207801283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_Toc207801285 \h </w:instrText>
      </w:r>
      <w:r>
        <w:fldChar w:fldCharType="separate"/>
      </w:r>
      <w:r>
        <w:t>310</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_Toc207801286 \h </w:instrText>
      </w:r>
      <w:r>
        <w:fldChar w:fldCharType="separate"/>
      </w:r>
      <w:r>
        <w:t>310</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_Toc207801287 \h </w:instrText>
      </w:r>
      <w:r>
        <w:fldChar w:fldCharType="separate"/>
      </w:r>
      <w:r>
        <w:t>311</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_Toc207801288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relating to </w:t>
      </w:r>
      <w:r>
        <w:rPr>
          <w:i/>
        </w:rPr>
        <w:t>Mining Amendment Act 2022</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_Toc207801290 \h </w:instrText>
      </w:r>
      <w:r>
        <w:fldChar w:fldCharType="separate"/>
      </w:r>
      <w:r>
        <w:t>312</w:t>
      </w:r>
      <w:r>
        <w:fldChar w:fldCharType="end"/>
      </w:r>
    </w:p>
    <w:p>
      <w:pPr>
        <w:pStyle w:val="TOC8"/>
        <w:rPr>
          <w:rFonts w:asciiTheme="minorHAnsi" w:eastAsiaTheme="minorEastAsia" w:hAnsiTheme="minorHAnsi" w:cstheme="minorBidi"/>
          <w:szCs w:val="22"/>
        </w:rPr>
      </w:pPr>
      <w:r>
        <w:t>21.</w:t>
      </w:r>
      <w:r>
        <w:tab/>
        <w:t>Continuation of conditions for prevention or reduction of injury to land</w:t>
      </w:r>
      <w:r>
        <w:tab/>
      </w:r>
      <w:r>
        <w:fldChar w:fldCharType="begin"/>
      </w:r>
      <w:r>
        <w:instrText xml:space="preserve"> PAGEREF _Toc207801291 \h </w:instrText>
      </w:r>
      <w:r>
        <w:fldChar w:fldCharType="separate"/>
      </w:r>
      <w:r>
        <w:t>312</w:t>
      </w:r>
      <w:r>
        <w:fldChar w:fldCharType="end"/>
      </w:r>
    </w:p>
    <w:p>
      <w:pPr>
        <w:pStyle w:val="TOC8"/>
        <w:rPr>
          <w:rFonts w:asciiTheme="minorHAnsi" w:eastAsiaTheme="minorEastAsia" w:hAnsiTheme="minorHAnsi" w:cstheme="minorBidi"/>
          <w:szCs w:val="22"/>
        </w:rPr>
      </w:pPr>
      <w:r>
        <w:t>22.</w:t>
      </w:r>
      <w:r>
        <w:tab/>
        <w:t>Continuation of securities</w:t>
      </w:r>
      <w:r>
        <w:tab/>
      </w:r>
      <w:r>
        <w:fldChar w:fldCharType="begin"/>
      </w:r>
      <w:r>
        <w:instrText xml:space="preserve"> PAGEREF _Toc207801292 \h </w:instrText>
      </w:r>
      <w:r>
        <w:fldChar w:fldCharType="separate"/>
      </w:r>
      <w:r>
        <w:t>313</w:t>
      </w:r>
      <w:r>
        <w:fldChar w:fldCharType="end"/>
      </w:r>
    </w:p>
    <w:p>
      <w:pPr>
        <w:pStyle w:val="TOC8"/>
        <w:rPr>
          <w:rFonts w:asciiTheme="minorHAnsi" w:eastAsiaTheme="minorEastAsia" w:hAnsiTheme="minorHAnsi" w:cstheme="minorBidi"/>
          <w:szCs w:val="22"/>
        </w:rPr>
      </w:pPr>
      <w:r>
        <w:t>23.</w:t>
      </w:r>
      <w:r>
        <w:tab/>
        <w:t>Transitional provisions for programmes of work</w:t>
      </w:r>
      <w:r>
        <w:tab/>
      </w:r>
      <w:r>
        <w:fldChar w:fldCharType="begin"/>
      </w:r>
      <w:r>
        <w:instrText xml:space="preserve"> PAGEREF _Toc207801293 \h </w:instrText>
      </w:r>
      <w:r>
        <w:fldChar w:fldCharType="separate"/>
      </w:r>
      <w:r>
        <w:t>313</w:t>
      </w:r>
      <w:r>
        <w:fldChar w:fldCharType="end"/>
      </w:r>
    </w:p>
    <w:p>
      <w:pPr>
        <w:pStyle w:val="TOC8"/>
        <w:rPr>
          <w:rFonts w:asciiTheme="minorHAnsi" w:eastAsiaTheme="minorEastAsia" w:hAnsiTheme="minorHAnsi" w:cstheme="minorBidi"/>
          <w:szCs w:val="22"/>
        </w:rPr>
      </w:pPr>
      <w:r>
        <w:t>24.</w:t>
      </w:r>
      <w:r>
        <w:tab/>
        <w:t>Transitional provisions for existing undetermined mining proposals</w:t>
      </w:r>
      <w:r>
        <w:tab/>
      </w:r>
      <w:r>
        <w:fldChar w:fldCharType="begin"/>
      </w:r>
      <w:r>
        <w:instrText xml:space="preserve"> PAGEREF _Toc207801294 \h </w:instrText>
      </w:r>
      <w:r>
        <w:fldChar w:fldCharType="separate"/>
      </w:r>
      <w:r>
        <w:t>314</w:t>
      </w:r>
      <w:r>
        <w:fldChar w:fldCharType="end"/>
      </w:r>
    </w:p>
    <w:p>
      <w:pPr>
        <w:pStyle w:val="TOC8"/>
        <w:rPr>
          <w:rFonts w:asciiTheme="minorHAnsi" w:eastAsiaTheme="minorEastAsia" w:hAnsiTheme="minorHAnsi" w:cstheme="minorBidi"/>
          <w:szCs w:val="22"/>
        </w:rPr>
      </w:pPr>
      <w:r>
        <w:t>25.</w:t>
      </w:r>
      <w:r>
        <w:tab/>
        <w:t>Transitional provisions for previously approved mining proposals</w:t>
      </w:r>
      <w:r>
        <w:tab/>
      </w:r>
      <w:r>
        <w:fldChar w:fldCharType="begin"/>
      </w:r>
      <w:r>
        <w:instrText xml:space="preserve"> PAGEREF _Toc207801295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relating to </w:t>
      </w:r>
      <w:r>
        <w:rPr>
          <w:i/>
        </w:rPr>
        <w:t>Mining Amendment (Transfer of Royalty Administration) Act 2025</w:t>
      </w:r>
    </w:p>
    <w:p>
      <w:pPr>
        <w:pStyle w:val="TOC8"/>
        <w:rPr>
          <w:rFonts w:asciiTheme="minorHAnsi" w:eastAsiaTheme="minorEastAsia" w:hAnsiTheme="minorHAnsi" w:cstheme="minorBidi"/>
          <w:szCs w:val="22"/>
        </w:rPr>
      </w:pPr>
      <w:r>
        <w:t>26.</w:t>
      </w:r>
      <w:r>
        <w:tab/>
      </w:r>
      <w:r>
        <w:rPr>
          <w:i/>
        </w:rPr>
        <w:t>Interpretation Act 1984</w:t>
      </w:r>
      <w:r>
        <w:t xml:space="preserve"> not affected</w:t>
      </w:r>
      <w:r>
        <w:tab/>
      </w:r>
      <w:r>
        <w:fldChar w:fldCharType="begin"/>
      </w:r>
      <w:r>
        <w:instrText xml:space="preserve"> PAGEREF _Toc207801297 \h </w:instrText>
      </w:r>
      <w:r>
        <w:fldChar w:fldCharType="separate"/>
      </w:r>
      <w:r>
        <w:t>316</w:t>
      </w:r>
      <w:r>
        <w:fldChar w:fldCharType="end"/>
      </w:r>
    </w:p>
    <w:p>
      <w:pPr>
        <w:pStyle w:val="TOC8"/>
        <w:rPr>
          <w:rFonts w:asciiTheme="minorHAnsi" w:eastAsiaTheme="minorEastAsia" w:hAnsiTheme="minorHAnsi" w:cstheme="minorBidi"/>
          <w:szCs w:val="22"/>
        </w:rPr>
      </w:pPr>
      <w:r>
        <w:t>27.</w:t>
      </w:r>
      <w:r>
        <w:tab/>
        <w:t>Act continues to be administered by Minister</w:t>
      </w:r>
      <w:r>
        <w:tab/>
      </w:r>
      <w:r>
        <w:fldChar w:fldCharType="begin"/>
      </w:r>
      <w:r>
        <w:instrText xml:space="preserve"> PAGEREF _Toc207801298 \h </w:instrText>
      </w:r>
      <w:r>
        <w:fldChar w:fldCharType="separate"/>
      </w:r>
      <w:r>
        <w:t>316</w:t>
      </w:r>
      <w:r>
        <w:fldChar w:fldCharType="end"/>
      </w:r>
    </w:p>
    <w:p>
      <w:pPr>
        <w:pStyle w:val="TOC8"/>
        <w:rPr>
          <w:rFonts w:asciiTheme="minorHAnsi" w:eastAsiaTheme="minorEastAsia" w:hAnsiTheme="minorHAnsi" w:cstheme="minorBidi"/>
          <w:szCs w:val="22"/>
        </w:rPr>
      </w:pPr>
      <w:r>
        <w:t>28.</w:t>
      </w:r>
      <w:r>
        <w:tab/>
        <w:t>Existence of department and appointment of chief executive officer and other officers not affected</w:t>
      </w:r>
      <w:r>
        <w:tab/>
      </w:r>
      <w:r>
        <w:fldChar w:fldCharType="begin"/>
      </w:r>
      <w:r>
        <w:instrText xml:space="preserve"> PAGEREF _Toc207801299 \h </w:instrText>
      </w:r>
      <w:r>
        <w:fldChar w:fldCharType="separate"/>
      </w:r>
      <w:r>
        <w:t>316</w:t>
      </w:r>
      <w:r>
        <w:fldChar w:fldCharType="end"/>
      </w:r>
    </w:p>
    <w:p>
      <w:pPr>
        <w:pStyle w:val="TOC8"/>
        <w:rPr>
          <w:rFonts w:asciiTheme="minorHAnsi" w:eastAsiaTheme="minorEastAsia" w:hAnsiTheme="minorHAnsi" w:cstheme="minorBidi"/>
          <w:szCs w:val="22"/>
        </w:rPr>
      </w:pPr>
      <w:r>
        <w:t>29.</w:t>
      </w:r>
      <w:r>
        <w:tab/>
        <w:t>Royalties actions taken under repealed provisions before commencement day</w:t>
      </w:r>
      <w:r>
        <w:tab/>
      </w:r>
      <w:r>
        <w:fldChar w:fldCharType="begin"/>
      </w:r>
      <w:r>
        <w:instrText xml:space="preserve"> PAGEREF _Toc207801300 \h </w:instrText>
      </w:r>
      <w:r>
        <w:fldChar w:fldCharType="separate"/>
      </w:r>
      <w:r>
        <w:t>317</w:t>
      </w:r>
      <w:r>
        <w:fldChar w:fldCharType="end"/>
      </w:r>
    </w:p>
    <w:p>
      <w:pPr>
        <w:pStyle w:val="TOC8"/>
        <w:rPr>
          <w:rFonts w:asciiTheme="minorHAnsi" w:eastAsiaTheme="minorEastAsia" w:hAnsiTheme="minorHAnsi" w:cstheme="minorBidi"/>
          <w:szCs w:val="22"/>
        </w:rPr>
      </w:pPr>
      <w:r>
        <w:t>30.</w:t>
      </w:r>
      <w:r>
        <w:tab/>
        <w:t>Transitional regulations</w:t>
      </w:r>
      <w:r>
        <w:tab/>
      </w:r>
      <w:r>
        <w:fldChar w:fldCharType="begin"/>
      </w:r>
      <w:r>
        <w:instrText xml:space="preserve"> PAGEREF _Toc207801301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_Toc207801304 \h </w:instrText>
      </w:r>
      <w:r>
        <w:fldChar w:fldCharType="separate"/>
      </w:r>
      <w:r>
        <w:t>321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_Toc207801305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_Toc207801306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207365804"/>
      <w:bookmarkStart w:id="3" w:name="_Toc207800949"/>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207800950"/>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5" w:name="_Toc207800951"/>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6" w:name="_Toc207800952"/>
      <w:r>
        <w:rPr>
          <w:snapToGrid w:val="0"/>
        </w:rPr>
        <w:t>4.</w:t>
      </w:r>
      <w:r>
        <w:rPr>
          <w:snapToGrid w:val="0"/>
        </w:rPr>
        <w:tab/>
        <w:t>Transitional provisions</w:t>
      </w:r>
      <w:bookmarkEnd w:id="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7" w:name="_Toc207800953"/>
      <w:r>
        <w:rPr>
          <w:snapToGrid w:val="0"/>
        </w:rPr>
        <w:t>5.</w:t>
      </w:r>
      <w:r>
        <w:rPr>
          <w:snapToGrid w:val="0"/>
        </w:rPr>
        <w:tab/>
        <w:t>Saving</w:t>
      </w:r>
      <w:bookmarkEnd w:id="7"/>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8" w:name="_Toc207800954"/>
      <w:r>
        <w:rPr>
          <w:rStyle w:val="CharSectno"/>
        </w:rPr>
        <w:t>6</w:t>
      </w:r>
      <w:r>
        <w:rPr>
          <w:snapToGrid w:val="0"/>
        </w:rPr>
        <w:t>.</w:t>
      </w:r>
      <w:r>
        <w:rPr>
          <w:snapToGrid w:val="0"/>
        </w:rPr>
        <w:tab/>
        <w:t>Operation of this Act</w:t>
      </w:r>
      <w:bookmarkEnd w:id="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Subsection (1a) does not apply to an application for a mining lease made under a Government agreement.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103AH(2)(b) or (3); or</w:t>
      </w:r>
    </w:p>
    <w:p>
      <w:pPr>
        <w:pStyle w:val="Indenta"/>
      </w:pPr>
      <w:r>
        <w:tab/>
        <w:t>(b)</w:t>
      </w:r>
      <w:r>
        <w:tab/>
        <w:t>a mining development and closure proposal lodged by the holder of the mining lease in compliance with the condition referred to in section 103AL(2)(b) or (3).</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clay, sand or gravel for use in the construction of local </w:t>
      </w:r>
      <w:r>
        <w:rPr>
          <w:snapToGrid w:val="0"/>
        </w:rPr>
        <w:lastRenderedPageBreak/>
        <w:t>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 No. 31 of 2022 s. 4.]</w:t>
      </w:r>
    </w:p>
    <w:p>
      <w:pPr>
        <w:pStyle w:val="Ednotesection"/>
        <w:spacing w:before="200"/>
        <w:ind w:left="890" w:hanging="890"/>
      </w:pPr>
      <w:r>
        <w:t>[</w:t>
      </w:r>
      <w:r>
        <w:rPr>
          <w:b/>
        </w:rPr>
        <w:t>7.</w:t>
      </w:r>
      <w:r>
        <w:tab/>
        <w:t>Deleted: No. 122 of 1982 s. 4.]</w:t>
      </w:r>
    </w:p>
    <w:p>
      <w:pPr>
        <w:pStyle w:val="Heading5"/>
        <w:rPr>
          <w:snapToGrid w:val="0"/>
        </w:rPr>
      </w:pPr>
      <w:bookmarkStart w:id="9" w:name="_Toc207800955"/>
      <w:r>
        <w:rPr>
          <w:rStyle w:val="CharSectno"/>
        </w:rPr>
        <w:t>8</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tab/>
      </w:r>
      <w:r>
        <w:rPr>
          <w:rStyle w:val="CharDefText"/>
        </w:rPr>
        <w:t>approved form</w:t>
      </w:r>
      <w:r>
        <w:t xml:space="preserve"> means a form approved by the Minister;</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 </w:t>
      </w:r>
    </w:p>
    <w:p>
      <w:pPr>
        <w:pStyle w:val="Defpara"/>
      </w:pPr>
      <w:r>
        <w:tab/>
        <w:t>(a)</w:t>
      </w:r>
      <w:r>
        <w:tab/>
        <w:t xml:space="preserve">this Act; or </w:t>
      </w:r>
    </w:p>
    <w:p>
      <w:pPr>
        <w:pStyle w:val="Defpara"/>
      </w:pPr>
      <w:r>
        <w:tab/>
        <w:t>(b)</w:t>
      </w:r>
      <w:r>
        <w:tab/>
        <w:t>the provision of this Act in which, or in relation to which, the term is used;</w:t>
      </w:r>
    </w:p>
    <w:p>
      <w:pPr>
        <w:pStyle w:val="Defstart"/>
      </w:pPr>
      <w:r>
        <w:lastRenderedPageBreak/>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lastRenderedPageBreak/>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tab/>
      </w:r>
      <w:r>
        <w:rPr>
          <w:rStyle w:val="CharDefText"/>
        </w:rPr>
        <w:t>mining development and closure proposal</w:t>
      </w:r>
      <w:r>
        <w:t xml:space="preserve"> means a mining development and closure proposal — </w:t>
      </w:r>
    </w:p>
    <w:p>
      <w:pPr>
        <w:pStyle w:val="Defpara"/>
      </w:pPr>
      <w:r>
        <w:tab/>
        <w:t>(a)</w:t>
      </w:r>
      <w:r>
        <w:tab/>
        <w:t>accompanying an application for a mining lease under section 74(1)(ca); or</w:t>
      </w:r>
    </w:p>
    <w:p>
      <w:pPr>
        <w:pStyle w:val="Defpara"/>
      </w:pPr>
      <w:r>
        <w:tab/>
        <w:t>(b)</w:t>
      </w:r>
      <w:r>
        <w:tab/>
        <w:t xml:space="preserve">required in order to comply with a condition referred to in — </w:t>
      </w:r>
    </w:p>
    <w:p>
      <w:pPr>
        <w:pStyle w:val="Defsubpara"/>
      </w:pPr>
      <w:r>
        <w:tab/>
        <w:t>(i)</w:t>
      </w:r>
      <w:r>
        <w:tab/>
        <w:t>section 103AL(2)(b) or (3); or</w:t>
      </w:r>
    </w:p>
    <w:p>
      <w:pPr>
        <w:pStyle w:val="Defsubpara"/>
      </w:pPr>
      <w:r>
        <w:tab/>
        <w:t>(ii)</w:t>
      </w:r>
      <w:r>
        <w:tab/>
        <w:t>section 103AM(2)(b) or (3);</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w:t>
      </w:r>
      <w:r>
        <w:lastRenderedPageBreak/>
        <w:t>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section 13(2);</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lastRenderedPageBreak/>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w:t>
      </w:r>
      <w:r>
        <w:lastRenderedPageBreak/>
        <w:t>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31 of 2022 s. 5; No. 4 of 2023 s. 131; No. 27 of 2023 s. 4; No. 7 of 2025 s. 4.]</w:t>
      </w:r>
    </w:p>
    <w:p>
      <w:pPr>
        <w:pStyle w:val="Heading5"/>
        <w:rPr>
          <w:snapToGrid w:val="0"/>
        </w:rPr>
      </w:pPr>
      <w:bookmarkStart w:id="10" w:name="_Toc207800956"/>
      <w:r>
        <w:rPr>
          <w:rStyle w:val="CharSectno"/>
        </w:rPr>
        <w:t>8A</w:t>
      </w:r>
      <w:r>
        <w:rPr>
          <w:snapToGrid w:val="0"/>
        </w:rPr>
        <w:t>.</w:t>
      </w:r>
      <w:r>
        <w:rPr>
          <w:snapToGrid w:val="0"/>
        </w:rPr>
        <w:tab/>
        <w:t>Rights in respect of oil shale or coal</w:t>
      </w:r>
      <w:bookmarkEnd w:id="10"/>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lastRenderedPageBreak/>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1" w:name="_Toc207800957"/>
      <w:r>
        <w:rPr>
          <w:rStyle w:val="CharSectno"/>
        </w:rPr>
        <w:t>9</w:t>
      </w:r>
      <w:r>
        <w:rPr>
          <w:snapToGrid w:val="0"/>
        </w:rPr>
        <w:t>.</w:t>
      </w:r>
      <w:r>
        <w:rPr>
          <w:snapToGrid w:val="0"/>
        </w:rPr>
        <w:tab/>
        <w:t>Gold, silver and other precious metals property of Crown</w:t>
      </w:r>
      <w:bookmarkEnd w:id="1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2" w:name="_Toc207800958"/>
      <w:r>
        <w:rPr>
          <w:rStyle w:val="CharSectno"/>
        </w:rPr>
        <w:t>9A</w:t>
      </w:r>
      <w:r>
        <w:rPr>
          <w:snapToGrid w:val="0"/>
        </w:rPr>
        <w:t>.</w:t>
      </w:r>
      <w:r>
        <w:rPr>
          <w:snapToGrid w:val="0"/>
        </w:rPr>
        <w:tab/>
        <w:t>Effect of change of baseline</w:t>
      </w:r>
      <w:bookmarkEnd w:id="1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lastRenderedPageBreak/>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lastRenderedPageBreak/>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3" w:name="_Toc207800959"/>
      <w:r>
        <w:rPr>
          <w:rStyle w:val="CharSectno"/>
        </w:rPr>
        <w:t>9B</w:t>
      </w:r>
      <w:r>
        <w:t>.</w:t>
      </w:r>
      <w:r>
        <w:tab/>
        <w:t>Position on Earth’s surface</w:t>
      </w:r>
      <w:bookmarkEnd w:id="1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lastRenderedPageBreak/>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4" w:name="_Toc207365815"/>
      <w:bookmarkStart w:id="15" w:name="_Toc207800960"/>
      <w:r>
        <w:rPr>
          <w:rStyle w:val="CharPartNo"/>
        </w:rPr>
        <w:lastRenderedPageBreak/>
        <w:t>Part II</w:t>
      </w:r>
      <w:r>
        <w:rPr>
          <w:rStyle w:val="CharDivNo"/>
        </w:rPr>
        <w:t> </w:t>
      </w:r>
      <w:r>
        <w:t>—</w:t>
      </w:r>
      <w:r>
        <w:rPr>
          <w:rStyle w:val="CharDivText"/>
        </w:rPr>
        <w:t> </w:t>
      </w:r>
      <w:r>
        <w:rPr>
          <w:rStyle w:val="CharPartText"/>
        </w:rPr>
        <w:t>Administration, mineral fields and courts</w:t>
      </w:r>
      <w:bookmarkEnd w:id="14"/>
      <w:bookmarkEnd w:id="15"/>
    </w:p>
    <w:p>
      <w:pPr>
        <w:pStyle w:val="Heading5"/>
        <w:spacing w:before="260"/>
        <w:rPr>
          <w:snapToGrid w:val="0"/>
        </w:rPr>
      </w:pPr>
      <w:bookmarkStart w:id="16" w:name="_Toc207800961"/>
      <w:r>
        <w:rPr>
          <w:rStyle w:val="CharSectno"/>
        </w:rPr>
        <w:t>10</w:t>
      </w:r>
      <w:r>
        <w:rPr>
          <w:snapToGrid w:val="0"/>
        </w:rPr>
        <w:t>.</w:t>
      </w:r>
      <w:r>
        <w:rPr>
          <w:snapToGrid w:val="0"/>
        </w:rPr>
        <w:tab/>
      </w:r>
      <w:r>
        <w:t>Minister is corporation sole</w:t>
      </w:r>
      <w:bookmarkEnd w:id="16"/>
    </w:p>
    <w:p>
      <w:pPr>
        <w:pStyle w:val="Ednotesubsection"/>
      </w:pPr>
      <w:r>
        <w:tab/>
        <w:t>[(1)</w:t>
      </w:r>
      <w:r>
        <w:tab/>
        <w:t>deleted]</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Footnotesection"/>
        <w:ind w:left="890" w:hanging="890"/>
      </w:pPr>
      <w:r>
        <w:tab/>
        <w:t>[Section 10 amended: No. 7 of 2025 s. 5.]</w:t>
      </w:r>
    </w:p>
    <w:p>
      <w:pPr>
        <w:pStyle w:val="Ednotesection"/>
      </w:pPr>
      <w:r>
        <w:t>[</w:t>
      </w:r>
      <w:r>
        <w:rPr>
          <w:b/>
          <w:bCs/>
        </w:rPr>
        <w:t>11.</w:t>
      </w:r>
      <w:r>
        <w:tab/>
        <w:t>Deleted: No. 7 of 2025 s. 6.]</w:t>
      </w:r>
    </w:p>
    <w:p>
      <w:pPr>
        <w:pStyle w:val="Heading5"/>
      </w:pPr>
      <w:bookmarkStart w:id="17" w:name="_Toc207800962"/>
      <w:r>
        <w:rPr>
          <w:rStyle w:val="CharSectno"/>
        </w:rPr>
        <w:t>12</w:t>
      </w:r>
      <w:r>
        <w:t>.</w:t>
      </w:r>
      <w:r>
        <w:tab/>
        <w:t>Delegation</w:t>
      </w:r>
      <w:bookmarkEnd w:id="17"/>
    </w:p>
    <w:p>
      <w:pPr>
        <w:pStyle w:val="Subsection"/>
      </w:pPr>
      <w:r>
        <w:tab/>
        <w:t>(1)</w:t>
      </w:r>
      <w:r>
        <w:tab/>
        <w:t>The Minister may delegate any power or duty of the Minister under another provision of this Act to a public service officer.</w:t>
      </w:r>
    </w:p>
    <w:p>
      <w:pPr>
        <w:pStyle w:val="Subsection"/>
      </w:pPr>
      <w:r>
        <w:tab/>
        <w:t>(2)</w:t>
      </w:r>
      <w:r>
        <w:tab/>
        <w:t>Without limiting subsection (1), the Minister may delegate any power or duty of the Minister under Part 5A to the Commissioner of State Revenue.</w:t>
      </w:r>
    </w:p>
    <w:p>
      <w:pPr>
        <w:pStyle w:val="Subsection"/>
      </w:pPr>
      <w:r>
        <w:tab/>
        <w:t>(2A)</w:t>
      </w:r>
      <w:r>
        <w:tab/>
        <w:t>The Commissioner of State Revenue may further delegate a power or duty delegated to the Commissioner under subsection (2) to a public service officer.</w:t>
      </w:r>
    </w:p>
    <w:p>
      <w:pPr>
        <w:pStyle w:val="Subsection"/>
      </w:pPr>
      <w:r>
        <w:tab/>
        <w:t>(3)</w:t>
      </w:r>
      <w:r>
        <w:tab/>
        <w:t>The Director General of Mines may delegate to a public service officer any power or duty of the Director General of Mines except this power of delegation.</w:t>
      </w:r>
    </w:p>
    <w:p>
      <w:pPr>
        <w:pStyle w:val="Subsection"/>
      </w:pPr>
      <w:r>
        <w:tab/>
        <w:t>(3A)</w:t>
      </w:r>
      <w:r>
        <w:tab/>
        <w:t>A person to whom a power is delegated under subsection (1) or (3) cannot further delegate that power or duty.</w:t>
      </w:r>
    </w:p>
    <w:p>
      <w:pPr>
        <w:pStyle w:val="Subsection"/>
      </w:pPr>
      <w:r>
        <w:lastRenderedPageBreak/>
        <w:tab/>
        <w:t>(4)</w:t>
      </w:r>
      <w:r>
        <w:tab/>
        <w:t>A delegation under subsection (1), (2), (2A) or (3) must be in writing signed by the person making the delegation.</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Minister, the Commissioner of State Revenue or the Director General of Mines to perform a function through an officer or agent.</w:t>
      </w:r>
    </w:p>
    <w:p>
      <w:pPr>
        <w:pStyle w:val="Footnotesection"/>
        <w:ind w:left="890" w:hanging="890"/>
      </w:pPr>
      <w:r>
        <w:tab/>
        <w:t>[Section 12 inserted: No. 31 of 2022 s. 6; amended: No. 7 of 2025 s. 7.]</w:t>
      </w:r>
    </w:p>
    <w:p>
      <w:pPr>
        <w:pStyle w:val="Heading5"/>
        <w:rPr>
          <w:snapToGrid w:val="0"/>
        </w:rPr>
      </w:pPr>
      <w:bookmarkStart w:id="18" w:name="_Toc207800963"/>
      <w:r>
        <w:rPr>
          <w:rStyle w:val="CharSectno"/>
        </w:rPr>
        <w:t>13</w:t>
      </w:r>
      <w:r>
        <w:rPr>
          <w:snapToGrid w:val="0"/>
        </w:rPr>
        <w:t>.</w:t>
      </w:r>
      <w:r>
        <w:rPr>
          <w:snapToGrid w:val="0"/>
        </w:rPr>
        <w:tab/>
      </w:r>
      <w:r>
        <w:t>Appointment of wardens of mines and mining registrar</w:t>
      </w:r>
      <w:bookmarkEnd w:id="18"/>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pPr>
      <w:r>
        <w:tab/>
        <w:t>(2)</w:t>
      </w:r>
      <w:r>
        <w:tab/>
        <w:t xml:space="preserve">A mining registrar is to be appointed under the </w:t>
      </w:r>
      <w:r>
        <w:rPr>
          <w:i/>
        </w:rPr>
        <w:t>Public Sector Management Act 1994</w:t>
      </w:r>
      <w:r>
        <w:rPr>
          <w:iCs/>
        </w:rPr>
        <w:t xml:space="preserve"> Part 3</w:t>
      </w:r>
      <w:r>
        <w:t>.</w:t>
      </w:r>
    </w:p>
    <w:p>
      <w:pPr>
        <w:pStyle w:val="Ednotesubsection"/>
      </w:pPr>
      <w:r>
        <w:tab/>
        <w:t>[(3), (4)</w:t>
      </w:r>
      <w:r>
        <w:tab/>
        <w:t>deleted]</w:t>
      </w:r>
    </w:p>
    <w:p>
      <w:pPr>
        <w:pStyle w:val="Footnotesection"/>
      </w:pPr>
      <w:r>
        <w:tab/>
        <w:t>[Section 13 amended: No. 100 of 1985 s. 7; No. 32 of 1994 s. 19; No. 39 of 2004 s. 48; No. 59 of 2004 s. 116; No. 39 of 2010 s. 89; No. 7 of 2025 s. 8.]</w:t>
      </w:r>
    </w:p>
    <w:p>
      <w:pPr>
        <w:pStyle w:val="Ednotesection"/>
      </w:pPr>
      <w:r>
        <w:t>[</w:t>
      </w:r>
      <w:r>
        <w:rPr>
          <w:b/>
          <w:bCs/>
        </w:rPr>
        <w:t>14.</w:t>
      </w:r>
      <w:r>
        <w:tab/>
        <w:t>Deleted: No. 39 of 2004 s. 49.]</w:t>
      </w:r>
    </w:p>
    <w:p>
      <w:pPr>
        <w:pStyle w:val="Heading5"/>
        <w:spacing w:before="260"/>
        <w:rPr>
          <w:snapToGrid w:val="0"/>
        </w:rPr>
      </w:pPr>
      <w:bookmarkStart w:id="19" w:name="_Toc207800964"/>
      <w:r>
        <w:rPr>
          <w:rStyle w:val="CharSectno"/>
        </w:rPr>
        <w:t>15</w:t>
      </w:r>
      <w:r>
        <w:rPr>
          <w:snapToGrid w:val="0"/>
        </w:rPr>
        <w:t>.</w:t>
      </w:r>
      <w:r>
        <w:rPr>
          <w:snapToGrid w:val="0"/>
        </w:rPr>
        <w:tab/>
        <w:t>Prohibition from adjudicating in certain matters or from using certain information</w:t>
      </w:r>
      <w:bookmarkEnd w:id="19"/>
    </w:p>
    <w:p>
      <w:pPr>
        <w:pStyle w:val="Subsection"/>
      </w:pPr>
      <w:r>
        <w:tab/>
        <w:t>(1)</w:t>
      </w:r>
      <w:r>
        <w:tab/>
        <w:t xml:space="preserve">A warden who acts or adjudicates in any matter in which the warden has directly or indirectly any pecuniary interest, is guilty of a crime unless — </w:t>
      </w:r>
    </w:p>
    <w:p>
      <w:pPr>
        <w:pStyle w:val="Indenta"/>
      </w:pPr>
      <w:r>
        <w:lastRenderedPageBreak/>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for this subsection: imprisonment for 2 years or a fine of $1 000.</w:t>
      </w:r>
    </w:p>
    <w:p>
      <w:pPr>
        <w:pStyle w:val="Subsection"/>
      </w:pPr>
      <w:r>
        <w:tab/>
        <w:t>(2)</w:t>
      </w:r>
      <w:r>
        <w:tab/>
        <w:t>A warden or public service officer who uses official information for the purpose of personal gain commits a crime.</w:t>
      </w:r>
    </w:p>
    <w:p>
      <w:pPr>
        <w:pStyle w:val="Penstart"/>
      </w:pPr>
      <w:r>
        <w:tab/>
        <w:t>Penalty for this subsection: imprisonment for 2 years or a fine of $1 000.</w:t>
      </w:r>
    </w:p>
    <w:p>
      <w:pPr>
        <w:pStyle w:val="Subsection"/>
      </w:pPr>
      <w:r>
        <w:tab/>
        <w:t>(3)</w:t>
      </w:r>
      <w:r>
        <w:tab/>
        <w:t xml:space="preserve">In subsection (2) — </w:t>
      </w:r>
    </w:p>
    <w:p>
      <w:pPr>
        <w:pStyle w:val="Defstart"/>
      </w:pPr>
      <w:r>
        <w:tab/>
      </w:r>
      <w:r>
        <w:rPr>
          <w:rStyle w:val="CharDefText"/>
        </w:rPr>
        <w:t>official information</w:t>
      </w:r>
      <w:r>
        <w:t xml:space="preserve"> means information that a person obtains in the course of, or because of, the person’s office, position, employment or engagement under, or for the purposes of, this Act.</w:t>
      </w:r>
    </w:p>
    <w:p>
      <w:pPr>
        <w:pStyle w:val="Footnotesection"/>
        <w:ind w:left="890" w:hanging="890"/>
      </w:pPr>
      <w:r>
        <w:tab/>
        <w:t>[Section 15 amended: No. 100 of 1985 s. 9; No. 70 of 2004 s. 82; No. 51 of 2012 s. 6; No. 7 of 2025 s. 9.]</w:t>
      </w:r>
    </w:p>
    <w:p>
      <w:pPr>
        <w:pStyle w:val="Heading5"/>
        <w:spacing w:before="260"/>
        <w:rPr>
          <w:snapToGrid w:val="0"/>
        </w:rPr>
      </w:pPr>
      <w:bookmarkStart w:id="20" w:name="_Toc207800965"/>
      <w:r>
        <w:rPr>
          <w:rStyle w:val="CharSectno"/>
        </w:rPr>
        <w:t>16</w:t>
      </w:r>
      <w:r>
        <w:rPr>
          <w:snapToGrid w:val="0"/>
        </w:rPr>
        <w:t>.</w:t>
      </w:r>
      <w:r>
        <w:rPr>
          <w:snapToGrid w:val="0"/>
        </w:rPr>
        <w:tab/>
      </w:r>
      <w:r>
        <w:t>Constitution of mineral fields and dealings with Crown land in them</w:t>
      </w:r>
      <w:bookmarkEnd w:id="20"/>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 xml:space="preserve">Any part of the State that was immediately before the commencing date a mineral field or district thereof or a goldfield or district thereof under the repealed Act, shall be </w:t>
      </w:r>
      <w:r>
        <w:rPr>
          <w:snapToGrid w:val="0"/>
        </w:rPr>
        <w:lastRenderedPageBreak/>
        <w:t>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21" w:name="_Toc207800966"/>
      <w:r>
        <w:rPr>
          <w:rStyle w:val="CharSectno"/>
        </w:rPr>
        <w:t>17</w:t>
      </w:r>
      <w:r>
        <w:t>.</w:t>
      </w:r>
      <w:r>
        <w:tab/>
        <w:t>Designated tenement contact</w:t>
      </w:r>
      <w:bookmarkEnd w:id="21"/>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lastRenderedPageBreak/>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31 of 2022 s. 7; No. 39 of 2022 s. 5.]</w:t>
      </w:r>
    </w:p>
    <w:p>
      <w:pPr>
        <w:pStyle w:val="Heading2"/>
      </w:pPr>
      <w:bookmarkStart w:id="22" w:name="_Toc207365822"/>
      <w:bookmarkStart w:id="23" w:name="_Toc207800967"/>
      <w:r>
        <w:rPr>
          <w:rStyle w:val="CharPartNo"/>
        </w:rPr>
        <w:lastRenderedPageBreak/>
        <w:t>Part III</w:t>
      </w:r>
      <w:r>
        <w:t> — </w:t>
      </w:r>
      <w:r>
        <w:rPr>
          <w:rStyle w:val="CharPartText"/>
        </w:rPr>
        <w:t>Land open for mining</w:t>
      </w:r>
      <w:bookmarkEnd w:id="22"/>
      <w:bookmarkEnd w:id="23"/>
    </w:p>
    <w:p>
      <w:pPr>
        <w:pStyle w:val="Heading3"/>
      </w:pPr>
      <w:bookmarkStart w:id="24" w:name="_Toc207365823"/>
      <w:bookmarkStart w:id="25" w:name="_Toc207800968"/>
      <w:r>
        <w:rPr>
          <w:rStyle w:val="CharDivNo"/>
        </w:rPr>
        <w:t>Division 1</w:t>
      </w:r>
      <w:r>
        <w:rPr>
          <w:snapToGrid w:val="0"/>
        </w:rPr>
        <w:t> — </w:t>
      </w:r>
      <w:r>
        <w:rPr>
          <w:rStyle w:val="CharDivText"/>
        </w:rPr>
        <w:t>Crown land</w:t>
      </w:r>
      <w:bookmarkEnd w:id="24"/>
      <w:bookmarkEnd w:id="25"/>
    </w:p>
    <w:p>
      <w:pPr>
        <w:pStyle w:val="Heading5"/>
        <w:rPr>
          <w:snapToGrid w:val="0"/>
        </w:rPr>
      </w:pPr>
      <w:bookmarkStart w:id="26" w:name="_Toc207800969"/>
      <w:r>
        <w:rPr>
          <w:rStyle w:val="CharSectno"/>
        </w:rPr>
        <w:t>18</w:t>
      </w:r>
      <w:r>
        <w:rPr>
          <w:snapToGrid w:val="0"/>
        </w:rPr>
        <w:t>.</w:t>
      </w:r>
      <w:r>
        <w:rPr>
          <w:snapToGrid w:val="0"/>
        </w:rPr>
        <w:tab/>
        <w:t>Crown land open for mining</w:t>
      </w:r>
      <w:bookmarkEnd w:id="2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7" w:name="_Toc207800970"/>
      <w:r>
        <w:rPr>
          <w:rStyle w:val="CharSectno"/>
        </w:rPr>
        <w:t>19</w:t>
      </w:r>
      <w:r>
        <w:rPr>
          <w:snapToGrid w:val="0"/>
        </w:rPr>
        <w:t>.</w:t>
      </w:r>
      <w:r>
        <w:rPr>
          <w:snapToGrid w:val="0"/>
        </w:rPr>
        <w:tab/>
        <w:t>Minister may exempt land from mining etc.</w:t>
      </w:r>
      <w:bookmarkEnd w:id="27"/>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28" w:name="_Toc207800971"/>
      <w:r>
        <w:rPr>
          <w:rStyle w:val="CharSectno"/>
        </w:rPr>
        <w:t>20</w:t>
      </w:r>
      <w:r>
        <w:rPr>
          <w:snapToGrid w:val="0"/>
        </w:rPr>
        <w:t>.</w:t>
      </w:r>
      <w:r>
        <w:rPr>
          <w:snapToGrid w:val="0"/>
        </w:rPr>
        <w:tab/>
        <w:t>Protection of certain Crown land</w:t>
      </w:r>
      <w:bookmarkEnd w:id="28"/>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pPr>
      <w:r>
        <w:tab/>
        <w:t>(i)</w:t>
      </w:r>
      <w:r>
        <w:tab/>
        <w:t>take all necessary steps to prevent damage or injury to property or livestock whether resulting from fire, the presence of dogs, the discharge of firearms, the use of vehicles or any other cause;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31 of 2022 s. 8; No. 4 of 2023 s. 133.]</w:t>
      </w:r>
    </w:p>
    <w:p>
      <w:pPr>
        <w:pStyle w:val="Ednotesection"/>
      </w:pPr>
      <w:r>
        <w:t>[</w:t>
      </w:r>
      <w:r>
        <w:rPr>
          <w:b/>
          <w:bCs/>
        </w:rPr>
        <w:t>20A-20C.</w:t>
      </w:r>
      <w:r>
        <w:tab/>
        <w:t>Deleted: No. 51 of 2012 s. 9.]</w:t>
      </w:r>
    </w:p>
    <w:p>
      <w:pPr>
        <w:pStyle w:val="Heading5"/>
        <w:spacing w:before="180"/>
        <w:rPr>
          <w:snapToGrid w:val="0"/>
        </w:rPr>
      </w:pPr>
      <w:bookmarkStart w:id="29" w:name="_Toc207800972"/>
      <w:r>
        <w:rPr>
          <w:rStyle w:val="CharSectno"/>
        </w:rPr>
        <w:t>21</w:t>
      </w:r>
      <w:r>
        <w:rPr>
          <w:snapToGrid w:val="0"/>
        </w:rPr>
        <w:t>.</w:t>
      </w:r>
      <w:r>
        <w:rPr>
          <w:snapToGrid w:val="0"/>
        </w:rPr>
        <w:tab/>
        <w:t>Power to resume land</w:t>
      </w:r>
      <w:bookmarkEnd w:id="29"/>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0" w:name="_Toc207800973"/>
      <w:r>
        <w:rPr>
          <w:rStyle w:val="CharSectno"/>
        </w:rPr>
        <w:t>22</w:t>
      </w:r>
      <w:r>
        <w:rPr>
          <w:snapToGrid w:val="0"/>
        </w:rPr>
        <w:t>.</w:t>
      </w:r>
      <w:r>
        <w:rPr>
          <w:snapToGrid w:val="0"/>
        </w:rPr>
        <w:tab/>
        <w:t>Effect of resumption</w:t>
      </w:r>
      <w:bookmarkEnd w:id="30"/>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1" w:name="_Toc207365829"/>
      <w:bookmarkStart w:id="32" w:name="_Toc207800974"/>
      <w:r>
        <w:rPr>
          <w:rStyle w:val="CharDivNo"/>
        </w:rPr>
        <w:t>Division 2</w:t>
      </w:r>
      <w:r>
        <w:rPr>
          <w:snapToGrid w:val="0"/>
        </w:rPr>
        <w:t> — </w:t>
      </w:r>
      <w:r>
        <w:rPr>
          <w:rStyle w:val="CharDivText"/>
        </w:rPr>
        <w:t>Public reserves, etc. and Commonwealth land</w:t>
      </w:r>
      <w:bookmarkEnd w:id="31"/>
      <w:bookmarkEnd w:id="32"/>
    </w:p>
    <w:p>
      <w:pPr>
        <w:pStyle w:val="Footnoteheading"/>
      </w:pPr>
      <w:r>
        <w:tab/>
        <w:t>[Heading amended: No. 51 of 2012 s. 11.]</w:t>
      </w:r>
    </w:p>
    <w:p>
      <w:pPr>
        <w:pStyle w:val="Heading5"/>
      </w:pPr>
      <w:bookmarkStart w:id="33" w:name="_Toc207800975"/>
      <w:r>
        <w:rPr>
          <w:rStyle w:val="CharSectno"/>
        </w:rPr>
        <w:t>23</w:t>
      </w:r>
      <w:r>
        <w:t>.</w:t>
      </w:r>
      <w:r>
        <w:tab/>
        <w:t>Mining on public reserves etc. and Commonwealth land</w:t>
      </w:r>
      <w:bookmarkEnd w:id="33"/>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34" w:name="_Toc207800976"/>
      <w:r>
        <w:rPr>
          <w:rStyle w:val="CharSectno"/>
        </w:rPr>
        <w:lastRenderedPageBreak/>
        <w:t>24</w:t>
      </w:r>
      <w:r>
        <w:rPr>
          <w:snapToGrid w:val="0"/>
        </w:rPr>
        <w:t>.</w:t>
      </w:r>
      <w:r>
        <w:rPr>
          <w:snapToGrid w:val="0"/>
        </w:rPr>
        <w:tab/>
        <w:t>Classification of reserves</w:t>
      </w:r>
      <w:bookmarkEnd w:id="34"/>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5" w:name="_Toc207800977"/>
      <w:r>
        <w:rPr>
          <w:rStyle w:val="CharSectno"/>
        </w:rPr>
        <w:lastRenderedPageBreak/>
        <w:t>24A</w:t>
      </w:r>
      <w:r>
        <w:rPr>
          <w:snapToGrid w:val="0"/>
        </w:rPr>
        <w:t>.</w:t>
      </w:r>
      <w:r>
        <w:rPr>
          <w:snapToGrid w:val="0"/>
        </w:rPr>
        <w:tab/>
        <w:t>Mining in marine reserves</w:t>
      </w:r>
      <w:bookmarkEnd w:id="35"/>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6" w:name="_Toc207800978"/>
      <w:r>
        <w:rPr>
          <w:rStyle w:val="CharSectno"/>
        </w:rPr>
        <w:t>25</w:t>
      </w:r>
      <w:r>
        <w:rPr>
          <w:snapToGrid w:val="0"/>
        </w:rPr>
        <w:t>.</w:t>
      </w:r>
      <w:r>
        <w:rPr>
          <w:snapToGrid w:val="0"/>
        </w:rPr>
        <w:tab/>
        <w:t>Mining on foreshore, sea bed, navigable waters or townsite</w:t>
      </w:r>
      <w:bookmarkEnd w:id="36"/>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7" w:name="_Toc207800979"/>
      <w:r>
        <w:rPr>
          <w:rStyle w:val="CharSectno"/>
        </w:rPr>
        <w:t>25A</w:t>
      </w:r>
      <w:r>
        <w:t>.</w:t>
      </w:r>
      <w:r>
        <w:tab/>
        <w:t>Mining on Commonwealth land</w:t>
      </w:r>
      <w:bookmarkEnd w:id="37"/>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38" w:name="_Toc207800980"/>
      <w:r>
        <w:rPr>
          <w:rStyle w:val="CharSectno"/>
        </w:rPr>
        <w:lastRenderedPageBreak/>
        <w:t>26</w:t>
      </w:r>
      <w:r>
        <w:rPr>
          <w:snapToGrid w:val="0"/>
        </w:rPr>
        <w:t>.</w:t>
      </w:r>
      <w:r>
        <w:rPr>
          <w:snapToGrid w:val="0"/>
        </w:rPr>
        <w:tab/>
        <w:t>Terms and conditions</w:t>
      </w:r>
      <w:bookmarkEnd w:id="38"/>
    </w:p>
    <w:p>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lastRenderedPageBreak/>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39" w:name="_Toc207800981"/>
      <w:r>
        <w:rPr>
          <w:rStyle w:val="CharSectno"/>
        </w:rPr>
        <w:t>26A</w:t>
      </w:r>
      <w:r>
        <w:rPr>
          <w:snapToGrid w:val="0"/>
        </w:rPr>
        <w:t>.</w:t>
      </w:r>
      <w:r>
        <w:rPr>
          <w:snapToGrid w:val="0"/>
        </w:rPr>
        <w:tab/>
        <w:t>Mining tenements within townsites</w:t>
      </w:r>
      <w:bookmarkEnd w:id="39"/>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w:t>
      </w:r>
      <w:r>
        <w:rPr>
          <w:snapToGrid w:val="0"/>
        </w:rPr>
        <w:lastRenderedPageBreak/>
        <w:t xml:space="preserve">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lastRenderedPageBreak/>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0" w:name="_Toc207365837"/>
      <w:bookmarkStart w:id="41" w:name="_Toc207800982"/>
      <w:r>
        <w:rPr>
          <w:rStyle w:val="CharDivNo"/>
        </w:rPr>
        <w:t>Division 3</w:t>
      </w:r>
      <w:r>
        <w:rPr>
          <w:snapToGrid w:val="0"/>
        </w:rPr>
        <w:t> — </w:t>
      </w:r>
      <w:r>
        <w:rPr>
          <w:rStyle w:val="CharDivText"/>
        </w:rPr>
        <w:t>Private land</w:t>
      </w:r>
      <w:bookmarkEnd w:id="40"/>
      <w:bookmarkEnd w:id="41"/>
    </w:p>
    <w:p>
      <w:pPr>
        <w:pStyle w:val="Heading5"/>
        <w:rPr>
          <w:snapToGrid w:val="0"/>
        </w:rPr>
      </w:pPr>
      <w:bookmarkStart w:id="42" w:name="_Toc207800983"/>
      <w:r>
        <w:rPr>
          <w:rStyle w:val="CharSectno"/>
        </w:rPr>
        <w:t>27</w:t>
      </w:r>
      <w:r>
        <w:rPr>
          <w:snapToGrid w:val="0"/>
        </w:rPr>
        <w:t>.</w:t>
      </w:r>
      <w:r>
        <w:rPr>
          <w:snapToGrid w:val="0"/>
        </w:rPr>
        <w:tab/>
        <w:t>Private land open for mining</w:t>
      </w:r>
      <w:bookmarkEnd w:id="4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43" w:name="_Toc207800984"/>
      <w:r>
        <w:rPr>
          <w:rStyle w:val="CharSectno"/>
        </w:rPr>
        <w:lastRenderedPageBreak/>
        <w:t>28</w:t>
      </w:r>
      <w:r>
        <w:rPr>
          <w:snapToGrid w:val="0"/>
        </w:rPr>
        <w:t>.</w:t>
      </w:r>
      <w:r>
        <w:rPr>
          <w:snapToGrid w:val="0"/>
        </w:rPr>
        <w:tab/>
        <w:t>Unlawful entry on private land</w:t>
      </w:r>
      <w:bookmarkEnd w:id="4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44" w:name="_Toc207800985"/>
      <w:r>
        <w:rPr>
          <w:rStyle w:val="CharSectno"/>
        </w:rPr>
        <w:t>29</w:t>
      </w:r>
      <w:r>
        <w:rPr>
          <w:snapToGrid w:val="0"/>
        </w:rPr>
        <w:t>.</w:t>
      </w:r>
      <w:r>
        <w:rPr>
          <w:snapToGrid w:val="0"/>
        </w:rPr>
        <w:tab/>
        <w:t>Granting of mining tenements in respect of private land</w:t>
      </w:r>
      <w:bookmarkEnd w:id="4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lastRenderedPageBreak/>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keepNext/>
        <w:rPr>
          <w:snapToGrid w:val="0"/>
        </w:rPr>
      </w:pPr>
      <w:r>
        <w:rPr>
          <w:snapToGrid w:val="0"/>
        </w:rPr>
        <w:lastRenderedPageBreak/>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lastRenderedPageBreak/>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45" w:name="_Toc207800986"/>
      <w:r>
        <w:rPr>
          <w:rStyle w:val="CharSectno"/>
        </w:rPr>
        <w:t>30</w:t>
      </w:r>
      <w:r>
        <w:rPr>
          <w:snapToGrid w:val="0"/>
        </w:rPr>
        <w:t>.</w:t>
      </w:r>
      <w:r>
        <w:rPr>
          <w:snapToGrid w:val="0"/>
        </w:rPr>
        <w:tab/>
        <w:t>Granting of permits in respect of private land</w:t>
      </w:r>
      <w:bookmarkEnd w:id="4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lastRenderedPageBreak/>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lastRenderedPageBreak/>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6" w:name="_Toc207800987"/>
      <w:r>
        <w:rPr>
          <w:rStyle w:val="CharSectno"/>
        </w:rPr>
        <w:t>31</w:t>
      </w:r>
      <w:r>
        <w:rPr>
          <w:snapToGrid w:val="0"/>
        </w:rPr>
        <w:t>.</w:t>
      </w:r>
      <w:r>
        <w:rPr>
          <w:snapToGrid w:val="0"/>
        </w:rPr>
        <w:tab/>
        <w:t>Holder of permit to give notice to owner and occupier</w:t>
      </w:r>
      <w:bookmarkEnd w:id="46"/>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w:t>
      </w:r>
      <w:r>
        <w:rPr>
          <w:snapToGrid w:val="0"/>
        </w:rPr>
        <w:lastRenderedPageBreak/>
        <w:t>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7" w:name="_Toc207800988"/>
      <w:r>
        <w:rPr>
          <w:rStyle w:val="CharSectno"/>
        </w:rPr>
        <w:lastRenderedPageBreak/>
        <w:t>32</w:t>
      </w:r>
      <w:r>
        <w:rPr>
          <w:snapToGrid w:val="0"/>
        </w:rPr>
        <w:t>.</w:t>
      </w:r>
      <w:r>
        <w:rPr>
          <w:snapToGrid w:val="0"/>
        </w:rPr>
        <w:tab/>
        <w:t>Rights conferred by a permit</w:t>
      </w:r>
      <w:bookmarkEnd w:id="47"/>
    </w:p>
    <w:p>
      <w:pPr>
        <w:pStyle w:val="Subsection"/>
        <w:keepNext/>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48" w:name="_Toc207800989"/>
      <w:r>
        <w:rPr>
          <w:rStyle w:val="CharSectno"/>
        </w:rPr>
        <w:lastRenderedPageBreak/>
        <w:t>33</w:t>
      </w:r>
      <w:r>
        <w:rPr>
          <w:snapToGrid w:val="0"/>
        </w:rPr>
        <w:t>.</w:t>
      </w:r>
      <w:r>
        <w:rPr>
          <w:snapToGrid w:val="0"/>
        </w:rPr>
        <w:tab/>
        <w:t>Application for mining tenement by permit holder</w:t>
      </w:r>
      <w:bookmarkEnd w:id="4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 xml:space="preserve">The owner and occupier of the private land or any portion of that land and any mortgagee referred to in subsection (1)(c) are entitled to be heard in relation to any application in respect of </w:t>
      </w:r>
      <w:r>
        <w:rPr>
          <w:snapToGrid w:val="0"/>
        </w:rPr>
        <w:lastRenderedPageBreak/>
        <w:t>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49" w:name="_Toc207800990"/>
      <w:r>
        <w:rPr>
          <w:rStyle w:val="CharSectno"/>
        </w:rPr>
        <w:t>35</w:t>
      </w:r>
      <w:r>
        <w:rPr>
          <w:snapToGrid w:val="0"/>
        </w:rPr>
        <w:t>.</w:t>
      </w:r>
      <w:r>
        <w:rPr>
          <w:snapToGrid w:val="0"/>
        </w:rPr>
        <w:tab/>
        <w:t>Compensation to be agreed upon or determined before mining operation commences</w:t>
      </w:r>
      <w:bookmarkEnd w:id="49"/>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lastRenderedPageBreak/>
        <w:t>[</w:t>
      </w:r>
      <w:r>
        <w:rPr>
          <w:b/>
        </w:rPr>
        <w:t>36.</w:t>
      </w:r>
      <w:r>
        <w:tab/>
        <w:t>Deleted: No. 69 of 1981 s. 14.]</w:t>
      </w:r>
    </w:p>
    <w:p>
      <w:pPr>
        <w:pStyle w:val="Heading5"/>
        <w:spacing w:before="120"/>
        <w:rPr>
          <w:snapToGrid w:val="0"/>
        </w:rPr>
      </w:pPr>
      <w:bookmarkStart w:id="50" w:name="_Toc207800991"/>
      <w:r>
        <w:rPr>
          <w:rStyle w:val="CharSectno"/>
        </w:rPr>
        <w:t>37</w:t>
      </w:r>
      <w:r>
        <w:rPr>
          <w:snapToGrid w:val="0"/>
        </w:rPr>
        <w:t>.</w:t>
      </w:r>
      <w:r>
        <w:rPr>
          <w:snapToGrid w:val="0"/>
        </w:rPr>
        <w:tab/>
        <w:t>Application to bring certain private land under this Division</w:t>
      </w:r>
      <w:bookmarkEnd w:id="50"/>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1" w:name="_Toc207800992"/>
      <w:r>
        <w:rPr>
          <w:rStyle w:val="CharSectno"/>
        </w:rPr>
        <w:t>38</w:t>
      </w:r>
      <w:r>
        <w:rPr>
          <w:snapToGrid w:val="0"/>
        </w:rPr>
        <w:t>.</w:t>
      </w:r>
      <w:r>
        <w:rPr>
          <w:snapToGrid w:val="0"/>
        </w:rPr>
        <w:tab/>
        <w:t>Right of owner to apply for mining tenement</w:t>
      </w:r>
      <w:bookmarkEnd w:id="51"/>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lastRenderedPageBreak/>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52" w:name="_Toc207800993"/>
      <w:r>
        <w:rPr>
          <w:rStyle w:val="CharSectno"/>
        </w:rPr>
        <w:t>39</w:t>
      </w:r>
      <w:r>
        <w:rPr>
          <w:snapToGrid w:val="0"/>
        </w:rPr>
        <w:t>.</w:t>
      </w:r>
      <w:r>
        <w:rPr>
          <w:snapToGrid w:val="0"/>
        </w:rPr>
        <w:tab/>
        <w:t>Owner to comply with mining tenement conditions</w:t>
      </w:r>
      <w:bookmarkEnd w:id="5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3" w:name="_Toc207365849"/>
      <w:bookmarkStart w:id="54" w:name="_Toc207800994"/>
      <w:r>
        <w:rPr>
          <w:rStyle w:val="CharPartNo"/>
        </w:rPr>
        <w:lastRenderedPageBreak/>
        <w:t>Part IIIA</w:t>
      </w:r>
      <w:r>
        <w:rPr>
          <w:rStyle w:val="CharDivNo"/>
        </w:rPr>
        <w:t> </w:t>
      </w:r>
      <w:r>
        <w:t>—</w:t>
      </w:r>
      <w:r>
        <w:rPr>
          <w:rStyle w:val="CharDivText"/>
        </w:rPr>
        <w:t> </w:t>
      </w:r>
      <w:r>
        <w:rPr>
          <w:rStyle w:val="CharPartText"/>
        </w:rPr>
        <w:t>Miner’s rights and related permits</w:t>
      </w:r>
      <w:bookmarkEnd w:id="53"/>
      <w:bookmarkEnd w:id="54"/>
    </w:p>
    <w:p>
      <w:pPr>
        <w:pStyle w:val="Footnoteheading"/>
      </w:pPr>
      <w:r>
        <w:tab/>
        <w:t>[Heading inserted: No. 51 of 2012 s. 15.]</w:t>
      </w:r>
    </w:p>
    <w:p>
      <w:pPr>
        <w:pStyle w:val="Heading5"/>
      </w:pPr>
      <w:bookmarkStart w:id="55" w:name="_Toc207800995"/>
      <w:r>
        <w:rPr>
          <w:rStyle w:val="CharSectno"/>
        </w:rPr>
        <w:t>40A</w:t>
      </w:r>
      <w:r>
        <w:t>.</w:t>
      </w:r>
      <w:r>
        <w:tab/>
        <w:t>Terms used</w:t>
      </w:r>
      <w:bookmarkEnd w:id="5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56" w:name="_Toc207800996"/>
      <w:r>
        <w:rPr>
          <w:rStyle w:val="CharSectno"/>
        </w:rPr>
        <w:t>40B</w:t>
      </w:r>
      <w:r>
        <w:t>.</w:t>
      </w:r>
      <w:r>
        <w:tab/>
        <w:t>Conservation land</w:t>
      </w:r>
      <w:bookmarkEnd w:id="5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7" w:name="_Toc207800997"/>
      <w:r>
        <w:rPr>
          <w:rStyle w:val="CharSectno"/>
        </w:rPr>
        <w:lastRenderedPageBreak/>
        <w:t>40C</w:t>
      </w:r>
      <w:r>
        <w:t>.</w:t>
      </w:r>
      <w:r>
        <w:tab/>
        <w:t>Issue of miner’s right</w:t>
      </w:r>
      <w:bookmarkEnd w:id="57"/>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58" w:name="_Toc207800998"/>
      <w:r>
        <w:rPr>
          <w:rStyle w:val="CharSectno"/>
        </w:rPr>
        <w:t>40D</w:t>
      </w:r>
      <w:r>
        <w:t>.</w:t>
      </w:r>
      <w:r>
        <w:tab/>
        <w:t>Authorisation under miner’s right</w:t>
      </w:r>
      <w:bookmarkEnd w:id="58"/>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must take all necessary steps to prevent damage or injury to property or livestock whether resulting from fire, the presence of dogs, the discharge of firearms, the use of vehicles or any other cause.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 amended: No. 31 of 2022 s. 9.]</w:t>
      </w:r>
    </w:p>
    <w:p>
      <w:pPr>
        <w:pStyle w:val="Heading5"/>
        <w:pageBreakBefore/>
        <w:spacing w:before="0"/>
      </w:pPr>
      <w:bookmarkStart w:id="59" w:name="_Toc207800999"/>
      <w:r>
        <w:rPr>
          <w:rStyle w:val="CharSectno"/>
        </w:rPr>
        <w:lastRenderedPageBreak/>
        <w:t>40E</w:t>
      </w:r>
      <w:r>
        <w:t>.</w:t>
      </w:r>
      <w:r>
        <w:tab/>
        <w:t>Permit to prospect on Crown land or conservation land subject of exploration licence</w:t>
      </w:r>
      <w:bookmarkEnd w:id="5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0" w:name="_Toc207801000"/>
      <w:r>
        <w:rPr>
          <w:rStyle w:val="CharSectno"/>
        </w:rPr>
        <w:t>40F</w:t>
      </w:r>
      <w:r>
        <w:t>.</w:t>
      </w:r>
      <w:r>
        <w:tab/>
        <w:t>Power to remove Crown land or conservation land from operation of s. 40E</w:t>
      </w:r>
      <w:bookmarkEnd w:id="60"/>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61" w:name="_Toc207801001"/>
      <w:r>
        <w:rPr>
          <w:rStyle w:val="CharSectno"/>
        </w:rPr>
        <w:t>40G</w:t>
      </w:r>
      <w:r>
        <w:t>.</w:t>
      </w:r>
      <w:r>
        <w:tab/>
        <w:t>Limitation on actions in tort</w:t>
      </w:r>
      <w:bookmarkEnd w:id="61"/>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62" w:name="_Toc207365857"/>
      <w:bookmarkStart w:id="63" w:name="_Toc207801002"/>
      <w:r>
        <w:rPr>
          <w:rStyle w:val="CharPartNo"/>
        </w:rPr>
        <w:lastRenderedPageBreak/>
        <w:t>Part IV</w:t>
      </w:r>
      <w:r>
        <w:t> — </w:t>
      </w:r>
      <w:r>
        <w:rPr>
          <w:rStyle w:val="CharPartText"/>
        </w:rPr>
        <w:t>Mining tenements</w:t>
      </w:r>
      <w:bookmarkEnd w:id="62"/>
      <w:bookmarkEnd w:id="63"/>
    </w:p>
    <w:p>
      <w:pPr>
        <w:pStyle w:val="Heading3"/>
      </w:pPr>
      <w:bookmarkStart w:id="64" w:name="_Toc207365858"/>
      <w:bookmarkStart w:id="65" w:name="_Toc207801003"/>
      <w:r>
        <w:rPr>
          <w:rStyle w:val="CharDivNo"/>
        </w:rPr>
        <w:t>Division 1</w:t>
      </w:r>
      <w:r>
        <w:rPr>
          <w:snapToGrid w:val="0"/>
        </w:rPr>
        <w:t> — </w:t>
      </w:r>
      <w:r>
        <w:rPr>
          <w:rStyle w:val="CharDivText"/>
        </w:rPr>
        <w:t>Prospecting licence</w:t>
      </w:r>
      <w:bookmarkEnd w:id="64"/>
      <w:bookmarkEnd w:id="65"/>
    </w:p>
    <w:p>
      <w:pPr>
        <w:pStyle w:val="Ednotesection"/>
      </w:pPr>
      <w:r>
        <w:t>[</w:t>
      </w:r>
      <w:r>
        <w:rPr>
          <w:b/>
        </w:rPr>
        <w:t>39A.</w:t>
      </w:r>
      <w:r>
        <w:rPr>
          <w:b/>
        </w:rPr>
        <w:tab/>
      </w:r>
      <w:r>
        <w:t>Deleted: No. 52 of 1995 s. 21.]</w:t>
      </w:r>
    </w:p>
    <w:p>
      <w:pPr>
        <w:pStyle w:val="Heading5"/>
        <w:rPr>
          <w:snapToGrid w:val="0"/>
        </w:rPr>
      </w:pPr>
      <w:bookmarkStart w:id="66" w:name="_Toc207801004"/>
      <w:r>
        <w:rPr>
          <w:rStyle w:val="CharSectno"/>
        </w:rPr>
        <w:t>40</w:t>
      </w:r>
      <w:r>
        <w:rPr>
          <w:snapToGrid w:val="0"/>
        </w:rPr>
        <w:t>.</w:t>
      </w:r>
      <w:r>
        <w:rPr>
          <w:snapToGrid w:val="0"/>
        </w:rPr>
        <w:tab/>
        <w:t>Grant of prospecting licence</w:t>
      </w:r>
      <w:bookmarkEnd w:id="6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67" w:name="_Toc207801005"/>
      <w:r>
        <w:rPr>
          <w:rStyle w:val="CharSectno"/>
        </w:rPr>
        <w:t>41</w:t>
      </w:r>
      <w:r>
        <w:rPr>
          <w:snapToGrid w:val="0"/>
        </w:rPr>
        <w:t>.</w:t>
      </w:r>
      <w:r>
        <w:rPr>
          <w:snapToGrid w:val="0"/>
        </w:rPr>
        <w:tab/>
        <w:t>Application for prospecting licence</w:t>
      </w:r>
      <w:bookmarkEnd w:id="6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68" w:name="_Toc207801006"/>
      <w:r>
        <w:rPr>
          <w:rStyle w:val="CharSectno"/>
        </w:rPr>
        <w:t>42</w:t>
      </w:r>
      <w:r>
        <w:rPr>
          <w:snapToGrid w:val="0"/>
        </w:rPr>
        <w:t>.</w:t>
      </w:r>
      <w:r>
        <w:rPr>
          <w:snapToGrid w:val="0"/>
        </w:rPr>
        <w:tab/>
        <w:t>Determination of application for prospecting licence</w:t>
      </w:r>
      <w:bookmarkEnd w:id="68"/>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69" w:name="_Toc207801007"/>
      <w:r>
        <w:rPr>
          <w:rStyle w:val="CharSectno"/>
        </w:rPr>
        <w:t>43</w:t>
      </w:r>
      <w:r>
        <w:t>.</w:t>
      </w:r>
      <w:r>
        <w:tab/>
        <w:t>Prospecting licence not to include land already subject of mining tenement</w:t>
      </w:r>
      <w:bookmarkEnd w:id="6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70" w:name="_Toc207801008"/>
      <w:r>
        <w:rPr>
          <w:rStyle w:val="CharSectno"/>
        </w:rPr>
        <w:t>44</w:t>
      </w:r>
      <w:r>
        <w:rPr>
          <w:snapToGrid w:val="0"/>
        </w:rPr>
        <w:t>.</w:t>
      </w:r>
      <w:r>
        <w:rPr>
          <w:snapToGrid w:val="0"/>
        </w:rPr>
        <w:tab/>
        <w:t>Power to grant prospecting licence over all or part of land in application</w:t>
      </w:r>
      <w:bookmarkEnd w:id="7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71" w:name="_Toc207801009"/>
      <w:r>
        <w:rPr>
          <w:rStyle w:val="CharSectno"/>
        </w:rPr>
        <w:t>45</w:t>
      </w:r>
      <w:r>
        <w:rPr>
          <w:snapToGrid w:val="0"/>
        </w:rPr>
        <w:t>.</w:t>
      </w:r>
      <w:r>
        <w:rPr>
          <w:snapToGrid w:val="0"/>
        </w:rPr>
        <w:tab/>
        <w:t>Term of prospecting licence</w:t>
      </w:r>
      <w:bookmarkEnd w:id="7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lastRenderedPageBreak/>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72" w:name="_Toc207801010"/>
      <w:r>
        <w:rPr>
          <w:rStyle w:val="CharSectno"/>
        </w:rPr>
        <w:t>46</w:t>
      </w:r>
      <w:r>
        <w:rPr>
          <w:snapToGrid w:val="0"/>
        </w:rPr>
        <w:t>.</w:t>
      </w:r>
      <w:r>
        <w:rPr>
          <w:snapToGrid w:val="0"/>
        </w:rPr>
        <w:tab/>
        <w:t>Conditions attached to every prospecting licence</w:t>
      </w:r>
      <w:bookmarkEnd w:id="7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w:t>
      </w:r>
      <w:r>
        <w:t>is taken</w:t>
      </w:r>
      <w:r>
        <w:rPr>
          <w:snapToGrid w:val="0"/>
        </w:rPr>
        <w:t xml:space="preserve">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Ednotepara"/>
        <w:spacing w:before="80"/>
        <w:ind w:left="1610" w:hanging="1610"/>
        <w:rPr>
          <w:snapToGrid w:val="0"/>
        </w:rPr>
      </w:pPr>
      <w:r>
        <w:rPr>
          <w:snapToGrid w:val="0"/>
        </w:rPr>
        <w:tab/>
        <w:t>[(aa)</w:t>
      </w:r>
      <w:r>
        <w:rPr>
          <w:snapToGrid w:val="0"/>
        </w:rPr>
        <w:tab/>
        <w:t>deleted]</w:t>
      </w:r>
    </w:p>
    <w:p>
      <w:pPr>
        <w:pStyle w:val="Indenta"/>
      </w:pPr>
      <w:r>
        <w:tab/>
        <w:t>(b)</w:t>
      </w:r>
      <w:r>
        <w:tab/>
        <w:t>that all holes, pits, trenches and other disturbances to the surface of the land the subject of the prospecting licence that are made while prospecting, and that are likely to endanger the safety of any person or animal, will be filled in or otherwise made safe;</w:t>
      </w:r>
    </w:p>
    <w:p>
      <w:pPr>
        <w:pStyle w:val="Indenta"/>
      </w:pPr>
      <w:r>
        <w:tab/>
        <w:t>(c)</w:t>
      </w:r>
      <w:r>
        <w:tab/>
        <w:t>that all necessary steps are taken by the holder to prevent damage or injury to property or livestock whether resulting from fire, the presence of dogs, the discharge of firearms, the use of vehicles or any other cause.</w:t>
      </w:r>
    </w:p>
    <w:p>
      <w:pPr>
        <w:pStyle w:val="Footnotesection"/>
      </w:pPr>
      <w:r>
        <w:tab/>
        <w:t>[Section 46 amended: No. 69 of 1981 s. 16; No. 100 of 1985 s. 32; No. 57 of 1997 s. 89(1); No. 39 of 2004 s. 6(1); No. 51 of 2012 s. 16; No. 31 of 2022 s. 10.]</w:t>
      </w:r>
    </w:p>
    <w:p>
      <w:pPr>
        <w:pStyle w:val="Ednotesection"/>
        <w:ind w:left="890" w:hanging="890"/>
      </w:pPr>
      <w:r>
        <w:t>[</w:t>
      </w:r>
      <w:r>
        <w:rPr>
          <w:b/>
        </w:rPr>
        <w:t>46A.</w:t>
      </w:r>
      <w:r>
        <w:tab/>
        <w:t>Deleted: No. 31 of 2022 s. 11.]</w:t>
      </w:r>
    </w:p>
    <w:p>
      <w:pPr>
        <w:pStyle w:val="Heading5"/>
        <w:spacing w:before="120"/>
        <w:rPr>
          <w:snapToGrid w:val="0"/>
        </w:rPr>
      </w:pPr>
      <w:bookmarkStart w:id="73" w:name="_Toc207801011"/>
      <w:r>
        <w:rPr>
          <w:rStyle w:val="CharSectno"/>
        </w:rPr>
        <w:lastRenderedPageBreak/>
        <w:t>47</w:t>
      </w:r>
      <w:r>
        <w:rPr>
          <w:snapToGrid w:val="0"/>
        </w:rPr>
        <w:t>.</w:t>
      </w:r>
      <w:r>
        <w:rPr>
          <w:snapToGrid w:val="0"/>
        </w:rPr>
        <w:tab/>
        <w:t>Survey of area of prospecting licence not required in first instance</w:t>
      </w:r>
      <w:bookmarkEnd w:id="73"/>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74" w:name="_Toc207801012"/>
      <w:r>
        <w:rPr>
          <w:rStyle w:val="CharSectno"/>
        </w:rPr>
        <w:t>48</w:t>
      </w:r>
      <w:r>
        <w:rPr>
          <w:snapToGrid w:val="0"/>
        </w:rPr>
        <w:t>.</w:t>
      </w:r>
      <w:r>
        <w:rPr>
          <w:snapToGrid w:val="0"/>
        </w:rPr>
        <w:tab/>
        <w:t>Rights conferred by prospecting licence</w:t>
      </w:r>
      <w:bookmarkEnd w:id="7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earth, soil, rock, stone, fluid or mineral bearing </w:t>
      </w:r>
      <w:r>
        <w:rPr>
          <w:snapToGrid w:val="0"/>
        </w:rPr>
        <w:lastRenderedPageBreak/>
        <w:t>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75" w:name="_Toc207801013"/>
      <w:r>
        <w:rPr>
          <w:rStyle w:val="CharSectno"/>
        </w:rPr>
        <w:t>49</w:t>
      </w:r>
      <w:r>
        <w:rPr>
          <w:snapToGrid w:val="0"/>
        </w:rPr>
        <w:t>.</w:t>
      </w:r>
      <w:r>
        <w:rPr>
          <w:snapToGrid w:val="0"/>
        </w:rPr>
        <w:tab/>
        <w:t>Holder of prospecting licence to have priority for grant of mining leases or general purpose leases</w:t>
      </w:r>
      <w:bookmarkEnd w:id="7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lastRenderedPageBreak/>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76" w:name="_Toc207801014"/>
      <w:r>
        <w:rPr>
          <w:rStyle w:val="CharSectno"/>
        </w:rPr>
        <w:t>50</w:t>
      </w:r>
      <w:r>
        <w:rPr>
          <w:snapToGrid w:val="0"/>
        </w:rPr>
        <w:t>.</w:t>
      </w:r>
      <w:r>
        <w:rPr>
          <w:snapToGrid w:val="0"/>
        </w:rPr>
        <w:tab/>
        <w:t>Compliance with expenditure conditions</w:t>
      </w:r>
      <w:bookmarkEnd w:id="76"/>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77" w:name="_Toc207801015"/>
      <w:r>
        <w:rPr>
          <w:rStyle w:val="CharSectno"/>
        </w:rPr>
        <w:lastRenderedPageBreak/>
        <w:t>51</w:t>
      </w:r>
      <w:r>
        <w:rPr>
          <w:snapToGrid w:val="0"/>
        </w:rPr>
        <w:t>.</w:t>
      </w:r>
      <w:r>
        <w:rPr>
          <w:snapToGrid w:val="0"/>
        </w:rPr>
        <w:tab/>
        <w:t>Reports of work and expenditure</w:t>
      </w:r>
      <w:bookmarkEnd w:id="77"/>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78" w:name="_Toc207801016"/>
      <w:r>
        <w:rPr>
          <w:rStyle w:val="CharSectno"/>
        </w:rPr>
        <w:t>51A</w:t>
      </w:r>
      <w:r>
        <w:t>.</w:t>
      </w:r>
      <w:r>
        <w:tab/>
        <w:t>Geological samples</w:t>
      </w:r>
      <w:bookmarkEnd w:id="7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79" w:name="_Toc207801017"/>
      <w:r>
        <w:rPr>
          <w:rStyle w:val="CharSectno"/>
        </w:rPr>
        <w:t>52</w:t>
      </w:r>
      <w:r>
        <w:rPr>
          <w:snapToGrid w:val="0"/>
        </w:rPr>
        <w:t>.</w:t>
      </w:r>
      <w:r>
        <w:rPr>
          <w:snapToGrid w:val="0"/>
        </w:rPr>
        <w:tab/>
        <w:t>Security relating to prospecting licence</w:t>
      </w:r>
      <w:bookmarkEnd w:id="7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Ednotesubsection"/>
      </w:pPr>
      <w:r>
        <w:tab/>
        <w:t>[(1a)</w:t>
      </w:r>
      <w:r>
        <w:tab/>
        <w:t>deleted]</w:t>
      </w:r>
    </w:p>
    <w:p>
      <w:pPr>
        <w:pStyle w:val="Subsection"/>
        <w:rPr>
          <w:snapToGrid w:val="0"/>
        </w:rPr>
      </w:pPr>
      <w:r>
        <w:rPr>
          <w:snapToGrid w:val="0"/>
        </w:rPr>
        <w:tab/>
        <w:t>(2)</w:t>
      </w:r>
      <w:r>
        <w:rPr>
          <w:snapToGrid w:val="0"/>
        </w:rPr>
        <w:tab/>
        <w:t>A security referred to in subsection (1)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lastRenderedPageBreak/>
        <w:tab/>
        <w:t>[Section 52 amended: No. 122 of 1982 s. 13; No. 100 of 1985 s. 36; No. 37 of 1993 s. 26; No. 58 of 1994 s. 11; No. 17 of 1999 s. 6(1) and (2); No. 12 of 2010 s. 19; No. 31 of 2022 s. 12.]</w:t>
      </w:r>
    </w:p>
    <w:p>
      <w:pPr>
        <w:pStyle w:val="Heading5"/>
      </w:pPr>
      <w:bookmarkStart w:id="80" w:name="_Toc207801018"/>
      <w:r>
        <w:rPr>
          <w:rStyle w:val="CharSectno"/>
        </w:rPr>
        <w:t>53</w:t>
      </w:r>
      <w:r>
        <w:t>.</w:t>
      </w:r>
      <w:r>
        <w:tab/>
        <w:t>Application for retention status</w:t>
      </w:r>
      <w:bookmarkEnd w:id="8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81" w:name="_Toc207801019"/>
      <w:r>
        <w:rPr>
          <w:rStyle w:val="CharSectno"/>
        </w:rPr>
        <w:t>54</w:t>
      </w:r>
      <w:r>
        <w:t>.</w:t>
      </w:r>
      <w:r>
        <w:tab/>
        <w:t>Approval of retention status</w:t>
      </w:r>
      <w:bookmarkEnd w:id="81"/>
    </w:p>
    <w:p>
      <w:pPr>
        <w:pStyle w:val="Subsection"/>
      </w:pPr>
      <w:r>
        <w:tab/>
        <w:t>(1)</w:t>
      </w:r>
      <w:r>
        <w:tab/>
        <w:t>The Minister may approve retention status for the whole or any part of the land the subject of a prospecting licence if satisfied that —</w:t>
      </w:r>
    </w:p>
    <w:p>
      <w:pPr>
        <w:pStyle w:val="Indenta"/>
      </w:pPr>
      <w:r>
        <w:lastRenderedPageBreak/>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lastRenderedPageBreak/>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82" w:name="_Toc207801020"/>
      <w:r>
        <w:rPr>
          <w:rStyle w:val="CharSectno"/>
        </w:rPr>
        <w:t>55</w:t>
      </w:r>
      <w:r>
        <w:t>.</w:t>
      </w:r>
      <w:r>
        <w:tab/>
        <w:t>Consultation with other Ministers</w:t>
      </w:r>
      <w:bookmarkEnd w:id="82"/>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83" w:name="_Toc207801021"/>
      <w:r>
        <w:rPr>
          <w:rStyle w:val="CharSectno"/>
        </w:rPr>
        <w:t>55A</w:t>
      </w:r>
      <w:r>
        <w:t>.</w:t>
      </w:r>
      <w:r>
        <w:tab/>
        <w:t>Programme of work</w:t>
      </w:r>
      <w:bookmarkEnd w:id="8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lastRenderedPageBreak/>
        <w:tab/>
        <w:t>(2)</w:t>
      </w:r>
      <w:r>
        <w:tab/>
        <w:t>Before imposing a condition under subsection (1), the Minister may require the holder of the licence to submit to the Minister a draft programme of work in an approved form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On and from giving notice in writing to the holder of the licence of the imposition of the condition, the condition has effect for all purposes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 amended: No. 31 of 2022 s. 13.]</w:t>
      </w:r>
    </w:p>
    <w:p>
      <w:pPr>
        <w:pStyle w:val="Heading5"/>
      </w:pPr>
      <w:bookmarkStart w:id="84" w:name="_Toc207801022"/>
      <w:r>
        <w:rPr>
          <w:rStyle w:val="CharSectno"/>
        </w:rPr>
        <w:t>55B</w:t>
      </w:r>
      <w:r>
        <w:t>.</w:t>
      </w:r>
      <w:r>
        <w:tab/>
        <w:t>Holder of prospecting licence with retention status may be required to apply for mining lease</w:t>
      </w:r>
      <w:bookmarkEnd w:id="8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lastRenderedPageBreak/>
        <w:tab/>
        <w:t>[Section 55B inserted: No. 39 of 2004 s. 22.]</w:t>
      </w:r>
    </w:p>
    <w:p>
      <w:pPr>
        <w:pStyle w:val="Heading5"/>
        <w:rPr>
          <w:snapToGrid w:val="0"/>
        </w:rPr>
      </w:pPr>
      <w:bookmarkStart w:id="85" w:name="_Toc207801023"/>
      <w:r>
        <w:rPr>
          <w:rStyle w:val="CharSectno"/>
        </w:rPr>
        <w:t>56</w:t>
      </w:r>
      <w:r>
        <w:rPr>
          <w:snapToGrid w:val="0"/>
        </w:rPr>
        <w:t>.</w:t>
      </w:r>
      <w:r>
        <w:rPr>
          <w:snapToGrid w:val="0"/>
        </w:rPr>
        <w:tab/>
        <w:t>Appeal against refusal to grant prospecting licence</w:t>
      </w:r>
      <w:bookmarkEnd w:id="8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86" w:name="_Toc207801024"/>
      <w:r>
        <w:rPr>
          <w:rStyle w:val="CharSectno"/>
        </w:rPr>
        <w:t>56A</w:t>
      </w:r>
      <w:r>
        <w:rPr>
          <w:snapToGrid w:val="0"/>
        </w:rPr>
        <w:t>.</w:t>
      </w:r>
      <w:r>
        <w:rPr>
          <w:snapToGrid w:val="0"/>
        </w:rPr>
        <w:tab/>
        <w:t>Special prospecting licences</w:t>
      </w:r>
      <w:bookmarkEnd w:id="86"/>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 xml:space="preserve">If the primary tenement was granted as a result of an application under section 56B or a reversion licence application, a special </w:t>
      </w:r>
      <w:r>
        <w:rPr>
          <w:snapToGrid w:val="0"/>
        </w:rPr>
        <w:lastRenderedPageBreak/>
        <w:t>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 xml:space="preserve">After hearing an objection referred to in subsection (4), the warden may refuse the application for the special prospecting </w:t>
      </w:r>
      <w:r>
        <w:rPr>
          <w:snapToGrid w:val="0"/>
        </w:rPr>
        <w:lastRenderedPageBreak/>
        <w:t>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lastRenderedPageBreak/>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 xml:space="preserve">continues in force notwithstanding that the holder of the primary tenement may apply for and be granted a </w:t>
      </w:r>
      <w:r>
        <w:rPr>
          <w:snapToGrid w:val="0"/>
        </w:rPr>
        <w:lastRenderedPageBreak/>
        <w:t>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 xml:space="preserve">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 xml:space="preserve">Where, before the determination of an application for a special prospecting licence in respect of land, the primary tenement is surrendered or forfeited or expires, the application is, by virtue of this subsection, converted into an application for a </w:t>
      </w:r>
      <w:r>
        <w:lastRenderedPageBreak/>
        <w:t>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 xml:space="preserve">prior to the surrender, forfeiture or expiry of the primary tenement the holder of the primary tenement makes a reversion licence application and a prospecting licence </w:t>
      </w:r>
      <w:r>
        <w:rPr>
          <w:snapToGrid w:val="0"/>
        </w:rPr>
        <w:lastRenderedPageBreak/>
        <w:t>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87" w:name="_Toc207801025"/>
      <w:r>
        <w:rPr>
          <w:rStyle w:val="CharSectno"/>
        </w:rPr>
        <w:t>56B</w:t>
      </w:r>
      <w:r>
        <w:t>.</w:t>
      </w:r>
      <w:r>
        <w:tab/>
        <w:t>Certain licence holders to have right to apply for further prospecting licence</w:t>
      </w:r>
      <w:bookmarkEnd w:id="87"/>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88" w:name="_Toc207365882"/>
      <w:bookmarkStart w:id="89" w:name="_Toc207801026"/>
      <w:r>
        <w:rPr>
          <w:rStyle w:val="CharDivNo"/>
        </w:rPr>
        <w:lastRenderedPageBreak/>
        <w:t>Division 2</w:t>
      </w:r>
      <w:r>
        <w:rPr>
          <w:snapToGrid w:val="0"/>
        </w:rPr>
        <w:t> — </w:t>
      </w:r>
      <w:r>
        <w:rPr>
          <w:rStyle w:val="CharDivText"/>
        </w:rPr>
        <w:t>Exploration licence</w:t>
      </w:r>
      <w:bookmarkEnd w:id="88"/>
      <w:bookmarkEnd w:id="89"/>
    </w:p>
    <w:p>
      <w:pPr>
        <w:pStyle w:val="Ednotesection"/>
        <w:ind w:left="890" w:hanging="890"/>
      </w:pPr>
      <w:r>
        <w:t>[</w:t>
      </w:r>
      <w:r>
        <w:rPr>
          <w:b/>
        </w:rPr>
        <w:t>56AA.</w:t>
      </w:r>
      <w:r>
        <w:tab/>
        <w:t>Deleted: No. 52 of 1995 s. 25.]</w:t>
      </w:r>
    </w:p>
    <w:p>
      <w:pPr>
        <w:pStyle w:val="Heading5"/>
        <w:keepNext w:val="0"/>
        <w:keepLines w:val="0"/>
        <w:rPr>
          <w:snapToGrid w:val="0"/>
        </w:rPr>
      </w:pPr>
      <w:bookmarkStart w:id="90" w:name="_Toc207801027"/>
      <w:r>
        <w:rPr>
          <w:rStyle w:val="CharSectno"/>
        </w:rPr>
        <w:t>56C</w:t>
      </w:r>
      <w:r>
        <w:rPr>
          <w:snapToGrid w:val="0"/>
        </w:rPr>
        <w:t>.</w:t>
      </w:r>
      <w:r>
        <w:rPr>
          <w:snapToGrid w:val="0"/>
        </w:rPr>
        <w:tab/>
        <w:t>Graticular sections</w:t>
      </w:r>
      <w:bookmarkEnd w:id="9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lastRenderedPageBreak/>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91" w:name="_Toc207801028"/>
      <w:r>
        <w:rPr>
          <w:rStyle w:val="CharSectno"/>
        </w:rPr>
        <w:t>57</w:t>
      </w:r>
      <w:r>
        <w:rPr>
          <w:snapToGrid w:val="0"/>
        </w:rPr>
        <w:t>.</w:t>
      </w:r>
      <w:r>
        <w:rPr>
          <w:snapToGrid w:val="0"/>
        </w:rPr>
        <w:tab/>
        <w:t>Grant of exploration licence</w:t>
      </w:r>
      <w:bookmarkEnd w:id="9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lastRenderedPageBreak/>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w:t>
      </w:r>
      <w:r>
        <w:rPr>
          <w:snapToGrid w:val="0"/>
        </w:rPr>
        <w:lastRenderedPageBreak/>
        <w:t xml:space="preserve">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lastRenderedPageBreak/>
        <w:tab/>
        <w:t>[Section 57 amended: No. 69 of 1981 s. 17; No. 122 of 1982 s. 17; No. 100 of 1985 s. 38; No. 22 of 1990 s. 16; No. 37 of 1993 s. 7; No. 58 of 1994 s. 13 and 15(2) and (3); No. 15 of 2002 s. 10; No. 39 of 2004 s. 12; No. 27 of 2005 s. 7.]</w:t>
      </w:r>
    </w:p>
    <w:p>
      <w:pPr>
        <w:pStyle w:val="Heading5"/>
      </w:pPr>
      <w:bookmarkStart w:id="92" w:name="_Toc207801029"/>
      <w:r>
        <w:rPr>
          <w:rStyle w:val="CharSectno"/>
        </w:rPr>
        <w:t>57A</w:t>
      </w:r>
      <w:r>
        <w:t>.</w:t>
      </w:r>
      <w:r>
        <w:tab/>
        <w:t>Designation of areas for purposes of s. 57(2aa)</w:t>
      </w:r>
      <w:bookmarkEnd w:id="9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93" w:name="_Toc207801030"/>
      <w:r>
        <w:rPr>
          <w:rStyle w:val="CharSectno"/>
        </w:rPr>
        <w:t>58</w:t>
      </w:r>
      <w:r>
        <w:rPr>
          <w:snapToGrid w:val="0"/>
        </w:rPr>
        <w:t>.</w:t>
      </w:r>
      <w:r>
        <w:rPr>
          <w:snapToGrid w:val="0"/>
        </w:rPr>
        <w:tab/>
        <w:t>Application for exploration licence</w:t>
      </w:r>
      <w:bookmarkEnd w:id="93"/>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lastRenderedPageBreak/>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 xml:space="preserve">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w:t>
      </w:r>
      <w:r>
        <w:rPr>
          <w:snapToGrid w:val="0"/>
        </w:rPr>
        <w:lastRenderedPageBreak/>
        <w:t>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94" w:name="_Toc207801031"/>
      <w:r>
        <w:rPr>
          <w:rStyle w:val="CharSectno"/>
        </w:rPr>
        <w:t>59</w:t>
      </w:r>
      <w:r>
        <w:rPr>
          <w:snapToGrid w:val="0"/>
        </w:rPr>
        <w:t>.</w:t>
      </w:r>
      <w:r>
        <w:rPr>
          <w:snapToGrid w:val="0"/>
        </w:rPr>
        <w:tab/>
        <w:t>Determination of application for exploration licence</w:t>
      </w:r>
      <w:bookmarkEnd w:id="94"/>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lastRenderedPageBreak/>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95" w:name="_Toc207801032"/>
      <w:r>
        <w:rPr>
          <w:rStyle w:val="CharSectno"/>
        </w:rPr>
        <w:t>60</w:t>
      </w:r>
      <w:r>
        <w:rPr>
          <w:snapToGrid w:val="0"/>
        </w:rPr>
        <w:t>.</w:t>
      </w:r>
      <w:r>
        <w:rPr>
          <w:snapToGrid w:val="0"/>
        </w:rPr>
        <w:tab/>
        <w:t>Security relating to exploration licence</w:t>
      </w:r>
      <w:bookmarkEnd w:id="95"/>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Ednotesubsection"/>
      </w:pPr>
      <w:r>
        <w:tab/>
        <w:t>[(1a)</w:t>
      </w:r>
      <w:r>
        <w:tab/>
        <w:t>deleted]</w:t>
      </w:r>
    </w:p>
    <w:p>
      <w:pPr>
        <w:pStyle w:val="Subsection"/>
        <w:spacing w:before="100"/>
        <w:rPr>
          <w:snapToGrid w:val="0"/>
        </w:rPr>
      </w:pPr>
      <w:r>
        <w:rPr>
          <w:snapToGrid w:val="0"/>
        </w:rPr>
        <w:tab/>
        <w:t>(2)</w:t>
      </w:r>
      <w:r>
        <w:rPr>
          <w:snapToGrid w:val="0"/>
        </w:rPr>
        <w:tab/>
        <w:t>A security referred to in subsection (1)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 No. 31 of 2022 s. 14.]</w:t>
      </w:r>
    </w:p>
    <w:p>
      <w:pPr>
        <w:pStyle w:val="Heading5"/>
        <w:rPr>
          <w:snapToGrid w:val="0"/>
        </w:rPr>
      </w:pPr>
      <w:bookmarkStart w:id="96" w:name="_Toc207801033"/>
      <w:r>
        <w:rPr>
          <w:rStyle w:val="CharSectno"/>
        </w:rPr>
        <w:lastRenderedPageBreak/>
        <w:t>61</w:t>
      </w:r>
      <w:r>
        <w:rPr>
          <w:snapToGrid w:val="0"/>
        </w:rPr>
        <w:t>.</w:t>
      </w:r>
      <w:r>
        <w:rPr>
          <w:snapToGrid w:val="0"/>
        </w:rPr>
        <w:tab/>
        <w:t>Term of exploration licence</w:t>
      </w:r>
      <w:bookmarkEnd w:id="96"/>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97" w:name="_Toc207801034"/>
      <w:r>
        <w:rPr>
          <w:rStyle w:val="CharSectno"/>
        </w:rPr>
        <w:t>62</w:t>
      </w:r>
      <w:r>
        <w:rPr>
          <w:snapToGrid w:val="0"/>
        </w:rPr>
        <w:t>.</w:t>
      </w:r>
      <w:r>
        <w:rPr>
          <w:snapToGrid w:val="0"/>
        </w:rPr>
        <w:tab/>
        <w:t>Expenditure conditions</w:t>
      </w:r>
      <w:bookmarkEnd w:id="97"/>
    </w:p>
    <w:p>
      <w:pPr>
        <w:pStyle w:val="Subsection"/>
        <w:rPr>
          <w:snapToGrid w:val="0"/>
        </w:rPr>
      </w:pPr>
      <w:r>
        <w:rPr>
          <w:snapToGrid w:val="0"/>
        </w:rPr>
        <w:tab/>
        <w:t>(1)</w:t>
      </w:r>
      <w:r>
        <w:rPr>
          <w:snapToGrid w:val="0"/>
        </w:rPr>
        <w:tab/>
        <w:t xml:space="preserve">During the currency of an exploration licence the holder thereof shall comply with the prescribed expenditure conditions relating </w:t>
      </w:r>
      <w:r>
        <w:rPr>
          <w:snapToGrid w:val="0"/>
        </w:rPr>
        <w:lastRenderedPageBreak/>
        <w:t>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98" w:name="_Toc207801035"/>
      <w:r>
        <w:rPr>
          <w:rStyle w:val="CharSectno"/>
        </w:rPr>
        <w:t>63</w:t>
      </w:r>
      <w:r>
        <w:rPr>
          <w:snapToGrid w:val="0"/>
        </w:rPr>
        <w:t>.</w:t>
      </w:r>
      <w:r>
        <w:rPr>
          <w:snapToGrid w:val="0"/>
        </w:rPr>
        <w:tab/>
      </w:r>
      <w:r>
        <w:t>Conditions attached to exploration licence</w:t>
      </w:r>
      <w:bookmarkEnd w:id="98"/>
    </w:p>
    <w:p>
      <w:pPr>
        <w:pStyle w:val="Subsection"/>
        <w:rPr>
          <w:snapToGrid w:val="0"/>
        </w:rPr>
      </w:pPr>
      <w:r>
        <w:rPr>
          <w:snapToGrid w:val="0"/>
        </w:rPr>
        <w:tab/>
      </w:r>
      <w:r>
        <w:rPr>
          <w:snapToGrid w:val="0"/>
        </w:rPr>
        <w:tab/>
        <w:t xml:space="preserve">Every exploration licence </w:t>
      </w:r>
      <w:r>
        <w:t>is taken</w:t>
      </w:r>
      <w:r>
        <w:rPr>
          <w:snapToGrid w:val="0"/>
        </w:rPr>
        <w:t xml:space="preserve">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Ednotepara"/>
      </w:pPr>
      <w:r>
        <w:tab/>
        <w:t>[(aa)</w:t>
      </w:r>
      <w:r>
        <w:tab/>
        <w:t>deleted]</w:t>
      </w:r>
    </w:p>
    <w:p>
      <w:pPr>
        <w:pStyle w:val="Indenta"/>
      </w:pPr>
      <w:r>
        <w:tab/>
        <w:t>(b)</w:t>
      </w:r>
      <w:r>
        <w:tab/>
        <w:t>will fill in or otherwise make safe all holes, pits, trenches and other disturbances to the surface of the land the subject of the exploration licence that are made while exploring for minerals, and that are likely to endanger the safety of any person or animal; and</w:t>
      </w:r>
    </w:p>
    <w:p>
      <w:pPr>
        <w:pStyle w:val="Indenta"/>
      </w:pPr>
      <w:r>
        <w:tab/>
        <w:t>(c)</w:t>
      </w:r>
      <w:r>
        <w:tab/>
        <w:t>will take all necessary steps to prevent damage or injury to property or livestock whether resulting from fire, the presence of dogs, the discharge of firearms, the use of vehicles or any other cause.</w:t>
      </w:r>
    </w:p>
    <w:p>
      <w:pPr>
        <w:pStyle w:val="Footnotesection"/>
      </w:pPr>
      <w:r>
        <w:tab/>
        <w:t>[Section 63 amended: No. 69 of 1981 s. 18; No. 100 of 1985 s. 42; No. 39 of 2004 s. 15(1); No. 51 of 2012 s. 19; No. 31 of 2022 s. 15.]</w:t>
      </w:r>
    </w:p>
    <w:p>
      <w:pPr>
        <w:pStyle w:val="Ednotesection"/>
        <w:ind w:left="890" w:hanging="890"/>
      </w:pPr>
      <w:r>
        <w:lastRenderedPageBreak/>
        <w:t>[</w:t>
      </w:r>
      <w:r>
        <w:rPr>
          <w:b/>
        </w:rPr>
        <w:t>63AA.</w:t>
      </w:r>
      <w:r>
        <w:tab/>
        <w:t>Deleted: No. 31 of 2022 s. 16.]</w:t>
      </w:r>
    </w:p>
    <w:p>
      <w:pPr>
        <w:pStyle w:val="Heading5"/>
        <w:rPr>
          <w:snapToGrid w:val="0"/>
        </w:rPr>
      </w:pPr>
      <w:bookmarkStart w:id="99" w:name="_Toc207801036"/>
      <w:r>
        <w:rPr>
          <w:rStyle w:val="CharSectno"/>
        </w:rPr>
        <w:t>63A</w:t>
      </w:r>
      <w:r>
        <w:rPr>
          <w:snapToGrid w:val="0"/>
        </w:rPr>
        <w:t>.</w:t>
      </w:r>
      <w:r>
        <w:rPr>
          <w:snapToGrid w:val="0"/>
        </w:rPr>
        <w:tab/>
        <w:t>When exploration licence liable to forfeiture</w:t>
      </w:r>
      <w:bookmarkEnd w:id="99"/>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 xml:space="preserve">any requirement under </w:t>
      </w:r>
      <w:r>
        <w:t>section 65(4), 69E(2), 103AV(1) or 115B(2)</w:t>
      </w:r>
      <w:r>
        <w:rPr>
          <w:snapToGrid w:val="0"/>
        </w:rPr>
        <w:t xml:space="preserve"> in relation to the exploration licence is not complied with; or</w:t>
      </w:r>
    </w:p>
    <w:p>
      <w:pPr>
        <w:pStyle w:val="Indenta"/>
      </w:pPr>
      <w:r>
        <w:tab/>
        <w:t>(b)</w:t>
      </w:r>
      <w:r>
        <w:tab/>
        <w:t xml:space="preserve">the terms and conditions of the exploration licence are not complied with, including — </w:t>
      </w:r>
    </w:p>
    <w:p>
      <w:pPr>
        <w:pStyle w:val="Indenti"/>
      </w:pPr>
      <w:r>
        <w:tab/>
        <w:t>(i)</w:t>
      </w:r>
      <w:r>
        <w:tab/>
        <w:t>the prescribed expenditure conditions referred to in section 62; and</w:t>
      </w:r>
    </w:p>
    <w:p>
      <w:pPr>
        <w:pStyle w:val="Indenti"/>
      </w:pPr>
      <w:r>
        <w:tab/>
        <w:t>(ii)</w:t>
      </w:r>
      <w:r>
        <w:tab/>
        <w:t>any conditions to which the licence is taken</w:t>
      </w:r>
      <w:r>
        <w:rPr>
          <w:snapToGrid w:val="0"/>
        </w:rPr>
        <w:t xml:space="preserve"> to be subject under section</w:t>
      </w:r>
      <w:r>
        <w:t xml:space="preserve"> 63, 103AE(1) or 103AG(3), (4) or (5); and </w:t>
      </w:r>
    </w:p>
    <w:p>
      <w:pPr>
        <w:pStyle w:val="Indenti"/>
      </w:pPr>
      <w:r>
        <w:tab/>
        <w:t>(iii)</w:t>
      </w:r>
      <w:r>
        <w:tab/>
        <w:t>any conditions imposed under section 69D(1) or 103AU(1);</w:t>
      </w:r>
    </w:p>
    <w:p>
      <w:pPr>
        <w:pStyle w:val="Indenta"/>
      </w:pPr>
      <w:r>
        <w:tab/>
      </w:r>
      <w:r>
        <w:tab/>
        <w:t>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 No. 31 of 2022 s. 17.]</w:t>
      </w:r>
    </w:p>
    <w:p>
      <w:pPr>
        <w:pStyle w:val="Heading5"/>
        <w:spacing w:before="280"/>
        <w:rPr>
          <w:snapToGrid w:val="0"/>
        </w:rPr>
      </w:pPr>
      <w:bookmarkStart w:id="100" w:name="_Toc207801037"/>
      <w:r>
        <w:rPr>
          <w:rStyle w:val="CharSectno"/>
        </w:rPr>
        <w:lastRenderedPageBreak/>
        <w:t>64</w:t>
      </w:r>
      <w:r>
        <w:rPr>
          <w:snapToGrid w:val="0"/>
        </w:rPr>
        <w:t>.</w:t>
      </w:r>
      <w:r>
        <w:rPr>
          <w:snapToGrid w:val="0"/>
        </w:rPr>
        <w:tab/>
        <w:t>Consent to dealing in exploration licence</w:t>
      </w:r>
      <w:bookmarkEnd w:id="100"/>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01" w:name="_Toc207801038"/>
      <w:r>
        <w:rPr>
          <w:rStyle w:val="CharSectno"/>
        </w:rPr>
        <w:lastRenderedPageBreak/>
        <w:t>65</w:t>
      </w:r>
      <w:r>
        <w:rPr>
          <w:snapToGrid w:val="0"/>
        </w:rPr>
        <w:t>.</w:t>
      </w:r>
      <w:r>
        <w:rPr>
          <w:snapToGrid w:val="0"/>
        </w:rPr>
        <w:tab/>
        <w:t>Surrender of certain areas subject to exploration licence</w:t>
      </w:r>
      <w:bookmarkEnd w:id="101"/>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lastRenderedPageBreak/>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lastRenderedPageBreak/>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02" w:name="_Toc207801039"/>
      <w:r>
        <w:rPr>
          <w:rStyle w:val="CharSectno"/>
        </w:rPr>
        <w:t>66</w:t>
      </w:r>
      <w:r>
        <w:rPr>
          <w:snapToGrid w:val="0"/>
        </w:rPr>
        <w:t>.</w:t>
      </w:r>
      <w:r>
        <w:rPr>
          <w:snapToGrid w:val="0"/>
        </w:rPr>
        <w:tab/>
        <w:t>Rights conferred by exploration licence</w:t>
      </w:r>
      <w:bookmarkEnd w:id="102"/>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earth, soil, rock, stone, fluid or mineral bearing substances in such amount, in total during the period for which the licence remains in force, as does not exceed </w:t>
      </w:r>
      <w:r>
        <w:rPr>
          <w:snapToGrid w:val="0"/>
        </w:rPr>
        <w:lastRenderedPageBreak/>
        <w:t>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03" w:name="_Toc207801040"/>
      <w:r>
        <w:rPr>
          <w:rStyle w:val="CharSectno"/>
        </w:rPr>
        <w:t>67</w:t>
      </w:r>
      <w:r>
        <w:rPr>
          <w:snapToGrid w:val="0"/>
        </w:rPr>
        <w:t>.</w:t>
      </w:r>
      <w:r>
        <w:rPr>
          <w:snapToGrid w:val="0"/>
        </w:rPr>
        <w:tab/>
        <w:t>Holder of exploration licence to have priority for grant of mining leases or general purpose leases</w:t>
      </w:r>
      <w:bookmarkEnd w:id="10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lastRenderedPageBreak/>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04" w:name="_Toc207801041"/>
      <w:r>
        <w:rPr>
          <w:rStyle w:val="CharSectno"/>
        </w:rPr>
        <w:t>67A</w:t>
      </w:r>
      <w:r>
        <w:rPr>
          <w:snapToGrid w:val="0"/>
        </w:rPr>
        <w:t>.</w:t>
      </w:r>
      <w:r>
        <w:rPr>
          <w:snapToGrid w:val="0"/>
        </w:rPr>
        <w:tab/>
        <w:t>Holder of exploration licence may apply to amalgamate secondary tenement</w:t>
      </w:r>
      <w:bookmarkEnd w:id="104"/>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w:t>
      </w:r>
      <w:r>
        <w:rPr>
          <w:snapToGrid w:val="0"/>
        </w:rPr>
        <w:lastRenderedPageBreak/>
        <w:t xml:space="preserve">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lastRenderedPageBreak/>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05" w:name="_Toc207801042"/>
      <w:r>
        <w:rPr>
          <w:rStyle w:val="CharSectno"/>
        </w:rPr>
        <w:t>68</w:t>
      </w:r>
      <w:r>
        <w:rPr>
          <w:snapToGrid w:val="0"/>
        </w:rPr>
        <w:t>.</w:t>
      </w:r>
      <w:r>
        <w:rPr>
          <w:snapToGrid w:val="0"/>
        </w:rPr>
        <w:tab/>
        <w:t>Holder of exploration licence to keep geological records</w:t>
      </w:r>
      <w:bookmarkEnd w:id="105"/>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 xml:space="preserve">The holder of an exploration licence shall at such times and in such manner as may be prescribed, file or cause to be filed a report of all work done on, and money expended in connection </w:t>
      </w:r>
      <w:r>
        <w:rPr>
          <w:snapToGrid w:val="0"/>
        </w:rPr>
        <w:lastRenderedPageBreak/>
        <w:t>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06" w:name="_Toc207801043"/>
      <w:r>
        <w:rPr>
          <w:rStyle w:val="CharSectno"/>
        </w:rPr>
        <w:t>69</w:t>
      </w:r>
      <w:r>
        <w:rPr>
          <w:snapToGrid w:val="0"/>
        </w:rPr>
        <w:t>.</w:t>
      </w:r>
      <w:r>
        <w:rPr>
          <w:snapToGrid w:val="0"/>
        </w:rPr>
        <w:tab/>
        <w:t>Land the subject of exploration licence not to be again marked out for a certain period</w:t>
      </w:r>
      <w:bookmarkEnd w:id="10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07" w:name="_Toc207801044"/>
      <w:r>
        <w:rPr>
          <w:rStyle w:val="CharSectno"/>
        </w:rPr>
        <w:lastRenderedPageBreak/>
        <w:t>69A</w:t>
      </w:r>
      <w:r>
        <w:t>.</w:t>
      </w:r>
      <w:r>
        <w:tab/>
        <w:t>Application for retention status</w:t>
      </w:r>
      <w:bookmarkEnd w:id="107"/>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08" w:name="_Toc207801045"/>
      <w:r>
        <w:rPr>
          <w:rStyle w:val="CharSectno"/>
        </w:rPr>
        <w:t>69B</w:t>
      </w:r>
      <w:r>
        <w:t>.</w:t>
      </w:r>
      <w:r>
        <w:tab/>
        <w:t>Approval of retention status</w:t>
      </w:r>
      <w:bookmarkEnd w:id="10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lastRenderedPageBreak/>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09" w:name="_Toc207801046"/>
      <w:r>
        <w:rPr>
          <w:rStyle w:val="CharSectno"/>
        </w:rPr>
        <w:lastRenderedPageBreak/>
        <w:t>69C</w:t>
      </w:r>
      <w:r>
        <w:t>.</w:t>
      </w:r>
      <w:r>
        <w:tab/>
        <w:t>Consultation with other Ministers</w:t>
      </w:r>
      <w:bookmarkEnd w:id="109"/>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10" w:name="_Toc207801047"/>
      <w:r>
        <w:rPr>
          <w:rStyle w:val="CharSectno"/>
        </w:rPr>
        <w:t>69D</w:t>
      </w:r>
      <w:r>
        <w:t>.</w:t>
      </w:r>
      <w:r>
        <w:tab/>
        <w:t>Programme of work</w:t>
      </w:r>
      <w:bookmarkEnd w:id="110"/>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an approved form and the holder shall comply with that requirement.</w:t>
      </w:r>
    </w:p>
    <w:p>
      <w:pPr>
        <w:pStyle w:val="Subsection"/>
      </w:pPr>
      <w:r>
        <w:tab/>
        <w:t>(3)</w:t>
      </w:r>
      <w:r>
        <w:tab/>
        <w:t>A condition imposed under subsection (1) may be cancelled or varied by the Minister at any time.</w:t>
      </w:r>
    </w:p>
    <w:p>
      <w:pPr>
        <w:pStyle w:val="Subsection"/>
      </w:pPr>
      <w:r>
        <w:lastRenderedPageBreak/>
        <w:tab/>
        <w:t>(4)</w:t>
      </w:r>
      <w:r>
        <w:tab/>
        <w:t>On and from giving notice in writing to the holder of the licence of the imposition of the condition, the condition has effect for all purposes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 amended: No. 31 of 2022 s. 18.]</w:t>
      </w:r>
    </w:p>
    <w:p>
      <w:pPr>
        <w:pStyle w:val="Heading5"/>
      </w:pPr>
      <w:bookmarkStart w:id="111" w:name="_Toc207801048"/>
      <w:r>
        <w:rPr>
          <w:rStyle w:val="CharSectno"/>
        </w:rPr>
        <w:t>69E</w:t>
      </w:r>
      <w:r>
        <w:t>.</w:t>
      </w:r>
      <w:r>
        <w:tab/>
        <w:t>Holder of exploration licence with retention status may be required to apply for mining lease</w:t>
      </w:r>
      <w:bookmarkEnd w:id="111"/>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12" w:name="_Toc207801049"/>
      <w:r>
        <w:rPr>
          <w:rStyle w:val="CharSectno"/>
        </w:rPr>
        <w:t>70</w:t>
      </w:r>
      <w:r>
        <w:rPr>
          <w:snapToGrid w:val="0"/>
        </w:rPr>
        <w:t>.</w:t>
      </w:r>
      <w:r>
        <w:rPr>
          <w:snapToGrid w:val="0"/>
        </w:rPr>
        <w:tab/>
        <w:t xml:space="preserve">Special prospecting licence on an </w:t>
      </w:r>
      <w:r>
        <w:t>exploration licence</w:t>
      </w:r>
      <w:bookmarkEnd w:id="112"/>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xml:space="preserve">) then, notwithstanding </w:t>
      </w:r>
      <w:r>
        <w:rPr>
          <w:snapToGrid w:val="0"/>
        </w:rPr>
        <w:lastRenderedPageBreak/>
        <w:t>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lastRenderedPageBreak/>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 xml:space="preserve">If, at the time when an applicant for a special prospecting licence marked out the land to which his application relates, the grant of the application would have resulted in the number of special prospecting licences in respect of the primary tenement </w:t>
      </w:r>
      <w:r>
        <w:lastRenderedPageBreak/>
        <w:t>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lastRenderedPageBreak/>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w:t>
      </w:r>
      <w:r>
        <w:lastRenderedPageBreak/>
        <w:t>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 xml:space="preserve">prior to the surrender, forfeiture or expiry of the primary tenement the holder of the primary tenement applies for a retention licence, a mining lease or a general purpose lease and the licence or lease is subsequently granted in </w:t>
      </w:r>
      <w:r>
        <w:rPr>
          <w:snapToGrid w:val="0"/>
        </w:rPr>
        <w:lastRenderedPageBreak/>
        <w:t>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13" w:name="_Toc207365907"/>
      <w:bookmarkStart w:id="114" w:name="_Toc207801050"/>
      <w:r>
        <w:rPr>
          <w:rStyle w:val="CharDivNo"/>
        </w:rPr>
        <w:t>Division 2A</w:t>
      </w:r>
      <w:r>
        <w:rPr>
          <w:snapToGrid w:val="0"/>
        </w:rPr>
        <w:t> — </w:t>
      </w:r>
      <w:r>
        <w:rPr>
          <w:rStyle w:val="CharDivText"/>
        </w:rPr>
        <w:t>Retention licence</w:t>
      </w:r>
      <w:bookmarkEnd w:id="113"/>
      <w:bookmarkEnd w:id="114"/>
    </w:p>
    <w:p>
      <w:pPr>
        <w:pStyle w:val="Footnoteheading"/>
        <w:keepNext/>
        <w:keepLines/>
        <w:rPr>
          <w:snapToGrid w:val="0"/>
        </w:rPr>
      </w:pPr>
      <w:r>
        <w:rPr>
          <w:snapToGrid w:val="0"/>
        </w:rPr>
        <w:tab/>
        <w:t>[Heading inserted: No. 37 of 1993 s. 10(1).]</w:t>
      </w:r>
    </w:p>
    <w:p>
      <w:pPr>
        <w:pStyle w:val="Heading5"/>
        <w:spacing w:before="180"/>
      </w:pPr>
      <w:bookmarkStart w:id="115" w:name="_Toc207801051"/>
      <w:r>
        <w:rPr>
          <w:rStyle w:val="CharSectno"/>
        </w:rPr>
        <w:t>70A</w:t>
      </w:r>
      <w:r>
        <w:t>.</w:t>
      </w:r>
      <w:r>
        <w:tab/>
        <w:t>Term used: primary tenement</w:t>
      </w:r>
      <w:bookmarkEnd w:id="115"/>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lastRenderedPageBreak/>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16" w:name="_Toc207801052"/>
      <w:r>
        <w:rPr>
          <w:rStyle w:val="CharSectno"/>
        </w:rPr>
        <w:t>70B</w:t>
      </w:r>
      <w:r>
        <w:rPr>
          <w:snapToGrid w:val="0"/>
        </w:rPr>
        <w:t>.</w:t>
      </w:r>
      <w:r>
        <w:rPr>
          <w:snapToGrid w:val="0"/>
        </w:rPr>
        <w:tab/>
        <w:t>Grant of retention licence</w:t>
      </w:r>
      <w:bookmarkEnd w:id="116"/>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17" w:name="_Toc207801053"/>
      <w:r>
        <w:rPr>
          <w:rStyle w:val="CharSectno"/>
        </w:rPr>
        <w:t>70C</w:t>
      </w:r>
      <w:r>
        <w:rPr>
          <w:snapToGrid w:val="0"/>
        </w:rPr>
        <w:t>.</w:t>
      </w:r>
      <w:r>
        <w:rPr>
          <w:snapToGrid w:val="0"/>
        </w:rPr>
        <w:tab/>
        <w:t>Application for retention licence</w:t>
      </w:r>
      <w:bookmarkEnd w:id="117"/>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keepNext/>
        <w:rPr>
          <w:snapToGrid w:val="0"/>
        </w:rPr>
      </w:pPr>
      <w:r>
        <w:rPr>
          <w:snapToGrid w:val="0"/>
        </w:rPr>
        <w:lastRenderedPageBreak/>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lastRenderedPageBreak/>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18" w:name="_Toc207801054"/>
      <w:r>
        <w:rPr>
          <w:rStyle w:val="CharSectno"/>
        </w:rPr>
        <w:t>70D</w:t>
      </w:r>
      <w:r>
        <w:rPr>
          <w:snapToGrid w:val="0"/>
        </w:rPr>
        <w:t>.</w:t>
      </w:r>
      <w:r>
        <w:rPr>
          <w:snapToGrid w:val="0"/>
        </w:rPr>
        <w:tab/>
        <w:t>Determination of application for retention licence</w:t>
      </w:r>
      <w:bookmarkEnd w:id="118"/>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lastRenderedPageBreak/>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119" w:name="_Toc207801055"/>
      <w:r>
        <w:rPr>
          <w:rStyle w:val="CharSectno"/>
        </w:rPr>
        <w:t>70E</w:t>
      </w:r>
      <w:r>
        <w:rPr>
          <w:snapToGrid w:val="0"/>
        </w:rPr>
        <w:t>.</w:t>
      </w:r>
      <w:r>
        <w:rPr>
          <w:snapToGrid w:val="0"/>
        </w:rPr>
        <w:tab/>
        <w:t>Term of retention licence and renewal</w:t>
      </w:r>
      <w:bookmarkEnd w:id="11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 xml:space="preserve">If an application for renewal is made under this section and the term of the licence would but for this subsection expire, the </w:t>
      </w:r>
      <w:r>
        <w:rPr>
          <w:snapToGrid w:val="0"/>
        </w:rPr>
        <w:lastRenderedPageBreak/>
        <w:t>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20" w:name="_Toc207801056"/>
      <w:r>
        <w:rPr>
          <w:rStyle w:val="CharSectno"/>
        </w:rPr>
        <w:t>70F</w:t>
      </w:r>
      <w:r>
        <w:t>.</w:t>
      </w:r>
      <w:r>
        <w:tab/>
        <w:t>Security relating to retention licence</w:t>
      </w:r>
      <w:bookmarkEnd w:id="120"/>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Ednotesubsection"/>
      </w:pPr>
      <w:r>
        <w:tab/>
        <w:t>[(2)</w:t>
      </w:r>
      <w:r>
        <w:tab/>
        <w:t>deleted]</w:t>
      </w:r>
    </w:p>
    <w:p>
      <w:pPr>
        <w:pStyle w:val="Subsection"/>
      </w:pPr>
      <w:r>
        <w:tab/>
        <w:t>(3)</w:t>
      </w:r>
      <w:r>
        <w:tab/>
        <w:t>A security referred to in subsection (1)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 No. 31 of 2022 s. 19.]</w:t>
      </w:r>
    </w:p>
    <w:p>
      <w:pPr>
        <w:pStyle w:val="Heading5"/>
        <w:rPr>
          <w:snapToGrid w:val="0"/>
        </w:rPr>
      </w:pPr>
      <w:bookmarkStart w:id="121" w:name="_Toc207801057"/>
      <w:r>
        <w:rPr>
          <w:rStyle w:val="CharSectno"/>
        </w:rPr>
        <w:t>70G</w:t>
      </w:r>
      <w:r>
        <w:rPr>
          <w:snapToGrid w:val="0"/>
        </w:rPr>
        <w:t>.</w:t>
      </w:r>
      <w:r>
        <w:rPr>
          <w:snapToGrid w:val="0"/>
        </w:rPr>
        <w:tab/>
        <w:t>Survey of area of retention licence not required in first instance</w:t>
      </w:r>
      <w:bookmarkEnd w:id="121"/>
    </w:p>
    <w:p>
      <w:pPr>
        <w:pStyle w:val="Subsection"/>
        <w:rPr>
          <w:snapToGrid w:val="0"/>
        </w:rPr>
      </w:pPr>
      <w:r>
        <w:rPr>
          <w:snapToGrid w:val="0"/>
        </w:rPr>
        <w:tab/>
        <w:t>(1)</w:t>
      </w:r>
      <w:r>
        <w:rPr>
          <w:snapToGrid w:val="0"/>
        </w:rPr>
        <w:tab/>
        <w:t xml:space="preserve">On an application for a retention licence or on a retention licence being granted the land affected is not thereby required to </w:t>
      </w:r>
      <w:r>
        <w:rPr>
          <w:snapToGrid w:val="0"/>
        </w:rPr>
        <w:lastRenderedPageBreak/>
        <w:t>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22" w:name="_Toc207801058"/>
      <w:r>
        <w:rPr>
          <w:rStyle w:val="CharSectno"/>
        </w:rPr>
        <w:t>70H</w:t>
      </w:r>
      <w:r>
        <w:rPr>
          <w:snapToGrid w:val="0"/>
        </w:rPr>
        <w:t>.</w:t>
      </w:r>
      <w:r>
        <w:rPr>
          <w:snapToGrid w:val="0"/>
        </w:rPr>
        <w:tab/>
        <w:t>Conditions attached to retention licence</w:t>
      </w:r>
      <w:bookmarkEnd w:id="122"/>
    </w:p>
    <w:p>
      <w:pPr>
        <w:pStyle w:val="Subsection"/>
        <w:keepNext/>
        <w:rPr>
          <w:snapToGrid w:val="0"/>
        </w:rPr>
      </w:pPr>
      <w:r>
        <w:rPr>
          <w:snapToGrid w:val="0"/>
        </w:rPr>
        <w:tab/>
        <w:t>(1)</w:t>
      </w:r>
      <w:r>
        <w:rPr>
          <w:snapToGrid w:val="0"/>
        </w:rPr>
        <w:tab/>
        <w:t xml:space="preserve">Every retention licence </w:t>
      </w:r>
      <w:r>
        <w:t>is taken</w:t>
      </w:r>
      <w:r>
        <w:rPr>
          <w:snapToGrid w:val="0"/>
        </w:rPr>
        <w:t xml:space="preserve"> to be granted subject to the conditions that the holder of the licence </w:t>
      </w:r>
      <w:r>
        <w:t>must —</w:t>
      </w:r>
    </w:p>
    <w:p>
      <w:pPr>
        <w:pStyle w:val="Ednotepara"/>
        <w:spacing w:before="80"/>
        <w:ind w:left="1610" w:hanging="1610"/>
        <w:rPr>
          <w:snapToGrid w:val="0"/>
        </w:rPr>
      </w:pPr>
      <w:r>
        <w:rPr>
          <w:snapToGrid w:val="0"/>
        </w:rPr>
        <w:tab/>
        <w:t>[(aa)</w:t>
      </w:r>
      <w:r>
        <w:rPr>
          <w:snapToGrid w:val="0"/>
        </w:rPr>
        <w:tab/>
        <w:t>deleted]</w:t>
      </w:r>
    </w:p>
    <w:p>
      <w:pPr>
        <w:pStyle w:val="Indenta"/>
      </w:pPr>
      <w:r>
        <w:tab/>
        <w:t>(a)</w:t>
      </w:r>
      <w:r>
        <w:tab/>
        <w:t>fill in or otherwise make safe all holes, pits, trenches and other disturbances to the surface of the land the subject of the retention licence that are made while exploring for minerals, and that are likely to endanger the safety of any person or animal; and</w:t>
      </w:r>
    </w:p>
    <w:p>
      <w:pPr>
        <w:pStyle w:val="Indenta"/>
      </w:pPr>
      <w:r>
        <w:tab/>
        <w:t>(b)</w:t>
      </w:r>
      <w:r>
        <w:tab/>
        <w:t>take all necessary steps to prevent damage or injury to property or livestock whether resulting from fire, the presence of dogs, the discharge of firearms, the use of vehicles or any other cause;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lastRenderedPageBreak/>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 No. 31 of 2022 s. 20.]</w:t>
      </w:r>
    </w:p>
    <w:p>
      <w:pPr>
        <w:pStyle w:val="Ednotesection"/>
        <w:ind w:left="890" w:hanging="890"/>
      </w:pPr>
      <w:r>
        <w:t>[</w:t>
      </w:r>
      <w:r>
        <w:rPr>
          <w:b/>
        </w:rPr>
        <w:t>70I.</w:t>
      </w:r>
      <w:r>
        <w:tab/>
        <w:t>Deleted: No. 31 of 2022 s. 21.]</w:t>
      </w:r>
    </w:p>
    <w:p>
      <w:pPr>
        <w:pStyle w:val="Heading5"/>
        <w:rPr>
          <w:snapToGrid w:val="0"/>
        </w:rPr>
      </w:pPr>
      <w:bookmarkStart w:id="123" w:name="_Toc207801059"/>
      <w:r>
        <w:rPr>
          <w:rStyle w:val="CharSectno"/>
        </w:rPr>
        <w:t>70IA</w:t>
      </w:r>
      <w:r>
        <w:rPr>
          <w:snapToGrid w:val="0"/>
        </w:rPr>
        <w:t>.</w:t>
      </w:r>
      <w:r>
        <w:rPr>
          <w:snapToGrid w:val="0"/>
        </w:rPr>
        <w:tab/>
        <w:t>Programme of work</w:t>
      </w:r>
      <w:bookmarkEnd w:id="12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 xml:space="preserve">Before imposing a condition under subsection (1), the Minister may require the applicant for the licence or the holder of the licence, as the case requires, to submit to the Minister a draft programme of work in </w:t>
      </w:r>
      <w:r>
        <w:t>an approved form</w:t>
      </w:r>
      <w:r>
        <w:rPr>
          <w:snapToGrid w:val="0"/>
        </w:rPr>
        <w:t xml:space="preserve"> and the applicant or the holder, as the case requires, shall comply with that requirement.</w:t>
      </w:r>
    </w:p>
    <w:p>
      <w:pPr>
        <w:pStyle w:val="Subsection"/>
      </w:pPr>
      <w:r>
        <w:tab/>
        <w:t>(3)</w:t>
      </w:r>
      <w:r>
        <w:tab/>
        <w:t>A condition imposed under subsection (1) may be cancelled or varied by the Minister at any time.</w:t>
      </w:r>
    </w:p>
    <w:p>
      <w:pPr>
        <w:pStyle w:val="Subsection"/>
      </w:pPr>
      <w:r>
        <w:tab/>
        <w:t>(3A)</w:t>
      </w:r>
      <w:r>
        <w:tab/>
        <w:t>On and from giving notice in writing to the holder of the licence of the imposition of the condition, the condition has effect for all purposes as a condition to which the licence is subject.</w:t>
      </w:r>
    </w:p>
    <w:p>
      <w:pPr>
        <w:pStyle w:val="Subsection"/>
        <w:keepNext/>
        <w:rPr>
          <w:snapToGrid w:val="0"/>
        </w:rPr>
      </w:pPr>
      <w:r>
        <w:rPr>
          <w:snapToGrid w:val="0"/>
        </w:rPr>
        <w:lastRenderedPageBreak/>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 amended: No. 31 of 2022 s. 22.]</w:t>
      </w:r>
    </w:p>
    <w:p>
      <w:pPr>
        <w:pStyle w:val="Heading5"/>
        <w:rPr>
          <w:snapToGrid w:val="0"/>
        </w:rPr>
      </w:pPr>
      <w:bookmarkStart w:id="124" w:name="_Toc207801060"/>
      <w:r>
        <w:rPr>
          <w:rStyle w:val="CharSectno"/>
        </w:rPr>
        <w:t>70J</w:t>
      </w:r>
      <w:r>
        <w:rPr>
          <w:snapToGrid w:val="0"/>
        </w:rPr>
        <w:t>.</w:t>
      </w:r>
      <w:r>
        <w:rPr>
          <w:snapToGrid w:val="0"/>
        </w:rPr>
        <w:tab/>
        <w:t>Rights conferred by retention licence</w:t>
      </w:r>
      <w:bookmarkEnd w:id="124"/>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25" w:name="_Toc207801061"/>
      <w:r>
        <w:rPr>
          <w:rStyle w:val="CharSectno"/>
        </w:rPr>
        <w:t>70K</w:t>
      </w:r>
      <w:r>
        <w:rPr>
          <w:snapToGrid w:val="0"/>
        </w:rPr>
        <w:t>.</w:t>
      </w:r>
      <w:r>
        <w:rPr>
          <w:snapToGrid w:val="0"/>
        </w:rPr>
        <w:tab/>
        <w:t>When retention licence liable to forfeiture</w:t>
      </w:r>
      <w:bookmarkEnd w:id="125"/>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pPr>
      <w:r>
        <w:tab/>
        <w:t>(b)</w:t>
      </w:r>
      <w:r>
        <w:tab/>
        <w:t>the terms and conditions of the licence are not complied with, including —</w:t>
      </w:r>
    </w:p>
    <w:p>
      <w:pPr>
        <w:pStyle w:val="Indenti"/>
        <w:rPr>
          <w:snapToGrid w:val="0"/>
        </w:rPr>
      </w:pPr>
      <w:r>
        <w:tab/>
        <w:t>(i)</w:t>
      </w:r>
      <w:r>
        <w:tab/>
        <w:t>any conditions to which the licence is taken to be subject under section </w:t>
      </w:r>
      <w:r>
        <w:rPr>
          <w:snapToGrid w:val="0"/>
        </w:rPr>
        <w:t xml:space="preserve">70H, 103AE(1) or </w:t>
      </w:r>
      <w:r>
        <w:t xml:space="preserve">103AG(3), (4) or (5); </w:t>
      </w:r>
      <w:r>
        <w:rPr>
          <w:snapToGrid w:val="0"/>
        </w:rPr>
        <w:t>and</w:t>
      </w:r>
    </w:p>
    <w:p>
      <w:pPr>
        <w:pStyle w:val="Indenti"/>
        <w:rPr>
          <w:snapToGrid w:val="0"/>
        </w:rPr>
      </w:pPr>
      <w:r>
        <w:tab/>
        <w:t>(ii)</w:t>
      </w:r>
      <w:r>
        <w:tab/>
        <w:t>any conditions imposed under section 70IA(1) or</w:t>
      </w:r>
      <w:r>
        <w:rPr>
          <w:snapToGrid w:val="0"/>
        </w:rPr>
        <w:t xml:space="preserve"> 103AU(1);</w:t>
      </w:r>
    </w:p>
    <w:p>
      <w:pPr>
        <w:pStyle w:val="Indenta"/>
      </w:pPr>
      <w:r>
        <w:tab/>
      </w:r>
      <w:r>
        <w:tab/>
        <w:t>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 xml:space="preserve">the holder of the licence fails to comply with a requirement under </w:t>
      </w:r>
      <w:r>
        <w:t>section 103AV(1)</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 xml:space="preserve">the holder of the licence fails to comply with a notice under section 70M(2) requiring that person to apply for </w:t>
      </w:r>
      <w:r>
        <w:rPr>
          <w:snapToGrid w:val="0"/>
        </w:rPr>
        <w:lastRenderedPageBreak/>
        <w:t>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 No. 31 of 2022 s. 23.]</w:t>
      </w:r>
    </w:p>
    <w:p>
      <w:pPr>
        <w:pStyle w:val="Heading5"/>
        <w:keepNext w:val="0"/>
        <w:spacing w:before="260"/>
        <w:rPr>
          <w:snapToGrid w:val="0"/>
        </w:rPr>
      </w:pPr>
      <w:bookmarkStart w:id="126" w:name="_Toc207801062"/>
      <w:r>
        <w:rPr>
          <w:rStyle w:val="CharSectno"/>
        </w:rPr>
        <w:t>70L</w:t>
      </w:r>
      <w:r>
        <w:rPr>
          <w:snapToGrid w:val="0"/>
        </w:rPr>
        <w:t>.</w:t>
      </w:r>
      <w:r>
        <w:rPr>
          <w:snapToGrid w:val="0"/>
        </w:rPr>
        <w:tab/>
        <w:t>Holder of retention licence to have priority for grant of mining lease or general purpose lease</w:t>
      </w:r>
      <w:bookmarkEnd w:id="126"/>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 xml:space="preserve">subject to satisfactory compliance with any conditions imposed under </w:t>
      </w:r>
      <w:r>
        <w:t>section 70IA(1) or 103AU(1);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lastRenderedPageBreak/>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 No. 31 of 2022 s. 24.]</w:t>
      </w:r>
    </w:p>
    <w:p>
      <w:pPr>
        <w:pStyle w:val="Heading5"/>
        <w:rPr>
          <w:snapToGrid w:val="0"/>
        </w:rPr>
      </w:pPr>
      <w:bookmarkStart w:id="127" w:name="_Toc207801063"/>
      <w:r>
        <w:rPr>
          <w:rStyle w:val="CharSectno"/>
        </w:rPr>
        <w:t>70M</w:t>
      </w:r>
      <w:r>
        <w:rPr>
          <w:snapToGrid w:val="0"/>
        </w:rPr>
        <w:t>.</w:t>
      </w:r>
      <w:r>
        <w:rPr>
          <w:snapToGrid w:val="0"/>
        </w:rPr>
        <w:tab/>
        <w:t>Holder of retention licence to show cause why mining lease should not be applied for</w:t>
      </w:r>
      <w:bookmarkEnd w:id="127"/>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28" w:name="_Toc207801064"/>
      <w:r>
        <w:rPr>
          <w:rStyle w:val="CharSectno"/>
        </w:rPr>
        <w:lastRenderedPageBreak/>
        <w:t>70N</w:t>
      </w:r>
      <w:r>
        <w:rPr>
          <w:snapToGrid w:val="0"/>
        </w:rPr>
        <w:t>.</w:t>
      </w:r>
      <w:r>
        <w:rPr>
          <w:snapToGrid w:val="0"/>
        </w:rPr>
        <w:tab/>
        <w:t>Land subject of retention licence not to be again marked out for certain period</w:t>
      </w:r>
      <w:bookmarkEnd w:id="12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29" w:name="_Toc207365923"/>
      <w:bookmarkStart w:id="130" w:name="_Toc207801065"/>
      <w:r>
        <w:rPr>
          <w:rStyle w:val="CharDivNo"/>
        </w:rPr>
        <w:t>Division 3</w:t>
      </w:r>
      <w:r>
        <w:rPr>
          <w:snapToGrid w:val="0"/>
        </w:rPr>
        <w:t> — </w:t>
      </w:r>
      <w:r>
        <w:rPr>
          <w:rStyle w:val="CharDivText"/>
        </w:rPr>
        <w:t>Mining lease</w:t>
      </w:r>
      <w:bookmarkEnd w:id="129"/>
      <w:bookmarkEnd w:id="130"/>
    </w:p>
    <w:p>
      <w:pPr>
        <w:pStyle w:val="Heading5"/>
      </w:pPr>
      <w:bookmarkStart w:id="131" w:name="_Toc115276439"/>
      <w:bookmarkStart w:id="132" w:name="_Toc207801066"/>
      <w:r>
        <w:rPr>
          <w:rStyle w:val="CharSectno"/>
        </w:rPr>
        <w:t>70O</w:t>
      </w:r>
      <w:r>
        <w:t>.</w:t>
      </w:r>
      <w:r>
        <w:tab/>
        <w:t>Significant mineralisation</w:t>
      </w:r>
      <w:bookmarkEnd w:id="131"/>
      <w:bookmarkEnd w:id="132"/>
    </w:p>
    <w:p>
      <w:pPr>
        <w:pStyle w:val="Subsection"/>
      </w:pPr>
      <w:r>
        <w:tab/>
      </w:r>
      <w:r>
        <w:tab/>
        <w:t xml:space="preserve">In this Division there is </w:t>
      </w:r>
      <w:r>
        <w:rPr>
          <w:rStyle w:val="CharDefText"/>
        </w:rPr>
        <w:t>significant mineralisation</w:t>
      </w:r>
      <w:r>
        <w:t xml:space="preserve"> in, on or under land to which an application for a mining lease relates if exploration results in respect of a deposit of minerals located in, on or under that land indicate that there is a reasonable prospect of minerals being obtained by mining operations on the land.</w:t>
      </w:r>
    </w:p>
    <w:p>
      <w:pPr>
        <w:pStyle w:val="Footnotesection"/>
      </w:pPr>
      <w:r>
        <w:tab/>
        <w:t>[Section 70O inserted: No. 31 of 2022 s. 25.]</w:t>
      </w:r>
    </w:p>
    <w:p>
      <w:pPr>
        <w:pStyle w:val="Ednotesection"/>
        <w:ind w:left="890" w:hanging="890"/>
        <w:rPr>
          <w:rStyle w:val="CharSectno"/>
        </w:rPr>
      </w:pPr>
      <w:r>
        <w:t>[</w:t>
      </w:r>
      <w:r>
        <w:rPr>
          <w:b/>
        </w:rPr>
        <w:t>70P.</w:t>
      </w:r>
      <w:r>
        <w:tab/>
        <w:t>Deleted: No. 31 of 2022 s. 25.]</w:t>
      </w:r>
    </w:p>
    <w:p>
      <w:pPr>
        <w:pStyle w:val="Heading5"/>
        <w:rPr>
          <w:snapToGrid w:val="0"/>
        </w:rPr>
      </w:pPr>
      <w:bookmarkStart w:id="133" w:name="_Toc207801067"/>
      <w:r>
        <w:rPr>
          <w:rStyle w:val="CharSectno"/>
        </w:rPr>
        <w:t>71</w:t>
      </w:r>
      <w:r>
        <w:rPr>
          <w:snapToGrid w:val="0"/>
        </w:rPr>
        <w:t>.</w:t>
      </w:r>
      <w:r>
        <w:rPr>
          <w:snapToGrid w:val="0"/>
        </w:rPr>
        <w:tab/>
        <w:t>Grant of mining lease</w:t>
      </w:r>
      <w:bookmarkEnd w:id="133"/>
    </w:p>
    <w:p>
      <w:pPr>
        <w:pStyle w:val="Subsection"/>
        <w:rPr>
          <w:snapToGrid w:val="0"/>
        </w:rPr>
      </w:pPr>
      <w:r>
        <w:rPr>
          <w:snapToGrid w:val="0"/>
        </w:rPr>
        <w:tab/>
      </w:r>
      <w:r>
        <w:rPr>
          <w:snapToGrid w:val="0"/>
        </w:rPr>
        <w:tab/>
        <w:t xml:space="preserve">Subject to this Act, the Minister may, on the application of any person, after receiving a recommendation of the mining registrar </w:t>
      </w:r>
      <w:r>
        <w:rPr>
          <w:snapToGrid w:val="0"/>
        </w:rPr>
        <w:lastRenderedPageBreak/>
        <w:t>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34" w:name="_Toc207801068"/>
      <w:r>
        <w:rPr>
          <w:rStyle w:val="CharSectno"/>
        </w:rPr>
        <w:t>72</w:t>
      </w:r>
      <w:r>
        <w:rPr>
          <w:snapToGrid w:val="0"/>
        </w:rPr>
        <w:t>.</w:t>
      </w:r>
      <w:r>
        <w:rPr>
          <w:snapToGrid w:val="0"/>
        </w:rPr>
        <w:tab/>
        <w:t>Person may be granted more than one mining lease</w:t>
      </w:r>
      <w:bookmarkEnd w:id="134"/>
    </w:p>
    <w:p>
      <w:pPr>
        <w:pStyle w:val="Subsection"/>
        <w:rPr>
          <w:snapToGrid w:val="0"/>
        </w:rPr>
      </w:pPr>
      <w:r>
        <w:rPr>
          <w:snapToGrid w:val="0"/>
        </w:rPr>
        <w:tab/>
      </w:r>
      <w:r>
        <w:rPr>
          <w:snapToGrid w:val="0"/>
        </w:rPr>
        <w:tab/>
        <w:t>Any person may be granted more than one mining lease.</w:t>
      </w:r>
    </w:p>
    <w:p>
      <w:pPr>
        <w:pStyle w:val="Heading5"/>
      </w:pPr>
      <w:bookmarkStart w:id="135" w:name="_Toc207801069"/>
      <w:r>
        <w:rPr>
          <w:rStyle w:val="CharSectno"/>
        </w:rPr>
        <w:t>73</w:t>
      </w:r>
      <w:r>
        <w:t>.</w:t>
      </w:r>
      <w:r>
        <w:tab/>
        <w:t>Area of mining lease may be less than area sought</w:t>
      </w:r>
      <w:bookmarkEnd w:id="13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36" w:name="_Toc207801070"/>
      <w:r>
        <w:rPr>
          <w:rStyle w:val="CharSectno"/>
        </w:rPr>
        <w:t>74</w:t>
      </w:r>
      <w:r>
        <w:rPr>
          <w:snapToGrid w:val="0"/>
        </w:rPr>
        <w:t>.</w:t>
      </w:r>
      <w:r>
        <w:rPr>
          <w:snapToGrid w:val="0"/>
        </w:rPr>
        <w:tab/>
        <w:t>Application for mining lease</w:t>
      </w:r>
      <w:bookmarkEnd w:id="136"/>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development and closure proposal lodged in accordance with section 103AN(2); or</w:t>
      </w:r>
    </w:p>
    <w:p>
      <w:pPr>
        <w:pStyle w:val="Indenti"/>
      </w:pPr>
      <w:r>
        <w:lastRenderedPageBreak/>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development and closure proposal may be lodged within the prescribed time and in the prescribed manner and, if so lodged, is to be treated for the purposes of this Division as a mining development and closure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lastRenderedPageBreak/>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lastRenderedPageBreak/>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 No. 31 of 2022 s. 26.]</w:t>
      </w:r>
    </w:p>
    <w:p>
      <w:pPr>
        <w:pStyle w:val="Heading5"/>
      </w:pPr>
      <w:bookmarkStart w:id="137" w:name="_Toc207801071"/>
      <w:r>
        <w:rPr>
          <w:rStyle w:val="CharSectno"/>
        </w:rPr>
        <w:t>74A</w:t>
      </w:r>
      <w:r>
        <w:t>.</w:t>
      </w:r>
      <w:r>
        <w:tab/>
        <w:t>Report on significant mineralisation required for certain applications</w:t>
      </w:r>
      <w:bookmarkEnd w:id="13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lastRenderedPageBreak/>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38" w:name="_Toc207801072"/>
      <w:r>
        <w:rPr>
          <w:rStyle w:val="CharSectno"/>
        </w:rPr>
        <w:t>75</w:t>
      </w:r>
      <w:r>
        <w:rPr>
          <w:snapToGrid w:val="0"/>
        </w:rPr>
        <w:t>.</w:t>
      </w:r>
      <w:r>
        <w:rPr>
          <w:snapToGrid w:val="0"/>
        </w:rPr>
        <w:tab/>
        <w:t>Determination of application for mining lease</w:t>
      </w:r>
      <w:bookmarkEnd w:id="138"/>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lastRenderedPageBreak/>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 xml:space="preserve">the warden shall hear the application for the mining lease on a day appointed by </w:t>
      </w:r>
      <w:r>
        <w:rPr>
          <w:snapToGrid w:val="0"/>
        </w:rPr>
        <w:lastRenderedPageBreak/>
        <w:t>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lastRenderedPageBreak/>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139" w:name="_Toc207801073"/>
      <w:r>
        <w:rPr>
          <w:rStyle w:val="CharSectno"/>
        </w:rPr>
        <w:t>76</w:t>
      </w:r>
      <w:r>
        <w:rPr>
          <w:snapToGrid w:val="0"/>
        </w:rPr>
        <w:t>.</w:t>
      </w:r>
      <w:r>
        <w:rPr>
          <w:snapToGrid w:val="0"/>
        </w:rPr>
        <w:tab/>
        <w:t>Priorities as to mining tenements</w:t>
      </w:r>
      <w:bookmarkEnd w:id="139"/>
    </w:p>
    <w:p>
      <w:pPr>
        <w:pStyle w:val="Subsection"/>
        <w:keepNext/>
        <w:spacing w:before="120"/>
        <w:rPr>
          <w:snapToGrid w:val="0"/>
        </w:rPr>
      </w:pPr>
      <w:r>
        <w:rPr>
          <w:snapToGrid w:val="0"/>
        </w:rPr>
        <w:tab/>
      </w:r>
      <w:r>
        <w:rPr>
          <w:snapToGrid w:val="0"/>
        </w:rPr>
        <w:tab/>
        <w:t xml:space="preserve">Subject to the provisions of sections 56A, 70 and 85B as regards the special prospecting licences and mining leases therein referred to and section 94A as regards miscellaneous licences, where an application for a mining lease includes any portion of </w:t>
      </w:r>
      <w:r>
        <w:rPr>
          <w:snapToGrid w:val="0"/>
        </w:rPr>
        <w:lastRenderedPageBreak/>
        <w:t>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40" w:name="_Toc207801074"/>
      <w:r>
        <w:rPr>
          <w:rStyle w:val="CharSectno"/>
        </w:rPr>
        <w:t>78</w:t>
      </w:r>
      <w:r>
        <w:rPr>
          <w:snapToGrid w:val="0"/>
        </w:rPr>
        <w:t>.</w:t>
      </w:r>
      <w:r>
        <w:rPr>
          <w:snapToGrid w:val="0"/>
        </w:rPr>
        <w:tab/>
        <w:t>Term of leases, options and renewals</w:t>
      </w:r>
      <w:bookmarkEnd w:id="14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lastRenderedPageBreak/>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41" w:name="_Toc207801075"/>
      <w:r>
        <w:rPr>
          <w:rStyle w:val="CharSectno"/>
        </w:rPr>
        <w:t>79</w:t>
      </w:r>
      <w:r>
        <w:rPr>
          <w:snapToGrid w:val="0"/>
        </w:rPr>
        <w:t>.</w:t>
      </w:r>
      <w:r>
        <w:rPr>
          <w:snapToGrid w:val="0"/>
        </w:rPr>
        <w:tab/>
        <w:t>Approval of application</w:t>
      </w:r>
      <w:bookmarkEnd w:id="141"/>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42" w:name="_Toc207801076"/>
      <w:r>
        <w:rPr>
          <w:rStyle w:val="CharSectno"/>
        </w:rPr>
        <w:t>80</w:t>
      </w:r>
      <w:r>
        <w:rPr>
          <w:snapToGrid w:val="0"/>
        </w:rPr>
        <w:t>.</w:t>
      </w:r>
      <w:r>
        <w:rPr>
          <w:snapToGrid w:val="0"/>
        </w:rPr>
        <w:tab/>
        <w:t>Surveys of mining leases</w:t>
      </w:r>
      <w:bookmarkEnd w:id="14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43" w:name="_Toc207801077"/>
      <w:r>
        <w:rPr>
          <w:rStyle w:val="CharSectno"/>
        </w:rPr>
        <w:lastRenderedPageBreak/>
        <w:t>82</w:t>
      </w:r>
      <w:r>
        <w:rPr>
          <w:snapToGrid w:val="0"/>
        </w:rPr>
        <w:t>.</w:t>
      </w:r>
      <w:r>
        <w:rPr>
          <w:snapToGrid w:val="0"/>
        </w:rPr>
        <w:tab/>
        <w:t>Covenants and conditions of lease</w:t>
      </w:r>
      <w:bookmarkEnd w:id="143"/>
    </w:p>
    <w:p>
      <w:pPr>
        <w:pStyle w:val="Subsection"/>
        <w:keepNext/>
        <w:rPr>
          <w:snapToGrid w:val="0"/>
        </w:rPr>
      </w:pPr>
      <w:r>
        <w:rPr>
          <w:snapToGrid w:val="0"/>
        </w:rPr>
        <w:tab/>
        <w:t>(1)</w:t>
      </w:r>
      <w:r>
        <w:rPr>
          <w:snapToGrid w:val="0"/>
        </w:rPr>
        <w:tab/>
        <w:t xml:space="preserve">Every mining lease shall contain and be subject to the prescribed covenants by the lessee and in particular </w:t>
      </w:r>
      <w:r>
        <w:t>is taken to be</w:t>
      </w:r>
      <w:r>
        <w:rPr>
          <w:snapToGrid w:val="0"/>
        </w:rPr>
        <w:t xml:space="preserv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Ednotepara"/>
        <w:rPr>
          <w:snapToGrid w:val="0"/>
        </w:rPr>
      </w:pPr>
      <w:r>
        <w:rPr>
          <w:snapToGrid w:val="0"/>
        </w:rPr>
        <w:tab/>
        <w:t>[(ca)</w:t>
      </w:r>
      <w:r>
        <w:rPr>
          <w:snapToGrid w:val="0"/>
        </w:rPr>
        <w:tab/>
        <w:t>deleted]</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Ednotepara"/>
        <w:rPr>
          <w:snapToGrid w:val="0"/>
        </w:rPr>
      </w:pPr>
      <w:r>
        <w:rPr>
          <w:snapToGrid w:val="0"/>
        </w:rPr>
        <w:tab/>
        <w:t>[(ga)</w:t>
      </w:r>
      <w:r>
        <w:rPr>
          <w:snapToGrid w:val="0"/>
        </w:rPr>
        <w:tab/>
        <w:t>deleted]</w:t>
      </w:r>
    </w:p>
    <w:p>
      <w:pPr>
        <w:pStyle w:val="Indenta"/>
      </w:pPr>
      <w:r>
        <w:tab/>
        <w:t>(g)</w:t>
      </w:r>
      <w:r>
        <w:tab/>
        <w:t xml:space="preserve">be liable to have the lease forfeited if — </w:t>
      </w:r>
    </w:p>
    <w:p>
      <w:pPr>
        <w:pStyle w:val="Indenti"/>
      </w:pPr>
      <w:r>
        <w:lastRenderedPageBreak/>
        <w:tab/>
        <w:t>(i)</w:t>
      </w:r>
      <w:r>
        <w:tab/>
        <w:t>the lessee contravenes any of the covenants or conditions to which the lease is subject; or</w:t>
      </w:r>
    </w:p>
    <w:p>
      <w:pPr>
        <w:pStyle w:val="Indenti"/>
      </w:pPr>
      <w:r>
        <w:tab/>
        <w:t>(ii)</w:t>
      </w:r>
      <w:r>
        <w:tab/>
        <w:t>the lessee fails to comply with any requirement under section 103AV(1) or 115B(2) in relation to the lease; or</w:t>
      </w:r>
    </w:p>
    <w:p>
      <w:pPr>
        <w:pStyle w:val="Indenti"/>
      </w:pPr>
      <w:r>
        <w:tab/>
        <w:t>(iii)</w:t>
      </w:r>
      <w:r>
        <w:tab/>
        <w:t>a report required under paragraph (e) or section 115A(2) in relation to the land the subject of the lease is not filed in accordance with this Act.</w:t>
      </w:r>
    </w:p>
    <w:p>
      <w:pPr>
        <w:pStyle w:val="Ednotesubsection"/>
      </w:pPr>
      <w:r>
        <w:tab/>
        <w:t>[(1a), (1b)</w:t>
      </w:r>
      <w:r>
        <w:tab/>
        <w:t>deleted]</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 No. 31 of 2022 s. 27.]</w:t>
      </w:r>
    </w:p>
    <w:p>
      <w:pPr>
        <w:pStyle w:val="Ednotesection"/>
        <w:keepLines/>
      </w:pPr>
      <w:r>
        <w:t>[</w:t>
      </w:r>
      <w:r>
        <w:rPr>
          <w:b/>
        </w:rPr>
        <w:t>82A.</w:t>
      </w:r>
      <w:r>
        <w:tab/>
        <w:t>Deleted: No. 31 of 2022 s. 28.]</w:t>
      </w:r>
    </w:p>
    <w:p>
      <w:pPr>
        <w:pStyle w:val="Heading5"/>
        <w:rPr>
          <w:snapToGrid w:val="0"/>
        </w:rPr>
      </w:pPr>
      <w:bookmarkStart w:id="144" w:name="_Toc207801078"/>
      <w:r>
        <w:rPr>
          <w:rStyle w:val="CharSectno"/>
        </w:rPr>
        <w:lastRenderedPageBreak/>
        <w:t>83</w:t>
      </w:r>
      <w:r>
        <w:rPr>
          <w:snapToGrid w:val="0"/>
        </w:rPr>
        <w:t>.</w:t>
      </w:r>
      <w:r>
        <w:rPr>
          <w:snapToGrid w:val="0"/>
        </w:rPr>
        <w:tab/>
        <w:t>Issue of mining leases</w:t>
      </w:r>
      <w:bookmarkEnd w:id="144"/>
    </w:p>
    <w:p>
      <w:pPr>
        <w:pStyle w:val="Subsection"/>
        <w:keepNext/>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Ednotesection"/>
      </w:pPr>
      <w:r>
        <w:t>[</w:t>
      </w:r>
      <w:r>
        <w:rPr>
          <w:b/>
          <w:bCs/>
        </w:rPr>
        <w:t>84AA, 84.</w:t>
      </w:r>
      <w:r>
        <w:tab/>
        <w:t>Deleted: No. 31 of 2022 s. 29.]</w:t>
      </w:r>
    </w:p>
    <w:p>
      <w:pPr>
        <w:pStyle w:val="Heading5"/>
        <w:spacing w:before="260"/>
      </w:pPr>
      <w:bookmarkStart w:id="145" w:name="_Toc207801079"/>
      <w:r>
        <w:rPr>
          <w:rStyle w:val="CharSectno"/>
        </w:rPr>
        <w:t>84A</w:t>
      </w:r>
      <w:r>
        <w:t>.</w:t>
      </w:r>
      <w:r>
        <w:tab/>
        <w:t>Security relating to mining lease</w:t>
      </w:r>
      <w:bookmarkEnd w:id="145"/>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Ednotesubsection"/>
      </w:pPr>
      <w:r>
        <w:tab/>
        <w:t>[(2)</w:t>
      </w:r>
      <w:r>
        <w:tab/>
        <w:t>deleted]</w:t>
      </w:r>
    </w:p>
    <w:p>
      <w:pPr>
        <w:pStyle w:val="Subsection"/>
      </w:pPr>
      <w:r>
        <w:tab/>
        <w:t>(3)</w:t>
      </w:r>
      <w:r>
        <w:tab/>
        <w:t>A security referred to in subsection (1) shall be in accordance with and subject to section 126.</w:t>
      </w:r>
    </w:p>
    <w:p>
      <w:pPr>
        <w:pStyle w:val="Subsection"/>
      </w:pPr>
      <w:r>
        <w:lastRenderedPageBreak/>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 No. 31 of 2022 s. 30.]</w:t>
      </w:r>
    </w:p>
    <w:p>
      <w:pPr>
        <w:pStyle w:val="Heading5"/>
        <w:rPr>
          <w:snapToGrid w:val="0"/>
        </w:rPr>
      </w:pPr>
      <w:bookmarkStart w:id="146" w:name="_Toc207801080"/>
      <w:r>
        <w:rPr>
          <w:rStyle w:val="CharSectno"/>
        </w:rPr>
        <w:t>85</w:t>
      </w:r>
      <w:r>
        <w:rPr>
          <w:snapToGrid w:val="0"/>
        </w:rPr>
        <w:t>.</w:t>
      </w:r>
      <w:r>
        <w:rPr>
          <w:snapToGrid w:val="0"/>
        </w:rPr>
        <w:tab/>
        <w:t>Rights of holder of mining lease</w:t>
      </w:r>
      <w:bookmarkEnd w:id="146"/>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lastRenderedPageBreak/>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47" w:name="_Toc207801081"/>
      <w:r>
        <w:rPr>
          <w:rStyle w:val="CharSectno"/>
        </w:rPr>
        <w:t>85A</w:t>
      </w:r>
      <w:r>
        <w:rPr>
          <w:snapToGrid w:val="0"/>
        </w:rPr>
        <w:t>.</w:t>
      </w:r>
      <w:r>
        <w:rPr>
          <w:snapToGrid w:val="0"/>
        </w:rPr>
        <w:tab/>
        <w:t>Land the subject of mining lease not to be again marked out for a certain period</w:t>
      </w:r>
      <w:bookmarkEnd w:id="147"/>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48" w:name="_Toc207801082"/>
      <w:r>
        <w:rPr>
          <w:rStyle w:val="CharSectno"/>
        </w:rPr>
        <w:lastRenderedPageBreak/>
        <w:t>85B</w:t>
      </w:r>
      <w:r>
        <w:rPr>
          <w:snapToGrid w:val="0"/>
        </w:rPr>
        <w:t>.</w:t>
      </w:r>
      <w:r>
        <w:rPr>
          <w:snapToGrid w:val="0"/>
        </w:rPr>
        <w:tab/>
        <w:t>Special prospecting licence on a mining lease</w:t>
      </w:r>
      <w:bookmarkEnd w:id="14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lastRenderedPageBreak/>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 xml:space="preserve">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w:t>
      </w:r>
      <w:r>
        <w:rPr>
          <w:snapToGrid w:val="0"/>
        </w:rPr>
        <w:lastRenderedPageBreak/>
        <w:t>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lastRenderedPageBreak/>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49" w:name="_Toc207365945"/>
      <w:bookmarkStart w:id="150" w:name="_Toc207801083"/>
      <w:r>
        <w:rPr>
          <w:rStyle w:val="CharDivNo"/>
        </w:rPr>
        <w:t>Division 4</w:t>
      </w:r>
      <w:r>
        <w:rPr>
          <w:snapToGrid w:val="0"/>
        </w:rPr>
        <w:t> — </w:t>
      </w:r>
      <w:r>
        <w:rPr>
          <w:rStyle w:val="CharDivText"/>
        </w:rPr>
        <w:t>General purpose lease</w:t>
      </w:r>
      <w:bookmarkEnd w:id="149"/>
      <w:bookmarkEnd w:id="150"/>
    </w:p>
    <w:p>
      <w:pPr>
        <w:pStyle w:val="Ednotesection"/>
        <w:keepNext/>
        <w:keepLines/>
      </w:pPr>
      <w:r>
        <w:t>[</w:t>
      </w:r>
      <w:r>
        <w:rPr>
          <w:b/>
        </w:rPr>
        <w:t>85C.</w:t>
      </w:r>
      <w:r>
        <w:tab/>
        <w:t>Deleted: No. 52 of 1995 s. 30.]</w:t>
      </w:r>
    </w:p>
    <w:p>
      <w:pPr>
        <w:pStyle w:val="Heading5"/>
        <w:rPr>
          <w:snapToGrid w:val="0"/>
        </w:rPr>
      </w:pPr>
      <w:bookmarkStart w:id="151" w:name="_Toc207801084"/>
      <w:r>
        <w:rPr>
          <w:rStyle w:val="CharSectno"/>
        </w:rPr>
        <w:t>86</w:t>
      </w:r>
      <w:r>
        <w:rPr>
          <w:snapToGrid w:val="0"/>
        </w:rPr>
        <w:t>.</w:t>
      </w:r>
      <w:r>
        <w:rPr>
          <w:snapToGrid w:val="0"/>
        </w:rPr>
        <w:tab/>
        <w:t>Grant of general purpose lease</w:t>
      </w:r>
      <w:bookmarkEnd w:id="15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lastRenderedPageBreak/>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52" w:name="_Toc207801085"/>
      <w:r>
        <w:rPr>
          <w:rStyle w:val="CharSectno"/>
        </w:rPr>
        <w:t>87</w:t>
      </w:r>
      <w:r>
        <w:rPr>
          <w:snapToGrid w:val="0"/>
        </w:rPr>
        <w:t>.</w:t>
      </w:r>
      <w:r>
        <w:rPr>
          <w:snapToGrid w:val="0"/>
        </w:rPr>
        <w:tab/>
        <w:t>Purposes for which general purpose lease may be granted</w:t>
      </w:r>
      <w:bookmarkEnd w:id="152"/>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53" w:name="_Toc207801086"/>
      <w:r>
        <w:rPr>
          <w:rStyle w:val="CharSectno"/>
        </w:rPr>
        <w:t>88</w:t>
      </w:r>
      <w:r>
        <w:rPr>
          <w:snapToGrid w:val="0"/>
        </w:rPr>
        <w:t>.</w:t>
      </w:r>
      <w:r>
        <w:rPr>
          <w:snapToGrid w:val="0"/>
        </w:rPr>
        <w:tab/>
        <w:t>Term of general purpose lease</w:t>
      </w:r>
      <w:bookmarkEnd w:id="15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lastRenderedPageBreak/>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lastRenderedPageBreak/>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54" w:name="_Toc207801087"/>
      <w:r>
        <w:rPr>
          <w:rStyle w:val="CharSectno"/>
        </w:rPr>
        <w:t>89</w:t>
      </w:r>
      <w:r>
        <w:rPr>
          <w:snapToGrid w:val="0"/>
        </w:rPr>
        <w:t>.</w:t>
      </w:r>
      <w:r>
        <w:rPr>
          <w:snapToGrid w:val="0"/>
        </w:rPr>
        <w:tab/>
        <w:t>Form of general purpose lease</w:t>
      </w:r>
      <w:bookmarkEnd w:id="15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55" w:name="_Toc207801088"/>
      <w:r>
        <w:rPr>
          <w:rStyle w:val="CharSectno"/>
        </w:rPr>
        <w:t>90</w:t>
      </w:r>
      <w:r>
        <w:t>.</w:t>
      </w:r>
      <w:r>
        <w:tab/>
        <w:t>Application of certain provisions to general purpose leases</w:t>
      </w:r>
      <w:bookmarkEnd w:id="15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section 6(1a), (1c) and (1d)(b) to a mining lease were a reference to a general purpose lease; and</w:t>
      </w:r>
    </w:p>
    <w:p>
      <w:pPr>
        <w:pStyle w:val="Indenta"/>
      </w:pPr>
      <w:r>
        <w:tab/>
        <w:t>(b)</w:t>
      </w:r>
      <w:r>
        <w:tab/>
        <w:t>section 6(1d)(a) were replaced by the following —</w:t>
      </w:r>
    </w:p>
    <w:p>
      <w:pPr>
        <w:pStyle w:val="BlankOpen"/>
        <w:rPr>
          <w:highlight w:val="green"/>
        </w:rPr>
      </w:pPr>
    </w:p>
    <w:p>
      <w:pPr>
        <w:pStyle w:val="zMiscellaneousBody"/>
        <w:ind w:left="1624" w:hanging="560"/>
      </w:pPr>
      <w:r>
        <w:t>(a)</w:t>
      </w:r>
      <w:r>
        <w:tab/>
        <w:t>a programme of work lodged by the holder of the general purpose lease in compliance with a condition prescribed for the purposes of section 89; or</w:t>
      </w:r>
    </w:p>
    <w:p>
      <w:pPr>
        <w:pStyle w:val="BlankClose"/>
      </w:pPr>
    </w:p>
    <w:p>
      <w:pPr>
        <w:pStyle w:val="Subsection"/>
      </w:pPr>
      <w:r>
        <w:tab/>
        <w:t>(2)</w:t>
      </w:r>
      <w:r>
        <w:tab/>
        <w:t>Section 74 applies, with such modifications as the circumstances require, to and in relation to a general purpose lease as if —</w:t>
      </w:r>
    </w:p>
    <w:p>
      <w:pPr>
        <w:pStyle w:val="Indenta"/>
      </w:pPr>
      <w:r>
        <w:lastRenderedPageBreak/>
        <w:tab/>
        <w:t>(a)</w:t>
      </w:r>
      <w:r>
        <w:tab/>
        <w:t>a reference in that section to a mining lease were a reference to a general purpose lease; and</w:t>
      </w:r>
    </w:p>
    <w:p>
      <w:pPr>
        <w:pStyle w:val="Indenta"/>
      </w:pPr>
      <w:r>
        <w:tab/>
        <w:t>(b)</w:t>
      </w:r>
      <w:r>
        <w:tab/>
        <w:t xml:space="preserve">section 74(1)(ca)(ii) and (iii) were replaced by the following — </w:t>
      </w:r>
    </w:p>
    <w:p>
      <w:pPr>
        <w:pStyle w:val="BlankOpen"/>
      </w:pPr>
    </w:p>
    <w:p>
      <w:pPr>
        <w:pStyle w:val="zMiscellaneousBody"/>
        <w:tabs>
          <w:tab w:val="left" w:pos="2268"/>
        </w:tabs>
        <w:ind w:left="2206" w:hanging="454"/>
      </w:pPr>
      <w:r>
        <w:t>(ii)</w:t>
      </w:r>
      <w:r>
        <w:tab/>
        <w:t>a statement in accordance with subsection (1a);</w:t>
      </w:r>
    </w:p>
    <w:p>
      <w:pPr>
        <w:pStyle w:val="BlankClose"/>
      </w:pP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83, 84A, 103AL, 103AN, 103AO, 103AP, 103AQ, 103AR, 103AS, 103AT,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 amended: No. 31 of 2022 s. 31.]</w:t>
      </w:r>
    </w:p>
    <w:p>
      <w:pPr>
        <w:pStyle w:val="Heading3"/>
      </w:pPr>
      <w:bookmarkStart w:id="156" w:name="_Toc207365951"/>
      <w:bookmarkStart w:id="157" w:name="_Toc207801089"/>
      <w:r>
        <w:rPr>
          <w:rStyle w:val="CharDivNo"/>
        </w:rPr>
        <w:t>Division 5</w:t>
      </w:r>
      <w:r>
        <w:rPr>
          <w:snapToGrid w:val="0"/>
        </w:rPr>
        <w:t> — </w:t>
      </w:r>
      <w:r>
        <w:rPr>
          <w:rStyle w:val="CharDivText"/>
        </w:rPr>
        <w:t>Miscellaneous licences</w:t>
      </w:r>
      <w:bookmarkEnd w:id="156"/>
      <w:bookmarkEnd w:id="157"/>
    </w:p>
    <w:p>
      <w:pPr>
        <w:pStyle w:val="Ednotesection"/>
        <w:ind w:left="890" w:hanging="890"/>
      </w:pPr>
      <w:r>
        <w:t>[</w:t>
      </w:r>
      <w:r>
        <w:rPr>
          <w:b/>
        </w:rPr>
        <w:t>90A.</w:t>
      </w:r>
      <w:r>
        <w:rPr>
          <w:b/>
        </w:rPr>
        <w:tab/>
      </w:r>
      <w:r>
        <w:t>Deleted: No. 52 of 1995 s. 31.]</w:t>
      </w:r>
    </w:p>
    <w:p>
      <w:pPr>
        <w:pStyle w:val="Heading5"/>
        <w:keepLines w:val="0"/>
        <w:rPr>
          <w:snapToGrid w:val="0"/>
        </w:rPr>
      </w:pPr>
      <w:bookmarkStart w:id="158" w:name="_Toc207801090"/>
      <w:r>
        <w:rPr>
          <w:rStyle w:val="CharSectno"/>
        </w:rPr>
        <w:t>91</w:t>
      </w:r>
      <w:r>
        <w:rPr>
          <w:snapToGrid w:val="0"/>
        </w:rPr>
        <w:t>.</w:t>
      </w:r>
      <w:r>
        <w:rPr>
          <w:snapToGrid w:val="0"/>
        </w:rPr>
        <w:tab/>
        <w:t>Grant of miscellaneous licence</w:t>
      </w:r>
      <w:bookmarkEnd w:id="15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w:t>
      </w:r>
      <w:r>
        <w:rPr>
          <w:snapToGrid w:val="0"/>
        </w:rPr>
        <w:lastRenderedPageBreak/>
        <w:t>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59" w:name="_Toc207801091"/>
      <w:r>
        <w:rPr>
          <w:rStyle w:val="CharSectno"/>
        </w:rPr>
        <w:lastRenderedPageBreak/>
        <w:t>91A</w:t>
      </w:r>
      <w:r>
        <w:rPr>
          <w:snapToGrid w:val="0"/>
        </w:rPr>
        <w:t>.</w:t>
      </w:r>
      <w:r>
        <w:rPr>
          <w:snapToGrid w:val="0"/>
        </w:rPr>
        <w:tab/>
        <w:t>Term and renewal of existing licence or licence granted in respect of existing application</w:t>
      </w:r>
      <w:bookmarkEnd w:id="15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60" w:name="_Toc207801092"/>
      <w:r>
        <w:rPr>
          <w:rStyle w:val="CharSectno"/>
        </w:rPr>
        <w:t>91B</w:t>
      </w:r>
      <w:r>
        <w:rPr>
          <w:snapToGrid w:val="0"/>
        </w:rPr>
        <w:t>.</w:t>
      </w:r>
      <w:r>
        <w:rPr>
          <w:snapToGrid w:val="0"/>
        </w:rPr>
        <w:tab/>
        <w:t>Term and renewal of licence granted in respect of new application</w:t>
      </w:r>
      <w:bookmarkEnd w:id="16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61" w:name="_Toc207801093"/>
      <w:r>
        <w:rPr>
          <w:rStyle w:val="CharSectno"/>
        </w:rPr>
        <w:t>92</w:t>
      </w:r>
      <w:r>
        <w:rPr>
          <w:snapToGrid w:val="0"/>
        </w:rPr>
        <w:t>.</w:t>
      </w:r>
      <w:r>
        <w:rPr>
          <w:snapToGrid w:val="0"/>
        </w:rPr>
        <w:tab/>
        <w:t>Provisions applying to all miscellaneous licences</w:t>
      </w:r>
      <w:bookmarkEnd w:id="161"/>
    </w:p>
    <w:p>
      <w:pPr>
        <w:pStyle w:val="Subsection"/>
        <w:rPr>
          <w:snapToGrid w:val="0"/>
        </w:rPr>
      </w:pPr>
      <w:r>
        <w:rPr>
          <w:snapToGrid w:val="0"/>
        </w:rPr>
        <w:tab/>
      </w:r>
      <w:r>
        <w:rPr>
          <w:snapToGrid w:val="0"/>
        </w:rPr>
        <w:tab/>
        <w:t xml:space="preserve">Sections 41, 42, 44, 46,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 No. 31 of 2022 s. 32.]</w:t>
      </w:r>
    </w:p>
    <w:p>
      <w:pPr>
        <w:pStyle w:val="Heading5"/>
        <w:rPr>
          <w:snapToGrid w:val="0"/>
        </w:rPr>
      </w:pPr>
      <w:bookmarkStart w:id="162" w:name="_Toc207801094"/>
      <w:r>
        <w:rPr>
          <w:rStyle w:val="CharSectno"/>
        </w:rPr>
        <w:t>93</w:t>
      </w:r>
      <w:r>
        <w:rPr>
          <w:snapToGrid w:val="0"/>
        </w:rPr>
        <w:t>.</w:t>
      </w:r>
      <w:r>
        <w:rPr>
          <w:snapToGrid w:val="0"/>
        </w:rPr>
        <w:tab/>
        <w:t>Map to accompany application</w:t>
      </w:r>
      <w:bookmarkEnd w:id="162"/>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63" w:name="_Toc207801095"/>
      <w:r>
        <w:rPr>
          <w:rStyle w:val="CharSectno"/>
        </w:rPr>
        <w:t>94</w:t>
      </w:r>
      <w:r>
        <w:rPr>
          <w:snapToGrid w:val="0"/>
        </w:rPr>
        <w:t>.</w:t>
      </w:r>
      <w:r>
        <w:rPr>
          <w:snapToGrid w:val="0"/>
        </w:rPr>
        <w:tab/>
        <w:t>Terms and conditions</w:t>
      </w:r>
      <w:bookmarkEnd w:id="16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64" w:name="_Toc207801096"/>
      <w:r>
        <w:rPr>
          <w:rStyle w:val="CharSectno"/>
        </w:rPr>
        <w:t>94A</w:t>
      </w:r>
      <w:r>
        <w:rPr>
          <w:snapToGrid w:val="0"/>
        </w:rPr>
        <w:t>.</w:t>
      </w:r>
      <w:r>
        <w:rPr>
          <w:snapToGrid w:val="0"/>
        </w:rPr>
        <w:tab/>
        <w:t>Grant of mining tenement on land in a miscellaneous licence</w:t>
      </w:r>
      <w:bookmarkEnd w:id="16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lastRenderedPageBreak/>
        <w:tab/>
        <w:t>[Section 94A inserted: No. 22 of 1990 s. 26; amended: No. 15 of 2002 s. 19.]</w:t>
      </w:r>
    </w:p>
    <w:p>
      <w:pPr>
        <w:pStyle w:val="Heading5"/>
        <w:rPr>
          <w:snapToGrid w:val="0"/>
        </w:rPr>
      </w:pPr>
      <w:bookmarkStart w:id="165" w:name="_Toc207801097"/>
      <w:r>
        <w:rPr>
          <w:rStyle w:val="CharSectno"/>
        </w:rPr>
        <w:t>94B</w:t>
      </w:r>
      <w:r>
        <w:rPr>
          <w:snapToGrid w:val="0"/>
        </w:rPr>
        <w:t>.</w:t>
      </w:r>
      <w:r>
        <w:rPr>
          <w:snapToGrid w:val="0"/>
        </w:rPr>
        <w:tab/>
        <w:t>Surrender, forfeiture or expiry of concurrent tenement</w:t>
      </w:r>
      <w:bookmarkEnd w:id="165"/>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66" w:name="_Toc207365960"/>
      <w:bookmarkStart w:id="167" w:name="_Toc207801098"/>
      <w:r>
        <w:rPr>
          <w:rStyle w:val="CharDivNo"/>
        </w:rPr>
        <w:t>Division 6</w:t>
      </w:r>
      <w:r>
        <w:rPr>
          <w:snapToGrid w:val="0"/>
        </w:rPr>
        <w:t> — </w:t>
      </w:r>
      <w:r>
        <w:rPr>
          <w:rStyle w:val="CharDivText"/>
        </w:rPr>
        <w:t>Surrender and forfeiture of mining tenements</w:t>
      </w:r>
      <w:bookmarkEnd w:id="166"/>
      <w:bookmarkEnd w:id="167"/>
    </w:p>
    <w:p>
      <w:pPr>
        <w:pStyle w:val="Heading5"/>
        <w:rPr>
          <w:snapToGrid w:val="0"/>
        </w:rPr>
      </w:pPr>
      <w:bookmarkStart w:id="168" w:name="_Toc207801099"/>
      <w:r>
        <w:rPr>
          <w:rStyle w:val="CharSectno"/>
        </w:rPr>
        <w:t>95</w:t>
      </w:r>
      <w:r>
        <w:rPr>
          <w:snapToGrid w:val="0"/>
        </w:rPr>
        <w:t>.</w:t>
      </w:r>
      <w:r>
        <w:rPr>
          <w:snapToGrid w:val="0"/>
        </w:rPr>
        <w:tab/>
        <w:t>Surrender of mining tenement</w:t>
      </w:r>
      <w:bookmarkEnd w:id="16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 xml:space="preserve">Where part of a mining tenement is surrendered, notification thereof shall be endorsed as prescribed on the mining tenement, for which purpose the holder shall produce his copy of the </w:t>
      </w:r>
      <w:r>
        <w:rPr>
          <w:snapToGrid w:val="0"/>
        </w:rPr>
        <w:lastRenderedPageBreak/>
        <w:t>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69" w:name="_Toc207801100"/>
      <w:r>
        <w:rPr>
          <w:rStyle w:val="CharSectno"/>
        </w:rPr>
        <w:t>95A</w:t>
      </w:r>
      <w:r>
        <w:t>.</w:t>
      </w:r>
      <w:r>
        <w:tab/>
        <w:t>Exploration licence — surrender of part of block</w:t>
      </w:r>
      <w:bookmarkEnd w:id="16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 xml:space="preserve">The holder of an exploration licence shall not, under section 95(1), surrender part of a block that is subject to the licence without the prior approval of the Minister or an officer </w:t>
      </w:r>
      <w:r>
        <w:lastRenderedPageBreak/>
        <w:t>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70" w:name="_Toc207801101"/>
      <w:r>
        <w:rPr>
          <w:rStyle w:val="CharSectno"/>
        </w:rPr>
        <w:t>96</w:t>
      </w:r>
      <w:r>
        <w:rPr>
          <w:snapToGrid w:val="0"/>
        </w:rPr>
        <w:t>.</w:t>
      </w:r>
      <w:r>
        <w:rPr>
          <w:snapToGrid w:val="0"/>
        </w:rPr>
        <w:tab/>
        <w:t>Forfeiture of certain mining tenements</w:t>
      </w:r>
      <w:bookmarkEnd w:id="17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 xml:space="preserve">any term or condition to which the mining tenement is </w:t>
      </w:r>
      <w:r>
        <w:t>subject, including any conditions referred to in sections 46, 50, 103AE(1), 103AG(3), (4) and (5), 103AI</w:t>
      </w:r>
      <w:r>
        <w:rPr>
          <w:szCs w:val="24"/>
        </w:rPr>
        <w:t>(</w:t>
      </w:r>
      <w:r>
        <w:t>2), (3) and (5), 103AM(2), (3) and (4), 103AO(4) and 103AS,</w:t>
      </w:r>
      <w:r>
        <w:rPr>
          <w:snapToGrid w:val="0"/>
        </w:rPr>
        <w:t xml:space="preserve">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 xml:space="preserve">any requirement under </w:t>
      </w:r>
      <w:r>
        <w:t>section 55B(2), 103AV(1)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 No. 31 of 2022 s. 33.]</w:t>
      </w:r>
    </w:p>
    <w:p>
      <w:pPr>
        <w:pStyle w:val="Heading5"/>
        <w:rPr>
          <w:snapToGrid w:val="0"/>
        </w:rPr>
      </w:pPr>
      <w:bookmarkStart w:id="171" w:name="_Toc207801102"/>
      <w:r>
        <w:rPr>
          <w:rStyle w:val="CharSectno"/>
        </w:rPr>
        <w:t>96A</w:t>
      </w:r>
      <w:r>
        <w:rPr>
          <w:snapToGrid w:val="0"/>
        </w:rPr>
        <w:t>.</w:t>
      </w:r>
      <w:r>
        <w:rPr>
          <w:snapToGrid w:val="0"/>
        </w:rPr>
        <w:tab/>
        <w:t>Forfeiture of exploration licence or retention licence</w:t>
      </w:r>
      <w:bookmarkEnd w:id="17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72" w:name="_Toc207801103"/>
      <w:r>
        <w:rPr>
          <w:rStyle w:val="CharSectno"/>
        </w:rPr>
        <w:t>97</w:t>
      </w:r>
      <w:r>
        <w:rPr>
          <w:snapToGrid w:val="0"/>
        </w:rPr>
        <w:t>.</w:t>
      </w:r>
      <w:r>
        <w:rPr>
          <w:snapToGrid w:val="0"/>
        </w:rPr>
        <w:tab/>
        <w:t>Forfeiture of mining lease or general purpose lease</w:t>
      </w:r>
      <w:bookmarkEnd w:id="172"/>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73" w:name="_Toc207801104"/>
      <w:r>
        <w:rPr>
          <w:rStyle w:val="CharSectno"/>
        </w:rPr>
        <w:lastRenderedPageBreak/>
        <w:t>97A</w:t>
      </w:r>
      <w:r>
        <w:rPr>
          <w:snapToGrid w:val="0"/>
        </w:rPr>
        <w:t>.</w:t>
      </w:r>
      <w:r>
        <w:rPr>
          <w:snapToGrid w:val="0"/>
        </w:rPr>
        <w:tab/>
        <w:t>Application for restoration of mining tenement after forfeiture</w:t>
      </w:r>
      <w:bookmarkEnd w:id="173"/>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lastRenderedPageBreak/>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lastRenderedPageBreak/>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174" w:name="_Toc207801105"/>
      <w:r>
        <w:rPr>
          <w:rStyle w:val="CharSectno"/>
        </w:rPr>
        <w:t>98</w:t>
      </w:r>
      <w:r>
        <w:rPr>
          <w:snapToGrid w:val="0"/>
        </w:rPr>
        <w:t>.</w:t>
      </w:r>
      <w:r>
        <w:rPr>
          <w:snapToGrid w:val="0"/>
        </w:rPr>
        <w:tab/>
        <w:t>Application for forfeiture on other grounds</w:t>
      </w:r>
      <w:bookmarkEnd w:id="17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75" w:name="_Toc207801106"/>
      <w:r>
        <w:rPr>
          <w:rStyle w:val="CharSectno"/>
        </w:rPr>
        <w:t>99</w:t>
      </w:r>
      <w:r>
        <w:rPr>
          <w:snapToGrid w:val="0"/>
        </w:rPr>
        <w:t>.</w:t>
      </w:r>
      <w:r>
        <w:rPr>
          <w:snapToGrid w:val="0"/>
        </w:rPr>
        <w:tab/>
        <w:t>Proceedings by Minister on recommendation</w:t>
      </w:r>
      <w:bookmarkEnd w:id="17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76" w:name="_Toc207801107"/>
      <w:r>
        <w:rPr>
          <w:rStyle w:val="CharSectno"/>
        </w:rPr>
        <w:t>100</w:t>
      </w:r>
      <w:r>
        <w:rPr>
          <w:snapToGrid w:val="0"/>
        </w:rPr>
        <w:t>.</w:t>
      </w:r>
      <w:r>
        <w:rPr>
          <w:snapToGrid w:val="0"/>
        </w:rPr>
        <w:tab/>
        <w:t>Applicant to have priority for marking out and applying for surrendered or forfeited licence or lease</w:t>
      </w:r>
      <w:bookmarkEnd w:id="176"/>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w:t>
      </w:r>
      <w:r>
        <w:rPr>
          <w:snapToGrid w:val="0"/>
        </w:rPr>
        <w:lastRenderedPageBreak/>
        <w:t>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77" w:name="_Toc207801108"/>
      <w:r>
        <w:rPr>
          <w:rStyle w:val="CharSectno"/>
        </w:rPr>
        <w:t>101</w:t>
      </w:r>
      <w:r>
        <w:rPr>
          <w:snapToGrid w:val="0"/>
        </w:rPr>
        <w:t>.</w:t>
      </w:r>
      <w:r>
        <w:rPr>
          <w:snapToGrid w:val="0"/>
        </w:rPr>
        <w:tab/>
        <w:t>Application for forfeiture of mining tenement while holder is a company in process of winding up</w:t>
      </w:r>
      <w:bookmarkEnd w:id="177"/>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w:t>
      </w:r>
      <w:r>
        <w:rPr>
          <w:snapToGrid w:val="0"/>
        </w:rPr>
        <w:lastRenderedPageBreak/>
        <w:t>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78" w:name="_Toc207365971"/>
      <w:bookmarkStart w:id="179" w:name="_Toc207801109"/>
      <w:r>
        <w:rPr>
          <w:rStyle w:val="CharDivNo"/>
        </w:rPr>
        <w:t>Division 7</w:t>
      </w:r>
      <w:r>
        <w:rPr>
          <w:snapToGrid w:val="0"/>
        </w:rPr>
        <w:t> — </w:t>
      </w:r>
      <w:r>
        <w:rPr>
          <w:rStyle w:val="CharDivText"/>
        </w:rPr>
        <w:t>Exemption from expenditure conditions</w:t>
      </w:r>
      <w:bookmarkEnd w:id="178"/>
      <w:bookmarkEnd w:id="179"/>
    </w:p>
    <w:p>
      <w:pPr>
        <w:pStyle w:val="Heading5"/>
        <w:rPr>
          <w:snapToGrid w:val="0"/>
        </w:rPr>
      </w:pPr>
      <w:bookmarkStart w:id="180" w:name="_Toc207801110"/>
      <w:r>
        <w:rPr>
          <w:rStyle w:val="CharSectno"/>
        </w:rPr>
        <w:t>102</w:t>
      </w:r>
      <w:r>
        <w:rPr>
          <w:snapToGrid w:val="0"/>
        </w:rPr>
        <w:t>.</w:t>
      </w:r>
      <w:r>
        <w:rPr>
          <w:snapToGrid w:val="0"/>
        </w:rPr>
        <w:tab/>
        <w:t>Exemption from expenditure conditions</w:t>
      </w:r>
      <w:bookmarkEnd w:id="18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lastRenderedPageBreak/>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w:t>
      </w:r>
      <w:r>
        <w:lastRenderedPageBreak/>
        <w:t>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lastRenderedPageBreak/>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181" w:name="_Toc207801111"/>
      <w:r>
        <w:rPr>
          <w:rStyle w:val="CharSectno"/>
        </w:rPr>
        <w:t>102A</w:t>
      </w:r>
      <w:r>
        <w:rPr>
          <w:snapToGrid w:val="0"/>
        </w:rPr>
        <w:t>.</w:t>
      </w:r>
      <w:r>
        <w:rPr>
          <w:snapToGrid w:val="0"/>
        </w:rPr>
        <w:tab/>
        <w:t>Exemption from expenditure conditions in respect of certain holders of exploration licences</w:t>
      </w:r>
      <w:bookmarkEnd w:id="181"/>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w:t>
      </w:r>
      <w:r>
        <w:rPr>
          <w:snapToGrid w:val="0"/>
        </w:rPr>
        <w:lastRenderedPageBreak/>
        <w:t>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82" w:name="_Toc207801112"/>
      <w:r>
        <w:rPr>
          <w:rStyle w:val="CharSectno"/>
        </w:rPr>
        <w:t>103</w:t>
      </w:r>
      <w:r>
        <w:rPr>
          <w:snapToGrid w:val="0"/>
        </w:rPr>
        <w:t>.</w:t>
      </w:r>
      <w:r>
        <w:rPr>
          <w:snapToGrid w:val="0"/>
        </w:rPr>
        <w:tab/>
        <w:t>Effect of exemption</w:t>
      </w:r>
      <w:bookmarkEnd w:id="182"/>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83" w:name="_Toc115276289"/>
      <w:bookmarkStart w:id="184" w:name="_Toc115276369"/>
      <w:bookmarkStart w:id="185" w:name="_Toc115276449"/>
      <w:bookmarkStart w:id="186" w:name="_Toc207801113"/>
      <w:r>
        <w:rPr>
          <w:rStyle w:val="CharPartNo"/>
        </w:rPr>
        <w:lastRenderedPageBreak/>
        <w:t>Part 4AA</w:t>
      </w:r>
      <w:r>
        <w:t> — </w:t>
      </w:r>
      <w:r>
        <w:rPr>
          <w:rStyle w:val="CharPartText"/>
        </w:rPr>
        <w:t>Conditions and approvals</w:t>
      </w:r>
      <w:bookmarkEnd w:id="183"/>
      <w:bookmarkEnd w:id="184"/>
      <w:bookmarkEnd w:id="185"/>
      <w:bookmarkEnd w:id="186"/>
    </w:p>
    <w:p>
      <w:pPr>
        <w:pStyle w:val="Footnoteheading"/>
        <w:keepNext/>
        <w:keepLines/>
        <w:rPr>
          <w:snapToGrid w:val="0"/>
        </w:rPr>
      </w:pPr>
      <w:bookmarkStart w:id="187" w:name="_Toc115276290"/>
      <w:bookmarkStart w:id="188" w:name="_Toc115276370"/>
      <w:bookmarkStart w:id="189" w:name="_Toc115276450"/>
      <w:r>
        <w:rPr>
          <w:snapToGrid w:val="0"/>
        </w:rPr>
        <w:tab/>
        <w:t>[Heading inserted: No. 31 of 2022 s. 34.]</w:t>
      </w:r>
    </w:p>
    <w:p>
      <w:pPr>
        <w:pStyle w:val="Heading3"/>
      </w:pPr>
      <w:bookmarkStart w:id="190" w:name="_Toc207801114"/>
      <w:r>
        <w:rPr>
          <w:rStyle w:val="CharDivNo"/>
        </w:rPr>
        <w:t>Division 1</w:t>
      </w:r>
      <w:r>
        <w:t> — </w:t>
      </w:r>
      <w:r>
        <w:rPr>
          <w:rStyle w:val="CharDivText"/>
        </w:rPr>
        <w:t>Preliminary</w:t>
      </w:r>
      <w:bookmarkEnd w:id="187"/>
      <w:bookmarkEnd w:id="188"/>
      <w:bookmarkEnd w:id="189"/>
      <w:bookmarkEnd w:id="190"/>
    </w:p>
    <w:p>
      <w:pPr>
        <w:pStyle w:val="Footnoteheading"/>
        <w:keepNext/>
        <w:keepLines/>
        <w:rPr>
          <w:snapToGrid w:val="0"/>
        </w:rPr>
      </w:pPr>
      <w:bookmarkStart w:id="191" w:name="_Toc115276451"/>
      <w:r>
        <w:rPr>
          <w:snapToGrid w:val="0"/>
        </w:rPr>
        <w:tab/>
        <w:t>[Heading inserted: No. 31 of 2022 s. 34.]</w:t>
      </w:r>
    </w:p>
    <w:p>
      <w:pPr>
        <w:pStyle w:val="Heading5"/>
      </w:pPr>
      <w:bookmarkStart w:id="192" w:name="_Toc207801115"/>
      <w:r>
        <w:rPr>
          <w:rStyle w:val="CharSectno"/>
        </w:rPr>
        <w:t>103AA</w:t>
      </w:r>
      <w:r>
        <w:t>.</w:t>
      </w:r>
      <w:r>
        <w:tab/>
        <w:t>Terms used</w:t>
      </w:r>
      <w:bookmarkEnd w:id="191"/>
      <w:bookmarkEnd w:id="192"/>
    </w:p>
    <w:p>
      <w:pPr>
        <w:pStyle w:val="Subsection"/>
      </w:pPr>
      <w:r>
        <w:tab/>
      </w:r>
      <w:r>
        <w:tab/>
        <w:t xml:space="preserve">In this Part — </w:t>
      </w:r>
    </w:p>
    <w:p>
      <w:pPr>
        <w:pStyle w:val="Defstart"/>
      </w:pPr>
      <w:r>
        <w:tab/>
      </w:r>
      <w:r>
        <w:rPr>
          <w:rStyle w:val="CharDefText"/>
        </w:rPr>
        <w:t>approvals statement</w:t>
      </w:r>
      <w:r>
        <w:t xml:space="preserve"> has the meaning given in section 103AP(1);</w:t>
      </w:r>
    </w:p>
    <w:p>
      <w:pPr>
        <w:pStyle w:val="Defstart"/>
      </w:pPr>
      <w:r>
        <w:tab/>
      </w:r>
      <w:r>
        <w:rPr>
          <w:rStyle w:val="CharDefText"/>
        </w:rPr>
        <w:t>closure outcomes</w:t>
      </w:r>
      <w:r>
        <w:t xml:space="preserve"> means — </w:t>
      </w:r>
    </w:p>
    <w:p>
      <w:pPr>
        <w:pStyle w:val="Defpara"/>
      </w:pPr>
      <w:r>
        <w:tab/>
        <w:t>(a)</w:t>
      </w:r>
      <w:r>
        <w:tab/>
        <w:t>in relation to a mining development and closure proposal — the outcomes, objectives or goals to be achieved at the completion of the decommissioning of a proposed mine, and the rehabilitation of the land, the subject of a mining lease or a miscellaneous licence to which the mining development and closure proposal relates; and</w:t>
      </w:r>
    </w:p>
    <w:p>
      <w:pPr>
        <w:pStyle w:val="Defpara"/>
      </w:pPr>
      <w:r>
        <w:tab/>
        <w:t>(b)</w:t>
      </w:r>
      <w:r>
        <w:tab/>
        <w:t>in relation to a mine closure plan — the outcomes, objectives or goals to be achieved at the completion of the decommissioning of a mine, and the rehabilitation of the land, in respect of which a mining lease or a miscellaneous licence is granted;</w:t>
      </w:r>
    </w:p>
    <w:p>
      <w:pPr>
        <w:pStyle w:val="Defstart"/>
      </w:pPr>
      <w:r>
        <w:tab/>
      </w:r>
      <w:r>
        <w:rPr>
          <w:rStyle w:val="CharDefText"/>
        </w:rPr>
        <w:t>eligible mining activity</w:t>
      </w:r>
      <w:r>
        <w:t xml:space="preserve"> (</w:t>
      </w:r>
      <w:r>
        <w:rPr>
          <w:rStyle w:val="CharDefText"/>
        </w:rPr>
        <w:t>EMA</w:t>
      </w:r>
      <w:r>
        <w:t>) has the meaning given in section 103AB(1);</w:t>
      </w:r>
    </w:p>
    <w:p>
      <w:pPr>
        <w:pStyle w:val="Defstart"/>
      </w:pPr>
      <w:r>
        <w:tab/>
      </w:r>
      <w:r>
        <w:rPr>
          <w:rStyle w:val="CharDefText"/>
        </w:rPr>
        <w:t>EMA notice</w:t>
      </w:r>
      <w:r>
        <w:t xml:space="preserve"> has the meaning given in section 103AF(1);</w:t>
      </w:r>
    </w:p>
    <w:p>
      <w:pPr>
        <w:pStyle w:val="Defstart"/>
      </w:pPr>
      <w:r>
        <w:tab/>
      </w:r>
      <w:r>
        <w:rPr>
          <w:rStyle w:val="CharDefText"/>
        </w:rPr>
        <w:t>licensed activity</w:t>
      </w:r>
      <w:r>
        <w:t xml:space="preserve"> means an activity authorised by a miscellaneous licence;</w:t>
      </w:r>
    </w:p>
    <w:p>
      <w:pPr>
        <w:pStyle w:val="Defstart"/>
      </w:pPr>
      <w:r>
        <w:tab/>
      </w:r>
      <w:r>
        <w:rPr>
          <w:rStyle w:val="CharDefText"/>
        </w:rPr>
        <w:t>mine closure plan</w:t>
      </w:r>
      <w:r>
        <w:t xml:space="preserve"> has the meaning given in section 103AR;</w:t>
      </w:r>
    </w:p>
    <w:p>
      <w:pPr>
        <w:pStyle w:val="Defstart"/>
      </w:pPr>
      <w:r>
        <w:tab/>
      </w:r>
      <w:r>
        <w:rPr>
          <w:rStyle w:val="CharDefText"/>
        </w:rPr>
        <w:t>programme of work</w:t>
      </w:r>
      <w:r>
        <w:t xml:space="preserve"> means a programme of work required in order to comply with a condition referred to in section 103AG(3)(b) or (4), 103AH(2)(b) or (3) or 103AI(2)(b) or (3);</w:t>
      </w:r>
    </w:p>
    <w:p>
      <w:pPr>
        <w:pStyle w:val="Defstart"/>
      </w:pPr>
      <w:r>
        <w:lastRenderedPageBreak/>
        <w:tab/>
      </w:r>
      <w:r>
        <w:rPr>
          <w:rStyle w:val="CharDefText"/>
        </w:rPr>
        <w:t>relevant information</w:t>
      </w:r>
      <w:r>
        <w:t xml:space="preserve"> has the meaning given in section 103AO(6).</w:t>
      </w:r>
    </w:p>
    <w:p>
      <w:pPr>
        <w:pStyle w:val="Footnotesection"/>
      </w:pPr>
      <w:bookmarkStart w:id="193" w:name="_Toc115276292"/>
      <w:bookmarkStart w:id="194" w:name="_Toc115276372"/>
      <w:bookmarkStart w:id="195" w:name="_Toc115276452"/>
      <w:r>
        <w:tab/>
        <w:t>[Section 103AA inserted: No. 31 of 2022 s. 34.]</w:t>
      </w:r>
    </w:p>
    <w:p>
      <w:pPr>
        <w:pStyle w:val="Heading3"/>
      </w:pPr>
      <w:bookmarkStart w:id="196" w:name="_Toc207801116"/>
      <w:r>
        <w:rPr>
          <w:rStyle w:val="CharDivNo"/>
        </w:rPr>
        <w:t>Division 2</w:t>
      </w:r>
      <w:r>
        <w:t> — </w:t>
      </w:r>
      <w:r>
        <w:rPr>
          <w:rStyle w:val="CharDivText"/>
        </w:rPr>
        <w:t>Conditions and notices relating to eligible mining activities</w:t>
      </w:r>
      <w:bookmarkEnd w:id="193"/>
      <w:bookmarkEnd w:id="194"/>
      <w:bookmarkEnd w:id="195"/>
      <w:bookmarkEnd w:id="196"/>
    </w:p>
    <w:p>
      <w:pPr>
        <w:pStyle w:val="Footnoteheading"/>
        <w:keepNext/>
        <w:keepLines/>
        <w:rPr>
          <w:snapToGrid w:val="0"/>
        </w:rPr>
      </w:pPr>
      <w:bookmarkStart w:id="197" w:name="_Toc115276453"/>
      <w:r>
        <w:rPr>
          <w:snapToGrid w:val="0"/>
        </w:rPr>
        <w:tab/>
        <w:t>[Heading inserted: No. 31 of 2022 s. 34.]</w:t>
      </w:r>
    </w:p>
    <w:p>
      <w:pPr>
        <w:pStyle w:val="Heading5"/>
      </w:pPr>
      <w:bookmarkStart w:id="198" w:name="_Toc207801117"/>
      <w:r>
        <w:rPr>
          <w:rStyle w:val="CharSectno"/>
        </w:rPr>
        <w:t>103AB</w:t>
      </w:r>
      <w:r>
        <w:t>.</w:t>
      </w:r>
      <w:r>
        <w:tab/>
        <w:t>Eligible mining activities</w:t>
      </w:r>
      <w:bookmarkEnd w:id="197"/>
      <w:bookmarkEnd w:id="198"/>
    </w:p>
    <w:p>
      <w:pPr>
        <w:pStyle w:val="Subsection"/>
      </w:pPr>
      <w:r>
        <w:tab/>
        <w:t>(1)</w:t>
      </w:r>
      <w:r>
        <w:tab/>
        <w:t xml:space="preserve">For the purposes of this Part, the regulations may prescribe an activity done on land the subject of a mining tenement to be an </w:t>
      </w:r>
      <w:r>
        <w:rPr>
          <w:rStyle w:val="CharDefText"/>
        </w:rPr>
        <w:t>eligible mining activity</w:t>
      </w:r>
      <w:r>
        <w:t xml:space="preserve"> (</w:t>
      </w:r>
      <w:r>
        <w:rPr>
          <w:rStyle w:val="CharDefText"/>
        </w:rPr>
        <w:t>EMA</w:t>
      </w:r>
      <w:r>
        <w:t xml:space="preserve">) if — </w:t>
      </w:r>
    </w:p>
    <w:p>
      <w:pPr>
        <w:pStyle w:val="Indenta"/>
      </w:pPr>
      <w:r>
        <w:tab/>
        <w:t>(a)</w:t>
      </w:r>
      <w:r>
        <w:tab/>
        <w:t>the activity uses machinery to disturb the surface of the land for the purposes of, or in preparation for, mining; and</w:t>
      </w:r>
    </w:p>
    <w:p>
      <w:pPr>
        <w:pStyle w:val="Indenta"/>
      </w:pPr>
      <w:r>
        <w:tab/>
        <w:t>(b)</w:t>
      </w:r>
      <w:r>
        <w:tab/>
        <w:t>the activity can be carried out with minimal disturbance to the surface of the land.</w:t>
      </w:r>
    </w:p>
    <w:p>
      <w:pPr>
        <w:pStyle w:val="Subsection"/>
      </w:pPr>
      <w:r>
        <w:tab/>
        <w:t>(2)</w:t>
      </w:r>
      <w:r>
        <w:tab/>
        <w:t>For the purposes of subsection (1)(b), an EMA is taken to be carried out with minimal disturbance to the surface of the land if it is carried out in accordance with prescribed requirements.</w:t>
      </w:r>
    </w:p>
    <w:p>
      <w:pPr>
        <w:pStyle w:val="Footnotesection"/>
      </w:pPr>
      <w:bookmarkStart w:id="199" w:name="_Toc115276454"/>
      <w:r>
        <w:tab/>
        <w:t>[Section 103AB inserted: No. 31 of 2022 s. 34.]</w:t>
      </w:r>
    </w:p>
    <w:p>
      <w:pPr>
        <w:pStyle w:val="Heading5"/>
      </w:pPr>
      <w:bookmarkStart w:id="200" w:name="_Toc207801118"/>
      <w:r>
        <w:rPr>
          <w:rStyle w:val="CharSectno"/>
        </w:rPr>
        <w:t>103AC</w:t>
      </w:r>
      <w:r>
        <w:t>.</w:t>
      </w:r>
      <w:r>
        <w:tab/>
        <w:t>Excluded area notices</w:t>
      </w:r>
      <w:bookmarkEnd w:id="199"/>
      <w:bookmarkEnd w:id="200"/>
    </w:p>
    <w:p>
      <w:pPr>
        <w:pStyle w:val="Subsection"/>
      </w:pPr>
      <w:r>
        <w:tab/>
        <w:t>(1)</w:t>
      </w:r>
      <w:r>
        <w:tab/>
        <w:t xml:space="preserve">The Minister may, by notice (an </w:t>
      </w:r>
      <w:r>
        <w:rPr>
          <w:rStyle w:val="CharDefText"/>
        </w:rPr>
        <w:t>excluded area notice</w:t>
      </w:r>
      <w:r>
        <w:t xml:space="preserve">) in the </w:t>
      </w:r>
      <w:r>
        <w:rPr>
          <w:i/>
        </w:rPr>
        <w:t>Gazette</w:t>
      </w:r>
      <w:r>
        <w:t xml:space="preserve">, declare an area named or described in the notice as an excluded area for the purposes of this Part if the Minister is satisfied that it is not appropriate for an EMA notice to be given in relation to the area. </w:t>
      </w:r>
    </w:p>
    <w:p>
      <w:pPr>
        <w:pStyle w:val="Subsection"/>
      </w:pPr>
      <w:r>
        <w:tab/>
        <w:t>(2)</w:t>
      </w:r>
      <w:r>
        <w:tab/>
        <w:t>An EMA notice cannot be given in relation to an area that is the subject of an excluded area notice.</w:t>
      </w:r>
    </w:p>
    <w:p>
      <w:pPr>
        <w:pStyle w:val="Subsection"/>
        <w:keepNext/>
      </w:pPr>
      <w:r>
        <w:lastRenderedPageBreak/>
        <w:tab/>
        <w:t>(3)</w:t>
      </w:r>
      <w:r>
        <w:tab/>
        <w:t xml:space="preserve">The Minister may, by notice in the </w:t>
      </w:r>
      <w:r>
        <w:rPr>
          <w:i/>
        </w:rPr>
        <w:t>Gazette</w:t>
      </w:r>
      <w:r>
        <w:t>, cancel an excluded area notice.</w:t>
      </w:r>
    </w:p>
    <w:p>
      <w:pPr>
        <w:pStyle w:val="Subsection"/>
      </w:pPr>
      <w:r>
        <w:tab/>
        <w:t>(4)</w:t>
      </w:r>
      <w:r>
        <w:tab/>
        <w:t xml:space="preserve">The Minister must keep a register of excluded area notices and make the information on the register publicly available free of charge — </w:t>
      </w:r>
    </w:p>
    <w:p>
      <w:pPr>
        <w:pStyle w:val="Indenta"/>
      </w:pPr>
      <w:r>
        <w:tab/>
        <w:t>(a)</w:t>
      </w:r>
      <w:r>
        <w:tab/>
        <w:t>by making the register available during normal office hours at a prescribed place for public inspection; and</w:t>
      </w:r>
    </w:p>
    <w:p>
      <w:pPr>
        <w:pStyle w:val="Indenta"/>
      </w:pPr>
      <w:r>
        <w:tab/>
        <w:t>(b)</w:t>
      </w:r>
      <w:r>
        <w:tab/>
        <w:t>by making the register available on a website maintained by the Department.</w:t>
      </w:r>
    </w:p>
    <w:p>
      <w:pPr>
        <w:pStyle w:val="Footnotesection"/>
      </w:pPr>
      <w:bookmarkStart w:id="201" w:name="_Toc115276455"/>
      <w:r>
        <w:tab/>
        <w:t>[Section 103AC inserted: No. 31 of 2022 s. 34.]</w:t>
      </w:r>
    </w:p>
    <w:p>
      <w:pPr>
        <w:pStyle w:val="Heading5"/>
      </w:pPr>
      <w:bookmarkStart w:id="202" w:name="_Toc207801119"/>
      <w:r>
        <w:rPr>
          <w:rStyle w:val="CharSectno"/>
        </w:rPr>
        <w:t>103AD</w:t>
      </w:r>
      <w:r>
        <w:t>.</w:t>
      </w:r>
      <w:r>
        <w:tab/>
        <w:t>Certain lands excluded from EMAs</w:t>
      </w:r>
      <w:bookmarkEnd w:id="201"/>
      <w:bookmarkEnd w:id="202"/>
    </w:p>
    <w:p>
      <w:pPr>
        <w:pStyle w:val="Subsection"/>
      </w:pPr>
      <w:r>
        <w:tab/>
      </w:r>
      <w:r>
        <w:tab/>
        <w:t xml:space="preserve">An EMA notice cannot be given in relation to — </w:t>
      </w:r>
    </w:p>
    <w:p>
      <w:pPr>
        <w:pStyle w:val="Indenta"/>
      </w:pPr>
      <w:r>
        <w:tab/>
        <w:t>(a)</w:t>
      </w:r>
      <w:r>
        <w:tab/>
        <w:t>land, or land of a class, to which section 24, 24A or 25 applies; or</w:t>
      </w:r>
    </w:p>
    <w:p>
      <w:pPr>
        <w:pStyle w:val="Indenta"/>
      </w:pPr>
      <w:r>
        <w:tab/>
        <w:t>(b)</w:t>
      </w:r>
      <w:r>
        <w:tab/>
        <w:t>Commonwealth land.</w:t>
      </w:r>
    </w:p>
    <w:p>
      <w:pPr>
        <w:pStyle w:val="Footnotesection"/>
      </w:pPr>
      <w:bookmarkStart w:id="203" w:name="_Toc115276456"/>
      <w:r>
        <w:tab/>
        <w:t>[Section 103AD inserted: No. 31 of 2022 s. 34.]</w:t>
      </w:r>
    </w:p>
    <w:p>
      <w:pPr>
        <w:pStyle w:val="Heading5"/>
      </w:pPr>
      <w:bookmarkStart w:id="204" w:name="_Toc207801120"/>
      <w:r>
        <w:rPr>
          <w:rStyle w:val="CharSectno"/>
        </w:rPr>
        <w:t>103AE</w:t>
      </w:r>
      <w:r>
        <w:t>.</w:t>
      </w:r>
      <w:r>
        <w:tab/>
        <w:t>Condition relating to carrying out EMAs in accordance with prescribed requirements</w:t>
      </w:r>
      <w:bookmarkEnd w:id="203"/>
      <w:bookmarkEnd w:id="204"/>
    </w:p>
    <w:p>
      <w:pPr>
        <w:pStyle w:val="Subsection"/>
      </w:pPr>
      <w:r>
        <w:tab/>
        <w:t>(1)</w:t>
      </w:r>
      <w:r>
        <w:tab/>
        <w:t>Subject to subsection (2), it is a condition of every mining tenement that the holder of the mining tenement must not carry out an EMA on land the subject of the mining tenement otherwise than in accordance with the requirements for carrying out the EMA prescribed under section 103AB(2).</w:t>
      </w:r>
    </w:p>
    <w:p>
      <w:pPr>
        <w:pStyle w:val="Subsection"/>
      </w:pPr>
      <w:r>
        <w:tab/>
        <w:t>(2)</w:t>
      </w:r>
      <w:r>
        <w:tab/>
        <w:t xml:space="preserve">The holder of a mining tenement is not required to comply with subsection (1) in respect of the carrying out of an EMA if — </w:t>
      </w:r>
    </w:p>
    <w:p>
      <w:pPr>
        <w:pStyle w:val="Indenta"/>
      </w:pPr>
      <w:r>
        <w:tab/>
        <w:t>(a)</w:t>
      </w:r>
      <w:r>
        <w:tab/>
        <w:t>the EMA is proposed in a programme of work relating to the mining tenement, and approved under section 103AK(1); or </w:t>
      </w:r>
    </w:p>
    <w:p>
      <w:pPr>
        <w:pStyle w:val="Indenta"/>
      </w:pPr>
      <w:r>
        <w:lastRenderedPageBreak/>
        <w:tab/>
        <w:t>(b)</w:t>
      </w:r>
      <w:r>
        <w:tab/>
        <w:t>the EMA is proposed in a mining development and closure proposal relating to the mining tenement and approved under section 103AO(1).</w:t>
      </w:r>
    </w:p>
    <w:p>
      <w:pPr>
        <w:pStyle w:val="Subsection"/>
      </w:pPr>
      <w:r>
        <w:tab/>
        <w:t>(3)</w:t>
      </w:r>
      <w:r>
        <w:tab/>
        <w:t>Subsection (1) does not affect any obligation the holder of a mining tenement has to comply with a condition referred to in section 103AG(5), 103AH(5), 103AI(5), 103AL(4) or 103AM(4) in relation to the carrying out of an EMA.</w:t>
      </w:r>
    </w:p>
    <w:p>
      <w:pPr>
        <w:pStyle w:val="Footnotesection"/>
      </w:pPr>
      <w:bookmarkStart w:id="205" w:name="_Toc115276457"/>
      <w:r>
        <w:tab/>
        <w:t>[Section 103AE inserted: No. 31 of 2022 s. 34.]</w:t>
      </w:r>
    </w:p>
    <w:p>
      <w:pPr>
        <w:pStyle w:val="Heading5"/>
      </w:pPr>
      <w:bookmarkStart w:id="206" w:name="_Toc207801121"/>
      <w:r>
        <w:rPr>
          <w:rStyle w:val="CharSectno"/>
        </w:rPr>
        <w:t>103AF</w:t>
      </w:r>
      <w:r>
        <w:t>.</w:t>
      </w:r>
      <w:r>
        <w:tab/>
        <w:t>EMA notices and notices of completion</w:t>
      </w:r>
      <w:bookmarkEnd w:id="205"/>
      <w:bookmarkEnd w:id="206"/>
    </w:p>
    <w:p>
      <w:pPr>
        <w:pStyle w:val="Subsection"/>
      </w:pPr>
      <w:r>
        <w:tab/>
        <w:t>(1)</w:t>
      </w:r>
      <w:r>
        <w:tab/>
        <w:t xml:space="preserve">A notice (an </w:t>
      </w:r>
      <w:r>
        <w:rPr>
          <w:rStyle w:val="CharDefText"/>
        </w:rPr>
        <w:t>EMA notice</w:t>
      </w:r>
      <w:r>
        <w:t>) of an EMA required in order to comply with a condition referred to in section 103AG(3)(a), 103AH(2)(a), 103AI(2)(a), 103AL(2)(a) or 103AM(2)(a) must be in the approved form.</w:t>
      </w:r>
    </w:p>
    <w:p>
      <w:pPr>
        <w:pStyle w:val="Subsection"/>
      </w:pPr>
      <w:r>
        <w:tab/>
        <w:t>(2)</w:t>
      </w:r>
      <w:r>
        <w:tab/>
        <w:t>The holder of a mining tenement who gives an EMA notice under this Part must, on completing the EMA, give the Minister notice of the completion in the approved form.</w:t>
      </w:r>
    </w:p>
    <w:p>
      <w:pPr>
        <w:pStyle w:val="Subsection"/>
      </w:pPr>
      <w:r>
        <w:tab/>
        <w:t>(3)</w:t>
      </w:r>
      <w:r>
        <w:tab/>
        <w:t xml:space="preserve">The regulations must specify — </w:t>
      </w:r>
    </w:p>
    <w:p>
      <w:pPr>
        <w:pStyle w:val="Indenta"/>
      </w:pPr>
      <w:r>
        <w:tab/>
        <w:t>(a)</w:t>
      </w:r>
      <w:r>
        <w:tab/>
        <w:t>the manner in which an EMA notice must be given; and</w:t>
      </w:r>
    </w:p>
    <w:p>
      <w:pPr>
        <w:pStyle w:val="Indenta"/>
      </w:pPr>
      <w:r>
        <w:tab/>
        <w:t>(b)</w:t>
      </w:r>
      <w:r>
        <w:tab/>
        <w:t>the period within which a notice of completion must be given under subsection (2).</w:t>
      </w:r>
    </w:p>
    <w:p>
      <w:pPr>
        <w:pStyle w:val="Footnotesection"/>
      </w:pPr>
      <w:bookmarkStart w:id="207" w:name="_Toc115276298"/>
      <w:bookmarkStart w:id="208" w:name="_Toc115276378"/>
      <w:bookmarkStart w:id="209" w:name="_Toc115276458"/>
      <w:r>
        <w:tab/>
        <w:t>[Section 103AF inserted: No. 31 of 2022 s. 34.]</w:t>
      </w:r>
    </w:p>
    <w:p>
      <w:pPr>
        <w:pStyle w:val="Heading3"/>
      </w:pPr>
      <w:bookmarkStart w:id="210" w:name="_Toc207801122"/>
      <w:r>
        <w:rPr>
          <w:rStyle w:val="CharDivNo"/>
        </w:rPr>
        <w:t>Division 3</w:t>
      </w:r>
      <w:r>
        <w:t> — </w:t>
      </w:r>
      <w:r>
        <w:rPr>
          <w:rStyle w:val="CharDivText"/>
        </w:rPr>
        <w:t>Programmes of work</w:t>
      </w:r>
      <w:bookmarkEnd w:id="207"/>
      <w:bookmarkEnd w:id="208"/>
      <w:bookmarkEnd w:id="209"/>
      <w:bookmarkEnd w:id="210"/>
    </w:p>
    <w:p>
      <w:pPr>
        <w:pStyle w:val="Footnoteheading"/>
        <w:keepNext/>
        <w:keepLines/>
        <w:rPr>
          <w:snapToGrid w:val="0"/>
        </w:rPr>
      </w:pPr>
      <w:bookmarkStart w:id="211" w:name="_Toc115276459"/>
      <w:r>
        <w:rPr>
          <w:snapToGrid w:val="0"/>
        </w:rPr>
        <w:tab/>
        <w:t>[Heading inserted: No. 31 of 2022 s. 34.]</w:t>
      </w:r>
    </w:p>
    <w:p>
      <w:pPr>
        <w:pStyle w:val="Heading5"/>
      </w:pPr>
      <w:bookmarkStart w:id="212" w:name="_Toc207801123"/>
      <w:r>
        <w:rPr>
          <w:rStyle w:val="CharSectno"/>
        </w:rPr>
        <w:t>103AG</w:t>
      </w:r>
      <w:r>
        <w:t>.</w:t>
      </w:r>
      <w:r>
        <w:tab/>
        <w:t>Conditions attached to prospecting licences, exploration licences and retention licences</w:t>
      </w:r>
      <w:bookmarkEnd w:id="211"/>
      <w:bookmarkEnd w:id="212"/>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prospecting licence; or</w:t>
      </w:r>
    </w:p>
    <w:p>
      <w:pPr>
        <w:pStyle w:val="Defpara"/>
      </w:pPr>
      <w:r>
        <w:lastRenderedPageBreak/>
        <w:tab/>
        <w:t>(b)</w:t>
      </w:r>
      <w:r>
        <w:tab/>
        <w:t>an exploration licence; or</w:t>
      </w:r>
    </w:p>
    <w:p>
      <w:pPr>
        <w:pStyle w:val="Defpara"/>
      </w:pPr>
      <w:r>
        <w:tab/>
        <w:t>(c)</w:t>
      </w:r>
      <w:r>
        <w:tab/>
        <w:t>a retention licence.</w:t>
      </w:r>
    </w:p>
    <w:p>
      <w:pPr>
        <w:pStyle w:val="Subsection"/>
      </w:pPr>
      <w:r>
        <w:tab/>
        <w:t>(2)</w:t>
      </w:r>
      <w:r>
        <w:tab/>
        <w:t>This section applies to an activity done on land the subject of a relevant licence using machinery to disturb the surface of the land for the purposes of, or in preparation for, prospecting or exploring for minerals.</w:t>
      </w:r>
    </w:p>
    <w:p>
      <w:pPr>
        <w:pStyle w:val="Subsection"/>
      </w:pPr>
      <w:r>
        <w:tab/>
        <w:t>(3)</w:t>
      </w:r>
      <w:r>
        <w:tab/>
        <w:t>It is a condition of every relevant licence that an activity that is an EMA must not be done by the holder of the relevant licence on land the subject of the relevant licence unless —</w:t>
      </w:r>
    </w:p>
    <w:p>
      <w:pPr>
        <w:pStyle w:val="Indenta"/>
      </w:pPr>
      <w:r>
        <w:tab/>
        <w:t>(a)</w:t>
      </w:r>
      <w:r>
        <w:tab/>
        <w:t>the holder has given an EMA notice in respect of the activity; or</w:t>
      </w:r>
    </w:p>
    <w:p>
      <w:pPr>
        <w:pStyle w:val="Indenta"/>
      </w:pPr>
      <w:r>
        <w:tab/>
        <w:t>(b)</w:t>
      </w:r>
      <w:r>
        <w:tab/>
        <w:t>the EMA is proposed in a programme of work and approved under section 103AK(1).</w:t>
      </w:r>
    </w:p>
    <w:p>
      <w:pPr>
        <w:pStyle w:val="Subsection"/>
      </w:pPr>
      <w:r>
        <w:tab/>
        <w:t>(4)</w:t>
      </w:r>
      <w:r>
        <w:tab/>
        <w:t>It is a condition of every relevant licence that an activity that is not an EMA must not be done by the holder of the relevant licence on land the subject of the relevant licence unless the activity is proposed in a programme of work and approved under section 103AK(1).</w:t>
      </w:r>
    </w:p>
    <w:p>
      <w:pPr>
        <w:pStyle w:val="Subsection"/>
      </w:pPr>
      <w:r>
        <w:tab/>
        <w:t>(5)</w:t>
      </w:r>
      <w:r>
        <w:tab/>
        <w:t>It is a condition of every relevant licence that, if an activity on land the subject of the relevant licence is proposed in a programme of work and approved under section 103AK(1), the holder of the relevant licence must not do the activity on the land otherwise than in accordance with the approved programme of work for the activity.</w:t>
      </w:r>
    </w:p>
    <w:p>
      <w:pPr>
        <w:pStyle w:val="Footnotesection"/>
      </w:pPr>
      <w:bookmarkStart w:id="213" w:name="_Toc115276460"/>
      <w:r>
        <w:tab/>
        <w:t>[Section 103AG inserted: No. 31 of 2022 s. 34.]</w:t>
      </w:r>
    </w:p>
    <w:p>
      <w:pPr>
        <w:pStyle w:val="Heading5"/>
      </w:pPr>
      <w:bookmarkStart w:id="214" w:name="_Toc207801124"/>
      <w:r>
        <w:rPr>
          <w:rStyle w:val="CharSectno"/>
        </w:rPr>
        <w:t>103AH</w:t>
      </w:r>
      <w:r>
        <w:t>.</w:t>
      </w:r>
      <w:r>
        <w:tab/>
        <w:t>Conditions attached to mining leases</w:t>
      </w:r>
      <w:bookmarkEnd w:id="213"/>
      <w:bookmarkEnd w:id="214"/>
    </w:p>
    <w:p>
      <w:pPr>
        <w:pStyle w:val="Subsection"/>
      </w:pPr>
      <w:r>
        <w:tab/>
        <w:t>(1)</w:t>
      </w:r>
      <w:r>
        <w:tab/>
        <w:t>This section applies to an activity done on land the subject of a mining lease using machinery to disturb the surface of the land for the purposes of, or in preparation for, prospecting or exploring for minerals but does not apply to mining operations.</w:t>
      </w:r>
    </w:p>
    <w:p>
      <w:pPr>
        <w:pStyle w:val="Subsection"/>
      </w:pPr>
      <w:r>
        <w:lastRenderedPageBreak/>
        <w:tab/>
        <w:t>(2)</w:t>
      </w:r>
      <w:r>
        <w:tab/>
        <w:t>It is a condition of every mining lease that an activity that is an EMA must not be done by the lessee on land the subject of the mining lease unless —</w:t>
      </w:r>
    </w:p>
    <w:p>
      <w:pPr>
        <w:pStyle w:val="Indenta"/>
      </w:pPr>
      <w:r>
        <w:tab/>
        <w:t>(a)</w:t>
      </w:r>
      <w:r>
        <w:tab/>
        <w:t>the lessee has given an EMA notice in respect of the activity; or</w:t>
      </w:r>
    </w:p>
    <w:p>
      <w:pPr>
        <w:pStyle w:val="Indenta"/>
      </w:pPr>
      <w:r>
        <w:tab/>
        <w:t>(b)</w:t>
      </w:r>
      <w:r>
        <w:tab/>
        <w:t>the EMA is proposed in a programme of work and approved under section 103AK(1).</w:t>
      </w:r>
    </w:p>
    <w:p>
      <w:pPr>
        <w:pStyle w:val="Subsection"/>
      </w:pPr>
      <w:r>
        <w:tab/>
        <w:t>(3)</w:t>
      </w:r>
      <w:r>
        <w:tab/>
        <w:t>It is a condition of every mining lease that an activity that is not an EMA must not be done by the lessee on land the subject of the mining lease unless the activity is proposed in a programme of work and approved under section 103AK(1).</w:t>
      </w:r>
    </w:p>
    <w:p>
      <w:pPr>
        <w:pStyle w:val="Subsection"/>
      </w:pPr>
      <w:r>
        <w:tab/>
        <w:t>(4)</w:t>
      </w:r>
      <w:r>
        <w:tab/>
        <w:t xml:space="preserve">A lessee of a mining lease is not required to comply with the condition referred to in subsection (2) or (3) in respect of an activity that is proposed in a mining development and closure proposal relating to the mining lease and approved under section 103AO(1). </w:t>
      </w:r>
    </w:p>
    <w:p>
      <w:pPr>
        <w:pStyle w:val="Subsection"/>
      </w:pPr>
      <w:r>
        <w:tab/>
        <w:t>(5)</w:t>
      </w:r>
      <w:r>
        <w:tab/>
        <w:t>It is a condition of every mining lease that, if an activity on land the subject of the lease is proposed in a programme of work and approved under section 103AK(1), the lessee must not do the activity on the land otherwise than in accordance with the approved programme of work for the activity.</w:t>
      </w:r>
    </w:p>
    <w:p>
      <w:pPr>
        <w:pStyle w:val="Subsection"/>
      </w:pPr>
      <w:r>
        <w:tab/>
        <w:t>(6)</w:t>
      </w:r>
      <w:r>
        <w:tab/>
        <w:t>Unless a Government agreement provides otherwise, this section does not apply to a mining lease granted or held under the agreement in accordance with proposals approved, taken to be approved or determined under the agreement.</w:t>
      </w:r>
    </w:p>
    <w:p>
      <w:pPr>
        <w:pStyle w:val="Footnotesection"/>
      </w:pPr>
      <w:bookmarkStart w:id="215" w:name="_Toc115276461"/>
      <w:r>
        <w:tab/>
        <w:t>[Section 103AH inserted: No. 31 of 2022 s. 34.]</w:t>
      </w:r>
    </w:p>
    <w:p>
      <w:pPr>
        <w:pStyle w:val="Heading5"/>
      </w:pPr>
      <w:bookmarkStart w:id="216" w:name="_Toc207801125"/>
      <w:r>
        <w:rPr>
          <w:rStyle w:val="CharSectno"/>
        </w:rPr>
        <w:t>103AI</w:t>
      </w:r>
      <w:r>
        <w:t>.</w:t>
      </w:r>
      <w:r>
        <w:tab/>
        <w:t>Conditions attached to miscellaneous licences</w:t>
      </w:r>
      <w:bookmarkEnd w:id="215"/>
      <w:bookmarkEnd w:id="216"/>
    </w:p>
    <w:p>
      <w:pPr>
        <w:pStyle w:val="Subsection"/>
      </w:pPr>
      <w:r>
        <w:tab/>
        <w:t>(1)</w:t>
      </w:r>
      <w:r>
        <w:tab/>
        <w:t>This section applies to an activity done on land the subject of a miscellaneous licence using machinery to disturb the surface of the land for the purposes of, or in preparation for, a licensed activity but does not apply to mining operations.</w:t>
      </w:r>
    </w:p>
    <w:p>
      <w:pPr>
        <w:pStyle w:val="Subsection"/>
      </w:pPr>
      <w:r>
        <w:lastRenderedPageBreak/>
        <w:tab/>
        <w:t>(2)</w:t>
      </w:r>
      <w:r>
        <w:tab/>
        <w:t>It is a condition of every miscellaneous licence that a licensed activity that is an EMA must not be done by the holder of the miscellaneous licence on land the subject of the miscellaneous licence unless —</w:t>
      </w:r>
    </w:p>
    <w:p>
      <w:pPr>
        <w:pStyle w:val="Indenta"/>
      </w:pPr>
      <w:r>
        <w:tab/>
        <w:t>(a)</w:t>
      </w:r>
      <w:r>
        <w:tab/>
        <w:t>the holder has given an EMA notice in respect of the activity; or</w:t>
      </w:r>
    </w:p>
    <w:p>
      <w:pPr>
        <w:pStyle w:val="Indenta"/>
      </w:pPr>
      <w:r>
        <w:tab/>
        <w:t>(b)</w:t>
      </w:r>
      <w:r>
        <w:tab/>
        <w:t>the EMA is proposed in a programme of work and approved under section 103AK(1).</w:t>
      </w:r>
    </w:p>
    <w:p>
      <w:pPr>
        <w:pStyle w:val="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programme of work and approved under section 103AK(1).</w:t>
      </w:r>
    </w:p>
    <w:p>
      <w:pPr>
        <w:pStyle w:val="Subsection"/>
      </w:pPr>
      <w:r>
        <w:tab/>
        <w:t>(4)</w:t>
      </w:r>
      <w:r>
        <w:tab/>
        <w:t>A holder of a miscellaneous licence is not required to comply with a condition referred to in subsection (2) or (3) in respect of a licensed activity that is proposed in a mining development and closure proposal relating to the miscellaneous licence and approved under section 103AO(1).</w:t>
      </w:r>
    </w:p>
    <w:p>
      <w:pPr>
        <w:pStyle w:val="Subsection"/>
      </w:pPr>
      <w:r>
        <w:tab/>
        <w:t>(5)</w:t>
      </w:r>
      <w:r>
        <w:tab/>
        <w:t>It is a condition of every miscellaneous licence that, if a licensed activity on land the subject of the miscellaneous licence is proposed in a programme of work and approved under section 103AK(1), the holder of the miscellaneous licence must not do the activity on the land otherwise than in accordance with the approved programme of work for the activity.</w:t>
      </w:r>
    </w:p>
    <w:p>
      <w:pPr>
        <w:pStyle w:val="Subsection"/>
      </w:pPr>
      <w:r>
        <w:tab/>
        <w:t>(6)</w:t>
      </w:r>
      <w:r>
        <w:tab/>
        <w:t>Unless a Government agreement provides otherwise, this section does not apply to a miscellaneous licence granted or held under the agreement in accordance with proposals approved, taken to be approved or determined under the agreement.</w:t>
      </w:r>
    </w:p>
    <w:p>
      <w:pPr>
        <w:pStyle w:val="Footnotesection"/>
      </w:pPr>
      <w:bookmarkStart w:id="217" w:name="_Toc115276462"/>
      <w:r>
        <w:tab/>
        <w:t>[Section 103AI inserted: No. 31 of 2022 s. 34.]</w:t>
      </w:r>
    </w:p>
    <w:p>
      <w:pPr>
        <w:pStyle w:val="Heading5"/>
      </w:pPr>
      <w:bookmarkStart w:id="218" w:name="_Toc207801126"/>
      <w:r>
        <w:rPr>
          <w:rStyle w:val="CharSectno"/>
        </w:rPr>
        <w:lastRenderedPageBreak/>
        <w:t>103AJ</w:t>
      </w:r>
      <w:r>
        <w:t>.</w:t>
      </w:r>
      <w:r>
        <w:tab/>
        <w:t>Lodgment of programmes of work</w:t>
      </w:r>
      <w:bookmarkEnd w:id="217"/>
      <w:bookmarkEnd w:id="218"/>
    </w:p>
    <w:p>
      <w:pPr>
        <w:pStyle w:val="Subsection"/>
        <w:keepNext/>
      </w:pPr>
      <w:r>
        <w:tab/>
        <w:t>(1)</w:t>
      </w:r>
      <w:r>
        <w:tab/>
        <w:t xml:space="preserve">In this section — </w:t>
      </w:r>
    </w:p>
    <w:p>
      <w:pPr>
        <w:pStyle w:val="Defstart"/>
      </w:pPr>
      <w:r>
        <w:tab/>
      </w:r>
      <w:r>
        <w:rPr>
          <w:rStyle w:val="CharDefText"/>
        </w:rPr>
        <w:t>relevant lodging party</w:t>
      </w:r>
      <w:r>
        <w:t xml:space="preserve"> means — </w:t>
      </w:r>
    </w:p>
    <w:p>
      <w:pPr>
        <w:pStyle w:val="Defpara"/>
      </w:pPr>
      <w:r>
        <w:tab/>
        <w:t>(a)</w:t>
      </w:r>
      <w:r>
        <w:tab/>
        <w:t>in relation to a programme of work lodged for an activity on land the subject of a prospecting licence, an exploration licence or a retention licence — the holder of the licence, or a person authorised by the holder of the licence; or</w:t>
      </w:r>
    </w:p>
    <w:p>
      <w:pPr>
        <w:pStyle w:val="Defpara"/>
      </w:pPr>
      <w:r>
        <w:tab/>
        <w:t>(b)</w:t>
      </w:r>
      <w:r>
        <w:tab/>
        <w:t>in relation to a programme of work lodged for an activity on land the subject of a mining lease — the lessee of the mining lease, or a person authorised by the lessee of the mining lease; or</w:t>
      </w:r>
    </w:p>
    <w:p>
      <w:pPr>
        <w:pStyle w:val="Defpara"/>
      </w:pPr>
      <w:r>
        <w:tab/>
        <w:t>(c)</w:t>
      </w:r>
      <w:r>
        <w:tab/>
        <w:t>in relation to a programme of work lodged for a licensed activity on land the subject of a miscellaneous licence — the holder of the miscellaneous licence, or a person authorised by the holder of the miscellaneous licence.</w:t>
      </w:r>
    </w:p>
    <w:p>
      <w:pPr>
        <w:pStyle w:val="Subsection"/>
      </w:pPr>
      <w:r>
        <w:tab/>
        <w:t>(2)</w:t>
      </w:r>
      <w:r>
        <w:tab/>
        <w:t>A programme of work required in order to comply with a condition referred to in section 103AG(3)(b) or (4), 103AH(2)(b) or (3) or 103AI(2)(b) or (3) must be lodged with the Minister by the relevant lodging party in accordance with subsection (3).</w:t>
      </w:r>
    </w:p>
    <w:p>
      <w:pPr>
        <w:pStyle w:val="Subsection"/>
      </w:pPr>
      <w:r>
        <w:tab/>
        <w:t>(3)</w:t>
      </w:r>
      <w:r>
        <w:tab/>
        <w:t xml:space="preserve">The programme of work must — </w:t>
      </w:r>
    </w:p>
    <w:p>
      <w:pPr>
        <w:pStyle w:val="Indenta"/>
      </w:pPr>
      <w:r>
        <w:tab/>
        <w:t>(a)</w:t>
      </w:r>
      <w:r>
        <w:tab/>
        <w:t>be lodged in the prescribed manner; and</w:t>
      </w:r>
    </w:p>
    <w:p>
      <w:pPr>
        <w:pStyle w:val="Indenta"/>
      </w:pPr>
      <w:r>
        <w:tab/>
        <w:t>(b)</w:t>
      </w:r>
      <w:r>
        <w:tab/>
        <w:t>be in the approved form; and</w:t>
      </w:r>
    </w:p>
    <w:p>
      <w:pPr>
        <w:pStyle w:val="Indenta"/>
      </w:pPr>
      <w:r>
        <w:tab/>
        <w:t>(c)</w:t>
      </w:r>
      <w:r>
        <w:tab/>
        <w:t>be accompanied by the prescribed assessment fee; and</w:t>
      </w:r>
    </w:p>
    <w:p>
      <w:pPr>
        <w:pStyle w:val="Indenta"/>
      </w:pPr>
      <w:r>
        <w:tab/>
        <w:t>(d)</w:t>
      </w:r>
      <w:r>
        <w:tab/>
        <w:t>include any prescribed information.</w:t>
      </w:r>
    </w:p>
    <w:p>
      <w:pPr>
        <w:pStyle w:val="Subsection"/>
      </w:pPr>
      <w:r>
        <w:tab/>
        <w:t>(4)</w:t>
      </w:r>
      <w:r>
        <w:tab/>
        <w:t xml:space="preserve">Before the Minister approves or refuses to approve an activity proposed in a programme of work under section 103AK(1) — </w:t>
      </w:r>
    </w:p>
    <w:p>
      <w:pPr>
        <w:pStyle w:val="Indenta"/>
      </w:pPr>
      <w:r>
        <w:tab/>
        <w:t>(a)</w:t>
      </w:r>
      <w:r>
        <w:tab/>
        <w:t xml:space="preserve">the Minister may request the relevant lodging party — </w:t>
      </w:r>
    </w:p>
    <w:p>
      <w:pPr>
        <w:pStyle w:val="Indenti"/>
      </w:pPr>
      <w:r>
        <w:tab/>
        <w:t>(i)</w:t>
      </w:r>
      <w:r>
        <w:tab/>
        <w:t>to lodge a substitute programme of work; or</w:t>
      </w:r>
    </w:p>
    <w:p>
      <w:pPr>
        <w:pStyle w:val="Indenti"/>
      </w:pPr>
      <w:r>
        <w:lastRenderedPageBreak/>
        <w:tab/>
        <w:t>(ii)</w:t>
      </w:r>
      <w:r>
        <w:tab/>
        <w:t>to provide such further information as the Minister may require for the purposes of making the decision;</w:t>
      </w:r>
    </w:p>
    <w:p>
      <w:pPr>
        <w:pStyle w:val="Indenta"/>
      </w:pPr>
      <w:r>
        <w:tab/>
      </w:r>
      <w:r>
        <w:tab/>
        <w:t>or</w:t>
      </w:r>
    </w:p>
    <w:p>
      <w:pPr>
        <w:pStyle w:val="Indenta"/>
      </w:pPr>
      <w:r>
        <w:tab/>
        <w:t>(b)</w:t>
      </w:r>
      <w:r>
        <w:tab/>
        <w:t>the relevant lodging party may, with the written permission of the Minister, lodge a substitute programme of work.</w:t>
      </w:r>
    </w:p>
    <w:p>
      <w:pPr>
        <w:pStyle w:val="Subsection"/>
      </w:pPr>
      <w:r>
        <w:tab/>
        <w:t>(5)</w:t>
      </w:r>
      <w:r>
        <w:tab/>
        <w:t>The activity proposed in a substitute programme of work must not be substantially different to the activity proposed in the programme of work it is intended to replace.</w:t>
      </w:r>
    </w:p>
    <w:p>
      <w:pPr>
        <w:pStyle w:val="Subsection"/>
      </w:pPr>
      <w:r>
        <w:tab/>
        <w:t>(6)</w:t>
      </w:r>
      <w:r>
        <w:tab/>
        <w:t>A relevant lodging party who has lodged a programme of work or a substitute programme of work may withdraw it, by written notice to the Minister, at any time before the Minister approves or refuses to approve the activity proposed in the programme of work under section 103AK(1).</w:t>
      </w:r>
    </w:p>
    <w:p>
      <w:pPr>
        <w:pStyle w:val="Footnotesection"/>
      </w:pPr>
      <w:bookmarkStart w:id="219" w:name="_Toc115276463"/>
      <w:r>
        <w:tab/>
        <w:t>[Section 103AJ inserted: No. 31 of 2022 s. 34.]</w:t>
      </w:r>
    </w:p>
    <w:p>
      <w:pPr>
        <w:pStyle w:val="Heading5"/>
      </w:pPr>
      <w:bookmarkStart w:id="220" w:name="_Toc207801127"/>
      <w:r>
        <w:rPr>
          <w:rStyle w:val="CharSectno"/>
        </w:rPr>
        <w:t>103AK</w:t>
      </w:r>
      <w:r>
        <w:t>.</w:t>
      </w:r>
      <w:r>
        <w:tab/>
        <w:t>Approval of activities in programmes of work</w:t>
      </w:r>
      <w:bookmarkEnd w:id="219"/>
      <w:bookmarkEnd w:id="220"/>
    </w:p>
    <w:p>
      <w:pPr>
        <w:pStyle w:val="Subsection"/>
      </w:pPr>
      <w:r>
        <w:tab/>
        <w:t>(1)</w:t>
      </w:r>
      <w:r>
        <w:tab/>
        <w:t>The Minister must approve, or refuse to approve, an activity proposed in a programme of work or a substitute programme of work (if any).</w:t>
      </w:r>
    </w:p>
    <w:p>
      <w:pPr>
        <w:pStyle w:val="Subsection"/>
      </w:pPr>
      <w:r>
        <w:tab/>
        <w:t>(2)</w:t>
      </w:r>
      <w:r>
        <w:tab/>
        <w:t xml:space="preserve">The Minister must — </w:t>
      </w:r>
    </w:p>
    <w:p>
      <w:pPr>
        <w:pStyle w:val="Indenta"/>
      </w:pPr>
      <w:r>
        <w:tab/>
        <w:t>(a)</w:t>
      </w:r>
      <w:r>
        <w:tab/>
        <w:t>notify the holder of the mining tenement to which the programme of work relates in writing of the Minister’s decision under subsection (1); and</w:t>
      </w:r>
    </w:p>
    <w:p>
      <w:pPr>
        <w:pStyle w:val="Indenta"/>
      </w:pPr>
      <w:r>
        <w:tab/>
        <w:t>(b)</w:t>
      </w:r>
      <w:r>
        <w:tab/>
        <w:t>if the decision is to refuse to approve the activity, include in the notification the reasons for the refusal.</w:t>
      </w:r>
    </w:p>
    <w:p>
      <w:pPr>
        <w:pStyle w:val="Subsection"/>
      </w:pPr>
      <w:r>
        <w:tab/>
        <w:t>(3)</w:t>
      </w:r>
      <w:r>
        <w:tab/>
        <w:t>An approval takes effect when notice of it is given to the holder of the mining tenement to which the programme of work relates.</w:t>
      </w:r>
    </w:p>
    <w:p>
      <w:pPr>
        <w:pStyle w:val="Footnotesection"/>
      </w:pPr>
      <w:bookmarkStart w:id="221" w:name="_Toc115276304"/>
      <w:bookmarkStart w:id="222" w:name="_Toc115276384"/>
      <w:bookmarkStart w:id="223" w:name="_Toc115276464"/>
      <w:r>
        <w:tab/>
        <w:t>[Section 103AK inserted: No. 31 of 2022 s. 34.]</w:t>
      </w:r>
    </w:p>
    <w:p>
      <w:pPr>
        <w:pStyle w:val="Heading3"/>
      </w:pPr>
      <w:bookmarkStart w:id="224" w:name="_Toc207801128"/>
      <w:r>
        <w:rPr>
          <w:rStyle w:val="CharDivNo"/>
        </w:rPr>
        <w:lastRenderedPageBreak/>
        <w:t>Division 4</w:t>
      </w:r>
      <w:r>
        <w:t> — </w:t>
      </w:r>
      <w:r>
        <w:rPr>
          <w:rStyle w:val="CharDivText"/>
        </w:rPr>
        <w:t>Mining development and closure proposals</w:t>
      </w:r>
      <w:bookmarkEnd w:id="221"/>
      <w:bookmarkEnd w:id="222"/>
      <w:bookmarkEnd w:id="223"/>
      <w:bookmarkEnd w:id="224"/>
    </w:p>
    <w:p>
      <w:pPr>
        <w:pStyle w:val="Footnoteheading"/>
        <w:keepNext/>
        <w:keepLines/>
        <w:rPr>
          <w:snapToGrid w:val="0"/>
        </w:rPr>
      </w:pPr>
      <w:bookmarkStart w:id="225" w:name="_Toc115276465"/>
      <w:r>
        <w:rPr>
          <w:snapToGrid w:val="0"/>
        </w:rPr>
        <w:tab/>
        <w:t>[Heading inserted: No. 31 of 2022 s. 34.]</w:t>
      </w:r>
    </w:p>
    <w:p>
      <w:pPr>
        <w:pStyle w:val="Heading5"/>
      </w:pPr>
      <w:bookmarkStart w:id="226" w:name="_Toc207801129"/>
      <w:r>
        <w:rPr>
          <w:rStyle w:val="CharSectno"/>
        </w:rPr>
        <w:t>103AL</w:t>
      </w:r>
      <w:r>
        <w:t>.</w:t>
      </w:r>
      <w:r>
        <w:tab/>
        <w:t>Conditions relating to mining operations on land subject of mining leases</w:t>
      </w:r>
      <w:bookmarkEnd w:id="225"/>
      <w:bookmarkEnd w:id="226"/>
    </w:p>
    <w:p>
      <w:pPr>
        <w:pStyle w:val="Subsection"/>
      </w:pPr>
      <w:r>
        <w:tab/>
        <w:t>(1)</w:t>
      </w:r>
      <w:r>
        <w:tab/>
        <w:t xml:space="preserve">This section applies to the following activities done on land the subject of a mining lease — </w:t>
      </w:r>
    </w:p>
    <w:p>
      <w:pPr>
        <w:pStyle w:val="Indenta"/>
      </w:pPr>
      <w:r>
        <w:tab/>
        <w:t>(a)</w:t>
      </w:r>
      <w:r>
        <w:tab/>
        <w:t>using machinery to disturb the surface of the land for the purposes of, or in preparation for, mining operations;</w:t>
      </w:r>
    </w:p>
    <w:p>
      <w:pPr>
        <w:pStyle w:val="Indenta"/>
      </w:pPr>
      <w:r>
        <w:tab/>
        <w:t>(b)</w:t>
      </w:r>
      <w:r>
        <w:tab/>
        <w:t>carrying out mining operations.</w:t>
      </w:r>
    </w:p>
    <w:p>
      <w:pPr>
        <w:pStyle w:val="Subsection"/>
      </w:pPr>
      <w:r>
        <w:tab/>
        <w:t>(2)</w:t>
      </w:r>
      <w:r>
        <w:tab/>
        <w:t xml:space="preserve">It is a condition of every mining lease that an activity that is an EMA must not be done by the lessee on land the subject of the mining lease unless — </w:t>
      </w:r>
    </w:p>
    <w:p>
      <w:pPr>
        <w:pStyle w:val="Indenta"/>
      </w:pPr>
      <w:r>
        <w:tab/>
        <w:t>(a)</w:t>
      </w:r>
      <w:r>
        <w:tab/>
        <w:t>the lessee has given an EMA notice in respect of the activity; or</w:t>
      </w:r>
    </w:p>
    <w:p>
      <w:pPr>
        <w:pStyle w:val="Indenta"/>
      </w:pPr>
      <w:r>
        <w:tab/>
        <w:t>(b)</w:t>
      </w:r>
      <w:r>
        <w:tab/>
        <w:t>the EMA is proposed in a mining development and closure proposal and approved under section 103AO(1).</w:t>
      </w:r>
    </w:p>
    <w:p>
      <w:pPr>
        <w:pStyle w:val="Subsection"/>
      </w:pPr>
      <w:r>
        <w:tab/>
        <w:t>(3)</w:t>
      </w:r>
      <w:r>
        <w:tab/>
        <w:t>It is a condition of every mining lease that an activity that is not an EMA must not be done by the lessee on land the subject of the mining lease unless the activity is proposed in a mining development and closure proposal and approved under section 103AO(1).</w:t>
      </w:r>
    </w:p>
    <w:p>
      <w:pPr>
        <w:pStyle w:val="Subsection"/>
      </w:pPr>
      <w:r>
        <w:tab/>
        <w:t>(4)</w:t>
      </w:r>
      <w:r>
        <w:tab/>
        <w:t>It is a condition of every mining lease that, if an activity on land the subject of the lease is proposed in a mining development and closure proposal and approved under section 103AO(1), the lessee must not do the activity on the land otherwise than in accordance with the approvals statement for the lease.</w:t>
      </w:r>
    </w:p>
    <w:p>
      <w:pPr>
        <w:pStyle w:val="Subsection"/>
      </w:pPr>
      <w:r>
        <w:tab/>
        <w:t>(5)</w:t>
      </w:r>
      <w:r>
        <w:tab/>
        <w:t>Unless a Government agreement provides otherwise, this section does not apply to a mining lease granted or held under the agreement in accordance with proposals approved, taken to be approved or determined under the agreement.</w:t>
      </w:r>
    </w:p>
    <w:p>
      <w:pPr>
        <w:pStyle w:val="Footnotesection"/>
      </w:pPr>
      <w:bookmarkStart w:id="227" w:name="_Toc115276466"/>
      <w:r>
        <w:tab/>
        <w:t>[Section 103AL inserted: No. 31 of 2022 s. 34.]</w:t>
      </w:r>
    </w:p>
    <w:p>
      <w:pPr>
        <w:pStyle w:val="Heading5"/>
      </w:pPr>
      <w:bookmarkStart w:id="228" w:name="_Toc207801130"/>
      <w:r>
        <w:rPr>
          <w:rStyle w:val="CharSectno"/>
        </w:rPr>
        <w:lastRenderedPageBreak/>
        <w:t>103AM</w:t>
      </w:r>
      <w:r>
        <w:t>.</w:t>
      </w:r>
      <w:r>
        <w:tab/>
        <w:t>Conditions relating to mining operations on land subject of miscellaneous licences</w:t>
      </w:r>
      <w:bookmarkEnd w:id="227"/>
      <w:bookmarkEnd w:id="228"/>
    </w:p>
    <w:p>
      <w:pPr>
        <w:pStyle w:val="Subsection"/>
      </w:pPr>
      <w:r>
        <w:tab/>
        <w:t>(1)</w:t>
      </w:r>
      <w:r>
        <w:tab/>
        <w:t>This section applies to the following licensed activities done on land the subject of a miscellaneous licence —</w:t>
      </w:r>
    </w:p>
    <w:p>
      <w:pPr>
        <w:pStyle w:val="Indenta"/>
      </w:pPr>
      <w:r>
        <w:tab/>
        <w:t>(a)</w:t>
      </w:r>
      <w:r>
        <w:tab/>
        <w:t>using machinery to disturb the surface of the land for the purposes of, or in preparation for, mining operations;</w:t>
      </w:r>
    </w:p>
    <w:p>
      <w:pPr>
        <w:pStyle w:val="Indenta"/>
      </w:pPr>
      <w:r>
        <w:tab/>
        <w:t>(b)</w:t>
      </w:r>
      <w:r>
        <w:tab/>
        <w:t>carrying out mining operations.</w:t>
      </w:r>
    </w:p>
    <w:p>
      <w:pPr>
        <w:pStyle w:val="Subsection"/>
      </w:pPr>
      <w:r>
        <w:tab/>
        <w:t>(2)</w:t>
      </w:r>
      <w:r>
        <w:tab/>
        <w:t>It is a condition of every miscellaneous licence that a licensed activity that is an EMA must not be done by the holder of the miscellaneous licence on land the subject of the miscellaneous licence unless —</w:t>
      </w:r>
    </w:p>
    <w:p>
      <w:pPr>
        <w:pStyle w:val="Indenta"/>
      </w:pPr>
      <w:r>
        <w:tab/>
        <w:t>(a)</w:t>
      </w:r>
      <w:r>
        <w:tab/>
        <w:t>the holder has given an EMA notice in respect of the activity; or</w:t>
      </w:r>
    </w:p>
    <w:p>
      <w:pPr>
        <w:pStyle w:val="Indenta"/>
      </w:pPr>
      <w:r>
        <w:tab/>
        <w:t>(b)</w:t>
      </w:r>
      <w:r>
        <w:tab/>
        <w:t>the EMA is proposed in a mining development and closure proposal and approved under section 103AO(1).</w:t>
      </w:r>
    </w:p>
    <w:p>
      <w:pPr>
        <w:pStyle w:val="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mining development and closure proposal and approved under section 103AO(1).</w:t>
      </w:r>
    </w:p>
    <w:p>
      <w:pPr>
        <w:pStyle w:val="Subsection"/>
      </w:pPr>
      <w:r>
        <w:tab/>
        <w:t>(4)</w:t>
      </w:r>
      <w:r>
        <w:tab/>
        <w:t>It is a condition of every miscellaneous licence that, if a licensed activity on land the subject of the miscellaneous licence is proposed in a mining development and closure proposal and approved under section 103AO(1), the holder of the miscellaneous licence must not do the activity on the land otherwise than in accordance with the approvals statement for the miscellaneous licence.</w:t>
      </w:r>
    </w:p>
    <w:p>
      <w:pPr>
        <w:pStyle w:val="Subsection"/>
      </w:pPr>
      <w:r>
        <w:tab/>
        <w:t>(5)</w:t>
      </w:r>
      <w:r>
        <w:tab/>
        <w:t>Unless a Government agreement provides otherwise, this section does not apply to a miscellaneous licence granted or held under the agreement in accordance with proposals approved, taken to be approved or determined under the agreement.</w:t>
      </w:r>
    </w:p>
    <w:p>
      <w:pPr>
        <w:pStyle w:val="Footnotesection"/>
      </w:pPr>
      <w:bookmarkStart w:id="229" w:name="_Toc115276467"/>
      <w:r>
        <w:lastRenderedPageBreak/>
        <w:tab/>
        <w:t>[Section 103AM inserted: No. 31 of 2022 s. 34.]</w:t>
      </w:r>
    </w:p>
    <w:p>
      <w:pPr>
        <w:pStyle w:val="Heading5"/>
      </w:pPr>
      <w:bookmarkStart w:id="230" w:name="_Toc207801131"/>
      <w:r>
        <w:rPr>
          <w:rStyle w:val="CharSectno"/>
        </w:rPr>
        <w:t>103AN</w:t>
      </w:r>
      <w:r>
        <w:t>.</w:t>
      </w:r>
      <w:r>
        <w:tab/>
        <w:t>Lodgment of mining development and closure proposal</w:t>
      </w:r>
      <w:bookmarkEnd w:id="229"/>
      <w:bookmarkEnd w:id="230"/>
    </w:p>
    <w:p>
      <w:pPr>
        <w:pStyle w:val="Subsection"/>
      </w:pPr>
      <w:r>
        <w:tab/>
        <w:t>(1)</w:t>
      </w:r>
      <w:r>
        <w:tab/>
        <w:t xml:space="preserve">In this section — </w:t>
      </w:r>
    </w:p>
    <w:p>
      <w:pPr>
        <w:pStyle w:val="Defstart"/>
      </w:pPr>
      <w:r>
        <w:tab/>
      </w:r>
      <w:r>
        <w:rPr>
          <w:rStyle w:val="CharDefText"/>
        </w:rPr>
        <w:t>relevant lodging party</w:t>
      </w:r>
      <w:r>
        <w:t xml:space="preserve"> means — </w:t>
      </w:r>
    </w:p>
    <w:p>
      <w:pPr>
        <w:pStyle w:val="Defpara"/>
      </w:pPr>
      <w:r>
        <w:tab/>
        <w:t>(a)</w:t>
      </w:r>
      <w:r>
        <w:tab/>
        <w:t>in relation to a mining development and closure proposal lodged for an activity on land the subject of a mining lease — the lessee of the mining lease, or a person authorised by the lessee of the mining lease; or</w:t>
      </w:r>
    </w:p>
    <w:p>
      <w:pPr>
        <w:pStyle w:val="Defpara"/>
      </w:pPr>
      <w:r>
        <w:tab/>
        <w:t>(b)</w:t>
      </w:r>
      <w:r>
        <w:tab/>
        <w:t>in relation to a mining development and closure proposal lodged for a licensed activity on land the subject of a miscellaneous licence — the holder of the miscellaneous licence, or a person authorised by the holder of the miscellaneous licence.</w:t>
      </w:r>
    </w:p>
    <w:p>
      <w:pPr>
        <w:pStyle w:val="Subsection"/>
      </w:pPr>
      <w:r>
        <w:tab/>
        <w:t>(2)</w:t>
      </w:r>
      <w:r>
        <w:tab/>
        <w:t>A mining development and closure proposal required in order to comply with a condition referred to in section 103AL(2)(b) or (3) or 103AM(2)(b) or (3) must be lodged with the Minister by the relevant lodging party in accordance with subsection (3).</w:t>
      </w:r>
    </w:p>
    <w:p>
      <w:pPr>
        <w:pStyle w:val="Subsection"/>
      </w:pPr>
      <w:r>
        <w:tab/>
        <w:t>(3)</w:t>
      </w:r>
      <w:r>
        <w:tab/>
        <w:t xml:space="preserve">The mining development and closure proposal must — </w:t>
      </w:r>
    </w:p>
    <w:p>
      <w:pPr>
        <w:pStyle w:val="Indenta"/>
      </w:pPr>
      <w:r>
        <w:tab/>
        <w:t>(a)</w:t>
      </w:r>
      <w:r>
        <w:tab/>
        <w:t>be lodged in the prescribed manner; and</w:t>
      </w:r>
    </w:p>
    <w:p>
      <w:pPr>
        <w:pStyle w:val="Indenta"/>
      </w:pPr>
      <w:r>
        <w:tab/>
        <w:t>(b)</w:t>
      </w:r>
      <w:r>
        <w:tab/>
        <w:t>be in the approved form; and</w:t>
      </w:r>
    </w:p>
    <w:p>
      <w:pPr>
        <w:pStyle w:val="Indenta"/>
      </w:pPr>
      <w:r>
        <w:tab/>
        <w:t>(c)</w:t>
      </w:r>
      <w:r>
        <w:tab/>
        <w:t>be accompanied by the prescribed assessment fee; and</w:t>
      </w:r>
    </w:p>
    <w:p>
      <w:pPr>
        <w:pStyle w:val="Indenta"/>
      </w:pPr>
      <w:r>
        <w:tab/>
        <w:t>(d)</w:t>
      </w:r>
      <w:r>
        <w:tab/>
        <w:t xml:space="preserve">include detailed information regarding — </w:t>
      </w:r>
    </w:p>
    <w:p>
      <w:pPr>
        <w:pStyle w:val="Indenti"/>
      </w:pPr>
      <w:r>
        <w:tab/>
        <w:t>(i)</w:t>
      </w:r>
      <w:r>
        <w:tab/>
        <w:t>the proposed mining operations to be carried out; and</w:t>
      </w:r>
    </w:p>
    <w:p>
      <w:pPr>
        <w:pStyle w:val="Indenti"/>
      </w:pPr>
      <w:r>
        <w:tab/>
        <w:t>(ii)</w:t>
      </w:r>
      <w:r>
        <w:tab/>
        <w:t>the decommissioning of any proposed mine to which the mining development and closure proposal relates; and</w:t>
      </w:r>
    </w:p>
    <w:p>
      <w:pPr>
        <w:pStyle w:val="Indenti"/>
      </w:pPr>
      <w:r>
        <w:tab/>
        <w:t>(iii)</w:t>
      </w:r>
      <w:r>
        <w:tab/>
        <w:t>the rehabilitation of land the subject of the mining tenement to which the mining development and closure proposal relates; and</w:t>
      </w:r>
    </w:p>
    <w:p>
      <w:pPr>
        <w:pStyle w:val="Indenti"/>
        <w:keepNext/>
      </w:pPr>
      <w:r>
        <w:lastRenderedPageBreak/>
        <w:tab/>
        <w:t>(iv)</w:t>
      </w:r>
      <w:r>
        <w:tab/>
        <w:t>the closure outcomes;</w:t>
      </w:r>
    </w:p>
    <w:p>
      <w:pPr>
        <w:pStyle w:val="Indenta"/>
      </w:pPr>
      <w:r>
        <w:tab/>
      </w:r>
      <w:r>
        <w:tab/>
        <w:t>and</w:t>
      </w:r>
    </w:p>
    <w:p>
      <w:pPr>
        <w:pStyle w:val="Indenta"/>
      </w:pPr>
      <w:r>
        <w:tab/>
        <w:t>(e)</w:t>
      </w:r>
      <w:r>
        <w:tab/>
        <w:t>include any prescribed information.</w:t>
      </w:r>
    </w:p>
    <w:p>
      <w:pPr>
        <w:pStyle w:val="Subsection"/>
      </w:pPr>
      <w:r>
        <w:tab/>
        <w:t>(4)</w:t>
      </w:r>
      <w:r>
        <w:tab/>
        <w:t xml:space="preserve">Before the Minister approves, or refuses to approve, an activity proposed in a mining development and closure proposal under section 103AO(1) — </w:t>
      </w:r>
    </w:p>
    <w:p>
      <w:pPr>
        <w:pStyle w:val="Indenta"/>
      </w:pPr>
      <w:r>
        <w:tab/>
        <w:t>(a)</w:t>
      </w:r>
      <w:r>
        <w:tab/>
        <w:t xml:space="preserve">the Minister may request the relevant lodging party — </w:t>
      </w:r>
    </w:p>
    <w:p>
      <w:pPr>
        <w:pStyle w:val="Indenti"/>
      </w:pPr>
      <w:r>
        <w:tab/>
        <w:t>(i)</w:t>
      </w:r>
      <w:r>
        <w:tab/>
        <w:t>to lodge a substitute mining development and closure proposal; or</w:t>
      </w:r>
    </w:p>
    <w:p>
      <w:pPr>
        <w:pStyle w:val="Indenti"/>
      </w:pPr>
      <w:r>
        <w:tab/>
        <w:t>(ii)</w:t>
      </w:r>
      <w:r>
        <w:tab/>
        <w:t>to provide such further information as the Minister may require for the purposes of making the decision;</w:t>
      </w:r>
    </w:p>
    <w:p>
      <w:pPr>
        <w:pStyle w:val="Indenta"/>
      </w:pPr>
      <w:r>
        <w:tab/>
      </w:r>
      <w:r>
        <w:tab/>
        <w:t>or</w:t>
      </w:r>
    </w:p>
    <w:p>
      <w:pPr>
        <w:pStyle w:val="Indenta"/>
      </w:pPr>
      <w:r>
        <w:tab/>
        <w:t>(b)</w:t>
      </w:r>
      <w:r>
        <w:tab/>
        <w:t>the relevant lodging party may, with the written permission of the Minister, lodge a substitute mining development and closure proposal.</w:t>
      </w:r>
    </w:p>
    <w:p>
      <w:pPr>
        <w:pStyle w:val="Subsection"/>
      </w:pPr>
      <w:r>
        <w:tab/>
        <w:t>(5)</w:t>
      </w:r>
      <w:r>
        <w:tab/>
        <w:t>The activity proposed in a substitute mining development and closure proposal must not be substantially different to the activity proposed in the mining development and closure proposal it is intended to replace.</w:t>
      </w:r>
    </w:p>
    <w:p>
      <w:pPr>
        <w:pStyle w:val="Subsection"/>
      </w:pPr>
      <w:r>
        <w:tab/>
        <w:t>(6)</w:t>
      </w:r>
      <w:r>
        <w:tab/>
        <w:t>A relevant lodging party who has lodged a mining development and closure proposal or a substitute mining development and closure proposal may withdraw it, by written notice to the Minister, at any time before the Minister approves or refuses to approve the activity proposed in the mining development and closure proposal under section 103AO(1).</w:t>
      </w:r>
    </w:p>
    <w:p>
      <w:pPr>
        <w:pStyle w:val="Footnotesection"/>
      </w:pPr>
      <w:bookmarkStart w:id="231" w:name="_Toc115276468"/>
      <w:r>
        <w:tab/>
        <w:t>[Section 103AN inserted: No. 31 of 2022 s. 34.]</w:t>
      </w:r>
    </w:p>
    <w:p>
      <w:pPr>
        <w:pStyle w:val="Heading5"/>
      </w:pPr>
      <w:bookmarkStart w:id="232" w:name="_Toc207801132"/>
      <w:r>
        <w:rPr>
          <w:rStyle w:val="CharSectno"/>
        </w:rPr>
        <w:lastRenderedPageBreak/>
        <w:t>103AO</w:t>
      </w:r>
      <w:r>
        <w:t>.</w:t>
      </w:r>
      <w:r>
        <w:tab/>
        <w:t>Approval of activities in mining development and closure proposals</w:t>
      </w:r>
      <w:bookmarkEnd w:id="231"/>
      <w:bookmarkEnd w:id="232"/>
    </w:p>
    <w:p>
      <w:pPr>
        <w:pStyle w:val="Subsection"/>
      </w:pPr>
      <w:r>
        <w:tab/>
        <w:t>(1)</w:t>
      </w:r>
      <w:r>
        <w:tab/>
        <w:t>The Minister must approve, or refuse to approve, an activity proposed in a mining development and closure proposal or a substitute mining development and closure proposal (if any).</w:t>
      </w:r>
    </w:p>
    <w:p>
      <w:pPr>
        <w:pStyle w:val="Subsection"/>
      </w:pPr>
      <w:r>
        <w:tab/>
        <w:t>(2)</w:t>
      </w:r>
      <w:r>
        <w:tab/>
        <w:t xml:space="preserve">If the Minister approves an activity under subsection (1), the Minister must — </w:t>
      </w:r>
    </w:p>
    <w:p>
      <w:pPr>
        <w:pStyle w:val="Indenta"/>
      </w:pPr>
      <w:r>
        <w:tab/>
        <w:t>(a)</w:t>
      </w:r>
      <w:r>
        <w:tab/>
        <w:t xml:space="preserve">record the approval on an approvals statement for the mining lease or the miscellaneous licence to which the mining development and closure proposal relates; and </w:t>
      </w:r>
    </w:p>
    <w:p>
      <w:pPr>
        <w:pStyle w:val="Indenta"/>
      </w:pPr>
      <w:r>
        <w:tab/>
        <w:t>(b)</w:t>
      </w:r>
      <w:r>
        <w:tab/>
        <w:t>give a copy of the approvals statement to the lessee of the mining lease or the holder of the miscellaneous licence to which the mining development and closure proposal relates.</w:t>
      </w:r>
    </w:p>
    <w:p>
      <w:pPr>
        <w:pStyle w:val="Subsection"/>
      </w:pPr>
      <w:r>
        <w:tab/>
        <w:t>(3)</w:t>
      </w:r>
      <w:r>
        <w:tab/>
        <w:t>If the decision is to refuse to approve the activity, the Minister must notify the lessee of the mining lease or the holder of the miscellaneous licence to which the mining development and closure proposal relates in writing of the Minister’s decision and include in the notification the reasons for the refusal.</w:t>
      </w:r>
    </w:p>
    <w:p>
      <w:pPr>
        <w:pStyle w:val="Subsection"/>
      </w:pPr>
      <w:r>
        <w:tab/>
        <w:t>(4)</w:t>
      </w:r>
      <w:r>
        <w:tab/>
        <w:t>The Minister may impose conditions on an approval and those conditions must be recorded on the approvals statement.</w:t>
      </w:r>
    </w:p>
    <w:p>
      <w:pPr>
        <w:pStyle w:val="Subsection"/>
      </w:pPr>
      <w:r>
        <w:tab/>
        <w:t>(5)</w:t>
      </w:r>
      <w:r>
        <w:tab/>
        <w:t>A condition recorded on an approvals statement has effect for all purposes as a condition to which the mining lease or the miscellaneous licence is subject.</w:t>
      </w:r>
    </w:p>
    <w:p>
      <w:pPr>
        <w:pStyle w:val="Subsection"/>
      </w:pPr>
      <w:r>
        <w:tab/>
        <w:t>(6)</w:t>
      </w:r>
      <w:r>
        <w:tab/>
        <w:t xml:space="preserve">The Minister may record information (the </w:t>
      </w:r>
      <w:r>
        <w:rPr>
          <w:rStyle w:val="CharDefText"/>
        </w:rPr>
        <w:t>relevant information</w:t>
      </w:r>
      <w:r>
        <w:t>) provided in a mining development and closure proposal, that is relevant to the nature and extent of the activity in the proposal, on the approvals statement for the mining lease or the miscellaneous licence to which the mining development and closure proposal relates.</w:t>
      </w:r>
    </w:p>
    <w:p>
      <w:pPr>
        <w:pStyle w:val="Subsection"/>
      </w:pPr>
      <w:r>
        <w:tab/>
        <w:t>(7)</w:t>
      </w:r>
      <w:r>
        <w:tab/>
        <w:t xml:space="preserve">An approvals statement takes effect when it is given to the holder of the mining lease or the miscellaneous licence to which </w:t>
      </w:r>
      <w:r>
        <w:lastRenderedPageBreak/>
        <w:t>it relates and remains in force until it is cancelled by the Minister.</w:t>
      </w:r>
    </w:p>
    <w:p>
      <w:pPr>
        <w:pStyle w:val="Footnotesection"/>
      </w:pPr>
      <w:bookmarkStart w:id="233" w:name="_Toc115276469"/>
      <w:r>
        <w:tab/>
        <w:t>[Section 103AO inserted: No. 31 of 2022 s. 34.]</w:t>
      </w:r>
    </w:p>
    <w:p>
      <w:pPr>
        <w:pStyle w:val="Heading5"/>
      </w:pPr>
      <w:bookmarkStart w:id="234" w:name="_Toc207801133"/>
      <w:r>
        <w:rPr>
          <w:rStyle w:val="CharSectno"/>
        </w:rPr>
        <w:t>103AP</w:t>
      </w:r>
      <w:r>
        <w:t>.</w:t>
      </w:r>
      <w:r>
        <w:tab/>
        <w:t>Approvals statements</w:t>
      </w:r>
      <w:bookmarkEnd w:id="233"/>
      <w:bookmarkEnd w:id="234"/>
    </w:p>
    <w:p>
      <w:pPr>
        <w:pStyle w:val="Subsection"/>
      </w:pPr>
      <w:r>
        <w:tab/>
        <w:t>(1)</w:t>
      </w:r>
      <w:r>
        <w:tab/>
        <w:t xml:space="preserve">An </w:t>
      </w:r>
      <w:r>
        <w:rPr>
          <w:rStyle w:val="CharDefText"/>
        </w:rPr>
        <w:t>approvals statement</w:t>
      </w:r>
      <w:r>
        <w:t xml:space="preserve"> is a document that, in relation to a mining lease or a miscellaneous licence, records the following information — </w:t>
      </w:r>
    </w:p>
    <w:p>
      <w:pPr>
        <w:pStyle w:val="Indenta"/>
      </w:pPr>
      <w:r>
        <w:tab/>
        <w:t>(a)</w:t>
      </w:r>
      <w:r>
        <w:tab/>
        <w:t>an approval given to an activity on land the subject of the mining lease or the miscellaneous licence proposed in a mining development and closure proposal;</w:t>
      </w:r>
    </w:p>
    <w:p>
      <w:pPr>
        <w:pStyle w:val="Indenta"/>
      </w:pPr>
      <w:r>
        <w:tab/>
        <w:t>(b)</w:t>
      </w:r>
      <w:r>
        <w:tab/>
        <w:t>any conditions attached to the approval;</w:t>
      </w:r>
    </w:p>
    <w:p>
      <w:pPr>
        <w:pStyle w:val="Indenta"/>
      </w:pPr>
      <w:r>
        <w:tab/>
        <w:t>(c)</w:t>
      </w:r>
      <w:r>
        <w:tab/>
        <w:t>any relevant information;</w:t>
      </w:r>
    </w:p>
    <w:p>
      <w:pPr>
        <w:pStyle w:val="Indenta"/>
      </w:pPr>
      <w:r>
        <w:tab/>
        <w:t>(d)</w:t>
      </w:r>
      <w:r>
        <w:tab/>
        <w:t>the closure outcomes included in a mining development and closure proposal relating to the mining lease or the miscellaneous licence;</w:t>
      </w:r>
    </w:p>
    <w:p>
      <w:pPr>
        <w:pStyle w:val="Indenta"/>
      </w:pPr>
      <w:r>
        <w:tab/>
        <w:t>(e)</w:t>
      </w:r>
      <w:r>
        <w:tab/>
        <w:t>the date by which a mine closure plan for the land the subject of the mining lease or the miscellaneous licence must be lodged.</w:t>
      </w:r>
    </w:p>
    <w:p>
      <w:pPr>
        <w:pStyle w:val="Subsection"/>
      </w:pPr>
      <w:r>
        <w:tab/>
        <w:t>(2)</w:t>
      </w:r>
      <w:r>
        <w:tab/>
        <w:t xml:space="preserve">An approvals statement must be — </w:t>
      </w:r>
    </w:p>
    <w:p>
      <w:pPr>
        <w:pStyle w:val="Indenta"/>
      </w:pPr>
      <w:r>
        <w:tab/>
        <w:t>(a)</w:t>
      </w:r>
      <w:r>
        <w:tab/>
        <w:t>in writing; and</w:t>
      </w:r>
    </w:p>
    <w:p>
      <w:pPr>
        <w:pStyle w:val="Indenta"/>
      </w:pPr>
      <w:r>
        <w:tab/>
        <w:t>(b)</w:t>
      </w:r>
      <w:r>
        <w:tab/>
        <w:t>signed by the Minister.</w:t>
      </w:r>
    </w:p>
    <w:p>
      <w:pPr>
        <w:pStyle w:val="Subsection"/>
      </w:pPr>
      <w:r>
        <w:tab/>
        <w:t>(3)</w:t>
      </w:r>
      <w:r>
        <w:tab/>
        <w:t xml:space="preserve">The Minister must make an approvals statement available for public inspection in accordance with the regulations. </w:t>
      </w:r>
    </w:p>
    <w:p>
      <w:pPr>
        <w:pStyle w:val="Footnotesection"/>
      </w:pPr>
      <w:bookmarkStart w:id="235" w:name="_Toc115276470"/>
      <w:r>
        <w:tab/>
        <w:t>[Section 103AP inserted: No. 31 of 2022 s. 34.]</w:t>
      </w:r>
    </w:p>
    <w:p>
      <w:pPr>
        <w:pStyle w:val="Heading5"/>
      </w:pPr>
      <w:bookmarkStart w:id="236" w:name="_Toc207801134"/>
      <w:r>
        <w:rPr>
          <w:rStyle w:val="CharSectno"/>
        </w:rPr>
        <w:t>103AQ</w:t>
      </w:r>
      <w:r>
        <w:t>.</w:t>
      </w:r>
      <w:r>
        <w:tab/>
        <w:t>Cancellations and variations recorded on approvals statements</w:t>
      </w:r>
      <w:bookmarkEnd w:id="235"/>
      <w:bookmarkEnd w:id="236"/>
    </w:p>
    <w:p>
      <w:pPr>
        <w:pStyle w:val="Subsection"/>
      </w:pPr>
      <w:r>
        <w:tab/>
        <w:t>(1)</w:t>
      </w:r>
      <w:r>
        <w:tab/>
        <w:t xml:space="preserve">The Minister may, on the Minister’s own initiative or by application in writing by the lessee of a mining lease or the holder of a miscellaneous licence to which an approvals statement relates — </w:t>
      </w:r>
    </w:p>
    <w:p>
      <w:pPr>
        <w:pStyle w:val="Indenta"/>
      </w:pPr>
      <w:r>
        <w:lastRenderedPageBreak/>
        <w:tab/>
        <w:t>(a)</w:t>
      </w:r>
      <w:r>
        <w:tab/>
        <w:t>cancel an approval given to an activity under section 103AO(1); or</w:t>
      </w:r>
    </w:p>
    <w:p>
      <w:pPr>
        <w:pStyle w:val="Indenta"/>
      </w:pPr>
      <w:r>
        <w:tab/>
        <w:t>(b)</w:t>
      </w:r>
      <w:r>
        <w:tab/>
        <w:t>cancel or vary a condition that is recorded on the approvals statement under section 103AO(4); or</w:t>
      </w:r>
    </w:p>
    <w:p>
      <w:pPr>
        <w:pStyle w:val="Indenta"/>
      </w:pPr>
      <w:r>
        <w:tab/>
        <w:t>(c)</w:t>
      </w:r>
      <w:r>
        <w:tab/>
        <w:t>vary any relevant information that is recorded on the approvals statement under section 103AO(6).</w:t>
      </w:r>
    </w:p>
    <w:p>
      <w:pPr>
        <w:pStyle w:val="Subsection"/>
      </w:pPr>
      <w:r>
        <w:tab/>
        <w:t>(2)</w:t>
      </w:r>
      <w:r>
        <w:tab/>
        <w:t xml:space="preserve">The Minister must — </w:t>
      </w:r>
    </w:p>
    <w:p>
      <w:pPr>
        <w:pStyle w:val="Indenta"/>
      </w:pPr>
      <w:r>
        <w:tab/>
        <w:t>(a)</w:t>
      </w:r>
      <w:r>
        <w:tab/>
        <w:t>record a cancellation or a variation made under subsection (1) on the approvals statement to which the cancellation or variation relates; and</w:t>
      </w:r>
    </w:p>
    <w:p>
      <w:pPr>
        <w:pStyle w:val="Indenta"/>
      </w:pPr>
      <w:r>
        <w:tab/>
        <w:t>(b)</w:t>
      </w:r>
      <w:r>
        <w:tab/>
        <w:t>give a copy of the amended approvals statement to the lessee of the mining lease or the holder of the miscellaneous licence to which the approvals statement relates.</w:t>
      </w:r>
    </w:p>
    <w:p>
      <w:pPr>
        <w:pStyle w:val="Subsection"/>
      </w:pPr>
      <w:r>
        <w:tab/>
        <w:t>(3)</w:t>
      </w:r>
      <w:r>
        <w:tab/>
        <w:t>A cancellation or a variation made under subsection (1) takes effect on the day recorded on the amended approvals statement.</w:t>
      </w:r>
    </w:p>
    <w:p>
      <w:pPr>
        <w:pStyle w:val="Footnotesection"/>
      </w:pPr>
      <w:bookmarkStart w:id="237" w:name="_Toc115276311"/>
      <w:bookmarkStart w:id="238" w:name="_Toc115276391"/>
      <w:bookmarkStart w:id="239" w:name="_Toc115276471"/>
      <w:r>
        <w:tab/>
        <w:t>[Section 103AQ inserted: No. 31 of 2022 s. 34.]</w:t>
      </w:r>
    </w:p>
    <w:p>
      <w:pPr>
        <w:pStyle w:val="Heading3"/>
      </w:pPr>
      <w:bookmarkStart w:id="240" w:name="_Toc207801135"/>
      <w:r>
        <w:rPr>
          <w:rStyle w:val="CharDivNo"/>
        </w:rPr>
        <w:t>Division 5</w:t>
      </w:r>
      <w:r>
        <w:t> — </w:t>
      </w:r>
      <w:r>
        <w:rPr>
          <w:rStyle w:val="CharDivText"/>
        </w:rPr>
        <w:t>Mine closure plans</w:t>
      </w:r>
      <w:bookmarkEnd w:id="237"/>
      <w:bookmarkEnd w:id="238"/>
      <w:bookmarkEnd w:id="239"/>
      <w:bookmarkEnd w:id="240"/>
    </w:p>
    <w:p>
      <w:pPr>
        <w:pStyle w:val="Footnoteheading"/>
        <w:keepNext/>
        <w:keepLines/>
        <w:rPr>
          <w:snapToGrid w:val="0"/>
        </w:rPr>
      </w:pPr>
      <w:bookmarkStart w:id="241" w:name="_Toc115276472"/>
      <w:r>
        <w:rPr>
          <w:snapToGrid w:val="0"/>
        </w:rPr>
        <w:tab/>
        <w:t>[Heading inserted: No. 31 of 2022 s. 34.]</w:t>
      </w:r>
    </w:p>
    <w:p>
      <w:pPr>
        <w:pStyle w:val="Heading5"/>
      </w:pPr>
      <w:bookmarkStart w:id="242" w:name="_Toc207801136"/>
      <w:r>
        <w:rPr>
          <w:rStyle w:val="CharSectno"/>
        </w:rPr>
        <w:t>103AR</w:t>
      </w:r>
      <w:r>
        <w:t>.</w:t>
      </w:r>
      <w:r>
        <w:tab/>
        <w:t>Contents of mine closure plan</w:t>
      </w:r>
      <w:bookmarkEnd w:id="241"/>
      <w:bookmarkEnd w:id="242"/>
    </w:p>
    <w:p>
      <w:pPr>
        <w:pStyle w:val="Subsection"/>
      </w:pPr>
      <w:r>
        <w:tab/>
      </w:r>
      <w:r>
        <w:tab/>
        <w:t xml:space="preserve">A </w:t>
      </w:r>
      <w:r>
        <w:rPr>
          <w:rStyle w:val="CharDefText"/>
        </w:rPr>
        <w:t>mine closure plan</w:t>
      </w:r>
      <w:r>
        <w:t xml:space="preserve">, for land the subject of a mining lease or a miscellaneous licence, is a planning and reporting document that provides for — </w:t>
      </w:r>
    </w:p>
    <w:p>
      <w:pPr>
        <w:pStyle w:val="Indenta"/>
      </w:pPr>
      <w:r>
        <w:tab/>
        <w:t>(a)</w:t>
      </w:r>
      <w:r>
        <w:tab/>
        <w:t>the decommissioning of each mine on the land; and</w:t>
      </w:r>
    </w:p>
    <w:p>
      <w:pPr>
        <w:pStyle w:val="Indenta"/>
      </w:pPr>
      <w:r>
        <w:tab/>
        <w:t>(b)</w:t>
      </w:r>
      <w:r>
        <w:tab/>
        <w:t>the rehabilitation of the land; and</w:t>
      </w:r>
    </w:p>
    <w:p>
      <w:pPr>
        <w:pStyle w:val="Indenta"/>
      </w:pPr>
      <w:r>
        <w:tab/>
        <w:t>(c)</w:t>
      </w:r>
      <w:r>
        <w:tab/>
        <w:t>the closure outcomes; and</w:t>
      </w:r>
    </w:p>
    <w:p>
      <w:pPr>
        <w:pStyle w:val="Indenta"/>
      </w:pPr>
      <w:r>
        <w:tab/>
        <w:t>(d)</w:t>
      </w:r>
      <w:r>
        <w:tab/>
        <w:t>any other prescribed information.</w:t>
      </w:r>
    </w:p>
    <w:p>
      <w:pPr>
        <w:pStyle w:val="Footnotesection"/>
      </w:pPr>
      <w:bookmarkStart w:id="243" w:name="_Toc115276473"/>
      <w:r>
        <w:tab/>
        <w:t>[Section 103AR inserted: No. 31 of 2022 s. 34.]</w:t>
      </w:r>
    </w:p>
    <w:p>
      <w:pPr>
        <w:pStyle w:val="Heading5"/>
      </w:pPr>
      <w:bookmarkStart w:id="244" w:name="_Toc207801137"/>
      <w:r>
        <w:rPr>
          <w:rStyle w:val="CharSectno"/>
        </w:rPr>
        <w:lastRenderedPageBreak/>
        <w:t>103AS</w:t>
      </w:r>
      <w:r>
        <w:t>.</w:t>
      </w:r>
      <w:r>
        <w:tab/>
        <w:t>Conditions relating to mine closure plans</w:t>
      </w:r>
      <w:bookmarkEnd w:id="243"/>
      <w:bookmarkEnd w:id="244"/>
    </w:p>
    <w:p>
      <w:pPr>
        <w:pStyle w:val="Subsection"/>
      </w:pPr>
      <w:r>
        <w:tab/>
      </w:r>
      <w:r>
        <w:tab/>
        <w:t>It is a condition of every mining lease or miscellaneous licence that the lessee of the mining lease or the holder of the miscellaneous licence must lodge a mine closure plan for land the subject of the mining lease or the miscellaneous licence in compliance with section 103AT(1).</w:t>
      </w:r>
    </w:p>
    <w:p>
      <w:pPr>
        <w:pStyle w:val="Footnotesection"/>
      </w:pPr>
      <w:bookmarkStart w:id="245" w:name="_Toc115276474"/>
      <w:r>
        <w:tab/>
        <w:t>[Section 103AS inserted: No. 31 of 2022 s. 34.]</w:t>
      </w:r>
    </w:p>
    <w:p>
      <w:pPr>
        <w:pStyle w:val="Heading5"/>
      </w:pPr>
      <w:bookmarkStart w:id="246" w:name="_Toc207801138"/>
      <w:r>
        <w:rPr>
          <w:rStyle w:val="CharSectno"/>
        </w:rPr>
        <w:t>103AT</w:t>
      </w:r>
      <w:r>
        <w:t>.</w:t>
      </w:r>
      <w:r>
        <w:tab/>
        <w:t>Lodgment of mine closure plans</w:t>
      </w:r>
      <w:bookmarkEnd w:id="245"/>
      <w:bookmarkEnd w:id="246"/>
    </w:p>
    <w:p>
      <w:pPr>
        <w:pStyle w:val="Subsection"/>
      </w:pPr>
      <w:r>
        <w:tab/>
        <w:t>(1)</w:t>
      </w:r>
      <w:r>
        <w:tab/>
        <w:t xml:space="preserve">The lessee of a mining lease or the holder of a miscellaneous licence, or a person authorised by the lessee of the mining lease or the holder of the miscellaneous licence (as the case requires) must lodge a mine closure plan required in order to comply with the condition referred to in section 103AS — </w:t>
      </w:r>
    </w:p>
    <w:p>
      <w:pPr>
        <w:pStyle w:val="Indenta"/>
      </w:pPr>
      <w:r>
        <w:tab/>
        <w:t>(a)</w:t>
      </w:r>
      <w:r>
        <w:tab/>
        <w:t>with the Minister in the prescribed manner; and</w:t>
      </w:r>
    </w:p>
    <w:p>
      <w:pPr>
        <w:pStyle w:val="Indenta"/>
      </w:pPr>
      <w:r>
        <w:tab/>
        <w:t>(b)</w:t>
      </w:r>
      <w:r>
        <w:tab/>
        <w:t>on or before the date recorded on the approvals statement for the mining lease or the miscellaneous licence, as the date required for lodgment of the mine closure plan.</w:t>
      </w:r>
    </w:p>
    <w:p>
      <w:pPr>
        <w:pStyle w:val="Subsection"/>
      </w:pPr>
      <w:r>
        <w:tab/>
        <w:t>(2)</w:t>
      </w:r>
      <w:r>
        <w:tab/>
        <w:t>The mine closure plan must be in the approved form.</w:t>
      </w:r>
    </w:p>
    <w:p>
      <w:pPr>
        <w:pStyle w:val="Subsection"/>
      </w:pPr>
      <w:r>
        <w:tab/>
        <w:t>(3)</w:t>
      </w:r>
      <w:r>
        <w:tab/>
        <w:t>The Minister may extend or vary the date recorded on the approvals statement by which a mine closure plan must be lodged.</w:t>
      </w:r>
    </w:p>
    <w:p>
      <w:pPr>
        <w:pStyle w:val="Subsection"/>
      </w:pPr>
      <w:r>
        <w:tab/>
        <w:t>(4)</w:t>
      </w:r>
      <w:r>
        <w:tab/>
        <w:t xml:space="preserve">If the Minister extends or varies the date under subsection (3), the Minister must — </w:t>
      </w:r>
    </w:p>
    <w:p>
      <w:pPr>
        <w:pStyle w:val="Indenta"/>
      </w:pPr>
      <w:r>
        <w:tab/>
        <w:t>(a)</w:t>
      </w:r>
      <w:r>
        <w:tab/>
        <w:t>give the lessee of the mining lease or the holder of the miscellaneous licence (as the case requires) written notice that the date has been extended or varied; and</w:t>
      </w:r>
    </w:p>
    <w:p>
      <w:pPr>
        <w:pStyle w:val="Indenta"/>
      </w:pPr>
      <w:r>
        <w:tab/>
        <w:t>(b)</w:t>
      </w:r>
      <w:r>
        <w:tab/>
        <w:t>amend the date recorded on the approvals statement accordingly.</w:t>
      </w:r>
    </w:p>
    <w:p>
      <w:pPr>
        <w:pStyle w:val="Footnotesection"/>
      </w:pPr>
      <w:bookmarkStart w:id="247" w:name="_Toc115276315"/>
      <w:bookmarkStart w:id="248" w:name="_Toc115276395"/>
      <w:bookmarkStart w:id="249" w:name="_Toc115276475"/>
      <w:r>
        <w:tab/>
        <w:t>[Section 103AT inserted: No. 31 of 2022 s. 34.]</w:t>
      </w:r>
    </w:p>
    <w:p>
      <w:pPr>
        <w:pStyle w:val="Heading3"/>
      </w:pPr>
      <w:bookmarkStart w:id="250" w:name="_Toc207801139"/>
      <w:r>
        <w:rPr>
          <w:rStyle w:val="CharDivNo"/>
        </w:rPr>
        <w:lastRenderedPageBreak/>
        <w:t>Division 6</w:t>
      </w:r>
      <w:r>
        <w:t> — </w:t>
      </w:r>
      <w:r>
        <w:rPr>
          <w:rStyle w:val="CharDivText"/>
        </w:rPr>
        <w:t>Other conditions</w:t>
      </w:r>
      <w:bookmarkEnd w:id="247"/>
      <w:bookmarkEnd w:id="248"/>
      <w:bookmarkEnd w:id="249"/>
      <w:bookmarkEnd w:id="250"/>
    </w:p>
    <w:p>
      <w:pPr>
        <w:pStyle w:val="Footnoteheading"/>
        <w:keepNext/>
        <w:keepLines/>
        <w:rPr>
          <w:snapToGrid w:val="0"/>
        </w:rPr>
      </w:pPr>
      <w:bookmarkStart w:id="251" w:name="_Toc115276476"/>
      <w:r>
        <w:rPr>
          <w:snapToGrid w:val="0"/>
        </w:rPr>
        <w:tab/>
        <w:t>[Heading inserted: No. 31 of 2022 s. 34.]</w:t>
      </w:r>
    </w:p>
    <w:p>
      <w:pPr>
        <w:pStyle w:val="Heading5"/>
      </w:pPr>
      <w:bookmarkStart w:id="252" w:name="_Toc207801140"/>
      <w:r>
        <w:rPr>
          <w:rStyle w:val="CharSectno"/>
        </w:rPr>
        <w:t>103AU</w:t>
      </w:r>
      <w:r>
        <w:t>.</w:t>
      </w:r>
      <w:r>
        <w:tab/>
        <w:t>Conditions for preventing, reducing or remediating injury to land and for other purposes</w:t>
      </w:r>
      <w:bookmarkEnd w:id="251"/>
      <w:bookmarkEnd w:id="252"/>
    </w:p>
    <w:p>
      <w:pPr>
        <w:pStyle w:val="Subsection"/>
      </w:pPr>
      <w:r>
        <w:tab/>
        <w:t>(1)</w:t>
      </w:r>
      <w:r>
        <w:tab/>
        <w:t xml:space="preserve">The Minister may impose a condition on a mining tenement for the following purposes — </w:t>
      </w:r>
    </w:p>
    <w:p>
      <w:pPr>
        <w:pStyle w:val="Indenta"/>
      </w:pPr>
      <w:r>
        <w:tab/>
        <w:t>(a)</w:t>
      </w:r>
      <w:r>
        <w:tab/>
        <w:t>preventing, reducing or remediating injury to land the subject of the mining tenement or other land;</w:t>
      </w:r>
    </w:p>
    <w:p>
      <w:pPr>
        <w:pStyle w:val="Indenta"/>
      </w:pPr>
      <w:r>
        <w:tab/>
        <w:t>(b)</w:t>
      </w:r>
      <w:r>
        <w:tab/>
        <w:t>preventing or reducing the impact of mining on the statutory or public purposes for which land to which section 24 or 24A applies is reserved or managed, or remediating such land.</w:t>
      </w:r>
    </w:p>
    <w:p>
      <w:pPr>
        <w:pStyle w:val="Subsection"/>
      </w:pPr>
      <w:r>
        <w:tab/>
        <w:t>(2)</w:t>
      </w:r>
      <w:r>
        <w:tab/>
        <w:t xml:space="preserve">The condition may be imposed — </w:t>
      </w:r>
    </w:p>
    <w:p>
      <w:pPr>
        <w:pStyle w:val="Indenta"/>
      </w:pPr>
      <w:r>
        <w:tab/>
        <w:t>(a)</w:t>
      </w:r>
      <w:r>
        <w:tab/>
        <w:t>in the case of a prospecting licence or a miscellaneous licence —</w:t>
      </w:r>
    </w:p>
    <w:p>
      <w:pPr>
        <w:pStyle w:val="Indenti"/>
      </w:pPr>
      <w:r>
        <w:tab/>
        <w:t>(i)</w:t>
      </w:r>
      <w:r>
        <w:tab/>
        <w:t>by the mining registrar, or the warden, on the granting of the licence; or</w:t>
      </w:r>
    </w:p>
    <w:p>
      <w:pPr>
        <w:pStyle w:val="Indenti"/>
      </w:pPr>
      <w:r>
        <w:tab/>
        <w:t>(ii)</w:t>
      </w:r>
      <w:r>
        <w:tab/>
        <w:t>by the Minister on the granting of the licence or at any subsequent time;</w:t>
      </w:r>
    </w:p>
    <w:p>
      <w:pPr>
        <w:pStyle w:val="Indenta"/>
      </w:pPr>
      <w:r>
        <w:tab/>
      </w:r>
      <w:r>
        <w:tab/>
        <w:t>and</w:t>
      </w:r>
    </w:p>
    <w:p>
      <w:pPr>
        <w:pStyle w:val="Indenta"/>
      </w:pPr>
      <w:r>
        <w:tab/>
        <w:t>(b)</w:t>
      </w:r>
      <w:r>
        <w:tab/>
        <w:t>in any other case, by the Minister on the granting of the mining tenement or at any subsequent time.</w:t>
      </w:r>
    </w:p>
    <w:p>
      <w:pPr>
        <w:pStyle w:val="Subsection"/>
      </w:pPr>
      <w:r>
        <w:tab/>
        <w:t>(3)</w:t>
      </w:r>
      <w:r>
        <w:tab/>
        <w:t>A condition imposed under subsection (1) may be cancelled or varied by the Minister at any time.</w:t>
      </w:r>
    </w:p>
    <w:p>
      <w:pPr>
        <w:pStyle w:val="Subsection"/>
      </w:pPr>
      <w:r>
        <w:tab/>
        <w:t>(4)</w:t>
      </w:r>
      <w:r>
        <w:tab/>
        <w:t>The condition has effect for all purposes, whether or not the condition is endorsed on the mining tenement, on notice of the imposition of the condition being given in writing to the holder of the mining tenement.</w:t>
      </w:r>
    </w:p>
    <w:p>
      <w:pPr>
        <w:pStyle w:val="Subsection"/>
      </w:pPr>
      <w:r>
        <w:tab/>
        <w:t>(5)</w:t>
      </w:r>
      <w:r>
        <w:tab/>
        <w:t xml:space="preserve">Without limiting subsection (1), a condition may be imposed for the purpose of preventing mining operations being carried out </w:t>
      </w:r>
      <w:r>
        <w:lastRenderedPageBreak/>
        <w:t>within a specified distance of the natural surface of the land the subject of a mining tenement.</w:t>
      </w:r>
    </w:p>
    <w:p>
      <w:pPr>
        <w:pStyle w:val="Footnotesection"/>
      </w:pPr>
      <w:bookmarkStart w:id="253" w:name="_Toc115276317"/>
      <w:bookmarkStart w:id="254" w:name="_Toc115276397"/>
      <w:bookmarkStart w:id="255" w:name="_Toc115276477"/>
      <w:r>
        <w:tab/>
        <w:t>[Section 103AU inserted: No. 31 of 2022 s. 34.]</w:t>
      </w:r>
    </w:p>
    <w:p>
      <w:pPr>
        <w:pStyle w:val="Heading3"/>
      </w:pPr>
      <w:bookmarkStart w:id="256" w:name="_Toc207801141"/>
      <w:r>
        <w:rPr>
          <w:rStyle w:val="CharDivNo"/>
        </w:rPr>
        <w:t>Division 7</w:t>
      </w:r>
      <w:r>
        <w:t> — </w:t>
      </w:r>
      <w:r>
        <w:rPr>
          <w:rStyle w:val="CharDivText"/>
        </w:rPr>
        <w:t>Securities</w:t>
      </w:r>
      <w:bookmarkEnd w:id="253"/>
      <w:bookmarkEnd w:id="254"/>
      <w:bookmarkEnd w:id="255"/>
      <w:bookmarkEnd w:id="256"/>
    </w:p>
    <w:p>
      <w:pPr>
        <w:pStyle w:val="Footnoteheading"/>
        <w:keepNext/>
        <w:keepLines/>
        <w:rPr>
          <w:snapToGrid w:val="0"/>
        </w:rPr>
      </w:pPr>
      <w:bookmarkStart w:id="257" w:name="_Toc115276478"/>
      <w:r>
        <w:rPr>
          <w:snapToGrid w:val="0"/>
        </w:rPr>
        <w:tab/>
        <w:t>[Heading inserted: No. 31 of 2022 s. 34.]</w:t>
      </w:r>
    </w:p>
    <w:p>
      <w:pPr>
        <w:pStyle w:val="Heading5"/>
      </w:pPr>
      <w:bookmarkStart w:id="258" w:name="_Toc207801142"/>
      <w:r>
        <w:rPr>
          <w:rStyle w:val="CharSectno"/>
        </w:rPr>
        <w:t>103AV</w:t>
      </w:r>
      <w:r>
        <w:t>.</w:t>
      </w:r>
      <w:r>
        <w:tab/>
        <w:t>Security for compliance with conditions</w:t>
      </w:r>
      <w:bookmarkEnd w:id="257"/>
      <w:bookmarkEnd w:id="258"/>
      <w:r>
        <w:t xml:space="preserve"> </w:t>
      </w:r>
    </w:p>
    <w:p>
      <w:pPr>
        <w:pStyle w:val="Subsection"/>
      </w:pPr>
      <w:r>
        <w:tab/>
        <w:t>(1)</w:t>
      </w:r>
      <w:r>
        <w:tab/>
        <w:t>The Minister may require the holder of a mining tenement to lodge a security for compliance with any conditions imposed under section 103AO(4) or 103AU(1).</w:t>
      </w:r>
    </w:p>
    <w:p>
      <w:pPr>
        <w:pStyle w:val="Subsection"/>
      </w:pPr>
      <w:r>
        <w:tab/>
        <w:t>(2)</w:t>
      </w:r>
      <w:r>
        <w:tab/>
        <w:t xml:space="preserve">A security referred to in subsection (1) — </w:t>
      </w:r>
    </w:p>
    <w:p>
      <w:pPr>
        <w:pStyle w:val="Indenta"/>
      </w:pPr>
      <w:r>
        <w:tab/>
        <w:t>(a)</w:t>
      </w:r>
      <w:r>
        <w:tab/>
        <w:t>must be lodged in the prescribed manner and within the period specified in writing by the Minister; and</w:t>
      </w:r>
    </w:p>
    <w:p>
      <w:pPr>
        <w:pStyle w:val="Indenta"/>
      </w:pPr>
      <w:r>
        <w:tab/>
        <w:t>(b)</w:t>
      </w:r>
      <w:r>
        <w:tab/>
        <w:t>is subject to the provisions of section 126.</w:t>
      </w:r>
    </w:p>
    <w:p>
      <w:pPr>
        <w:pStyle w:val="Footnotesection"/>
      </w:pPr>
      <w:r>
        <w:tab/>
        <w:t>[Section 103AV inserted: No. 31 of 2022 s. 34.]</w:t>
      </w:r>
    </w:p>
    <w:p>
      <w:pPr>
        <w:pStyle w:val="Heading2"/>
      </w:pPr>
      <w:bookmarkStart w:id="259" w:name="_Toc207365975"/>
      <w:bookmarkStart w:id="260" w:name="_Toc207801143"/>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59"/>
      <w:bookmarkEnd w:id="260"/>
    </w:p>
    <w:p>
      <w:pPr>
        <w:pStyle w:val="Footnoteheading"/>
        <w:rPr>
          <w:snapToGrid w:val="0"/>
        </w:rPr>
      </w:pPr>
      <w:r>
        <w:rPr>
          <w:snapToGrid w:val="0"/>
        </w:rPr>
        <w:tab/>
        <w:t>[Heading inserted: No. 54 of 1996 s. 15.]</w:t>
      </w:r>
    </w:p>
    <w:p>
      <w:pPr>
        <w:pStyle w:val="Heading5"/>
        <w:rPr>
          <w:snapToGrid w:val="0"/>
        </w:rPr>
      </w:pPr>
      <w:bookmarkStart w:id="261" w:name="_Toc207801144"/>
      <w:r>
        <w:rPr>
          <w:rStyle w:val="CharSectno"/>
        </w:rPr>
        <w:t>103A</w:t>
      </w:r>
      <w:r>
        <w:rPr>
          <w:snapToGrid w:val="0"/>
        </w:rPr>
        <w:t>.</w:t>
      </w:r>
      <w:r>
        <w:rPr>
          <w:snapToGrid w:val="0"/>
        </w:rPr>
        <w:tab/>
        <w:t>Terms used</w:t>
      </w:r>
      <w:bookmarkEnd w:id="26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62" w:name="_Toc207801145"/>
      <w:r>
        <w:rPr>
          <w:rStyle w:val="CharSectno"/>
        </w:rPr>
        <w:t>103B</w:t>
      </w:r>
      <w:r>
        <w:rPr>
          <w:snapToGrid w:val="0"/>
        </w:rPr>
        <w:t>.</w:t>
      </w:r>
      <w:r>
        <w:rPr>
          <w:snapToGrid w:val="0"/>
        </w:rPr>
        <w:tab/>
        <w:t>Authorised officers</w:t>
      </w:r>
      <w:bookmarkEnd w:id="26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63" w:name="_Toc207801146"/>
      <w:r>
        <w:rPr>
          <w:rStyle w:val="CharSectno"/>
        </w:rPr>
        <w:t>103C</w:t>
      </w:r>
      <w:r>
        <w:rPr>
          <w:snapToGrid w:val="0"/>
        </w:rPr>
        <w:t>.</w:t>
      </w:r>
      <w:r>
        <w:rPr>
          <w:snapToGrid w:val="0"/>
        </w:rPr>
        <w:tab/>
        <w:t>Registration</w:t>
      </w:r>
      <w:bookmarkEnd w:id="26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264" w:name="_Toc207801147"/>
      <w:r>
        <w:rPr>
          <w:rStyle w:val="CharSectno"/>
        </w:rPr>
        <w:t>103D</w:t>
      </w:r>
      <w:r>
        <w:rPr>
          <w:snapToGrid w:val="0"/>
        </w:rPr>
        <w:t>.</w:t>
      </w:r>
      <w:r>
        <w:rPr>
          <w:snapToGrid w:val="0"/>
        </w:rPr>
        <w:tab/>
        <w:t>Provisional lodgment</w:t>
      </w:r>
      <w:bookmarkEnd w:id="26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65" w:name="_Toc207801148"/>
      <w:r>
        <w:rPr>
          <w:rStyle w:val="CharSectno"/>
        </w:rPr>
        <w:t>103EA</w:t>
      </w:r>
      <w:r>
        <w:t>.</w:t>
      </w:r>
      <w:r>
        <w:tab/>
        <w:t>Memorial for unpaid tax</w:t>
      </w:r>
      <w:bookmarkEnd w:id="26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 amended: No. 31 of 2022 s. 35.]</w:t>
      </w:r>
    </w:p>
    <w:p>
      <w:pPr>
        <w:pStyle w:val="Heading5"/>
        <w:rPr>
          <w:snapToGrid w:val="0"/>
        </w:rPr>
      </w:pPr>
      <w:bookmarkStart w:id="266" w:name="_Toc207801149"/>
      <w:r>
        <w:rPr>
          <w:rStyle w:val="CharSectno"/>
        </w:rPr>
        <w:t>103E</w:t>
      </w:r>
      <w:r>
        <w:rPr>
          <w:snapToGrid w:val="0"/>
        </w:rPr>
        <w:t>.</w:t>
      </w:r>
      <w:r>
        <w:rPr>
          <w:snapToGrid w:val="0"/>
        </w:rPr>
        <w:tab/>
        <w:t>Priority of dealings</w:t>
      </w:r>
      <w:bookmarkEnd w:id="26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67" w:name="_Toc207801150"/>
      <w:r>
        <w:rPr>
          <w:rStyle w:val="CharSectno"/>
        </w:rPr>
        <w:t>103F</w:t>
      </w:r>
      <w:r>
        <w:rPr>
          <w:snapToGrid w:val="0"/>
        </w:rPr>
        <w:t>.</w:t>
      </w:r>
      <w:r>
        <w:rPr>
          <w:snapToGrid w:val="0"/>
        </w:rPr>
        <w:tab/>
        <w:t>Register</w:t>
      </w:r>
      <w:bookmarkEnd w:id="26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68" w:name="_Toc207801151"/>
      <w:r>
        <w:rPr>
          <w:rStyle w:val="CharSectno"/>
        </w:rPr>
        <w:t>103G</w:t>
      </w:r>
      <w:r>
        <w:rPr>
          <w:snapToGrid w:val="0"/>
        </w:rPr>
        <w:t>.</w:t>
      </w:r>
      <w:r>
        <w:rPr>
          <w:snapToGrid w:val="0"/>
        </w:rPr>
        <w:tab/>
        <w:t>Amendment of register</w:t>
      </w:r>
      <w:bookmarkEnd w:id="26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69" w:name="_Toc207801152"/>
      <w:r>
        <w:rPr>
          <w:rStyle w:val="CharSectno"/>
        </w:rPr>
        <w:t>103H</w:t>
      </w:r>
      <w:r>
        <w:rPr>
          <w:snapToGrid w:val="0"/>
        </w:rPr>
        <w:t>.</w:t>
      </w:r>
      <w:r>
        <w:rPr>
          <w:snapToGrid w:val="0"/>
        </w:rPr>
        <w:tab/>
        <w:t>Regulations relating to register</w:t>
      </w:r>
      <w:bookmarkEnd w:id="2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70" w:name="_Toc207365985"/>
      <w:bookmarkStart w:id="271" w:name="_Toc207801153"/>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70"/>
      <w:bookmarkEnd w:id="271"/>
    </w:p>
    <w:p>
      <w:pPr>
        <w:pStyle w:val="Heading5"/>
        <w:rPr>
          <w:snapToGrid w:val="0"/>
        </w:rPr>
      </w:pPr>
      <w:bookmarkStart w:id="272" w:name="_Toc207801154"/>
      <w:r>
        <w:rPr>
          <w:rStyle w:val="CharSectno"/>
        </w:rPr>
        <w:t>104</w:t>
      </w:r>
      <w:r>
        <w:rPr>
          <w:snapToGrid w:val="0"/>
        </w:rPr>
        <w:t>.</w:t>
      </w:r>
      <w:r>
        <w:rPr>
          <w:snapToGrid w:val="0"/>
        </w:rPr>
        <w:tab/>
        <w:t>Entry on land for purpose of marking out, surveying etc.</w:t>
      </w:r>
      <w:bookmarkEnd w:id="27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73" w:name="_Toc207801155"/>
      <w:r>
        <w:rPr>
          <w:rStyle w:val="CharSectno"/>
        </w:rPr>
        <w:t>105</w:t>
      </w:r>
      <w:r>
        <w:rPr>
          <w:snapToGrid w:val="0"/>
        </w:rPr>
        <w:t>.</w:t>
      </w:r>
      <w:r>
        <w:rPr>
          <w:snapToGrid w:val="0"/>
        </w:rPr>
        <w:tab/>
        <w:t>Marking out of mining tenement</w:t>
      </w:r>
      <w:bookmarkEnd w:id="273"/>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74" w:name="_Toc207801156"/>
      <w:r>
        <w:rPr>
          <w:rStyle w:val="CharSectno"/>
        </w:rPr>
        <w:t>105A</w:t>
      </w:r>
      <w:r>
        <w:rPr>
          <w:snapToGrid w:val="0"/>
        </w:rPr>
        <w:t>.</w:t>
      </w:r>
      <w:r>
        <w:rPr>
          <w:snapToGrid w:val="0"/>
        </w:rPr>
        <w:tab/>
        <w:t>Priorities between applicants for certain tenements</w:t>
      </w:r>
      <w:bookmarkEnd w:id="274"/>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 No. 31 of 2022 s. 36.]</w:t>
      </w:r>
    </w:p>
    <w:p>
      <w:pPr>
        <w:pStyle w:val="Heading5"/>
        <w:rPr>
          <w:snapToGrid w:val="0"/>
        </w:rPr>
      </w:pPr>
      <w:bookmarkStart w:id="275" w:name="_Toc207801157"/>
      <w:r>
        <w:rPr>
          <w:rStyle w:val="CharSectno"/>
        </w:rPr>
        <w:t>105B</w:t>
      </w:r>
      <w:r>
        <w:rPr>
          <w:snapToGrid w:val="0"/>
        </w:rPr>
        <w:t>.</w:t>
      </w:r>
      <w:r>
        <w:rPr>
          <w:snapToGrid w:val="0"/>
        </w:rPr>
        <w:tab/>
        <w:t>Grant of tenement subject to survey</w:t>
      </w:r>
      <w:bookmarkEnd w:id="27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76" w:name="_Toc207801158"/>
      <w:r>
        <w:rPr>
          <w:rStyle w:val="CharSectno"/>
        </w:rPr>
        <w:t>106</w:t>
      </w:r>
      <w:r>
        <w:rPr>
          <w:snapToGrid w:val="0"/>
        </w:rPr>
        <w:t>.</w:t>
      </w:r>
      <w:r>
        <w:rPr>
          <w:snapToGrid w:val="0"/>
        </w:rPr>
        <w:tab/>
        <w:t>Offence of destroying marks or obstructing surveyor etc.</w:t>
      </w:r>
      <w:bookmarkEnd w:id="27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77" w:name="_Toc207801159"/>
      <w:r>
        <w:rPr>
          <w:rStyle w:val="CharSectno"/>
        </w:rPr>
        <w:t>107</w:t>
      </w:r>
      <w:r>
        <w:rPr>
          <w:snapToGrid w:val="0"/>
        </w:rPr>
        <w:t>.</w:t>
      </w:r>
      <w:r>
        <w:rPr>
          <w:snapToGrid w:val="0"/>
        </w:rPr>
        <w:tab/>
        <w:t>Areas covered by water not required to be marked out</w:t>
      </w:r>
      <w:bookmarkEnd w:id="27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78" w:name="_Toc207801160"/>
      <w:r>
        <w:rPr>
          <w:rStyle w:val="CharSectno"/>
        </w:rPr>
        <w:t>108</w:t>
      </w:r>
      <w:r>
        <w:rPr>
          <w:snapToGrid w:val="0"/>
        </w:rPr>
        <w:t>.</w:t>
      </w:r>
      <w:r>
        <w:rPr>
          <w:snapToGrid w:val="0"/>
        </w:rPr>
        <w:tab/>
        <w:t>Rent payable for mining tenement</w:t>
      </w:r>
      <w:bookmarkEnd w:id="27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Ednotesection"/>
      </w:pPr>
      <w:r>
        <w:t>[</w:t>
      </w:r>
      <w:r>
        <w:rPr>
          <w:b/>
          <w:bCs/>
        </w:rPr>
        <w:t>109, 109A.</w:t>
      </w:r>
      <w:r>
        <w:tab/>
        <w:t>Deleted: No. 7 of 2025 s. 10.]</w:t>
      </w:r>
    </w:p>
    <w:p>
      <w:pPr>
        <w:pStyle w:val="Heading5"/>
        <w:spacing w:before="180"/>
        <w:rPr>
          <w:snapToGrid w:val="0"/>
        </w:rPr>
      </w:pPr>
      <w:bookmarkStart w:id="279" w:name="_Toc207801161"/>
      <w:r>
        <w:rPr>
          <w:rStyle w:val="CharSectno"/>
        </w:rPr>
        <w:t>110</w:t>
      </w:r>
      <w:r>
        <w:rPr>
          <w:snapToGrid w:val="0"/>
        </w:rPr>
        <w:t>.</w:t>
      </w:r>
      <w:r>
        <w:rPr>
          <w:snapToGrid w:val="0"/>
        </w:rPr>
        <w:tab/>
        <w:t>Mining lease restricted to certain minerals</w:t>
      </w:r>
      <w:bookmarkEnd w:id="27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80" w:name="_Toc207801162"/>
      <w:r>
        <w:rPr>
          <w:rStyle w:val="CharSectno"/>
        </w:rPr>
        <w:lastRenderedPageBreak/>
        <w:t>111</w:t>
      </w:r>
      <w:r>
        <w:rPr>
          <w:snapToGrid w:val="0"/>
        </w:rPr>
        <w:t>.</w:t>
      </w:r>
      <w:r>
        <w:rPr>
          <w:snapToGrid w:val="0"/>
        </w:rPr>
        <w:tab/>
        <w:t>Iron authorisations</w:t>
      </w:r>
      <w:bookmarkEnd w:id="280"/>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81" w:name="_Toc207801163"/>
      <w:r>
        <w:rPr>
          <w:rStyle w:val="CharSectno"/>
        </w:rPr>
        <w:t>111A</w:t>
      </w:r>
      <w:r>
        <w:rPr>
          <w:snapToGrid w:val="0"/>
        </w:rPr>
        <w:t>.</w:t>
      </w:r>
      <w:r>
        <w:rPr>
          <w:snapToGrid w:val="0"/>
        </w:rPr>
        <w:tab/>
        <w:t>Minister may terminate or summarily refuse certain applications</w:t>
      </w:r>
      <w:bookmarkEnd w:id="281"/>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lastRenderedPageBreak/>
        <w:tab/>
        <w:t>[Section 111A inserted: No. 58 of 1994 s. 44.]</w:t>
      </w:r>
    </w:p>
    <w:p>
      <w:pPr>
        <w:pStyle w:val="Heading5"/>
        <w:rPr>
          <w:snapToGrid w:val="0"/>
        </w:rPr>
      </w:pPr>
      <w:bookmarkStart w:id="282" w:name="_Toc207801164"/>
      <w:r>
        <w:rPr>
          <w:rStyle w:val="CharSectno"/>
        </w:rPr>
        <w:t>112</w:t>
      </w:r>
      <w:r>
        <w:rPr>
          <w:snapToGrid w:val="0"/>
        </w:rPr>
        <w:t>.</w:t>
      </w:r>
      <w:r>
        <w:rPr>
          <w:snapToGrid w:val="0"/>
        </w:rPr>
        <w:tab/>
        <w:t>Reservation in favour of Crown on prospecting licence or exploration licence to take rock etc.</w:t>
      </w:r>
      <w:bookmarkEnd w:id="28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83" w:name="_Toc207801165"/>
      <w:r>
        <w:rPr>
          <w:rStyle w:val="CharSectno"/>
        </w:rPr>
        <w:t>113</w:t>
      </w:r>
      <w:r>
        <w:rPr>
          <w:snapToGrid w:val="0"/>
        </w:rPr>
        <w:t>.</w:t>
      </w:r>
      <w:r>
        <w:rPr>
          <w:snapToGrid w:val="0"/>
        </w:rPr>
        <w:tab/>
        <w:t>Repossession of land on expiry, surrender or forfeiture of mining tenement</w:t>
      </w:r>
      <w:bookmarkEnd w:id="28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84" w:name="_Toc207801166"/>
      <w:r>
        <w:rPr>
          <w:rStyle w:val="CharSectno"/>
        </w:rPr>
        <w:lastRenderedPageBreak/>
        <w:t>114</w:t>
      </w:r>
      <w:r>
        <w:rPr>
          <w:snapToGrid w:val="0"/>
        </w:rPr>
        <w:t>.</w:t>
      </w:r>
      <w:r>
        <w:rPr>
          <w:snapToGrid w:val="0"/>
        </w:rPr>
        <w:tab/>
        <w:t>Removal of mining plant on expiry, surrender or forfeiture of mining tenement</w:t>
      </w:r>
      <w:bookmarkEnd w:id="28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85" w:name="_Toc207801167"/>
      <w:r>
        <w:rPr>
          <w:rStyle w:val="CharSectno"/>
        </w:rPr>
        <w:t>114A</w:t>
      </w:r>
      <w:r>
        <w:rPr>
          <w:snapToGrid w:val="0"/>
        </w:rPr>
        <w:t>.</w:t>
      </w:r>
      <w:r>
        <w:rPr>
          <w:snapToGrid w:val="0"/>
        </w:rPr>
        <w:tab/>
        <w:t>Rights conferred under mining tenement exercisable in respect of mining product belonging to Crown</w:t>
      </w:r>
      <w:bookmarkEnd w:id="28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86" w:name="_Toc207801168"/>
      <w:r>
        <w:rPr>
          <w:rStyle w:val="CharSectno"/>
        </w:rPr>
        <w:t>114B</w:t>
      </w:r>
      <w:r>
        <w:t>.</w:t>
      </w:r>
      <w:r>
        <w:tab/>
        <w:t>Continuation of liability after expiry, surrender or forfeiture of mining tenement</w:t>
      </w:r>
      <w:bookmarkEnd w:id="28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87" w:name="_Toc207801169"/>
      <w:r>
        <w:rPr>
          <w:rStyle w:val="CharSectno"/>
        </w:rPr>
        <w:t>114C</w:t>
      </w:r>
      <w:r>
        <w:t>.</w:t>
      </w:r>
      <w:r>
        <w:tab/>
        <w:t>Right to enter land to carry out remedial work after expiry, surrender or forfeiture of mining tenement</w:t>
      </w:r>
      <w:bookmarkEnd w:id="287"/>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88" w:name="_Toc207801170"/>
      <w:r>
        <w:rPr>
          <w:rStyle w:val="CharSectno"/>
        </w:rPr>
        <w:t>115</w:t>
      </w:r>
      <w:r>
        <w:rPr>
          <w:snapToGrid w:val="0"/>
        </w:rPr>
        <w:t>.</w:t>
      </w:r>
      <w:r>
        <w:rPr>
          <w:snapToGrid w:val="0"/>
        </w:rPr>
        <w:tab/>
        <w:t>Power to enter on land for surveys</w:t>
      </w:r>
      <w:bookmarkEnd w:id="28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89" w:name="_Toc207801171"/>
      <w:r>
        <w:rPr>
          <w:rStyle w:val="CharSectno"/>
        </w:rPr>
        <w:t>115A</w:t>
      </w:r>
      <w:r>
        <w:rPr>
          <w:snapToGrid w:val="0"/>
        </w:rPr>
        <w:t>.</w:t>
      </w:r>
      <w:r>
        <w:rPr>
          <w:snapToGrid w:val="0"/>
        </w:rPr>
        <w:tab/>
        <w:t>Mineral exploration reports</w:t>
      </w:r>
      <w:bookmarkEnd w:id="28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90" w:name="_Toc207801172"/>
      <w:r>
        <w:rPr>
          <w:rStyle w:val="CharSectno"/>
        </w:rPr>
        <w:t>115B</w:t>
      </w:r>
      <w:r>
        <w:t>.</w:t>
      </w:r>
      <w:r>
        <w:tab/>
        <w:t>Verification of expenditure amounts in operations reports</w:t>
      </w:r>
      <w:bookmarkEnd w:id="29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91" w:name="_Toc207801173"/>
      <w:r>
        <w:rPr>
          <w:rStyle w:val="CharSectno"/>
        </w:rPr>
        <w:t>116</w:t>
      </w:r>
      <w:r>
        <w:rPr>
          <w:snapToGrid w:val="0"/>
        </w:rPr>
        <w:t>.</w:t>
      </w:r>
      <w:r>
        <w:rPr>
          <w:snapToGrid w:val="0"/>
        </w:rPr>
        <w:tab/>
        <w:t>Instrument of licence or lease</w:t>
      </w:r>
      <w:bookmarkEnd w:id="291"/>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92" w:name="_Toc207801174"/>
      <w:r>
        <w:rPr>
          <w:rStyle w:val="CharSectno"/>
        </w:rPr>
        <w:t>117</w:t>
      </w:r>
      <w:r>
        <w:rPr>
          <w:snapToGrid w:val="0"/>
        </w:rPr>
        <w:t>.</w:t>
      </w:r>
      <w:r>
        <w:rPr>
          <w:snapToGrid w:val="0"/>
        </w:rPr>
        <w:tab/>
        <w:t>Mining tenements protected</w:t>
      </w:r>
      <w:bookmarkEnd w:id="29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93" w:name="_Toc207801175"/>
      <w:r>
        <w:rPr>
          <w:rStyle w:val="CharSectno"/>
        </w:rPr>
        <w:lastRenderedPageBreak/>
        <w:t>118</w:t>
      </w:r>
      <w:r>
        <w:rPr>
          <w:snapToGrid w:val="0"/>
        </w:rPr>
        <w:t>.</w:t>
      </w:r>
      <w:r>
        <w:rPr>
          <w:snapToGrid w:val="0"/>
        </w:rPr>
        <w:tab/>
      </w:r>
      <w:r>
        <w:t>Notice of application to be given to lessee of pastoral lease or diversification lease</w:t>
      </w:r>
      <w:bookmarkEnd w:id="293"/>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94" w:name="_Toc207801176"/>
      <w:r>
        <w:rPr>
          <w:rStyle w:val="CharSectno"/>
        </w:rPr>
        <w:t>118A</w:t>
      </w:r>
      <w:r>
        <w:t>.</w:t>
      </w:r>
      <w:r>
        <w:tab/>
        <w:t>Tenement holder may authorise mining by third party</w:t>
      </w:r>
      <w:bookmarkEnd w:id="29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95" w:name="_Toc207801177"/>
      <w:r>
        <w:rPr>
          <w:rStyle w:val="CharSectno"/>
        </w:rPr>
        <w:t>119</w:t>
      </w:r>
      <w:r>
        <w:rPr>
          <w:snapToGrid w:val="0"/>
        </w:rPr>
        <w:t>.</w:t>
      </w:r>
      <w:r>
        <w:rPr>
          <w:snapToGrid w:val="0"/>
        </w:rPr>
        <w:tab/>
        <w:t>Mining tenement may be sold, encumbered etc.</w:t>
      </w:r>
      <w:bookmarkEnd w:id="295"/>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96" w:name="_Toc207801178"/>
      <w:r>
        <w:rPr>
          <w:rStyle w:val="CharSectno"/>
        </w:rPr>
        <w:t>119A</w:t>
      </w:r>
      <w:r>
        <w:rPr>
          <w:snapToGrid w:val="0"/>
        </w:rPr>
        <w:t>.</w:t>
      </w:r>
      <w:r>
        <w:rPr>
          <w:snapToGrid w:val="0"/>
        </w:rPr>
        <w:tab/>
        <w:t>Mining tenement may be mortgaged</w:t>
      </w:r>
      <w:bookmarkEnd w:id="29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97" w:name="_Toc207801179"/>
      <w:r>
        <w:rPr>
          <w:rStyle w:val="CharSectno"/>
        </w:rPr>
        <w:t>120</w:t>
      </w:r>
      <w:r>
        <w:rPr>
          <w:snapToGrid w:val="0"/>
        </w:rPr>
        <w:t>.</w:t>
      </w:r>
      <w:r>
        <w:rPr>
          <w:snapToGrid w:val="0"/>
        </w:rPr>
        <w:tab/>
        <w:t>Planning schemes to be considered but not to derogate from this Act</w:t>
      </w:r>
      <w:bookmarkEnd w:id="297"/>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98" w:name="_Toc207801180"/>
      <w:r>
        <w:rPr>
          <w:rStyle w:val="CharSectno"/>
        </w:rPr>
        <w:lastRenderedPageBreak/>
        <w:t>120AA</w:t>
      </w:r>
      <w:r>
        <w:t>.</w:t>
      </w:r>
      <w:r>
        <w:tab/>
        <w:t>Scheme for reversion licence applications</w:t>
      </w:r>
      <w:bookmarkEnd w:id="298"/>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99" w:name="_Toc207366013"/>
      <w:bookmarkStart w:id="300" w:name="_Toc207801181"/>
      <w:r>
        <w:rPr>
          <w:rStyle w:val="CharPartNo"/>
        </w:rPr>
        <w:lastRenderedPageBreak/>
        <w:t>Part 5A</w:t>
      </w:r>
      <w:r>
        <w:t> — </w:t>
      </w:r>
      <w:r>
        <w:rPr>
          <w:rStyle w:val="CharPartText"/>
        </w:rPr>
        <w:t>Royalties</w:t>
      </w:r>
      <w:bookmarkEnd w:id="299"/>
      <w:bookmarkEnd w:id="300"/>
    </w:p>
    <w:p>
      <w:pPr>
        <w:pStyle w:val="Footnoteheading"/>
      </w:pPr>
      <w:r>
        <w:tab/>
        <w:t>[Heading inserted: No. 7 of 2025 s. 11.]</w:t>
      </w:r>
    </w:p>
    <w:p>
      <w:pPr>
        <w:pStyle w:val="Heading3"/>
      </w:pPr>
      <w:bookmarkStart w:id="301" w:name="_Toc207366014"/>
      <w:bookmarkStart w:id="302" w:name="_Toc207801182"/>
      <w:r>
        <w:rPr>
          <w:rStyle w:val="CharDivNo"/>
        </w:rPr>
        <w:t>Division 1</w:t>
      </w:r>
      <w:r>
        <w:t> — </w:t>
      </w:r>
      <w:r>
        <w:rPr>
          <w:rStyle w:val="CharDivText"/>
        </w:rPr>
        <w:t>General provisions about royalties</w:t>
      </w:r>
      <w:bookmarkEnd w:id="301"/>
      <w:bookmarkEnd w:id="302"/>
    </w:p>
    <w:p>
      <w:pPr>
        <w:pStyle w:val="Footnoteheading"/>
      </w:pPr>
      <w:r>
        <w:tab/>
        <w:t>[Heading inserted: No. 7 of 2025 s. 11.]</w:t>
      </w:r>
    </w:p>
    <w:p>
      <w:pPr>
        <w:pStyle w:val="Heading5"/>
      </w:pPr>
      <w:bookmarkStart w:id="303" w:name="_Toc207801183"/>
      <w:r>
        <w:rPr>
          <w:rStyle w:val="CharSectno"/>
        </w:rPr>
        <w:t>120A</w:t>
      </w:r>
      <w:r>
        <w:t>.</w:t>
      </w:r>
      <w:r>
        <w:tab/>
        <w:t>Terms used</w:t>
      </w:r>
      <w:bookmarkEnd w:id="303"/>
    </w:p>
    <w:p>
      <w:pPr>
        <w:pStyle w:val="Subsection"/>
      </w:pPr>
      <w:r>
        <w:tab/>
        <w:t>(1)</w:t>
      </w:r>
      <w:r>
        <w:tab/>
        <w:t xml:space="preserve">In this Part — </w:t>
      </w:r>
    </w:p>
    <w:p>
      <w:pPr>
        <w:pStyle w:val="Defstart"/>
      </w:pPr>
      <w:r>
        <w:tab/>
      </w:r>
      <w:r>
        <w:rPr>
          <w:rStyle w:val="CharDefText"/>
        </w:rPr>
        <w:t>information</w:t>
      </w:r>
      <w:r>
        <w:t xml:space="preserve"> includes — </w:t>
      </w:r>
    </w:p>
    <w:p>
      <w:pPr>
        <w:pStyle w:val="Defpara"/>
      </w:pPr>
      <w:r>
        <w:tab/>
        <w:t>(a)</w:t>
      </w:r>
      <w:r>
        <w:tab/>
        <w:t>accounting or other records; and</w:t>
      </w:r>
    </w:p>
    <w:p>
      <w:pPr>
        <w:pStyle w:val="Defpara"/>
      </w:pPr>
      <w:r>
        <w:tab/>
        <w:t>(b)</w:t>
      </w:r>
      <w:r>
        <w:tab/>
        <w:t>a document;</w:t>
      </w:r>
    </w:p>
    <w:p>
      <w:pPr>
        <w:pStyle w:val="Defstart"/>
      </w:pPr>
      <w:r>
        <w:tab/>
      </w:r>
      <w:r>
        <w:rPr>
          <w:rStyle w:val="CharDefText"/>
        </w:rPr>
        <w:t>investigator</w:t>
      </w:r>
      <w:r>
        <w:t xml:space="preserve"> — </w:t>
      </w:r>
    </w:p>
    <w:p>
      <w:pPr>
        <w:pStyle w:val="Defpara"/>
      </w:pPr>
      <w:r>
        <w:tab/>
        <w:t>(a)</w:t>
      </w:r>
      <w:r>
        <w:tab/>
        <w:t>means a person appointed to be an investigator under section 120J(1); and</w:t>
      </w:r>
    </w:p>
    <w:p>
      <w:pPr>
        <w:pStyle w:val="Defpara"/>
      </w:pPr>
      <w:r>
        <w:tab/>
        <w:t>(b)</w:t>
      </w:r>
      <w:r>
        <w:tab/>
        <w:t>if section 120J(2) applies — includes the Commissioner of State Revenue;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royalty investigation purpose</w:t>
      </w:r>
      <w:r>
        <w:t xml:space="preserve"> has the meaning given in section 120I(2);</w:t>
      </w:r>
    </w:p>
    <w:p>
      <w:pPr>
        <w:pStyle w:val="Defstart"/>
      </w:pPr>
      <w:r>
        <w:tab/>
      </w:r>
      <w:r>
        <w:rPr>
          <w:rStyle w:val="CharDefText"/>
        </w:rPr>
        <w:t>royalty payer</w:t>
      </w:r>
      <w:r>
        <w:t xml:space="preserve"> means a person who is, or may be, liable to pay a royalty for a mineral.</w:t>
      </w:r>
    </w:p>
    <w:p>
      <w:pPr>
        <w:pStyle w:val="Subsection"/>
      </w:pPr>
      <w:r>
        <w:tab/>
        <w:t>(2)</w:t>
      </w:r>
      <w:r>
        <w:tab/>
        <w:t>In this Part, a reference to a mineral includes a reference to a material containing that mineral.</w:t>
      </w:r>
    </w:p>
    <w:p>
      <w:pPr>
        <w:pStyle w:val="Subsection"/>
      </w:pPr>
      <w:r>
        <w:tab/>
        <w:t>(3)</w:t>
      </w:r>
      <w:r>
        <w:tab/>
        <w:t>In Divisions 2 to 4, a reference to a royalty for a mineral includes a reference to additional rent (as defined in section 120E(1)) payable for the mining tenement from which the mineral is obtained.</w:t>
      </w:r>
    </w:p>
    <w:p>
      <w:pPr>
        <w:pStyle w:val="Footnotesection"/>
        <w:ind w:left="890" w:hanging="890"/>
      </w:pPr>
      <w:r>
        <w:lastRenderedPageBreak/>
        <w:tab/>
        <w:t>[Section 120A inserted: No. 7 of 2025 s. 11.]</w:t>
      </w:r>
    </w:p>
    <w:p>
      <w:pPr>
        <w:pStyle w:val="Heading5"/>
      </w:pPr>
      <w:bookmarkStart w:id="304" w:name="_Toc207801184"/>
      <w:r>
        <w:rPr>
          <w:rStyle w:val="CharSectno"/>
        </w:rPr>
        <w:t>120B</w:t>
      </w:r>
      <w:r>
        <w:t>.</w:t>
      </w:r>
      <w:r>
        <w:tab/>
        <w:t>Royalty payable</w:t>
      </w:r>
      <w:bookmarkEnd w:id="304"/>
    </w:p>
    <w:p>
      <w:pPr>
        <w:pStyle w:val="Subsection"/>
      </w:pPr>
      <w:r>
        <w:tab/>
      </w:r>
      <w:r>
        <w:tab/>
        <w:t>A royalty is payable to the State for a mineral obtained from a mining tenement, or from land the subject of an application for a mining tenement, as prescribed, including at the rate prescribed.</w:t>
      </w:r>
    </w:p>
    <w:p>
      <w:pPr>
        <w:pStyle w:val="Footnotesection"/>
        <w:ind w:left="890" w:hanging="890"/>
      </w:pPr>
      <w:r>
        <w:tab/>
        <w:t>[Section 120B inserted: No. 7 of 2025 s. 11.]</w:t>
      </w:r>
    </w:p>
    <w:p>
      <w:pPr>
        <w:pStyle w:val="Heading5"/>
      </w:pPr>
      <w:bookmarkStart w:id="305" w:name="_Toc207801185"/>
      <w:r>
        <w:rPr>
          <w:rStyle w:val="CharSectno"/>
        </w:rPr>
        <w:t>120C</w:t>
      </w:r>
      <w:r>
        <w:t>.</w:t>
      </w:r>
      <w:r>
        <w:tab/>
        <w:t>Prescription of royalty</w:t>
      </w:r>
      <w:bookmarkEnd w:id="305"/>
    </w:p>
    <w:p>
      <w:pPr>
        <w:pStyle w:val="Subsection"/>
      </w:pPr>
      <w:r>
        <w:tab/>
      </w:r>
      <w:r>
        <w:tab/>
        <w:t xml:space="preserve">The regulations may deal with the royalties payable for a mineral, including by dealing with the following matters — </w:t>
      </w:r>
    </w:p>
    <w:p>
      <w:pPr>
        <w:pStyle w:val="Indenta"/>
      </w:pPr>
      <w:r>
        <w:tab/>
        <w:t>(a)</w:t>
      </w:r>
      <w:r>
        <w:tab/>
        <w:t>prescribing how, when and by whom a royalty for a mineral is payable;</w:t>
      </w:r>
    </w:p>
    <w:p>
      <w:pPr>
        <w:pStyle w:val="Indenta"/>
      </w:pPr>
      <w:r>
        <w:tab/>
        <w:t>(b)</w:t>
      </w:r>
      <w:r>
        <w:tab/>
        <w:t xml:space="preserve">prescribing the rate of royalty, or basis for calculating the royalty, payable for a mineral or class of mineral; </w:t>
      </w:r>
    </w:p>
    <w:p>
      <w:pPr>
        <w:pStyle w:val="Indenta"/>
      </w:pPr>
      <w:r>
        <w:tab/>
        <w:t>(c)</w:t>
      </w:r>
      <w:r>
        <w:tab/>
        <w:t>prescribing different rates of royalty, or different bases for calculating a royalty, for different minerals or classes of mineral;</w:t>
      </w:r>
    </w:p>
    <w:p>
      <w:pPr>
        <w:pStyle w:val="Indenta"/>
      </w:pPr>
      <w:r>
        <w:tab/>
        <w:t>(d)</w:t>
      </w:r>
      <w:r>
        <w:tab/>
        <w:t>for the purposes of calculating the rate of royalty payable, authorising the Minister to decide the method for valuing a mineral or class of mineral;</w:t>
      </w:r>
    </w:p>
    <w:p>
      <w:pPr>
        <w:pStyle w:val="Indenta"/>
      </w:pPr>
      <w:r>
        <w:tab/>
        <w:t>(e)</w:t>
      </w:r>
      <w:r>
        <w:tab/>
        <w:t>authorising the Minister to decide the rate of royalty, or basis for calculating the royalty, for a mineral that applies in prescribed circumstances;</w:t>
      </w:r>
    </w:p>
    <w:p>
      <w:pPr>
        <w:pStyle w:val="Indenta"/>
      </w:pPr>
      <w:r>
        <w:tab/>
        <w:t>(f)</w:t>
      </w:r>
      <w:r>
        <w:tab/>
        <w:t xml:space="preserve">exempting a person, or class of persons, from paying a royalty for a mineral — </w:t>
      </w:r>
    </w:p>
    <w:p>
      <w:pPr>
        <w:pStyle w:val="Indenti"/>
      </w:pPr>
      <w:r>
        <w:tab/>
        <w:t>(i)</w:t>
      </w:r>
      <w:r>
        <w:tab/>
        <w:t>subject to conditions or unconditionally; or</w:t>
      </w:r>
    </w:p>
    <w:p>
      <w:pPr>
        <w:pStyle w:val="Indenti"/>
      </w:pPr>
      <w:r>
        <w:tab/>
        <w:t>(ii)</w:t>
      </w:r>
      <w:r>
        <w:tab/>
        <w:t>generally or in a specified case or class of case; or</w:t>
      </w:r>
    </w:p>
    <w:p>
      <w:pPr>
        <w:pStyle w:val="Indenti"/>
      </w:pPr>
      <w:r>
        <w:tab/>
        <w:t>(iii)</w:t>
      </w:r>
      <w:r>
        <w:tab/>
        <w:t>wholly or to a specified extent;</w:t>
      </w:r>
    </w:p>
    <w:p>
      <w:pPr>
        <w:pStyle w:val="Indenta"/>
        <w:rPr>
          <w:snapToGrid w:val="0"/>
        </w:rPr>
      </w:pPr>
      <w:r>
        <w:lastRenderedPageBreak/>
        <w:tab/>
        <w:t>(g)</w:t>
      </w:r>
      <w:r>
        <w:tab/>
      </w:r>
      <w:r>
        <w:rPr>
          <w:snapToGrid w:val="0"/>
        </w:rPr>
        <w:t>providing that contravention of a regulation relating to royalties, or providing information relevant to the assessment and calculation of a royalty, is an offence.</w:t>
      </w:r>
    </w:p>
    <w:p>
      <w:pPr>
        <w:pStyle w:val="PermNoteHeading"/>
      </w:pPr>
      <w:r>
        <w:tab/>
        <w:t>Example for this section:</w:t>
      </w:r>
    </w:p>
    <w:p>
      <w:pPr>
        <w:pStyle w:val="PermNoteText"/>
      </w:pPr>
      <w:r>
        <w:tab/>
      </w:r>
      <w:r>
        <w:tab/>
        <w:t>For the purposes of paragraph (d), a method for valuing a mineral is to value the mineral using the fair market price of the mineral in the form in which it is first sold.</w:t>
      </w:r>
    </w:p>
    <w:p>
      <w:pPr>
        <w:pStyle w:val="Footnotesection"/>
        <w:ind w:left="890" w:hanging="890"/>
      </w:pPr>
      <w:r>
        <w:tab/>
        <w:t>[Section 120C inserted: No. 7 of 2025 s. 11.]</w:t>
      </w:r>
    </w:p>
    <w:p>
      <w:pPr>
        <w:pStyle w:val="Heading5"/>
      </w:pPr>
      <w:bookmarkStart w:id="306" w:name="_Toc207801186"/>
      <w:r>
        <w:rPr>
          <w:rStyle w:val="CharSectno"/>
        </w:rPr>
        <w:t>120D</w:t>
      </w:r>
      <w:r>
        <w:t>.</w:t>
      </w:r>
      <w:r>
        <w:tab/>
        <w:t>Requirement for royalty return</w:t>
      </w:r>
      <w:bookmarkEnd w:id="306"/>
    </w:p>
    <w:p>
      <w:pPr>
        <w:pStyle w:val="Subsection"/>
      </w:pPr>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p>
    <w:p>
      <w:pPr>
        <w:pStyle w:val="Subsection"/>
      </w:pPr>
      <w:r>
        <w:tab/>
        <w:t>(2)</w:t>
      </w:r>
      <w:r>
        <w:tab/>
        <w:t>The royalty return must comply with, and be lodged in the way required by, the regulations.</w:t>
      </w:r>
    </w:p>
    <w:p>
      <w:pPr>
        <w:pStyle w:val="Footnotesection"/>
        <w:ind w:left="890" w:hanging="890"/>
      </w:pPr>
      <w:r>
        <w:tab/>
        <w:t>[Section 120D inserted: No. 7 of 2025 s. 11.]</w:t>
      </w:r>
    </w:p>
    <w:p>
      <w:pPr>
        <w:pStyle w:val="Heading5"/>
      </w:pPr>
      <w:bookmarkStart w:id="307" w:name="_Toc207801187"/>
      <w:r>
        <w:rPr>
          <w:rStyle w:val="CharSectno"/>
        </w:rPr>
        <w:t>120E</w:t>
      </w:r>
      <w:r>
        <w:t>.</w:t>
      </w:r>
      <w:r>
        <w:tab/>
        <w:t>Additional rent payable for mining tenement</w:t>
      </w:r>
      <w:bookmarkEnd w:id="307"/>
    </w:p>
    <w:p>
      <w:pPr>
        <w:pStyle w:val="Subsection"/>
      </w:pPr>
      <w:r>
        <w:tab/>
        <w:t>(1)</w:t>
      </w:r>
      <w:r>
        <w:tab/>
        <w:t>Rent for a mining tenement (</w:t>
      </w:r>
      <w:r>
        <w:rPr>
          <w:rStyle w:val="CharDefText"/>
        </w:rPr>
        <w:t>additional rent</w:t>
      </w:r>
      <w:r>
        <w:t>) is payable to the State as prescribed, including at the rate prescribed, in addition to the rent payable for the tenement under section 108.</w:t>
      </w:r>
    </w:p>
    <w:p>
      <w:pPr>
        <w:pStyle w:val="Subsection"/>
      </w:pPr>
      <w:r>
        <w:tab/>
        <w:t>(2)</w:t>
      </w:r>
      <w:r>
        <w:tab/>
        <w:t xml:space="preserve">The regulations may deal with the additional rent payable for a mining tenement, including by — </w:t>
      </w:r>
    </w:p>
    <w:p>
      <w:pPr>
        <w:pStyle w:val="Indenta"/>
      </w:pPr>
      <w:r>
        <w:tab/>
        <w:t>(a)</w:t>
      </w:r>
      <w:r>
        <w:tab/>
        <w:t>prescribing how, when and by whom the additional rent is payable; and</w:t>
      </w:r>
    </w:p>
    <w:p>
      <w:pPr>
        <w:pStyle w:val="Indenta"/>
      </w:pPr>
      <w:r>
        <w:tab/>
        <w:t>(b)</w:t>
      </w:r>
      <w:r>
        <w:tab/>
        <w:t>prescribing the rate of the additional rent.</w:t>
      </w:r>
    </w:p>
    <w:p>
      <w:pPr>
        <w:pStyle w:val="Subsection"/>
      </w:pPr>
      <w:r>
        <w:tab/>
        <w:t>(3)</w:t>
      </w:r>
      <w:r>
        <w:tab/>
        <w:t>Regulations prescribing the rate of additional rent under subsection (2)(b) must provide for the additional rent to be calculated, wholly or partly, by reference to the quantity or value of the mineral obtained from the tenement.</w:t>
      </w:r>
    </w:p>
    <w:p>
      <w:pPr>
        <w:pStyle w:val="Subsection"/>
      </w:pPr>
      <w:r>
        <w:lastRenderedPageBreak/>
        <w:tab/>
        <w:t>(4)</w:t>
      </w:r>
      <w:r>
        <w:tab/>
        <w:t>A person who is required, under the regulations, to pay additional rent for a mining tenement must lodge a return in relation to the rent.</w:t>
      </w:r>
    </w:p>
    <w:p>
      <w:pPr>
        <w:pStyle w:val="Subsection"/>
      </w:pPr>
      <w:r>
        <w:tab/>
        <w:t>(5)</w:t>
      </w:r>
      <w:r>
        <w:tab/>
        <w:t>The return must comply with, and be lodged in the way required by, the regulations.</w:t>
      </w:r>
    </w:p>
    <w:p>
      <w:pPr>
        <w:pStyle w:val="Footnotesection"/>
        <w:ind w:left="890" w:hanging="890"/>
      </w:pPr>
      <w:r>
        <w:tab/>
        <w:t>[Section 120E inserted: No. 7 of 2025 s. 11.]</w:t>
      </w:r>
    </w:p>
    <w:p>
      <w:pPr>
        <w:pStyle w:val="Heading3"/>
      </w:pPr>
      <w:bookmarkStart w:id="308" w:name="_Toc207366020"/>
      <w:bookmarkStart w:id="309" w:name="_Toc207801188"/>
      <w:r>
        <w:rPr>
          <w:rStyle w:val="CharDivNo"/>
        </w:rPr>
        <w:t>Division 2</w:t>
      </w:r>
      <w:r>
        <w:t> — </w:t>
      </w:r>
      <w:r>
        <w:rPr>
          <w:rStyle w:val="CharDivText"/>
        </w:rPr>
        <w:t>Verification of royalties payable</w:t>
      </w:r>
      <w:bookmarkEnd w:id="308"/>
      <w:bookmarkEnd w:id="309"/>
    </w:p>
    <w:p>
      <w:pPr>
        <w:pStyle w:val="Footnoteheading"/>
      </w:pPr>
      <w:r>
        <w:tab/>
        <w:t>[Heading inserted: No. 7 of 2025 s. 11.]</w:t>
      </w:r>
    </w:p>
    <w:p>
      <w:pPr>
        <w:pStyle w:val="Heading5"/>
      </w:pPr>
      <w:bookmarkStart w:id="310" w:name="_Toc207801189"/>
      <w:r>
        <w:rPr>
          <w:rStyle w:val="CharSectno"/>
        </w:rPr>
        <w:t>120F</w:t>
      </w:r>
      <w:r>
        <w:t>.</w:t>
      </w:r>
      <w:r>
        <w:tab/>
        <w:t>Determination of royalty</w:t>
      </w:r>
      <w:bookmarkEnd w:id="310"/>
    </w:p>
    <w:p>
      <w:pPr>
        <w:pStyle w:val="Subsection"/>
      </w:pPr>
      <w:r>
        <w:tab/>
        <w:t>(1)</w:t>
      </w:r>
      <w:r>
        <w:tab/>
        <w:t xml:space="preserve">This section applies if the Minister is satisfied — </w:t>
      </w:r>
    </w:p>
    <w:p>
      <w:pPr>
        <w:pStyle w:val="Indenta"/>
      </w:pPr>
      <w:r>
        <w:tab/>
        <w:t>(a)</w:t>
      </w:r>
      <w:r>
        <w:tab/>
        <w:t>a royalty has not been paid; or</w:t>
      </w:r>
    </w:p>
    <w:p>
      <w:pPr>
        <w:pStyle w:val="Indenta"/>
      </w:pPr>
      <w:r>
        <w:tab/>
        <w:t>(b)</w:t>
      </w:r>
      <w:r>
        <w:tab/>
        <w:t>the amount of a royalty was not properly assessed or calculated.</w:t>
      </w:r>
    </w:p>
    <w:p>
      <w:pPr>
        <w:pStyle w:val="Subsection"/>
      </w:pPr>
      <w:r>
        <w:tab/>
        <w:t>(2)</w:t>
      </w:r>
      <w:r>
        <w:tab/>
        <w:t>The Minister may determine the amount of the royalty, taking into account the information available to the Minister.</w:t>
      </w:r>
    </w:p>
    <w:p>
      <w:pPr>
        <w:pStyle w:val="Subsection"/>
      </w:pPr>
      <w:r>
        <w:tab/>
        <w:t>(3)</w:t>
      </w:r>
      <w:r>
        <w:tab/>
        <w:t>The Minister may base a determination under subsection (2) on an estimate of the amount of the royalty if the Minister is satisfied that the information available to make a determination is inadequate or unreliable.</w:t>
      </w:r>
    </w:p>
    <w:p>
      <w:pPr>
        <w:pStyle w:val="Subsection"/>
      </w:pPr>
      <w:r>
        <w:tab/>
        <w:t>(4)</w:t>
      </w:r>
      <w:r>
        <w:tab/>
        <w:t xml:space="preserve">Before finalising the determination, the Minister must give a royalty payer a notice — </w:t>
      </w:r>
    </w:p>
    <w:p>
      <w:pPr>
        <w:pStyle w:val="Indenta"/>
      </w:pPr>
      <w:r>
        <w:tab/>
        <w:t>(a)</w:t>
      </w:r>
      <w:r>
        <w:tab/>
        <w:t>stating that the Minister is determining the amount of the royalty under this section; and</w:t>
      </w:r>
    </w:p>
    <w:p>
      <w:pPr>
        <w:pStyle w:val="Indenta"/>
      </w:pPr>
      <w:r>
        <w:tab/>
        <w:t>(b)</w:t>
      </w:r>
      <w:r>
        <w:tab/>
        <w:t>setting out the way in which the Minister proposes to determine the amount; and</w:t>
      </w:r>
    </w:p>
    <w:p>
      <w:pPr>
        <w:pStyle w:val="Indenta"/>
      </w:pPr>
      <w:r>
        <w:tab/>
        <w:t>(c)</w:t>
      </w:r>
      <w:r>
        <w:tab/>
        <w:t>inviting the person to make submissions about the proposed determination on or before the day specified in the notice.</w:t>
      </w:r>
    </w:p>
    <w:p>
      <w:pPr>
        <w:pStyle w:val="Subsection"/>
      </w:pPr>
      <w:r>
        <w:lastRenderedPageBreak/>
        <w:tab/>
        <w:t>(5)</w:t>
      </w:r>
      <w:r>
        <w:tab/>
        <w:t>On making the determination, the Minister must consider any submissions made by the royalty payer on or before the specified day.</w:t>
      </w:r>
    </w:p>
    <w:p>
      <w:pPr>
        <w:pStyle w:val="Subsection"/>
      </w:pPr>
      <w:r>
        <w:tab/>
        <w:t>(6)</w:t>
      </w:r>
      <w:r>
        <w:tab/>
        <w:t>The Minister may determine the amount of the royalty under this section even if the Minister accepts a certificate about the determination of the royalty given to the Minister under section 120H.</w:t>
      </w:r>
    </w:p>
    <w:p>
      <w:pPr>
        <w:pStyle w:val="Footnotesection"/>
        <w:ind w:left="890" w:hanging="890"/>
      </w:pPr>
      <w:r>
        <w:tab/>
        <w:t>[Section 120F inserted: No. 7 of 2025 s. 11.]</w:t>
      </w:r>
    </w:p>
    <w:p>
      <w:pPr>
        <w:pStyle w:val="Heading5"/>
      </w:pPr>
      <w:bookmarkStart w:id="311" w:name="_Toc207801190"/>
      <w:r>
        <w:rPr>
          <w:rStyle w:val="CharSectno"/>
        </w:rPr>
        <w:t>120G</w:t>
      </w:r>
      <w:r>
        <w:t>.</w:t>
      </w:r>
      <w:r>
        <w:tab/>
        <w:t>Notice of royalty determination</w:t>
      </w:r>
      <w:bookmarkEnd w:id="311"/>
      <w:r>
        <w:t xml:space="preserve"> </w:t>
      </w:r>
    </w:p>
    <w:p>
      <w:pPr>
        <w:pStyle w:val="Subsection"/>
      </w:pPr>
      <w:r>
        <w:tab/>
        <w:t>(1)</w:t>
      </w:r>
      <w:r>
        <w:tab/>
        <w:t>When the Minister determines the amount of a royalty under section 120F, the Minister must give the royalty payer a notice about the determination.</w:t>
      </w:r>
    </w:p>
    <w:p>
      <w:pPr>
        <w:pStyle w:val="Subsection"/>
      </w:pPr>
      <w:r>
        <w:tab/>
        <w:t>(2)</w:t>
      </w:r>
      <w:r>
        <w:tab/>
        <w:t xml:space="preserve">The notice must state — </w:t>
      </w:r>
    </w:p>
    <w:p>
      <w:pPr>
        <w:pStyle w:val="Indenta"/>
      </w:pPr>
      <w:r>
        <w:tab/>
        <w:t>(a)</w:t>
      </w:r>
      <w:r>
        <w:tab/>
        <w:t>the amount of royalty the Minister determined is payable; and</w:t>
      </w:r>
    </w:p>
    <w:p>
      <w:pPr>
        <w:pStyle w:val="Indenta"/>
      </w:pPr>
      <w:r>
        <w:tab/>
        <w:t>(b)</w:t>
      </w:r>
      <w:r>
        <w:tab/>
        <w:t>if an amount of the royalty has been paid — whether the amount determined is more or less than the amount paid; and</w:t>
      </w:r>
    </w:p>
    <w:p>
      <w:pPr>
        <w:pStyle w:val="Indenta"/>
      </w:pPr>
      <w:r>
        <w:tab/>
        <w:t>(c)</w:t>
      </w:r>
      <w:r>
        <w:tab/>
        <w:t>if an amount of the royalty remains unpaid —the day by which the amount must be paid; and</w:t>
      </w:r>
    </w:p>
    <w:p>
      <w:pPr>
        <w:pStyle w:val="Indenta"/>
      </w:pPr>
      <w:r>
        <w:tab/>
        <w:t>(d)</w:t>
      </w:r>
      <w:r>
        <w:tab/>
        <w:t>if an amount of royalty has been overpaid —the amount of the overpayment and that the overpaid amount will be paid or credited to the royalty payer.</w:t>
      </w:r>
    </w:p>
    <w:p>
      <w:pPr>
        <w:pStyle w:val="Footnotesection"/>
        <w:ind w:left="890" w:hanging="890"/>
      </w:pPr>
      <w:r>
        <w:tab/>
        <w:t>[Section 120G inserted: No. 7 of 2025 s. 11.]</w:t>
      </w:r>
    </w:p>
    <w:p>
      <w:pPr>
        <w:pStyle w:val="Heading5"/>
      </w:pPr>
      <w:bookmarkStart w:id="312" w:name="_Toc207801191"/>
      <w:r>
        <w:rPr>
          <w:rStyle w:val="CharSectno"/>
        </w:rPr>
        <w:t>120H</w:t>
      </w:r>
      <w:r>
        <w:t>.</w:t>
      </w:r>
      <w:r>
        <w:tab/>
        <w:t>Certificate verifying assessment of royalty</w:t>
      </w:r>
      <w:bookmarkEnd w:id="312"/>
    </w:p>
    <w:p>
      <w:pPr>
        <w:pStyle w:val="Subsection"/>
      </w:pPr>
      <w:r>
        <w:tab/>
        <w:t>(1)</w:t>
      </w:r>
      <w:r>
        <w:tab/>
        <w:t xml:space="preserve">In this section — </w:t>
      </w:r>
    </w:p>
    <w:p>
      <w:pPr>
        <w:pStyle w:val="Defstart"/>
      </w:pPr>
      <w:r>
        <w:tab/>
      </w:r>
      <w:r>
        <w:rPr>
          <w:rStyle w:val="CharDefText"/>
        </w:rPr>
        <w:t>independent assessor</w:t>
      </w:r>
      <w:r>
        <w:t xml:space="preserve"> means — </w:t>
      </w:r>
    </w:p>
    <w:p>
      <w:pPr>
        <w:pStyle w:val="Defpara"/>
      </w:pPr>
      <w:r>
        <w:tab/>
        <w:t>(a)</w:t>
      </w:r>
      <w:r>
        <w:tab/>
        <w:t>a person registered, or taken to be registered, as an auditor under the Corporations Act Part 9.2; or</w:t>
      </w:r>
    </w:p>
    <w:p>
      <w:pPr>
        <w:pStyle w:val="Defpara"/>
      </w:pPr>
      <w:r>
        <w:lastRenderedPageBreak/>
        <w:tab/>
        <w:t>(b)</w:t>
      </w:r>
      <w:r>
        <w:tab/>
        <w:t>otherwise, a person approved as an independent assessor by the Minister under subsection (5).</w:t>
      </w:r>
    </w:p>
    <w:p>
      <w:pPr>
        <w:pStyle w:val="Subsection"/>
      </w:pPr>
      <w:r>
        <w:tab/>
        <w:t>(2)</w:t>
      </w:r>
      <w:r>
        <w:tab/>
        <w:t>This section applies if the Minister gives a royalty payer notice that the Minister considers it is necessary to verify the amount of a royalty payable for a specified period.</w:t>
      </w:r>
    </w:p>
    <w:p>
      <w:pPr>
        <w:pStyle w:val="Subsection"/>
      </w:pPr>
      <w:r>
        <w:tab/>
        <w:t>(3)</w:t>
      </w:r>
      <w:r>
        <w:tab/>
        <w:t>The Minister may accept the certificate of an independent assessor that the royalty appears to have been properly assessed and calculated for the specified period.</w:t>
      </w:r>
    </w:p>
    <w:p>
      <w:pPr>
        <w:pStyle w:val="Subsection"/>
      </w:pPr>
      <w:r>
        <w:tab/>
        <w:t>(4)</w:t>
      </w:r>
      <w:r>
        <w:tab/>
        <w:t xml:space="preserve">The certificate must — </w:t>
      </w:r>
    </w:p>
    <w:p>
      <w:pPr>
        <w:pStyle w:val="Indenta"/>
      </w:pPr>
      <w:r>
        <w:tab/>
        <w:t>(a)</w:t>
      </w:r>
      <w:r>
        <w:tab/>
        <w:t>be signed by an independent assessor; and</w:t>
      </w:r>
    </w:p>
    <w:p>
      <w:pPr>
        <w:pStyle w:val="Indenta"/>
      </w:pPr>
      <w:r>
        <w:tab/>
        <w:t>(b)</w:t>
      </w:r>
      <w:r>
        <w:tab/>
        <w:t>state the amount of the royalty paid or payable; and</w:t>
      </w:r>
    </w:p>
    <w:p>
      <w:pPr>
        <w:pStyle w:val="Indenta"/>
      </w:pPr>
      <w:r>
        <w:tab/>
        <w:t>(c)</w:t>
      </w:r>
      <w:r>
        <w:tab/>
        <w:t>set out sufficient information about how the amount was assessed and calculated to enable the assessment and calculation to be verified; and</w:t>
      </w:r>
    </w:p>
    <w:p>
      <w:pPr>
        <w:pStyle w:val="Indenta"/>
      </w:pPr>
      <w:r>
        <w:tab/>
        <w:t>(d)</w:t>
      </w:r>
      <w:r>
        <w:tab/>
        <w:t>be prepared at the cost of the royalty payer.</w:t>
      </w:r>
    </w:p>
    <w:p>
      <w:pPr>
        <w:pStyle w:val="Subsection"/>
      </w:pPr>
      <w:r>
        <w:tab/>
        <w:t>(5)</w:t>
      </w:r>
      <w:r>
        <w:tab/>
        <w:t>The Minister may approve a person as an independent assessor if the Minister is satisfied the person is suitably qualified or experienced to provide a certificate under this section.</w:t>
      </w:r>
    </w:p>
    <w:p>
      <w:pPr>
        <w:pStyle w:val="Footnotesection"/>
        <w:ind w:left="890" w:hanging="890"/>
      </w:pPr>
      <w:r>
        <w:tab/>
        <w:t>[Section 120H inserted: No. 7 of 2025 s. 11.]</w:t>
      </w:r>
    </w:p>
    <w:p>
      <w:pPr>
        <w:pStyle w:val="Heading3"/>
      </w:pPr>
      <w:bookmarkStart w:id="313" w:name="_Toc207366024"/>
      <w:bookmarkStart w:id="314" w:name="_Toc207801192"/>
      <w:r>
        <w:rPr>
          <w:rStyle w:val="CharDivNo"/>
        </w:rPr>
        <w:t>Division 3</w:t>
      </w:r>
      <w:r>
        <w:t> — </w:t>
      </w:r>
      <w:r>
        <w:rPr>
          <w:rStyle w:val="CharDivText"/>
        </w:rPr>
        <w:t>Investigations</w:t>
      </w:r>
      <w:bookmarkEnd w:id="313"/>
      <w:bookmarkEnd w:id="314"/>
    </w:p>
    <w:p>
      <w:pPr>
        <w:pStyle w:val="Footnoteheading"/>
      </w:pPr>
      <w:r>
        <w:tab/>
        <w:t>[Heading inserted: No. 7 of 2025 s. 11.]</w:t>
      </w:r>
    </w:p>
    <w:p>
      <w:pPr>
        <w:pStyle w:val="Heading5"/>
      </w:pPr>
      <w:bookmarkStart w:id="315" w:name="_Toc207801193"/>
      <w:r>
        <w:rPr>
          <w:rStyle w:val="CharSectno"/>
        </w:rPr>
        <w:t>120I</w:t>
      </w:r>
      <w:r>
        <w:t>.</w:t>
      </w:r>
      <w:r>
        <w:tab/>
        <w:t>Purposes of investigations</w:t>
      </w:r>
      <w:bookmarkEnd w:id="315"/>
    </w:p>
    <w:p>
      <w:pPr>
        <w:pStyle w:val="Subsection"/>
      </w:pPr>
      <w:r>
        <w:tab/>
        <w:t>(1)</w:t>
      </w:r>
      <w:r>
        <w:tab/>
        <w:t xml:space="preserve">An investigation may be carried out under this Division for any or all of the following purposes — </w:t>
      </w:r>
    </w:p>
    <w:p>
      <w:pPr>
        <w:pStyle w:val="Indenta"/>
      </w:pPr>
      <w:r>
        <w:tab/>
        <w:t>(a)</w:t>
      </w:r>
      <w:r>
        <w:tab/>
        <w:t>to ascertain whether a royalty is payable in relation to a mining operation;</w:t>
      </w:r>
    </w:p>
    <w:p>
      <w:pPr>
        <w:pStyle w:val="Indenta"/>
      </w:pPr>
      <w:r>
        <w:tab/>
        <w:t>(b)</w:t>
      </w:r>
      <w:r>
        <w:tab/>
        <w:t xml:space="preserve">to determine the amount of a royalty payable for a mineral and related matters, including, for example — </w:t>
      </w:r>
    </w:p>
    <w:p>
      <w:pPr>
        <w:pStyle w:val="Indenti"/>
      </w:pPr>
      <w:r>
        <w:tab/>
        <w:t>(i)</w:t>
      </w:r>
      <w:r>
        <w:tab/>
        <w:t>the rate at which a royalty is payable; or</w:t>
      </w:r>
    </w:p>
    <w:p>
      <w:pPr>
        <w:pStyle w:val="Indenti"/>
      </w:pPr>
      <w:r>
        <w:lastRenderedPageBreak/>
        <w:tab/>
        <w:t>(ii)</w:t>
      </w:r>
      <w:r>
        <w:tab/>
        <w:t>the method to be used to value the mineral; or</w:t>
      </w:r>
    </w:p>
    <w:p>
      <w:pPr>
        <w:pStyle w:val="Indenti"/>
      </w:pPr>
      <w:r>
        <w:tab/>
        <w:t>(iii)</w:t>
      </w:r>
      <w:r>
        <w:tab/>
        <w:t>the price for which the mineral is or may be sold and the way the mineral is priced;</w:t>
      </w:r>
    </w:p>
    <w:p>
      <w:pPr>
        <w:pStyle w:val="Indenta"/>
      </w:pPr>
      <w:r>
        <w:tab/>
        <w:t>(c)</w:t>
      </w:r>
      <w:r>
        <w:tab/>
        <w:t xml:space="preserve">to gather information about — </w:t>
      </w:r>
    </w:p>
    <w:p>
      <w:pPr>
        <w:pStyle w:val="Indenti"/>
      </w:pPr>
      <w:r>
        <w:tab/>
        <w:t xml:space="preserve">(i) </w:t>
      </w:r>
      <w:r>
        <w:tab/>
        <w:t>the storage, transport, processing or marketing of a mineral, or other matters that affect the value of a mineral; or</w:t>
      </w:r>
    </w:p>
    <w:p>
      <w:pPr>
        <w:pStyle w:val="Indenti"/>
      </w:pPr>
      <w:r>
        <w:tab/>
        <w:t>(ii)</w:t>
      </w:r>
      <w:r>
        <w:tab/>
        <w:t>accounting methods used to calculate or assess the amount of a royalty payable.</w:t>
      </w:r>
    </w:p>
    <w:p>
      <w:pPr>
        <w:pStyle w:val="Subsection"/>
      </w:pPr>
      <w:r>
        <w:tab/>
        <w:t>(2)</w:t>
      </w:r>
      <w:r>
        <w:tab/>
        <w:t xml:space="preserve">A purpose mentioned in subsection (1) is a </w:t>
      </w:r>
      <w:r>
        <w:rPr>
          <w:rStyle w:val="CharDefText"/>
        </w:rPr>
        <w:t>royalty investigation purpose</w:t>
      </w:r>
      <w:r>
        <w:t xml:space="preserve">. </w:t>
      </w:r>
    </w:p>
    <w:p>
      <w:pPr>
        <w:pStyle w:val="Footnotesection"/>
        <w:ind w:left="890" w:hanging="890"/>
      </w:pPr>
      <w:r>
        <w:tab/>
        <w:t>[Section 120I inserted: No. 7 of 2025 s. 11.]</w:t>
      </w:r>
    </w:p>
    <w:p>
      <w:pPr>
        <w:pStyle w:val="Heading5"/>
      </w:pPr>
      <w:bookmarkStart w:id="316" w:name="_Toc207801194"/>
      <w:r>
        <w:rPr>
          <w:rStyle w:val="CharSectno"/>
        </w:rPr>
        <w:t>120J</w:t>
      </w:r>
      <w:r>
        <w:t>.</w:t>
      </w:r>
      <w:r>
        <w:tab/>
        <w:t>Investigators</w:t>
      </w:r>
      <w:bookmarkEnd w:id="316"/>
    </w:p>
    <w:p>
      <w:pPr>
        <w:pStyle w:val="Subsection"/>
      </w:pPr>
      <w:r>
        <w:tab/>
        <w:t>(1)</w:t>
      </w:r>
      <w:r>
        <w:tab/>
        <w:t>The Minister may appoint a person as an investigator for this Part.</w:t>
      </w:r>
    </w:p>
    <w:p>
      <w:pPr>
        <w:pStyle w:val="Subsection"/>
      </w:pPr>
      <w:r>
        <w:tab/>
        <w:t>(2)</w:t>
      </w:r>
      <w:r>
        <w:tab/>
        <w:t>If the Minister’s power under subsection (1) is delegated to the Commissioner of State Revenue under section 12(2), the Commissioner is also an investigator for this Part.</w:t>
      </w:r>
    </w:p>
    <w:p>
      <w:pPr>
        <w:pStyle w:val="Subsection"/>
      </w:pPr>
      <w:r>
        <w:tab/>
        <w:t>(3)</w:t>
      </w:r>
      <w:r>
        <w:tab/>
        <w:t xml:space="preserve">An investigator must be issued an identity card that includes — </w:t>
      </w:r>
    </w:p>
    <w:p>
      <w:pPr>
        <w:pStyle w:val="Indenta"/>
      </w:pPr>
      <w:r>
        <w:tab/>
        <w:t>(a)</w:t>
      </w:r>
      <w:r>
        <w:tab/>
        <w:t>a statement to the effect that the person identified by the card is an investigator for this Part; and</w:t>
      </w:r>
    </w:p>
    <w:p>
      <w:pPr>
        <w:pStyle w:val="Indenta"/>
      </w:pPr>
      <w:r>
        <w:tab/>
        <w:t>(b)</w:t>
      </w:r>
      <w:r>
        <w:tab/>
        <w:t>a photograph of the investigator.</w:t>
      </w:r>
    </w:p>
    <w:p>
      <w:pPr>
        <w:pStyle w:val="Subsection"/>
      </w:pPr>
      <w:r>
        <w:tab/>
        <w:t>(4)</w:t>
      </w:r>
      <w:r>
        <w:tab/>
        <w:t>If a person to whom an identity card is issued ceases to be an investigator, the person must immediately return the card.</w:t>
      </w:r>
    </w:p>
    <w:p>
      <w:pPr>
        <w:pStyle w:val="Penstart"/>
      </w:pPr>
      <w:r>
        <w:tab/>
        <w:t>Penalty for this subsection: a fine of $20 000.</w:t>
      </w:r>
    </w:p>
    <w:p>
      <w:pPr>
        <w:pStyle w:val="Footnotesection"/>
        <w:ind w:left="890" w:hanging="890"/>
      </w:pPr>
      <w:r>
        <w:tab/>
        <w:t>[Section 120J inserted: No. 7 of 2025 s. 11.]</w:t>
      </w:r>
    </w:p>
    <w:p>
      <w:pPr>
        <w:pStyle w:val="Heading5"/>
      </w:pPr>
      <w:bookmarkStart w:id="317" w:name="_Toc207801195"/>
      <w:r>
        <w:rPr>
          <w:rStyle w:val="CharSectno"/>
        </w:rPr>
        <w:lastRenderedPageBreak/>
        <w:t>120K</w:t>
      </w:r>
      <w:r>
        <w:t>.</w:t>
      </w:r>
      <w:r>
        <w:tab/>
        <w:t>Power to enter land or premises</w:t>
      </w:r>
      <w:bookmarkEnd w:id="317"/>
    </w:p>
    <w:p>
      <w:pPr>
        <w:pStyle w:val="Subsection"/>
        <w:keepNext/>
      </w:pPr>
      <w:r>
        <w:tab/>
        <w:t>(1)</w:t>
      </w:r>
      <w:r>
        <w:tab/>
        <w:t xml:space="preserve">An investigator may, for a royalty investigation purpose, enter — </w:t>
      </w:r>
    </w:p>
    <w:p>
      <w:pPr>
        <w:pStyle w:val="Indenta"/>
      </w:pPr>
      <w:r>
        <w:tab/>
        <w:t>(a)</w:t>
      </w:r>
      <w:r>
        <w:tab/>
        <w:t>land on which mining operations are carried out, including any premises on the land; or</w:t>
      </w:r>
    </w:p>
    <w:p>
      <w:pPr>
        <w:pStyle w:val="Indenta"/>
      </w:pPr>
      <w:r>
        <w:tab/>
        <w:t>(b)</w:t>
      </w:r>
      <w:r>
        <w:tab/>
        <w:t>premises used to prepare accounting or other records relating to mining operations; or</w:t>
      </w:r>
    </w:p>
    <w:p>
      <w:pPr>
        <w:pStyle w:val="Indenta"/>
      </w:pPr>
      <w:r>
        <w:tab/>
        <w:t>(c)</w:t>
      </w:r>
      <w:r>
        <w:tab/>
        <w:t>if the investigator believes, on reasonable grounds, that a mineral derived from mining operations, or documents or other records relating to the mineral, are present on any other land or at any other premises — the other land or premises.</w:t>
      </w:r>
    </w:p>
    <w:p>
      <w:pPr>
        <w:pStyle w:val="Subsection"/>
      </w:pPr>
      <w:r>
        <w:tab/>
        <w:t>(2)</w:t>
      </w:r>
      <w:r>
        <w:tab/>
        <w:t xml:space="preserve">However, the investigator can only enter land or premises under subsection (1)(c) if — </w:t>
      </w:r>
    </w:p>
    <w:p>
      <w:pPr>
        <w:pStyle w:val="Indenta"/>
        <w:rPr>
          <w:snapToGrid w:val="0"/>
        </w:rPr>
      </w:pPr>
      <w:r>
        <w:rPr>
          <w:snapToGrid w:val="0"/>
        </w:rPr>
        <w:tab/>
        <w:t>(a)</w:t>
      </w:r>
      <w:r>
        <w:rPr>
          <w:snapToGrid w:val="0"/>
        </w:rPr>
        <w:tab/>
        <w:t>the investigator believes, on reasonable grounds, that an offence against this Act, or a breach of the conditions of a mining tenement, has been, is being, or is about to be committed; or</w:t>
      </w:r>
    </w:p>
    <w:p>
      <w:pPr>
        <w:pStyle w:val="Indenta"/>
        <w:rPr>
          <w:snapToGrid w:val="0"/>
        </w:rPr>
      </w:pPr>
      <w:r>
        <w:rPr>
          <w:snapToGrid w:val="0"/>
        </w:rPr>
        <w:tab/>
        <w:t>(b)</w:t>
      </w:r>
      <w:r>
        <w:rPr>
          <w:snapToGrid w:val="0"/>
        </w:rPr>
        <w:tab/>
        <w:t>the entry is in accordance with the consent of the occupier of the land or premises.</w:t>
      </w:r>
    </w:p>
    <w:p>
      <w:pPr>
        <w:pStyle w:val="Footnotesection"/>
        <w:ind w:left="890" w:hanging="890"/>
      </w:pPr>
      <w:r>
        <w:tab/>
        <w:t>[Section 120K inserted: No. 7 of 2025 s. 11.]</w:t>
      </w:r>
    </w:p>
    <w:p>
      <w:pPr>
        <w:pStyle w:val="Heading5"/>
      </w:pPr>
      <w:bookmarkStart w:id="318" w:name="_Toc207801196"/>
      <w:r>
        <w:rPr>
          <w:rStyle w:val="CharSectno"/>
        </w:rPr>
        <w:t>120L</w:t>
      </w:r>
      <w:r>
        <w:t>.</w:t>
      </w:r>
      <w:r>
        <w:tab/>
        <w:t>Powers of investigation while on land or premises</w:t>
      </w:r>
      <w:bookmarkEnd w:id="318"/>
    </w:p>
    <w:p>
      <w:pPr>
        <w:pStyle w:val="Subsection"/>
      </w:pPr>
      <w:r>
        <w:tab/>
        <w:t>(1)</w:t>
      </w:r>
      <w:r>
        <w:tab/>
        <w:t>An investigator may exercise the powers under this section in relation to land or premises entered under section 120K for a royalty investigation purpose.</w:t>
      </w:r>
    </w:p>
    <w:p>
      <w:pPr>
        <w:pStyle w:val="Subsection"/>
      </w:pPr>
      <w:r>
        <w:tab/>
        <w:t>(2)</w:t>
      </w:r>
      <w:r>
        <w:tab/>
        <w:t xml:space="preserve">The investigator may, in relation to the land or premises — </w:t>
      </w:r>
    </w:p>
    <w:p>
      <w:pPr>
        <w:pStyle w:val="Indenta"/>
      </w:pPr>
      <w:r>
        <w:tab/>
        <w:t>(a)</w:t>
      </w:r>
      <w:r>
        <w:tab/>
        <w:t xml:space="preserve">inspect or examine — </w:t>
      </w:r>
    </w:p>
    <w:p>
      <w:pPr>
        <w:pStyle w:val="Indenti"/>
      </w:pPr>
      <w:r>
        <w:tab/>
        <w:t>(i)</w:t>
      </w:r>
      <w:r>
        <w:tab/>
        <w:t>any mining operations carried out on the land or premises; or</w:t>
      </w:r>
    </w:p>
    <w:p>
      <w:pPr>
        <w:pStyle w:val="Indenti"/>
      </w:pPr>
      <w:r>
        <w:lastRenderedPageBreak/>
        <w:tab/>
        <w:t>(ii)</w:t>
      </w:r>
      <w:r>
        <w:tab/>
        <w:t>any mining product or mineral in relation to which a royalty is or, in the investigator’s opinion, may be, payable;</w:t>
      </w:r>
    </w:p>
    <w:p>
      <w:pPr>
        <w:pStyle w:val="Indenta"/>
      </w:pPr>
      <w:r>
        <w:tab/>
      </w:r>
      <w:r>
        <w:tab/>
        <w:t>or</w:t>
      </w:r>
    </w:p>
    <w:p>
      <w:pPr>
        <w:pStyle w:val="Indenta"/>
      </w:pPr>
      <w:r>
        <w:tab/>
        <w:t>(b)</w:t>
      </w:r>
      <w:r>
        <w:tab/>
        <w:t>inspect or examine, and make copies of or take extracts from, any document or other record that, in the investigator’s opinion, relates to the mining operations, mining product or mineral mentioned in paragraph (a).</w:t>
      </w:r>
    </w:p>
    <w:p>
      <w:pPr>
        <w:pStyle w:val="Subsection"/>
      </w:pPr>
      <w:r>
        <w:tab/>
        <w:t>(3)</w:t>
      </w:r>
      <w:r>
        <w:tab/>
        <w:t>The investigator may require a person apparently in charge of the land or premises to provide the investigator with assistance and facilities reasonably necessary for effectively exercising the investigator’s powers.</w:t>
      </w:r>
    </w:p>
    <w:p>
      <w:pPr>
        <w:pStyle w:val="Subsection"/>
      </w:pPr>
      <w:r>
        <w:tab/>
        <w:t>(4)</w:t>
      </w:r>
      <w:r>
        <w:tab/>
        <w:t>A person must not, without reasonable excuse, fail to provide assistance or facilities required of the person under subsection (3).</w:t>
      </w:r>
    </w:p>
    <w:p>
      <w:pPr>
        <w:pStyle w:val="Penstart"/>
      </w:pPr>
      <w:r>
        <w:tab/>
        <w:t>Penalty for this subsection: a fine of $5 000.</w:t>
      </w:r>
    </w:p>
    <w:p>
      <w:pPr>
        <w:pStyle w:val="Footnotesection"/>
        <w:ind w:left="890" w:hanging="890"/>
      </w:pPr>
      <w:r>
        <w:tab/>
        <w:t>[Section 120L inserted: No. 7 of 2025 s. 11.]</w:t>
      </w:r>
    </w:p>
    <w:p>
      <w:pPr>
        <w:pStyle w:val="Heading5"/>
      </w:pPr>
      <w:bookmarkStart w:id="319" w:name="_Toc207801197"/>
      <w:r>
        <w:rPr>
          <w:rStyle w:val="CharSectno"/>
        </w:rPr>
        <w:t>120M</w:t>
      </w:r>
      <w:r>
        <w:t>.</w:t>
      </w:r>
      <w:r>
        <w:tab/>
        <w:t>Power to require person to provide information</w:t>
      </w:r>
      <w:bookmarkEnd w:id="319"/>
    </w:p>
    <w:p>
      <w:pPr>
        <w:pStyle w:val="Subsection"/>
      </w:pPr>
      <w:r>
        <w:tab/>
        <w:t>(1)</w:t>
      </w:r>
      <w:r>
        <w:tab/>
        <w:t xml:space="preserve">In this section — </w:t>
      </w:r>
    </w:p>
    <w:p>
      <w:pPr>
        <w:pStyle w:val="Defstart"/>
      </w:pPr>
      <w:r>
        <w:tab/>
      </w:r>
      <w:r>
        <w:rPr>
          <w:rStyle w:val="CharDefText"/>
        </w:rPr>
        <w:t>relevant information</w:t>
      </w:r>
      <w:r>
        <w:t xml:space="preserve"> means information related to — </w:t>
      </w:r>
    </w:p>
    <w:p>
      <w:pPr>
        <w:pStyle w:val="Defpara"/>
      </w:pPr>
      <w:r>
        <w:tab/>
        <w:t>(a)</w:t>
      </w:r>
      <w:r>
        <w:tab/>
        <w:t>a mining tenement or land the subject of an application for a mining tenement; or</w:t>
      </w:r>
    </w:p>
    <w:p>
      <w:pPr>
        <w:pStyle w:val="Defpara"/>
      </w:pPr>
      <w:r>
        <w:tab/>
        <w:t>(b)</w:t>
      </w:r>
      <w:r>
        <w:tab/>
        <w:t>mining operations; or</w:t>
      </w:r>
    </w:p>
    <w:p>
      <w:pPr>
        <w:pStyle w:val="Defpara"/>
      </w:pPr>
      <w:r>
        <w:tab/>
        <w:t>(c)</w:t>
      </w:r>
      <w:r>
        <w:tab/>
        <w:t>a mineral derived from mining operations.</w:t>
      </w:r>
    </w:p>
    <w:p>
      <w:pPr>
        <w:pStyle w:val="Subsection"/>
      </w:pPr>
      <w:r>
        <w:tab/>
        <w:t>(2)</w:t>
      </w:r>
      <w:r>
        <w:tab/>
        <w:t xml:space="preserve">An investigator may require a person to produce to the investigator relevant information in the person’s possession or control if, in the investigator’s opinion, the information is necessary for the purpose of — </w:t>
      </w:r>
    </w:p>
    <w:p>
      <w:pPr>
        <w:pStyle w:val="Indenta"/>
      </w:pPr>
      <w:r>
        <w:tab/>
        <w:t>(a)</w:t>
      </w:r>
      <w:r>
        <w:tab/>
        <w:t>ascertaining whether a royalty is payable in relation to a mining operation; or</w:t>
      </w:r>
    </w:p>
    <w:p>
      <w:pPr>
        <w:pStyle w:val="Indenta"/>
      </w:pPr>
      <w:r>
        <w:lastRenderedPageBreak/>
        <w:tab/>
        <w:t>(b)</w:t>
      </w:r>
      <w:r>
        <w:tab/>
        <w:t>determining the amount of a royalty payable for a mineral.</w:t>
      </w:r>
    </w:p>
    <w:p>
      <w:pPr>
        <w:pStyle w:val="Subsection"/>
      </w:pPr>
      <w:r>
        <w:tab/>
        <w:t>(3)</w:t>
      </w:r>
      <w:r>
        <w:tab/>
        <w:t xml:space="preserve">The requirement is made by giving the person a written notice that specifies — </w:t>
      </w:r>
    </w:p>
    <w:p>
      <w:pPr>
        <w:pStyle w:val="Indenta"/>
      </w:pPr>
      <w:r>
        <w:tab/>
        <w:t>(a)</w:t>
      </w:r>
      <w:r>
        <w:tab/>
        <w:t>the information to be produced; and</w:t>
      </w:r>
    </w:p>
    <w:p>
      <w:pPr>
        <w:pStyle w:val="Indenta"/>
      </w:pPr>
      <w:r>
        <w:tab/>
        <w:t>(b)</w:t>
      </w:r>
      <w:r>
        <w:tab/>
        <w:t>the time and place for the information to be produced.</w:t>
      </w:r>
    </w:p>
    <w:p>
      <w:pPr>
        <w:pStyle w:val="Subsection"/>
      </w:pPr>
      <w:r>
        <w:tab/>
        <w:t>(4)</w:t>
      </w:r>
      <w:r>
        <w:tab/>
        <w:t xml:space="preserve">Despite subsection (3), if an investigator has entered land or premises under section 120K, the notice under subsection (3) — </w:t>
      </w:r>
    </w:p>
    <w:p>
      <w:pPr>
        <w:pStyle w:val="Indenta"/>
      </w:pPr>
      <w:r>
        <w:tab/>
        <w:t>(a)</w:t>
      </w:r>
      <w:r>
        <w:tab/>
        <w:t>may be given orally; and</w:t>
      </w:r>
    </w:p>
    <w:p>
      <w:pPr>
        <w:pStyle w:val="Indenta"/>
      </w:pPr>
      <w:r>
        <w:tab/>
        <w:t>(b)</w:t>
      </w:r>
      <w:r>
        <w:tab/>
        <w:t>may require the information to be produced immediately to the investigator.</w:t>
      </w:r>
    </w:p>
    <w:p>
      <w:pPr>
        <w:pStyle w:val="Subsection"/>
      </w:pPr>
      <w:r>
        <w:tab/>
        <w:t>(5)</w:t>
      </w:r>
      <w:r>
        <w:tab/>
        <w:t>A person must comply with a requirement under this section within the time specified in the notice under subsection (3) or (4), or within any further time allowed by the investigator, unless the person has a reasonable excuse.</w:t>
      </w:r>
    </w:p>
    <w:p>
      <w:pPr>
        <w:pStyle w:val="Penstart"/>
      </w:pPr>
      <w:r>
        <w:tab/>
        <w:t>Penalty for this subsection: a fine of $5 000.</w:t>
      </w:r>
    </w:p>
    <w:p>
      <w:pPr>
        <w:pStyle w:val="Footnotesection"/>
        <w:ind w:left="890" w:hanging="890"/>
      </w:pPr>
      <w:r>
        <w:tab/>
        <w:t>[Section 120M inserted: No. 7 of 2025 s. 11.]</w:t>
      </w:r>
    </w:p>
    <w:p>
      <w:pPr>
        <w:pStyle w:val="Heading5"/>
      </w:pPr>
      <w:bookmarkStart w:id="320" w:name="_Toc207801198"/>
      <w:r>
        <w:rPr>
          <w:rStyle w:val="CharSectno"/>
        </w:rPr>
        <w:t>120N</w:t>
      </w:r>
      <w:r>
        <w:t>.</w:t>
      </w:r>
      <w:r>
        <w:tab/>
        <w:t>Obstruct or hinder investigator</w:t>
      </w:r>
      <w:bookmarkEnd w:id="320"/>
    </w:p>
    <w:p>
      <w:pPr>
        <w:pStyle w:val="Subsection"/>
      </w:pPr>
      <w:r>
        <w:tab/>
      </w:r>
      <w:r>
        <w:tab/>
        <w:t>A person must not, without reasonable excuse, obstruct or hinder an investigator exercising or attempting to exercise the investigator’s powers.</w:t>
      </w:r>
    </w:p>
    <w:p>
      <w:pPr>
        <w:pStyle w:val="Penstart"/>
      </w:pPr>
      <w:r>
        <w:tab/>
        <w:t>Penalty: a fine of $5 000.</w:t>
      </w:r>
    </w:p>
    <w:p>
      <w:pPr>
        <w:pStyle w:val="Footnotesection"/>
        <w:ind w:left="890" w:hanging="890"/>
      </w:pPr>
      <w:r>
        <w:tab/>
        <w:t>[Section 120N inserted: No. 7 of 2025 s. 11.]</w:t>
      </w:r>
    </w:p>
    <w:p>
      <w:pPr>
        <w:pStyle w:val="Heading5"/>
      </w:pPr>
      <w:bookmarkStart w:id="321" w:name="_Toc207801199"/>
      <w:r>
        <w:rPr>
          <w:rStyle w:val="CharSectno"/>
        </w:rPr>
        <w:t>120O</w:t>
      </w:r>
      <w:r>
        <w:t>.</w:t>
      </w:r>
      <w:r>
        <w:tab/>
        <w:t>False or misleading information</w:t>
      </w:r>
      <w:bookmarkEnd w:id="321"/>
    </w:p>
    <w:p>
      <w:pPr>
        <w:pStyle w:val="Subsection"/>
      </w:pPr>
      <w:r>
        <w:tab/>
      </w:r>
      <w:r>
        <w:tab/>
        <w:t>A person must not provide information relating to a royalty to the Minister or an investigator knowing it to be false or misleading in a material particular.</w:t>
      </w:r>
    </w:p>
    <w:p>
      <w:pPr>
        <w:pStyle w:val="Penstart"/>
      </w:pPr>
      <w:r>
        <w:tab/>
        <w:t>Penalty: a fine of $5 000.</w:t>
      </w:r>
    </w:p>
    <w:p>
      <w:pPr>
        <w:pStyle w:val="Footnotesection"/>
        <w:ind w:left="890" w:hanging="890"/>
      </w:pPr>
      <w:r>
        <w:tab/>
        <w:t>[Section 120O inserted: No. 7 of 2025 s. 11.]</w:t>
      </w:r>
    </w:p>
    <w:p>
      <w:pPr>
        <w:pStyle w:val="Heading5"/>
      </w:pPr>
      <w:bookmarkStart w:id="322" w:name="_Toc207801200"/>
      <w:r>
        <w:rPr>
          <w:rStyle w:val="CharSectno"/>
        </w:rPr>
        <w:lastRenderedPageBreak/>
        <w:t>120P</w:t>
      </w:r>
      <w:r>
        <w:t>.</w:t>
      </w:r>
      <w:r>
        <w:tab/>
        <w:t>Royalty penalty following conviction</w:t>
      </w:r>
      <w:bookmarkEnd w:id="322"/>
    </w:p>
    <w:p>
      <w:pPr>
        <w:pStyle w:val="Subsection"/>
      </w:pPr>
      <w:r>
        <w:tab/>
        <w:t>(1)</w:t>
      </w:r>
      <w:r>
        <w:tab/>
        <w:t xml:space="preserve">This section applies if a royalty payer is convicted of an offence against section 120L(4), 120M(5), 120N or 120O in relation to — </w:t>
      </w:r>
    </w:p>
    <w:p>
      <w:pPr>
        <w:pStyle w:val="Indenta"/>
      </w:pPr>
      <w:r>
        <w:tab/>
        <w:t>(a)</w:t>
      </w:r>
      <w:r>
        <w:tab/>
        <w:t xml:space="preserve">a mining tenement of which the royalty payer is a holder; or </w:t>
      </w:r>
    </w:p>
    <w:p>
      <w:pPr>
        <w:pStyle w:val="Indenta"/>
      </w:pPr>
      <w:r>
        <w:tab/>
        <w:t>(b)</w:t>
      </w:r>
      <w:r>
        <w:tab/>
        <w:t>land the subject of an application for a mining tenement for which the royalty payer is an applicant.</w:t>
      </w:r>
    </w:p>
    <w:p>
      <w:pPr>
        <w:pStyle w:val="Subsection"/>
      </w:pPr>
      <w:r>
        <w:tab/>
        <w:t>(2)</w:t>
      </w:r>
      <w:r>
        <w:tab/>
        <w:t>The Minister may, taking into account the information available to the Minister, estimate the amount of royalty that would have been payable for a mineral obtained from the mining tenement or land if the contravention giving rise to the conviction had not occurred.</w:t>
      </w:r>
    </w:p>
    <w:p>
      <w:pPr>
        <w:pStyle w:val="Subsection"/>
      </w:pPr>
      <w:r>
        <w:tab/>
        <w:t>(3)</w:t>
      </w:r>
      <w:r>
        <w:tab/>
        <w:t>The Minister may decide that the royalty payer is liable to pay a penalty of an amount, not more than 50% of the estimated amount of the royalty, decided by the Minister.</w:t>
      </w:r>
    </w:p>
    <w:p>
      <w:pPr>
        <w:pStyle w:val="Subsection"/>
      </w:pPr>
      <w:r>
        <w:tab/>
        <w:t>(4)</w:t>
      </w:r>
      <w:r>
        <w:tab/>
        <w:t xml:space="preserve">The Minister must give the royalty payer a notice about the estimate of royalty that states the following — </w:t>
      </w:r>
    </w:p>
    <w:p>
      <w:pPr>
        <w:pStyle w:val="Indenta"/>
      </w:pPr>
      <w:r>
        <w:tab/>
        <w:t>(a)</w:t>
      </w:r>
      <w:r>
        <w:tab/>
        <w:t>the amount of royalty the Minister estimates is payable;</w:t>
      </w:r>
    </w:p>
    <w:p>
      <w:pPr>
        <w:pStyle w:val="Indenta"/>
      </w:pPr>
      <w:r>
        <w:tab/>
        <w:t>(b)</w:t>
      </w:r>
      <w:r>
        <w:tab/>
        <w:t xml:space="preserve">if an amount of the royalty has been paid — whether the amount estimated is more or less than the amount paid; </w:t>
      </w:r>
    </w:p>
    <w:p>
      <w:pPr>
        <w:pStyle w:val="Indenta"/>
      </w:pPr>
      <w:r>
        <w:tab/>
        <w:t>(c)</w:t>
      </w:r>
      <w:r>
        <w:tab/>
        <w:t>if an amount of the royalty remains unpaid — the amount that remains unpaid and that the royalty payer is liable to pay the amount;</w:t>
      </w:r>
    </w:p>
    <w:p>
      <w:pPr>
        <w:pStyle w:val="Indenta"/>
      </w:pPr>
      <w:r>
        <w:tab/>
        <w:t>(d)</w:t>
      </w:r>
      <w:r>
        <w:tab/>
        <w:t>if an amount of the royalty has been overpaid — the amount of the overpayment and that the overpaid amount will be paid or credited to the royalty payer;</w:t>
      </w:r>
    </w:p>
    <w:p>
      <w:pPr>
        <w:pStyle w:val="Indenta"/>
      </w:pPr>
      <w:r>
        <w:tab/>
        <w:t>(e)</w:t>
      </w:r>
      <w:r>
        <w:tab/>
        <w:t>if the Minister decided under subsection (3) that the royalty payer is liable to pay a penalty — that fact and the amount of the penalty payable;</w:t>
      </w:r>
    </w:p>
    <w:p>
      <w:pPr>
        <w:pStyle w:val="Indenta"/>
      </w:pPr>
      <w:r>
        <w:lastRenderedPageBreak/>
        <w:tab/>
        <w:t>(f)</w:t>
      </w:r>
      <w:r>
        <w:tab/>
        <w:t>if the royalty payer is liable to pay an amount mentioned in paragraph (c) or (e) — the day by which the amount must be paid.</w:t>
      </w:r>
    </w:p>
    <w:p>
      <w:pPr>
        <w:pStyle w:val="Footnotesection"/>
        <w:ind w:left="890" w:hanging="890"/>
      </w:pPr>
      <w:r>
        <w:tab/>
        <w:t>[Section 120P inserted: No. 7 of 2025 s. 11.]</w:t>
      </w:r>
    </w:p>
    <w:p>
      <w:pPr>
        <w:pStyle w:val="Heading5"/>
      </w:pPr>
      <w:bookmarkStart w:id="323" w:name="_Toc207801201"/>
      <w:r>
        <w:rPr>
          <w:rStyle w:val="CharSectno"/>
        </w:rPr>
        <w:t>120Q</w:t>
      </w:r>
      <w:r>
        <w:t>.</w:t>
      </w:r>
      <w:r>
        <w:tab/>
        <w:t>Consequences of failure to pay royalty penalty</w:t>
      </w:r>
      <w:bookmarkEnd w:id="323"/>
    </w:p>
    <w:p>
      <w:pPr>
        <w:pStyle w:val="Subsection"/>
      </w:pPr>
      <w:r>
        <w:tab/>
        <w:t>(1)</w:t>
      </w:r>
      <w:r>
        <w:tab/>
        <w:t>This section applies if the Minister gives a royalty payer a notice under section 120P(4) that states the royalty payer is liable to pay an amount by a specified day and the royalty payer fails to pay the amount as required.</w:t>
      </w:r>
    </w:p>
    <w:p>
      <w:pPr>
        <w:pStyle w:val="Subsection"/>
      </w:pPr>
      <w:r>
        <w:tab/>
        <w:t>(2)</w:t>
      </w:r>
      <w:r>
        <w:tab/>
        <w:t xml:space="preserve">The royalty payer’s failure to pay the amount is taken to be — </w:t>
      </w:r>
    </w:p>
    <w:p>
      <w:pPr>
        <w:pStyle w:val="Indenta"/>
      </w:pPr>
      <w:r>
        <w:tab/>
        <w:t>(a)</w:t>
      </w:r>
      <w:r>
        <w:tab/>
        <w:t>in the case of a mining tenement — a breach of a covenant under the mining tenement for the royalty payer to pay royalty in respect of the tenement that is sufficient grounds for the tenement to be forfeited; or</w:t>
      </w:r>
    </w:p>
    <w:p>
      <w:pPr>
        <w:pStyle w:val="Indenta"/>
      </w:pPr>
      <w:r>
        <w:tab/>
        <w:t>(b)</w:t>
      </w:r>
      <w:r>
        <w:tab/>
        <w:t>in the case of an application for a mining tenement — reasonable grounds in the public interest that the application should not be granted for the purposes of section 111A.</w:t>
      </w:r>
    </w:p>
    <w:p>
      <w:pPr>
        <w:pStyle w:val="Footnotesection"/>
        <w:ind w:left="890" w:hanging="890"/>
      </w:pPr>
      <w:r>
        <w:tab/>
        <w:t>[Section 120Q inserted: No. 7 of 2025 s. 11.]</w:t>
      </w:r>
    </w:p>
    <w:p>
      <w:pPr>
        <w:pStyle w:val="Heading3"/>
      </w:pPr>
      <w:bookmarkStart w:id="324" w:name="_Toc207366034"/>
      <w:bookmarkStart w:id="325" w:name="_Toc207801202"/>
      <w:r>
        <w:rPr>
          <w:rStyle w:val="CharDivNo"/>
        </w:rPr>
        <w:t>Division 4</w:t>
      </w:r>
      <w:r>
        <w:t> — </w:t>
      </w:r>
      <w:r>
        <w:rPr>
          <w:rStyle w:val="CharDivText"/>
        </w:rPr>
        <w:t>General</w:t>
      </w:r>
      <w:bookmarkEnd w:id="324"/>
      <w:bookmarkEnd w:id="325"/>
    </w:p>
    <w:p>
      <w:pPr>
        <w:pStyle w:val="Footnoteheading"/>
      </w:pPr>
      <w:r>
        <w:tab/>
        <w:t>[Heading inserted: No. 7 of 2025 s. 11.]</w:t>
      </w:r>
    </w:p>
    <w:p>
      <w:pPr>
        <w:pStyle w:val="Heading5"/>
      </w:pPr>
      <w:bookmarkStart w:id="326" w:name="_Toc207801203"/>
      <w:r>
        <w:rPr>
          <w:rStyle w:val="CharSectno"/>
        </w:rPr>
        <w:t>120R</w:t>
      </w:r>
      <w:r>
        <w:t>.</w:t>
      </w:r>
      <w:r>
        <w:tab/>
        <w:t>Disclosure and use of royalty information</w:t>
      </w:r>
      <w:bookmarkEnd w:id="326"/>
    </w:p>
    <w:p>
      <w:pPr>
        <w:pStyle w:val="Subsection"/>
      </w:pPr>
      <w:r>
        <w:tab/>
        <w:t>(1)</w:t>
      </w:r>
      <w:r>
        <w:tab/>
        <w:t xml:space="preserve">In this section — </w:t>
      </w:r>
    </w:p>
    <w:p>
      <w:pPr>
        <w:pStyle w:val="Defstart"/>
      </w:pPr>
      <w:r>
        <w:tab/>
      </w:r>
      <w:r>
        <w:rPr>
          <w:rStyle w:val="CharDefText"/>
        </w:rPr>
        <w:t>disclose</w:t>
      </w:r>
      <w:r>
        <w:t xml:space="preserve"> includes give and give access to;</w:t>
      </w:r>
    </w:p>
    <w:p>
      <w:pPr>
        <w:pStyle w:val="Defstart"/>
      </w:pPr>
      <w:r>
        <w:tab/>
      </w:r>
      <w:r>
        <w:rPr>
          <w:rStyle w:val="CharDefText"/>
        </w:rPr>
        <w:t>royalties information</w:t>
      </w:r>
      <w:r>
        <w:t xml:space="preserve"> means information — </w:t>
      </w:r>
    </w:p>
    <w:p>
      <w:pPr>
        <w:pStyle w:val="Defpara"/>
      </w:pPr>
      <w:r>
        <w:tab/>
        <w:t>(a)</w:t>
      </w:r>
      <w:r>
        <w:tab/>
        <w:t>obtained in, or in connection with, the administration or collection of royalties for minerals; or</w:t>
      </w:r>
    </w:p>
    <w:p>
      <w:pPr>
        <w:pStyle w:val="Defpara"/>
      </w:pPr>
      <w:r>
        <w:tab/>
        <w:t>(b)</w:t>
      </w:r>
      <w:r>
        <w:tab/>
        <w:t xml:space="preserve">that is otherwise relevant to the administration or collection of royalties for minerals and is obtained in, or </w:t>
      </w:r>
      <w:r>
        <w:lastRenderedPageBreak/>
        <w:t>in connection with, performing a function under this Act.</w:t>
      </w:r>
    </w:p>
    <w:p>
      <w:pPr>
        <w:pStyle w:val="Subsection"/>
      </w:pPr>
      <w:r>
        <w:tab/>
        <w:t>(2)</w:t>
      </w:r>
      <w:r>
        <w:tab/>
        <w:t xml:space="preserve">A person who obtains royalties information because of the person’s office, position, employment or engagement under or for the purposes of this Act may record, disclose or use the information — </w:t>
      </w:r>
    </w:p>
    <w:p>
      <w:pPr>
        <w:pStyle w:val="Indenta"/>
      </w:pPr>
      <w:r>
        <w:tab/>
        <w:t>(a)</w:t>
      </w:r>
      <w:r>
        <w:tab/>
        <w:t>for the purpose of, or in connection with, the person, or another person, performing a function under this Act; or</w:t>
      </w:r>
    </w:p>
    <w:p>
      <w:pPr>
        <w:pStyle w:val="Indenta"/>
      </w:pPr>
      <w:r>
        <w:tab/>
        <w:t>(b)</w:t>
      </w:r>
      <w:r>
        <w:tab/>
        <w:t xml:space="preserve">as permitted or required by — </w:t>
      </w:r>
    </w:p>
    <w:p>
      <w:pPr>
        <w:pStyle w:val="Indenti"/>
      </w:pPr>
      <w:r>
        <w:tab/>
        <w:t>(i)</w:t>
      </w:r>
      <w:r>
        <w:tab/>
        <w:t>regulations made under section 162(2)(x) or otherwise by this Act; or</w:t>
      </w:r>
    </w:p>
    <w:p>
      <w:pPr>
        <w:pStyle w:val="Indenti"/>
      </w:pPr>
      <w:r>
        <w:tab/>
        <w:t>(ii)</w:t>
      </w:r>
      <w:r>
        <w:tab/>
        <w:t xml:space="preserve">another law that specifically or by necessary implication overrides the duty of confidentiality imposed by this section; </w:t>
      </w:r>
    </w:p>
    <w:p>
      <w:pPr>
        <w:pStyle w:val="Indenta"/>
      </w:pPr>
      <w:r>
        <w:tab/>
      </w:r>
      <w:r>
        <w:tab/>
        <w:t>or</w:t>
      </w:r>
    </w:p>
    <w:p>
      <w:pPr>
        <w:pStyle w:val="Indenta"/>
      </w:pPr>
      <w:r>
        <w:tab/>
        <w:t>(c)</w:t>
      </w:r>
      <w:r>
        <w:tab/>
        <w:t>for the purposes of legal proceedings arising out of the administration of this Act to which the person whose affairs the information relates is a party; or</w:t>
      </w:r>
    </w:p>
    <w:p>
      <w:pPr>
        <w:pStyle w:val="Indenta"/>
      </w:pPr>
      <w:r>
        <w:tab/>
        <w:t>(d)</w:t>
      </w:r>
      <w:r>
        <w:tab/>
        <w:t>with the written consent of the person to whom the information relates.</w:t>
      </w:r>
    </w:p>
    <w:p>
      <w:pPr>
        <w:pStyle w:val="Subsection"/>
      </w:pPr>
      <w:r>
        <w:tab/>
        <w:t>(3)</w:t>
      </w:r>
      <w:r>
        <w:tab/>
        <w:t xml:space="preserve">A person to whom royalties information is disclosed under subsection (2) may record, disclose or use the information — </w:t>
      </w:r>
    </w:p>
    <w:p>
      <w:pPr>
        <w:pStyle w:val="Indenta"/>
      </w:pPr>
      <w:r>
        <w:tab/>
        <w:t>(a)</w:t>
      </w:r>
      <w:r>
        <w:tab/>
        <w:t>if the information is disclosed to the person for the purpose of, or in connection with, performing a function under this Act — also in accordance with subsection (2); or</w:t>
      </w:r>
    </w:p>
    <w:p>
      <w:pPr>
        <w:pStyle w:val="Indenta"/>
      </w:pPr>
      <w:r>
        <w:tab/>
        <w:t>(b)</w:t>
      </w:r>
      <w:r>
        <w:tab/>
        <w:t>otherwise — for the purpose for which the information was disclosed.</w:t>
      </w:r>
    </w:p>
    <w:p>
      <w:pPr>
        <w:pStyle w:val="Subsection"/>
      </w:pPr>
      <w:r>
        <w:tab/>
        <w:t>(4)</w:t>
      </w:r>
      <w:r>
        <w:tab/>
        <w:t>Subsection (2) authorises a person to disclose royalties information to the Minister or another Minister.</w:t>
      </w:r>
    </w:p>
    <w:p>
      <w:pPr>
        <w:pStyle w:val="Subsection"/>
      </w:pPr>
      <w:r>
        <w:tab/>
        <w:t>(5)</w:t>
      </w:r>
      <w:r>
        <w:tab/>
        <w:t xml:space="preserve">A person mentioned in subsection (2) or (3) commits an offence if the person, directly or indirectly, records, discloses or uses </w:t>
      </w:r>
      <w:r>
        <w:lastRenderedPageBreak/>
        <w:t>royalties information in a way that is not authorised under those subsections.</w:t>
      </w:r>
    </w:p>
    <w:p>
      <w:pPr>
        <w:pStyle w:val="Penstart"/>
      </w:pPr>
      <w:r>
        <w:tab/>
        <w:t>Penalty for this subsection: a fine of $10 000.</w:t>
      </w:r>
    </w:p>
    <w:p>
      <w:pPr>
        <w:pStyle w:val="Subsection"/>
      </w:pPr>
      <w:r>
        <w:tab/>
        <w:t>(6)</w:t>
      </w:r>
      <w:r>
        <w:tab/>
        <w:t>This section does not limit the disclosure or use of statistical or summary information if the identity of a particular person or mining operation cannot reasonably be ascertained from the information.</w:t>
      </w:r>
    </w:p>
    <w:p>
      <w:pPr>
        <w:pStyle w:val="Footnotesection"/>
        <w:ind w:left="890" w:hanging="890"/>
      </w:pPr>
      <w:r>
        <w:tab/>
        <w:t>[Section 120R inserted: No. 7 of 2025 s. 11.]</w:t>
      </w:r>
    </w:p>
    <w:p>
      <w:pPr>
        <w:pStyle w:val="Heading5"/>
      </w:pPr>
      <w:bookmarkStart w:id="327" w:name="_Toc207801204"/>
      <w:r>
        <w:rPr>
          <w:rStyle w:val="CharSectno"/>
        </w:rPr>
        <w:t>120S</w:t>
      </w:r>
      <w:r>
        <w:t>.</w:t>
      </w:r>
      <w:r>
        <w:tab/>
        <w:t>Time limit for prosecution action</w:t>
      </w:r>
      <w:bookmarkEnd w:id="327"/>
    </w:p>
    <w:p>
      <w:pPr>
        <w:pStyle w:val="Subsection"/>
      </w:pPr>
      <w:r>
        <w:tab/>
        <w:t>(1)</w:t>
      </w:r>
      <w:r>
        <w:tab/>
        <w:t xml:space="preserve">This section applies in relation to an offence against this Part of — </w:t>
      </w:r>
    </w:p>
    <w:p>
      <w:pPr>
        <w:pStyle w:val="Indenta"/>
      </w:pPr>
      <w:r>
        <w:tab/>
        <w:t>(a)</w:t>
      </w:r>
      <w:r>
        <w:tab/>
        <w:t>failing to provide information relevant to the assessment of a royalty; or</w:t>
      </w:r>
    </w:p>
    <w:p>
      <w:pPr>
        <w:pStyle w:val="Indenta"/>
      </w:pPr>
      <w:r>
        <w:tab/>
        <w:t>(b)</w:t>
      </w:r>
      <w:r>
        <w:tab/>
        <w:t>failing to pay a royalty.</w:t>
      </w:r>
    </w:p>
    <w:p>
      <w:pPr>
        <w:pStyle w:val="Subsection"/>
        <w:rPr>
          <w:snapToGrid w:val="0"/>
        </w:rPr>
      </w:pPr>
      <w:r>
        <w:tab/>
        <w:t>(2)</w:t>
      </w:r>
      <w:r>
        <w:tab/>
        <w:t xml:space="preserve">Despite section 160B, a prosecution </w:t>
      </w:r>
      <w:r>
        <w:rPr>
          <w:snapToGrid w:val="0"/>
        </w:rPr>
        <w:t>for the offence may, with the consent of the Minister, be commenced more than 3 years after the day on which the offence is alleged to have been committed.</w:t>
      </w:r>
    </w:p>
    <w:p>
      <w:pPr>
        <w:pStyle w:val="Footnotesection"/>
        <w:ind w:left="890" w:hanging="890"/>
      </w:pPr>
      <w:r>
        <w:tab/>
        <w:t>[Section 120S inserted: No. 7 of 2025 s. 11.]</w:t>
      </w:r>
    </w:p>
    <w:p>
      <w:pPr>
        <w:pStyle w:val="Heading5"/>
      </w:pPr>
      <w:bookmarkStart w:id="328" w:name="_Toc207801205"/>
      <w:r>
        <w:rPr>
          <w:rStyle w:val="CharSectno"/>
        </w:rPr>
        <w:t>120T</w:t>
      </w:r>
      <w:r>
        <w:t>.</w:t>
      </w:r>
      <w:r>
        <w:tab/>
        <w:t>Recovery of unpaid royalty</w:t>
      </w:r>
      <w:bookmarkEnd w:id="328"/>
    </w:p>
    <w:p>
      <w:pPr>
        <w:pStyle w:val="Subsection"/>
      </w:pPr>
      <w:r>
        <w:tab/>
        <w:t>(1)</w:t>
      </w:r>
      <w:r>
        <w:tab/>
        <w:t>An amount of unpaid royalty is a debt due to the State that may be recovered by action in a court of competent jurisdiction.</w:t>
      </w:r>
    </w:p>
    <w:p>
      <w:pPr>
        <w:pStyle w:val="Subsection"/>
      </w:pPr>
      <w:r>
        <w:tab/>
        <w:t>(2)</w:t>
      </w:r>
      <w:r>
        <w:tab/>
        <w:t>The Minister may appoint a person to represent the State in court proceedings for the recovery of unpaid royalty.</w:t>
      </w:r>
    </w:p>
    <w:p>
      <w:pPr>
        <w:pStyle w:val="Subsection"/>
      </w:pPr>
      <w:r>
        <w:tab/>
        <w:t>(3)</w:t>
      </w:r>
      <w:r>
        <w:tab/>
        <w:t>An appointed representative may represent the Minister in accordance with the appointment.</w:t>
      </w:r>
    </w:p>
    <w:p>
      <w:pPr>
        <w:pStyle w:val="Footnotesection"/>
        <w:ind w:left="890" w:hanging="890"/>
      </w:pPr>
      <w:r>
        <w:tab/>
        <w:t>[Section 120T inserted: No. 7 of 2025 s. 11.]</w:t>
      </w:r>
    </w:p>
    <w:p>
      <w:pPr>
        <w:pStyle w:val="Heading2"/>
      </w:pPr>
      <w:bookmarkStart w:id="329" w:name="_Toc207366038"/>
      <w:bookmarkStart w:id="330" w:name="_Toc207801206"/>
      <w:r>
        <w:rPr>
          <w:rStyle w:val="CharPartNo"/>
        </w:rPr>
        <w:lastRenderedPageBreak/>
        <w:t>Part VI</w:t>
      </w:r>
      <w:r>
        <w:rPr>
          <w:rStyle w:val="CharDivNo"/>
        </w:rPr>
        <w:t> </w:t>
      </w:r>
      <w:r>
        <w:t>—</w:t>
      </w:r>
      <w:r>
        <w:rPr>
          <w:rStyle w:val="CharDivText"/>
        </w:rPr>
        <w:t> </w:t>
      </w:r>
      <w:r>
        <w:rPr>
          <w:rStyle w:val="CharPartText"/>
        </w:rPr>
        <w:t>Caveats</w:t>
      </w:r>
      <w:bookmarkEnd w:id="329"/>
      <w:bookmarkEnd w:id="330"/>
    </w:p>
    <w:p>
      <w:pPr>
        <w:pStyle w:val="Footnoteheading"/>
        <w:rPr>
          <w:snapToGrid w:val="0"/>
        </w:rPr>
      </w:pPr>
      <w:r>
        <w:rPr>
          <w:snapToGrid w:val="0"/>
        </w:rPr>
        <w:tab/>
        <w:t>[Heading inserted: No. 54 of 1996 s. 18.]</w:t>
      </w:r>
    </w:p>
    <w:p>
      <w:pPr>
        <w:pStyle w:val="Heading5"/>
        <w:spacing w:before="260"/>
        <w:rPr>
          <w:snapToGrid w:val="0"/>
        </w:rPr>
      </w:pPr>
      <w:bookmarkStart w:id="331" w:name="_Toc207801207"/>
      <w:r>
        <w:rPr>
          <w:rStyle w:val="CharSectno"/>
        </w:rPr>
        <w:t>121</w:t>
      </w:r>
      <w:r>
        <w:rPr>
          <w:snapToGrid w:val="0"/>
        </w:rPr>
        <w:t>.</w:t>
      </w:r>
      <w:r>
        <w:rPr>
          <w:snapToGrid w:val="0"/>
        </w:rPr>
        <w:tab/>
        <w:t>Terms used</w:t>
      </w:r>
      <w:bookmarkEnd w:id="33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332" w:name="_Toc207801208"/>
      <w:r>
        <w:rPr>
          <w:snapToGrid w:val="0"/>
        </w:rPr>
        <w:t>122.</w:t>
      </w:r>
      <w:r>
        <w:rPr>
          <w:snapToGrid w:val="0"/>
        </w:rPr>
        <w:tab/>
        <w:t>Certain surrenders not affected by this Part</w:t>
      </w:r>
      <w:bookmarkEnd w:id="33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333" w:name="_Toc207801209"/>
      <w:r>
        <w:rPr>
          <w:rStyle w:val="CharSectno"/>
        </w:rPr>
        <w:lastRenderedPageBreak/>
        <w:t>122A</w:t>
      </w:r>
      <w:r>
        <w:rPr>
          <w:snapToGrid w:val="0"/>
        </w:rPr>
        <w:t>.</w:t>
      </w:r>
      <w:r>
        <w:rPr>
          <w:snapToGrid w:val="0"/>
        </w:rPr>
        <w:tab/>
        <w:t>Lodgment of caveats</w:t>
      </w:r>
      <w:bookmarkEnd w:id="33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334" w:name="_Toc207801210"/>
      <w:r>
        <w:rPr>
          <w:rStyle w:val="CharSectno"/>
        </w:rPr>
        <w:t>122B</w:t>
      </w:r>
      <w:r>
        <w:rPr>
          <w:snapToGrid w:val="0"/>
        </w:rPr>
        <w:t>.</w:t>
      </w:r>
      <w:r>
        <w:rPr>
          <w:snapToGrid w:val="0"/>
        </w:rPr>
        <w:tab/>
        <w:t>Provisional lodgment</w:t>
      </w:r>
      <w:bookmarkEnd w:id="33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335" w:name="_Toc207801211"/>
      <w:r>
        <w:rPr>
          <w:rStyle w:val="CharSectno"/>
        </w:rPr>
        <w:t>122C</w:t>
      </w:r>
      <w:r>
        <w:rPr>
          <w:snapToGrid w:val="0"/>
        </w:rPr>
        <w:t>.</w:t>
      </w:r>
      <w:r>
        <w:rPr>
          <w:snapToGrid w:val="0"/>
        </w:rPr>
        <w:tab/>
        <w:t>Caveats deemed to be lodged against later tenements</w:t>
      </w:r>
      <w:bookmarkEnd w:id="335"/>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 amended: No. 31 of 2022 s. 37.]</w:t>
      </w:r>
    </w:p>
    <w:p>
      <w:pPr>
        <w:pStyle w:val="Heading5"/>
        <w:rPr>
          <w:snapToGrid w:val="0"/>
        </w:rPr>
      </w:pPr>
      <w:bookmarkStart w:id="336" w:name="_Toc207801212"/>
      <w:r>
        <w:rPr>
          <w:rStyle w:val="CharSectno"/>
        </w:rPr>
        <w:t>122D</w:t>
      </w:r>
      <w:r>
        <w:rPr>
          <w:snapToGrid w:val="0"/>
        </w:rPr>
        <w:t>.</w:t>
      </w:r>
      <w:r>
        <w:rPr>
          <w:snapToGrid w:val="0"/>
        </w:rPr>
        <w:tab/>
        <w:t>Effect of caveat</w:t>
      </w:r>
      <w:bookmarkEnd w:id="33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337" w:name="_Toc207801213"/>
      <w:r>
        <w:rPr>
          <w:rStyle w:val="CharSectno"/>
        </w:rPr>
        <w:t>122E</w:t>
      </w:r>
      <w:r>
        <w:rPr>
          <w:snapToGrid w:val="0"/>
        </w:rPr>
        <w:t>.</w:t>
      </w:r>
      <w:r>
        <w:rPr>
          <w:snapToGrid w:val="0"/>
        </w:rPr>
        <w:tab/>
        <w:t>Duration of caveat</w:t>
      </w:r>
      <w:bookmarkEnd w:id="33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338" w:name="_Toc207366046"/>
      <w:bookmarkStart w:id="339" w:name="_Toc207801214"/>
      <w:r>
        <w:rPr>
          <w:rStyle w:val="CharPartNo"/>
        </w:rPr>
        <w:lastRenderedPageBreak/>
        <w:t>Part VII</w:t>
      </w:r>
      <w:r>
        <w:rPr>
          <w:rStyle w:val="CharDivNo"/>
        </w:rPr>
        <w:t> </w:t>
      </w:r>
      <w:r>
        <w:t>—</w:t>
      </w:r>
      <w:r>
        <w:rPr>
          <w:rStyle w:val="CharDivText"/>
        </w:rPr>
        <w:t> </w:t>
      </w:r>
      <w:r>
        <w:rPr>
          <w:rStyle w:val="CharPartText"/>
        </w:rPr>
        <w:t>Compensation</w:t>
      </w:r>
      <w:bookmarkEnd w:id="338"/>
      <w:bookmarkEnd w:id="339"/>
    </w:p>
    <w:p>
      <w:pPr>
        <w:pStyle w:val="Heading5"/>
        <w:rPr>
          <w:snapToGrid w:val="0"/>
        </w:rPr>
      </w:pPr>
      <w:bookmarkStart w:id="340" w:name="_Toc207801215"/>
      <w:r>
        <w:rPr>
          <w:rStyle w:val="CharSectno"/>
        </w:rPr>
        <w:t>123</w:t>
      </w:r>
      <w:r>
        <w:rPr>
          <w:snapToGrid w:val="0"/>
        </w:rPr>
        <w:t>.</w:t>
      </w:r>
      <w:r>
        <w:rPr>
          <w:snapToGrid w:val="0"/>
        </w:rPr>
        <w:tab/>
        <w:t>Compensation in respect of mining</w:t>
      </w:r>
      <w:bookmarkEnd w:id="34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341" w:name="_Toc207801216"/>
      <w:r>
        <w:rPr>
          <w:rStyle w:val="CharSectno"/>
        </w:rPr>
        <w:lastRenderedPageBreak/>
        <w:t>124</w:t>
      </w:r>
      <w:r>
        <w:rPr>
          <w:snapToGrid w:val="0"/>
        </w:rPr>
        <w:t>.</w:t>
      </w:r>
      <w:r>
        <w:rPr>
          <w:snapToGrid w:val="0"/>
        </w:rPr>
        <w:tab/>
        <w:t>Matters to be considered by warden’s court in relation to compensation</w:t>
      </w:r>
      <w:bookmarkEnd w:id="341"/>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342" w:name="_Toc207801217"/>
      <w:r>
        <w:rPr>
          <w:rStyle w:val="CharSectno"/>
        </w:rPr>
        <w:t>125</w:t>
      </w:r>
      <w:r>
        <w:rPr>
          <w:snapToGrid w:val="0"/>
        </w:rPr>
        <w:t>.</w:t>
      </w:r>
      <w:r>
        <w:rPr>
          <w:snapToGrid w:val="0"/>
        </w:rPr>
        <w:tab/>
        <w:t>Limitation on compensation</w:t>
      </w:r>
      <w:bookmarkEnd w:id="342"/>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343" w:name="_Toc207801218"/>
      <w:r>
        <w:rPr>
          <w:rStyle w:val="CharSectno"/>
        </w:rPr>
        <w:t>125A</w:t>
      </w:r>
      <w:r>
        <w:rPr>
          <w:snapToGrid w:val="0"/>
        </w:rPr>
        <w:t>.</w:t>
      </w:r>
      <w:r>
        <w:rPr>
          <w:snapToGrid w:val="0"/>
        </w:rPr>
        <w:tab/>
        <w:t>Liability for payment of compensation to native title holders</w:t>
      </w:r>
      <w:bookmarkEnd w:id="34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344" w:name="_Toc207801219"/>
      <w:r>
        <w:rPr>
          <w:rStyle w:val="CharSectno"/>
        </w:rPr>
        <w:t>126</w:t>
      </w:r>
      <w:r>
        <w:rPr>
          <w:snapToGrid w:val="0"/>
        </w:rPr>
        <w:t>.</w:t>
      </w:r>
      <w:r>
        <w:rPr>
          <w:snapToGrid w:val="0"/>
        </w:rPr>
        <w:tab/>
        <w:t>Securities</w:t>
      </w:r>
      <w:bookmarkEnd w:id="344"/>
    </w:p>
    <w:p>
      <w:pPr>
        <w:pStyle w:val="Subsection"/>
        <w:rPr>
          <w:snapToGrid w:val="0"/>
        </w:rPr>
      </w:pPr>
      <w:r>
        <w:rPr>
          <w:snapToGrid w:val="0"/>
        </w:rPr>
        <w:tab/>
        <w:t>(1)</w:t>
      </w:r>
      <w:r>
        <w:rPr>
          <w:snapToGrid w:val="0"/>
        </w:rPr>
        <w:tab/>
        <w:t xml:space="preserve">A security referred to in </w:t>
      </w:r>
      <w:r>
        <w:t>section 26, 52(1), 60(1), 70F(1), 84A(1) or 103AV(1)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w:t>
      </w:r>
      <w:r>
        <w:t>section 26 or 103AV(1),</w:t>
      </w:r>
      <w:r>
        <w:rPr>
          <w:snapToGrid w:val="0"/>
        </w:rPr>
        <w:t xml:space="preserve">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 No. 31 of 2022 s. 38.]</w:t>
      </w:r>
    </w:p>
    <w:p>
      <w:pPr>
        <w:pStyle w:val="Heading2"/>
      </w:pPr>
      <w:bookmarkStart w:id="345" w:name="_Toc207366052"/>
      <w:bookmarkStart w:id="346" w:name="_Toc207801220"/>
      <w:r>
        <w:rPr>
          <w:rStyle w:val="CharPartNo"/>
        </w:rPr>
        <w:lastRenderedPageBreak/>
        <w:t>Part VIII</w:t>
      </w:r>
      <w:r>
        <w:rPr>
          <w:rStyle w:val="CharDivNo"/>
        </w:rPr>
        <w:t> </w:t>
      </w:r>
      <w:r>
        <w:t>—</w:t>
      </w:r>
      <w:r>
        <w:rPr>
          <w:rStyle w:val="CharDivText"/>
        </w:rPr>
        <w:t> </w:t>
      </w:r>
      <w:r>
        <w:rPr>
          <w:rStyle w:val="CharPartText"/>
        </w:rPr>
        <w:t>Administration of justice</w:t>
      </w:r>
      <w:bookmarkEnd w:id="345"/>
      <w:bookmarkEnd w:id="346"/>
    </w:p>
    <w:p>
      <w:pPr>
        <w:pStyle w:val="Heading5"/>
        <w:rPr>
          <w:snapToGrid w:val="0"/>
        </w:rPr>
      </w:pPr>
      <w:bookmarkStart w:id="347" w:name="_Toc207801221"/>
      <w:r>
        <w:rPr>
          <w:rStyle w:val="CharSectno"/>
        </w:rPr>
        <w:t>127</w:t>
      </w:r>
      <w:r>
        <w:rPr>
          <w:snapToGrid w:val="0"/>
        </w:rPr>
        <w:t>.</w:t>
      </w:r>
      <w:r>
        <w:rPr>
          <w:snapToGrid w:val="0"/>
        </w:rPr>
        <w:tab/>
        <w:t>Establishment of wardens’ courts</w:t>
      </w:r>
      <w:bookmarkEnd w:id="347"/>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348" w:name="_Toc207801222"/>
      <w:r>
        <w:rPr>
          <w:rStyle w:val="CharSectno"/>
        </w:rPr>
        <w:t>128</w:t>
      </w:r>
      <w:r>
        <w:rPr>
          <w:snapToGrid w:val="0"/>
        </w:rPr>
        <w:t>.</w:t>
      </w:r>
      <w:r>
        <w:rPr>
          <w:snapToGrid w:val="0"/>
        </w:rPr>
        <w:tab/>
        <w:t>Warden’s court to be court of record</w:t>
      </w:r>
      <w:bookmarkEnd w:id="34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349" w:name="_Toc207801223"/>
      <w:r>
        <w:rPr>
          <w:rStyle w:val="CharSectno"/>
        </w:rPr>
        <w:t>129</w:t>
      </w:r>
      <w:r>
        <w:rPr>
          <w:snapToGrid w:val="0"/>
        </w:rPr>
        <w:t>.</w:t>
      </w:r>
      <w:r>
        <w:rPr>
          <w:snapToGrid w:val="0"/>
        </w:rPr>
        <w:tab/>
        <w:t>Signing of process</w:t>
      </w:r>
      <w:bookmarkEnd w:id="34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350" w:name="_Toc207801224"/>
      <w:r>
        <w:rPr>
          <w:rStyle w:val="CharSectno"/>
        </w:rPr>
        <w:lastRenderedPageBreak/>
        <w:t>130</w:t>
      </w:r>
      <w:r>
        <w:rPr>
          <w:snapToGrid w:val="0"/>
        </w:rPr>
        <w:t>.</w:t>
      </w:r>
      <w:r>
        <w:rPr>
          <w:snapToGrid w:val="0"/>
        </w:rPr>
        <w:tab/>
        <w:t>Times for holding warden’s court</w:t>
      </w:r>
      <w:bookmarkEnd w:id="350"/>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351" w:name="_Toc207801225"/>
      <w:r>
        <w:rPr>
          <w:rStyle w:val="CharSectno"/>
        </w:rPr>
        <w:t>131</w:t>
      </w:r>
      <w:r>
        <w:rPr>
          <w:snapToGrid w:val="0"/>
        </w:rPr>
        <w:t>.</w:t>
      </w:r>
      <w:r>
        <w:rPr>
          <w:snapToGrid w:val="0"/>
        </w:rPr>
        <w:tab/>
        <w:t>Power of warden to act in absence of warden usually presiding</w:t>
      </w:r>
      <w:bookmarkEnd w:id="35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352" w:name="_Toc207801226"/>
      <w:r>
        <w:rPr>
          <w:rStyle w:val="CharSectno"/>
        </w:rPr>
        <w:t>132</w:t>
      </w:r>
      <w:r>
        <w:rPr>
          <w:snapToGrid w:val="0"/>
        </w:rPr>
        <w:t>.</w:t>
      </w:r>
      <w:r>
        <w:rPr>
          <w:snapToGrid w:val="0"/>
        </w:rPr>
        <w:tab/>
        <w:t>Jurisdiction of warden’s court</w:t>
      </w:r>
      <w:bookmarkEnd w:id="352"/>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353" w:name="_Toc207801227"/>
      <w:r>
        <w:rPr>
          <w:rStyle w:val="CharSectno"/>
        </w:rPr>
        <w:t>133</w:t>
      </w:r>
      <w:r>
        <w:t>.</w:t>
      </w:r>
      <w:r>
        <w:tab/>
        <w:t>Offences to be dealt with by magistrate</w:t>
      </w:r>
      <w:bookmarkEnd w:id="353"/>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354" w:name="_Toc207801228"/>
      <w:r>
        <w:rPr>
          <w:rStyle w:val="CharSectno"/>
        </w:rPr>
        <w:t>134</w:t>
      </w:r>
      <w:r>
        <w:rPr>
          <w:snapToGrid w:val="0"/>
        </w:rPr>
        <w:t>.</w:t>
      </w:r>
      <w:r>
        <w:rPr>
          <w:snapToGrid w:val="0"/>
        </w:rPr>
        <w:tab/>
        <w:t>Powers of warden’s court</w:t>
      </w:r>
      <w:bookmarkEnd w:id="354"/>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355" w:name="_Toc207801229"/>
      <w:r>
        <w:rPr>
          <w:rStyle w:val="CharSectno"/>
        </w:rPr>
        <w:lastRenderedPageBreak/>
        <w:t>135</w:t>
      </w:r>
      <w:r>
        <w:rPr>
          <w:snapToGrid w:val="0"/>
        </w:rPr>
        <w:t>.</w:t>
      </w:r>
      <w:r>
        <w:rPr>
          <w:snapToGrid w:val="0"/>
        </w:rPr>
        <w:tab/>
        <w:t>Summary determination by warden by consent</w:t>
      </w:r>
      <w:bookmarkEnd w:id="35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356" w:name="_Toc207801230"/>
      <w:r>
        <w:rPr>
          <w:rStyle w:val="CharSectno"/>
        </w:rPr>
        <w:t>136</w:t>
      </w:r>
      <w:r>
        <w:rPr>
          <w:snapToGrid w:val="0"/>
        </w:rPr>
        <w:t>.</w:t>
      </w:r>
      <w:r>
        <w:rPr>
          <w:snapToGrid w:val="0"/>
        </w:rPr>
        <w:tab/>
        <w:t>Practice and procedure in warden’s court</w:t>
      </w:r>
      <w:bookmarkEnd w:id="356"/>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keepNext/>
      </w:pPr>
      <w:r>
        <w:lastRenderedPageBreak/>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357" w:name="_Toc207801231"/>
      <w:r>
        <w:rPr>
          <w:rStyle w:val="CharSectno"/>
        </w:rPr>
        <w:t>137</w:t>
      </w:r>
      <w:r>
        <w:rPr>
          <w:snapToGrid w:val="0"/>
        </w:rPr>
        <w:t>.</w:t>
      </w:r>
      <w:r>
        <w:rPr>
          <w:snapToGrid w:val="0"/>
        </w:rPr>
        <w:tab/>
        <w:t>Records of evidence</w:t>
      </w:r>
      <w:bookmarkEnd w:id="357"/>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358" w:name="_Toc207801232"/>
      <w:r>
        <w:rPr>
          <w:rStyle w:val="CharSectno"/>
        </w:rPr>
        <w:t>138</w:t>
      </w:r>
      <w:r>
        <w:rPr>
          <w:snapToGrid w:val="0"/>
        </w:rPr>
        <w:t>.</w:t>
      </w:r>
      <w:r>
        <w:rPr>
          <w:snapToGrid w:val="0"/>
        </w:rPr>
        <w:tab/>
        <w:t>Mode of trial</w:t>
      </w:r>
      <w:bookmarkEnd w:id="35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 xml:space="preserve">Where a warden’s court, for any reason cannot be held at the time and place so appointed, the warden or in his place the </w:t>
      </w:r>
      <w:r>
        <w:rPr>
          <w:snapToGrid w:val="0"/>
        </w:rPr>
        <w:lastRenderedPageBreak/>
        <w:t>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359" w:name="_Toc207801233"/>
      <w:r>
        <w:rPr>
          <w:rStyle w:val="CharSectno"/>
        </w:rPr>
        <w:t>139</w:t>
      </w:r>
      <w:r>
        <w:rPr>
          <w:snapToGrid w:val="0"/>
        </w:rPr>
        <w:t>.</w:t>
      </w:r>
      <w:r>
        <w:rPr>
          <w:snapToGrid w:val="0"/>
        </w:rPr>
        <w:tab/>
        <w:t>Contempt of court</w:t>
      </w:r>
      <w:bookmarkEnd w:id="359"/>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lastRenderedPageBreak/>
        <w:tab/>
        <w:t>[Section 139 amended: No. 22 of 1990 s. 38.]</w:t>
      </w:r>
    </w:p>
    <w:p>
      <w:pPr>
        <w:pStyle w:val="Heading5"/>
      </w:pPr>
      <w:bookmarkStart w:id="360" w:name="_Toc207801234"/>
      <w:r>
        <w:rPr>
          <w:rStyle w:val="CharSectno"/>
        </w:rPr>
        <w:t>140</w:t>
      </w:r>
      <w:r>
        <w:t>.</w:t>
      </w:r>
      <w:r>
        <w:tab/>
        <w:t>Judgments, enforcement of</w:t>
      </w:r>
      <w:bookmarkEnd w:id="36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taken to be a judgment requiring the person to give possession of real or personal property to the other person.</w:t>
      </w:r>
    </w:p>
    <w:p>
      <w:pPr>
        <w:pStyle w:val="Footnotesection"/>
      </w:pPr>
      <w:r>
        <w:tab/>
        <w:t>[Section 140 inserted: No. 59 of 2004 s. 115; amended: No. 31 of 2022 s. 39.]</w:t>
      </w:r>
    </w:p>
    <w:p>
      <w:pPr>
        <w:pStyle w:val="Ednotesection"/>
      </w:pPr>
      <w:r>
        <w:t>[</w:t>
      </w:r>
      <w:r>
        <w:rPr>
          <w:b/>
        </w:rPr>
        <w:t>141.</w:t>
      </w:r>
      <w:r>
        <w:tab/>
        <w:t>Deleted: No. 59 of 2004 s. 115.]</w:t>
      </w:r>
    </w:p>
    <w:p>
      <w:pPr>
        <w:pStyle w:val="Heading5"/>
        <w:rPr>
          <w:snapToGrid w:val="0"/>
        </w:rPr>
      </w:pPr>
      <w:bookmarkStart w:id="361" w:name="_Toc207801235"/>
      <w:r>
        <w:rPr>
          <w:rStyle w:val="CharSectno"/>
        </w:rPr>
        <w:t>142</w:t>
      </w:r>
      <w:r>
        <w:rPr>
          <w:snapToGrid w:val="0"/>
        </w:rPr>
        <w:t>.</w:t>
      </w:r>
      <w:r>
        <w:rPr>
          <w:snapToGrid w:val="0"/>
        </w:rPr>
        <w:tab/>
        <w:t>Informality and amendment</w:t>
      </w:r>
      <w:bookmarkEnd w:id="361"/>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w:t>
      </w:r>
      <w:r>
        <w:rPr>
          <w:snapToGrid w:val="0"/>
        </w:rPr>
        <w:lastRenderedPageBreak/>
        <w:t>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362" w:name="_Toc207801236"/>
      <w:r>
        <w:rPr>
          <w:rStyle w:val="CharSectno"/>
        </w:rPr>
        <w:t>143</w:t>
      </w:r>
      <w:r>
        <w:rPr>
          <w:snapToGrid w:val="0"/>
        </w:rPr>
        <w:t>.</w:t>
      </w:r>
      <w:r>
        <w:rPr>
          <w:snapToGrid w:val="0"/>
        </w:rPr>
        <w:tab/>
        <w:t>Grant of injunction affecting mining tenement to be notified</w:t>
      </w:r>
      <w:bookmarkEnd w:id="362"/>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363" w:name="_Toc207801237"/>
      <w:r>
        <w:rPr>
          <w:rStyle w:val="CharSectno"/>
        </w:rPr>
        <w:lastRenderedPageBreak/>
        <w:t>146</w:t>
      </w:r>
      <w:r>
        <w:rPr>
          <w:snapToGrid w:val="0"/>
        </w:rPr>
        <w:t>.</w:t>
      </w:r>
      <w:r>
        <w:rPr>
          <w:snapToGrid w:val="0"/>
        </w:rPr>
        <w:tab/>
        <w:t>Reservation of questions of law: hearing and determination</w:t>
      </w:r>
      <w:bookmarkEnd w:id="36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364" w:name="_Toc207801238"/>
      <w:r>
        <w:rPr>
          <w:rStyle w:val="CharSectno"/>
        </w:rPr>
        <w:t>147</w:t>
      </w:r>
      <w:r>
        <w:rPr>
          <w:snapToGrid w:val="0"/>
        </w:rPr>
        <w:t>.</w:t>
      </w:r>
      <w:r>
        <w:rPr>
          <w:snapToGrid w:val="0"/>
        </w:rPr>
        <w:tab/>
        <w:t>Appeal to Supreme Court</w:t>
      </w:r>
      <w:bookmarkEnd w:id="364"/>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365" w:name="_Toc207801239"/>
      <w:r>
        <w:rPr>
          <w:rStyle w:val="CharSectno"/>
        </w:rPr>
        <w:lastRenderedPageBreak/>
        <w:t>148</w:t>
      </w:r>
      <w:r>
        <w:rPr>
          <w:snapToGrid w:val="0"/>
        </w:rPr>
        <w:t>.</w:t>
      </w:r>
      <w:r>
        <w:rPr>
          <w:snapToGrid w:val="0"/>
        </w:rPr>
        <w:tab/>
        <w:t>Procedure on appeal</w:t>
      </w:r>
      <w:bookmarkEnd w:id="36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keepNext/>
        <w:rPr>
          <w:snapToGrid w:val="0"/>
        </w:rPr>
      </w:pPr>
      <w:r>
        <w:rPr>
          <w:snapToGrid w:val="0"/>
        </w:rPr>
        <w:lastRenderedPageBreak/>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366" w:name="_Toc207801240"/>
      <w:r>
        <w:rPr>
          <w:rStyle w:val="CharSectno"/>
        </w:rPr>
        <w:t>149</w:t>
      </w:r>
      <w:r>
        <w:rPr>
          <w:snapToGrid w:val="0"/>
        </w:rPr>
        <w:t>.</w:t>
      </w:r>
      <w:r>
        <w:rPr>
          <w:snapToGrid w:val="0"/>
        </w:rPr>
        <w:tab/>
        <w:t>Power of Supreme Court on appeal</w:t>
      </w:r>
      <w:bookmarkEnd w:id="366"/>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lastRenderedPageBreak/>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367" w:name="_Toc207801241"/>
      <w:r>
        <w:rPr>
          <w:rStyle w:val="CharSectno"/>
        </w:rPr>
        <w:t>150</w:t>
      </w:r>
      <w:r>
        <w:rPr>
          <w:snapToGrid w:val="0"/>
        </w:rPr>
        <w:t>.</w:t>
      </w:r>
      <w:r>
        <w:rPr>
          <w:snapToGrid w:val="0"/>
        </w:rPr>
        <w:tab/>
        <w:t>Withdrawal or failure to prosecute appeal</w:t>
      </w:r>
      <w:bookmarkEnd w:id="367"/>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368" w:name="_Toc207801242"/>
      <w:r>
        <w:rPr>
          <w:rStyle w:val="CharSectno"/>
        </w:rPr>
        <w:t>151</w:t>
      </w:r>
      <w:r>
        <w:rPr>
          <w:snapToGrid w:val="0"/>
        </w:rPr>
        <w:t>.</w:t>
      </w:r>
      <w:r>
        <w:rPr>
          <w:snapToGrid w:val="0"/>
        </w:rPr>
        <w:tab/>
        <w:t>Limitation of right of appeal</w:t>
      </w:r>
      <w:bookmarkEnd w:id="368"/>
    </w:p>
    <w:p>
      <w:pPr>
        <w:pStyle w:val="Subsection"/>
        <w:rPr>
          <w:snapToGrid w:val="0"/>
        </w:rPr>
      </w:pPr>
      <w:r>
        <w:rPr>
          <w:snapToGrid w:val="0"/>
        </w:rPr>
        <w:tab/>
      </w:r>
      <w:r>
        <w:rPr>
          <w:snapToGrid w:val="0"/>
        </w:rPr>
        <w:tab/>
        <w:t xml:space="preserve">There shall be no right of appeal under this Part where at or before the hearing of any proceedings in the warden’s court the parties thereto have agreed by a memorandum in writing lodged </w:t>
      </w:r>
      <w:r>
        <w:rPr>
          <w:snapToGrid w:val="0"/>
        </w:rPr>
        <w:lastRenderedPageBreak/>
        <w:t>in the warden’s office, that the decision of the warden’s court therein shall be final.</w:t>
      </w:r>
    </w:p>
    <w:p>
      <w:pPr>
        <w:pStyle w:val="Footnotesection"/>
      </w:pPr>
      <w:r>
        <w:tab/>
        <w:t>[Section 151 amended: No. 58 of 1994 s. 49; No. 39 of 2004 s. 80.]</w:t>
      </w:r>
    </w:p>
    <w:p>
      <w:pPr>
        <w:pStyle w:val="Heading2"/>
      </w:pPr>
      <w:bookmarkStart w:id="369" w:name="_Toc207366075"/>
      <w:bookmarkStart w:id="370" w:name="_Toc207801243"/>
      <w:r>
        <w:rPr>
          <w:rStyle w:val="CharPartNo"/>
        </w:rPr>
        <w:lastRenderedPageBreak/>
        <w:t>Part IX</w:t>
      </w:r>
      <w:r>
        <w:rPr>
          <w:rStyle w:val="CharDivNo"/>
        </w:rPr>
        <w:t> </w:t>
      </w:r>
      <w:r>
        <w:t>—</w:t>
      </w:r>
      <w:r>
        <w:rPr>
          <w:rStyle w:val="CharDivText"/>
        </w:rPr>
        <w:t> </w:t>
      </w:r>
      <w:r>
        <w:rPr>
          <w:rStyle w:val="CharPartText"/>
        </w:rPr>
        <w:t>Miscellaneous and regulations</w:t>
      </w:r>
      <w:bookmarkEnd w:id="369"/>
      <w:bookmarkEnd w:id="370"/>
    </w:p>
    <w:p>
      <w:pPr>
        <w:pStyle w:val="Heading5"/>
        <w:rPr>
          <w:snapToGrid w:val="0"/>
        </w:rPr>
      </w:pPr>
      <w:bookmarkStart w:id="371" w:name="_Toc207801244"/>
      <w:r>
        <w:rPr>
          <w:rStyle w:val="CharSectno"/>
        </w:rPr>
        <w:t>152</w:t>
      </w:r>
      <w:r>
        <w:rPr>
          <w:snapToGrid w:val="0"/>
        </w:rPr>
        <w:t>.</w:t>
      </w:r>
      <w:r>
        <w:rPr>
          <w:snapToGrid w:val="0"/>
        </w:rPr>
        <w:tab/>
        <w:t>Police to assist warden</w:t>
      </w:r>
      <w:bookmarkEnd w:id="37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72" w:name="_Toc207801245"/>
      <w:r>
        <w:rPr>
          <w:rStyle w:val="CharSectno"/>
        </w:rPr>
        <w:t>153</w:t>
      </w:r>
      <w:r>
        <w:rPr>
          <w:snapToGrid w:val="0"/>
        </w:rPr>
        <w:t>.</w:t>
      </w:r>
      <w:r>
        <w:rPr>
          <w:snapToGrid w:val="0"/>
        </w:rPr>
        <w:tab/>
        <w:t>Minor capable of being sued and of suing</w:t>
      </w:r>
      <w:bookmarkEnd w:id="37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73" w:name="_Toc207801246"/>
      <w:r>
        <w:rPr>
          <w:rStyle w:val="CharSectno"/>
        </w:rPr>
        <w:t>154</w:t>
      </w:r>
      <w:r>
        <w:rPr>
          <w:snapToGrid w:val="0"/>
        </w:rPr>
        <w:t>.</w:t>
      </w:r>
      <w:r>
        <w:rPr>
          <w:snapToGrid w:val="0"/>
        </w:rPr>
        <w:tab/>
        <w:t>General penalty</w:t>
      </w:r>
      <w:bookmarkEnd w:id="37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374" w:name="_Toc207801247"/>
      <w:r>
        <w:rPr>
          <w:rStyle w:val="CharSectno"/>
        </w:rPr>
        <w:lastRenderedPageBreak/>
        <w:t>154A</w:t>
      </w:r>
      <w:r>
        <w:t>.</w:t>
      </w:r>
      <w:r>
        <w:tab/>
        <w:t>Liability of officers for offence by body corporate</w:t>
      </w:r>
      <w:bookmarkEnd w:id="374"/>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375" w:name="_Toc207801248"/>
      <w:r>
        <w:rPr>
          <w:rStyle w:val="CharSectno"/>
        </w:rPr>
        <w:t>155</w:t>
      </w:r>
      <w:r>
        <w:rPr>
          <w:snapToGrid w:val="0"/>
        </w:rPr>
        <w:t>.</w:t>
      </w:r>
      <w:r>
        <w:rPr>
          <w:snapToGrid w:val="0"/>
        </w:rPr>
        <w:tab/>
        <w:t>Offence of mining without authority</w:t>
      </w:r>
      <w:bookmarkEnd w:id="37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76" w:name="_Toc207801249"/>
      <w:r>
        <w:rPr>
          <w:rStyle w:val="CharSectno"/>
        </w:rPr>
        <w:t>155A</w:t>
      </w:r>
      <w:r>
        <w:rPr>
          <w:snapToGrid w:val="0"/>
        </w:rPr>
        <w:t>.</w:t>
      </w:r>
      <w:r>
        <w:rPr>
          <w:snapToGrid w:val="0"/>
        </w:rPr>
        <w:tab/>
        <w:t>Aerial survey work</w:t>
      </w:r>
      <w:bookmarkEnd w:id="37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77" w:name="_Toc207801250"/>
      <w:r>
        <w:rPr>
          <w:rStyle w:val="CharSectno"/>
        </w:rPr>
        <w:t>156</w:t>
      </w:r>
      <w:r>
        <w:rPr>
          <w:snapToGrid w:val="0"/>
        </w:rPr>
        <w:t>.</w:t>
      </w:r>
      <w:r>
        <w:rPr>
          <w:snapToGrid w:val="0"/>
        </w:rPr>
        <w:tab/>
        <w:t>Offences</w:t>
      </w:r>
      <w:bookmarkEnd w:id="37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pPr>
      <w:r>
        <w:tab/>
        <w:t>(i)</w:t>
      </w:r>
      <w:r>
        <w:tab/>
        <w:t>any warden; or</w:t>
      </w:r>
    </w:p>
    <w:p>
      <w:pPr>
        <w:pStyle w:val="Indenti"/>
        <w:rPr>
          <w:snapToGrid w:val="0"/>
        </w:rPr>
      </w:pPr>
      <w:r>
        <w:rPr>
          <w:snapToGrid w:val="0"/>
        </w:rPr>
        <w:tab/>
        <w:t>(ii)</w:t>
      </w:r>
      <w:r>
        <w:rPr>
          <w:snapToGrid w:val="0"/>
        </w:rPr>
        <w:tab/>
        <w:t xml:space="preserve">any </w:t>
      </w:r>
      <w:r>
        <w:t>public service officer or</w:t>
      </w:r>
      <w:r>
        <w:rPr>
          <w:snapToGrid w:val="0"/>
        </w:rPr>
        <w:t xml:space="preserve"> other person duly authorised under this Act to perform any act or </w:t>
      </w:r>
      <w:r>
        <w:rPr>
          <w:snapToGrid w:val="0"/>
        </w:rPr>
        <w:lastRenderedPageBreak/>
        <w:t>duty, in the course of performance of that act or duty,</w:t>
      </w:r>
    </w:p>
    <w:p>
      <w:pPr>
        <w:pStyle w:val="Indenta"/>
        <w:rPr>
          <w:snapToGrid w:val="0"/>
        </w:rPr>
      </w:pPr>
      <w:r>
        <w:rPr>
          <w:snapToGrid w:val="0"/>
        </w:rPr>
        <w:tab/>
      </w:r>
      <w:r>
        <w:rPr>
          <w:snapToGrid w:val="0"/>
        </w:rPr>
        <w:tab/>
        <w:t xml:space="preserve">or who when required to do so </w:t>
      </w:r>
      <w:r>
        <w:t>by the warden, officer or other person, fails to give the person’s</w:t>
      </w:r>
      <w:r>
        <w:rPr>
          <w:snapToGrid w:val="0"/>
        </w:rPr>
        <w:t xml:space="preserve">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 No. 7 of 2025 s. 12.]</w:t>
      </w:r>
    </w:p>
    <w:p>
      <w:pPr>
        <w:pStyle w:val="Heading5"/>
        <w:rPr>
          <w:snapToGrid w:val="0"/>
        </w:rPr>
      </w:pPr>
      <w:bookmarkStart w:id="378" w:name="_Toc207801251"/>
      <w:r>
        <w:rPr>
          <w:rStyle w:val="CharSectno"/>
        </w:rPr>
        <w:t>157</w:t>
      </w:r>
      <w:r>
        <w:rPr>
          <w:snapToGrid w:val="0"/>
        </w:rPr>
        <w:t>.</w:t>
      </w:r>
      <w:r>
        <w:rPr>
          <w:snapToGrid w:val="0"/>
        </w:rPr>
        <w:tab/>
        <w:t>Obstruction of persons authorised to mine under this Act</w:t>
      </w:r>
      <w:bookmarkEnd w:id="37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79" w:name="_Toc207801252"/>
      <w:r>
        <w:rPr>
          <w:rStyle w:val="CharSectno"/>
        </w:rPr>
        <w:t>158</w:t>
      </w:r>
      <w:r>
        <w:rPr>
          <w:snapToGrid w:val="0"/>
        </w:rPr>
        <w:t>.</w:t>
      </w:r>
      <w:r>
        <w:rPr>
          <w:snapToGrid w:val="0"/>
        </w:rPr>
        <w:tab/>
        <w:t>Power to require information as to right to mine</w:t>
      </w:r>
      <w:bookmarkEnd w:id="379"/>
    </w:p>
    <w:p>
      <w:pPr>
        <w:pStyle w:val="Subsection"/>
        <w:keepNext/>
        <w:rPr>
          <w:snapToGrid w:val="0"/>
        </w:rPr>
      </w:pPr>
      <w:r>
        <w:rPr>
          <w:snapToGrid w:val="0"/>
        </w:rPr>
        <w:tab/>
        <w:t>(1)</w:t>
      </w:r>
      <w:r>
        <w:rPr>
          <w:snapToGrid w:val="0"/>
        </w:rPr>
        <w:tab/>
        <w:t xml:space="preserve">Where there is reason to suspect that a person is mining on land without authority under this Act a member of the Police Force </w:t>
      </w:r>
      <w:r>
        <w:rPr>
          <w:snapToGrid w:val="0"/>
        </w:rPr>
        <w:lastRenderedPageBreak/>
        <w:t>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lastRenderedPageBreak/>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80" w:name="_Toc207801253"/>
      <w:r>
        <w:rPr>
          <w:rStyle w:val="CharSectno"/>
        </w:rPr>
        <w:t>159</w:t>
      </w:r>
      <w:r>
        <w:rPr>
          <w:snapToGrid w:val="0"/>
        </w:rPr>
        <w:t>.</w:t>
      </w:r>
      <w:r>
        <w:rPr>
          <w:snapToGrid w:val="0"/>
        </w:rPr>
        <w:tab/>
        <w:t>Disputes between licensees and other persons</w:t>
      </w:r>
      <w:bookmarkEnd w:id="38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lastRenderedPageBreak/>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81" w:name="_Toc207801254"/>
      <w:r>
        <w:rPr>
          <w:rStyle w:val="CharSectno"/>
        </w:rPr>
        <w:t>160</w:t>
      </w:r>
      <w:r>
        <w:rPr>
          <w:snapToGrid w:val="0"/>
        </w:rPr>
        <w:t>.</w:t>
      </w:r>
      <w:r>
        <w:rPr>
          <w:snapToGrid w:val="0"/>
        </w:rPr>
        <w:tab/>
        <w:t>Saving of civil remedies</w:t>
      </w:r>
      <w:bookmarkEnd w:id="381"/>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82" w:name="_Toc207801255"/>
      <w:r>
        <w:rPr>
          <w:rStyle w:val="CharSectno"/>
        </w:rPr>
        <w:t>160AA</w:t>
      </w:r>
      <w:r>
        <w:t>.</w:t>
      </w:r>
      <w:r>
        <w:tab/>
        <w:t>Authority to perform certain functions of LAA Minister under this Act</w:t>
      </w:r>
      <w:bookmarkEnd w:id="382"/>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lastRenderedPageBreak/>
        <w:tab/>
        <w:t>[Section 160AA inserted: No. 8 of 2010 s. 19; amended: No. 17 of 2014 s. 29.]</w:t>
      </w:r>
    </w:p>
    <w:p>
      <w:pPr>
        <w:pStyle w:val="Heading5"/>
      </w:pPr>
      <w:bookmarkStart w:id="383" w:name="_Toc207801256"/>
      <w:r>
        <w:rPr>
          <w:rStyle w:val="CharSectno"/>
        </w:rPr>
        <w:t>160AB</w:t>
      </w:r>
      <w:r>
        <w:t>.</w:t>
      </w:r>
      <w:r>
        <w:tab/>
        <w:t>Inspectors</w:t>
      </w:r>
      <w:bookmarkEnd w:id="383"/>
    </w:p>
    <w:p>
      <w:pPr>
        <w:pStyle w:val="Subsection"/>
      </w:pPr>
      <w:r>
        <w:tab/>
      </w:r>
      <w:r>
        <w:tab/>
        <w:t>The Minister may, by instrument in writing, appoint a person to be an inspector for all or some of the purposes of this Act specified in the instrument of appointment.</w:t>
      </w:r>
    </w:p>
    <w:p>
      <w:pPr>
        <w:pStyle w:val="Footnotesection"/>
      </w:pPr>
      <w:r>
        <w:tab/>
        <w:t>[Section 160AB inserted: No. 7 of 2025 s. 13.]</w:t>
      </w:r>
    </w:p>
    <w:p>
      <w:pPr>
        <w:pStyle w:val="Heading5"/>
        <w:spacing w:before="120"/>
        <w:rPr>
          <w:snapToGrid w:val="0"/>
        </w:rPr>
      </w:pPr>
      <w:bookmarkStart w:id="384" w:name="_Toc207801257"/>
      <w:r>
        <w:rPr>
          <w:rStyle w:val="CharSectno"/>
        </w:rPr>
        <w:t>160A</w:t>
      </w:r>
      <w:r>
        <w:rPr>
          <w:snapToGrid w:val="0"/>
        </w:rPr>
        <w:t>.</w:t>
      </w:r>
      <w:r>
        <w:rPr>
          <w:snapToGrid w:val="0"/>
        </w:rPr>
        <w:tab/>
        <w:t xml:space="preserve">Immunity of Minister, </w:t>
      </w:r>
      <w:r>
        <w:t>wardens</w:t>
      </w:r>
      <w:r>
        <w:rPr>
          <w:snapToGrid w:val="0"/>
        </w:rPr>
        <w:t xml:space="preserve"> and officials</w:t>
      </w:r>
      <w:bookmarkEnd w:id="384"/>
    </w:p>
    <w:p>
      <w:pPr>
        <w:pStyle w:val="Subsection"/>
        <w:spacing w:before="100"/>
        <w:rPr>
          <w:snapToGrid w:val="0"/>
        </w:rPr>
      </w:pPr>
      <w:r>
        <w:rPr>
          <w:snapToGrid w:val="0"/>
        </w:rPr>
        <w:tab/>
      </w:r>
      <w:r>
        <w:rPr>
          <w:snapToGrid w:val="0"/>
        </w:rPr>
        <w:tab/>
        <w:t xml:space="preserve">No liability shall attach to the Minister, a </w:t>
      </w:r>
      <w:r>
        <w:t>warden, a public service officer,</w:t>
      </w:r>
      <w:r>
        <w:rPr>
          <w:snapToGrid w:val="0"/>
        </w:rPr>
        <w:t xml:space="preserve">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 No. 7 of 2025 s. 14.]</w:t>
      </w:r>
    </w:p>
    <w:p>
      <w:pPr>
        <w:pStyle w:val="Heading5"/>
      </w:pPr>
      <w:bookmarkStart w:id="385" w:name="_Toc207801258"/>
      <w:r>
        <w:rPr>
          <w:rStyle w:val="CharSectno"/>
        </w:rPr>
        <w:t>160B</w:t>
      </w:r>
      <w:r>
        <w:t>.</w:t>
      </w:r>
      <w:r>
        <w:tab/>
        <w:t>Time limit for prosecution action</w:t>
      </w:r>
      <w:bookmarkEnd w:id="38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86" w:name="_Toc207801259"/>
      <w:r>
        <w:rPr>
          <w:rStyle w:val="CharSectno"/>
        </w:rPr>
        <w:t>160C</w:t>
      </w:r>
      <w:r>
        <w:t>.</w:t>
      </w:r>
      <w:r>
        <w:tab/>
        <w:t>No right of appeal from certain decisions of warden, mining registrar or Minister</w:t>
      </w:r>
      <w:bookmarkEnd w:id="38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lastRenderedPageBreak/>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keepNext/>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87" w:name="_Toc207801260"/>
      <w:r>
        <w:rPr>
          <w:rStyle w:val="CharSectno"/>
        </w:rPr>
        <w:t>160D</w:t>
      </w:r>
      <w:r>
        <w:t>.</w:t>
      </w:r>
      <w:r>
        <w:tab/>
        <w:t>Persons before whom affidavit may be sworn</w:t>
      </w:r>
      <w:bookmarkEnd w:id="38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88" w:name="_Toc207801261"/>
      <w:r>
        <w:rPr>
          <w:rStyle w:val="CharSectno"/>
        </w:rPr>
        <w:lastRenderedPageBreak/>
        <w:t>161</w:t>
      </w:r>
      <w:r>
        <w:rPr>
          <w:snapToGrid w:val="0"/>
        </w:rPr>
        <w:t>.</w:t>
      </w:r>
      <w:r>
        <w:rPr>
          <w:snapToGrid w:val="0"/>
        </w:rPr>
        <w:tab/>
        <w:t>Evidentiary provisions</w:t>
      </w:r>
      <w:bookmarkEnd w:id="38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lastRenderedPageBreak/>
        <w:tab/>
        <w:t>[Section 161 amended: No. 122 of 1982 s. 29; No. 37 of 1993 s. 23; No. 54 of 1996 s. 21; No. 5 of 1997 s. 41(2); No. 39 of 2004 s. 83; No. 84 of 2004 s. 80.]</w:t>
      </w:r>
    </w:p>
    <w:p>
      <w:pPr>
        <w:pStyle w:val="Heading5"/>
      </w:pPr>
      <w:bookmarkStart w:id="389" w:name="_Toc207801262"/>
      <w:r>
        <w:rPr>
          <w:rStyle w:val="CharSectno"/>
        </w:rPr>
        <w:t>162A</w:t>
      </w:r>
      <w:r>
        <w:t>.</w:t>
      </w:r>
      <w:r>
        <w:tab/>
        <w:t xml:space="preserve">Certain things are not personal property for purposes of </w:t>
      </w:r>
      <w:r>
        <w:rPr>
          <w:i/>
          <w:iCs/>
        </w:rPr>
        <w:t>Personal Property Securities Act 2009</w:t>
      </w:r>
      <w:r>
        <w:t xml:space="preserve"> (Cwlth)</w:t>
      </w:r>
      <w:bookmarkEnd w:id="38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90" w:name="_Toc207801263"/>
      <w:r>
        <w:rPr>
          <w:rStyle w:val="CharSectno"/>
        </w:rPr>
        <w:t>162B</w:t>
      </w:r>
      <w:r>
        <w:t>.</w:t>
      </w:r>
      <w:r>
        <w:tab/>
        <w:t>Extension of prescribed period or time</w:t>
      </w:r>
      <w:bookmarkEnd w:id="39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91" w:name="_Toc207801264"/>
      <w:r>
        <w:rPr>
          <w:rStyle w:val="CharSectno"/>
        </w:rPr>
        <w:lastRenderedPageBreak/>
        <w:t>162</w:t>
      </w:r>
      <w:r>
        <w:rPr>
          <w:snapToGrid w:val="0"/>
        </w:rPr>
        <w:t>.</w:t>
      </w:r>
      <w:r>
        <w:rPr>
          <w:snapToGrid w:val="0"/>
        </w:rPr>
        <w:tab/>
        <w:t>Regulations</w:t>
      </w:r>
      <w:bookmarkEnd w:id="391"/>
    </w:p>
    <w:p>
      <w:pPr>
        <w:pStyle w:val="Subsection"/>
        <w:rPr>
          <w:snapToGrid w:val="0"/>
        </w:rPr>
      </w:pPr>
      <w:r>
        <w:rPr>
          <w:snapToGrid w:val="0"/>
        </w:rPr>
        <w:tab/>
        <w:t>(1)</w:t>
      </w:r>
      <w:r>
        <w:rPr>
          <w:snapToGrid w:val="0"/>
        </w:rPr>
        <w:tab/>
        <w:t xml:space="preserve">The Governor may make such regulations as are contemplated by this Act, or as </w:t>
      </w:r>
      <w:r>
        <w:t xml:space="preserve">the Governor thinks </w:t>
      </w:r>
      <w:r>
        <w:rPr>
          <w:snapToGrid w:val="0"/>
        </w:rPr>
        <w:t>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 xml:space="preserve">authorise an inspector appointed under </w:t>
      </w:r>
      <w:r>
        <w:t>section 160AB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lastRenderedPageBreak/>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lastRenderedPageBreak/>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 xml:space="preserve">provide for matters relating to the giving of information, a document, a notice or a notification required or permitted to be given under this Act (including the </w:t>
      </w:r>
      <w:r>
        <w:lastRenderedPageBreak/>
        <w:t>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pPr>
      <w:r>
        <w:tab/>
        <w:t>(f)</w:t>
      </w:r>
      <w:r>
        <w:tab/>
        <w:t>prescribe how and when rent for a mining tenement is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sections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lastRenderedPageBreak/>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lastRenderedPageBreak/>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lastRenderedPageBreak/>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 xml:space="preserve">prescribe and regulate the responsibilities of the holders of mining tenements as to authorising, or obtaining </w:t>
      </w:r>
      <w:r>
        <w:rPr>
          <w:snapToGrid w:val="0"/>
        </w:rPr>
        <w:lastRenderedPageBreak/>
        <w:t>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31 of 2022 s. 40; No. 39 of 2022 s. 16; No. 7 of 2025 s. 15.]</w:t>
      </w:r>
    </w:p>
    <w:p>
      <w:pPr>
        <w:pStyle w:val="Heading5"/>
      </w:pPr>
      <w:bookmarkStart w:id="392" w:name="_Toc207801265"/>
      <w:r>
        <w:rPr>
          <w:rStyle w:val="CharSectno"/>
        </w:rPr>
        <w:lastRenderedPageBreak/>
        <w:t>163</w:t>
      </w:r>
      <w:r>
        <w:t>.</w:t>
      </w:r>
      <w:r>
        <w:tab/>
        <w:t>Review of Act</w:t>
      </w:r>
      <w:bookmarkEnd w:id="39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393" w:name="_Toc207366098"/>
      <w:bookmarkStart w:id="394" w:name="_Toc207801266"/>
      <w:r>
        <w:rPr>
          <w:rStyle w:val="CharSchNo"/>
        </w:rPr>
        <w:lastRenderedPageBreak/>
        <w:t>Second Schedule</w:t>
      </w:r>
      <w:r>
        <w:t> — </w:t>
      </w:r>
      <w:r>
        <w:rPr>
          <w:rStyle w:val="CharSchText"/>
        </w:rPr>
        <w:t>Transitional provisions</w:t>
      </w:r>
      <w:bookmarkEnd w:id="393"/>
      <w:bookmarkEnd w:id="394"/>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95" w:name="_Toc207366099"/>
      <w:bookmarkStart w:id="396" w:name="_Toc207801267"/>
      <w:r>
        <w:rPr>
          <w:rStyle w:val="CharSDivNo"/>
        </w:rPr>
        <w:t>Division 1</w:t>
      </w:r>
      <w:r>
        <w:rPr>
          <w:b w:val="0"/>
        </w:rPr>
        <w:t> — </w:t>
      </w:r>
      <w:r>
        <w:rPr>
          <w:rStyle w:val="CharSDivText"/>
        </w:rPr>
        <w:t>Provisions relating to transition from repealed Act</w:t>
      </w:r>
      <w:bookmarkEnd w:id="395"/>
      <w:bookmarkEnd w:id="396"/>
    </w:p>
    <w:p>
      <w:pPr>
        <w:pStyle w:val="yFootnoteheading"/>
        <w:rPr>
          <w:snapToGrid w:val="0"/>
        </w:rPr>
      </w:pPr>
      <w:r>
        <w:rPr>
          <w:snapToGrid w:val="0"/>
        </w:rPr>
        <w:tab/>
        <w:t>[Heading inserted: No. 51 of 2012 s. 42.]</w:t>
      </w:r>
    </w:p>
    <w:p>
      <w:pPr>
        <w:pStyle w:val="yHeading5"/>
      </w:pPr>
      <w:bookmarkStart w:id="397" w:name="_Toc207801268"/>
      <w:r>
        <w:rPr>
          <w:rStyle w:val="CharSClsNo"/>
        </w:rPr>
        <w:t>1</w:t>
      </w:r>
      <w:r>
        <w:t>.</w:t>
      </w:r>
      <w:r>
        <w:tab/>
        <w:t>Continuation of certain temporary reserves and rights of occupancy</w:t>
      </w:r>
      <w:bookmarkEnd w:id="397"/>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98" w:name="_Toc207801269"/>
      <w:r>
        <w:rPr>
          <w:rStyle w:val="CharSClsNo"/>
        </w:rPr>
        <w:t>2</w:t>
      </w:r>
      <w:r>
        <w:t>.</w:t>
      </w:r>
      <w:r>
        <w:tab/>
        <w:t>Certain gold mining leases, coal mining leases and mineral leases to become mining leases</w:t>
      </w:r>
      <w:bookmarkEnd w:id="398"/>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99" w:name="_Toc207801270"/>
      <w:r>
        <w:rPr>
          <w:rStyle w:val="CharSClsNo"/>
        </w:rPr>
        <w:t>3</w:t>
      </w:r>
      <w:r>
        <w:t>.</w:t>
      </w:r>
      <w:r>
        <w:tab/>
        <w:t>Rights conferred on holders of certain mineral claims and dredging claims</w:t>
      </w:r>
      <w:bookmarkEnd w:id="399"/>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400" w:name="_Toc207801271"/>
      <w:r>
        <w:rPr>
          <w:rStyle w:val="CharSClsNo"/>
        </w:rPr>
        <w:t>4</w:t>
      </w:r>
      <w:r>
        <w:t>.</w:t>
      </w:r>
      <w:r>
        <w:tab/>
        <w:t>Rights conferred on holders of certain miners’ homestead leases, residential leases, residence areas, business areas and garden areas</w:t>
      </w:r>
      <w:bookmarkEnd w:id="400"/>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401" w:name="_Toc207801272"/>
      <w:r>
        <w:rPr>
          <w:rStyle w:val="CharSClsNo"/>
        </w:rPr>
        <w:t>5</w:t>
      </w:r>
      <w:r>
        <w:t>.</w:t>
      </w:r>
      <w:r>
        <w:tab/>
        <w:t>Continuation of mining tenements held by virtue of miners’ rights</w:t>
      </w:r>
      <w:bookmarkEnd w:id="40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402" w:name="_Toc207801273"/>
      <w:r>
        <w:rPr>
          <w:rStyle w:val="CharSClsNo"/>
        </w:rPr>
        <w:t>6</w:t>
      </w:r>
      <w:r>
        <w:t>.</w:t>
      </w:r>
      <w:r>
        <w:tab/>
        <w:t>Temporary continuation of certain machinery areas, tailings areas, quarrying areas and water rights</w:t>
      </w:r>
      <w:bookmarkEnd w:id="402"/>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403" w:name="_Toc207801274"/>
      <w:r>
        <w:rPr>
          <w:rStyle w:val="CharSClsNo"/>
        </w:rPr>
        <w:t>7</w:t>
      </w:r>
      <w:r>
        <w:t>.</w:t>
      </w:r>
      <w:r>
        <w:tab/>
        <w:t>Continuation of certain licences</w:t>
      </w:r>
      <w:bookmarkEnd w:id="403"/>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404" w:name="_Toc207801275"/>
      <w:r>
        <w:rPr>
          <w:rStyle w:val="CharSClsNo"/>
        </w:rPr>
        <w:t>8</w:t>
      </w:r>
      <w:r>
        <w:t>.</w:t>
      </w:r>
      <w:r>
        <w:tab/>
        <w:t>Disposal of pending applications for mining tenements</w:t>
      </w:r>
      <w:bookmarkEnd w:id="40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405" w:name="_Toc207801276"/>
      <w:r>
        <w:rPr>
          <w:rStyle w:val="CharSClsNo"/>
        </w:rPr>
        <w:t>9</w:t>
      </w:r>
      <w:r>
        <w:t>.</w:t>
      </w:r>
      <w:r>
        <w:tab/>
        <w:t>Rights of holders of certain prospecting areas</w:t>
      </w:r>
      <w:bookmarkEnd w:id="405"/>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406" w:name="_Toc207801277"/>
      <w:r>
        <w:rPr>
          <w:rStyle w:val="CharSClsNo"/>
        </w:rPr>
        <w:t>10</w:t>
      </w:r>
      <w:r>
        <w:t>.</w:t>
      </w:r>
      <w:r>
        <w:tab/>
        <w:t>Transitional provisions relating to mortgages</w:t>
      </w:r>
      <w:bookmarkEnd w:id="40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407" w:name="_Toc207801278"/>
      <w:r>
        <w:rPr>
          <w:rStyle w:val="CharSClsNo"/>
        </w:rPr>
        <w:t>11</w:t>
      </w:r>
      <w:r>
        <w:t>.</w:t>
      </w:r>
      <w:r>
        <w:tab/>
        <w:t>Officers</w:t>
      </w:r>
      <w:bookmarkEnd w:id="407"/>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408" w:name="_Toc207801279"/>
      <w:r>
        <w:t>12.</w:t>
      </w:r>
      <w:r>
        <w:tab/>
        <w:t>Warden’s courts and warden’s offices</w:t>
      </w:r>
      <w:bookmarkEnd w:id="40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409" w:name="_Toc207801280"/>
      <w:r>
        <w:t>13.</w:t>
      </w:r>
      <w:r>
        <w:tab/>
        <w:t>Lodging of certain applications</w:t>
      </w:r>
      <w:bookmarkEnd w:id="409"/>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lastRenderedPageBreak/>
        <w:tab/>
        <w:t>[Clause 13 inserted: No. 69 of 1981 s. 29; amended: No. 37 of 1993 s. 26; No. 12 of 2010 s. 43; amended: Gazette 22 Jul 2016 p. 3134.]</w:t>
      </w:r>
    </w:p>
    <w:p>
      <w:pPr>
        <w:pStyle w:val="yHeading5"/>
      </w:pPr>
      <w:bookmarkStart w:id="410" w:name="_Toc207801281"/>
      <w:r>
        <w:rPr>
          <w:rStyle w:val="CharSClsNo"/>
        </w:rPr>
        <w:t>13A</w:t>
      </w:r>
      <w:r>
        <w:t>.</w:t>
      </w:r>
      <w:r>
        <w:tab/>
        <w:t>Consents to follow land</w:t>
      </w:r>
      <w:bookmarkEnd w:id="41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411" w:name="_Toc207801282"/>
      <w:r>
        <w:rPr>
          <w:rStyle w:val="CharSClsNo"/>
        </w:rPr>
        <w:t>14</w:t>
      </w:r>
      <w:r>
        <w:t>.</w:t>
      </w:r>
      <w:r>
        <w:tab/>
        <w:t>References to repealed Act</w:t>
      </w:r>
      <w:bookmarkEnd w:id="41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412" w:name="_Toc207801283"/>
      <w:r>
        <w:rPr>
          <w:rStyle w:val="CharSClsNo"/>
        </w:rPr>
        <w:lastRenderedPageBreak/>
        <w:t>15</w:t>
      </w:r>
      <w:r>
        <w:t>.</w:t>
      </w:r>
      <w:r>
        <w:tab/>
        <w:t>Prevention of anomalies during transitional period</w:t>
      </w:r>
      <w:bookmarkEnd w:id="412"/>
    </w:p>
    <w:p>
      <w:pPr>
        <w:pStyle w:val="ySubsection"/>
        <w:keepNext/>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413" w:name="_Toc207366116"/>
      <w:bookmarkStart w:id="414" w:name="_Toc207801284"/>
      <w:r>
        <w:rPr>
          <w:rStyle w:val="CharSDivNo"/>
        </w:rPr>
        <w:t>Division 2</w:t>
      </w:r>
      <w:r>
        <w:rPr>
          <w:b w:val="0"/>
        </w:rPr>
        <w:t> — </w:t>
      </w:r>
      <w:r>
        <w:rPr>
          <w:rStyle w:val="CharSDivText"/>
        </w:rPr>
        <w:t xml:space="preserve">Provisions relating to </w:t>
      </w:r>
      <w:r>
        <w:rPr>
          <w:rStyle w:val="CharSDivText"/>
          <w:i/>
        </w:rPr>
        <w:t>Mining Amendment Act 2012</w:t>
      </w:r>
      <w:bookmarkEnd w:id="413"/>
      <w:bookmarkEnd w:id="414"/>
    </w:p>
    <w:p>
      <w:pPr>
        <w:pStyle w:val="yFootnoteheading"/>
        <w:rPr>
          <w:snapToGrid w:val="0"/>
        </w:rPr>
      </w:pPr>
      <w:r>
        <w:rPr>
          <w:snapToGrid w:val="0"/>
        </w:rPr>
        <w:tab/>
        <w:t>[Heading inserted: No. 51 of 2012 s. 43.]</w:t>
      </w:r>
    </w:p>
    <w:p>
      <w:pPr>
        <w:pStyle w:val="yHeading5"/>
      </w:pPr>
      <w:bookmarkStart w:id="415" w:name="_Toc207801285"/>
      <w:r>
        <w:rPr>
          <w:rStyle w:val="CharSClsNo"/>
        </w:rPr>
        <w:t>16</w:t>
      </w:r>
      <w:r>
        <w:t>.</w:t>
      </w:r>
      <w:r>
        <w:tab/>
        <w:t>Miner’s rights</w:t>
      </w:r>
      <w:bookmarkEnd w:id="41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416" w:name="_Toc207801286"/>
      <w:r>
        <w:rPr>
          <w:rStyle w:val="CharSClsNo"/>
        </w:rPr>
        <w:t>17</w:t>
      </w:r>
      <w:r>
        <w:t>.</w:t>
      </w:r>
      <w:r>
        <w:tab/>
        <w:t>Surrender requirements</w:t>
      </w:r>
      <w:bookmarkEnd w:id="416"/>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417" w:name="_Toc207801287"/>
      <w:r>
        <w:rPr>
          <w:rStyle w:val="CharSClsNo"/>
        </w:rPr>
        <w:t>18</w:t>
      </w:r>
      <w:r>
        <w:t>.</w:t>
      </w:r>
      <w:r>
        <w:tab/>
        <w:t>Commonwealth land</w:t>
      </w:r>
      <w:bookmarkEnd w:id="417"/>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418" w:name="_Toc207801288"/>
      <w:r>
        <w:rPr>
          <w:rStyle w:val="CharSClsNo"/>
        </w:rPr>
        <w:t>19</w:t>
      </w:r>
      <w:r>
        <w:t>.</w:t>
      </w:r>
      <w:r>
        <w:tab/>
        <w:t>Time limit for prosecution action</w:t>
      </w:r>
      <w:bookmarkEnd w:id="41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pStyle w:val="yHeading3"/>
      </w:pPr>
      <w:bookmarkStart w:id="419" w:name="_Toc207366121"/>
      <w:bookmarkStart w:id="420" w:name="_Toc207801289"/>
      <w:r>
        <w:rPr>
          <w:rStyle w:val="CharSDivNo"/>
        </w:rPr>
        <w:t>Division 3</w:t>
      </w:r>
      <w:r>
        <w:t> — </w:t>
      </w:r>
      <w:r>
        <w:rPr>
          <w:rStyle w:val="CharSDivText"/>
        </w:rPr>
        <w:t xml:space="preserve">Provisions relating to </w:t>
      </w:r>
      <w:r>
        <w:rPr>
          <w:rStyle w:val="CharSDivText"/>
          <w:i/>
        </w:rPr>
        <w:t>Mining Amendment Act 2022</w:t>
      </w:r>
      <w:bookmarkEnd w:id="419"/>
      <w:bookmarkEnd w:id="420"/>
    </w:p>
    <w:p>
      <w:pPr>
        <w:pStyle w:val="yFootnoteheading"/>
        <w:rPr>
          <w:snapToGrid w:val="0"/>
        </w:rPr>
      </w:pPr>
      <w:r>
        <w:rPr>
          <w:snapToGrid w:val="0"/>
        </w:rPr>
        <w:tab/>
        <w:t>[Heading inserted: No. 31 of 2022 s. 41.]</w:t>
      </w:r>
    </w:p>
    <w:p>
      <w:pPr>
        <w:pStyle w:val="yHeading5"/>
      </w:pPr>
      <w:bookmarkStart w:id="421" w:name="_Toc207801290"/>
      <w:r>
        <w:rPr>
          <w:rStyle w:val="CharSClsNo"/>
        </w:rPr>
        <w:t>20</w:t>
      </w:r>
      <w:r>
        <w:t>.</w:t>
      </w:r>
      <w:r>
        <w:tab/>
        <w:t>Terms used</w:t>
      </w:r>
      <w:bookmarkEnd w:id="42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Mining Amendment Act 2022</w:t>
      </w:r>
      <w:r>
        <w:t xml:space="preserve"> section 34 comes into operation;</w:t>
      </w:r>
    </w:p>
    <w:p>
      <w:pPr>
        <w:pStyle w:val="yDefstart"/>
      </w:pPr>
      <w:r>
        <w:tab/>
      </w:r>
      <w:r>
        <w:rPr>
          <w:rStyle w:val="CharDefText"/>
        </w:rPr>
        <w:t>former</w:t>
      </w:r>
      <w:r>
        <w:t>, in relation to a provision, means the provision as in force immediately before commencement day.</w:t>
      </w:r>
    </w:p>
    <w:p>
      <w:pPr>
        <w:pStyle w:val="yFootnotesection"/>
      </w:pPr>
      <w:r>
        <w:tab/>
        <w:t>[Clause 20 inserted: No. 31 of 2022 s. 41.]</w:t>
      </w:r>
    </w:p>
    <w:p>
      <w:pPr>
        <w:pStyle w:val="yHeading5"/>
      </w:pPr>
      <w:bookmarkStart w:id="422" w:name="_Toc207801291"/>
      <w:r>
        <w:rPr>
          <w:rStyle w:val="CharSClsNo"/>
        </w:rPr>
        <w:t>21</w:t>
      </w:r>
      <w:r>
        <w:t>.</w:t>
      </w:r>
      <w:r>
        <w:tab/>
        <w:t>Continuation of conditions for prevention or reduction of injury to land</w:t>
      </w:r>
      <w:bookmarkEnd w:id="422"/>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46A; or</w:t>
      </w:r>
    </w:p>
    <w:p>
      <w:pPr>
        <w:pStyle w:val="yDefpara"/>
      </w:pPr>
      <w:r>
        <w:tab/>
        <w:t>(b)</w:t>
      </w:r>
      <w:r>
        <w:tab/>
        <w:t>former section 63AA; or</w:t>
      </w:r>
    </w:p>
    <w:p>
      <w:pPr>
        <w:pStyle w:val="yDefpara"/>
      </w:pPr>
      <w:r>
        <w:tab/>
        <w:t>(c)</w:t>
      </w:r>
      <w:r>
        <w:tab/>
        <w:t>former section 70I; or</w:t>
      </w:r>
    </w:p>
    <w:p>
      <w:pPr>
        <w:pStyle w:val="yDefpara"/>
      </w:pPr>
      <w:r>
        <w:tab/>
        <w:t>(d)</w:t>
      </w:r>
      <w:r>
        <w:tab/>
        <w:t>former section 84.</w:t>
      </w:r>
    </w:p>
    <w:p>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pPr>
        <w:pStyle w:val="ySubsection"/>
      </w:pPr>
      <w:r>
        <w:tab/>
        <w:t>(3)</w:t>
      </w:r>
      <w:r>
        <w:tab/>
        <w:t>Subclause (2) applies whether or not the condition is of a kind that, on or after commencement day, could be imposed on the mining tenement under section 103AU(1).</w:t>
      </w:r>
    </w:p>
    <w:p>
      <w:pPr>
        <w:pStyle w:val="yFootnotesection"/>
      </w:pPr>
      <w:r>
        <w:tab/>
        <w:t>[Clause 21 inserted: No. 31 of 2022 s. 41.]</w:t>
      </w:r>
    </w:p>
    <w:p>
      <w:pPr>
        <w:pStyle w:val="yHeading5"/>
      </w:pPr>
      <w:bookmarkStart w:id="423" w:name="_Toc207801292"/>
      <w:r>
        <w:rPr>
          <w:rStyle w:val="CharSClsNo"/>
        </w:rPr>
        <w:lastRenderedPageBreak/>
        <w:t>22</w:t>
      </w:r>
      <w:r>
        <w:t>.</w:t>
      </w:r>
      <w:r>
        <w:tab/>
        <w:t>Continuation of securities</w:t>
      </w:r>
      <w:bookmarkEnd w:id="423"/>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52(1a); or</w:t>
      </w:r>
    </w:p>
    <w:p>
      <w:pPr>
        <w:pStyle w:val="yDefpara"/>
      </w:pPr>
      <w:r>
        <w:tab/>
        <w:t>(b)</w:t>
      </w:r>
      <w:r>
        <w:tab/>
        <w:t>former section 60(1a); or</w:t>
      </w:r>
    </w:p>
    <w:p>
      <w:pPr>
        <w:pStyle w:val="yDefpara"/>
      </w:pPr>
      <w:r>
        <w:tab/>
        <w:t>(c)</w:t>
      </w:r>
      <w:r>
        <w:tab/>
        <w:t>former section 70F(2); or</w:t>
      </w:r>
    </w:p>
    <w:p>
      <w:pPr>
        <w:pStyle w:val="yDefpara"/>
      </w:pPr>
      <w:r>
        <w:tab/>
        <w:t>(d)</w:t>
      </w:r>
      <w:r>
        <w:tab/>
        <w:t>former section 84A(2).</w:t>
      </w:r>
    </w:p>
    <w:p>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pPr>
        <w:pStyle w:val="yFootnotesection"/>
      </w:pPr>
      <w:r>
        <w:tab/>
        <w:t>[Clause 22 inserted: No. 31 of 2022 s. 41.]</w:t>
      </w:r>
    </w:p>
    <w:p>
      <w:pPr>
        <w:pStyle w:val="yHeading5"/>
      </w:pPr>
      <w:bookmarkStart w:id="424" w:name="_Toc207801293"/>
      <w:r>
        <w:rPr>
          <w:rStyle w:val="CharSClsNo"/>
        </w:rPr>
        <w:t>23</w:t>
      </w:r>
      <w:r>
        <w:t>.</w:t>
      </w:r>
      <w:r>
        <w:tab/>
        <w:t>Transitional provisions for programmes of work</w:t>
      </w:r>
      <w:bookmarkEnd w:id="424"/>
    </w:p>
    <w:p>
      <w:pPr>
        <w:pStyle w:val="ySubsection"/>
      </w:pPr>
      <w:r>
        <w:tab/>
        <w:t>(1)</w:t>
      </w:r>
      <w:r>
        <w:tab/>
        <w:t xml:space="preserve">In this clause — </w:t>
      </w:r>
    </w:p>
    <w:p>
      <w:pPr>
        <w:pStyle w:val="yDefstart"/>
      </w:pPr>
      <w:r>
        <w:tab/>
      </w:r>
      <w:r>
        <w:rPr>
          <w:rStyle w:val="CharDefText"/>
        </w:rPr>
        <w:t>existing undetermined programme of work</w:t>
      </w:r>
      <w:r>
        <w:t xml:space="preserve"> means a programme of work that — </w:t>
      </w:r>
    </w:p>
    <w:p>
      <w:pPr>
        <w:pStyle w:val="yDefpara"/>
      </w:pPr>
      <w:r>
        <w:tab/>
        <w:t>(a)</w:t>
      </w:r>
      <w:r>
        <w:tab/>
        <w:t>was lodged before commencement day in accordance with a former provision; and</w:t>
      </w:r>
    </w:p>
    <w:p>
      <w:pPr>
        <w:pStyle w:val="yDefpara"/>
      </w:pPr>
      <w:r>
        <w:tab/>
        <w:t>(b)</w:t>
      </w:r>
      <w:r>
        <w:tab/>
        <w:t>was not, before commencement day, approved or refused to be approved as described in that former provision;</w:t>
      </w:r>
    </w:p>
    <w:p>
      <w:pPr>
        <w:pStyle w:val="yDefstart"/>
      </w:pPr>
      <w:r>
        <w:tab/>
      </w:r>
      <w:r>
        <w:rPr>
          <w:rStyle w:val="CharDefText"/>
        </w:rPr>
        <w:t>former provision</w:t>
      </w:r>
      <w:r>
        <w:t xml:space="preserve"> means — </w:t>
      </w:r>
    </w:p>
    <w:p>
      <w:pPr>
        <w:pStyle w:val="yDefpara"/>
      </w:pPr>
      <w:r>
        <w:tab/>
        <w:t>(a)</w:t>
      </w:r>
      <w:r>
        <w:tab/>
        <w:t>former section 46(aa); or</w:t>
      </w:r>
    </w:p>
    <w:p>
      <w:pPr>
        <w:pStyle w:val="yDefpara"/>
      </w:pPr>
      <w:r>
        <w:tab/>
        <w:t>(b)</w:t>
      </w:r>
      <w:r>
        <w:tab/>
        <w:t>former section 63(aa); or</w:t>
      </w:r>
    </w:p>
    <w:p>
      <w:pPr>
        <w:pStyle w:val="yDefpara"/>
      </w:pPr>
      <w:r>
        <w:tab/>
        <w:t>(c)</w:t>
      </w:r>
      <w:r>
        <w:tab/>
        <w:t>former section 70H(1)(aa); or</w:t>
      </w:r>
    </w:p>
    <w:p>
      <w:pPr>
        <w:pStyle w:val="yDefpara"/>
      </w:pPr>
      <w:r>
        <w:tab/>
        <w:t>(d)</w:t>
      </w:r>
      <w:r>
        <w:tab/>
        <w:t>former section 82(1)(ca)(i);</w:t>
      </w:r>
    </w:p>
    <w:p>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pPr>
        <w:pStyle w:val="ySubsection"/>
        <w:keepNext/>
      </w:pPr>
      <w:r>
        <w:lastRenderedPageBreak/>
        <w:tab/>
        <w:t>(2)</w:t>
      </w:r>
      <w:r>
        <w:tab/>
        <w:t xml:space="preserve">On and from commencement day — </w:t>
      </w:r>
    </w:p>
    <w:p>
      <w:pPr>
        <w:pStyle w:val="yIndenta"/>
      </w:pPr>
      <w:r>
        <w:tab/>
        <w:t>(a)</w:t>
      </w:r>
      <w:r>
        <w:tab/>
        <w:t>a previously approved programme of work is taken to be a programme of work lodged in accordance with section 103AJ(2); and</w:t>
      </w:r>
    </w:p>
    <w:p>
      <w:pPr>
        <w:pStyle w:val="yIndenta"/>
      </w:pPr>
      <w:r>
        <w:tab/>
        <w:t>(b)</w:t>
      </w:r>
      <w:r>
        <w:tab/>
        <w:t>an activity proposed in a previously approved programme of work is taken to be approved under section 103AK(1).</w:t>
      </w:r>
    </w:p>
    <w:p>
      <w:pPr>
        <w:pStyle w:val="ySubsection"/>
      </w:pPr>
      <w:r>
        <w:tab/>
        <w:t>(3)</w:t>
      </w:r>
      <w:r>
        <w:tab/>
        <w:t>On and from commencement day, an existing undetermined programme of work is taken to be a programme of work lodged in accordance with section 103AJ(2).</w:t>
      </w:r>
    </w:p>
    <w:p>
      <w:pPr>
        <w:pStyle w:val="yFootnotesection"/>
      </w:pPr>
      <w:r>
        <w:tab/>
        <w:t>[Clause 23 inserted: No. 31 of 2022 s. 41.]</w:t>
      </w:r>
    </w:p>
    <w:p>
      <w:pPr>
        <w:pStyle w:val="yHeading5"/>
      </w:pPr>
      <w:bookmarkStart w:id="425" w:name="_Toc207801294"/>
      <w:r>
        <w:rPr>
          <w:rStyle w:val="CharSClsNo"/>
        </w:rPr>
        <w:t>24</w:t>
      </w:r>
      <w:r>
        <w:t>.</w:t>
      </w:r>
      <w:r>
        <w:tab/>
        <w:t>Transitional provisions for existing undetermined mining proposals</w:t>
      </w:r>
      <w:bookmarkEnd w:id="425"/>
    </w:p>
    <w:p>
      <w:pPr>
        <w:pStyle w:val="ySubsection"/>
      </w:pPr>
      <w:r>
        <w:tab/>
        <w:t>(1)</w:t>
      </w:r>
      <w:r>
        <w:tab/>
        <w:t xml:space="preserve">In this clause — </w:t>
      </w:r>
    </w:p>
    <w:p>
      <w:pPr>
        <w:pStyle w:val="yDefstart"/>
      </w:pPr>
      <w:r>
        <w:tab/>
      </w:r>
      <w:r>
        <w:rPr>
          <w:rStyle w:val="CharDefText"/>
        </w:rPr>
        <w:t>existing undetermined mining proposal</w:t>
      </w:r>
      <w:r>
        <w:t xml:space="preserve"> means — </w:t>
      </w:r>
    </w:p>
    <w:p>
      <w:pPr>
        <w:pStyle w:val="yDefpara"/>
      </w:pPr>
      <w:r>
        <w:tab/>
        <w:t>(a)</w:t>
      </w:r>
      <w:r>
        <w:tab/>
        <w:t>a mining proposal that accompanied, under former section 74(1)(ca)(i), the application for a mining lease that was lodged, but not finally determined, before commencement day; or</w:t>
      </w:r>
    </w:p>
    <w:p>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pPr>
        <w:pStyle w:val="ySubsection"/>
      </w:pPr>
      <w:r>
        <w:tab/>
        <w:t>(2)</w:t>
      </w:r>
      <w:r>
        <w:tab/>
        <w:t xml:space="preserve">On and from commencement day — </w:t>
      </w:r>
    </w:p>
    <w:p>
      <w:pPr>
        <w:pStyle w:val="yIndenta"/>
      </w:pPr>
      <w:r>
        <w:tab/>
        <w:t>(a)</w:t>
      </w:r>
      <w:r>
        <w:tab/>
        <w:t>an existing undetermined mining proposal is taken to be a mining development and closure proposal lodged in accordance with section 103AN(2); and</w:t>
      </w:r>
    </w:p>
    <w:p>
      <w:pPr>
        <w:pStyle w:val="yIndenta"/>
        <w:keepNext/>
      </w:pPr>
      <w:r>
        <w:tab/>
        <w:t>(b)</w:t>
      </w:r>
      <w:r>
        <w:tab/>
        <w:t xml:space="preserve">a mine closure plan contained in an existing undetermined mining proposal is taken to be information required under section 103AN(3)(d)(ii), (iii) and (iv) to be included in a </w:t>
      </w:r>
      <w:r>
        <w:lastRenderedPageBreak/>
        <w:t>mining development and closure proposal lodged in accordance with section 103AN(2).</w:t>
      </w:r>
    </w:p>
    <w:p>
      <w:pPr>
        <w:pStyle w:val="yFootnotesection"/>
      </w:pPr>
      <w:r>
        <w:tab/>
        <w:t>[Clause 24 inserted: No. 31 of 2022 s. 41.]</w:t>
      </w:r>
    </w:p>
    <w:p>
      <w:pPr>
        <w:pStyle w:val="yHeading5"/>
      </w:pPr>
      <w:bookmarkStart w:id="426" w:name="_Toc207801295"/>
      <w:r>
        <w:rPr>
          <w:rStyle w:val="CharSClsNo"/>
        </w:rPr>
        <w:t>25</w:t>
      </w:r>
      <w:r>
        <w:t>.</w:t>
      </w:r>
      <w:r>
        <w:tab/>
        <w:t>Transitional provisions for previously approved mining proposals</w:t>
      </w:r>
      <w:bookmarkEnd w:id="426"/>
    </w:p>
    <w:p>
      <w:pPr>
        <w:pStyle w:val="ySubsection"/>
      </w:pPr>
      <w:r>
        <w:tab/>
        <w:t>(1)</w:t>
      </w:r>
      <w:r>
        <w:tab/>
        <w:t xml:space="preserve">In this clause — </w:t>
      </w:r>
    </w:p>
    <w:p>
      <w:pPr>
        <w:pStyle w:val="yDefstart"/>
      </w:pPr>
      <w:r>
        <w:tab/>
      </w:r>
      <w:r>
        <w:rPr>
          <w:rStyle w:val="CharDefText"/>
        </w:rPr>
        <w:t>previously approved mining proposal</w:t>
      </w:r>
      <w:r>
        <w:t xml:space="preserve"> means — </w:t>
      </w:r>
    </w:p>
    <w:p>
      <w:pPr>
        <w:pStyle w:val="yDefpara"/>
      </w:pPr>
      <w:r>
        <w:tab/>
        <w:t>(a)</w:t>
      </w:r>
      <w:r>
        <w:tab/>
        <w:t>a mining proposal that accompanied, under former section 74(1)(ca)(i), the application for a mining lease that was granted before commencement day; or</w:t>
      </w:r>
    </w:p>
    <w:p>
      <w:pPr>
        <w:pStyle w:val="yDefpara"/>
      </w:pPr>
      <w:r>
        <w:tab/>
        <w:t>(b)</w:t>
      </w:r>
      <w:r>
        <w:tab/>
        <w:t>a mining proposal for which there was, immediately before commencement day, approval as described in former section 82A(2)(b); or</w:t>
      </w:r>
    </w:p>
    <w:p>
      <w:pPr>
        <w:pStyle w:val="yDefpara"/>
      </w:pPr>
      <w:r>
        <w:tab/>
        <w:t>(c)</w:t>
      </w:r>
      <w:r>
        <w:tab/>
        <w:t>a mining proposal for which there was, immediately before commencement day, approval as described in a condition imposed under former section 84;</w:t>
      </w:r>
    </w:p>
    <w:p>
      <w:pPr>
        <w:pStyle w:val="yDefstart"/>
      </w:pPr>
      <w:r>
        <w:tab/>
      </w:r>
      <w:r>
        <w:rPr>
          <w:rStyle w:val="CharDefText"/>
        </w:rPr>
        <w:t>transition period</w:t>
      </w:r>
      <w:r>
        <w:t xml:space="preserve"> means the period beginning on commencement day and ending — </w:t>
      </w:r>
    </w:p>
    <w:p>
      <w:pPr>
        <w:pStyle w:val="yDefpara"/>
      </w:pPr>
      <w:r>
        <w:tab/>
        <w:t>(a)</w:t>
      </w:r>
      <w:r>
        <w:tab/>
        <w:t>10 years after that day; or</w:t>
      </w:r>
    </w:p>
    <w:p>
      <w:pPr>
        <w:pStyle w:val="yDefpara"/>
      </w:pPr>
      <w:r>
        <w:tab/>
        <w:t>(b)</w:t>
      </w:r>
      <w:r>
        <w:tab/>
        <w:t>on a later day approved by —</w:t>
      </w:r>
    </w:p>
    <w:p>
      <w:pPr>
        <w:pStyle w:val="yDefsubpara"/>
      </w:pPr>
      <w:r>
        <w:tab/>
        <w:t>(i)</w:t>
      </w:r>
      <w:r>
        <w:tab/>
        <w:t>the Minister; or</w:t>
      </w:r>
    </w:p>
    <w:p>
      <w:pPr>
        <w:pStyle w:val="yDefsubpara"/>
      </w:pPr>
      <w:r>
        <w:tab/>
        <w:t>(ii)</w:t>
      </w:r>
      <w:r>
        <w:tab/>
        <w:t>if the Minister does not approve a later day — the Director General of Mines.</w:t>
      </w:r>
    </w:p>
    <w:p>
      <w:pPr>
        <w:pStyle w:val="ySubsection"/>
      </w:pPr>
      <w:r>
        <w:tab/>
        <w:t>(2)</w:t>
      </w:r>
      <w:r>
        <w:tab/>
        <w:t>During the transition period, a copy of an approvals statement may be given to the holder of a mining tenement in accordance with section 103AO(2)(b).</w:t>
      </w:r>
    </w:p>
    <w:p>
      <w:pPr>
        <w:pStyle w:val="ySubsection"/>
      </w:pPr>
      <w:r>
        <w:tab/>
        <w:t>(3)</w:t>
      </w:r>
      <w:r>
        <w:tab/>
        <w:t xml:space="preserve">If an approvals statement is given under subclause (2) — </w:t>
      </w:r>
    </w:p>
    <w:p>
      <w:pPr>
        <w:pStyle w:val="yIndenta"/>
      </w:pPr>
      <w:r>
        <w:tab/>
        <w:t>(a)</w:t>
      </w:r>
      <w:r>
        <w:tab/>
        <w:t>a previously approved mining proposal for the mining tenement is taken to be a mining development and closure proposal lodged in accordance with section 103AN(2); and</w:t>
      </w:r>
    </w:p>
    <w:p>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pPr>
        <w:pStyle w:val="yIndenta"/>
      </w:pPr>
      <w:r>
        <w:lastRenderedPageBreak/>
        <w:tab/>
        <w:t>(c)</w:t>
      </w:r>
      <w:r>
        <w:tab/>
        <w:t>the mine closure plan contained in the previously approved mining proposal for the mining tenement is taken to be a mine closure plan lodged in accordance with section 103AT(1).</w:t>
      </w:r>
    </w:p>
    <w:p>
      <w:pPr>
        <w:pStyle w:val="ySubsection"/>
      </w:pPr>
      <w:r>
        <w:tab/>
        <w:t>(4)</w:t>
      </w:r>
      <w:r>
        <w:tab/>
        <w:t>An approval of a transitioned activity must be recorded on the approvals statement in accordance with section 103AO(2)(a).</w:t>
      </w:r>
    </w:p>
    <w:p>
      <w:pPr>
        <w:pStyle w:val="yFootnotesection"/>
      </w:pPr>
      <w:r>
        <w:tab/>
        <w:t>[Clause 25 inserted: No. 31 of 2022 s. 41.]</w:t>
      </w:r>
    </w:p>
    <w:p>
      <w:pPr>
        <w:pStyle w:val="yHeading3"/>
      </w:pPr>
      <w:bookmarkStart w:id="427" w:name="_Toc207366128"/>
      <w:bookmarkStart w:id="428" w:name="_Toc207801296"/>
      <w:r>
        <w:rPr>
          <w:rStyle w:val="CharSDivNo"/>
        </w:rPr>
        <w:t>Division 4</w:t>
      </w:r>
      <w:r>
        <w:t> — </w:t>
      </w:r>
      <w:r>
        <w:rPr>
          <w:rStyle w:val="CharSDivText"/>
        </w:rPr>
        <w:t xml:space="preserve">Provisions relating to </w:t>
      </w:r>
      <w:r>
        <w:rPr>
          <w:rStyle w:val="CharSDivText"/>
          <w:i/>
        </w:rPr>
        <w:t>Mining Amendment (Transfer of Royalty Administration) Act 2025</w:t>
      </w:r>
      <w:bookmarkEnd w:id="427"/>
      <w:bookmarkEnd w:id="428"/>
    </w:p>
    <w:p>
      <w:pPr>
        <w:pStyle w:val="yFootnoteheading"/>
        <w:rPr>
          <w:snapToGrid w:val="0"/>
        </w:rPr>
      </w:pPr>
      <w:r>
        <w:rPr>
          <w:snapToGrid w:val="0"/>
        </w:rPr>
        <w:tab/>
        <w:t>[Heading inserted: No. 7 of 2025 s. 16.]</w:t>
      </w:r>
    </w:p>
    <w:p>
      <w:pPr>
        <w:pStyle w:val="yHeading5"/>
      </w:pPr>
      <w:bookmarkStart w:id="429" w:name="_Toc207801297"/>
      <w:r>
        <w:rPr>
          <w:rStyle w:val="CharSClsNo"/>
        </w:rPr>
        <w:t>26</w:t>
      </w:r>
      <w:r>
        <w:t>.</w:t>
      </w:r>
      <w:r>
        <w:tab/>
      </w:r>
      <w:r>
        <w:rPr>
          <w:i/>
        </w:rPr>
        <w:t>Interpretation Act 1984</w:t>
      </w:r>
      <w:r>
        <w:t xml:space="preserve"> not affected</w:t>
      </w:r>
      <w:bookmarkEnd w:id="429"/>
    </w:p>
    <w:p>
      <w:pPr>
        <w:pStyle w:val="ySubsection"/>
      </w:pPr>
      <w:r>
        <w:tab/>
      </w:r>
      <w:r>
        <w:tab/>
        <w:t xml:space="preserve">This Division is in addition to the </w:t>
      </w:r>
      <w:r>
        <w:rPr>
          <w:i/>
        </w:rPr>
        <w:t>Interpretation Act 1984</w:t>
      </w:r>
      <w:r>
        <w:t xml:space="preserve"> and does not limit or otherwise affect the operation of the provisions of that Act.</w:t>
      </w:r>
    </w:p>
    <w:p>
      <w:pPr>
        <w:pStyle w:val="yFootnotesection"/>
      </w:pPr>
      <w:r>
        <w:tab/>
        <w:t>[Clause 26 inserted: No. 7 of 2025 s. 16.]</w:t>
      </w:r>
    </w:p>
    <w:p>
      <w:pPr>
        <w:pStyle w:val="yHeading5"/>
      </w:pPr>
      <w:bookmarkStart w:id="430" w:name="_Toc207801298"/>
      <w:r>
        <w:rPr>
          <w:rStyle w:val="CharSClsNo"/>
        </w:rPr>
        <w:t>27</w:t>
      </w:r>
      <w:r>
        <w:t>.</w:t>
      </w:r>
      <w:r>
        <w:tab/>
        <w:t>Act continues to be administered by Minister</w:t>
      </w:r>
      <w:bookmarkEnd w:id="430"/>
    </w:p>
    <w:p>
      <w:pPr>
        <w:pStyle w:val="ySubsection"/>
      </w:pPr>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p>
    <w:p>
      <w:pPr>
        <w:pStyle w:val="yFootnotesection"/>
      </w:pPr>
      <w:r>
        <w:tab/>
        <w:t>[Clause 27 inserted: No. 7 of 2025 s. 16.]</w:t>
      </w:r>
    </w:p>
    <w:p>
      <w:pPr>
        <w:pStyle w:val="yHeading5"/>
      </w:pPr>
      <w:bookmarkStart w:id="431" w:name="_Toc207801299"/>
      <w:r>
        <w:rPr>
          <w:rStyle w:val="CharSClsNo"/>
        </w:rPr>
        <w:t>28</w:t>
      </w:r>
      <w:r>
        <w:t>.</w:t>
      </w:r>
      <w:r>
        <w:tab/>
        <w:t>Existence of department and appointment of chief executive officer and other officers not affected</w:t>
      </w:r>
      <w:bookmarkEnd w:id="431"/>
    </w:p>
    <w:p>
      <w:pPr>
        <w:pStyle w:val="ySubsection"/>
      </w:pPr>
      <w:r>
        <w:tab/>
      </w:r>
      <w:r>
        <w:tab/>
        <w:t xml:space="preserve">The following are not affected by the repeal of section 11 by the </w:t>
      </w:r>
      <w:r>
        <w:rPr>
          <w:i/>
        </w:rPr>
        <w:t>Mining Amendment (Transfer of Royalty Administration) Act 2025</w:t>
      </w:r>
      <w:r>
        <w:t xml:space="preserve"> section 6 — </w:t>
      </w:r>
    </w:p>
    <w:p>
      <w:pPr>
        <w:pStyle w:val="yIndenta"/>
      </w:pPr>
      <w:r>
        <w:tab/>
        <w:t>(a)</w:t>
      </w:r>
      <w:r>
        <w:tab/>
        <w:t>the existence of the department of the Public Service referred to in repealed section 11;</w:t>
      </w:r>
    </w:p>
    <w:p>
      <w:pPr>
        <w:pStyle w:val="yIndenta"/>
      </w:pPr>
      <w:r>
        <w:lastRenderedPageBreak/>
        <w:tab/>
        <w:t>(b)</w:t>
      </w:r>
      <w:r>
        <w:tab/>
        <w:t xml:space="preserve">the appointment, referred to in repealed section 11, of the chief executive officer and other officers of that department under the </w:t>
      </w:r>
      <w:r>
        <w:rPr>
          <w:i/>
        </w:rPr>
        <w:t>Public Sector Management Act 1994</w:t>
      </w:r>
      <w:r>
        <w:t xml:space="preserve"> Part 3.</w:t>
      </w:r>
    </w:p>
    <w:p>
      <w:pPr>
        <w:pStyle w:val="yFootnotesection"/>
      </w:pPr>
      <w:r>
        <w:tab/>
        <w:t>[Clause 28 inserted: No. 7 of 2025 s. 16.]</w:t>
      </w:r>
    </w:p>
    <w:p>
      <w:pPr>
        <w:pStyle w:val="yHeading5"/>
      </w:pPr>
      <w:bookmarkStart w:id="432" w:name="_Toc207801300"/>
      <w:r>
        <w:rPr>
          <w:rStyle w:val="CharSClsNo"/>
        </w:rPr>
        <w:t>29</w:t>
      </w:r>
      <w:r>
        <w:t>.</w:t>
      </w:r>
      <w:r>
        <w:tab/>
        <w:t>Royalties actions taken under repealed provisions before commencement day</w:t>
      </w:r>
      <w:bookmarkEnd w:id="43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(Transfer of Royalty Administration) Act 2025</w:t>
      </w:r>
      <w:r>
        <w:t xml:space="preserve"> section 10 comes into operation;</w:t>
      </w:r>
    </w:p>
    <w:p>
      <w:pPr>
        <w:pStyle w:val="yDefstart"/>
      </w:pPr>
      <w:r>
        <w:tab/>
      </w:r>
      <w:r>
        <w:rPr>
          <w:rStyle w:val="CharDefText"/>
        </w:rPr>
        <w:t>corresponding provision</w:t>
      </w:r>
      <w:r>
        <w:t>, of Part 5A in relation to a repealed provision, means the provision of Part 5A, or a regulation under Part 5A, that is substantially the same as the repealed provision;</w:t>
      </w:r>
    </w:p>
    <w:p>
      <w:pPr>
        <w:pStyle w:val="yDefstart"/>
      </w:pPr>
      <w:r>
        <w:tab/>
      </w:r>
      <w:r>
        <w:rPr>
          <w:rStyle w:val="CharDefText"/>
        </w:rPr>
        <w:t>repealed</w:t>
      </w:r>
      <w:r>
        <w:t>, in relation to section 109 or 109A or a regulation under section 109, means that provision as in force from time to time before the commencement day;</w:t>
      </w:r>
    </w:p>
    <w:p>
      <w:pPr>
        <w:pStyle w:val="yDefstart"/>
      </w:pPr>
      <w:r>
        <w:tab/>
      </w:r>
      <w:r>
        <w:rPr>
          <w:rStyle w:val="CharDefText"/>
        </w:rPr>
        <w:t>repealed provisions</w:t>
      </w:r>
      <w:r>
        <w:t xml:space="preserve"> means repealed sections 109 and 109A and regulations under repealed section 109.</w:t>
      </w:r>
    </w:p>
    <w:p>
      <w:pPr>
        <w:pStyle w:val="ySubsection"/>
      </w:pPr>
      <w:r>
        <w:tab/>
        <w:t>(2)</w:t>
      </w:r>
      <w:r>
        <w:tab/>
        <w:t xml:space="preserve">Anything done or that may have been done by the Minister under a repealed provision before the commencement day — </w:t>
      </w:r>
    </w:p>
    <w:p>
      <w:pPr>
        <w:pStyle w:val="yIndenta"/>
      </w:pPr>
      <w:r>
        <w:tab/>
        <w:t>(a)</w:t>
      </w:r>
      <w:r>
        <w:tab/>
        <w:t>is, on and from the commencement day, taken to have been done by the Minister under the corresponding provision of Part 5A; and</w:t>
      </w:r>
    </w:p>
    <w:p>
      <w:pPr>
        <w:pStyle w:val="yIndenta"/>
      </w:pPr>
      <w:r>
        <w:tab/>
        <w:t>(b)</w:t>
      </w:r>
      <w:r>
        <w:tab/>
        <w:t>if doing the thing is ongoing, unfinished or yet to be started, may, on or after the commencement day, continue to be done or started by the Minister under the corresponding provision of Part 5A.</w:t>
      </w:r>
    </w:p>
    <w:p>
      <w:pPr>
        <w:pStyle w:val="ySubsection"/>
      </w:pPr>
      <w:r>
        <w:tab/>
        <w:t>(3)</w:t>
      </w:r>
      <w:r>
        <w:tab/>
        <w:t xml:space="preserve">Without limiting subclause (2) — </w:t>
      </w:r>
    </w:p>
    <w:p>
      <w:pPr>
        <w:pStyle w:val="yIndenta"/>
      </w:pPr>
      <w:r>
        <w:tab/>
        <w:t>(a)</w:t>
      </w:r>
      <w:r>
        <w:tab/>
        <w:t>an estimate or determination of a royalty payable that is, or may be, made by the Minister under repealed section 109A(1) or (6) is taken to have been made, or may be made, by the Minister under section 120F; and</w:t>
      </w:r>
    </w:p>
    <w:p>
      <w:pPr>
        <w:pStyle w:val="yIndenta"/>
      </w:pPr>
      <w:r>
        <w:tab/>
        <w:t>(b)</w:t>
      </w:r>
      <w:r>
        <w:tab/>
        <w:t xml:space="preserve">a notice about an estimate or determination of a royalty payable that is, or may be, given by the Minister under </w:t>
      </w:r>
      <w:r>
        <w:lastRenderedPageBreak/>
        <w:t>repealed section 109A(1) or (6) is taken to have been given, or may be given, by the Minister under section 120G; and</w:t>
      </w:r>
    </w:p>
    <w:p>
      <w:pPr>
        <w:pStyle w:val="yIndenta"/>
      </w:pPr>
      <w:r>
        <w:tab/>
        <w:t>(c)</w:t>
      </w:r>
      <w:r>
        <w:tab/>
        <w:t>a certificate that a royalty has been properly assessed and calculated accepted by, or given to but not yet accepted by, the Minister under repealed section 109A(2) is taken to have been accepted by or given to the Minister under section 120H; and</w:t>
      </w:r>
    </w:p>
    <w:p>
      <w:pPr>
        <w:pStyle w:val="yIndenta"/>
      </w:pPr>
      <w:r>
        <w:tab/>
        <w:t>(d)</w:t>
      </w:r>
      <w:r>
        <w:tab/>
        <w:t>a penalty amount determined, or that may be determined, by the Minister under repealed section 109A(6)(b) is taken to have been determined, or may be determined, by the Minister under section 120P(3).</w:t>
      </w:r>
    </w:p>
    <w:p>
      <w:pPr>
        <w:pStyle w:val="ySubsection"/>
      </w:pPr>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p>
    <w:p>
      <w:pPr>
        <w:pStyle w:val="yFootnotesection"/>
      </w:pPr>
      <w:r>
        <w:tab/>
        <w:t>[Clause 29 inserted: No. 7 of 2025 s. 16.]</w:t>
      </w:r>
    </w:p>
    <w:p>
      <w:pPr>
        <w:pStyle w:val="yHeading5"/>
      </w:pPr>
      <w:bookmarkStart w:id="433" w:name="_Toc207801301"/>
      <w:r>
        <w:rPr>
          <w:rStyle w:val="CharSClsNo"/>
        </w:rPr>
        <w:t>30</w:t>
      </w:r>
      <w:r>
        <w:t>.</w:t>
      </w:r>
      <w:r>
        <w:tab/>
        <w:t>Transitional regulations</w:t>
      </w:r>
      <w:bookmarkEnd w:id="433"/>
    </w:p>
    <w:p>
      <w:pPr>
        <w:pStyle w:val="ySubsection"/>
      </w:pPr>
      <w:r>
        <w:tab/>
        <w:t>(1)</w:t>
      </w:r>
      <w:r>
        <w:tab/>
        <w:t xml:space="preserve">In this clause — </w:t>
      </w:r>
    </w:p>
    <w:p>
      <w:pPr>
        <w:pStyle w:val="yDefstart"/>
      </w:pPr>
      <w:r>
        <w:tab/>
      </w:r>
      <w:r>
        <w:rPr>
          <w:rStyle w:val="CharDefText"/>
        </w:rPr>
        <w:t>commencement day</w:t>
      </w:r>
      <w:r>
        <w:t xml:space="preserve"> means the day on which this clause comes into operation;</w:t>
      </w:r>
    </w:p>
    <w:p>
      <w:pPr>
        <w:pStyle w:val="yDefstart"/>
      </w:pPr>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p>
    <w:p>
      <w:pPr>
        <w:pStyle w:val="yDefstart"/>
      </w:pPr>
      <w:r>
        <w:tab/>
      </w:r>
      <w:r>
        <w:rPr>
          <w:rStyle w:val="CharDefText"/>
        </w:rPr>
        <w:t>transitional regulations</w:t>
      </w:r>
      <w:r>
        <w:t xml:space="preserve"> means regulations made for the purposes of subclause (2).</w:t>
      </w:r>
    </w:p>
    <w:p>
      <w:pPr>
        <w:pStyle w:val="ySubsection"/>
      </w:pPr>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p>
    <w:p>
      <w:pPr>
        <w:pStyle w:val="ySubsection"/>
      </w:pPr>
      <w:r>
        <w:tab/>
        <w:t>(3)</w:t>
      </w:r>
      <w:r>
        <w:tab/>
        <w:t>Transitional regulations may not be made after the end of the period of 2 years beginning on the commencement day.</w:t>
      </w:r>
    </w:p>
    <w:p>
      <w:pPr>
        <w:pStyle w:val="ySubsection"/>
      </w:pPr>
      <w:r>
        <w:tab/>
        <w:t>(4)</w:t>
      </w:r>
      <w:r>
        <w:tab/>
        <w:t xml:space="preserve">If transitional regulations provide that a state of affairs is taken to have existed, or not to have existed, on and from a day that is earlier </w:t>
      </w:r>
      <w:r>
        <w:lastRenderedPageBreak/>
        <w:t>than the publication day, but not earlier than the commencement day, the regulations have effect according to their terms.</w:t>
      </w:r>
    </w:p>
    <w:p>
      <w:pPr>
        <w:pStyle w:val="ySubsection"/>
      </w:pPr>
      <w:r>
        <w:tab/>
        <w:t>(5)</w:t>
      </w:r>
      <w:r>
        <w:tab/>
        <w:t xml:space="preserve">If transitional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publication day; or</w:t>
      </w:r>
    </w:p>
    <w:p>
      <w:pPr>
        <w:pStyle w:val="yIndenta"/>
      </w:pPr>
      <w:r>
        <w:tab/>
        <w:t>(b)</w:t>
      </w:r>
      <w:r>
        <w:tab/>
        <w:t>impose liabilities on any person (other than the State or an authority of the State) in respect of anything done or omitted to be done before publication day.</w:t>
      </w:r>
    </w:p>
    <w:p>
      <w:pPr>
        <w:pStyle w:val="yFootnotesection"/>
      </w:pPr>
      <w:r>
        <w:tab/>
        <w:t>[Clause 30 inserted: No. 7 of 2025 s. 16.]</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435" w:name="_Toc207366134"/>
      <w:bookmarkStart w:id="436" w:name="_Toc207801302"/>
      <w:r>
        <w:rPr>
          <w:rStyle w:val="CharSchNo"/>
        </w:rPr>
        <w:lastRenderedPageBreak/>
        <w:t>Third Schedule</w:t>
      </w:r>
      <w:r>
        <w:rPr>
          <w:rStyle w:val="CharSDivNo"/>
        </w:rPr>
        <w:t> </w:t>
      </w:r>
      <w:r>
        <w:t>—</w:t>
      </w:r>
      <w:r>
        <w:rPr>
          <w:rStyle w:val="CharSDivText"/>
        </w:rPr>
        <w:t> </w:t>
      </w:r>
      <w:r>
        <w:rPr>
          <w:rStyle w:val="CharSchText"/>
        </w:rPr>
        <w:t>Private land not open for mining</w:t>
      </w:r>
      <w:bookmarkEnd w:id="435"/>
      <w:bookmarkEnd w:id="436"/>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437" w:name="_Toc207366135"/>
      <w:bookmarkStart w:id="438" w:name="_Toc207801303"/>
      <w:r>
        <w:lastRenderedPageBreak/>
        <w:t>Notes</w:t>
      </w:r>
      <w:bookmarkEnd w:id="437"/>
      <w:bookmarkEnd w:id="438"/>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439" w:name="_Toc207801304"/>
      <w:r>
        <w:t>Compilation table</w:t>
      </w:r>
      <w:bookmarkEnd w:id="43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rPr>
              <w:t>Mining Amendment Act 2022</w:t>
            </w:r>
          </w:p>
        </w:tc>
        <w:tc>
          <w:tcPr>
            <w:tcW w:w="1134" w:type="dxa"/>
            <w:tcBorders>
              <w:top w:val="nil"/>
              <w:bottom w:val="nil"/>
            </w:tcBorders>
            <w:shd w:val="clear" w:color="auto" w:fill="auto"/>
          </w:tcPr>
          <w:p>
            <w:pPr>
              <w:pStyle w:val="nTable"/>
              <w:spacing w:after="40"/>
            </w:pPr>
            <w:r>
              <w:t>31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rPr>
                <w:snapToGrid w:val="0"/>
              </w:rPr>
            </w:pPr>
            <w:r>
              <w:rPr>
                <w:snapToGrid w:val="0"/>
              </w:rPr>
              <w:t>s. 1 and 2: 28 Sep 2022 (see s. 2(a));</w:t>
            </w:r>
            <w:r>
              <w:rPr>
                <w:snapToGrid w:val="0"/>
              </w:rPr>
              <w:br/>
              <w:t>s. 3, 6 and 41: 31 Aug 2025 (see s. 2(b) and SL 2025/155 cl. 2);</w:t>
            </w:r>
            <w:r>
              <w:rPr>
                <w:snapToGrid w:val="0"/>
              </w:rPr>
              <w:br/>
              <w:t>Act other than s. 1-3, 6 and 41: 9 Sep 2025 (see s. 2(b) and SL 2025/152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Mining Amendment Act 2023</w:t>
            </w:r>
          </w:p>
        </w:tc>
        <w:tc>
          <w:tcPr>
            <w:tcW w:w="1134" w:type="dxa"/>
            <w:tcBorders>
              <w:top w:val="nil"/>
              <w:bottom w:val="nil"/>
            </w:tcBorders>
            <w:shd w:val="clear" w:color="auto" w:fill="auto"/>
          </w:tcPr>
          <w:p>
            <w:pPr>
              <w:pStyle w:val="nTable"/>
              <w:spacing w:after="40"/>
            </w:pPr>
            <w:r>
              <w:t>27 of 2023</w:t>
            </w:r>
          </w:p>
        </w:tc>
        <w:tc>
          <w:tcPr>
            <w:tcW w:w="1134" w:type="dxa"/>
            <w:tcBorders>
              <w:top w:val="nil"/>
              <w:bottom w:val="nil"/>
            </w:tcBorders>
            <w:shd w:val="clear" w:color="auto" w:fill="auto"/>
          </w:tcPr>
          <w:p>
            <w:pPr>
              <w:pStyle w:val="nTable"/>
              <w:spacing w:after="40"/>
            </w:pPr>
            <w:r>
              <w:t>17 Nov 2023</w:t>
            </w:r>
          </w:p>
        </w:tc>
        <w:tc>
          <w:tcPr>
            <w:tcW w:w="2552" w:type="dxa"/>
            <w:tcBorders>
              <w:top w:val="nil"/>
              <w:bottom w:val="nil"/>
            </w:tcBorders>
            <w:shd w:val="clear" w:color="auto" w:fill="auto"/>
          </w:tcPr>
          <w:p>
            <w:pPr>
              <w:pStyle w:val="nTable"/>
              <w:spacing w:after="40"/>
            </w:pPr>
            <w:r>
              <w:t>s. 1 and 2: 17 Nov 2023 (see s. 2(a));</w:t>
            </w:r>
            <w:r>
              <w:br/>
              <w:t>Act other than s. 1 and 2: 18 Nov 2023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pPr>
            <w:r>
              <w:rPr>
                <w:i/>
                <w:snapToGrid w:val="0"/>
              </w:rPr>
              <w:t>Mining Amendment (Transfer of Royalty Administration) Act 2025</w:t>
            </w:r>
            <w:r>
              <w:rPr>
                <w:iCs/>
                <w:snapToGrid w:val="0"/>
              </w:rPr>
              <w:t xml:space="preserve"> Pt. 2</w:t>
            </w:r>
          </w:p>
        </w:tc>
        <w:tc>
          <w:tcPr>
            <w:tcW w:w="1134" w:type="dxa"/>
            <w:tcBorders>
              <w:bottom w:val="single" w:sz="4" w:space="0" w:color="auto"/>
            </w:tcBorders>
            <w:shd w:val="clear" w:color="auto" w:fill="auto"/>
          </w:tcPr>
          <w:p>
            <w:pPr>
              <w:pStyle w:val="nTable"/>
              <w:spacing w:after="40"/>
            </w:pPr>
            <w:r>
              <w:t>7 of 2025</w:t>
            </w:r>
          </w:p>
        </w:tc>
        <w:tc>
          <w:tcPr>
            <w:tcW w:w="1134" w:type="dxa"/>
            <w:tcBorders>
              <w:bottom w:val="single" w:sz="4" w:space="0" w:color="auto"/>
            </w:tcBorders>
            <w:shd w:val="clear" w:color="auto" w:fill="auto"/>
          </w:tcPr>
          <w:p>
            <w:pPr>
              <w:pStyle w:val="nTable"/>
              <w:spacing w:after="40"/>
            </w:pPr>
            <w:r>
              <w:t>2 Jul 2025</w:t>
            </w:r>
          </w:p>
        </w:tc>
        <w:tc>
          <w:tcPr>
            <w:tcW w:w="2552" w:type="dxa"/>
            <w:tcBorders>
              <w:bottom w:val="single" w:sz="4" w:space="0" w:color="auto"/>
            </w:tcBorders>
            <w:shd w:val="clear" w:color="auto" w:fill="auto"/>
          </w:tcPr>
          <w:p>
            <w:pPr>
              <w:pStyle w:val="nTable"/>
              <w:spacing w:after="40"/>
            </w:pPr>
            <w:r>
              <w:t>1 Sep 2025 (see s. 2(b) and SL 2025/151 cl. 2)</w:t>
            </w:r>
          </w:p>
        </w:tc>
      </w:tr>
    </w:tbl>
    <w:p>
      <w:pPr>
        <w:pStyle w:val="nHeading3"/>
      </w:pPr>
      <w:bookmarkStart w:id="440" w:name="_Toc207801305"/>
      <w:r>
        <w:t>Uncommenced provisions table</w:t>
      </w:r>
      <w:bookmarkEnd w:id="440"/>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lastRenderedPageBreak/>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single" w:sz="4" w:space="0" w:color="auto"/>
            </w:tcBorders>
            <w:shd w:val="clear" w:color="auto" w:fill="auto"/>
          </w:tcPr>
          <w:p>
            <w:pPr>
              <w:pStyle w:val="nTable"/>
              <w:keepNext/>
              <w:spacing w:after="40"/>
            </w:pPr>
            <w:r>
              <w:t>17 of 2024</w:t>
            </w:r>
          </w:p>
        </w:tc>
        <w:tc>
          <w:tcPr>
            <w:tcW w:w="1134" w:type="dxa"/>
            <w:tcBorders>
              <w:top w:val="nil"/>
              <w:bottom w:val="single" w:sz="4" w:space="0" w:color="auto"/>
            </w:tcBorders>
            <w:shd w:val="clear" w:color="auto" w:fill="auto"/>
          </w:tcPr>
          <w:p>
            <w:pPr>
              <w:pStyle w:val="nTable"/>
              <w:keepNext/>
              <w:spacing w:after="40"/>
            </w:pPr>
            <w:r>
              <w:t>14 May 2024</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441" w:name="_Toc207801306"/>
      <w:r>
        <w:t>Other notes</w:t>
      </w:r>
      <w:bookmarkEnd w:id="441"/>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lastRenderedPageBreak/>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lastRenderedPageBreak/>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lastRenderedPageBreak/>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lastRenderedPageBreak/>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443" w:name="_Toc207801307"/>
      <w:r>
        <w:rPr>
          <w:sz w:val="28"/>
        </w:rPr>
        <w:lastRenderedPageBreak/>
        <w:t>Defined terms</w:t>
      </w:r>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additional rent</w:t>
      </w:r>
      <w:r>
        <w:tab/>
        <w:t>120E(1)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approvals statement</w:t>
      </w:r>
      <w:r>
        <w:tab/>
        <w:t>103AA, 103AP(1)</w:t>
      </w:r>
    </w:p>
    <w:p>
      <w:pPr>
        <w:pStyle w:val="DefinedTerms"/>
      </w:pPr>
      <w:r>
        <w:t>approved form</w:t>
      </w:r>
      <w:r>
        <w:tab/>
        <w:t>8(1)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closure outcomes</w:t>
      </w:r>
      <w:r>
        <w:tab/>
        <w:t>103AA</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19(1),</w:t>
      </w:r>
      <w:r>
        <w:br/>
      </w:r>
      <w:r>
        <w:tab/>
        <w:t xml:space="preserve"> 20, 29(1) and 30(1)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corresponding provision</w:t>
      </w:r>
      <w:r>
        <w:tab/>
        <w:t>Second Sch. cl. 29(1)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lastRenderedPageBreak/>
        <w:t>Director, Geological Survey</w:t>
      </w:r>
      <w:r>
        <w:tab/>
        <w:t>8(1)</w:t>
      </w:r>
    </w:p>
    <w:p>
      <w:pPr>
        <w:pStyle w:val="DefinedTerms"/>
      </w:pPr>
      <w:r>
        <w:t>disclose</w:t>
      </w:r>
      <w:r>
        <w:tab/>
        <w:t>120R(1)</w:t>
      </w:r>
    </w:p>
    <w:p>
      <w:pPr>
        <w:pStyle w:val="DefinedTerms"/>
      </w:pPr>
      <w:r>
        <w:t>diversification lease</w:t>
      </w:r>
      <w:r>
        <w:tab/>
        <w:t>8(1)</w:t>
      </w:r>
    </w:p>
    <w:p>
      <w:pPr>
        <w:pStyle w:val="DefinedTerms"/>
      </w:pPr>
      <w:r>
        <w:t>eligible mining activity</w:t>
      </w:r>
      <w:r>
        <w:tab/>
        <w:t>103AA, 103AB(1)</w:t>
      </w:r>
    </w:p>
    <w:p>
      <w:pPr>
        <w:pStyle w:val="DefinedTerms"/>
      </w:pPr>
      <w:r>
        <w:t>EMA</w:t>
      </w:r>
      <w:r>
        <w:tab/>
        <w:t>103AA, 103AB(1)</w:t>
      </w:r>
    </w:p>
    <w:p>
      <w:pPr>
        <w:pStyle w:val="DefinedTerms"/>
      </w:pPr>
      <w:r>
        <w:t>EMA notice</w:t>
      </w:r>
      <w:r>
        <w:tab/>
        <w:t>103AA, 103AF(1)</w:t>
      </w:r>
    </w:p>
    <w:p>
      <w:pPr>
        <w:pStyle w:val="DefinedTerms"/>
      </w:pPr>
      <w:r>
        <w:t>end day</w:t>
      </w:r>
      <w:r>
        <w:tab/>
        <w:t>65(1)</w:t>
      </w:r>
    </w:p>
    <w:p>
      <w:pPr>
        <w:pStyle w:val="DefinedTerms"/>
      </w:pPr>
      <w:r>
        <w:t>excluded area notice</w:t>
      </w:r>
      <w:r>
        <w:tab/>
        <w:t>103AC(1)</w:t>
      </w:r>
    </w:p>
    <w:p>
      <w:pPr>
        <w:pStyle w:val="DefinedTerms"/>
      </w:pPr>
      <w:r>
        <w:t>existing application</w:t>
      </w:r>
      <w:r>
        <w:tab/>
        <w:t>Second Sch. cl. 18(1)</w:t>
      </w:r>
    </w:p>
    <w:p>
      <w:pPr>
        <w:pStyle w:val="DefinedTerms"/>
      </w:pPr>
      <w:r>
        <w:t>existing undetermined mining proposal</w:t>
      </w:r>
      <w:r>
        <w:tab/>
        <w:t>Second Sch. cl. 24(1)</w:t>
      </w:r>
    </w:p>
    <w:p>
      <w:pPr>
        <w:pStyle w:val="DefinedTerms"/>
      </w:pPr>
      <w:r>
        <w:t>existing undetermined programme of work</w:t>
      </w:r>
      <w:r>
        <w:tab/>
        <w:t>Second Sch. cl. 23(1)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w:t>
      </w:r>
      <w:r>
        <w:tab/>
        <w:t>Second Sch. cl. 20</w:t>
      </w:r>
    </w:p>
    <w:p>
      <w:pPr>
        <w:pStyle w:val="DefinedTerms"/>
      </w:pPr>
      <w:r>
        <w:t>former holder</w:t>
      </w:r>
      <w:r>
        <w:tab/>
        <w:t>114(7), 114C(1)</w:t>
      </w:r>
    </w:p>
    <w:p>
      <w:pPr>
        <w:pStyle w:val="DefinedTerms"/>
      </w:pPr>
      <w:r>
        <w:t>former provision</w:t>
      </w:r>
      <w:r>
        <w:tab/>
        <w:t>Second Sch. cl. 21(1), 22(1) and 23(1)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Government agreement</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guidelines</w:t>
      </w:r>
      <w:r>
        <w:tab/>
        <w:t>115A(1)</w:t>
      </w:r>
    </w:p>
    <w:p>
      <w:pPr>
        <w:pStyle w:val="DefinedTerms"/>
      </w:pPr>
      <w:r>
        <w:t>identified mineral resource</w:t>
      </w:r>
      <w:r>
        <w:tab/>
        <w:t>8(1)</w:t>
      </w:r>
    </w:p>
    <w:p>
      <w:pPr>
        <w:pStyle w:val="DefinedTerms"/>
      </w:pPr>
      <w:r>
        <w:t>independent assessor</w:t>
      </w:r>
      <w:r>
        <w:tab/>
        <w:t>120H(1)</w:t>
      </w:r>
    </w:p>
    <w:p>
      <w:pPr>
        <w:pStyle w:val="DefinedTerms"/>
      </w:pPr>
      <w:r>
        <w:t>information</w:t>
      </w:r>
      <w:r>
        <w:tab/>
        <w:t>120A(1)</w:t>
      </w:r>
    </w:p>
    <w:p>
      <w:pPr>
        <w:pStyle w:val="DefinedTerms"/>
      </w:pPr>
      <w:r>
        <w:t>investigator</w:t>
      </w:r>
      <w:r>
        <w:tab/>
        <w:t>120A(1)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licensed activity</w:t>
      </w:r>
      <w:r>
        <w:tab/>
        <w:t>103AA</w:t>
      </w:r>
    </w:p>
    <w:p>
      <w:pPr>
        <w:pStyle w:val="DefinedTerms"/>
      </w:pPr>
      <w:r>
        <w:lastRenderedPageBreak/>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103AA, 103AR</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development and closure proposal</w:t>
      </w:r>
      <w:r>
        <w:tab/>
        <w:t>8(1)</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official information</w:t>
      </w:r>
      <w:r>
        <w:tab/>
        <w:t>15(3)</w:t>
      </w:r>
    </w:p>
    <w:p>
      <w:pPr>
        <w:pStyle w:val="DefinedTerms"/>
      </w:pPr>
      <w:r>
        <w:t>offsets project</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premises</w:t>
      </w:r>
      <w:r>
        <w:tab/>
        <w:t>120A(1)</w:t>
      </w:r>
    </w:p>
    <w:p>
      <w:pPr>
        <w:pStyle w:val="DefinedTerms"/>
      </w:pPr>
      <w:r>
        <w:t>prescribed</w:t>
      </w:r>
      <w:r>
        <w:tab/>
        <w:t>8(1)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lastRenderedPageBreak/>
        <w:t>previously approved mining proposal</w:t>
      </w:r>
      <w:r>
        <w:tab/>
        <w:t>Second Sch. cl. 25(1)</w:t>
      </w:r>
    </w:p>
    <w:p>
      <w:pPr>
        <w:pStyle w:val="DefinedTerms"/>
      </w:pPr>
      <w:r>
        <w:t>previously approved programme of work</w:t>
      </w:r>
      <w:r>
        <w:tab/>
        <w:t>Second Sch. cl. 23(1)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programme of work</w:t>
      </w:r>
      <w:r>
        <w:tab/>
        <w:t>103AA</w:t>
      </w:r>
    </w:p>
    <w:p>
      <w:pPr>
        <w:pStyle w:val="DefinedTerms"/>
      </w:pPr>
      <w:r>
        <w:t>proposal</w:t>
      </w:r>
      <w:r>
        <w:tab/>
        <w:t>6(1b)</w:t>
      </w:r>
    </w:p>
    <w:p>
      <w:pPr>
        <w:pStyle w:val="DefinedTerms"/>
      </w:pPr>
      <w:r>
        <w:t>prospecting licence</w:t>
      </w:r>
      <w:r>
        <w:tab/>
        <w:t>53(1)</w:t>
      </w:r>
    </w:p>
    <w:p>
      <w:pPr>
        <w:pStyle w:val="DefinedTerms"/>
      </w:pPr>
      <w:r>
        <w:t>publication day</w:t>
      </w:r>
      <w:r>
        <w:tab/>
        <w:t>Second Sch. cl. 30(1)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information</w:t>
      </w:r>
      <w:r>
        <w:tab/>
        <w:t>103AA, 103AO(6), 120M(1)</w:t>
      </w:r>
    </w:p>
    <w:p>
      <w:pPr>
        <w:pStyle w:val="DefinedTerms"/>
      </w:pPr>
      <w:r>
        <w:t>relevant licence</w:t>
      </w:r>
      <w:r>
        <w:tab/>
        <w:t>56B(1), 103AG(1)</w:t>
      </w:r>
    </w:p>
    <w:p>
      <w:pPr>
        <w:pStyle w:val="DefinedTerms"/>
      </w:pPr>
      <w:r>
        <w:t>relevant lodging party</w:t>
      </w:r>
      <w:r>
        <w:tab/>
        <w:t>103AJ(1), 103AN(1)</w:t>
      </w:r>
    </w:p>
    <w:p>
      <w:pPr>
        <w:pStyle w:val="DefinedTerms"/>
      </w:pPr>
      <w:r>
        <w:t>relevant portion</w:t>
      </w:r>
      <w:r>
        <w:tab/>
        <w:t>29(6a)</w:t>
      </w:r>
    </w:p>
    <w:p>
      <w:pPr>
        <w:pStyle w:val="DefinedTerms"/>
      </w:pPr>
      <w:r>
        <w:t>relevant tenement</w:t>
      </w:r>
      <w:r>
        <w:tab/>
        <w:t>118A(2)</w:t>
      </w:r>
    </w:p>
    <w:p>
      <w:pPr>
        <w:pStyle w:val="DefinedTerms"/>
      </w:pPr>
      <w:r>
        <w:t>remedial work</w:t>
      </w:r>
      <w:r>
        <w:tab/>
        <w:t>114C(1)</w:t>
      </w:r>
    </w:p>
    <w:p>
      <w:pPr>
        <w:pStyle w:val="DefinedTerms"/>
      </w:pPr>
      <w:r>
        <w:t>repealed</w:t>
      </w:r>
      <w:r>
        <w:tab/>
        <w:t>Second Sch. cl. 29(1)</w:t>
      </w:r>
    </w:p>
    <w:p>
      <w:pPr>
        <w:pStyle w:val="DefinedTerms"/>
      </w:pPr>
      <w:r>
        <w:t>repealed Act</w:t>
      </w:r>
      <w:r>
        <w:tab/>
        <w:t>8(1)</w:t>
      </w:r>
    </w:p>
    <w:p>
      <w:pPr>
        <w:pStyle w:val="DefinedTerms"/>
      </w:pPr>
      <w:r>
        <w:t>repealed provisions</w:t>
      </w:r>
      <w:r>
        <w:tab/>
        <w:t>Second Sch. cl. 29(1)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royalties information</w:t>
      </w:r>
      <w:r>
        <w:tab/>
        <w:t>120R(1)</w:t>
      </w:r>
    </w:p>
    <w:p>
      <w:pPr>
        <w:pStyle w:val="DefinedTerms"/>
      </w:pPr>
      <w:r>
        <w:t>royalty investigation purpose</w:t>
      </w:r>
      <w:r>
        <w:tab/>
        <w:t>120A(1), 120I(2)</w:t>
      </w:r>
    </w:p>
    <w:p>
      <w:pPr>
        <w:pStyle w:val="DefinedTerms"/>
      </w:pPr>
      <w:r>
        <w:t>royalty payer</w:t>
      </w:r>
      <w:r>
        <w:tab/>
        <w:t>120A(1)</w:t>
      </w:r>
    </w:p>
    <w:p>
      <w:pPr>
        <w:pStyle w:val="DefinedTerms"/>
      </w:pPr>
      <w:r>
        <w:t>royalty return</w:t>
      </w:r>
      <w:r>
        <w:tab/>
        <w:t>120D(1)</w:t>
      </w:r>
    </w:p>
    <w:p>
      <w:pPr>
        <w:pStyle w:val="DefinedTerms"/>
      </w:pPr>
      <w:r>
        <w:t>secondary tenement</w:t>
      </w:r>
      <w:r>
        <w:tab/>
        <w:t>67A(7)</w:t>
      </w:r>
    </w:p>
    <w:p>
      <w:pPr>
        <w:pStyle w:val="DefinedTerms"/>
      </w:pPr>
      <w:r>
        <w:t>section 74A report</w:t>
      </w:r>
      <w:r>
        <w:tab/>
        <w:t>75(10)</w:t>
      </w:r>
    </w:p>
    <w:p>
      <w:pPr>
        <w:pStyle w:val="DefinedTerms"/>
      </w:pPr>
      <w:r>
        <w:t>significant mineralisation</w:t>
      </w:r>
      <w:r>
        <w:tab/>
        <w:t>70O</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lastRenderedPageBreak/>
        <w:t>the warden</w:t>
      </w:r>
      <w:r>
        <w:tab/>
        <w:t>8(1)</w:t>
      </w:r>
    </w:p>
    <w:p>
      <w:pPr>
        <w:pStyle w:val="DefinedTerms"/>
      </w:pPr>
      <w:r>
        <w:t>transitional regulations</w:t>
      </w:r>
      <w:r>
        <w:tab/>
        <w:t>Second Sch. cl. 30(1)</w:t>
      </w:r>
    </w:p>
    <w:p>
      <w:pPr>
        <w:pStyle w:val="DefinedTerms"/>
      </w:pPr>
      <w:r>
        <w:t>transitioned activity</w:t>
      </w:r>
      <w:r>
        <w:tab/>
        <w:t>Second Sch. cl. 25(3)</w:t>
      </w:r>
    </w:p>
    <w:p>
      <w:pPr>
        <w:pStyle w:val="DefinedTerms"/>
      </w:pPr>
      <w:r>
        <w:t>transition period</w:t>
      </w:r>
      <w:r>
        <w:tab/>
        <w:t>Second Sch. cl. 18(1) and 25(1)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4" w:name="Schedule"/>
    <w:bookmarkEnd w:id="4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4" w:name="DefinedTerms"/>
    <w:bookmarkEnd w:id="44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5" w:name="Coversheet"/>
    <w:bookmarkEnd w:id="4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9131457"/>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743_GUID" w:val="da7f7f2d-9832-4095-82c0-5c99d37570b7"/>
    <w:docVar w:name="WAFER_2025082913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9131457_GUID" w:val="2686f1ef-04d0-4729-b971-c615f4813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97219</Words>
  <Characters>456930</Characters>
  <Application>Microsoft Office Word</Application>
  <DocSecurity>0</DocSecurity>
  <Lines>11716</Lines>
  <Paragraphs>5833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1978 - 09-p0-00</dc:title>
  <dc:subject/>
  <dc:creator/>
  <cp:keywords/>
  <dc:description/>
  <cp:lastModifiedBy>Master Repository Process</cp:lastModifiedBy>
  <cp:revision>4</cp:revision>
  <cp:lastPrinted>2017-02-13T08:14:00Z</cp:lastPrinted>
  <dcterms:created xsi:type="dcterms:W3CDTF">2025-09-08T01:06:00Z</dcterms:created>
  <dcterms:modified xsi:type="dcterms:W3CDTF">2025-09-08T01:06:00Z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09 Sep 2025</vt:lpwstr>
  </property>
  <property fmtid="{D5CDD505-2E9C-101B-9397-08002B2CF9AE}" pid="8" name="Suffix">
    <vt:lpwstr>09-p0-00</vt:lpwstr>
  </property>
  <property fmtid="{D5CDD505-2E9C-101B-9397-08002B2CF9AE}" pid="9" name="Official">
    <vt:lpwstr/>
  </property>
  <property fmtid="{D5CDD505-2E9C-101B-9397-08002B2CF9AE}" pid="10" name="CommencementDate">
    <vt:lpwstr>20250909</vt:lpwstr>
  </property>
  <property fmtid="{D5CDD505-2E9C-101B-9397-08002B2CF9AE}" pid="11" name="CommencementAsAt">
    <vt:filetime>2025-09-08T16:00:00Z</vt:filetime>
  </property>
  <property fmtid="{D5CDD505-2E9C-101B-9397-08002B2CF9AE}" pid="12" name="CommencementYear">
    <vt:lpwstr>2025</vt:lpwstr>
  </property>
</Properties>
</file>