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(Prohibited Plastics and Balloons)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(Prohibited Plastics and Balloons)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_Toc208914388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_Toc208914389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_Toc208914390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_Toc208914391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_Toc208914392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3B amended</w:t>
      </w:r>
      <w:r>
        <w:tab/>
      </w:r>
      <w:r>
        <w:fldChar w:fldCharType="begin"/>
      </w:r>
      <w:r>
        <w:instrText xml:space="preserve"> PAGEREF _Toc208914393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3BB amended</w:t>
      </w:r>
      <w:r>
        <w:tab/>
      </w:r>
      <w:r>
        <w:fldChar w:fldCharType="begin"/>
      </w:r>
      <w:r>
        <w:instrText xml:space="preserve"> PAGEREF _Toc208914394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3BC amended</w:t>
      </w:r>
      <w:r>
        <w:tab/>
      </w:r>
      <w:r>
        <w:fldChar w:fldCharType="begin"/>
      </w:r>
      <w:r>
        <w:instrText xml:space="preserve"> PAGEREF _Toc208914395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3D amended</w:t>
      </w:r>
      <w:r>
        <w:tab/>
      </w:r>
      <w:r>
        <w:fldChar w:fldCharType="begin"/>
      </w:r>
      <w:r>
        <w:instrText xml:space="preserve"> PAGEREF _Toc208914396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4B inserted</w:t>
      </w:r>
      <w:r>
        <w:tab/>
      </w:r>
      <w:r>
        <w:fldChar w:fldCharType="begin"/>
      </w:r>
      <w:r>
        <w:instrText xml:space="preserve"> PAGEREF _Toc208914397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4B.</w:t>
      </w:r>
      <w:r>
        <w:rPr>
          <w:noProof/>
        </w:rPr>
        <w:tab/>
        <w:t>Offence in r. 4 does not apply to meat and dairy barrier bags before 1 October 2026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_Toc208914398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 17EA and 17EB inserted</w:t>
      </w:r>
      <w:r>
        <w:tab/>
      </w:r>
      <w:r>
        <w:fldChar w:fldCharType="begin"/>
      </w:r>
      <w:r>
        <w:instrText xml:space="preserve"> PAGEREF _Toc208914399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17EA.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_Toc208914400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17EB.</w:t>
      </w:r>
      <w:r>
        <w:rPr>
          <w:noProof/>
        </w:rPr>
        <w:tab/>
        <w:t>Authorised manner of disposal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_Toc208914401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17F amended</w:t>
      </w:r>
      <w:r>
        <w:tab/>
      </w:r>
      <w:r>
        <w:fldChar w:fldCharType="begin"/>
      </w:r>
      <w:r>
        <w:instrText xml:space="preserve"> PAGEREF _Toc208914402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17FA inserted</w:t>
      </w:r>
      <w:r>
        <w:tab/>
      </w:r>
      <w:r>
        <w:fldChar w:fldCharType="begin"/>
      </w:r>
      <w:r>
        <w:instrText xml:space="preserve"> PAGEREF _Toc208914403 \h </w:instrText>
      </w:r>
      <w:r>
        <w:fldChar w:fldCharType="separate"/>
      </w:r>
      <w:r>
        <w:t>7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17FA.</w:t>
      </w:r>
      <w:r>
        <w:rPr>
          <w:noProof/>
        </w:rPr>
        <w:tab/>
        <w:t>Offence to dispose of protective packaging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_Toc208914404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(Prohibited Plastics and Balloons)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8492581"/>
      <w:bookmarkStart w:id="3" w:name="_Toc20891438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(Prohibited Plastics and Balloons) Amendment Regulations 2025</w:t>
      </w:r>
      <w:r>
        <w:t>.</w:t>
      </w:r>
    </w:p>
    <w:p>
      <w:pPr>
        <w:pStyle w:val="Heading5"/>
      </w:pPr>
      <w:bookmarkStart w:id="5" w:name="_Toc208492582"/>
      <w:bookmarkStart w:id="6" w:name="_Toc208914389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1</w:t>
      </w:r>
      <w:r>
        <w:t xml:space="preserve">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2025.</w:t>
      </w:r>
    </w:p>
    <w:p>
      <w:pPr>
        <w:pStyle w:val="Heading5"/>
        <w:rPr>
          <w:snapToGrid w:val="0"/>
        </w:rPr>
      </w:pPr>
      <w:bookmarkStart w:id="7" w:name="_Toc208492583"/>
      <w:bookmarkStart w:id="8" w:name="_Toc208914390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(Prohibited Plastics and Balloons) Regulations 2018</w:t>
      </w:r>
      <w:r>
        <w:t>.</w:t>
      </w:r>
    </w:p>
    <w:p>
      <w:pPr>
        <w:pStyle w:val="Heading5"/>
      </w:pPr>
      <w:bookmarkStart w:id="9" w:name="_Toc208492584"/>
      <w:bookmarkStart w:id="10" w:name="_Toc208914391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cotton bud</w:t>
      </w:r>
      <w:r>
        <w:t xml:space="preserve"> paragraph (a):</w:t>
      </w:r>
    </w:p>
    <w:p>
      <w:pPr>
        <w:pStyle w:val="Indenta"/>
      </w:pPr>
      <w:r>
        <w:tab/>
        <w:t>(a)</w:t>
      </w:r>
      <w:r>
        <w:tab/>
        <w:t>after “provider” (1</w:t>
      </w:r>
      <w:r>
        <w:rPr>
          <w:vertAlign w:val="superscript"/>
        </w:rPr>
        <w:t>st</w:t>
      </w:r>
      <w:r>
        <w:t> 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 veterinarian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“provider;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provider or veterinarian; or</w:t>
      </w:r>
    </w:p>
    <w:p>
      <w:pPr>
        <w:pStyle w:val="BlankClose"/>
      </w:pPr>
    </w:p>
    <w:p>
      <w:pPr>
        <w:pStyle w:val="Heading5"/>
      </w:pPr>
      <w:bookmarkStart w:id="11" w:name="_Toc208492585"/>
      <w:bookmarkStart w:id="12" w:name="_Toc208914392"/>
      <w:r>
        <w:rPr>
          <w:rStyle w:val="CharSectno"/>
        </w:rPr>
        <w:lastRenderedPageBreak/>
        <w:t>5</w:t>
      </w:r>
      <w:r>
        <w:t>.</w:t>
      </w:r>
      <w:r>
        <w:tab/>
        <w:t>Regulation 3A amended</w:t>
      </w:r>
      <w:bookmarkEnd w:id="11"/>
      <w:bookmarkEnd w:id="12"/>
    </w:p>
    <w:p>
      <w:pPr>
        <w:pStyle w:val="Subsection"/>
      </w:pPr>
      <w:r>
        <w:tab/>
      </w:r>
      <w:r>
        <w:tab/>
        <w:t>After regulation 3A(1)(c) insert:</w:t>
      </w:r>
    </w:p>
    <w:p>
      <w:pPr>
        <w:pStyle w:val="BlankOpen"/>
      </w:pPr>
    </w:p>
    <w:p>
      <w:pPr>
        <w:pStyle w:val="zIndenta"/>
      </w:pPr>
      <w:r>
        <w:tab/>
        <w:t>(ca)</w:t>
      </w:r>
      <w:r>
        <w:tab/>
        <w:t>a lid for a plate;</w:t>
      </w:r>
    </w:p>
    <w:p>
      <w:pPr>
        <w:pStyle w:val="BlankClose"/>
      </w:pPr>
    </w:p>
    <w:p>
      <w:pPr>
        <w:pStyle w:val="Heading5"/>
      </w:pPr>
      <w:bookmarkStart w:id="13" w:name="_Toc208492586"/>
      <w:bookmarkStart w:id="14" w:name="_Toc208914393"/>
      <w:r>
        <w:rPr>
          <w:rStyle w:val="CharSectno"/>
        </w:rPr>
        <w:t>6</w:t>
      </w:r>
      <w:r>
        <w:t>.</w:t>
      </w:r>
      <w:r>
        <w:tab/>
        <w:t>Regulation 3B amended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In regulation 3B(1)(b) delete “unpackaged fresh fruit or vegetables.” and insert:</w:t>
      </w:r>
    </w:p>
    <w:p>
      <w:pPr>
        <w:pStyle w:val="BlankOpen"/>
      </w:pPr>
    </w:p>
    <w:p>
      <w:pPr>
        <w:pStyle w:val="zIndenta"/>
      </w:pPr>
      <w:r>
        <w:t xml:space="preserve">unpackaged — </w:t>
      </w:r>
    </w:p>
    <w:p>
      <w:pPr>
        <w:pStyle w:val="zIndenti"/>
      </w:pPr>
      <w:r>
        <w:tab/>
        <w:t>(i)</w:t>
      </w:r>
      <w:r>
        <w:tab/>
        <w:t>fresh fruit or vegetables; or</w:t>
      </w:r>
    </w:p>
    <w:p>
      <w:pPr>
        <w:pStyle w:val="zIndenti"/>
      </w:pPr>
      <w:r>
        <w:tab/>
        <w:t>(ii)</w:t>
      </w:r>
      <w:r>
        <w:tab/>
        <w:t>meat, poultry or seafood; or</w:t>
      </w:r>
    </w:p>
    <w:p>
      <w:pPr>
        <w:pStyle w:val="zIndenti"/>
      </w:pPr>
      <w:r>
        <w:tab/>
        <w:t>(iii)</w:t>
      </w:r>
      <w:r>
        <w:tab/>
        <w:t>dairy products; or</w:t>
      </w:r>
    </w:p>
    <w:p>
      <w:pPr>
        <w:pStyle w:val="zIndenti"/>
      </w:pPr>
      <w:r>
        <w:tab/>
        <w:t>(iv)</w:t>
      </w:r>
      <w:r>
        <w:tab/>
        <w:t>nuts; or</w:t>
      </w:r>
    </w:p>
    <w:p>
      <w:pPr>
        <w:pStyle w:val="zIndenti"/>
      </w:pPr>
      <w:r>
        <w:tab/>
        <w:t>(v)</w:t>
      </w:r>
      <w:r>
        <w:tab/>
        <w:t>confectionery.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Before regulation 3B(3)(b)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a barrier bag that is certified as biodegradable; or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regulation 3B(3)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For the purposes of subregulation (3)(a), a barrier bag is </w:t>
      </w:r>
      <w:r>
        <w:rPr>
          <w:rStyle w:val="CharDefText"/>
        </w:rPr>
        <w:t>certified as biodegradable</w:t>
      </w:r>
      <w:r>
        <w:t xml:space="preserve"> if — </w:t>
      </w:r>
    </w:p>
    <w:p>
      <w:pPr>
        <w:pStyle w:val="zIndenta"/>
      </w:pPr>
      <w:r>
        <w:tab/>
        <w:t>(a)</w:t>
      </w:r>
      <w:r>
        <w:tab/>
        <w:t xml:space="preserve">a person or body accredited in a manner approved by the CEO has issued a certificate verifying that the barrier bag complies with — </w:t>
      </w:r>
    </w:p>
    <w:p>
      <w:pPr>
        <w:pStyle w:val="zIndenti"/>
      </w:pPr>
      <w:r>
        <w:tab/>
        <w:t>(i)</w:t>
      </w:r>
      <w:r>
        <w:tab/>
        <w:t>AS 4736</w:t>
      </w:r>
      <w:r>
        <w:noBreakHyphen/>
        <w:t>2006 or AS 5810</w:t>
      </w:r>
      <w:r>
        <w:noBreakHyphen/>
        <w:t>2010; and</w:t>
      </w:r>
    </w:p>
    <w:p>
      <w:pPr>
        <w:pStyle w:val="zIndenti"/>
      </w:pPr>
      <w:r>
        <w:lastRenderedPageBreak/>
        <w:tab/>
        <w:t>(ii)</w:t>
      </w:r>
      <w:r>
        <w:tab/>
        <w:t xml:space="preserve">the requirements relating to labelling, handles, pigmentation, opacity and bag opening circumference specified in the </w:t>
      </w:r>
      <w:r>
        <w:rPr>
          <w:i/>
        </w:rPr>
        <w:t>Biodegradable barrier bag standard</w:t>
      </w:r>
      <w:r>
        <w:t xml:space="preserve"> published by the CEO on the Department’s website in September 2025, as in effect from time to time; 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(b)</w:t>
      </w:r>
      <w:r>
        <w:tab/>
        <w:t>the certificate’s period of validity has not expired.</w:t>
      </w:r>
    </w:p>
    <w:p>
      <w:pPr>
        <w:pStyle w:val="BlankClose"/>
      </w:pPr>
    </w:p>
    <w:p>
      <w:pPr>
        <w:pStyle w:val="Heading5"/>
      </w:pPr>
      <w:bookmarkStart w:id="15" w:name="_Toc208492587"/>
      <w:bookmarkStart w:id="16" w:name="_Toc208914394"/>
      <w:r>
        <w:rPr>
          <w:rStyle w:val="CharSectno"/>
        </w:rPr>
        <w:t>7</w:t>
      </w:r>
      <w:r>
        <w:t>.</w:t>
      </w:r>
      <w:r>
        <w:tab/>
        <w:t>Regulation 3BB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3BB(3):</w:t>
      </w:r>
    </w:p>
    <w:p>
      <w:pPr>
        <w:pStyle w:val="Indenta"/>
      </w:pPr>
      <w:r>
        <w:tab/>
        <w:t>(a)</w:t>
      </w:r>
      <w:r>
        <w:tab/>
        <w:t>in paragraph (c) delete “box.”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box;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(c) insert:</w:t>
      </w:r>
    </w:p>
    <w:p>
      <w:pPr>
        <w:pStyle w:val="BlankOpen"/>
      </w:pPr>
    </w:p>
    <w:p>
      <w:pPr>
        <w:pStyle w:val="zIndenta"/>
      </w:pPr>
      <w:r>
        <w:tab/>
        <w:t>(d)</w:t>
      </w:r>
      <w:r>
        <w:tab/>
        <w:t xml:space="preserve">packaging that is used to protect an item that is designed to be used for the purposes of construction work, as defined in the </w:t>
      </w:r>
      <w:r>
        <w:rPr>
          <w:i/>
        </w:rPr>
        <w:t>Building and Construction Industry (Security of Payment) Act 2021</w:t>
      </w:r>
      <w:r>
        <w:t xml:space="preserve"> section 6.</w:t>
      </w:r>
    </w:p>
    <w:p>
      <w:pPr>
        <w:pStyle w:val="BlankClose"/>
      </w:pPr>
    </w:p>
    <w:p>
      <w:pPr>
        <w:pStyle w:val="Heading5"/>
      </w:pPr>
      <w:bookmarkStart w:id="17" w:name="_Toc208492588"/>
      <w:bookmarkStart w:id="18" w:name="_Toc208914395"/>
      <w:r>
        <w:rPr>
          <w:rStyle w:val="CharSectno"/>
        </w:rPr>
        <w:t>8</w:t>
      </w:r>
      <w:r>
        <w:t>.</w:t>
      </w:r>
      <w:r>
        <w:tab/>
        <w:t>Regulation 3BC amended</w:t>
      </w:r>
      <w:bookmarkEnd w:id="17"/>
      <w:bookmarkEnd w:id="18"/>
    </w:p>
    <w:p>
      <w:pPr>
        <w:pStyle w:val="Subsection"/>
        <w:keepNext/>
      </w:pPr>
      <w:r>
        <w:tab/>
      </w:r>
      <w:r>
        <w:tab/>
        <w:t>In regulation 3BC:</w:t>
      </w:r>
    </w:p>
    <w:p>
      <w:pPr>
        <w:pStyle w:val="Indenta"/>
      </w:pPr>
      <w:r>
        <w:tab/>
        <w:t>(a)</w:t>
      </w:r>
      <w:r>
        <w:tab/>
        <w:t>in paragraph (b) delete “dye.”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dye; or</w:t>
      </w:r>
    </w:p>
    <w:p>
      <w:pPr>
        <w:pStyle w:val="BlankClose"/>
      </w:pPr>
    </w:p>
    <w:p>
      <w:pPr>
        <w:pStyle w:val="Indenta"/>
      </w:pPr>
      <w:r>
        <w:lastRenderedPageBreak/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a hairspray.</w:t>
      </w:r>
    </w:p>
    <w:p>
      <w:pPr>
        <w:pStyle w:val="BlankClose"/>
      </w:pPr>
    </w:p>
    <w:p>
      <w:pPr>
        <w:pStyle w:val="Heading5"/>
      </w:pPr>
      <w:bookmarkStart w:id="19" w:name="_Toc208492589"/>
      <w:bookmarkStart w:id="20" w:name="_Toc208914396"/>
      <w:r>
        <w:rPr>
          <w:rStyle w:val="CharSectno"/>
        </w:rPr>
        <w:t>9</w:t>
      </w:r>
      <w:r>
        <w:t>.</w:t>
      </w:r>
      <w:r>
        <w:tab/>
        <w:t>Regulation 3D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3D delete “packaging only if both the supplier and the person supplied are in the State.”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packaging — </w:t>
      </w:r>
    </w:p>
    <w:p>
      <w:pPr>
        <w:pStyle w:val="zIndenta"/>
      </w:pPr>
      <w:r>
        <w:tab/>
        <w:t>(a)</w:t>
      </w:r>
      <w:r>
        <w:tab/>
        <w:t>if the person supplied is in the State; and</w:t>
      </w:r>
    </w:p>
    <w:p>
      <w:pPr>
        <w:pStyle w:val="zIndenta"/>
      </w:pPr>
      <w:r>
        <w:tab/>
        <w:t>(b)</w:t>
      </w:r>
      <w:r>
        <w:tab/>
        <w:t>whether or not the supplier is in the State; and</w:t>
      </w:r>
    </w:p>
    <w:p>
      <w:pPr>
        <w:pStyle w:val="zIndenta"/>
      </w:pPr>
      <w:r>
        <w:tab/>
        <w:t>(c)</w:t>
      </w:r>
      <w:r>
        <w:tab/>
        <w:t>whether or not a contract relating to the supply is entered into in the State.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3D is to read:</w:t>
      </w:r>
    </w:p>
    <w:p>
      <w:pPr>
        <w:pStyle w:val="SectAltHeading"/>
      </w:pPr>
      <w:r>
        <w:tab/>
      </w:r>
      <w:r>
        <w:tab/>
        <w:t>Regulations apply to supplies that occur in the State</w:t>
      </w:r>
    </w:p>
    <w:p>
      <w:pPr>
        <w:pStyle w:val="Heading5"/>
      </w:pPr>
      <w:bookmarkStart w:id="21" w:name="_Toc208492590"/>
      <w:bookmarkStart w:id="22" w:name="_Toc208914397"/>
      <w:r>
        <w:rPr>
          <w:rStyle w:val="CharSectno"/>
        </w:rPr>
        <w:t>10</w:t>
      </w:r>
      <w:r>
        <w:t>.</w:t>
      </w:r>
      <w:r>
        <w:tab/>
        <w:t>Regulation 4B inserted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After regulation 4A insert:</w:t>
      </w:r>
    </w:p>
    <w:p>
      <w:pPr>
        <w:pStyle w:val="BlankOpen"/>
      </w:pPr>
    </w:p>
    <w:p>
      <w:pPr>
        <w:pStyle w:val="zHeading5"/>
      </w:pPr>
      <w:bookmarkStart w:id="23" w:name="_Toc208492591"/>
      <w:bookmarkStart w:id="24" w:name="_Toc208914398"/>
      <w:r>
        <w:t>4B.</w:t>
      </w:r>
      <w:r>
        <w:tab/>
        <w:t>Offence in r. 4 does not apply to meat and dairy barrier bags before 1 October 2026</w:t>
      </w:r>
      <w:bookmarkEnd w:id="23"/>
      <w:bookmarkEnd w:id="24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meat and dairy barrier bag</w:t>
      </w:r>
      <w:r>
        <w:t xml:space="preserve"> means a bag without handles that is made wholly or partly from plastic and is used to carry — </w:t>
      </w:r>
    </w:p>
    <w:p>
      <w:pPr>
        <w:pStyle w:val="zDefpara"/>
      </w:pPr>
      <w:r>
        <w:tab/>
        <w:t>(a)</w:t>
      </w:r>
      <w:r>
        <w:tab/>
        <w:t>meat, poultry or seafood; or</w:t>
      </w:r>
    </w:p>
    <w:p>
      <w:pPr>
        <w:pStyle w:val="zDefpara"/>
      </w:pPr>
      <w:r>
        <w:tab/>
        <w:t>(b)</w:t>
      </w:r>
      <w:r>
        <w:tab/>
        <w:t>dairy products.</w:t>
      </w:r>
    </w:p>
    <w:p>
      <w:pPr>
        <w:pStyle w:val="zSubsection"/>
      </w:pPr>
      <w:r>
        <w:lastRenderedPageBreak/>
        <w:tab/>
        <w:t>(2)</w:t>
      </w:r>
      <w:r>
        <w:tab/>
        <w:t>Regulation 4 does not apply to the supply of a meat and dairy barrier bag unless the supply occurs on or after 1 October 2026.</w:t>
      </w:r>
    </w:p>
    <w:p>
      <w:pPr>
        <w:pStyle w:val="BlankClose"/>
      </w:pPr>
    </w:p>
    <w:p>
      <w:pPr>
        <w:pStyle w:val="Heading5"/>
      </w:pPr>
      <w:bookmarkStart w:id="25" w:name="_Toc208492592"/>
      <w:bookmarkStart w:id="26" w:name="_Toc208914399"/>
      <w:r>
        <w:rPr>
          <w:rStyle w:val="CharSectno"/>
        </w:rPr>
        <w:t>11</w:t>
      </w:r>
      <w:r>
        <w:t>.</w:t>
      </w:r>
      <w:r>
        <w:tab/>
        <w:t>Regulations 17EA and 17EB inserted</w:t>
      </w:r>
      <w:bookmarkEnd w:id="25"/>
      <w:bookmarkEnd w:id="26"/>
    </w:p>
    <w:p>
      <w:pPr>
        <w:pStyle w:val="Subsection"/>
      </w:pPr>
      <w:r>
        <w:tab/>
      </w:r>
      <w:r>
        <w:tab/>
        <w:t>At the beginning of Part 3C insert:</w:t>
      </w:r>
    </w:p>
    <w:p>
      <w:pPr>
        <w:pStyle w:val="BlankOpen"/>
      </w:pPr>
    </w:p>
    <w:p>
      <w:pPr>
        <w:pStyle w:val="zHeading5"/>
      </w:pPr>
      <w:bookmarkStart w:id="27" w:name="_Toc208492593"/>
      <w:bookmarkStart w:id="28" w:name="_Toc208914400"/>
      <w:r>
        <w:t>17EA.</w:t>
      </w:r>
      <w:r>
        <w:tab/>
        <w:t>Terms used</w:t>
      </w:r>
      <w:bookmarkEnd w:id="27"/>
      <w:bookmarkEnd w:id="28"/>
    </w:p>
    <w:p>
      <w:pPr>
        <w:pStyle w:val="zSubsection"/>
      </w:pPr>
      <w:r>
        <w:tab/>
      </w:r>
      <w:r>
        <w:tab/>
        <w:t xml:space="preserve">In this Part — </w:t>
      </w:r>
    </w:p>
    <w:p>
      <w:pPr>
        <w:pStyle w:val="zDefstart"/>
      </w:pPr>
      <w:r>
        <w:tab/>
      </w:r>
      <w:r>
        <w:rPr>
          <w:rStyle w:val="CharDefText"/>
        </w:rPr>
        <w:t>install</w:t>
      </w:r>
      <w:r>
        <w:t xml:space="preserve">, in relation to an item, means — </w:t>
      </w:r>
    </w:p>
    <w:p>
      <w:pPr>
        <w:pStyle w:val="zDefpara"/>
      </w:pPr>
      <w:r>
        <w:tab/>
        <w:t>(a)</w:t>
      </w:r>
      <w:r>
        <w:tab/>
        <w:t>assemble the item or fix the item in place; or</w:t>
      </w:r>
    </w:p>
    <w:p>
      <w:pPr>
        <w:pStyle w:val="zDefpara"/>
      </w:pPr>
      <w:r>
        <w:tab/>
        <w:t>(b)</w:t>
      </w:r>
      <w:r>
        <w:tab/>
        <w:t>connect the item to fixed electrical wiring, plumbing or gas pipes or associated equipment;</w:t>
      </w:r>
    </w:p>
    <w:p>
      <w:pPr>
        <w:pStyle w:val="zDefstart"/>
      </w:pPr>
      <w:r>
        <w:tab/>
      </w:r>
      <w:r>
        <w:rPr>
          <w:rStyle w:val="CharDefText"/>
        </w:rPr>
        <w:t>protective packaging</w:t>
      </w:r>
      <w:r>
        <w:t xml:space="preserve"> means prescribed expanded plastic packaging used to protect an item, or part of an item, that is designed to be installed by a qualified installer before use;</w:t>
      </w:r>
    </w:p>
    <w:p>
      <w:pPr>
        <w:pStyle w:val="zDefstart"/>
      </w:pPr>
      <w:r>
        <w:tab/>
      </w:r>
      <w:r>
        <w:rPr>
          <w:rStyle w:val="CharDefText"/>
        </w:rPr>
        <w:t>qualified installer</w:t>
      </w:r>
      <w:r>
        <w:t>, in relation to an item, means a person who is the holder of a licence, permit or other authority issued under a written law authorising the holder to carry out work involving the installation of the item.</w:t>
      </w:r>
    </w:p>
    <w:p>
      <w:pPr>
        <w:pStyle w:val="zHeading5"/>
      </w:pPr>
      <w:bookmarkStart w:id="29" w:name="_Toc208492594"/>
      <w:bookmarkStart w:id="30" w:name="_Toc208914401"/>
      <w:r>
        <w:t>17EB.</w:t>
      </w:r>
      <w:r>
        <w:tab/>
        <w:t>Authorised manner of disposal</w:t>
      </w:r>
      <w:bookmarkEnd w:id="29"/>
      <w:bookmarkEnd w:id="30"/>
    </w:p>
    <w:p>
      <w:pPr>
        <w:pStyle w:val="zSubsection"/>
      </w:pPr>
      <w:r>
        <w:tab/>
      </w:r>
      <w:r>
        <w:tab/>
        <w:t xml:space="preserve">For the purposes of this Part, the authorised manner of disposal of prescribed expanded plastic packaging is — </w:t>
      </w:r>
    </w:p>
    <w:p>
      <w:pPr>
        <w:pStyle w:val="zIndenta"/>
      </w:pPr>
      <w:r>
        <w:tab/>
        <w:t>(a)</w:t>
      </w:r>
      <w:r>
        <w:tab/>
        <w:t xml:space="preserve">disposal that complies with the requirements of an extended producer responsibility scheme that is implemented and operating under — </w:t>
      </w:r>
    </w:p>
    <w:p>
      <w:pPr>
        <w:pStyle w:val="zIndenti"/>
      </w:pPr>
      <w:r>
        <w:tab/>
        <w:t>(i)</w:t>
      </w:r>
      <w:r>
        <w:tab/>
        <w:t xml:space="preserve">the </w:t>
      </w:r>
      <w:r>
        <w:rPr>
          <w:i/>
          <w:iCs/>
        </w:rPr>
        <w:t>Waste Avoidance and Resource Recovery Act 2007</w:t>
      </w:r>
      <w:r>
        <w:t>; or</w:t>
      </w:r>
    </w:p>
    <w:p>
      <w:pPr>
        <w:pStyle w:val="zIndenti"/>
      </w:pPr>
      <w:r>
        <w:lastRenderedPageBreak/>
        <w:tab/>
        <w:t>(ii)</w:t>
      </w:r>
      <w:r>
        <w:tab/>
        <w:t>a law of the Commonwealth;</w:t>
      </w:r>
    </w:p>
    <w:p>
      <w:pPr>
        <w:pStyle w:val="zIndenta"/>
      </w:pPr>
      <w:r>
        <w:tab/>
      </w:r>
      <w:r>
        <w:tab/>
        <w:t>or</w:t>
      </w:r>
    </w:p>
    <w:p>
      <w:pPr>
        <w:pStyle w:val="zIndenta"/>
      </w:pPr>
      <w:r>
        <w:tab/>
        <w:t>(b)</w:t>
      </w:r>
      <w:r>
        <w:tab/>
        <w:t xml:space="preserve">disposal at premises that are — </w:t>
      </w:r>
    </w:p>
    <w:p>
      <w:pPr>
        <w:pStyle w:val="zIndenti"/>
      </w:pPr>
      <w:r>
        <w:tab/>
        <w:t>(i)</w:t>
      </w:r>
      <w:r>
        <w:tab/>
        <w:t xml:space="preserve">of a kind specified in the </w:t>
      </w:r>
      <w:r>
        <w:rPr>
          <w:i/>
        </w:rPr>
        <w:t>Environmental Protection Regulations 1987</w:t>
      </w:r>
      <w:r>
        <w:t xml:space="preserve"> Schedule 1 Part 2 as category 89 premises; and</w:t>
      </w:r>
    </w:p>
    <w:p>
      <w:pPr>
        <w:pStyle w:val="zIndenti"/>
      </w:pPr>
      <w:r>
        <w:tab/>
        <w:t>(ii)</w:t>
      </w:r>
      <w:r>
        <w:tab/>
        <w:t>registered under regulation 5B of those regulations;</w:t>
      </w:r>
    </w:p>
    <w:p>
      <w:pPr>
        <w:pStyle w:val="zIndenta"/>
      </w:pPr>
      <w:r>
        <w:tab/>
      </w:r>
      <w:r>
        <w:tab/>
        <w:t>or</w:t>
      </w:r>
    </w:p>
    <w:p>
      <w:pPr>
        <w:pStyle w:val="zIndenta"/>
      </w:pPr>
      <w:r>
        <w:tab/>
        <w:t>(c)</w:t>
      </w:r>
      <w:r>
        <w:tab/>
        <w:t>disposal at prescribed premises in respect of which a licence is in force authorising the packaging to be accepted at the premises for recycling or disposal.</w:t>
      </w:r>
    </w:p>
    <w:p>
      <w:pPr>
        <w:pStyle w:val="BlankClose"/>
      </w:pPr>
    </w:p>
    <w:p>
      <w:pPr>
        <w:pStyle w:val="Heading5"/>
      </w:pPr>
      <w:bookmarkStart w:id="31" w:name="_Toc208492595"/>
      <w:bookmarkStart w:id="32" w:name="_Toc208914402"/>
      <w:r>
        <w:rPr>
          <w:rStyle w:val="CharSectno"/>
        </w:rPr>
        <w:t>12</w:t>
      </w:r>
      <w:r>
        <w:t>.</w:t>
      </w:r>
      <w:r>
        <w:tab/>
        <w:t>Regulation 17F amended</w:t>
      </w:r>
      <w:bookmarkEnd w:id="31"/>
      <w:bookmarkEnd w:id="32"/>
    </w:p>
    <w:p>
      <w:pPr>
        <w:pStyle w:val="Subsection"/>
        <w:keepNext/>
      </w:pPr>
      <w:r>
        <w:tab/>
      </w:r>
      <w:r>
        <w:tab/>
        <w:t>After regulation 17F(3)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Subregulation (1) does not apply to the supply of protective packaging if the supplier believes on reasonable grounds that the person to whom the packaging is supplied — </w:t>
      </w:r>
    </w:p>
    <w:p>
      <w:pPr>
        <w:pStyle w:val="zIndenta"/>
      </w:pPr>
      <w:r>
        <w:tab/>
        <w:t>(a)</w:t>
      </w:r>
      <w:r>
        <w:tab/>
        <w:t>is a qualified installer; and</w:t>
      </w:r>
    </w:p>
    <w:p>
      <w:pPr>
        <w:pStyle w:val="zIndenta"/>
      </w:pPr>
      <w:r>
        <w:tab/>
        <w:t>(b)</w:t>
      </w:r>
      <w:r>
        <w:tab/>
        <w:t xml:space="preserve">will, after completing the installation of the item, or part of the item, that the packaging is used to protect — </w:t>
      </w:r>
    </w:p>
    <w:p>
      <w:pPr>
        <w:pStyle w:val="zIndenti"/>
      </w:pPr>
      <w:r>
        <w:tab/>
        <w:t>(i)</w:t>
      </w:r>
      <w:r>
        <w:tab/>
        <w:t>remove the packaging from the premises in or on which the item was installed; and</w:t>
      </w:r>
    </w:p>
    <w:p>
      <w:pPr>
        <w:pStyle w:val="zIndenti"/>
      </w:pPr>
      <w:r>
        <w:tab/>
        <w:t>(ii)</w:t>
      </w:r>
      <w:r>
        <w:tab/>
        <w:t>dispose of the packaging in the authorised manner.</w:t>
      </w:r>
    </w:p>
    <w:p>
      <w:pPr>
        <w:pStyle w:val="BlankClose"/>
      </w:pPr>
    </w:p>
    <w:p>
      <w:pPr>
        <w:pStyle w:val="Heading5"/>
      </w:pPr>
      <w:bookmarkStart w:id="33" w:name="_Toc208492596"/>
      <w:bookmarkStart w:id="34" w:name="_Toc208914403"/>
      <w:r>
        <w:rPr>
          <w:rStyle w:val="CharSectno"/>
        </w:rPr>
        <w:lastRenderedPageBreak/>
        <w:t>13</w:t>
      </w:r>
      <w:r>
        <w:t>.</w:t>
      </w:r>
      <w:r>
        <w:tab/>
        <w:t>Regulation 17FA inserted</w:t>
      </w:r>
      <w:bookmarkEnd w:id="33"/>
      <w:bookmarkEnd w:id="34"/>
    </w:p>
    <w:p>
      <w:pPr>
        <w:pStyle w:val="Subsection"/>
      </w:pPr>
      <w:r>
        <w:tab/>
      </w:r>
      <w:r>
        <w:tab/>
        <w:t>After regulation 17F insert:</w:t>
      </w:r>
    </w:p>
    <w:p>
      <w:pPr>
        <w:pStyle w:val="BlankOpen"/>
      </w:pPr>
    </w:p>
    <w:p>
      <w:pPr>
        <w:pStyle w:val="zHeading5"/>
      </w:pPr>
      <w:bookmarkStart w:id="35" w:name="_Toc208492597"/>
      <w:bookmarkStart w:id="36" w:name="_Toc208914404"/>
      <w:r>
        <w:t>17FA.</w:t>
      </w:r>
      <w:r>
        <w:tab/>
        <w:t>Offence to dispose of protective packaging</w:t>
      </w:r>
      <w:bookmarkEnd w:id="35"/>
      <w:bookmarkEnd w:id="36"/>
    </w:p>
    <w:p>
      <w:pPr>
        <w:pStyle w:val="zSubsection"/>
      </w:pPr>
      <w:r>
        <w:tab/>
      </w:r>
      <w:r>
        <w:tab/>
        <w:t>A qualified installer to whom protective packaging is supplied must not dispose of the packaging other than in the authorised manner.</w:t>
      </w:r>
    </w:p>
    <w:p>
      <w:pPr>
        <w:pStyle w:val="zPenstart"/>
      </w:pPr>
      <w:r>
        <w:tab/>
        <w:t>Penalty: a fine of $5 000.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 and Balloons)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 and Balloons)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 and Balloons)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(Prohibited Plastics and Balloons)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111415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20112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20112443_GUID" w:val="2e2968de-25d1-462a-b405-e3b612ab20ae"/>
    <w:docVar w:name="WAFER_20250724134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4134129_GUID" w:val="1b5de3c9-ac50-4206-b7c9-e8bdd3f60673"/>
    <w:docVar w:name="WAFER_20250911141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11141526_GUID" w:val="1f71f32e-7fca-4629-8b50-f2c190b857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AB3C85AA-2AF1-4E6B-9865-352FEB6E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6283</Characters>
  <Application>Microsoft Office Word</Application>
  <DocSecurity>0</DocSecurity>
  <Lines>261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(Prohibited Plastics and Balloons)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2025-09-16T03:45:00Z</dcterms:created>
  <dcterms:modified xsi:type="dcterms:W3CDTF">2025-09-16T03:45:00Z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54608</vt:lpwstr>
  </property>
  <property fmtid="{D5CDD505-2E9C-101B-9397-08002B2CF9AE}" pid="3" name="DocumentType">
    <vt:lpwstr>Reg</vt:lpwstr>
  </property>
  <property fmtid="{D5CDD505-2E9C-101B-9397-08002B2CF9AE}" pid="4" name="AsAtDate">
    <vt:lpwstr>17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2025/163</vt:lpwstr>
  </property>
  <property fmtid="{D5CDD505-2E9C-101B-9397-08002B2CF9AE}" pid="8" name="PublishDate">
    <vt:lpwstr>17 Sep 2025</vt:lpwstr>
  </property>
  <property fmtid="{D5CDD505-2E9C-101B-9397-08002B2CF9AE}" pid="9" name="CommencementDate">
    <vt:lpwstr>20250917</vt:lpwstr>
  </property>
  <property fmtid="{D5CDD505-2E9C-101B-9397-08002B2CF9AE}" pid="10" name="CommencementAsAt">
    <vt:filetime>2025-09-16T16:00:00Z</vt:filetime>
  </property>
  <property fmtid="{D5CDD505-2E9C-101B-9397-08002B2CF9AE}" pid="11" name="CommencementYear">
    <vt:lpwstr>2025</vt:lpwstr>
  </property>
</Properties>
</file>