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Road Traffic (Vehicles) Act 2012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(Vehicles) Amendment Regulations (No. 4)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Road Traffic (Vehicles) Amendment Regulations (No. 4)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_Toc208915168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_Toc208915169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_Toc208915170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_Toc208915171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117 amended</w:t>
      </w:r>
      <w:r>
        <w:tab/>
      </w:r>
      <w:r>
        <w:fldChar w:fldCharType="begin"/>
      </w:r>
      <w:r>
        <w:instrText xml:space="preserve"> PAGEREF _Toc208915172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 121 amended</w:t>
      </w:r>
      <w:r>
        <w:tab/>
      </w:r>
      <w:r>
        <w:fldChar w:fldCharType="begin"/>
      </w:r>
      <w:r>
        <w:instrText xml:space="preserve"> PAGEREF _Toc208915173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Part 10 Divisions 11A and 11B inserted</w:t>
      </w:r>
      <w:r>
        <w:tab/>
      </w:r>
      <w:r>
        <w:fldChar w:fldCharType="begin"/>
      </w:r>
      <w:r>
        <w:instrText xml:space="preserve"> PAGEREF _Toc208915174 \h </w:instrText>
      </w:r>
      <w:r>
        <w:fldChar w:fldCharType="separate"/>
      </w:r>
      <w:r>
        <w:t>2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11A — Hydrogen-powered vehicles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362B.</w:t>
      </w:r>
      <w:r>
        <w:rPr>
          <w:noProof/>
        </w:rPr>
        <w:tab/>
        <w:t>Label requirements for hydrogen</w:t>
      </w:r>
      <w:r>
        <w:rPr>
          <w:noProof/>
        </w:rPr>
        <w:noBreakHyphen/>
        <w:t>powered vehicles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_Toc208915176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11B — Electric</w:t>
      </w:r>
      <w:r>
        <w:noBreakHyphen/>
        <w:t>powered vehicles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362C.</w:t>
      </w:r>
      <w:r>
        <w:rPr>
          <w:noProof/>
        </w:rPr>
        <w:tab/>
        <w:t>Label requirements for electric</w:t>
      </w:r>
      <w:r>
        <w:rPr>
          <w:noProof/>
        </w:rPr>
        <w:noBreakHyphen/>
        <w:t>powered vehicles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_Toc208915178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Road Traffic (Vehicles) Act 2012</w:t>
      </w:r>
    </w:p>
    <w:p>
      <w:pPr>
        <w:pStyle w:val="NameofActReg"/>
      </w:pPr>
      <w:r>
        <w:t>Road Traffic (Vehicles) Amendment Regulations (No. 4)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8493337"/>
      <w:bookmarkStart w:id="3" w:name="_Toc20891516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Road Traffic (Vehicles) Amendment Regulations (No. 4) 2025</w:t>
      </w:r>
      <w:r>
        <w:t>.</w:t>
      </w:r>
    </w:p>
    <w:p>
      <w:pPr>
        <w:pStyle w:val="Heading5"/>
        <w:rPr>
          <w:spacing w:val="-2"/>
        </w:rPr>
      </w:pPr>
      <w:bookmarkStart w:id="5" w:name="_Toc208493338"/>
      <w:bookmarkStart w:id="6" w:name="_Toc20891516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January 2026.</w:t>
      </w:r>
    </w:p>
    <w:p>
      <w:pPr>
        <w:pStyle w:val="Heading5"/>
        <w:rPr>
          <w:snapToGrid w:val="0"/>
        </w:rPr>
      </w:pPr>
      <w:bookmarkStart w:id="7" w:name="_Toc208493339"/>
      <w:bookmarkStart w:id="8" w:name="_Toc20891517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Road Traffic (Vehicles) Regulations 2014</w:t>
      </w:r>
      <w:r>
        <w:t>.</w:t>
      </w:r>
    </w:p>
    <w:p>
      <w:pPr>
        <w:pStyle w:val="Heading5"/>
      </w:pPr>
      <w:bookmarkStart w:id="9" w:name="_Toc208493340"/>
      <w:bookmarkStart w:id="10" w:name="_Toc208915171"/>
      <w:r>
        <w:rPr>
          <w:rStyle w:val="CharSectno"/>
        </w:rPr>
        <w:t>4</w:t>
      </w:r>
      <w:r>
        <w:t>.</w:t>
      </w:r>
      <w:r>
        <w:tab/>
        <w:t>Regulation 8 amended</w:t>
      </w:r>
      <w:bookmarkEnd w:id="9"/>
      <w:bookmarkEnd w:id="10"/>
    </w:p>
    <w:p>
      <w:pPr>
        <w:pStyle w:val="Subsection"/>
      </w:pPr>
      <w:r>
        <w:tab/>
      </w:r>
      <w:r>
        <w:tab/>
        <w:t>Delete regulation 8(2)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If a diagram is referred to in a provision, the diagram has effect in accordance with the provision.</w:t>
      </w:r>
    </w:p>
    <w:p>
      <w:pPr>
        <w:pStyle w:val="zPermNoteHeading"/>
      </w:pPr>
      <w:r>
        <w:tab/>
        <w:t>Note for this subregulation:</w:t>
      </w:r>
    </w:p>
    <w:p>
      <w:pPr>
        <w:pStyle w:val="zPermNoteText"/>
      </w:pPr>
      <w:r>
        <w:tab/>
      </w:r>
      <w:r>
        <w:tab/>
        <w:t>See regulations 362B(4)(d), 362C(4)(d) and 373(3)(a).</w:t>
      </w:r>
    </w:p>
    <w:p>
      <w:pPr>
        <w:pStyle w:val="zSubsection"/>
      </w:pPr>
      <w:r>
        <w:lastRenderedPageBreak/>
        <w:tab/>
        <w:t>(3)</w:t>
      </w:r>
      <w:r>
        <w:tab/>
        <w:t>A diagram is otherwise for illustrative purposes only and is not intended to represent the actual size, dimensions or colour of the thing shown.</w:t>
      </w:r>
    </w:p>
    <w:p>
      <w:pPr>
        <w:pStyle w:val="BlankClose"/>
      </w:pPr>
    </w:p>
    <w:p>
      <w:pPr>
        <w:pStyle w:val="Heading5"/>
      </w:pPr>
      <w:bookmarkStart w:id="11" w:name="_Toc208493341"/>
      <w:bookmarkStart w:id="12" w:name="_Toc208915172"/>
      <w:r>
        <w:rPr>
          <w:rStyle w:val="CharSectno"/>
        </w:rPr>
        <w:t>5</w:t>
      </w:r>
      <w:r>
        <w:t>.</w:t>
      </w:r>
      <w:r>
        <w:tab/>
        <w:t>Regulation 117 amended</w:t>
      </w:r>
      <w:bookmarkEnd w:id="11"/>
      <w:bookmarkEnd w:id="12"/>
    </w:p>
    <w:p>
      <w:pPr>
        <w:pStyle w:val="Subsection"/>
        <w:rPr>
          <w:highlight w:val="yellow"/>
        </w:rPr>
      </w:pPr>
      <w:r>
        <w:tab/>
      </w:r>
      <w:r>
        <w:tab/>
        <w:t>In regulation 117(1) delete “127, 133 and 362(2),” and insert:</w:t>
      </w:r>
    </w:p>
    <w:p>
      <w:pPr>
        <w:pStyle w:val="BlankOpen"/>
        <w:rPr>
          <w:highlight w:val="yellow"/>
        </w:rPr>
      </w:pPr>
    </w:p>
    <w:p>
      <w:pPr>
        <w:pStyle w:val="Subsection"/>
      </w:pPr>
      <w:r>
        <w:tab/>
      </w:r>
      <w:r>
        <w:tab/>
        <w:t>127 and 133,</w:t>
      </w:r>
    </w:p>
    <w:p>
      <w:pPr>
        <w:pStyle w:val="BlankClose"/>
        <w:rPr>
          <w:rStyle w:val="CharSectno"/>
        </w:rPr>
      </w:pPr>
    </w:p>
    <w:p>
      <w:pPr>
        <w:pStyle w:val="Heading5"/>
      </w:pPr>
      <w:bookmarkStart w:id="13" w:name="_Toc208493342"/>
      <w:bookmarkStart w:id="14" w:name="_Toc208915173"/>
      <w:r>
        <w:rPr>
          <w:rStyle w:val="CharSectno"/>
        </w:rPr>
        <w:t>6</w:t>
      </w:r>
      <w:r>
        <w:t>.</w:t>
      </w:r>
      <w:r>
        <w:tab/>
        <w:t>Regulation 121 amended</w:t>
      </w:r>
      <w:bookmarkEnd w:id="13"/>
      <w:bookmarkEnd w:id="14"/>
    </w:p>
    <w:p>
      <w:pPr>
        <w:pStyle w:val="Subsection"/>
      </w:pPr>
      <w:r>
        <w:tab/>
      </w:r>
      <w:r>
        <w:tab/>
        <w:t>In regulation 121(b) delete “362(2).”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136, 362(2) or (3), 362B or 362C.</w:t>
      </w:r>
    </w:p>
    <w:p>
      <w:pPr>
        <w:pStyle w:val="BlankClose"/>
      </w:pPr>
    </w:p>
    <w:p>
      <w:pPr>
        <w:pStyle w:val="Heading5"/>
      </w:pPr>
      <w:bookmarkStart w:id="15" w:name="_Toc208493343"/>
      <w:bookmarkStart w:id="16" w:name="_Toc208915174"/>
      <w:r>
        <w:rPr>
          <w:rStyle w:val="CharSectno"/>
        </w:rPr>
        <w:t>7</w:t>
      </w:r>
      <w:r>
        <w:t>.</w:t>
      </w:r>
      <w:r>
        <w:tab/>
        <w:t>Part 10 Divisions 11A and 11B inserted</w:t>
      </w:r>
      <w:bookmarkEnd w:id="15"/>
      <w:bookmarkEnd w:id="16"/>
    </w:p>
    <w:p>
      <w:pPr>
        <w:pStyle w:val="Subsection"/>
      </w:pPr>
      <w:r>
        <w:tab/>
      </w:r>
      <w:r>
        <w:tab/>
        <w:t>After Part 10 Division 11 insert:</w:t>
      </w:r>
    </w:p>
    <w:p>
      <w:pPr>
        <w:pStyle w:val="BlankOpen"/>
      </w:pPr>
    </w:p>
    <w:p>
      <w:pPr>
        <w:pStyle w:val="zHeading3"/>
      </w:pPr>
      <w:bookmarkStart w:id="17" w:name="_Toc208493344"/>
      <w:bookmarkStart w:id="18" w:name="_Toc208493459"/>
      <w:bookmarkStart w:id="19" w:name="_Toc208493513"/>
      <w:bookmarkStart w:id="20" w:name="_Toc208493647"/>
      <w:bookmarkStart w:id="21" w:name="_Toc208914481"/>
      <w:bookmarkStart w:id="22" w:name="_Toc208915175"/>
      <w:r>
        <w:t>Division 11A — Hydrogen-powered vehicles</w:t>
      </w:r>
      <w:bookmarkEnd w:id="17"/>
      <w:bookmarkEnd w:id="18"/>
      <w:bookmarkEnd w:id="19"/>
      <w:bookmarkEnd w:id="20"/>
      <w:bookmarkEnd w:id="21"/>
      <w:bookmarkEnd w:id="22"/>
    </w:p>
    <w:p>
      <w:pPr>
        <w:pStyle w:val="zHeading5"/>
      </w:pPr>
      <w:bookmarkStart w:id="23" w:name="_Toc208493345"/>
      <w:bookmarkStart w:id="24" w:name="_Toc208915176"/>
      <w:r>
        <w:t>362B.</w:t>
      </w:r>
      <w:r>
        <w:tab/>
        <w:t>Label requirements for hydrogen</w:t>
      </w:r>
      <w:r>
        <w:noBreakHyphen/>
        <w:t>powered vehicles</w:t>
      </w:r>
      <w:bookmarkEnd w:id="23"/>
      <w:bookmarkEnd w:id="24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hydrogen</w:t>
      </w:r>
      <w:r>
        <w:rPr>
          <w:rStyle w:val="CharDefText"/>
        </w:rPr>
        <w:noBreakHyphen/>
        <w:t>powered vehicle</w:t>
      </w:r>
      <w:r>
        <w:t xml:space="preserve"> means a vehicle that — </w:t>
      </w:r>
    </w:p>
    <w:p>
      <w:pPr>
        <w:pStyle w:val="zDefpara"/>
      </w:pPr>
      <w:r>
        <w:tab/>
        <w:t>(a)</w:t>
      </w:r>
      <w:r>
        <w:tab/>
        <w:t>is powered by a hydrogen fuel system; and</w:t>
      </w:r>
    </w:p>
    <w:p>
      <w:pPr>
        <w:pStyle w:val="zDefpara"/>
      </w:pPr>
      <w:r>
        <w:tab/>
        <w:t>(b)</w:t>
      </w:r>
      <w:r>
        <w:tab/>
        <w:t>has 1 or more hydrogen fuel containers fitted to the vehicle for the system.</w:t>
      </w:r>
    </w:p>
    <w:p>
      <w:pPr>
        <w:pStyle w:val="zSubsection"/>
      </w:pPr>
      <w:r>
        <w:tab/>
        <w:t>(2)</w:t>
      </w:r>
      <w:r>
        <w:tab/>
        <w:t>This regulation applies to a hydrogen</w:t>
      </w:r>
      <w:r>
        <w:noBreakHyphen/>
        <w:t xml:space="preserve">powered vehicle — </w:t>
      </w:r>
    </w:p>
    <w:p>
      <w:pPr>
        <w:pStyle w:val="zIndenta"/>
      </w:pPr>
      <w:r>
        <w:tab/>
        <w:t>(a)</w:t>
      </w:r>
      <w:r>
        <w:tab/>
        <w:t>built on or after 1 January 2019; or</w:t>
      </w:r>
    </w:p>
    <w:p>
      <w:pPr>
        <w:pStyle w:val="zIndenta"/>
      </w:pPr>
      <w:r>
        <w:lastRenderedPageBreak/>
        <w:tab/>
        <w:t>(b)</w:t>
      </w:r>
      <w:r>
        <w:tab/>
        <w:t>modified to be a hydrogen</w:t>
      </w:r>
      <w:r>
        <w:noBreakHyphen/>
        <w:t>powered vehicle on or after 1 January 2019.</w:t>
      </w:r>
    </w:p>
    <w:p>
      <w:pPr>
        <w:pStyle w:val="zSubsection"/>
      </w:pPr>
      <w:r>
        <w:tab/>
        <w:t>(3)</w:t>
      </w:r>
      <w:r>
        <w:tab/>
        <w:t xml:space="preserve">The vehicle must have fixed conspicuously to its front and rear number plates — </w:t>
      </w:r>
    </w:p>
    <w:p>
      <w:pPr>
        <w:pStyle w:val="zIndenta"/>
      </w:pPr>
      <w:r>
        <w:tab/>
        <w:t>(a)</w:t>
      </w:r>
      <w:r>
        <w:tab/>
        <w:t>for a vehicle fitted with 1 hydrogen fuel container — a label that complies with subregulation (4); or</w:t>
      </w:r>
    </w:p>
    <w:p>
      <w:pPr>
        <w:pStyle w:val="zIndenta"/>
      </w:pPr>
      <w:r>
        <w:tab/>
        <w:t>(b)</w:t>
      </w:r>
      <w:r>
        <w:tab/>
        <w:t>for a vehicle fitted with 2 or more hydrogen fuel containers — 2 labels that comply with subregulation (4).</w:t>
      </w:r>
    </w:p>
    <w:p>
      <w:pPr>
        <w:pStyle w:val="zSubsection"/>
      </w:pPr>
      <w:r>
        <w:tab/>
        <w:t>(4)</w:t>
      </w:r>
      <w:r>
        <w:tab/>
        <w:t xml:space="preserve">For the purposes of subregulation (3), a label complies with this subregulation if — </w:t>
      </w:r>
    </w:p>
    <w:p>
      <w:pPr>
        <w:pStyle w:val="zIndenta"/>
      </w:pPr>
      <w:r>
        <w:tab/>
        <w:t>(a)</w:t>
      </w:r>
      <w:r>
        <w:tab/>
        <w:t>it is affixed to a plate made of metal that is at least 1 mm thick; and</w:t>
      </w:r>
    </w:p>
    <w:p>
      <w:pPr>
        <w:pStyle w:val="zIndenta"/>
      </w:pPr>
      <w:r>
        <w:tab/>
        <w:t>(b)</w:t>
      </w:r>
      <w:r>
        <w:tab/>
        <w:t xml:space="preserve">the label, and the plate to which it is affixed, is a regular pentagonal shape — </w:t>
      </w:r>
    </w:p>
    <w:p>
      <w:pPr>
        <w:pStyle w:val="zIndenti"/>
      </w:pPr>
      <w:r>
        <w:tab/>
        <w:t>(i)</w:t>
      </w:r>
      <w:r>
        <w:tab/>
        <w:t>each side of which is 20 mm long; and</w:t>
      </w:r>
    </w:p>
    <w:p>
      <w:pPr>
        <w:pStyle w:val="zIndenti"/>
      </w:pPr>
      <w:r>
        <w:tab/>
        <w:t>(ii)</w:t>
      </w:r>
      <w:r>
        <w:tab/>
        <w:t>each interior angle of which is 108°;</w:t>
      </w:r>
    </w:p>
    <w:p>
      <w:pPr>
        <w:pStyle w:val="zIndenta"/>
      </w:pPr>
      <w:r>
        <w:tab/>
      </w:r>
      <w:r>
        <w:tab/>
        <w:t>and</w:t>
      </w:r>
    </w:p>
    <w:p>
      <w:pPr>
        <w:pStyle w:val="zIndenta"/>
      </w:pPr>
      <w:r>
        <w:tab/>
        <w:t>(c)</w:t>
      </w:r>
      <w:r>
        <w:tab/>
        <w:t xml:space="preserve">it has a yellow surface that complies with class 2 of AS 1906.1:2017 </w:t>
      </w:r>
      <w:r>
        <w:rPr>
          <w:i/>
          <w:iCs/>
        </w:rPr>
        <w:t>Retroreflective materials and devices for road traffic control purposes — Retroreflective sheeting</w:t>
      </w:r>
      <w:r>
        <w:t>; and</w:t>
      </w:r>
    </w:p>
    <w:p>
      <w:pPr>
        <w:pStyle w:val="zIndenta"/>
        <w:rPr>
          <w:rStyle w:val="DraftersNotes"/>
          <w:b w:val="0"/>
          <w:i w:val="0"/>
          <w:sz w:val="24"/>
        </w:rPr>
      </w:pPr>
      <w:r>
        <w:tab/>
        <w:t>(d)</w:t>
      </w:r>
      <w:r>
        <w:tab/>
        <w:t>it is marked ‘H’ in a black capital letter that is at least 10 mm high and has the orientation shown in the diagram below; and</w:t>
      </w:r>
    </w:p>
    <w:p>
      <w:pPr>
        <w:pStyle w:val="zIndenta"/>
      </w:pPr>
      <w:r>
        <w:tab/>
        <w:t>(e)</w:t>
      </w:r>
      <w:r>
        <w:tab/>
        <w:t>it is fixed to the number plates so that the letter on the label is in an upright position; and</w:t>
      </w:r>
    </w:p>
    <w:p>
      <w:pPr>
        <w:pStyle w:val="zIndenta"/>
      </w:pPr>
      <w:r>
        <w:tab/>
        <w:t>(f)</w:t>
      </w:r>
      <w:r>
        <w:tab/>
        <w:t>it does not wholly or partly obscure any characters on the number plates.</w:t>
      </w:r>
    </w:p>
    <w:p>
      <w:pPr>
        <w:pStyle w:val="zSubsection"/>
        <w:keepNext/>
        <w:jc w:val="center"/>
      </w:pPr>
      <w:r>
        <w:rPr>
          <w:noProof/>
        </w:rPr>
        <w:lastRenderedPageBreak/>
        <w:drawing>
          <wp:inline distT="0" distB="0" distL="0" distR="0">
            <wp:extent cx="1166400" cy="10800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664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MiscellaneousHeadingBold"/>
        <w:rPr>
          <w:rStyle w:val="DraftersNotes"/>
        </w:rPr>
      </w:pPr>
      <w:r>
        <w:t>Hydrogen</w:t>
      </w:r>
      <w:r>
        <w:noBreakHyphen/>
        <w:t>powered vehicle label</w:t>
      </w:r>
    </w:p>
    <w:p>
      <w:pPr>
        <w:pStyle w:val="zHeading3"/>
      </w:pPr>
      <w:bookmarkStart w:id="25" w:name="_Toc208493346"/>
      <w:bookmarkStart w:id="26" w:name="_Toc208493461"/>
      <w:bookmarkStart w:id="27" w:name="_Toc208493515"/>
      <w:bookmarkStart w:id="28" w:name="_Toc208493649"/>
      <w:bookmarkStart w:id="29" w:name="_Toc208914483"/>
      <w:bookmarkStart w:id="30" w:name="_Toc208915177"/>
      <w:r>
        <w:t>Division 11B — Electric</w:t>
      </w:r>
      <w:r>
        <w:noBreakHyphen/>
        <w:t>powered vehicles</w:t>
      </w:r>
      <w:bookmarkEnd w:id="25"/>
      <w:bookmarkEnd w:id="26"/>
      <w:bookmarkEnd w:id="27"/>
      <w:bookmarkEnd w:id="28"/>
      <w:bookmarkEnd w:id="29"/>
      <w:bookmarkEnd w:id="30"/>
    </w:p>
    <w:p>
      <w:pPr>
        <w:pStyle w:val="zHeading5"/>
      </w:pPr>
      <w:bookmarkStart w:id="31" w:name="_Toc208493347"/>
      <w:bookmarkStart w:id="32" w:name="_Toc208915178"/>
      <w:r>
        <w:t>362C.</w:t>
      </w:r>
      <w:r>
        <w:tab/>
        <w:t>Label requirements for electric</w:t>
      </w:r>
      <w:r>
        <w:noBreakHyphen/>
        <w:t>powered vehicles</w:t>
      </w:r>
      <w:bookmarkEnd w:id="31"/>
      <w:bookmarkEnd w:id="32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electric</w:t>
      </w:r>
      <w:r>
        <w:rPr>
          <w:rStyle w:val="CharDefText"/>
        </w:rPr>
        <w:noBreakHyphen/>
        <w:t>powered vehicle</w:t>
      </w:r>
      <w:r>
        <w:t xml:space="preserve"> means a vehicle that is powered by 1 or more electric motors or traction motors that — </w:t>
      </w:r>
    </w:p>
    <w:p>
      <w:pPr>
        <w:pStyle w:val="zDefpara"/>
      </w:pPr>
      <w:r>
        <w:tab/>
        <w:t>(a)</w:t>
      </w:r>
      <w:r>
        <w:tab/>
        <w:t>are the only propulsion system for the vehicle; or</w:t>
      </w:r>
    </w:p>
    <w:p>
      <w:pPr>
        <w:pStyle w:val="zDefpara"/>
      </w:pPr>
      <w:r>
        <w:tab/>
        <w:t>(b)</w:t>
      </w:r>
      <w:r>
        <w:tab/>
        <w:t>are used in conjunction with another propulsion system for the vehicle.</w:t>
      </w:r>
    </w:p>
    <w:p>
      <w:pPr>
        <w:pStyle w:val="zSubsection"/>
      </w:pPr>
      <w:r>
        <w:tab/>
        <w:t>(2)</w:t>
      </w:r>
      <w:r>
        <w:tab/>
        <w:t xml:space="preserve">This regulation — </w:t>
      </w:r>
    </w:p>
    <w:p>
      <w:pPr>
        <w:pStyle w:val="zIndenta"/>
      </w:pPr>
      <w:r>
        <w:tab/>
        <w:t>(a)</w:t>
      </w:r>
      <w:r>
        <w:tab/>
        <w:t>applies to an electric</w:t>
      </w:r>
      <w:r>
        <w:noBreakHyphen/>
        <w:t xml:space="preserve">powered vehicle — </w:t>
      </w:r>
    </w:p>
    <w:p>
      <w:pPr>
        <w:pStyle w:val="zIndenti"/>
      </w:pPr>
      <w:r>
        <w:tab/>
        <w:t>(i)</w:t>
      </w:r>
      <w:r>
        <w:tab/>
        <w:t>built on or after 1 January 2019; or</w:t>
      </w:r>
    </w:p>
    <w:p>
      <w:pPr>
        <w:pStyle w:val="zIndenti"/>
      </w:pPr>
      <w:r>
        <w:tab/>
        <w:t>(ii)</w:t>
      </w:r>
      <w:r>
        <w:tab/>
        <w:t>modified to be an electric</w:t>
      </w:r>
      <w:r>
        <w:noBreakHyphen/>
        <w:t>powered vehicle on or after 1 January 2019;</w:t>
      </w:r>
    </w:p>
    <w:p>
      <w:pPr>
        <w:pStyle w:val="zIndenta"/>
      </w:pPr>
      <w:r>
        <w:tab/>
      </w:r>
      <w:r>
        <w:tab/>
        <w:t>but</w:t>
      </w:r>
    </w:p>
    <w:p>
      <w:pPr>
        <w:pStyle w:val="zIndenta"/>
      </w:pPr>
      <w:r>
        <w:tab/>
        <w:t>(b)</w:t>
      </w:r>
      <w:r>
        <w:tab/>
        <w:t>does not apply to a vehicle to which regulation 362B applies (even if the vehicle is fitted with an electric motor or traction motor that is used in conjunction with a hydrogen fuel system for the propulsion of the vehicle).</w:t>
      </w:r>
    </w:p>
    <w:p>
      <w:pPr>
        <w:pStyle w:val="zSubsection"/>
      </w:pPr>
      <w:r>
        <w:lastRenderedPageBreak/>
        <w:tab/>
        <w:t>(3)</w:t>
      </w:r>
      <w:r>
        <w:tab/>
        <w:t>The vehicle must have fixed conspicuously to its front and rear number plates a label that complies with subregulation (4).</w:t>
      </w:r>
    </w:p>
    <w:p>
      <w:pPr>
        <w:pStyle w:val="zSubsection"/>
      </w:pPr>
      <w:r>
        <w:tab/>
        <w:t>(4)</w:t>
      </w:r>
      <w:r>
        <w:tab/>
        <w:t xml:space="preserve">For the purposes of subregulation (3), a label complies with this subregulation if — </w:t>
      </w:r>
    </w:p>
    <w:p>
      <w:pPr>
        <w:pStyle w:val="zIndenta"/>
      </w:pPr>
      <w:r>
        <w:tab/>
        <w:t>(a)</w:t>
      </w:r>
      <w:r>
        <w:tab/>
        <w:t>it is affixed to a plate made of metal that is at least 1 mm thick; and</w:t>
      </w:r>
    </w:p>
    <w:p>
      <w:pPr>
        <w:pStyle w:val="zIndenta"/>
      </w:pPr>
      <w:r>
        <w:tab/>
        <w:t>(b)</w:t>
      </w:r>
      <w:r>
        <w:tab/>
        <w:t xml:space="preserve">the label, and the plate to which it is affixed, is an equilateral triangular shape — </w:t>
      </w:r>
    </w:p>
    <w:p>
      <w:pPr>
        <w:pStyle w:val="zIndenti"/>
      </w:pPr>
      <w:r>
        <w:tab/>
        <w:t>(i)</w:t>
      </w:r>
      <w:r>
        <w:tab/>
        <w:t>each side of which is 30 mm long; and</w:t>
      </w:r>
    </w:p>
    <w:p>
      <w:pPr>
        <w:pStyle w:val="zIndenti"/>
      </w:pPr>
      <w:r>
        <w:tab/>
        <w:t>(ii)</w:t>
      </w:r>
      <w:r>
        <w:tab/>
        <w:t>each interior angle of which is 60°;</w:t>
      </w:r>
    </w:p>
    <w:p>
      <w:pPr>
        <w:pStyle w:val="zIndenta"/>
      </w:pPr>
      <w:r>
        <w:tab/>
      </w:r>
      <w:r>
        <w:tab/>
        <w:t>and</w:t>
      </w:r>
    </w:p>
    <w:p>
      <w:pPr>
        <w:pStyle w:val="zIndenta"/>
      </w:pPr>
      <w:r>
        <w:tab/>
        <w:t>(c)</w:t>
      </w:r>
      <w:r>
        <w:tab/>
        <w:t xml:space="preserve">it has a blue surface that complies with class 2 of AS 1906.1:2017 </w:t>
      </w:r>
      <w:r>
        <w:rPr>
          <w:i/>
          <w:iCs/>
        </w:rPr>
        <w:t>Retroreflective materials and devices for road traffic control purposes — Retroreflective sheeting</w:t>
      </w:r>
      <w:r>
        <w:t>; and</w:t>
      </w:r>
    </w:p>
    <w:p>
      <w:pPr>
        <w:pStyle w:val="zIndenta"/>
      </w:pPr>
      <w:r>
        <w:tab/>
        <w:t>(d)</w:t>
      </w:r>
      <w:r>
        <w:tab/>
        <w:t>it is marked ‘EV’ in white capital letters that are at least 8 mm high and have the orientation shown in the diagram below; and</w:t>
      </w:r>
    </w:p>
    <w:p>
      <w:pPr>
        <w:pStyle w:val="zIndenta"/>
      </w:pPr>
      <w:r>
        <w:tab/>
        <w:t>(e)</w:t>
      </w:r>
      <w:r>
        <w:tab/>
        <w:t>it is fixed to the number plates so that the letters on the label are in an upright position; and</w:t>
      </w:r>
    </w:p>
    <w:p>
      <w:pPr>
        <w:pStyle w:val="zIndenta"/>
      </w:pPr>
      <w:r>
        <w:tab/>
        <w:t>(f)</w:t>
      </w:r>
      <w:r>
        <w:tab/>
        <w:t>it does not wholly or partly obscure any characters on the number plates.</w:t>
      </w:r>
    </w:p>
    <w:p>
      <w:pPr>
        <w:pStyle w:val="zSubsection"/>
        <w:keepNext/>
        <w:jc w:val="center"/>
      </w:pPr>
      <w:r>
        <w:rPr>
          <w:noProof/>
        </w:rPr>
        <w:lastRenderedPageBreak/>
        <w:drawing>
          <wp:inline distT="0" distB="0" distL="0" distR="0">
            <wp:extent cx="1144800" cy="10800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44800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zMiscellaneousHeadingBold"/>
        <w:keepNext/>
        <w:rPr>
          <w:rStyle w:val="DraftersNotes"/>
        </w:rPr>
      </w:pPr>
      <w:r>
        <w:t>Electric</w:t>
      </w:r>
      <w:r>
        <w:noBreakHyphen/>
        <w:t>powered vehicle label</w:t>
      </w:r>
    </w:p>
    <w:p>
      <w:pPr>
        <w:pStyle w:val="BlankClose"/>
        <w:keepNext/>
      </w:pPr>
    </w:p>
    <w:p>
      <w:pPr>
        <w:pStyle w:val="ByCommand"/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5F5D8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 w14:paraId="761205FD" w14:textId="2A9B3AE1" w:rsidR="00D50958" w:rsidRDefault="00D5095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33C9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C7CA875" w14:textId="77777777" w:rsidR="00D50958" w:rsidRDefault="00D5095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557598F" w14:textId="35CB2F50" w:rsidR="00D50958" w:rsidRDefault="00D5095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33C96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313A09C" w14:textId="77777777" w:rsidR="00D50958" w:rsidRDefault="00D5095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17 Sep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(No. 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(No. 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(No. 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Road Traffic (Vehicles) Amendment Regulations (No. 4)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91114281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6051107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05110722_GUID" w:val="c55c8554-ec71-4773-9388-14142aa4e1bf"/>
    <w:docVar w:name="WAFER_202506051109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5110922_GUID" w:val="b1d72db8-85e5-4da7-b476-3d8df75fb027"/>
    <w:docVar w:name="WAFER_202507251125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725112529_GUID" w:val="8df3dd6c-732c-4358-aca9-8623b8fc434a"/>
    <w:docVar w:name="WAFER_202509111428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911142816_GUID" w:val="a680931b-64ee-490d-8a26-b9129e3ef2c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5:docId w15:val="{38B71361-DB71-44F4-9495-BEBB207F2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zMiscellaneousHeadingBold">
    <w:name w:val="zMiscellaneous Heading + Bold"/>
    <w:basedOn w:val="MiscellaneousHeading"/>
    <w:pPr>
      <w:keepNext w:val="0"/>
      <w:spacing w:before="60" w:line="240" w:lineRule="auto"/>
    </w:pPr>
    <w:rPr>
      <w:b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image" Target="media/image2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footer" Target="footer7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3.png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1009</Words>
  <Characters>5037</Characters>
  <Application>Microsoft Office Word</Application>
  <DocSecurity>0</DocSecurity>
  <Lines>186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(Vehicles) Amendment Regulations (No. 4)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2025-09-16T03:45:00Z</dcterms:created>
  <dcterms:modified xsi:type="dcterms:W3CDTF">2025-09-16T03:45:00Z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55437</vt:lpwstr>
  </property>
  <property fmtid="{D5CDD505-2E9C-101B-9397-08002B2CF9AE}" pid="3" name="DocumentType">
    <vt:lpwstr>Reg</vt:lpwstr>
  </property>
  <property fmtid="{D5CDD505-2E9C-101B-9397-08002B2CF9AE}" pid="4" name="AsAtDate">
    <vt:lpwstr>17 Sep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2025/164</vt:lpwstr>
  </property>
  <property fmtid="{D5CDD505-2E9C-101B-9397-08002B2CF9AE}" pid="8" name="PublishDate">
    <vt:lpwstr>17 Sep 2025</vt:lpwstr>
  </property>
  <property fmtid="{D5CDD505-2E9C-101B-9397-08002B2CF9AE}" pid="9" name="CommencementDate">
    <vt:lpwstr>20250917</vt:lpwstr>
  </property>
  <property fmtid="{D5CDD505-2E9C-101B-9397-08002B2CF9AE}" pid="10" name="CommencementAsAt">
    <vt:filetime>2025-09-16T16:00:00Z</vt:filetime>
  </property>
  <property fmtid="{D5CDD505-2E9C-101B-9397-08002B2CF9AE}" pid="11" name="CommencementYear">
    <vt:lpwstr>2025</vt:lpwstr>
  </property>
</Properties>
</file>