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Finance Brokers Control Act 1975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Finance Brokers Control Act 1975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_Toc209794916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_Toc209794917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_Toc209794918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Exceptions to </w:t>
      </w:r>
      <w:r>
        <w:rPr>
          <w:i/>
          <w:snapToGrid w:val="0"/>
        </w:rPr>
        <w:t>finance broker</w:t>
      </w:r>
      <w:r>
        <w:tab/>
      </w:r>
      <w:r>
        <w:fldChar w:fldCharType="begin"/>
      </w:r>
      <w:r>
        <w:instrText xml:space="preserve"> PAGEREF _Toc209794919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The Commissioner</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6.</w:t>
      </w:r>
      <w:r>
        <w:tab/>
        <w:t>Commissioner</w:t>
      </w:r>
      <w:r>
        <w:tab/>
      </w:r>
      <w:r>
        <w:fldChar w:fldCharType="begin"/>
      </w:r>
      <w:r>
        <w:instrText xml:space="preserve"> PAGEREF _Toc209794922 \h </w:instrText>
      </w:r>
      <w:r>
        <w:fldChar w:fldCharType="separate"/>
      </w:r>
      <w:r>
        <w:t>6</w:t>
      </w:r>
      <w:r>
        <w:fldChar w:fldCharType="end"/>
      </w:r>
    </w:p>
    <w:p>
      <w:pPr>
        <w:pStyle w:val="TOC8"/>
        <w:rPr>
          <w:rFonts w:asciiTheme="minorHAnsi" w:eastAsiaTheme="minorEastAsia" w:hAnsiTheme="minorHAnsi" w:cstheme="minorBidi"/>
          <w:szCs w:val="22"/>
        </w:rPr>
      </w:pPr>
      <w:r>
        <w:t>7.</w:t>
      </w:r>
      <w:r>
        <w:tab/>
        <w:t>General functions of Commissioner</w:t>
      </w:r>
      <w:r>
        <w:tab/>
      </w:r>
      <w:r>
        <w:fldChar w:fldCharType="begin"/>
      </w:r>
      <w:r>
        <w:instrText xml:space="preserve"> PAGEREF _Toc209794923 \h </w:instrText>
      </w:r>
      <w:r>
        <w:fldChar w:fldCharType="separate"/>
      </w:r>
      <w:r>
        <w:t>6</w:t>
      </w:r>
      <w:r>
        <w:fldChar w:fldCharType="end"/>
      </w:r>
    </w:p>
    <w:p>
      <w:pPr>
        <w:pStyle w:val="TOC8"/>
        <w:rPr>
          <w:rFonts w:asciiTheme="minorHAnsi" w:eastAsiaTheme="minorEastAsia" w:hAnsiTheme="minorHAnsi" w:cstheme="minorBidi"/>
          <w:szCs w:val="22"/>
        </w:rPr>
      </w:pPr>
      <w:r>
        <w:t>8.</w:t>
      </w:r>
      <w:r>
        <w:tab/>
        <w:t>Commissioner may delegate</w:t>
      </w:r>
      <w:r>
        <w:tab/>
      </w:r>
      <w:r>
        <w:fldChar w:fldCharType="begin"/>
      </w:r>
      <w:r>
        <w:instrText xml:space="preserve"> PAGEREF _Toc209794924 \h </w:instrText>
      </w:r>
      <w:r>
        <w:fldChar w:fldCharType="separate"/>
      </w:r>
      <w:r>
        <w:t>7</w:t>
      </w:r>
      <w:r>
        <w:fldChar w:fldCharType="end"/>
      </w:r>
    </w:p>
    <w:p>
      <w:pPr>
        <w:pStyle w:val="TOC8"/>
        <w:rPr>
          <w:rFonts w:asciiTheme="minorHAnsi" w:eastAsiaTheme="minorEastAsia" w:hAnsiTheme="minorHAnsi" w:cstheme="minorBidi"/>
          <w:szCs w:val="22"/>
        </w:rPr>
      </w:pPr>
      <w:r>
        <w:t>9A.</w:t>
      </w:r>
      <w:r>
        <w:tab/>
        <w:t>Arrangements with ASIC</w:t>
      </w:r>
      <w:r>
        <w:tab/>
      </w:r>
      <w:r>
        <w:fldChar w:fldCharType="begin"/>
      </w:r>
      <w:r>
        <w:instrText xml:space="preserve"> PAGEREF _Toc209794925 \h </w:instrText>
      </w:r>
      <w:r>
        <w:fldChar w:fldCharType="separate"/>
      </w:r>
      <w:r>
        <w:t>8</w:t>
      </w:r>
      <w:r>
        <w:fldChar w:fldCharType="end"/>
      </w:r>
    </w:p>
    <w:p>
      <w:pPr>
        <w:pStyle w:val="TOC8"/>
        <w:rPr>
          <w:rFonts w:asciiTheme="minorHAnsi" w:eastAsiaTheme="minorEastAsia" w:hAnsiTheme="minorHAnsi" w:cstheme="minorBidi"/>
          <w:szCs w:val="22"/>
        </w:rPr>
      </w:pPr>
      <w:r>
        <w:t>9B.</w:t>
      </w:r>
      <w:r>
        <w:tab/>
        <w:t>Information</w:t>
      </w:r>
      <w:r>
        <w:tab/>
      </w:r>
      <w:r>
        <w:fldChar w:fldCharType="begin"/>
      </w:r>
      <w:r>
        <w:instrText xml:space="preserve"> PAGEREF _Toc209794926 \h </w:instrText>
      </w:r>
      <w:r>
        <w:fldChar w:fldCharType="separate"/>
      </w:r>
      <w:r>
        <w:t>8</w:t>
      </w:r>
      <w:r>
        <w:fldChar w:fldCharType="end"/>
      </w:r>
    </w:p>
    <w:p>
      <w:pPr>
        <w:pStyle w:val="TOC8"/>
        <w:rPr>
          <w:rFonts w:asciiTheme="minorHAnsi" w:eastAsiaTheme="minorEastAsia" w:hAnsiTheme="minorHAnsi" w:cstheme="minorBidi"/>
          <w:szCs w:val="22"/>
        </w:rPr>
      </w:pPr>
      <w:r>
        <w:t>9.</w:t>
      </w:r>
      <w:r>
        <w:tab/>
        <w:t>Judicial notice</w:t>
      </w:r>
      <w:r>
        <w:tab/>
      </w:r>
      <w:r>
        <w:fldChar w:fldCharType="begin"/>
      </w:r>
      <w:r>
        <w:instrText xml:space="preserve"> PAGEREF _Toc209794927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Powers of investigation and inquiry</w:t>
      </w:r>
    </w:p>
    <w:p>
      <w:pPr>
        <w:pStyle w:val="TOC8"/>
        <w:rPr>
          <w:rFonts w:asciiTheme="minorHAnsi" w:eastAsiaTheme="minorEastAsia" w:hAnsiTheme="minorHAnsi" w:cstheme="minorBidi"/>
          <w:szCs w:val="22"/>
        </w:rPr>
      </w:pPr>
      <w:r>
        <w:t>13</w:t>
      </w:r>
      <w:r>
        <w:rPr>
          <w:snapToGrid w:val="0"/>
        </w:rPr>
        <w:t>.</w:t>
      </w:r>
      <w:r>
        <w:rPr>
          <w:snapToGrid w:val="0"/>
        </w:rPr>
        <w:tab/>
        <w:t>Investigation and inquiry by Commissioner</w:t>
      </w:r>
      <w:r>
        <w:tab/>
      </w:r>
      <w:r>
        <w:fldChar w:fldCharType="begin"/>
      </w:r>
      <w:r>
        <w:instrText xml:space="preserve"> PAGEREF _Toc209794929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Police investigations</w:t>
      </w:r>
      <w:r>
        <w:tab/>
      </w:r>
      <w:r>
        <w:fldChar w:fldCharType="begin"/>
      </w:r>
      <w:r>
        <w:instrText xml:space="preserve"> PAGEREF _Toc209794930 \h </w:instrText>
      </w:r>
      <w:r>
        <w:fldChar w:fldCharType="separate"/>
      </w:r>
      <w:r>
        <w:t>10</w:t>
      </w:r>
      <w:r>
        <w:fldChar w:fldCharType="end"/>
      </w:r>
    </w:p>
    <w:p>
      <w:pPr>
        <w:pStyle w:val="TOC8"/>
        <w:rPr>
          <w:rFonts w:asciiTheme="minorHAnsi" w:eastAsiaTheme="minorEastAsia" w:hAnsiTheme="minorHAnsi" w:cstheme="minorBidi"/>
          <w:szCs w:val="22"/>
        </w:rPr>
      </w:pPr>
      <w:r>
        <w:t>15.</w:t>
      </w:r>
      <w:r>
        <w:tab/>
        <w:t>Investigators</w:t>
      </w:r>
      <w:r>
        <w:tab/>
      </w:r>
      <w:r>
        <w:fldChar w:fldCharType="begin"/>
      </w:r>
      <w:r>
        <w:instrText xml:space="preserve"> PAGEREF _Toc209794931 \h </w:instrText>
      </w:r>
      <w:r>
        <w:fldChar w:fldCharType="separate"/>
      </w:r>
      <w:r>
        <w:t>10</w:t>
      </w:r>
      <w:r>
        <w:fldChar w:fldCharType="end"/>
      </w:r>
    </w:p>
    <w:p>
      <w:pPr>
        <w:pStyle w:val="TOC8"/>
        <w:rPr>
          <w:rFonts w:asciiTheme="minorHAnsi" w:eastAsiaTheme="minorEastAsia" w:hAnsiTheme="minorHAnsi" w:cstheme="minorBidi"/>
          <w:szCs w:val="22"/>
        </w:rPr>
      </w:pPr>
      <w:r>
        <w:t>16.</w:t>
      </w:r>
      <w:r>
        <w:tab/>
        <w:t>Additional investigative powers</w:t>
      </w:r>
      <w:r>
        <w:tab/>
      </w:r>
      <w:r>
        <w:fldChar w:fldCharType="begin"/>
      </w:r>
      <w:r>
        <w:instrText xml:space="preserve"> PAGEREF _Toc209794932 \h </w:instrText>
      </w:r>
      <w:r>
        <w:fldChar w:fldCharType="separate"/>
      </w:r>
      <w:r>
        <w:t>11</w:t>
      </w:r>
      <w:r>
        <w:fldChar w:fldCharType="end"/>
      </w:r>
    </w:p>
    <w:p>
      <w:pPr>
        <w:pStyle w:val="TOC8"/>
        <w:rPr>
          <w:rFonts w:asciiTheme="minorHAnsi" w:eastAsiaTheme="minorEastAsia" w:hAnsiTheme="minorHAnsi" w:cstheme="minorBidi"/>
          <w:szCs w:val="22"/>
        </w:rPr>
      </w:pPr>
      <w:r>
        <w:t>17.</w:t>
      </w:r>
      <w:r>
        <w:tab/>
        <w:t>Compliance checks at licensee’s business premises</w:t>
      </w:r>
      <w:r>
        <w:tab/>
      </w:r>
      <w:r>
        <w:fldChar w:fldCharType="begin"/>
      </w:r>
      <w:r>
        <w:instrText xml:space="preserve"> PAGEREF _Toc209794933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2A — Specific investigatory powers</w:t>
      </w:r>
    </w:p>
    <w:p>
      <w:pPr>
        <w:pStyle w:val="TOC8"/>
        <w:rPr>
          <w:rFonts w:asciiTheme="minorHAnsi" w:eastAsiaTheme="minorEastAsia" w:hAnsiTheme="minorHAnsi" w:cstheme="minorBidi"/>
          <w:szCs w:val="22"/>
        </w:rPr>
      </w:pPr>
      <w:r>
        <w:t>18.</w:t>
      </w:r>
      <w:r>
        <w:tab/>
        <w:t>Powers</w:t>
      </w:r>
      <w:r>
        <w:tab/>
      </w:r>
      <w:r>
        <w:fldChar w:fldCharType="begin"/>
      </w:r>
      <w:r>
        <w:instrText xml:space="preserve"> PAGEREF _Toc209794935 \h </w:instrText>
      </w:r>
      <w:r>
        <w:fldChar w:fldCharType="separate"/>
      </w:r>
      <w:r>
        <w:t>12</w:t>
      </w:r>
      <w:r>
        <w:fldChar w:fldCharType="end"/>
      </w:r>
    </w:p>
    <w:p>
      <w:pPr>
        <w:pStyle w:val="TOC8"/>
        <w:rPr>
          <w:rFonts w:asciiTheme="minorHAnsi" w:eastAsiaTheme="minorEastAsia" w:hAnsiTheme="minorHAnsi" w:cstheme="minorBidi"/>
          <w:szCs w:val="22"/>
        </w:rPr>
      </w:pPr>
      <w:r>
        <w:t>18A.</w:t>
      </w:r>
      <w:r>
        <w:tab/>
        <w:t>Warrant to enter premises</w:t>
      </w:r>
      <w:r>
        <w:tab/>
      </w:r>
      <w:r>
        <w:fldChar w:fldCharType="begin"/>
      </w:r>
      <w:r>
        <w:instrText xml:space="preserve"> PAGEREF _Toc209794936 \h </w:instrText>
      </w:r>
      <w:r>
        <w:fldChar w:fldCharType="separate"/>
      </w:r>
      <w:r>
        <w:t>14</w:t>
      </w:r>
      <w:r>
        <w:fldChar w:fldCharType="end"/>
      </w:r>
    </w:p>
    <w:p>
      <w:pPr>
        <w:pStyle w:val="TOC8"/>
        <w:rPr>
          <w:rFonts w:asciiTheme="minorHAnsi" w:eastAsiaTheme="minorEastAsia" w:hAnsiTheme="minorHAnsi" w:cstheme="minorBidi"/>
          <w:szCs w:val="22"/>
        </w:rPr>
      </w:pPr>
      <w:r>
        <w:t>18B.</w:t>
      </w:r>
      <w:r>
        <w:tab/>
        <w:t>Issue of warrant</w:t>
      </w:r>
      <w:r>
        <w:tab/>
      </w:r>
      <w:r>
        <w:fldChar w:fldCharType="begin"/>
      </w:r>
      <w:r>
        <w:instrText xml:space="preserve"> PAGEREF _Toc209794937 \h </w:instrText>
      </w:r>
      <w:r>
        <w:fldChar w:fldCharType="separate"/>
      </w:r>
      <w:r>
        <w:t>15</w:t>
      </w:r>
      <w:r>
        <w:fldChar w:fldCharType="end"/>
      </w:r>
    </w:p>
    <w:p>
      <w:pPr>
        <w:pStyle w:val="TOC8"/>
        <w:rPr>
          <w:rFonts w:asciiTheme="minorHAnsi" w:eastAsiaTheme="minorEastAsia" w:hAnsiTheme="minorHAnsi" w:cstheme="minorBidi"/>
          <w:szCs w:val="22"/>
        </w:rPr>
      </w:pPr>
      <w:r>
        <w:t>18C.</w:t>
      </w:r>
      <w:r>
        <w:tab/>
        <w:t>Execution of warrant</w:t>
      </w:r>
      <w:r>
        <w:tab/>
      </w:r>
      <w:r>
        <w:fldChar w:fldCharType="begin"/>
      </w:r>
      <w:r>
        <w:instrText xml:space="preserve"> PAGEREF _Toc209794938 \h </w:instrText>
      </w:r>
      <w:r>
        <w:fldChar w:fldCharType="separate"/>
      </w:r>
      <w:r>
        <w:t>16</w:t>
      </w:r>
      <w:r>
        <w:fldChar w:fldCharType="end"/>
      </w:r>
    </w:p>
    <w:p>
      <w:pPr>
        <w:pStyle w:val="TOC8"/>
        <w:keepNext/>
        <w:rPr>
          <w:rFonts w:asciiTheme="minorHAnsi" w:eastAsiaTheme="minorEastAsia" w:hAnsiTheme="minorHAnsi" w:cstheme="minorBidi"/>
          <w:szCs w:val="22"/>
        </w:rPr>
      </w:pPr>
      <w:r>
        <w:lastRenderedPageBreak/>
        <w:t>18D.</w:t>
      </w:r>
      <w:r>
        <w:tab/>
        <w:t>Seizure</w:t>
      </w:r>
      <w:r>
        <w:tab/>
      </w:r>
      <w:r>
        <w:fldChar w:fldCharType="begin"/>
      </w:r>
      <w:r>
        <w:instrText xml:space="preserve"> PAGEREF _Toc209794939 \h </w:instrText>
      </w:r>
      <w:r>
        <w:fldChar w:fldCharType="separate"/>
      </w:r>
      <w:r>
        <w:t>16</w:t>
      </w:r>
      <w:r>
        <w:fldChar w:fldCharType="end"/>
      </w:r>
    </w:p>
    <w:p>
      <w:pPr>
        <w:pStyle w:val="TOC8"/>
        <w:rPr>
          <w:rFonts w:asciiTheme="minorHAnsi" w:eastAsiaTheme="minorEastAsia" w:hAnsiTheme="minorHAnsi" w:cstheme="minorBidi"/>
          <w:szCs w:val="22"/>
        </w:rPr>
      </w:pPr>
      <w:r>
        <w:t>18E.</w:t>
      </w:r>
      <w:r>
        <w:tab/>
        <w:t>Incriminating information, questions, or documents</w:t>
      </w:r>
      <w:r>
        <w:tab/>
      </w:r>
      <w:r>
        <w:fldChar w:fldCharType="begin"/>
      </w:r>
      <w:r>
        <w:instrText xml:space="preserve"> PAGEREF _Toc209794940 \h </w:instrText>
      </w:r>
      <w:r>
        <w:fldChar w:fldCharType="separate"/>
      </w:r>
      <w:r>
        <w:t>17</w:t>
      </w:r>
      <w:r>
        <w:fldChar w:fldCharType="end"/>
      </w:r>
    </w:p>
    <w:p>
      <w:pPr>
        <w:pStyle w:val="TOC8"/>
        <w:rPr>
          <w:rFonts w:asciiTheme="minorHAnsi" w:eastAsiaTheme="minorEastAsia" w:hAnsiTheme="minorHAnsi" w:cstheme="minorBidi"/>
          <w:szCs w:val="22"/>
        </w:rPr>
      </w:pPr>
      <w:r>
        <w:t>18F.</w:t>
      </w:r>
      <w:r>
        <w:tab/>
        <w:t>Failure to comply with investigation</w:t>
      </w:r>
      <w:r>
        <w:tab/>
      </w:r>
      <w:r>
        <w:fldChar w:fldCharType="begin"/>
      </w:r>
      <w:r>
        <w:instrText xml:space="preserve"> PAGEREF _Toc209794941 \h </w:instrText>
      </w:r>
      <w:r>
        <w:fldChar w:fldCharType="separate"/>
      </w:r>
      <w:r>
        <w:t>18</w:t>
      </w:r>
      <w:r>
        <w:fldChar w:fldCharType="end"/>
      </w:r>
    </w:p>
    <w:p>
      <w:pPr>
        <w:pStyle w:val="TOC8"/>
        <w:rPr>
          <w:rFonts w:asciiTheme="minorHAnsi" w:eastAsiaTheme="minorEastAsia" w:hAnsiTheme="minorHAnsi" w:cstheme="minorBidi"/>
          <w:szCs w:val="22"/>
        </w:rPr>
      </w:pPr>
      <w:r>
        <w:t>18G.</w:t>
      </w:r>
      <w:r>
        <w:tab/>
        <w:t>Obstruction of investigator</w:t>
      </w:r>
      <w:r>
        <w:tab/>
      </w:r>
      <w:r>
        <w:fldChar w:fldCharType="begin"/>
      </w:r>
      <w:r>
        <w:instrText xml:space="preserve"> PAGEREF _Toc209794942 \h </w:instrText>
      </w:r>
      <w:r>
        <w:fldChar w:fldCharType="separate"/>
      </w:r>
      <w:r>
        <w:t>19</w:t>
      </w:r>
      <w:r>
        <w:fldChar w:fldCharType="end"/>
      </w:r>
    </w:p>
    <w:p>
      <w:pPr>
        <w:pStyle w:val="TOC8"/>
        <w:rPr>
          <w:rFonts w:asciiTheme="minorHAnsi" w:eastAsiaTheme="minorEastAsia" w:hAnsiTheme="minorHAnsi" w:cstheme="minorBidi"/>
          <w:szCs w:val="22"/>
        </w:rPr>
      </w:pPr>
      <w:r>
        <w:t>18H.</w:t>
      </w:r>
      <w:r>
        <w:tab/>
        <w:t>Information</w:t>
      </w:r>
      <w:r>
        <w:tab/>
      </w:r>
      <w:r>
        <w:fldChar w:fldCharType="begin"/>
      </w:r>
      <w:r>
        <w:instrText xml:space="preserve"> PAGEREF _Toc209794943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Review of decisions of the Commissioner</w:t>
      </w:r>
    </w:p>
    <w:p>
      <w:pPr>
        <w:pStyle w:val="TOC8"/>
        <w:rPr>
          <w:rFonts w:asciiTheme="minorHAnsi" w:eastAsiaTheme="minorEastAsia" w:hAnsiTheme="minorHAnsi" w:cstheme="minorBidi"/>
          <w:szCs w:val="22"/>
        </w:rPr>
      </w:pPr>
      <w:r>
        <w:t>23.</w:t>
      </w:r>
      <w:r>
        <w:tab/>
      </w:r>
      <w:r>
        <w:rPr>
          <w:snapToGrid w:val="0"/>
        </w:rPr>
        <w:t>Application for review</w:t>
      </w:r>
      <w:r>
        <w:tab/>
      </w:r>
      <w:r>
        <w:fldChar w:fldCharType="begin"/>
      </w:r>
      <w:r>
        <w:instrText xml:space="preserve"> PAGEREF _Toc209794945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Licensing</w:t>
      </w:r>
    </w:p>
    <w:p>
      <w:pPr>
        <w:pStyle w:val="TOC8"/>
        <w:rPr>
          <w:rFonts w:asciiTheme="minorHAnsi" w:eastAsiaTheme="minorEastAsia" w:hAnsiTheme="minorHAnsi" w:cstheme="minorBidi"/>
          <w:szCs w:val="22"/>
        </w:rPr>
      </w:pPr>
      <w:r>
        <w:t>24</w:t>
      </w:r>
      <w:r>
        <w:rPr>
          <w:snapToGrid w:val="0"/>
        </w:rPr>
        <w:t>.</w:t>
      </w:r>
      <w:r>
        <w:rPr>
          <w:snapToGrid w:val="0"/>
        </w:rPr>
        <w:tab/>
        <w:t>Application</w:t>
      </w:r>
      <w:r>
        <w:tab/>
      </w:r>
      <w:r>
        <w:fldChar w:fldCharType="begin"/>
      </w:r>
      <w:r>
        <w:instrText xml:space="preserve"> PAGEREF _Toc209794947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Objections</w:t>
      </w:r>
      <w:r>
        <w:tab/>
      </w:r>
      <w:r>
        <w:fldChar w:fldCharType="begin"/>
      </w:r>
      <w:r>
        <w:instrText xml:space="preserve"> PAGEREF _Toc209794948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Finance brokers to be licensed</w:t>
      </w:r>
      <w:r>
        <w:tab/>
      </w:r>
      <w:r>
        <w:fldChar w:fldCharType="begin"/>
      </w:r>
      <w:r>
        <w:instrText xml:space="preserve"> PAGEREF _Toc209794949 \h </w:instrText>
      </w:r>
      <w:r>
        <w:fldChar w:fldCharType="separate"/>
      </w:r>
      <w:r>
        <w:t>23</w:t>
      </w:r>
      <w:r>
        <w:fldChar w:fldCharType="end"/>
      </w:r>
    </w:p>
    <w:p>
      <w:pPr>
        <w:pStyle w:val="TOC8"/>
        <w:rPr>
          <w:rFonts w:asciiTheme="minorHAnsi" w:eastAsiaTheme="minorEastAsia" w:hAnsiTheme="minorHAnsi" w:cstheme="minorBidi"/>
          <w:szCs w:val="22"/>
        </w:rPr>
      </w:pPr>
      <w:r>
        <w:t>27A.</w:t>
      </w:r>
      <w:r>
        <w:tab/>
        <w:t>No further grants of licences</w:t>
      </w:r>
      <w:r>
        <w:tab/>
      </w:r>
      <w:r>
        <w:fldChar w:fldCharType="begin"/>
      </w:r>
      <w:r>
        <w:instrText xml:space="preserve"> PAGEREF _Toc209794950 \h </w:instrText>
      </w:r>
      <w:r>
        <w:fldChar w:fldCharType="separate"/>
      </w:r>
      <w:r>
        <w:t>23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Grant of licence to natural person</w:t>
      </w:r>
      <w:r>
        <w:tab/>
      </w:r>
      <w:r>
        <w:fldChar w:fldCharType="begin"/>
      </w:r>
      <w:r>
        <w:instrText xml:space="preserve"> PAGEREF _Toc209794951 \h </w:instrText>
      </w:r>
      <w:r>
        <w:fldChar w:fldCharType="separate"/>
      </w:r>
      <w:r>
        <w:t>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Grant of licence to firm</w:t>
      </w:r>
      <w:r>
        <w:tab/>
      </w:r>
      <w:r>
        <w:fldChar w:fldCharType="begin"/>
      </w:r>
      <w:r>
        <w:instrText xml:space="preserve"> PAGEREF _Toc209794952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Grant of licence to body corporate</w:t>
      </w:r>
      <w:r>
        <w:tab/>
      </w:r>
      <w:r>
        <w:fldChar w:fldCharType="begin"/>
      </w:r>
      <w:r>
        <w:instrText xml:space="preserve"> PAGEREF _Toc209794953 \h </w:instrText>
      </w:r>
      <w:r>
        <w:fldChar w:fldCharType="separate"/>
      </w:r>
      <w:r>
        <w:t>25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Effect of licence</w:t>
      </w:r>
      <w:r>
        <w:tab/>
      </w:r>
      <w:r>
        <w:fldChar w:fldCharType="begin"/>
      </w:r>
      <w:r>
        <w:instrText xml:space="preserve"> PAGEREF _Toc209794954 \h </w:instrText>
      </w:r>
      <w:r>
        <w:fldChar w:fldCharType="separate"/>
      </w:r>
      <w:r>
        <w:t>26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Duration of licence</w:t>
      </w:r>
      <w:r>
        <w:tab/>
      </w:r>
      <w:r>
        <w:fldChar w:fldCharType="begin"/>
      </w:r>
      <w:r>
        <w:instrText xml:space="preserve"> PAGEREF _Toc209794955 \h </w:instrText>
      </w:r>
      <w:r>
        <w:fldChar w:fldCharType="separate"/>
      </w:r>
      <w:r>
        <w:t>27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Applications for renewals</w:t>
      </w:r>
      <w:r>
        <w:tab/>
      </w:r>
      <w:r>
        <w:fldChar w:fldCharType="begin"/>
      </w:r>
      <w:r>
        <w:instrText xml:space="preserve"> PAGEREF _Toc209794956 \h </w:instrText>
      </w:r>
      <w:r>
        <w:fldChar w:fldCharType="separate"/>
      </w:r>
      <w:r>
        <w:t>27</w:t>
      </w:r>
      <w:r>
        <w:fldChar w:fldCharType="end"/>
      </w:r>
    </w:p>
    <w:p>
      <w:pPr>
        <w:pStyle w:val="TOC8"/>
        <w:rPr>
          <w:rFonts w:asciiTheme="minorHAnsi" w:eastAsiaTheme="minorEastAsia" w:hAnsiTheme="minorHAnsi" w:cstheme="minorBidi"/>
          <w:szCs w:val="22"/>
        </w:rPr>
      </w:pPr>
      <w:r>
        <w:t>33.</w:t>
      </w:r>
      <w:r>
        <w:tab/>
        <w:t>Refusal to renew</w:t>
      </w:r>
      <w:r>
        <w:tab/>
      </w:r>
      <w:r>
        <w:fldChar w:fldCharType="begin"/>
      </w:r>
      <w:r>
        <w:instrText xml:space="preserve"> PAGEREF _Toc209794957 \h </w:instrText>
      </w:r>
      <w:r>
        <w:fldChar w:fldCharType="separate"/>
      </w:r>
      <w:r>
        <w:t>28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Conditions on licences</w:t>
      </w:r>
      <w:r>
        <w:tab/>
      </w:r>
      <w:r>
        <w:fldChar w:fldCharType="begin"/>
      </w:r>
      <w:r>
        <w:instrText xml:space="preserve"> PAGEREF _Toc209794958 \h </w:instrText>
      </w:r>
      <w:r>
        <w:fldChar w:fldCharType="separate"/>
      </w:r>
      <w:r>
        <w:t>29</w:t>
      </w:r>
      <w:r>
        <w:fldChar w:fldCharType="end"/>
      </w:r>
    </w:p>
    <w:p>
      <w:pPr>
        <w:pStyle w:val="TOC8"/>
        <w:rPr>
          <w:rFonts w:asciiTheme="minorHAnsi" w:eastAsiaTheme="minorEastAsia" w:hAnsiTheme="minorHAnsi" w:cstheme="minorBidi"/>
          <w:szCs w:val="22"/>
        </w:rPr>
      </w:pPr>
      <w:r>
        <w:t>34B.</w:t>
      </w:r>
      <w:r>
        <w:tab/>
        <w:t>Suspension of licence by State Administrative Tribunal</w:t>
      </w:r>
      <w:r>
        <w:tab/>
      </w:r>
      <w:r>
        <w:fldChar w:fldCharType="begin"/>
      </w:r>
      <w:r>
        <w:instrText xml:space="preserve"> PAGEREF _Toc209794959 \h </w:instrText>
      </w:r>
      <w:r>
        <w:fldChar w:fldCharType="separate"/>
      </w:r>
      <w:r>
        <w:t>29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Bond or guarantee in respect of licence</w:t>
      </w:r>
      <w:r>
        <w:tab/>
      </w:r>
      <w:r>
        <w:fldChar w:fldCharType="begin"/>
      </w:r>
      <w:r>
        <w:instrText xml:space="preserve"> PAGEREF _Toc209794960 \h </w:instrText>
      </w:r>
      <w:r>
        <w:fldChar w:fldCharType="separate"/>
      </w:r>
      <w:r>
        <w:t>30</w:t>
      </w:r>
      <w:r>
        <w:fldChar w:fldCharType="end"/>
      </w:r>
    </w:p>
    <w:p>
      <w:pPr>
        <w:pStyle w:val="TOC8"/>
        <w:rPr>
          <w:rFonts w:asciiTheme="minorHAnsi" w:eastAsiaTheme="minorEastAsia" w:hAnsiTheme="minorHAnsi" w:cstheme="minorBidi"/>
          <w:szCs w:val="22"/>
        </w:rPr>
      </w:pPr>
      <w:r>
        <w:t>35A.</w:t>
      </w:r>
      <w:r>
        <w:tab/>
        <w:t>Prescribed person exempt from bond requirements</w:t>
      </w:r>
      <w:r>
        <w:tab/>
      </w:r>
      <w:r>
        <w:fldChar w:fldCharType="begin"/>
      </w:r>
      <w:r>
        <w:instrText xml:space="preserve"> PAGEREF _Toc209794961 \h </w:instrText>
      </w:r>
      <w:r>
        <w:fldChar w:fldCharType="separate"/>
      </w:r>
      <w:r>
        <w:t>32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Licence not transferable</w:t>
      </w:r>
      <w:r>
        <w:tab/>
      </w:r>
      <w:r>
        <w:fldChar w:fldCharType="begin"/>
      </w:r>
      <w:r>
        <w:instrText xml:space="preserve"> PAGEREF _Toc209794962 \h </w:instrText>
      </w:r>
      <w:r>
        <w:fldChar w:fldCharType="separate"/>
      </w:r>
      <w:r>
        <w:t>32</w:t>
      </w:r>
      <w:r>
        <w:fldChar w:fldCharType="end"/>
      </w:r>
    </w:p>
    <w:p>
      <w:pPr>
        <w:pStyle w:val="TOC8"/>
        <w:rPr>
          <w:rFonts w:asciiTheme="minorHAnsi" w:eastAsiaTheme="minorEastAsia" w:hAnsiTheme="minorHAnsi" w:cstheme="minorBidi"/>
          <w:szCs w:val="22"/>
        </w:rPr>
      </w:pPr>
      <w:r>
        <w:t>40A.</w:t>
      </w:r>
      <w:r>
        <w:tab/>
        <w:t>Prohibition against doing business with unlicensed finance brokers</w:t>
      </w:r>
      <w:r>
        <w:tab/>
      </w:r>
      <w:r>
        <w:fldChar w:fldCharType="begin"/>
      </w:r>
      <w:r>
        <w:instrText xml:space="preserve"> PAGEREF _Toc209794963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Use of business name</w:t>
      </w:r>
      <w:r>
        <w:tab/>
      </w:r>
      <w:r>
        <w:fldChar w:fldCharType="begin"/>
      </w:r>
      <w:r>
        <w:instrText xml:space="preserve"> PAGEREF _Toc209794964 \h </w:instrText>
      </w:r>
      <w:r>
        <w:fldChar w:fldCharType="separate"/>
      </w:r>
      <w:r>
        <w:t>33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be exhibited</w:t>
      </w:r>
      <w:r>
        <w:tab/>
      </w:r>
      <w:r>
        <w:fldChar w:fldCharType="begin"/>
      </w:r>
      <w:r>
        <w:instrText xml:space="preserve"> PAGEREF _Toc209794965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IV — Controls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43</w:t>
      </w:r>
      <w:r>
        <w:rPr>
          <w:snapToGrid w:val="0"/>
        </w:rPr>
        <w:t>.</w:t>
      </w:r>
      <w:r>
        <w:rPr>
          <w:snapToGrid w:val="0"/>
        </w:rPr>
        <w:tab/>
        <w:t>Disability of unlicensed person</w:t>
      </w:r>
      <w:r>
        <w:tab/>
      </w:r>
      <w:r>
        <w:fldChar w:fldCharType="begin"/>
      </w:r>
      <w:r>
        <w:instrText xml:space="preserve"> PAGEREF _Toc209794968 \h </w:instrText>
      </w:r>
      <w:r>
        <w:fldChar w:fldCharType="separate"/>
      </w:r>
      <w:r>
        <w:t>35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Remuneration of finance brokers</w:t>
      </w:r>
      <w:r>
        <w:tab/>
      </w:r>
      <w:r>
        <w:fldChar w:fldCharType="begin"/>
      </w:r>
      <w:r>
        <w:instrText xml:space="preserve"> PAGEREF _Toc209794969 \h </w:instrText>
      </w:r>
      <w:r>
        <w:fldChar w:fldCharType="separate"/>
      </w:r>
      <w:r>
        <w:t>35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Advertisements by licensees</w:t>
      </w:r>
      <w:r>
        <w:tab/>
      </w:r>
      <w:r>
        <w:fldChar w:fldCharType="begin"/>
      </w:r>
      <w:r>
        <w:instrText xml:space="preserve"> PAGEREF _Toc209794970 \h </w:instrText>
      </w:r>
      <w:r>
        <w:fldChar w:fldCharType="separate"/>
      </w:r>
      <w:r>
        <w:t>37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Copy of loan documents</w:t>
      </w:r>
      <w:r>
        <w:tab/>
      </w:r>
      <w:r>
        <w:fldChar w:fldCharType="begin"/>
      </w:r>
      <w:r>
        <w:instrText xml:space="preserve"> PAGEREF _Toc209794971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Trust accounts</w:t>
      </w:r>
    </w:p>
    <w:p>
      <w:pPr>
        <w:pStyle w:val="TOC8"/>
        <w:rPr>
          <w:rFonts w:asciiTheme="minorHAnsi" w:eastAsiaTheme="minorEastAsia" w:hAnsiTheme="minorHAnsi" w:cstheme="minorBidi"/>
          <w:szCs w:val="22"/>
        </w:rPr>
      </w:pPr>
      <w:r>
        <w:t>47</w:t>
      </w:r>
      <w:r>
        <w:rPr>
          <w:snapToGrid w:val="0"/>
        </w:rPr>
        <w:t>.</w:t>
      </w:r>
      <w:r>
        <w:rPr>
          <w:snapToGrid w:val="0"/>
        </w:rPr>
        <w:tab/>
        <w:t>Terms used</w:t>
      </w:r>
      <w:r>
        <w:tab/>
      </w:r>
      <w:r>
        <w:fldChar w:fldCharType="begin"/>
      </w:r>
      <w:r>
        <w:instrText xml:space="preserve"> PAGEREF _Toc209794973 \h </w:instrText>
      </w:r>
      <w:r>
        <w:fldChar w:fldCharType="separate"/>
      </w:r>
      <w:r>
        <w:t>38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Trust accounts</w:t>
      </w:r>
      <w:r>
        <w:tab/>
      </w:r>
      <w:r>
        <w:fldChar w:fldCharType="begin"/>
      </w:r>
      <w:r>
        <w:instrText xml:space="preserve"> PAGEREF _Toc209794974 \h </w:instrText>
      </w:r>
      <w:r>
        <w:fldChar w:fldCharType="separate"/>
      </w:r>
      <w:r>
        <w:t>38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Receipts and accounting to principal</w:t>
      </w:r>
      <w:r>
        <w:tab/>
      </w:r>
      <w:r>
        <w:fldChar w:fldCharType="begin"/>
      </w:r>
      <w:r>
        <w:instrText xml:space="preserve"> PAGEREF _Toc209794975 \h </w:instrText>
      </w:r>
      <w:r>
        <w:fldChar w:fldCharType="separate"/>
      </w:r>
      <w:r>
        <w:t>40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Duty of finance broker to have trust accounts audited</w:t>
      </w:r>
      <w:r>
        <w:tab/>
      </w:r>
      <w:r>
        <w:fldChar w:fldCharType="begin"/>
      </w:r>
      <w:r>
        <w:instrText xml:space="preserve"> PAGEREF _Toc209794976 \h </w:instrText>
      </w:r>
      <w:r>
        <w:fldChar w:fldCharType="separate"/>
      </w:r>
      <w:r>
        <w:t>41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Variation of date of audit</w:t>
      </w:r>
      <w:r>
        <w:tab/>
      </w:r>
      <w:r>
        <w:fldChar w:fldCharType="begin"/>
      </w:r>
      <w:r>
        <w:instrText xml:space="preserve"> PAGEREF _Toc209794977 \h </w:instrText>
      </w:r>
      <w:r>
        <w:fldChar w:fldCharType="separate"/>
      </w:r>
      <w:r>
        <w:t>42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Qualification and approval of auditors</w:t>
      </w:r>
      <w:r>
        <w:tab/>
      </w:r>
      <w:r>
        <w:fldChar w:fldCharType="begin"/>
      </w:r>
      <w:r>
        <w:instrText xml:space="preserve"> PAGEREF _Toc209794978 \h </w:instrText>
      </w:r>
      <w:r>
        <w:fldChar w:fldCharType="separate"/>
      </w:r>
      <w:r>
        <w:t>43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Appointment of auditor</w:t>
      </w:r>
      <w:r>
        <w:tab/>
      </w:r>
      <w:r>
        <w:fldChar w:fldCharType="begin"/>
      </w:r>
      <w:r>
        <w:instrText xml:space="preserve"> PAGEREF _Toc209794979 \h </w:instrText>
      </w:r>
      <w:r>
        <w:fldChar w:fldCharType="separate"/>
      </w:r>
      <w:r>
        <w:t>44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Power to give directions for audit of business carried on at more than one place</w:t>
      </w:r>
      <w:r>
        <w:tab/>
      </w:r>
      <w:r>
        <w:fldChar w:fldCharType="begin"/>
      </w:r>
      <w:r>
        <w:instrText xml:space="preserve"> PAGEREF _Toc209794980 \h </w:instrText>
      </w:r>
      <w:r>
        <w:fldChar w:fldCharType="separate"/>
      </w:r>
      <w:r>
        <w:t>44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Alteration of rights under this Division</w:t>
      </w:r>
      <w:r>
        <w:tab/>
      </w:r>
      <w:r>
        <w:fldChar w:fldCharType="begin"/>
      </w:r>
      <w:r>
        <w:instrText xml:space="preserve"> PAGEREF _Toc209794981 \h </w:instrText>
      </w:r>
      <w:r>
        <w:fldChar w:fldCharType="separate"/>
      </w:r>
      <w:r>
        <w:t>45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Duties of finance brokers with respect to audit</w:t>
      </w:r>
      <w:r>
        <w:tab/>
      </w:r>
      <w:r>
        <w:fldChar w:fldCharType="begin"/>
      </w:r>
      <w:r>
        <w:instrText xml:space="preserve"> PAGEREF _Toc209794982 \h </w:instrText>
      </w:r>
      <w:r>
        <w:fldChar w:fldCharType="separate"/>
      </w:r>
      <w:r>
        <w:t>45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Duty of banker with respect to audit</w:t>
      </w:r>
      <w:r>
        <w:tab/>
      </w:r>
      <w:r>
        <w:fldChar w:fldCharType="begin"/>
      </w:r>
      <w:r>
        <w:instrText xml:space="preserve"> PAGEREF _Toc209794983 \h </w:instrText>
      </w:r>
      <w:r>
        <w:fldChar w:fldCharType="separate"/>
      </w:r>
      <w:r>
        <w:t>45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Contents of auditor’s report</w:t>
      </w:r>
      <w:r>
        <w:tab/>
      </w:r>
      <w:r>
        <w:fldChar w:fldCharType="begin"/>
      </w:r>
      <w:r>
        <w:instrText xml:space="preserve"> PAGEREF _Toc209794984 \h </w:instrText>
      </w:r>
      <w:r>
        <w:fldChar w:fldCharType="separate"/>
      </w:r>
      <w:r>
        <w:t>46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Statement of moneys etc. held by finance broker for or on behalf of other persons</w:t>
      </w:r>
      <w:r>
        <w:tab/>
      </w:r>
      <w:r>
        <w:fldChar w:fldCharType="begin"/>
      </w:r>
      <w:r>
        <w:instrText xml:space="preserve"> PAGEREF _Toc209794985 \h </w:instrText>
      </w:r>
      <w:r>
        <w:fldChar w:fldCharType="separate"/>
      </w:r>
      <w:r>
        <w:t>46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Auditor’s report where finance broker has not complied with Act etc.</w:t>
      </w:r>
      <w:r>
        <w:tab/>
      </w:r>
      <w:r>
        <w:fldChar w:fldCharType="begin"/>
      </w:r>
      <w:r>
        <w:instrText xml:space="preserve"> PAGEREF _Toc209794986 \h </w:instrText>
      </w:r>
      <w:r>
        <w:fldChar w:fldCharType="separate"/>
      </w:r>
      <w:r>
        <w:t>47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Non</w:t>
      </w:r>
      <w:r>
        <w:rPr>
          <w:snapToGrid w:val="0"/>
        </w:rPr>
        <w:noBreakHyphen/>
        <w:t>disclosure by auditors</w:t>
      </w:r>
      <w:r>
        <w:tab/>
      </w:r>
      <w:r>
        <w:fldChar w:fldCharType="begin"/>
      </w:r>
      <w:r>
        <w:instrText xml:space="preserve"> PAGEREF _Toc209794987 \h </w:instrText>
      </w:r>
      <w:r>
        <w:fldChar w:fldCharType="separate"/>
      </w:r>
      <w:r>
        <w:t>48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Right of persons beneficially interested to obtain information</w:t>
      </w:r>
      <w:r>
        <w:tab/>
      </w:r>
      <w:r>
        <w:fldChar w:fldCharType="begin"/>
      </w:r>
      <w:r>
        <w:instrText xml:space="preserve"> PAGEREF _Toc209794988 \h </w:instrText>
      </w:r>
      <w:r>
        <w:fldChar w:fldCharType="separate"/>
      </w:r>
      <w:r>
        <w:t>48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Penalty for breach</w:t>
      </w:r>
      <w:r>
        <w:tab/>
      </w:r>
      <w:r>
        <w:fldChar w:fldCharType="begin"/>
      </w:r>
      <w:r>
        <w:instrText xml:space="preserve"> PAGEREF _Toc209794989 \h </w:instrText>
      </w:r>
      <w:r>
        <w:fldChar w:fldCharType="separate"/>
      </w:r>
      <w:r>
        <w:t>49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Remuneration of auditor</w:t>
      </w:r>
      <w:r>
        <w:tab/>
      </w:r>
      <w:r>
        <w:fldChar w:fldCharType="begin"/>
      </w:r>
      <w:r>
        <w:instrText xml:space="preserve"> PAGEREF _Toc209794990 \h </w:instrText>
      </w:r>
      <w:r>
        <w:fldChar w:fldCharType="separate"/>
      </w:r>
      <w:r>
        <w:t>49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Finance brokers having no accounts to audit</w:t>
      </w:r>
      <w:r>
        <w:tab/>
      </w:r>
      <w:r>
        <w:fldChar w:fldCharType="begin"/>
      </w:r>
      <w:r>
        <w:instrText xml:space="preserve"> PAGEREF _Toc209794991 \h </w:instrText>
      </w:r>
      <w:r>
        <w:fldChar w:fldCharType="separate"/>
      </w:r>
      <w:r>
        <w:t>49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Accounts of firm or body corporate or finance broker with branch office</w:t>
      </w:r>
      <w:r>
        <w:tab/>
      </w:r>
      <w:r>
        <w:fldChar w:fldCharType="begin"/>
      </w:r>
      <w:r>
        <w:instrText xml:space="preserve"> PAGEREF _Toc209794992 \h </w:instrText>
      </w:r>
      <w:r>
        <w:fldChar w:fldCharType="separate"/>
      </w:r>
      <w:r>
        <w:t>50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Power of Commissioner to order audit of trust account</w:t>
      </w:r>
      <w:r>
        <w:tab/>
      </w:r>
      <w:r>
        <w:fldChar w:fldCharType="begin"/>
      </w:r>
      <w:r>
        <w:instrText xml:space="preserve"> PAGEREF _Toc209794993 \h </w:instrText>
      </w:r>
      <w:r>
        <w:fldChar w:fldCharType="separate"/>
      </w:r>
      <w:r>
        <w:t>50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Finance broker to produce books etc. to auditor</w:t>
      </w:r>
      <w:r>
        <w:tab/>
      </w:r>
      <w:r>
        <w:fldChar w:fldCharType="begin"/>
      </w:r>
      <w:r>
        <w:instrText xml:space="preserve"> PAGEREF _Toc209794994 \h </w:instrText>
      </w:r>
      <w:r>
        <w:fldChar w:fldCharType="separate"/>
      </w:r>
      <w:r>
        <w:t>51</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Cost of audit</w:t>
      </w:r>
      <w:r>
        <w:tab/>
      </w:r>
      <w:r>
        <w:fldChar w:fldCharType="begin"/>
      </w:r>
      <w:r>
        <w:instrText xml:space="preserve"> PAGEREF _Toc209794995 \h </w:instrText>
      </w:r>
      <w:r>
        <w:fldChar w:fldCharType="separate"/>
      </w:r>
      <w:r>
        <w:t>51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Application of s. 62</w:t>
      </w:r>
      <w:r>
        <w:tab/>
      </w:r>
      <w:r>
        <w:fldChar w:fldCharType="begin"/>
      </w:r>
      <w:r>
        <w:instrText xml:space="preserve"> PAGEREF _Toc209794996 \h </w:instrText>
      </w:r>
      <w:r>
        <w:fldChar w:fldCharType="separate"/>
      </w:r>
      <w:r>
        <w:t>51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Power of restraining dealing with trust accounts or other accounts</w:t>
      </w:r>
      <w:r>
        <w:tab/>
      </w:r>
      <w:r>
        <w:fldChar w:fldCharType="begin"/>
      </w:r>
      <w:r>
        <w:instrText xml:space="preserve"> PAGEREF _Toc209794997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Discipline</w:t>
      </w:r>
    </w:p>
    <w:p>
      <w:pPr>
        <w:pStyle w:val="TOC8"/>
        <w:rPr>
          <w:rFonts w:asciiTheme="minorHAnsi" w:eastAsiaTheme="minorEastAsia" w:hAnsiTheme="minorHAnsi" w:cstheme="minorBidi"/>
          <w:szCs w:val="22"/>
        </w:rPr>
      </w:pPr>
      <w:r>
        <w:t>81</w:t>
      </w:r>
      <w:r>
        <w:rPr>
          <w:snapToGrid w:val="0"/>
        </w:rPr>
        <w:t>.</w:t>
      </w:r>
      <w:r>
        <w:rPr>
          <w:snapToGrid w:val="0"/>
        </w:rPr>
        <w:tab/>
        <w:t>Code of conduct for finance brokers</w:t>
      </w:r>
      <w:r>
        <w:tab/>
      </w:r>
      <w:r>
        <w:fldChar w:fldCharType="begin"/>
      </w:r>
      <w:r>
        <w:instrText xml:space="preserve"> PAGEREF _Toc209794999 \h </w:instrText>
      </w:r>
      <w:r>
        <w:fldChar w:fldCharType="separate"/>
      </w:r>
      <w:r>
        <w:t>53</w:t>
      </w:r>
      <w:r>
        <w:fldChar w:fldCharType="end"/>
      </w:r>
    </w:p>
    <w:p>
      <w:pPr>
        <w:pStyle w:val="TOC8"/>
        <w:rPr>
          <w:rFonts w:asciiTheme="minorHAnsi" w:eastAsiaTheme="minorEastAsia" w:hAnsiTheme="minorHAnsi" w:cstheme="minorBidi"/>
          <w:szCs w:val="22"/>
        </w:rPr>
      </w:pPr>
      <w:r>
        <w:t>82.</w:t>
      </w:r>
      <w:r>
        <w:tab/>
        <w:t>Dis</w:t>
      </w:r>
      <w:r>
        <w:rPr>
          <w:snapToGrid w:val="0"/>
        </w:rPr>
        <w:t>ciplinary proceedings against finance brokers</w:t>
      </w:r>
      <w:r>
        <w:tab/>
      </w:r>
      <w:r>
        <w:fldChar w:fldCharType="begin"/>
      </w:r>
      <w:r>
        <w:instrText xml:space="preserve"> PAGEREF _Toc209795000 \h </w:instrText>
      </w:r>
      <w:r>
        <w:fldChar w:fldCharType="separate"/>
      </w:r>
      <w:r>
        <w:t>54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Powers on inquiry</w:t>
      </w:r>
      <w:r>
        <w:tab/>
      </w:r>
      <w:r>
        <w:fldChar w:fldCharType="begin"/>
      </w:r>
      <w:r>
        <w:instrText xml:space="preserve"> PAGEREF _Toc209795001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 — Miscellaneous</w:t>
      </w:r>
    </w:p>
    <w:p>
      <w:pPr>
        <w:pStyle w:val="TOC8"/>
        <w:rPr>
          <w:rFonts w:asciiTheme="minorHAnsi" w:eastAsiaTheme="minorEastAsia" w:hAnsiTheme="minorHAnsi" w:cstheme="minorBidi"/>
          <w:szCs w:val="22"/>
        </w:rPr>
      </w:pPr>
      <w:r>
        <w:t>85</w:t>
      </w:r>
      <w:r>
        <w:rPr>
          <w:snapToGrid w:val="0"/>
        </w:rPr>
        <w:t>.</w:t>
      </w:r>
      <w:r>
        <w:rPr>
          <w:snapToGrid w:val="0"/>
        </w:rPr>
        <w:tab/>
        <w:t>Certificates</w:t>
      </w:r>
      <w:r>
        <w:tab/>
      </w:r>
      <w:r>
        <w:fldChar w:fldCharType="begin"/>
      </w:r>
      <w:r>
        <w:instrText xml:space="preserve"> PAGEREF _Toc209795003 \h </w:instrText>
      </w:r>
      <w:r>
        <w:fldChar w:fldCharType="separate"/>
      </w:r>
      <w:r>
        <w:t>56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Immunity of officers</w:t>
      </w:r>
      <w:r>
        <w:tab/>
      </w:r>
      <w:r>
        <w:fldChar w:fldCharType="begin"/>
      </w:r>
      <w:r>
        <w:instrText xml:space="preserve"> PAGEREF _Toc209795004 \h </w:instrText>
      </w:r>
      <w:r>
        <w:fldChar w:fldCharType="separate"/>
      </w:r>
      <w:r>
        <w:t>56</w:t>
      </w:r>
      <w:r>
        <w:fldChar w:fldCharType="end"/>
      </w:r>
    </w:p>
    <w:p>
      <w:pPr>
        <w:pStyle w:val="TOC8"/>
        <w:rPr>
          <w:rFonts w:asciiTheme="minorHAnsi" w:eastAsiaTheme="minorEastAsia" w:hAnsiTheme="minorHAnsi" w:cstheme="minorBidi"/>
          <w:szCs w:val="22"/>
        </w:rPr>
      </w:pPr>
      <w:r>
        <w:t>88.</w:t>
      </w:r>
      <w:r>
        <w:tab/>
        <w:t>Secrecy</w:t>
      </w:r>
      <w:r>
        <w:tab/>
      </w:r>
      <w:r>
        <w:fldChar w:fldCharType="begin"/>
      </w:r>
      <w:r>
        <w:instrText xml:space="preserve"> PAGEREF _Toc209795005 \h </w:instrText>
      </w:r>
      <w:r>
        <w:fldChar w:fldCharType="separate"/>
      </w:r>
      <w:r>
        <w:t>56</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Liability of directors of body corporate</w:t>
      </w:r>
      <w:r>
        <w:tab/>
      </w:r>
      <w:r>
        <w:fldChar w:fldCharType="begin"/>
      </w:r>
      <w:r>
        <w:instrText xml:space="preserve"> PAGEREF _Toc209795006 \h </w:instrText>
      </w:r>
      <w:r>
        <w:fldChar w:fldCharType="separate"/>
      </w:r>
      <w:r>
        <w:t>58</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Other rights or remedies</w:t>
      </w:r>
      <w:r>
        <w:tab/>
      </w:r>
      <w:r>
        <w:fldChar w:fldCharType="begin"/>
      </w:r>
      <w:r>
        <w:instrText xml:space="preserve"> PAGEREF _Toc209795007 \h </w:instrText>
      </w:r>
      <w:r>
        <w:fldChar w:fldCharType="separate"/>
      </w:r>
      <w:r>
        <w:t>58</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No waiver of rights</w:t>
      </w:r>
      <w:r>
        <w:tab/>
      </w:r>
      <w:r>
        <w:fldChar w:fldCharType="begin"/>
      </w:r>
      <w:r>
        <w:instrText xml:space="preserve"> PAGEREF _Toc209795008 \h </w:instrText>
      </w:r>
      <w:r>
        <w:fldChar w:fldCharType="separate"/>
      </w:r>
      <w:r>
        <w:t>58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General penalty</w:t>
      </w:r>
      <w:r>
        <w:tab/>
      </w:r>
      <w:r>
        <w:fldChar w:fldCharType="begin"/>
      </w:r>
      <w:r>
        <w:instrText xml:space="preserve"> PAGEREF _Toc209795009 \h </w:instrText>
      </w:r>
      <w:r>
        <w:fldChar w:fldCharType="separate"/>
      </w:r>
      <w:r>
        <w:t>58</w:t>
      </w:r>
      <w:r>
        <w:fldChar w:fldCharType="end"/>
      </w:r>
    </w:p>
    <w:p>
      <w:pPr>
        <w:pStyle w:val="TOC8"/>
        <w:rPr>
          <w:rFonts w:asciiTheme="minorHAnsi" w:eastAsiaTheme="minorEastAsia" w:hAnsiTheme="minorHAnsi" w:cstheme="minorBidi"/>
          <w:szCs w:val="22"/>
        </w:rPr>
      </w:pPr>
      <w:r>
        <w:t>92A.</w:t>
      </w:r>
      <w:r>
        <w:tab/>
        <w:t>Infringement notices</w:t>
      </w:r>
      <w:r>
        <w:tab/>
      </w:r>
      <w:r>
        <w:fldChar w:fldCharType="begin"/>
      </w:r>
      <w:r>
        <w:instrText xml:space="preserve"> PAGEREF _Toc209795010 \h </w:instrText>
      </w:r>
      <w:r>
        <w:fldChar w:fldCharType="separate"/>
      </w:r>
      <w:r>
        <w:t>58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Proceedings</w:t>
      </w:r>
      <w:r>
        <w:tab/>
      </w:r>
      <w:r>
        <w:fldChar w:fldCharType="begin"/>
      </w:r>
      <w:r>
        <w:instrText xml:space="preserve"> PAGEREF _Toc209795011 \h </w:instrText>
      </w:r>
      <w:r>
        <w:fldChar w:fldCharType="separate"/>
      </w:r>
      <w:r>
        <w:t>61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Forms</w:t>
      </w:r>
      <w:r>
        <w:tab/>
      </w:r>
      <w:r>
        <w:fldChar w:fldCharType="begin"/>
      </w:r>
      <w:r>
        <w:instrText xml:space="preserve"> PAGEREF _Toc209795012 \h </w:instrText>
      </w:r>
      <w:r>
        <w:fldChar w:fldCharType="separate"/>
      </w:r>
      <w:r>
        <w:t>61</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Regulations</w:t>
      </w:r>
      <w:r>
        <w:tab/>
      </w:r>
      <w:r>
        <w:fldChar w:fldCharType="begin"/>
      </w:r>
      <w:r>
        <w:instrText xml:space="preserve"> PAGEREF _Toc209795013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Schedule — Formula for calculating percentage rate of interest</w:t>
      </w:r>
    </w:p>
    <w:p>
      <w:pPr>
        <w:pStyle w:val="TOC8"/>
        <w:rPr>
          <w:rFonts w:asciiTheme="minorHAnsi" w:eastAsiaTheme="minorEastAsia" w:hAnsiTheme="minorHAnsi" w:cstheme="minorBidi"/>
          <w:szCs w:val="22"/>
        </w:rPr>
      </w:pPr>
      <w:r>
        <w:t>1</w:t>
      </w:r>
      <w:r>
        <w:rPr>
          <w:snapToGrid w:val="0"/>
        </w:rPr>
        <w:t>.</w:t>
      </w:r>
      <w:r>
        <w:rPr>
          <w:snapToGrid w:val="0"/>
        </w:rPr>
        <w:tab/>
        <w:t>Formula for calculating percentage rate of interest</w:t>
      </w:r>
      <w:r>
        <w:tab/>
      </w:r>
      <w:r>
        <w:fldChar w:fldCharType="begin"/>
      </w:r>
      <w:r>
        <w:instrText xml:space="preserve"> PAGEREF _Toc209795015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_Toc209795017 \h </w:instrText>
      </w:r>
      <w:r>
        <w:fldChar w:fldCharType="separate"/>
      </w:r>
      <w:r>
        <w:t>65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_Toc209795018 \h </w:instrText>
      </w:r>
      <w:r>
        <w:fldChar w:fldCharType="separate"/>
      </w:r>
      <w:r>
        <w:t>68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_Toc209795019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pPr>
      <w:r>
        <w:t xml:space="preserve">Finance Brokers Control Act 1975 </w:t>
      </w:r>
    </w:p>
    <w:p>
      <w:pPr>
        <w:pStyle w:val="LongTitle"/>
        <w:spacing w:before="1200"/>
        <w:rPr>
          <w:snapToGrid w:val="0"/>
        </w:rPr>
      </w:pPr>
      <w:r>
        <w:rPr>
          <w:snapToGrid w:val="0"/>
        </w:rPr>
        <w:t xml:space="preserve">An Act to make provision with respect to the licensing, regulation, and supervision of finance brokers, and for related purposes. </w:t>
      </w:r>
    </w:p>
    <w:p>
      <w:pPr>
        <w:pStyle w:val="Heading2"/>
      </w:pPr>
      <w:bookmarkStart w:id="2" w:name="_Toc209617778"/>
      <w:bookmarkStart w:id="3" w:name="_Toc209618797"/>
      <w:bookmarkStart w:id="4" w:name="_Toc209706795"/>
      <w:bookmarkStart w:id="5" w:name="_Toc209794915"/>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209794916"/>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Finance Brokers Control Act 1975</w:t>
      </w:r>
      <w:r>
        <w:rPr>
          <w:snapToGrid w:val="0"/>
        </w:rPr>
        <w:t>.</w:t>
      </w:r>
    </w:p>
    <w:p>
      <w:pPr>
        <w:pStyle w:val="Heading5"/>
        <w:rPr>
          <w:snapToGrid w:val="0"/>
        </w:rPr>
      </w:pPr>
      <w:bookmarkStart w:id="7" w:name="_Toc209794917"/>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p>
    <w:p>
      <w:pPr>
        <w:pStyle w:val="Ednotesection"/>
      </w:pPr>
      <w:r>
        <w:t>[</w:t>
      </w:r>
      <w:r>
        <w:rPr>
          <w:b/>
        </w:rPr>
        <w:t>3.</w:t>
      </w:r>
      <w:r>
        <w:tab/>
        <w:t>Deleted: No. 10 of 1998 s. 76.]</w:t>
      </w:r>
    </w:p>
    <w:p>
      <w:pPr>
        <w:pStyle w:val="Heading5"/>
        <w:rPr>
          <w:snapToGrid w:val="0"/>
        </w:rPr>
      </w:pPr>
      <w:bookmarkStart w:id="8" w:name="_Toc209794918"/>
      <w:r>
        <w:rPr>
          <w:rStyle w:val="CharSectno"/>
        </w:rPr>
        <w:t>4</w:t>
      </w:r>
      <w:r>
        <w:rPr>
          <w:snapToGrid w:val="0"/>
        </w:rPr>
        <w:t>.</w:t>
      </w:r>
      <w:r>
        <w:rPr>
          <w:snapToGrid w:val="0"/>
        </w:rPr>
        <w:tab/>
        <w:t>Terms used</w:t>
      </w:r>
      <w:bookmarkEnd w:id="8"/>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appointed day</w:t>
      </w:r>
      <w:r>
        <w:t xml:space="preserve"> means the day fixed by the Minister pursuant to section 26(2)</w:t>
      </w:r>
      <w:r>
        <w:rPr>
          <w:vertAlign w:val="superscript"/>
        </w:rPr>
        <w:t> 1</w:t>
      </w:r>
      <w:r>
        <w:t>;</w:t>
      </w:r>
    </w:p>
    <w:p>
      <w:pPr>
        <w:pStyle w:val="Defstart"/>
      </w:pPr>
      <w:r>
        <w:rPr>
          <w:b/>
        </w:rPr>
        <w:tab/>
      </w:r>
      <w:r>
        <w:rPr>
          <w:rStyle w:val="CharDefText"/>
        </w:rPr>
        <w:t>approved</w:t>
      </w:r>
      <w:r>
        <w:t xml:space="preserve"> means approved by the Commissioner;</w:t>
      </w:r>
    </w:p>
    <w:p>
      <w:pPr>
        <w:pStyle w:val="Defstart"/>
      </w:pPr>
      <w:r>
        <w:rPr>
          <w:bCs/>
          <w:iCs/>
        </w:rPr>
        <w:tab/>
      </w:r>
      <w:r>
        <w:rPr>
          <w:rStyle w:val="CharDefText"/>
        </w:rPr>
        <w:t>ASIC</w:t>
      </w:r>
      <w:r>
        <w:t xml:space="preserve"> means the Australian Securities and Investments Commission;</w:t>
      </w:r>
    </w:p>
    <w:p>
      <w:pPr>
        <w:pStyle w:val="Defstart"/>
      </w:pPr>
      <w:r>
        <w:rPr>
          <w:b/>
        </w:rPr>
        <w:tab/>
      </w:r>
      <w:r>
        <w:rPr>
          <w:rStyle w:val="CharDefText"/>
        </w:rPr>
        <w:t>auditor</w:t>
      </w:r>
      <w:r>
        <w:t xml:space="preserve"> means a person appointed under this Act to audit the trust accounts of a finance broker;</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business</w:t>
      </w:r>
      <w:r>
        <w:t xml:space="preserve"> means the business of a finance broker;</w:t>
      </w:r>
    </w:p>
    <w:p>
      <w:pPr>
        <w:pStyle w:val="Defstart"/>
      </w:pPr>
      <w:r>
        <w:rPr>
          <w:b/>
        </w:rPr>
        <w:tab/>
      </w:r>
      <w:r>
        <w:rPr>
          <w:rStyle w:val="CharDefText"/>
        </w:rPr>
        <w:t>Commissioner</w:t>
      </w:r>
      <w:r>
        <w:t xml:space="preserve"> means the person for the time being designated as the Commissioner under section 6;</w:t>
      </w:r>
    </w:p>
    <w:p>
      <w:pPr>
        <w:pStyle w:val="Defstart"/>
      </w:pPr>
      <w:r>
        <w:rPr>
          <w:b/>
        </w:rPr>
        <w:tab/>
      </w:r>
      <w:r>
        <w:rPr>
          <w:rStyle w:val="CharDefText"/>
        </w:rPr>
        <w:t>condition</w:t>
      </w:r>
      <w:r>
        <w:t>, in relation to a licence or exemption, includes restriction or limitation;</w:t>
      </w:r>
    </w:p>
    <w:p>
      <w:pPr>
        <w:pStyle w:val="Defstart"/>
      </w:pPr>
      <w:r>
        <w:rPr>
          <w:b/>
        </w:rPr>
        <w:lastRenderedPageBreak/>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finance broker</w:t>
      </w:r>
      <w:r>
        <w:t xml:space="preserve"> means a person who — </w:t>
      </w:r>
    </w:p>
    <w:p>
      <w:pPr>
        <w:pStyle w:val="Defpara"/>
      </w:pPr>
      <w:r>
        <w:tab/>
        <w:t>(a)</w:t>
      </w:r>
      <w:r>
        <w:tab/>
        <w:t>as an intermediary, in the course of business negotiates or arranges loans of money for or on behalf of other persons; or</w:t>
      </w:r>
    </w:p>
    <w:p>
      <w:pPr>
        <w:pStyle w:val="Defpara"/>
      </w:pPr>
      <w:r>
        <w:tab/>
        <w:t>(b)</w:t>
      </w:r>
      <w:r>
        <w:tab/>
        <w:t>in the course of business, manages loans of money arranged or negotiated by the person for or on behalf of other persons,</w:t>
      </w:r>
    </w:p>
    <w:p>
      <w:pPr>
        <w:pStyle w:val="Defstart"/>
      </w:pPr>
      <w:r>
        <w:tab/>
        <w:t>but does not include the exceptions specified in section 5(1);</w:t>
      </w:r>
    </w:p>
    <w:p>
      <w:pPr>
        <w:pStyle w:val="Defstart"/>
      </w:pPr>
      <w:r>
        <w:rPr>
          <w:b/>
        </w:rPr>
        <w:tab/>
      </w:r>
      <w:r>
        <w:rPr>
          <w:rStyle w:val="CharDefText"/>
        </w:rPr>
        <w:t>finance brokers code of conduct</w:t>
      </w:r>
      <w:r>
        <w:t xml:space="preserve"> means the code prescribed under section 81;</w:t>
      </w:r>
    </w:p>
    <w:p>
      <w:pPr>
        <w:pStyle w:val="Defstart"/>
      </w:pPr>
      <w:r>
        <w:tab/>
      </w:r>
      <w:r>
        <w:rPr>
          <w:rStyle w:val="CharDefText"/>
        </w:rPr>
        <w:t>investigator</w:t>
      </w:r>
      <w:r>
        <w:t xml:space="preserve"> means a person designated under section 15 as an investigator and a member of the Police Force undertaking an investigation or inquiry or report under section 14;</w:t>
      </w:r>
    </w:p>
    <w:p>
      <w:pPr>
        <w:pStyle w:val="Defstart"/>
      </w:pPr>
      <w:r>
        <w:rPr>
          <w:b/>
        </w:rPr>
        <w:tab/>
      </w:r>
      <w:r>
        <w:rPr>
          <w:rStyle w:val="CharDefText"/>
        </w:rPr>
        <w:t>licence</w:t>
      </w:r>
      <w:r>
        <w:t xml:space="preserve"> means the licence of a finance broker under this Act;</w:t>
      </w:r>
    </w:p>
    <w:p>
      <w:pPr>
        <w:pStyle w:val="Defstart"/>
      </w:pPr>
      <w:r>
        <w:rPr>
          <w:b/>
        </w:rPr>
        <w:tab/>
      </w:r>
      <w:r>
        <w:rPr>
          <w:rStyle w:val="CharDefText"/>
        </w:rPr>
        <w:t>licensed</w:t>
      </w:r>
      <w:r>
        <w:t xml:space="preserve"> means licensed as a finance broker under this Act;</w:t>
      </w:r>
    </w:p>
    <w:p>
      <w:pPr>
        <w:pStyle w:val="Defstart"/>
      </w:pPr>
      <w:r>
        <w:rPr>
          <w:b/>
        </w:rPr>
        <w:tab/>
      </w:r>
      <w:r>
        <w:rPr>
          <w:rStyle w:val="CharDefText"/>
        </w:rPr>
        <w:t>licensee</w:t>
      </w:r>
      <w:r>
        <w:t xml:space="preserve"> means a person licensed under this Act;</w:t>
      </w:r>
    </w:p>
    <w:p>
      <w:pPr>
        <w:pStyle w:val="Defstart"/>
      </w:pPr>
      <w:r>
        <w:tab/>
      </w:r>
      <w:r>
        <w:rPr>
          <w:rStyle w:val="CharDefText"/>
        </w:rPr>
        <w:t>motor vehicle</w:t>
      </w:r>
      <w:r>
        <w:t xml:space="preserve"> has the meaning given in the </w:t>
      </w:r>
      <w:r>
        <w:rPr>
          <w:i/>
          <w:iCs/>
        </w:rPr>
        <w:t>Road Traffic (Administration) Act 2008</w:t>
      </w:r>
      <w:r>
        <w:t xml:space="preserve"> section 4;</w:t>
      </w:r>
    </w:p>
    <w:p>
      <w:pPr>
        <w:pStyle w:val="Defstart"/>
      </w:pPr>
      <w:r>
        <w:rPr>
          <w:bCs/>
          <w:iCs/>
        </w:rPr>
        <w:tab/>
      </w:r>
      <w:r>
        <w:rPr>
          <w:rStyle w:val="CharDefText"/>
        </w:rPr>
        <w:t>referral day</w:t>
      </w:r>
      <w:r>
        <w:t xml:space="preserve"> means the day on which the </w:t>
      </w:r>
      <w:r>
        <w:rPr>
          <w:i/>
          <w:iCs/>
        </w:rPr>
        <w:t>Credit (Commonwealth Powers) Act 2010</w:t>
      </w:r>
      <w:r>
        <w:t xml:space="preserve"> section 5 comes into operation</w:t>
      </w:r>
      <w:r>
        <w:rPr>
          <w:vertAlign w:val="superscript"/>
        </w:rPr>
        <w:t> 2</w:t>
      </w:r>
      <w:r>
        <w:t>;</w:t>
      </w:r>
    </w:p>
    <w:p>
      <w:pPr>
        <w:pStyle w:val="Defstart"/>
      </w:pPr>
      <w:r>
        <w:rPr>
          <w:b/>
        </w:rPr>
        <w:tab/>
      </w:r>
      <w:r>
        <w:rPr>
          <w:rStyle w:val="CharDefText"/>
        </w:rPr>
        <w:t>renewal</w:t>
      </w:r>
      <w:r>
        <w:t xml:space="preserve"> means renewal of a licence;</w:t>
      </w:r>
    </w:p>
    <w:p>
      <w:pPr>
        <w:pStyle w:val="Defstart"/>
      </w:pPr>
      <w:r>
        <w:rPr>
          <w:b/>
        </w:rPr>
        <w:tab/>
      </w:r>
      <w:r>
        <w:rPr>
          <w:rStyle w:val="CharDefText"/>
        </w:rPr>
        <w:t>supervisor</w:t>
      </w:r>
      <w:r>
        <w:t xml:space="preserve"> means a person appointed by the Commissioner as supervisor of the business of a finance broker.</w:t>
      </w:r>
    </w:p>
    <w:p>
      <w:pPr>
        <w:pStyle w:val="Footnotesection"/>
      </w:pPr>
      <w:r>
        <w:tab/>
        <w:t xml:space="preserve">[Section 4 amended: No. 56 of 1995 s. 17; No. 26 of 1999 s. 79(2); No. 53 of 2004 s. 4; No. 55 of 2004 s. 341; No. 14 of 2010 s. 38; No. 8 of 2012 s. 105.] </w:t>
      </w:r>
    </w:p>
    <w:p>
      <w:pPr>
        <w:pStyle w:val="Heading5"/>
        <w:spacing w:before="600"/>
        <w:rPr>
          <w:snapToGrid w:val="0"/>
        </w:rPr>
      </w:pPr>
      <w:bookmarkStart w:id="9" w:name="_Toc209794919"/>
      <w:r>
        <w:rPr>
          <w:rStyle w:val="CharSectno"/>
        </w:rPr>
        <w:lastRenderedPageBreak/>
        <w:t>5</w:t>
      </w:r>
      <w:r>
        <w:rPr>
          <w:snapToGrid w:val="0"/>
        </w:rPr>
        <w:t>.</w:t>
      </w:r>
      <w:r>
        <w:rPr>
          <w:snapToGrid w:val="0"/>
        </w:rPr>
        <w:tab/>
        <w:t xml:space="preserve">Exceptions to </w:t>
      </w:r>
      <w:r>
        <w:rPr>
          <w:i/>
          <w:snapToGrid w:val="0"/>
        </w:rPr>
        <w:t>finance broker</w:t>
      </w:r>
      <w:bookmarkEnd w:id="9"/>
    </w:p>
    <w:p>
      <w:pPr>
        <w:pStyle w:val="Subsection"/>
        <w:rPr>
          <w:snapToGrid w:val="0"/>
        </w:rPr>
      </w:pPr>
      <w:r>
        <w:rPr>
          <w:snapToGrid w:val="0"/>
        </w:rPr>
        <w:tab/>
        <w:t>(1)</w:t>
      </w:r>
      <w:r>
        <w:rPr>
          <w:snapToGrid w:val="0"/>
        </w:rPr>
        <w:tab/>
        <w:t xml:space="preserve">Exceptions to the meaning of </w:t>
      </w:r>
      <w:r>
        <w:rPr>
          <w:rStyle w:val="CharDefText"/>
        </w:rPr>
        <w:t>finance broker</w:t>
      </w:r>
      <w:r>
        <w:rPr>
          <w:snapToGrid w:val="0"/>
        </w:rPr>
        <w:t xml:space="preserve"> in and for the purposes of this Act are as follows — </w:t>
      </w:r>
    </w:p>
    <w:p>
      <w:pPr>
        <w:pStyle w:val="Indenta"/>
      </w:pPr>
      <w:r>
        <w:rPr>
          <w:snapToGrid w:val="0"/>
        </w:rPr>
        <w:tab/>
        <w:t>(a)</w:t>
      </w:r>
      <w:r>
        <w:rPr>
          <w:snapToGrid w:val="0"/>
        </w:rPr>
        <w:tab/>
      </w:r>
      <w:r>
        <w:t>a bank; and</w:t>
      </w:r>
    </w:p>
    <w:p>
      <w:pPr>
        <w:pStyle w:val="Indenta"/>
      </w:pPr>
      <w:r>
        <w:tab/>
        <w:t>(aa)</w:t>
      </w:r>
      <w:r>
        <w:tab/>
        <w:t xml:space="preserve">a corporation that is a friendly society within the meaning of section 16C of the </w:t>
      </w:r>
      <w:r>
        <w:rPr>
          <w:i/>
        </w:rPr>
        <w:t>Life Insurance Act 1995</w:t>
      </w:r>
      <w:r>
        <w:t xml:space="preserve"> of the Commonwealth; and</w:t>
      </w:r>
    </w:p>
    <w:p>
      <w:pPr>
        <w:pStyle w:val="Indenta"/>
      </w:pPr>
      <w:r>
        <w:tab/>
        <w:t>(ab)</w:t>
      </w:r>
      <w:r>
        <w:tab/>
        <w:t>an insurance company authorised under any law of the Commonwealth or State to carry on insurance business; and</w:t>
      </w:r>
    </w:p>
    <w:p>
      <w:pPr>
        <w:pStyle w:val="Indenta"/>
        <w:rPr>
          <w:snapToGrid w:val="0"/>
        </w:rPr>
      </w:pPr>
      <w:r>
        <w:rPr>
          <w:snapToGrid w:val="0"/>
        </w:rPr>
        <w:tab/>
        <w:t>(b)</w:t>
      </w:r>
      <w:r>
        <w:rPr>
          <w:snapToGrid w:val="0"/>
        </w:rPr>
        <w:tab/>
        <w:t xml:space="preserve">a pastoral company in respect of which the Minister is satisfied that, by reason of an order in force under section 11 of the </w:t>
      </w:r>
      <w:r>
        <w:rPr>
          <w:i/>
          <w:snapToGrid w:val="0"/>
        </w:rPr>
        <w:t>Banking Act 1959</w:t>
      </w:r>
      <w:r>
        <w:rPr>
          <w:snapToGrid w:val="0"/>
        </w:rPr>
        <w:t xml:space="preserve"> of the Parliament of the Commonwealth, or that Act as amended from time to time, the clients of the company are adequately safeguarded in respect of the proper application of trust funds received by the company from them or on their behalf; and</w:t>
      </w:r>
    </w:p>
    <w:p>
      <w:pPr>
        <w:pStyle w:val="Ednotepara"/>
      </w:pPr>
      <w:r>
        <w:tab/>
        <w:t>[(c)</w:t>
      </w:r>
      <w:r>
        <w:tab/>
        <w:t>deleted]</w:t>
      </w:r>
    </w:p>
    <w:p>
      <w:pPr>
        <w:pStyle w:val="Indenta"/>
      </w:pPr>
      <w:r>
        <w:tab/>
        <w:t>(d)</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and</w:t>
      </w:r>
    </w:p>
    <w:p>
      <w:pPr>
        <w:pStyle w:val="Indenta"/>
      </w:pPr>
      <w:r>
        <w:tab/>
        <w:t>(da)</w:t>
      </w:r>
      <w:r>
        <w:tab/>
        <w:t xml:space="preserve">a regulated principal (within the meaning of section 1430 of the </w:t>
      </w:r>
      <w:r>
        <w:rPr>
          <w:i/>
        </w:rPr>
        <w:t>Corporations Act 2001</w:t>
      </w:r>
      <w:r>
        <w:t xml:space="preserve"> of the Commonwealth), who held a dealers licence under the </w:t>
      </w:r>
      <w:r>
        <w:rPr>
          <w:i/>
        </w:rPr>
        <w:t>Corporations Act 2001</w:t>
      </w:r>
      <w:r>
        <w:t xml:space="preserve"> of the Commonwealth immediately before the commencement of Schedule 1 to the </w:t>
      </w:r>
      <w:r>
        <w:rPr>
          <w:i/>
        </w:rPr>
        <w:t>Financial Services Reform Act 2001</w:t>
      </w:r>
      <w:r>
        <w:t xml:space="preserve"> of the Commonwealth, when dealing in securities that he or she is authorised to deal in by Part 10.2 Division 1 Subdivision D of that Act; and</w:t>
      </w:r>
    </w:p>
    <w:p>
      <w:pPr>
        <w:pStyle w:val="Indenta"/>
        <w:rPr>
          <w:snapToGrid w:val="0"/>
        </w:rPr>
      </w:pPr>
      <w:r>
        <w:rPr>
          <w:snapToGrid w:val="0"/>
        </w:rPr>
        <w:lastRenderedPageBreak/>
        <w:tab/>
        <w:t>(e)</w:t>
      </w:r>
      <w:r>
        <w:rPr>
          <w:snapToGrid w:val="0"/>
        </w:rPr>
        <w:tab/>
        <w:t>a body corporate authorised by the law of any State, or of a Territory, of the Commonwealth to take in its own name, a grant of probate or of letters of administration of the estate of a deceased person; and</w:t>
      </w:r>
    </w:p>
    <w:p>
      <w:pPr>
        <w:pStyle w:val="Indenta"/>
      </w:pPr>
      <w:r>
        <w:tab/>
        <w:t>(f)</w:t>
      </w:r>
      <w:r>
        <w:tab/>
        <w:t>legal practitioners when acting incidentally to the practice of their profession as such; and</w:t>
      </w:r>
    </w:p>
    <w:p>
      <w:pPr>
        <w:pStyle w:val="Indenta"/>
        <w:rPr>
          <w:snapToGrid w:val="0"/>
        </w:rPr>
      </w:pPr>
      <w:r>
        <w:rPr>
          <w:snapToGrid w:val="0"/>
        </w:rPr>
        <w:tab/>
        <w:t>(g)</w:t>
      </w:r>
      <w:r>
        <w:rPr>
          <w:snapToGrid w:val="0"/>
        </w:rPr>
        <w:tab/>
        <w:t xml:space="preserve">a person who, in association with a </w:t>
      </w:r>
      <w:r>
        <w:rPr>
          <w:i/>
          <w:snapToGrid w:val="0"/>
        </w:rPr>
        <w:t>bona fide</w:t>
      </w:r>
      <w:r>
        <w:rPr>
          <w:snapToGrid w:val="0"/>
        </w:rPr>
        <w:t xml:space="preserve"> business of supplying goods or services carried on by him, acts as an </w:t>
      </w:r>
      <w:r>
        <w:t>intermediary</w:t>
      </w:r>
      <w:r>
        <w:rPr>
          <w:snapToGrid w:val="0"/>
        </w:rPr>
        <w:t xml:space="preserve"> to negotiate or arrange loans for persons who deal with him in the ordinary course of that business and who authorise in writing the application of the loans in payment for the goods or services; and</w:t>
      </w:r>
    </w:p>
    <w:p>
      <w:pPr>
        <w:pStyle w:val="Indenta"/>
        <w:rPr>
          <w:snapToGrid w:val="0"/>
        </w:rPr>
      </w:pPr>
      <w:r>
        <w:rPr>
          <w:snapToGrid w:val="0"/>
        </w:rPr>
        <w:tab/>
        <w:t>(h)</w:t>
      </w:r>
      <w:r>
        <w:rPr>
          <w:snapToGrid w:val="0"/>
        </w:rPr>
        <w:tab/>
        <w:t>persons and classes of persons</w:t>
      </w:r>
      <w:r>
        <w:t xml:space="preserve"> exempted from the Act under subsection (2)</w:t>
      </w:r>
      <w:r>
        <w:rPr>
          <w:snapToGrid w:val="0"/>
        </w:rPr>
        <w:t>.</w:t>
      </w:r>
    </w:p>
    <w:p>
      <w:pPr>
        <w:pStyle w:val="Subsection"/>
        <w:rPr>
          <w:snapToGrid w:val="0"/>
        </w:rPr>
      </w:pPr>
      <w:r>
        <w:rPr>
          <w:snapToGrid w:val="0"/>
        </w:rPr>
        <w:tab/>
        <w:t>(2)</w:t>
      </w:r>
      <w:r>
        <w:rPr>
          <w:snapToGrid w:val="0"/>
        </w:rPr>
        <w:tab/>
        <w:t>The Governor may make regulations under this subsection exempting a person or class of persons from the operation of this Act, or specified provisions of this Act.</w:t>
      </w:r>
    </w:p>
    <w:p>
      <w:pPr>
        <w:pStyle w:val="Subsection"/>
        <w:rPr>
          <w:snapToGrid w:val="0"/>
        </w:rPr>
      </w:pPr>
      <w:r>
        <w:rPr>
          <w:snapToGrid w:val="0"/>
        </w:rPr>
        <w:tab/>
        <w:t>(3)</w:t>
      </w:r>
      <w:r>
        <w:rPr>
          <w:snapToGrid w:val="0"/>
        </w:rPr>
        <w:tab/>
        <w:t>Regulations made under subsection (2) may make an exemption subject to specified terms or conditions.</w:t>
      </w:r>
    </w:p>
    <w:p>
      <w:pPr>
        <w:pStyle w:val="Footnotesection"/>
      </w:pPr>
      <w:r>
        <w:tab/>
        <w:t xml:space="preserve">[Section 5 amended: No. 10 of 1982 s. 28; No. 26 of 1999 s. 79(3); No. 12 of 2001 s. 51; No. 21 of 2003 s. 13; No. 65 of 2003 s. 35(2); No. 53 of 2004 s. 5; No. 17 of 2005 s. 27; No. 21 of 2008 s. 664; No. 9 of 2022 s. 424.] </w:t>
      </w:r>
    </w:p>
    <w:p>
      <w:pPr>
        <w:pStyle w:val="Heading2"/>
      </w:pPr>
      <w:bookmarkStart w:id="10" w:name="_Toc209617783"/>
      <w:bookmarkStart w:id="11" w:name="_Toc209618802"/>
      <w:bookmarkStart w:id="12" w:name="_Toc209706800"/>
      <w:bookmarkStart w:id="13" w:name="_Toc209794920"/>
      <w:r>
        <w:rPr>
          <w:rStyle w:val="CharPartNo"/>
        </w:rPr>
        <w:lastRenderedPageBreak/>
        <w:t>Part II</w:t>
      </w:r>
      <w:r>
        <w:t> — </w:t>
      </w:r>
      <w:r>
        <w:rPr>
          <w:rStyle w:val="CharPartText"/>
        </w:rPr>
        <w:t>The Commissioner</w:t>
      </w:r>
      <w:bookmarkEnd w:id="10"/>
      <w:bookmarkEnd w:id="11"/>
      <w:bookmarkEnd w:id="12"/>
      <w:bookmarkEnd w:id="13"/>
    </w:p>
    <w:p>
      <w:pPr>
        <w:pStyle w:val="Footnoteheading"/>
      </w:pPr>
      <w:r>
        <w:tab/>
        <w:t xml:space="preserve">[Heading inserted: No. 53 of 2004 s. 6.] </w:t>
      </w:r>
    </w:p>
    <w:p>
      <w:pPr>
        <w:pStyle w:val="Heading3"/>
        <w:rPr>
          <w:snapToGrid w:val="0"/>
        </w:rPr>
      </w:pPr>
      <w:bookmarkStart w:id="14" w:name="_Toc209617784"/>
      <w:bookmarkStart w:id="15" w:name="_Toc209618803"/>
      <w:bookmarkStart w:id="16" w:name="_Toc209706801"/>
      <w:bookmarkStart w:id="17" w:name="_Toc209794921"/>
      <w:r>
        <w:rPr>
          <w:rStyle w:val="CharDivNo"/>
        </w:rPr>
        <w:t>Division 1</w:t>
      </w:r>
      <w:r>
        <w:rPr>
          <w:snapToGrid w:val="0"/>
        </w:rPr>
        <w:t> — </w:t>
      </w:r>
      <w:r>
        <w:rPr>
          <w:rStyle w:val="CharDivText"/>
        </w:rPr>
        <w:t>General</w:t>
      </w:r>
      <w:bookmarkEnd w:id="14"/>
      <w:bookmarkEnd w:id="15"/>
      <w:bookmarkEnd w:id="16"/>
      <w:bookmarkEnd w:id="17"/>
      <w:r>
        <w:rPr>
          <w:rStyle w:val="CharDivText"/>
        </w:rPr>
        <w:t xml:space="preserve"> </w:t>
      </w:r>
    </w:p>
    <w:p>
      <w:pPr>
        <w:pStyle w:val="Heading5"/>
      </w:pPr>
      <w:bookmarkStart w:id="18" w:name="_Toc209794922"/>
      <w:r>
        <w:rPr>
          <w:rStyle w:val="CharSectno"/>
        </w:rPr>
        <w:t>6</w:t>
      </w:r>
      <w:r>
        <w:t>.</w:t>
      </w:r>
      <w:r>
        <w:tab/>
        <w:t>Commissioner</w:t>
      </w:r>
      <w:bookmarkEnd w:id="18"/>
    </w:p>
    <w:p>
      <w:pPr>
        <w:pStyle w:val="Subsection"/>
        <w:rPr>
          <w:snapToGrid w:val="0"/>
        </w:rPr>
      </w:pPr>
      <w:r>
        <w:rPr>
          <w:snapToGrid w:val="0"/>
        </w:rPr>
        <w:tab/>
        <w:t>(1)</w:t>
      </w:r>
      <w:r>
        <w:rPr>
          <w:snapToGrid w:val="0"/>
        </w:rPr>
        <w:tab/>
        <w:t xml:space="preserve">The Minister is required, by notice published in the </w:t>
      </w:r>
      <w:r>
        <w:rPr>
          <w:i/>
          <w:snapToGrid w:val="0"/>
        </w:rPr>
        <w:t>Gazette</w:t>
      </w:r>
      <w:r>
        <w:rPr>
          <w:snapToGrid w:val="0"/>
        </w:rPr>
        <w:t>, to designate a person who is an executive officer of the department as the Commissioner for the purposes of this Act.</w:t>
      </w:r>
    </w:p>
    <w:p>
      <w:pPr>
        <w:pStyle w:val="Subsection"/>
        <w:rPr>
          <w:snapToGrid w:val="0"/>
        </w:rPr>
      </w:pPr>
      <w:r>
        <w:rPr>
          <w:snapToGrid w:val="0"/>
        </w:rPr>
        <w:tab/>
        <w:t>(2)</w:t>
      </w:r>
      <w:r>
        <w:rPr>
          <w:snapToGrid w:val="0"/>
        </w:rPr>
        <w:tab/>
        <w:t xml:space="preserve">The Commissioner may be referred to by a title specified by the Minister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Subsection"/>
        <w:rPr>
          <w:snapToGrid w:val="0"/>
        </w:rPr>
      </w:pPr>
      <w:r>
        <w:rPr>
          <w:snapToGrid w:val="0"/>
        </w:rPr>
        <w:tab/>
        <w:t>(4)</w:t>
      </w:r>
      <w:r>
        <w:rPr>
          <w:snapToGrid w:val="0"/>
        </w:rPr>
        <w:tab/>
        <w:t>The Commissioner — </w:t>
      </w:r>
    </w:p>
    <w:p>
      <w:pPr>
        <w:pStyle w:val="Indenta"/>
        <w:rPr>
          <w:snapToGrid w:val="0"/>
        </w:rPr>
      </w:pPr>
      <w:r>
        <w:rPr>
          <w:snapToGrid w:val="0"/>
        </w:rPr>
        <w:tab/>
        <w:t>(a)</w:t>
      </w:r>
      <w:r>
        <w:rPr>
          <w:snapToGrid w:val="0"/>
        </w:rPr>
        <w:tab/>
        <w:t>is the licensing and supervisory authority for the purposes of this Act; and</w:t>
      </w:r>
    </w:p>
    <w:p>
      <w:pPr>
        <w:pStyle w:val="Indenta"/>
        <w:rPr>
          <w:snapToGrid w:val="0"/>
        </w:rPr>
      </w:pPr>
      <w:r>
        <w:rPr>
          <w:snapToGrid w:val="0"/>
        </w:rPr>
        <w:tab/>
        <w:t>(b)</w:t>
      </w:r>
      <w:r>
        <w:rPr>
          <w:snapToGrid w:val="0"/>
        </w:rPr>
        <w:tab/>
        <w:t>has the powers, duties, and functions, conferred, imposed, or prescribed by or under this Act.</w:t>
      </w:r>
    </w:p>
    <w:p>
      <w:pPr>
        <w:pStyle w:val="Footnotesection"/>
      </w:pPr>
      <w:r>
        <w:tab/>
        <w:t xml:space="preserve">[Section 6 inserted: No. 53 of 2004 s. 7.] </w:t>
      </w:r>
    </w:p>
    <w:p>
      <w:pPr>
        <w:pStyle w:val="Heading5"/>
      </w:pPr>
      <w:bookmarkStart w:id="19" w:name="_Toc209794923"/>
      <w:r>
        <w:rPr>
          <w:rStyle w:val="CharSectno"/>
        </w:rPr>
        <w:t>7</w:t>
      </w:r>
      <w:r>
        <w:t>.</w:t>
      </w:r>
      <w:r>
        <w:tab/>
        <w:t>General functions of Commissioner</w:t>
      </w:r>
      <w:bookmarkEnd w:id="19"/>
      <w:r>
        <w:t xml:space="preserve"> </w:t>
      </w:r>
    </w:p>
    <w:p>
      <w:pPr>
        <w:pStyle w:val="Subsection"/>
        <w:rPr>
          <w:snapToGrid w:val="0"/>
        </w:rPr>
      </w:pPr>
      <w:r>
        <w:rPr>
          <w:snapToGrid w:val="0"/>
        </w:rPr>
        <w:tab/>
      </w:r>
      <w:r>
        <w:rPr>
          <w:snapToGrid w:val="0"/>
        </w:rPr>
        <w:tab/>
        <w:t>As a part of the Commissioner’s functions under this Act, the Commissioner may —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make recommendations and submit proposals to the Minister from time to time with respect to regulations to be made under this Act;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conduct and promote education and provide advisory services for persons who are licensed under this Act, or </w:t>
      </w:r>
      <w:r>
        <w:rPr>
          <w:snapToGrid w:val="0"/>
        </w:rPr>
        <w:lastRenderedPageBreak/>
        <w:t>involved in the administration of this Act, and for members of the public on — </w:t>
      </w:r>
    </w:p>
    <w:p>
      <w:pPr>
        <w:pStyle w:val="Indenti"/>
        <w:spacing w:before="60"/>
        <w:rPr>
          <w:snapToGrid w:val="0"/>
        </w:rPr>
      </w:pPr>
      <w:r>
        <w:rPr>
          <w:snapToGrid w:val="0"/>
        </w:rPr>
        <w:tab/>
        <w:t>(i)</w:t>
      </w:r>
      <w:r>
        <w:rPr>
          <w:snapToGrid w:val="0"/>
        </w:rPr>
        <w:tab/>
        <w:t>matters relating to the operation of this Act; or</w:t>
      </w:r>
    </w:p>
    <w:p>
      <w:pPr>
        <w:pStyle w:val="Indenti"/>
        <w:spacing w:before="60"/>
        <w:rPr>
          <w:snapToGrid w:val="0"/>
        </w:rPr>
      </w:pPr>
      <w:r>
        <w:rPr>
          <w:snapToGrid w:val="0"/>
        </w:rPr>
        <w:tab/>
        <w:t>(ii)</w:t>
      </w:r>
      <w:r>
        <w:rPr>
          <w:snapToGrid w:val="0"/>
        </w:rPr>
        <w:tab/>
        <w:t>matters relating to the policies of the Commissioner; or</w:t>
      </w:r>
    </w:p>
    <w:p>
      <w:pPr>
        <w:pStyle w:val="Indenti"/>
        <w:spacing w:before="60"/>
        <w:rPr>
          <w:snapToGrid w:val="0"/>
        </w:rPr>
      </w:pPr>
      <w:r>
        <w:rPr>
          <w:snapToGrid w:val="0"/>
        </w:rPr>
        <w:tab/>
        <w:t>(iii)</w:t>
      </w:r>
      <w:r>
        <w:rPr>
          <w:snapToGrid w:val="0"/>
        </w:rPr>
        <w:tab/>
        <w:t>matters relating to the operations of finance brokers;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(f)</w:t>
      </w:r>
      <w:r>
        <w:rPr>
          <w:snapToGrid w:val="0"/>
        </w:rPr>
        <w:tab/>
        <w:t>carry out such other functions as are conferred upon the Commissioner under this Act.</w:t>
      </w:r>
    </w:p>
    <w:p>
      <w:pPr>
        <w:pStyle w:val="Footnotesection"/>
        <w:spacing w:before="80"/>
      </w:pPr>
      <w:r>
        <w:tab/>
        <w:t xml:space="preserve">[Section 7 inserted: No. 53 of 2004 s. 7; amended: No. 14 of 2010 s. 39.] </w:t>
      </w:r>
    </w:p>
    <w:p>
      <w:pPr>
        <w:pStyle w:val="Heading5"/>
        <w:spacing w:before="200"/>
      </w:pPr>
      <w:bookmarkStart w:id="20" w:name="_Toc209794924"/>
      <w:r>
        <w:rPr>
          <w:rStyle w:val="CharSectno"/>
        </w:rPr>
        <w:t>8</w:t>
      </w:r>
      <w:r>
        <w:t>.</w:t>
      </w:r>
      <w:r>
        <w:tab/>
        <w:t>Commissioner may delegate</w:t>
      </w:r>
      <w:bookmarkEnd w:id="20"/>
      <w:r>
        <w:t xml:space="preserve"> </w:t>
      </w:r>
    </w:p>
    <w:p>
      <w:pPr>
        <w:pStyle w:val="Subsection"/>
        <w:spacing w:before="100"/>
      </w:pPr>
      <w:r>
        <w:tab/>
        <w:t>(1)</w:t>
      </w:r>
      <w:r>
        <w:tab/>
        <w:t>The Commissioner may delegate to a person any power or duty of the Commissioner under another provision of this Act, other than an investigative function under section 13.</w:t>
      </w:r>
    </w:p>
    <w:p>
      <w:pPr>
        <w:pStyle w:val="Subsection"/>
        <w:spacing w:before="100"/>
      </w:pPr>
      <w:r>
        <w:tab/>
        <w:t>(2)</w:t>
      </w:r>
      <w:r>
        <w:tab/>
        <w:t>The delegation must be in writing signed by the Commissioner.</w:t>
      </w:r>
    </w:p>
    <w:p>
      <w:pPr>
        <w:pStyle w:val="Subsection"/>
        <w:spacing w:before="100"/>
      </w:pPr>
      <w:r>
        <w:tab/>
        <w:t>(3)</w:t>
      </w:r>
      <w:r>
        <w:tab/>
        <w:t>A person to whom a power or duty is delegated under this section cannot delegate that power or duty.</w:t>
      </w:r>
    </w:p>
    <w:p>
      <w:pPr>
        <w:pStyle w:val="Subsection"/>
        <w:spacing w:before="100"/>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spacing w:before="100"/>
      </w:pPr>
      <w:r>
        <w:tab/>
        <w:t>(5)</w:t>
      </w:r>
      <w:r>
        <w:tab/>
        <w:t>A function performed by a delegate of the Commissioner is taken to be performed by the Commissioner.</w:t>
      </w:r>
    </w:p>
    <w:p>
      <w:pPr>
        <w:pStyle w:val="Subsection"/>
        <w:spacing w:before="100"/>
      </w:pPr>
      <w:r>
        <w:tab/>
        <w:t>(6)</w:t>
      </w:r>
      <w:r>
        <w:tab/>
        <w:t>Nothing in this section limits the ability of the Commissioner to perform a function through an officer or agent.</w:t>
      </w:r>
    </w:p>
    <w:p>
      <w:pPr>
        <w:pStyle w:val="Footnotesection"/>
        <w:spacing w:before="80"/>
      </w:pPr>
      <w:r>
        <w:tab/>
        <w:t xml:space="preserve">[Section 8 inserted: No. 53 of 2004 s. 7.] </w:t>
      </w:r>
    </w:p>
    <w:p>
      <w:pPr>
        <w:pStyle w:val="Heading5"/>
        <w:spacing w:before="200"/>
      </w:pPr>
      <w:bookmarkStart w:id="21" w:name="_Toc209794925"/>
      <w:r>
        <w:rPr>
          <w:rStyle w:val="CharSectno"/>
        </w:rPr>
        <w:lastRenderedPageBreak/>
        <w:t>9A</w:t>
      </w:r>
      <w:r>
        <w:t>.</w:t>
      </w:r>
      <w:r>
        <w:tab/>
        <w:t>Arrangements with ASIC</w:t>
      </w:r>
      <w:bookmarkEnd w:id="21"/>
    </w:p>
    <w:p>
      <w:pPr>
        <w:pStyle w:val="Subsection"/>
        <w:spacing w:before="100"/>
      </w:pPr>
      <w:r>
        <w:tab/>
        <w:t>(1)</w:t>
      </w:r>
      <w:r>
        <w:tab/>
        <w:t>The Commissioner may make an arrangement with ASIC about the conduct of any investigation under Division 2 or 2A, or the conduct of any proceedings under this Act.</w:t>
      </w:r>
    </w:p>
    <w:p>
      <w:pPr>
        <w:pStyle w:val="Subsection"/>
      </w:pPr>
      <w:r>
        <w:tab/>
        <w:t>(2)</w:t>
      </w:r>
      <w:r>
        <w:tab/>
        <w:t>In particular, an arrangement may provide —</w:t>
      </w:r>
    </w:p>
    <w:p>
      <w:pPr>
        <w:pStyle w:val="Indenta"/>
      </w:pPr>
      <w:r>
        <w:tab/>
        <w:t>(a)</w:t>
      </w:r>
      <w:r>
        <w:tab/>
        <w:t>for the performance of functions and the exercise of powers conferred by subsection (3) on ASIC; or</w:t>
      </w:r>
    </w:p>
    <w:p>
      <w:pPr>
        <w:pStyle w:val="Indenta"/>
      </w:pPr>
      <w:r>
        <w:tab/>
        <w:t>(b)</w:t>
      </w:r>
      <w:r>
        <w:tab/>
        <w:t>for the performance of functions or the exercise of powers of the Commissioner in relation to the conduct of any investigation under Division 2 or 2A, or the conduct of any proceedings under this Act by staff members of ASIC.</w:t>
      </w:r>
    </w:p>
    <w:p>
      <w:pPr>
        <w:pStyle w:val="Subsection"/>
      </w:pPr>
      <w:r>
        <w:tab/>
        <w:t>(3)</w:t>
      </w:r>
      <w:r>
        <w:tab/>
        <w:t>Subject to subsection (4), ASIC has the functions and powers of the Commissioner in relation to the conduct of any investigation under Division 2 or 2A, or the conduct of any proceedings under this Act.</w:t>
      </w:r>
    </w:p>
    <w:p>
      <w:pPr>
        <w:pStyle w:val="Subsection"/>
      </w:pPr>
      <w:r>
        <w:tab/>
        <w:t>(4)</w:t>
      </w:r>
      <w:r>
        <w:tab/>
        <w:t>ASIC must not perform a function or exercise a power conferred by subsection (3) except in accordance with an arrangement under this section.</w:t>
      </w:r>
    </w:p>
    <w:p>
      <w:pPr>
        <w:pStyle w:val="Footnotesection"/>
      </w:pPr>
      <w:r>
        <w:tab/>
        <w:t>[Section 9A inserted: No. 14 of 2010 s. 40.]</w:t>
      </w:r>
    </w:p>
    <w:p>
      <w:pPr>
        <w:pStyle w:val="Heading5"/>
      </w:pPr>
      <w:bookmarkStart w:id="22" w:name="_Toc209794926"/>
      <w:r>
        <w:rPr>
          <w:rStyle w:val="CharSectno"/>
        </w:rPr>
        <w:t>9B</w:t>
      </w:r>
      <w:r>
        <w:t>.</w:t>
      </w:r>
      <w:r>
        <w:tab/>
        <w:t>Information</w:t>
      </w:r>
      <w:bookmarkEnd w:id="22"/>
    </w:p>
    <w:p>
      <w:pPr>
        <w:pStyle w:val="Subsection"/>
      </w:pPr>
      <w:r>
        <w:tab/>
        <w:t>(1)</w:t>
      </w:r>
      <w:r>
        <w:tab/>
        <w:t>This section applies to information obtained by the Commissioner in connection with the administration or enforcement of this Act.</w:t>
      </w:r>
    </w:p>
    <w:p>
      <w:pPr>
        <w:pStyle w:val="Subsection"/>
      </w:pPr>
      <w:r>
        <w:tab/>
        <w:t>(2)</w:t>
      </w:r>
      <w:r>
        <w:tab/>
        <w:t xml:space="preserve">The Commissioner may — </w:t>
      </w:r>
    </w:p>
    <w:p>
      <w:pPr>
        <w:pStyle w:val="Indenta"/>
      </w:pPr>
      <w:r>
        <w:tab/>
        <w:t>(a)</w:t>
      </w:r>
      <w:r>
        <w:tab/>
        <w:t>disclose information to which this section applies; or</w:t>
      </w:r>
    </w:p>
    <w:p>
      <w:pPr>
        <w:pStyle w:val="Indenta"/>
      </w:pPr>
      <w:r>
        <w:tab/>
        <w:t>(b)</w:t>
      </w:r>
      <w:r>
        <w:tab/>
        <w:t>give copies of records which contain information to which this section applies and which are in the Commissioner’s possession or under the Commissioner’s control,</w:t>
      </w:r>
    </w:p>
    <w:p>
      <w:pPr>
        <w:pStyle w:val="Subsection"/>
      </w:pPr>
      <w:r>
        <w:lastRenderedPageBreak/>
        <w:tab/>
      </w:r>
      <w:r>
        <w:tab/>
        <w:t xml:space="preserve">to ASIC for the purpose of the administration or enforcement of the </w:t>
      </w:r>
      <w:r>
        <w:rPr>
          <w:i/>
          <w:iCs/>
        </w:rPr>
        <w:t xml:space="preserve">National Consumer Credit Protection Act 2009 </w:t>
      </w:r>
      <w:r>
        <w:t>(Commonwealth).</w:t>
      </w:r>
    </w:p>
    <w:p>
      <w:pPr>
        <w:pStyle w:val="Footnotesection"/>
      </w:pPr>
      <w:r>
        <w:tab/>
        <w:t>[Section 9B inserted: No. 14 of 2010 s. 40.]</w:t>
      </w:r>
    </w:p>
    <w:p>
      <w:pPr>
        <w:pStyle w:val="Heading5"/>
      </w:pPr>
      <w:bookmarkStart w:id="23" w:name="_Toc209794927"/>
      <w:r>
        <w:rPr>
          <w:rStyle w:val="CharSectno"/>
        </w:rPr>
        <w:t>9</w:t>
      </w:r>
      <w:r>
        <w:t>.</w:t>
      </w:r>
      <w:r>
        <w:tab/>
        <w:t>Judicial notice</w:t>
      </w:r>
      <w:bookmarkEnd w:id="23"/>
      <w: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the Commissioner or an investigator and every person who has at any time been the Commissioner, an investigator, Registrar, Deputy Registrar, Assistant Registrar, or inspector of the Board, and of the fact that such person holds or has held such position or office.</w:t>
      </w:r>
    </w:p>
    <w:p>
      <w:pPr>
        <w:pStyle w:val="Footnotesection"/>
      </w:pPr>
      <w:r>
        <w:tab/>
        <w:t xml:space="preserve">[Section 9 inserted: No. 53 of 2004 s. 7.] </w:t>
      </w:r>
    </w:p>
    <w:p>
      <w:pPr>
        <w:pStyle w:val="Ednotesection"/>
      </w:pPr>
      <w:r>
        <w:t>[</w:t>
      </w:r>
      <w:r>
        <w:rPr>
          <w:b/>
          <w:bCs/>
        </w:rPr>
        <w:t>10</w:t>
      </w:r>
      <w:r>
        <w:rPr>
          <w:b/>
          <w:bCs/>
        </w:rPr>
        <w:noBreakHyphen/>
        <w:t>12.</w:t>
      </w:r>
      <w:r>
        <w:tab/>
        <w:t xml:space="preserve">Deleted: No. 53 of 2004 s. 7.] </w:t>
      </w:r>
    </w:p>
    <w:p>
      <w:pPr>
        <w:pStyle w:val="Heading3"/>
        <w:rPr>
          <w:snapToGrid w:val="0"/>
        </w:rPr>
      </w:pPr>
      <w:bookmarkStart w:id="24" w:name="_Toc209617791"/>
      <w:bookmarkStart w:id="25" w:name="_Toc209618810"/>
      <w:bookmarkStart w:id="26" w:name="_Toc209706808"/>
      <w:bookmarkStart w:id="27" w:name="_Toc209794928"/>
      <w:r>
        <w:rPr>
          <w:rStyle w:val="CharDivNo"/>
        </w:rPr>
        <w:t>Division 2</w:t>
      </w:r>
      <w:r>
        <w:rPr>
          <w:snapToGrid w:val="0"/>
        </w:rPr>
        <w:t> — </w:t>
      </w:r>
      <w:r>
        <w:rPr>
          <w:rStyle w:val="CharDivText"/>
        </w:rPr>
        <w:t>Powers of investigation and inquiry</w:t>
      </w:r>
      <w:bookmarkEnd w:id="24"/>
      <w:bookmarkEnd w:id="25"/>
      <w:bookmarkEnd w:id="26"/>
      <w:bookmarkEnd w:id="27"/>
      <w:r>
        <w:rPr>
          <w:rStyle w:val="CharDivText"/>
        </w:rPr>
        <w:t xml:space="preserve"> </w:t>
      </w:r>
    </w:p>
    <w:p>
      <w:pPr>
        <w:pStyle w:val="Heading5"/>
        <w:rPr>
          <w:snapToGrid w:val="0"/>
        </w:rPr>
      </w:pPr>
      <w:bookmarkStart w:id="28" w:name="_Toc209794929"/>
      <w:r>
        <w:rPr>
          <w:rStyle w:val="CharSectno"/>
        </w:rPr>
        <w:t>13</w:t>
      </w:r>
      <w:r>
        <w:rPr>
          <w:snapToGrid w:val="0"/>
        </w:rPr>
        <w:t>.</w:t>
      </w:r>
      <w:r>
        <w:rPr>
          <w:snapToGrid w:val="0"/>
        </w:rPr>
        <w:tab/>
        <w:t>Investigation and inquiry by Commissioner</w:t>
      </w:r>
      <w:bookmarkEnd w:id="28"/>
      <w:r>
        <w:rPr>
          <w:snapToGrid w:val="0"/>
        </w:rPr>
        <w:t xml:space="preserve"> </w:t>
      </w:r>
    </w:p>
    <w:p>
      <w:pPr>
        <w:pStyle w:val="Subsection"/>
        <w:rPr>
          <w:snapToGrid w:val="0"/>
        </w:rPr>
      </w:pPr>
      <w:r>
        <w:rPr>
          <w:snapToGrid w:val="0"/>
        </w:rPr>
        <w:tab/>
      </w:r>
      <w:r>
        <w:rPr>
          <w:snapToGrid w:val="0"/>
        </w:rPr>
        <w:tab/>
        <w:t>The Commissioner may, of his own motion, make any investigation or inquiry that the Commissioner considers necessary or expedient for the purpose of — </w:t>
      </w:r>
    </w:p>
    <w:p>
      <w:pPr>
        <w:pStyle w:val="Indenta"/>
        <w:rPr>
          <w:snapToGrid w:val="0"/>
        </w:rPr>
      </w:pPr>
      <w:r>
        <w:rPr>
          <w:snapToGrid w:val="0"/>
        </w:rPr>
        <w:tab/>
        <w:t>(a)</w:t>
      </w:r>
      <w:r>
        <w:rPr>
          <w:snapToGrid w:val="0"/>
        </w:rPr>
        <w:tab/>
        <w:t>determining any application or any other matter before the</w:t>
      </w:r>
      <w:r>
        <w:t xml:space="preserve"> Commissioner</w:t>
      </w:r>
      <w:r>
        <w:rPr>
          <w:snapToGrid w:val="0"/>
        </w:rPr>
        <w:t>; and</w:t>
      </w:r>
    </w:p>
    <w:p>
      <w:pPr>
        <w:pStyle w:val="Indenta"/>
        <w:rPr>
          <w:snapToGrid w:val="0"/>
        </w:rPr>
      </w:pPr>
      <w:r>
        <w:rPr>
          <w:snapToGrid w:val="0"/>
        </w:rPr>
        <w:tab/>
        <w:t>(b)</w:t>
      </w:r>
      <w:r>
        <w:rPr>
          <w:snapToGrid w:val="0"/>
        </w:rPr>
        <w:tab/>
        <w:t xml:space="preserve">determining whether or not finance brokers are acting in conformity with the </w:t>
      </w:r>
      <w:r>
        <w:t xml:space="preserve">conditions, if any, of their licences and are complying with the requirements of this Act or the finance brokers code of conduct; </w:t>
      </w:r>
      <w:r>
        <w:rPr>
          <w:snapToGrid w:val="0"/>
        </w:rPr>
        <w:t>and</w:t>
      </w:r>
    </w:p>
    <w:p>
      <w:pPr>
        <w:pStyle w:val="Indenta"/>
      </w:pPr>
      <w:r>
        <w:tab/>
        <w:t>(ba)</w:t>
      </w:r>
      <w:r>
        <w:tab/>
        <w:t>determining whether or not any other causes exist that may be considered by the State Administrative Tribunal to render finance brokers unfit to hold their licences; and</w:t>
      </w:r>
    </w:p>
    <w:p>
      <w:pPr>
        <w:pStyle w:val="Indenta"/>
        <w:rPr>
          <w:snapToGrid w:val="0"/>
        </w:rPr>
      </w:pPr>
      <w:r>
        <w:rPr>
          <w:snapToGrid w:val="0"/>
        </w:rPr>
        <w:tab/>
        <w:t>(c)</w:t>
      </w:r>
      <w:r>
        <w:rPr>
          <w:snapToGrid w:val="0"/>
        </w:rPr>
        <w:tab/>
        <w:t>detecting offences against this Act.</w:t>
      </w:r>
    </w:p>
    <w:p>
      <w:pPr>
        <w:pStyle w:val="Footnotesection"/>
      </w:pPr>
      <w:r>
        <w:lastRenderedPageBreak/>
        <w:tab/>
        <w:t xml:space="preserve">[Section 13 amended: No. 56 of 1995 s. 23(1); No. 53 of 2004 s. 8.] </w:t>
      </w:r>
    </w:p>
    <w:p>
      <w:pPr>
        <w:pStyle w:val="Heading5"/>
        <w:rPr>
          <w:snapToGrid w:val="0"/>
        </w:rPr>
      </w:pPr>
      <w:bookmarkStart w:id="29" w:name="_Toc209794930"/>
      <w:r>
        <w:rPr>
          <w:rStyle w:val="CharSectno"/>
        </w:rPr>
        <w:t>14</w:t>
      </w:r>
      <w:r>
        <w:rPr>
          <w:snapToGrid w:val="0"/>
        </w:rPr>
        <w:t>.</w:t>
      </w:r>
      <w:r>
        <w:rPr>
          <w:snapToGrid w:val="0"/>
        </w:rPr>
        <w:tab/>
        <w:t>Police investigations</w:t>
      </w:r>
      <w:bookmarkEnd w:id="29"/>
      <w:r>
        <w:rPr>
          <w:snapToGrid w:val="0"/>
        </w:rPr>
        <w:t xml:space="preserve"> </w:t>
      </w:r>
    </w:p>
    <w:p>
      <w:pPr>
        <w:pStyle w:val="Subsection"/>
        <w:rPr>
          <w:snapToGrid w:val="0"/>
        </w:rPr>
      </w:pPr>
      <w:r>
        <w:rPr>
          <w:snapToGrid w:val="0"/>
        </w:rPr>
        <w:tab/>
        <w:t>(1)</w:t>
      </w:r>
      <w:r>
        <w:rPr>
          <w:snapToGrid w:val="0"/>
        </w:rPr>
        <w:tab/>
        <w:t>The Commissioner of Police shall, at the request of the</w:t>
      </w:r>
      <w:r>
        <w:t xml:space="preserve"> Commissioner</w:t>
      </w:r>
      <w:r>
        <w:rPr>
          <w:snapToGrid w:val="0"/>
        </w:rPr>
        <w:t>,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w:t>
      </w:r>
      <w:r>
        <w:t xml:space="preserve"> Commissioner</w:t>
      </w:r>
      <w:r>
        <w:rPr>
          <w:snapToGrid w:val="0"/>
        </w:rPr>
        <w:t>.</w:t>
      </w:r>
    </w:p>
    <w:p>
      <w:pPr>
        <w:pStyle w:val="Footnotesection"/>
      </w:pPr>
      <w:r>
        <w:tab/>
        <w:t xml:space="preserve">[Section 14 amended: No. 53 of 2004 s. 9.] </w:t>
      </w:r>
    </w:p>
    <w:p>
      <w:pPr>
        <w:pStyle w:val="Heading5"/>
      </w:pPr>
      <w:bookmarkStart w:id="30" w:name="_Toc209794931"/>
      <w:r>
        <w:rPr>
          <w:rStyle w:val="CharSectno"/>
        </w:rPr>
        <w:t>15</w:t>
      </w:r>
      <w:r>
        <w:t>.</w:t>
      </w:r>
      <w:r>
        <w:tab/>
        <w:t>Investigators</w:t>
      </w:r>
      <w:bookmarkEnd w:id="30"/>
    </w:p>
    <w:p>
      <w:pPr>
        <w:pStyle w:val="Subsection"/>
        <w:rPr>
          <w:snapToGrid w:val="0"/>
        </w:rPr>
      </w:pPr>
      <w:r>
        <w:rPr>
          <w:snapToGrid w:val="0"/>
        </w:rPr>
        <w:tab/>
        <w:t>(1)</w:t>
      </w:r>
      <w:r>
        <w:rPr>
          <w:snapToGrid w:val="0"/>
        </w:rPr>
        <w:tab/>
        <w:t>The chief executive officer may designate as investigators for the purposes of this Act as many persons employed in the department as the chief executive officer considers necessary to assist the Commissioner to perform investigative functions under this Act.</w:t>
      </w:r>
    </w:p>
    <w:p>
      <w:pPr>
        <w:pStyle w:val="Subsection"/>
        <w:rPr>
          <w:snapToGrid w:val="0"/>
        </w:rPr>
      </w:pPr>
      <w:r>
        <w:rPr>
          <w:snapToGrid w:val="0"/>
        </w:rPr>
        <w:tab/>
        <w:t>(2)</w:t>
      </w:r>
      <w:r>
        <w:rPr>
          <w:snapToGrid w:val="0"/>
        </w:rPr>
        <w:tab/>
        <w:t>A reference in section 13 to the Commissioner includes a reference to an investigator.</w:t>
      </w:r>
    </w:p>
    <w:p>
      <w:pPr>
        <w:pStyle w:val="Subsection"/>
        <w:rPr>
          <w:snapToGrid w:val="0"/>
        </w:rPr>
      </w:pPr>
      <w:r>
        <w:rPr>
          <w:snapToGrid w:val="0"/>
        </w:rPr>
        <w:tab/>
        <w:t>(3)</w:t>
      </w:r>
      <w:r>
        <w:rPr>
          <w:snapToGrid w:val="0"/>
        </w:rPr>
        <w:tab/>
        <w:t>The chief executive officer is to provide each investigator with a document, signed by the chief executive officer, certifying that the person is entitled to exercise the powers of an investigator, and that document is to be produced when demanded by a person in respect of whom the Commissioner or an investigator performs, has performed, or is proposing to perform, any function under this Act, including Division 2A.</w:t>
      </w:r>
    </w:p>
    <w:p>
      <w:pPr>
        <w:pStyle w:val="Subsection"/>
        <w:rPr>
          <w:snapToGrid w:val="0"/>
        </w:rPr>
      </w:pPr>
      <w:r>
        <w:rPr>
          <w:snapToGrid w:val="0"/>
        </w:rPr>
        <w:tab/>
        <w:t>(4)</w:t>
      </w:r>
      <w:r>
        <w:rPr>
          <w:snapToGrid w:val="0"/>
        </w:rPr>
        <w:tab/>
        <w:t xml:space="preserve">In this section — </w:t>
      </w:r>
    </w:p>
    <w:p>
      <w:pPr>
        <w:pStyle w:val="Defstart"/>
      </w:pPr>
      <w:r>
        <w:rPr>
          <w:b/>
        </w:rPr>
        <w:tab/>
      </w:r>
      <w:r>
        <w:rPr>
          <w:rStyle w:val="CharDefText"/>
        </w:rPr>
        <w:t>investigative function</w:t>
      </w:r>
      <w:r>
        <w:t xml:space="preserve"> means any of the Commissioner’s functions under section 13.</w:t>
      </w:r>
    </w:p>
    <w:p>
      <w:pPr>
        <w:pStyle w:val="Footnotesection"/>
      </w:pPr>
      <w:r>
        <w:tab/>
        <w:t xml:space="preserve">[Section 15 inserted: No. 53 of 2004 s. 10.] </w:t>
      </w:r>
    </w:p>
    <w:p>
      <w:pPr>
        <w:pStyle w:val="Heading5"/>
      </w:pPr>
      <w:bookmarkStart w:id="31" w:name="_Toc209794932"/>
      <w:r>
        <w:rPr>
          <w:rStyle w:val="CharSectno"/>
        </w:rPr>
        <w:lastRenderedPageBreak/>
        <w:t>16</w:t>
      </w:r>
      <w:r>
        <w:t>.</w:t>
      </w:r>
      <w:r>
        <w:tab/>
        <w:t>Additional investigative powers</w:t>
      </w:r>
      <w:bookmarkEnd w:id="31"/>
    </w:p>
    <w:p>
      <w:pPr>
        <w:pStyle w:val="Subsection"/>
        <w:rPr>
          <w:snapToGrid w:val="0"/>
        </w:rPr>
      </w:pPr>
      <w:r>
        <w:rPr>
          <w:snapToGrid w:val="0"/>
        </w:rPr>
        <w:tab/>
      </w:r>
      <w:r>
        <w:rPr>
          <w:snapToGrid w:val="0"/>
        </w:rPr>
        <w:tab/>
        <w:t>The Commissioner is, and each investigator is, authorised to exercise the powers of an investigator under Division 2A for the purposes of the performance of any function under section 13.</w:t>
      </w:r>
    </w:p>
    <w:p>
      <w:pPr>
        <w:pStyle w:val="Footnotesection"/>
      </w:pPr>
      <w:r>
        <w:tab/>
        <w:t xml:space="preserve">[Section 16 inserted: No. 53 of 2004 s. 10.] </w:t>
      </w:r>
    </w:p>
    <w:p>
      <w:pPr>
        <w:pStyle w:val="Heading5"/>
      </w:pPr>
      <w:bookmarkStart w:id="32" w:name="_Toc209794933"/>
      <w:r>
        <w:rPr>
          <w:rStyle w:val="CharSectno"/>
        </w:rPr>
        <w:t>17</w:t>
      </w:r>
      <w:r>
        <w:t>.</w:t>
      </w:r>
      <w:r>
        <w:tab/>
        <w:t>Compliance checks at licensee’s business premises</w:t>
      </w:r>
      <w:bookmarkEnd w:id="32"/>
    </w:p>
    <w:p>
      <w:pPr>
        <w:pStyle w:val="Subsection"/>
        <w:rPr>
          <w:snapToGrid w:val="0"/>
        </w:rPr>
      </w:pPr>
      <w:r>
        <w:rPr>
          <w:snapToGrid w:val="0"/>
        </w:rPr>
        <w:tab/>
        <w:t>(1)</w:t>
      </w:r>
      <w:r>
        <w:rPr>
          <w:snapToGrid w:val="0"/>
        </w:rPr>
        <w:tab/>
        <w:t>For the purposes of determining whether or not a licensee</w:t>
      </w:r>
      <w:r>
        <w:t xml:space="preserve"> has acted or</w:t>
      </w:r>
      <w:r>
        <w:rPr>
          <w:snapToGrid w:val="0"/>
        </w:rPr>
        <w:t xml:space="preserve"> is acting in conformity with the conditions, if any, of the licence and is </w:t>
      </w:r>
      <w:r>
        <w:t>or was</w:t>
      </w:r>
      <w:r>
        <w:rPr>
          <w:snapToGrid w:val="0"/>
        </w:rPr>
        <w:t xml:space="preserve"> complying with the requirements of this Act or the finance brokers code of conduct, the Commissioner or an investigator may — </w:t>
      </w:r>
    </w:p>
    <w:p>
      <w:pPr>
        <w:pStyle w:val="Indenta"/>
        <w:rPr>
          <w:snapToGrid w:val="0"/>
        </w:rPr>
      </w:pPr>
      <w:r>
        <w:rPr>
          <w:snapToGrid w:val="0"/>
        </w:rPr>
        <w:tab/>
        <w:t>(a)</w:t>
      </w:r>
      <w:r>
        <w:rPr>
          <w:snapToGrid w:val="0"/>
        </w:rPr>
        <w:tab/>
        <w:t>during normal business hours, enter premises where the business of the licensee is being carried on, without obtaining a warrant under Division 2A; and</w:t>
      </w:r>
    </w:p>
    <w:p>
      <w:pPr>
        <w:pStyle w:val="Indenta"/>
        <w:rPr>
          <w:snapToGrid w:val="0"/>
        </w:rPr>
      </w:pPr>
      <w:r>
        <w:rPr>
          <w:snapToGrid w:val="0"/>
        </w:rPr>
        <w:tab/>
        <w:t>(b)</w:t>
      </w:r>
      <w:r>
        <w:rPr>
          <w:snapToGrid w:val="0"/>
        </w:rPr>
        <w:tab/>
        <w:t>exercise the powers in sections 18, 18D and 18H once entry is made.</w:t>
      </w:r>
    </w:p>
    <w:p>
      <w:pPr>
        <w:pStyle w:val="Subsection"/>
        <w:rPr>
          <w:snapToGrid w:val="0"/>
        </w:rPr>
      </w:pPr>
      <w:r>
        <w:rPr>
          <w:snapToGrid w:val="0"/>
        </w:rPr>
        <w:tab/>
        <w:t>(2)</w:t>
      </w:r>
      <w:r>
        <w:rPr>
          <w:snapToGrid w:val="0"/>
        </w:rPr>
        <w:tab/>
        <w:t>The Commissioner or an investigator may invoke the powers in subsection (1) without an investigation being under way in relation to any particular licensee.</w:t>
      </w:r>
    </w:p>
    <w:p>
      <w:pPr>
        <w:pStyle w:val="Subsection"/>
        <w:rPr>
          <w:snapToGrid w:val="0"/>
        </w:rPr>
      </w:pPr>
      <w:r>
        <w:rPr>
          <w:snapToGrid w:val="0"/>
        </w:rPr>
        <w:tab/>
        <w:t>(3)</w:t>
      </w:r>
      <w:r>
        <w:rPr>
          <w:snapToGrid w:val="0"/>
        </w:rPr>
        <w:tab/>
        <w:t>A person must not prevent or attempt to prevent the Commissioner or an investigator from entering business premises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must not obstruct or impede the Commissioner or an investigator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A person must comply with a requirement to furnish reasonable access to business premises, or to give other reasonable </w:t>
      </w:r>
      <w:r>
        <w:rPr>
          <w:snapToGrid w:val="0"/>
        </w:rPr>
        <w:lastRenderedPageBreak/>
        <w:t>assistance to the Commissioner or an investigator, when exercising his or her powers under subsection (1).</w:t>
      </w:r>
    </w:p>
    <w:p>
      <w:pPr>
        <w:pStyle w:val="Penstart"/>
        <w:rPr>
          <w:snapToGrid w:val="0"/>
        </w:rPr>
      </w:pPr>
      <w:r>
        <w:rPr>
          <w:snapToGrid w:val="0"/>
        </w:rPr>
        <w:tab/>
        <w:t>Penalty: $2 000.</w:t>
      </w:r>
    </w:p>
    <w:p>
      <w:pPr>
        <w:pStyle w:val="Footnotesection"/>
      </w:pPr>
      <w:r>
        <w:tab/>
        <w:t>[Section 17 inserted: No. 53 of 2004 s. 10; amended: No. 14 of 2010 s. 41.]</w:t>
      </w:r>
    </w:p>
    <w:p>
      <w:pPr>
        <w:pStyle w:val="Heading3"/>
      </w:pPr>
      <w:bookmarkStart w:id="33" w:name="_Toc209617797"/>
      <w:bookmarkStart w:id="34" w:name="_Toc209618816"/>
      <w:bookmarkStart w:id="35" w:name="_Toc209706814"/>
      <w:bookmarkStart w:id="36" w:name="_Toc209794934"/>
      <w:r>
        <w:rPr>
          <w:rStyle w:val="CharDivNo"/>
        </w:rPr>
        <w:t>Division 2A</w:t>
      </w:r>
      <w:r>
        <w:t> — </w:t>
      </w:r>
      <w:r>
        <w:rPr>
          <w:rStyle w:val="CharDivText"/>
        </w:rPr>
        <w:t>Specific investigatory powers</w:t>
      </w:r>
      <w:bookmarkEnd w:id="33"/>
      <w:bookmarkEnd w:id="34"/>
      <w:bookmarkEnd w:id="35"/>
      <w:bookmarkEnd w:id="36"/>
    </w:p>
    <w:p>
      <w:pPr>
        <w:pStyle w:val="Footnoteheading"/>
        <w:keepNext/>
      </w:pPr>
      <w:r>
        <w:tab/>
        <w:t xml:space="preserve">[Heading inserted: No. 53 of 2004 s. 11.] </w:t>
      </w:r>
    </w:p>
    <w:p>
      <w:pPr>
        <w:pStyle w:val="Heading5"/>
      </w:pPr>
      <w:bookmarkStart w:id="37" w:name="_Toc209794935"/>
      <w:r>
        <w:rPr>
          <w:rStyle w:val="CharSectno"/>
        </w:rPr>
        <w:t>18</w:t>
      </w:r>
      <w:r>
        <w:t>.</w:t>
      </w:r>
      <w:r>
        <w:tab/>
        <w:t>Powers</w:t>
      </w:r>
      <w:bookmarkEnd w:id="37"/>
    </w:p>
    <w:p>
      <w:pPr>
        <w:pStyle w:val="Subsection"/>
      </w:pPr>
      <w:r>
        <w:tab/>
        <w:t>(1)</w:t>
      </w:r>
      <w:r>
        <w:tab/>
        <w:t xml:space="preserve">An investigator may — </w:t>
      </w:r>
    </w:p>
    <w:p>
      <w:pPr>
        <w:pStyle w:val="Indenta"/>
        <w:spacing w:before="68"/>
        <w:rPr>
          <w:snapToGrid w:val="0"/>
        </w:rPr>
      </w:pPr>
      <w:r>
        <w:tab/>
        <w:t>(a)</w:t>
      </w:r>
      <w:r>
        <w:tab/>
      </w:r>
      <w:r>
        <w:rPr>
          <w:snapToGrid w:val="0"/>
        </w:rPr>
        <w:t>require any person — </w:t>
      </w:r>
    </w:p>
    <w:p>
      <w:pPr>
        <w:pStyle w:val="Indenti"/>
        <w:spacing w:before="68"/>
        <w:rPr>
          <w:snapToGrid w:val="0"/>
        </w:rPr>
      </w:pPr>
      <w:r>
        <w:tab/>
        <w:t>(i)</w:t>
      </w:r>
      <w:r>
        <w:tab/>
      </w:r>
      <w:r>
        <w:rPr>
          <w:snapToGrid w:val="0"/>
        </w:rPr>
        <w:t>to give such information as is required; and</w:t>
      </w:r>
    </w:p>
    <w:p>
      <w:pPr>
        <w:pStyle w:val="Indenti"/>
        <w:spacing w:before="68"/>
      </w:pPr>
      <w:r>
        <w:tab/>
        <w:t>(ii)</w:t>
      </w:r>
      <w:r>
        <w:tab/>
        <w:t>to answer any question put to the person,</w:t>
      </w:r>
    </w:p>
    <w:p>
      <w:pPr>
        <w:pStyle w:val="Indenta"/>
        <w:spacing w:before="68"/>
      </w:pPr>
      <w:r>
        <w:tab/>
      </w:r>
      <w:r>
        <w:tab/>
        <w:t>in relation to any matter the subject of an investigation; and</w:t>
      </w:r>
    </w:p>
    <w:p>
      <w:pPr>
        <w:pStyle w:val="Indenta"/>
        <w:spacing w:before="68"/>
      </w:pPr>
      <w:r>
        <w:tab/>
        <w:t>(b)</w:t>
      </w:r>
      <w:r>
        <w:tab/>
        <w:t>require any person to produce any document; and</w:t>
      </w:r>
    </w:p>
    <w:p>
      <w:pPr>
        <w:pStyle w:val="Indenta"/>
        <w:spacing w:before="68"/>
      </w:pPr>
      <w:r>
        <w:tab/>
        <w:t>(c)</w:t>
      </w:r>
      <w:r>
        <w:tab/>
        <w:t>enter at all reasonable times and search any premises or motor vehicle named in a warrant obtained in accordance with this Division and exercise the powers set out in that warrant; and</w:t>
      </w:r>
    </w:p>
    <w:p>
      <w:pPr>
        <w:pStyle w:val="Indenta"/>
        <w:spacing w:before="68"/>
      </w:pPr>
      <w:r>
        <w:tab/>
        <w:t>(d)</w:t>
      </w:r>
      <w:r>
        <w:tab/>
        <w:t>make a copy or abstract of any document produced or inspected under this section, or of any entry made in the document.</w:t>
      </w:r>
    </w:p>
    <w:p>
      <w:pPr>
        <w:pStyle w:val="Subsection"/>
      </w:pPr>
      <w:r>
        <w:tab/>
        <w:t>(2)</w:t>
      </w:r>
      <w:r>
        <w:tab/>
        <w:t>A requirement made under subsection (1)(a) — </w:t>
      </w:r>
    </w:p>
    <w:p>
      <w:pPr>
        <w:pStyle w:val="Indenta"/>
        <w:spacing w:before="68"/>
      </w:pPr>
      <w:r>
        <w:tab/>
        <w:t>(a)</w:t>
      </w:r>
      <w:r>
        <w:tab/>
        <w:t>may be made orally or by notice in writing served on the person required to give information or answer a question, as the case may be; and</w:t>
      </w:r>
    </w:p>
    <w:p>
      <w:pPr>
        <w:pStyle w:val="Indenta"/>
        <w:spacing w:before="68"/>
      </w:pPr>
      <w:r>
        <w:tab/>
        <w:t>(b)</w:t>
      </w:r>
      <w:r>
        <w:tab/>
        <w:t xml:space="preserve">is to specify the time at or within which the information is to be given or the question is to be answered, as the case may be; and </w:t>
      </w:r>
    </w:p>
    <w:p>
      <w:pPr>
        <w:pStyle w:val="Indenta"/>
        <w:spacing w:before="68"/>
      </w:pPr>
      <w:r>
        <w:lastRenderedPageBreak/>
        <w:tab/>
        <w:t>(c)</w:t>
      </w:r>
      <w:r>
        <w:tab/>
        <w:t>may, by its terms, require that the information or answer required — </w:t>
      </w:r>
    </w:p>
    <w:p>
      <w:pPr>
        <w:pStyle w:val="Indenti"/>
        <w:spacing w:before="68"/>
      </w:pPr>
      <w:r>
        <w:tab/>
        <w:t>(i)</w:t>
      </w:r>
      <w:r>
        <w:tab/>
        <w:t>be given orally or in writing; and</w:t>
      </w:r>
    </w:p>
    <w:p>
      <w:pPr>
        <w:pStyle w:val="Indenti"/>
        <w:spacing w:before="68"/>
      </w:pPr>
      <w:r>
        <w:tab/>
        <w:t>(ii)</w:t>
      </w:r>
      <w:r>
        <w:tab/>
        <w:t>be given at or sent or delivered to any place specified in the requirement; and</w:t>
      </w:r>
    </w:p>
    <w:p>
      <w:pPr>
        <w:pStyle w:val="Indenti"/>
        <w:spacing w:before="68"/>
      </w:pPr>
      <w:r>
        <w:tab/>
        <w:t>(iii)</w:t>
      </w:r>
      <w:r>
        <w:tab/>
        <w:t>in the case of written information or answers, be sent or delivered by any means specified in the requirement; and</w:t>
      </w:r>
    </w:p>
    <w:p>
      <w:pPr>
        <w:pStyle w:val="Indenti"/>
      </w:pPr>
      <w:r>
        <w:tab/>
        <w:t>(iv)</w:t>
      </w:r>
      <w:r>
        <w:tab/>
        <w:t>be given on oath or affirmation or by statutory declaration.</w:t>
      </w:r>
    </w:p>
    <w:p>
      <w:pPr>
        <w:pStyle w:val="Subsection"/>
      </w:pPr>
      <w:r>
        <w:tab/>
        <w:t>(3)</w:t>
      </w:r>
      <w:r>
        <w:tab/>
        <w:t>An investigator may administer an oath or affirmation for the purposes of subsection (2)(c)(iv) and for that purpose has the authority of a commissioner for declarations.</w:t>
      </w:r>
    </w:p>
    <w:p>
      <w:pPr>
        <w:pStyle w:val="Subsection"/>
      </w:pPr>
      <w:r>
        <w:tab/>
        <w:t>(4)</w:t>
      </w:r>
      <w:r>
        <w:tab/>
        <w:t>A requirement made under subsection (1)(b) — </w:t>
      </w:r>
    </w:p>
    <w:p>
      <w:pPr>
        <w:pStyle w:val="Indenta"/>
      </w:pPr>
      <w:r>
        <w:tab/>
        <w:t>(a)</w:t>
      </w:r>
      <w:r>
        <w:tab/>
        <w:t>is to be made by notice in writing served on the person required to produce a document; and</w:t>
      </w:r>
    </w:p>
    <w:p>
      <w:pPr>
        <w:pStyle w:val="Indenta"/>
      </w:pPr>
      <w:r>
        <w:tab/>
        <w:t>(b)</w:t>
      </w:r>
      <w:r>
        <w:tab/>
        <w:t>is to specify the time at or within which the document is to be produced; and</w:t>
      </w:r>
    </w:p>
    <w:p>
      <w:pPr>
        <w:pStyle w:val="Indenta"/>
      </w:pPr>
      <w:r>
        <w:tab/>
        <w:t>(c)</w:t>
      </w:r>
      <w:r>
        <w:tab/>
        <w:t>may, by its terms, require that the document be produced — </w:t>
      </w:r>
    </w:p>
    <w:p>
      <w:pPr>
        <w:pStyle w:val="Indenti"/>
      </w:pPr>
      <w:r>
        <w:tab/>
        <w:t>(i)</w:t>
      </w:r>
      <w:r>
        <w:tab/>
        <w:t>at any place specified in the requirement; and</w:t>
      </w:r>
    </w:p>
    <w:p>
      <w:pPr>
        <w:pStyle w:val="Indenti"/>
      </w:pPr>
      <w:r>
        <w:tab/>
        <w:t>(ii)</w:t>
      </w:r>
      <w:r>
        <w:tab/>
        <w:t>by any means specified in the requirement.</w:t>
      </w:r>
    </w:p>
    <w:p>
      <w:pPr>
        <w:pStyle w:val="Subsection"/>
      </w:pPr>
      <w:r>
        <w:tab/>
        <w:t>(5)</w:t>
      </w:r>
      <w:r>
        <w:tab/>
        <w:t>Where under subsection (2)(a) an investigator orally requires a person to give any information or answer any question, the investigator is to inform that person that he or she is required, under this Act, to give the information or answer the question, as the case may be.</w:t>
      </w:r>
    </w:p>
    <w:p>
      <w:pPr>
        <w:pStyle w:val="Subsection"/>
      </w:pPr>
      <w:r>
        <w:tab/>
        <w:t>(6)</w:t>
      </w:r>
      <w:r>
        <w:tab/>
        <w:t>Where under subsection (2)(a) or (b) a person is required by notice in writing to give any information, answer any question, or produce any document, the notice is to state that he or she is required under this Act to give the information, answer the question, or produce the document, as the case may be.</w:t>
      </w:r>
    </w:p>
    <w:p>
      <w:pPr>
        <w:pStyle w:val="Footnotesection"/>
      </w:pPr>
      <w:r>
        <w:lastRenderedPageBreak/>
        <w:tab/>
        <w:t>[Section 18 inserted: No. 53 of 2004 s. 12.]</w:t>
      </w:r>
    </w:p>
    <w:p>
      <w:pPr>
        <w:pStyle w:val="Heading5"/>
      </w:pPr>
      <w:bookmarkStart w:id="38" w:name="_Toc209794936"/>
      <w:r>
        <w:rPr>
          <w:rStyle w:val="CharSectno"/>
        </w:rPr>
        <w:t>18A</w:t>
      </w:r>
      <w:r>
        <w:t>.</w:t>
      </w:r>
      <w:r>
        <w:tab/>
        <w:t>Warrant to enter premises</w:t>
      </w:r>
      <w:bookmarkEnd w:id="38"/>
    </w:p>
    <w:p>
      <w:pPr>
        <w:pStyle w:val="Subsection"/>
      </w:pPr>
      <w:r>
        <w:tab/>
        <w:t>(1)</w:t>
      </w:r>
      <w:r>
        <w:tab/>
        <w:t>If an investigator has determined in a particular case that there are reasonable grounds for believing that entry to premises or a motor vehicle is necessary for the purpose of an investigation, the investigator may apply to a magistrate or justice of the peace for a warrant to be issued in respect of those premises or that motor vehicle.</w:t>
      </w:r>
    </w:p>
    <w:p>
      <w:pPr>
        <w:pStyle w:val="Subsection"/>
      </w:pPr>
      <w:r>
        <w:tab/>
        <w:t>(2)</w:t>
      </w:r>
      <w:r>
        <w:tab/>
        <w:t xml:space="preserve">An application for a warrant must — </w:t>
      </w:r>
    </w:p>
    <w:p>
      <w:pPr>
        <w:pStyle w:val="Indenta"/>
      </w:pPr>
      <w:r>
        <w:tab/>
        <w:t>(a)</w:t>
      </w:r>
      <w:r>
        <w:tab/>
        <w:t>be in writing; and</w:t>
      </w:r>
    </w:p>
    <w:p>
      <w:pPr>
        <w:pStyle w:val="Indenta"/>
      </w:pPr>
      <w:r>
        <w:tab/>
        <w:t>(b)</w:t>
      </w:r>
      <w:r>
        <w:tab/>
        <w:t>be accompanied by a notice in writing from the investigator stating that he or she has determined in the particular case that there are reasonable grounds for believing that entry to premises or motor vehicle is necessary for the purpose of the investigation; and</w:t>
      </w:r>
    </w:p>
    <w:p>
      <w:pPr>
        <w:pStyle w:val="Indenta"/>
      </w:pPr>
      <w:r>
        <w:tab/>
        <w:t>(c)</w:t>
      </w:r>
      <w:r>
        <w:tab/>
        <w:t>set out the grounds for seeking the warrant; and</w:t>
      </w:r>
    </w:p>
    <w:p>
      <w:pPr>
        <w:pStyle w:val="Indenta"/>
      </w:pPr>
      <w:r>
        <w:tab/>
        <w:t>(d)</w:t>
      </w:r>
      <w:r>
        <w:tab/>
        <w:t>describe the premises or motor vehicle that are to be entered.</w:t>
      </w:r>
    </w:p>
    <w:p>
      <w:pPr>
        <w:pStyle w:val="Subsection"/>
      </w:pPr>
      <w:r>
        <w:tab/>
        <w:t>(3)</w:t>
      </w:r>
      <w:r>
        <w:tab/>
        <w:t xml:space="preserve">A magistrate or justice of the peace to whom an application is made under this section must refuse it if — </w:t>
      </w:r>
    </w:p>
    <w:p>
      <w:pPr>
        <w:pStyle w:val="Indenta"/>
      </w:pPr>
      <w:r>
        <w:tab/>
        <w:t>(a)</w:t>
      </w:r>
      <w:r>
        <w:tab/>
        <w:t>the application does not comply with the requirements of this Act; or</w:t>
      </w:r>
    </w:p>
    <w:p>
      <w:pPr>
        <w:pStyle w:val="Indenta"/>
      </w:pPr>
      <w:r>
        <w:tab/>
        <w:t>(b)</w:t>
      </w:r>
      <w:r>
        <w:tab/>
        <w:t>when required to do so by the magistrate or the justice of the peace, the investigator does not give to the magistrate or justice of the peace more information about the application.</w:t>
      </w:r>
    </w:p>
    <w:p>
      <w:pPr>
        <w:pStyle w:val="Subsection"/>
      </w:pPr>
      <w:r>
        <w:tab/>
        <w:t>(4)</w:t>
      </w:r>
      <w:r>
        <w:tab/>
        <w:t>The information in an application or given to a magistrate or justice of the peace under this section must be verified before the magistrate or justice of the peace on oath or affirmation or by affidavit, and the magistrate or justice of the peace may for that purpose administer an oath or affirmation or take an affidavit.</w:t>
      </w:r>
    </w:p>
    <w:p>
      <w:pPr>
        <w:pStyle w:val="Footnotesection"/>
      </w:pPr>
      <w:r>
        <w:lastRenderedPageBreak/>
        <w:tab/>
        <w:t>[Section 18A inserted: No. 53 of 2004 s. 12.]</w:t>
      </w:r>
    </w:p>
    <w:p>
      <w:pPr>
        <w:pStyle w:val="Heading5"/>
      </w:pPr>
      <w:bookmarkStart w:id="39" w:name="_Toc209794937"/>
      <w:r>
        <w:rPr>
          <w:rStyle w:val="CharSectno"/>
        </w:rPr>
        <w:t>18B</w:t>
      </w:r>
      <w:r>
        <w:t>.</w:t>
      </w:r>
      <w:r>
        <w:tab/>
        <w:t>Issue of warrant</w:t>
      </w:r>
      <w:bookmarkEnd w:id="39"/>
      <w:r>
        <w:t xml:space="preserve"> </w:t>
      </w:r>
    </w:p>
    <w:p>
      <w:pPr>
        <w:pStyle w:val="Subsection"/>
      </w:pPr>
      <w:r>
        <w:tab/>
        <w:t>(1)</w:t>
      </w:r>
      <w:r>
        <w:tab/>
        <w:t>A magistrate or justice of the peace to whom an application is made under section 18A may issue a warrant, if satisfied that the investigator has reasonable grounds for believing that entry and inspection of the premises or motor vehicle are necessary for the purpose of the investigation.</w:t>
      </w:r>
    </w:p>
    <w:p>
      <w:pPr>
        <w:pStyle w:val="Subsection"/>
        <w:keepNext/>
      </w:pPr>
      <w:r>
        <w:tab/>
        <w:t>(2)</w:t>
      </w:r>
      <w:r>
        <w:tab/>
        <w:t xml:space="preserve">A warrant under subsection (1) authorises the investigator — </w:t>
      </w:r>
    </w:p>
    <w:p>
      <w:pPr>
        <w:pStyle w:val="Indenta"/>
        <w:spacing w:before="70"/>
      </w:pPr>
      <w:r>
        <w:tab/>
        <w:t>(a)</w:t>
      </w:r>
      <w:r>
        <w:tab/>
        <w:t>to enter and inspect the premises or motor vehicle named in the warrant; and</w:t>
      </w:r>
    </w:p>
    <w:p>
      <w:pPr>
        <w:pStyle w:val="Indenta"/>
        <w:spacing w:before="70"/>
      </w:pPr>
      <w:r>
        <w:tab/>
        <w:t>(b)</w:t>
      </w:r>
      <w:r>
        <w:tab/>
        <w:t>to require a person on the premises to answer questions or produce documents or other things in the person’s possession concerning the investigation; and</w:t>
      </w:r>
    </w:p>
    <w:p>
      <w:pPr>
        <w:pStyle w:val="Indenta"/>
        <w:spacing w:before="70"/>
      </w:pPr>
      <w:r>
        <w:tab/>
        <w:t>(c)</w:t>
      </w:r>
      <w: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pPr>
      <w:r>
        <w:tab/>
        <w:t>(a)</w:t>
      </w:r>
      <w:r>
        <w:tab/>
        <w:t>the purpose for which the warrant is issued; and</w:t>
      </w:r>
    </w:p>
    <w:p>
      <w:pPr>
        <w:pStyle w:val="Indenta"/>
      </w:pPr>
      <w:r>
        <w:tab/>
        <w:t>(b)</w:t>
      </w:r>
      <w:r>
        <w:tab/>
        <w:t>the name of the person to whom the warrant is issued; and</w:t>
      </w:r>
    </w:p>
    <w:p>
      <w:pPr>
        <w:pStyle w:val="Indenta"/>
      </w:pPr>
      <w:r>
        <w:tab/>
        <w:t>(c)</w:t>
      </w:r>
      <w:r>
        <w:tab/>
        <w:t>a description of the premises or motor vehicle that may be entered.</w:t>
      </w:r>
    </w:p>
    <w:p>
      <w:pPr>
        <w:pStyle w:val="Subsection"/>
      </w:pPr>
      <w:r>
        <w:tab/>
        <w:t>(4)</w:t>
      </w:r>
      <w:r>
        <w:tab/>
        <w:t>A magistrate or justice of the peace who issues a warrant must cause a record to be made of particulars of the grounds that the magistrate or justice of the peace has relied on to justify the issue of the warrant.</w:t>
      </w:r>
    </w:p>
    <w:p>
      <w:pPr>
        <w:pStyle w:val="Footnotesection"/>
      </w:pPr>
      <w:r>
        <w:tab/>
        <w:t>[Section 18B inserted: No. 53 of 2004 s. 12.]</w:t>
      </w:r>
    </w:p>
    <w:p>
      <w:pPr>
        <w:pStyle w:val="Heading5"/>
      </w:pPr>
      <w:bookmarkStart w:id="40" w:name="_Toc209794938"/>
      <w:r>
        <w:rPr>
          <w:rStyle w:val="CharSectno"/>
        </w:rPr>
        <w:lastRenderedPageBreak/>
        <w:t>18C</w:t>
      </w:r>
      <w:r>
        <w:t>.</w:t>
      </w:r>
      <w:r>
        <w:tab/>
        <w:t>Execution of warrant</w:t>
      </w:r>
      <w:bookmarkEnd w:id="40"/>
      <w:r>
        <w:t xml:space="preserve"> </w:t>
      </w:r>
    </w:p>
    <w:p>
      <w:pPr>
        <w:pStyle w:val="Subsection"/>
      </w:pPr>
      <w:r>
        <w:tab/>
        <w:t>(1)</w:t>
      </w:r>
      <w:r>
        <w:tab/>
        <w:t>Entry authorised by a warrant under this Division may be made with such assistance and equipment as is considered necessary for the purpose for which entry is required.</w:t>
      </w:r>
    </w:p>
    <w:p>
      <w:pPr>
        <w:pStyle w:val="Subsection"/>
      </w:pPr>
      <w:r>
        <w:tab/>
        <w:t>(2)</w:t>
      </w:r>
      <w:r>
        <w:tab/>
        <w:t>If asked by the occupier or a person in charge of the premises or motor vehicle, the person executing a warrant must produce it for inspection.</w:t>
      </w:r>
    </w:p>
    <w:p>
      <w:pPr>
        <w:pStyle w:val="Subsection"/>
      </w:pPr>
      <w:r>
        <w:tab/>
        <w:t>(3)</w:t>
      </w:r>
      <w:r>
        <w:tab/>
        <w:t>When executing a warrant, the investigator may require any person, having the control or custody of any premises, motor vehicle or thing which the investigator is authorised to enter or inspect, to furnish reasonable access to it and to give other reasonable assistance.</w:t>
      </w:r>
    </w:p>
    <w:p>
      <w:pPr>
        <w:pStyle w:val="Subsection"/>
      </w:pPr>
      <w:r>
        <w:tab/>
        <w:t>(4)</w:t>
      </w:r>
      <w:r>
        <w:tab/>
        <w:t xml:space="preserve">A warrant ceases to have effect — </w:t>
      </w:r>
    </w:p>
    <w:p>
      <w:pPr>
        <w:pStyle w:val="Indenta"/>
      </w:pPr>
      <w:r>
        <w:tab/>
        <w:t>(a)</w:t>
      </w:r>
      <w:r>
        <w:tab/>
        <w:t>at the end of the period of one month after its issue; or</w:t>
      </w:r>
    </w:p>
    <w:p>
      <w:pPr>
        <w:pStyle w:val="Indenta"/>
      </w:pPr>
      <w:r>
        <w:tab/>
        <w:t>(b)</w:t>
      </w:r>
      <w:r>
        <w:tab/>
        <w:t>if it is withdrawn by the magistrate or justice of the peace who issued it; or</w:t>
      </w:r>
    </w:p>
    <w:p>
      <w:pPr>
        <w:pStyle w:val="Indenta"/>
      </w:pPr>
      <w:r>
        <w:tab/>
        <w:t>(c)</w:t>
      </w:r>
      <w:r>
        <w:tab/>
        <w:t>when it is executed,</w:t>
      </w:r>
    </w:p>
    <w:p>
      <w:pPr>
        <w:pStyle w:val="Subsection"/>
      </w:pPr>
      <w:r>
        <w:tab/>
      </w:r>
      <w:r>
        <w:tab/>
        <w:t>whichever occurs first.</w:t>
      </w:r>
    </w:p>
    <w:p>
      <w:pPr>
        <w:pStyle w:val="Footnotesection"/>
      </w:pPr>
      <w:r>
        <w:tab/>
        <w:t>[Section 18C inserted: No. 53 of 2004 s. 12.]</w:t>
      </w:r>
    </w:p>
    <w:p>
      <w:pPr>
        <w:pStyle w:val="Heading5"/>
      </w:pPr>
      <w:bookmarkStart w:id="41" w:name="_Toc209794939"/>
      <w:r>
        <w:rPr>
          <w:rStyle w:val="CharSectno"/>
        </w:rPr>
        <w:t>18D</w:t>
      </w:r>
      <w:r>
        <w:t>.</w:t>
      </w:r>
      <w:r>
        <w:tab/>
        <w:t>Seizure</w:t>
      </w:r>
      <w:bookmarkEnd w:id="41"/>
      <w:r>
        <w:t xml:space="preserve"> </w:t>
      </w:r>
    </w:p>
    <w:p>
      <w:pPr>
        <w:pStyle w:val="Subsection"/>
      </w:pPr>
      <w:r>
        <w:tab/>
        <w:t>(1)</w:t>
      </w:r>
      <w:r>
        <w:tab/>
        <w:t>An investigator may seize a document or other thing that is produced or given in response to a requirement under this Division, or that is found as the result of executing a warrant under this Division.</w:t>
      </w:r>
    </w:p>
    <w:p>
      <w:pPr>
        <w:pStyle w:val="Subsection"/>
      </w:pPr>
      <w:r>
        <w:tab/>
        <w:t>(2)</w:t>
      </w:r>
      <w:r>
        <w:tab/>
        <w:t xml:space="preserve">Despite subsection (1), a document or other thing cannot be seized unless the investigator reasonably suspects it — </w:t>
      </w:r>
    </w:p>
    <w:p>
      <w:pPr>
        <w:pStyle w:val="Indenta"/>
      </w:pPr>
      <w:r>
        <w:tab/>
        <w:t>(a)</w:t>
      </w:r>
      <w:r>
        <w:tab/>
        <w:t xml:space="preserve">is being, or has been, used to commit; or </w:t>
      </w:r>
    </w:p>
    <w:p>
      <w:pPr>
        <w:pStyle w:val="Indenta"/>
      </w:pPr>
      <w:r>
        <w:tab/>
        <w:t>(b)</w:t>
      </w:r>
      <w:r>
        <w:tab/>
        <w:t>may afford evidence of the commission of,</w:t>
      </w:r>
    </w:p>
    <w:p>
      <w:pPr>
        <w:pStyle w:val="Subsection"/>
      </w:pPr>
      <w:r>
        <w:lastRenderedPageBreak/>
        <w:tab/>
      </w:r>
      <w:r>
        <w:tab/>
        <w:t>a breach of this Act, a prescribed Act or prescribed part of an Act, the finance brokers code of conduct, or a licence condition.</w:t>
      </w:r>
    </w:p>
    <w:p>
      <w:pPr>
        <w:pStyle w:val="Subsection"/>
      </w:pPr>
      <w:r>
        <w:tab/>
        <w:t>(3)</w:t>
      </w:r>
      <w:r>
        <w:tab/>
        <w:t>As soon as practicable after the document or other thing is seized, the investigator is to give a receipt for it to the person from whom it was seized.</w:t>
      </w:r>
    </w:p>
    <w:p>
      <w:pPr>
        <w:pStyle w:val="Subsection"/>
      </w:pPr>
      <w:r>
        <w:tab/>
        <w:t>(4)</w:t>
      </w:r>
      <w:r>
        <w:tab/>
        <w:t xml:space="preserve">If, for any reason, it is not practicable to comply with subsection (3), the investigator is to — </w:t>
      </w:r>
    </w:p>
    <w:p>
      <w:pPr>
        <w:pStyle w:val="Indenta"/>
      </w:pPr>
      <w:r>
        <w:tab/>
        <w:t>(a)</w:t>
      </w:r>
      <w:r>
        <w:tab/>
        <w:t>leave the receipt at the place of seizure; and</w:t>
      </w:r>
    </w:p>
    <w:p>
      <w:pPr>
        <w:pStyle w:val="Indenta"/>
      </w:pPr>
      <w:r>
        <w:tab/>
        <w:t>(b)</w:t>
      </w:r>
      <w:r>
        <w:tab/>
        <w:t>ensure the receipt is left in a reasonably secure way and in a conspicuous position.</w:t>
      </w:r>
    </w:p>
    <w:p>
      <w:pPr>
        <w:pStyle w:val="Subsection"/>
      </w:pPr>
      <w:r>
        <w:tab/>
        <w:t>(5)</w:t>
      </w:r>
      <w:r>
        <w:tab/>
        <w:t xml:space="preserve">Where a document or other thing is seized pursuant to subsection (1) — </w:t>
      </w:r>
    </w:p>
    <w:p>
      <w:pPr>
        <w:pStyle w:val="Indenta"/>
      </w:pPr>
      <w:r>
        <w:tab/>
        <w:t>(a)</w:t>
      </w:r>
      <w:r>
        <w:tab/>
        <w:t>an investigator may retain the document or other thing so long as is reasonably necessary for the purposes of the investigation to which the document or other thing is relevant; and</w:t>
      </w:r>
    </w:p>
    <w:p>
      <w:pPr>
        <w:pStyle w:val="Indenta"/>
      </w:pPr>
      <w:r>
        <w:tab/>
        <w:t>(b)</w:t>
      </w:r>
      <w:r>
        <w:tab/>
        <w:t>when the retention of the document or other thing by the person ceases to be reasonably necessary for those purposes, the investigator shall cause the document or other thing to be delivered to the person who appears to the investigator to be entitled to possession of the document or other thing.</w:t>
      </w:r>
    </w:p>
    <w:p>
      <w:pPr>
        <w:pStyle w:val="Footnotesection"/>
      </w:pPr>
      <w:r>
        <w:tab/>
        <w:t>[Section 18D inserted: No. 53 of 2004 s. 12.]</w:t>
      </w:r>
    </w:p>
    <w:p>
      <w:pPr>
        <w:pStyle w:val="Heading5"/>
      </w:pPr>
      <w:bookmarkStart w:id="42" w:name="_Toc209794940"/>
      <w:r>
        <w:rPr>
          <w:rStyle w:val="CharSectno"/>
        </w:rPr>
        <w:t>18E</w:t>
      </w:r>
      <w:r>
        <w:t>.</w:t>
      </w:r>
      <w:r>
        <w:tab/>
        <w:t>Incriminating information, questions, or documents</w:t>
      </w:r>
      <w:bookmarkEnd w:id="42"/>
      <w:r>
        <w:t xml:space="preserve"> </w:t>
      </w:r>
    </w:p>
    <w:p>
      <w:pPr>
        <w:pStyle w:val="Subsection"/>
      </w:pPr>
      <w:r>
        <w:tab/>
      </w:r>
      <w:r>
        <w:tab/>
        <w:t xml:space="preserve">Without prejudice to the provisions of section 11 of the </w:t>
      </w:r>
      <w:r>
        <w:rPr>
          <w:i/>
        </w:rPr>
        <w:t>Evidence Act 1906</w:t>
      </w:r>
      <w:r>
        <w:t>, where under section 18 a person is required to — </w:t>
      </w:r>
    </w:p>
    <w:p>
      <w:pPr>
        <w:pStyle w:val="Indenta"/>
      </w:pPr>
      <w:r>
        <w:tab/>
        <w:t>(a)</w:t>
      </w:r>
      <w:r>
        <w:tab/>
        <w:t>give any information; or</w:t>
      </w:r>
    </w:p>
    <w:p>
      <w:pPr>
        <w:pStyle w:val="Indenta"/>
      </w:pPr>
      <w:r>
        <w:tab/>
        <w:t>(b)</w:t>
      </w:r>
      <w:r>
        <w:tab/>
        <w:t>answer any question; or</w:t>
      </w:r>
    </w:p>
    <w:p>
      <w:pPr>
        <w:pStyle w:val="Indenta"/>
      </w:pPr>
      <w:r>
        <w:tab/>
        <w:t>(c)</w:t>
      </w:r>
      <w:r>
        <w:tab/>
        <w:t>produce any document,</w:t>
      </w:r>
    </w:p>
    <w:p>
      <w:pPr>
        <w:pStyle w:val="Subsection"/>
      </w:pPr>
      <w:r>
        <w:lastRenderedPageBreak/>
        <w:tab/>
      </w:r>
      <w:r>
        <w:tab/>
        <w:t>that person cannot refuse to comply with that requirement on the ground that the information, answer, or document may tend to incriminate the person or render the person liable to any penalty, but the information or answer given, or document produced, by the person is not admissible as evidence in any proceedings against the person other than proceedings in respect of an offence against section 18F(1)(b).</w:t>
      </w:r>
    </w:p>
    <w:p>
      <w:pPr>
        <w:pStyle w:val="Footnotesection"/>
      </w:pPr>
      <w:r>
        <w:tab/>
        <w:t>[Section 18E inserted: No. 53 of 2004 s. 12.]</w:t>
      </w:r>
    </w:p>
    <w:p>
      <w:pPr>
        <w:pStyle w:val="Heading5"/>
      </w:pPr>
      <w:bookmarkStart w:id="43" w:name="_Toc209794941"/>
      <w:r>
        <w:rPr>
          <w:rStyle w:val="CharSectno"/>
        </w:rPr>
        <w:t>18F</w:t>
      </w:r>
      <w:r>
        <w:t>.</w:t>
      </w:r>
      <w:r>
        <w:tab/>
        <w:t>Failure to comply with investigation</w:t>
      </w:r>
      <w:bookmarkEnd w:id="43"/>
    </w:p>
    <w:p>
      <w:pPr>
        <w:pStyle w:val="Subsection"/>
      </w:pPr>
      <w:r>
        <w:tab/>
        <w:t>(1)</w:t>
      </w:r>
      <w:r>
        <w:tab/>
        <w:t>Where under section 18 a person is required to give any information, answer any question, or produce any document and that person, without reasonable excuse (proof of which lies on the person) — </w:t>
      </w:r>
    </w:p>
    <w:p>
      <w:pPr>
        <w:pStyle w:val="Indenta"/>
      </w:pPr>
      <w:r>
        <w:tab/>
        <w:t>(a)</w:t>
      </w:r>
      <w:r>
        <w:tab/>
        <w:t>fails to give that information or answer that question at or within the time specified in the requirement; or</w:t>
      </w:r>
    </w:p>
    <w:p>
      <w:pPr>
        <w:pStyle w:val="Indenta"/>
      </w:pPr>
      <w:r>
        <w:tab/>
        <w:t>(b)</w:t>
      </w:r>
      <w:r>
        <w:tab/>
        <w:t>gives any information or answer that is false in any particular; or</w:t>
      </w:r>
    </w:p>
    <w:p>
      <w:pPr>
        <w:pStyle w:val="Indenta"/>
      </w:pPr>
      <w:r>
        <w:tab/>
        <w:t>(c)</w:t>
      </w:r>
      <w:r>
        <w:tab/>
        <w:t>fails to produce that document at or within the time specified in the requirement,</w:t>
      </w:r>
    </w:p>
    <w:p>
      <w:pPr>
        <w:pStyle w:val="Subsection"/>
      </w:pPr>
      <w:r>
        <w:tab/>
      </w:r>
      <w:r>
        <w:tab/>
        <w:t>the person commits an offence.</w:t>
      </w:r>
    </w:p>
    <w:p>
      <w:pPr>
        <w:pStyle w:val="Penstart"/>
      </w:pPr>
      <w:r>
        <w:tab/>
        <w:t>Penalty: $2 000.</w:t>
      </w:r>
    </w:p>
    <w:p>
      <w:pPr>
        <w:pStyle w:val="Subsection"/>
      </w:pPr>
      <w:r>
        <w:tab/>
        <w:t>(2)</w:t>
      </w:r>
      <w:r>
        <w:tab/>
        <w:t>It is a defence in any proceeding for an offence under subsection (1)(a) or (c) for the accused to show — </w:t>
      </w:r>
    </w:p>
    <w:p>
      <w:pPr>
        <w:pStyle w:val="Indenta"/>
      </w:pPr>
      <w:r>
        <w:tab/>
        <w:t>(a)</w:t>
      </w:r>
      <w:r>
        <w:tab/>
        <w:t>that, in the case of an alleged offence arising out of a requirement made orally under section 18, the investigator did not, when making the requirement, inform the accused that he or she was required under this Act to give the information or answer the question, as the case may be; or</w:t>
      </w:r>
    </w:p>
    <w:p>
      <w:pPr>
        <w:pStyle w:val="Indenta"/>
      </w:pPr>
      <w:r>
        <w:tab/>
        <w:t>(b)</w:t>
      </w:r>
      <w:r>
        <w:tab/>
        <w:t xml:space="preserve">that, in the case of an alleged offence arising out of a requirement made by notice in writing under section 18, the notice did not state that he or she was required under </w:t>
      </w:r>
      <w:r>
        <w:lastRenderedPageBreak/>
        <w:t>this Act to give the information, answer the question, or produce the document, as the case may be; or</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18F inserted: No. 53 of 2004 s. 12; amended: No. 84 of 2004 s. 82.]</w:t>
      </w:r>
    </w:p>
    <w:p>
      <w:pPr>
        <w:pStyle w:val="Heading5"/>
      </w:pPr>
      <w:bookmarkStart w:id="44" w:name="_Toc209794942"/>
      <w:r>
        <w:rPr>
          <w:rStyle w:val="CharSectno"/>
        </w:rPr>
        <w:t>18G</w:t>
      </w:r>
      <w:r>
        <w:t>.</w:t>
      </w:r>
      <w:r>
        <w:tab/>
        <w:t>Obstruction of investigator</w:t>
      </w:r>
      <w:bookmarkEnd w:id="44"/>
    </w:p>
    <w:p>
      <w:pPr>
        <w:pStyle w:val="Subsection"/>
      </w:pPr>
      <w:r>
        <w:tab/>
        <w:t>(1)</w:t>
      </w:r>
      <w:r>
        <w:tab/>
        <w:t>A person must not prevent or attempt to prevent an investigator from entering premises in the exercise of his or her powers under section 18.</w:t>
      </w:r>
    </w:p>
    <w:p>
      <w:pPr>
        <w:pStyle w:val="Penstart"/>
      </w:pPr>
      <w:r>
        <w:tab/>
        <w:t>Penalty: $2 000.</w:t>
      </w:r>
    </w:p>
    <w:p>
      <w:pPr>
        <w:pStyle w:val="Subsection"/>
      </w:pPr>
      <w:r>
        <w:tab/>
        <w:t>(2)</w:t>
      </w:r>
      <w:r>
        <w:tab/>
        <w:t>A person must not obstruct or impede an investigator in the exercise of his or her powers under section 18.</w:t>
      </w:r>
    </w:p>
    <w:p>
      <w:pPr>
        <w:pStyle w:val="Penstart"/>
      </w:pPr>
      <w:r>
        <w:tab/>
        <w:t>Penalty: $2 000.</w:t>
      </w:r>
    </w:p>
    <w:p>
      <w:pPr>
        <w:pStyle w:val="Subsection"/>
      </w:pPr>
      <w:r>
        <w:tab/>
        <w:t>(3)</w:t>
      </w:r>
      <w:r>
        <w:tab/>
        <w:t>A person must comply with a requirement to furnish reasonable access to a place or motor vehicle, or to give other reasonable assistance to an investigator under section 18C(3).</w:t>
      </w:r>
    </w:p>
    <w:p>
      <w:pPr>
        <w:pStyle w:val="Penstart"/>
      </w:pPr>
      <w:r>
        <w:tab/>
        <w:t>Penalty: $2 000.</w:t>
      </w:r>
    </w:p>
    <w:p>
      <w:pPr>
        <w:pStyle w:val="Footnotesection"/>
      </w:pPr>
      <w:r>
        <w:tab/>
        <w:t>[Section 18G inserted: No. 53 of 2004 s. 12.]</w:t>
      </w:r>
    </w:p>
    <w:p>
      <w:pPr>
        <w:pStyle w:val="Heading5"/>
      </w:pPr>
      <w:bookmarkStart w:id="45" w:name="_Toc209794943"/>
      <w:r>
        <w:rPr>
          <w:rStyle w:val="CharSectno"/>
        </w:rPr>
        <w:t>18H</w:t>
      </w:r>
      <w:r>
        <w:t>.</w:t>
      </w:r>
      <w:r>
        <w:tab/>
        <w:t>Information</w:t>
      </w:r>
      <w:bookmarkEnd w:id="45"/>
    </w:p>
    <w:p>
      <w:pPr>
        <w:pStyle w:val="Subsection"/>
      </w:pPr>
      <w:r>
        <w:tab/>
        <w:t>(1)</w:t>
      </w:r>
      <w:r>
        <w:tab/>
        <w:t>Information obtained under this Division by an investigator may (for the purposes of section 88) be recorded, used, or disclosed on the basis that it has been acquired by the investigator for the purposes of this Act.</w:t>
      </w:r>
    </w:p>
    <w:p>
      <w:pPr>
        <w:pStyle w:val="Subsection"/>
      </w:pPr>
      <w:r>
        <w:lastRenderedPageBreak/>
        <w:tab/>
        <w:t>(2)</w:t>
      </w:r>
      <w:r>
        <w:tab/>
        <w:t>A document copied by an investigator under section 18(1)(d), or when executing a warrant, may be certified by that investigator as being a true and accurate copy of a document and, in the absence of proof to the contrary, any copy so certified is to be accepted by any court or tribunal as evidence of, and as having equal validity as, the original.</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18H inserted: No. 53 of 2004 s. 12.]</w:t>
      </w:r>
    </w:p>
    <w:p>
      <w:pPr>
        <w:pStyle w:val="Heading3"/>
        <w:spacing w:before="600"/>
      </w:pPr>
      <w:bookmarkStart w:id="46" w:name="_Toc209617807"/>
      <w:bookmarkStart w:id="47" w:name="_Toc209618826"/>
      <w:bookmarkStart w:id="48" w:name="_Toc209706824"/>
      <w:bookmarkStart w:id="49" w:name="_Toc209794944"/>
      <w:r>
        <w:rPr>
          <w:rStyle w:val="CharDivNo"/>
        </w:rPr>
        <w:t>Division 3</w:t>
      </w:r>
      <w:r>
        <w:t xml:space="preserve"> — </w:t>
      </w:r>
      <w:r>
        <w:rPr>
          <w:rStyle w:val="CharDivText"/>
        </w:rPr>
        <w:t>Review of decisions of the Commissioner</w:t>
      </w:r>
      <w:bookmarkEnd w:id="46"/>
      <w:bookmarkEnd w:id="47"/>
      <w:bookmarkEnd w:id="48"/>
      <w:bookmarkEnd w:id="49"/>
    </w:p>
    <w:p>
      <w:pPr>
        <w:pStyle w:val="Footnoteheading"/>
      </w:pPr>
      <w:r>
        <w:tab/>
        <w:t>[Heading inserted: No. 55 of 2004 s. 342; amended: No. 53 of 2004 s. 13.]</w:t>
      </w:r>
    </w:p>
    <w:p>
      <w:pPr>
        <w:pStyle w:val="Ednotesection"/>
      </w:pPr>
      <w:r>
        <w:t>[</w:t>
      </w:r>
      <w:r>
        <w:rPr>
          <w:b/>
          <w:bCs/>
        </w:rPr>
        <w:t>19</w:t>
      </w:r>
      <w:r>
        <w:rPr>
          <w:b/>
          <w:bCs/>
        </w:rPr>
        <w:noBreakHyphen/>
        <w:t>22.</w:t>
      </w:r>
      <w:r>
        <w:tab/>
        <w:t>Deleted: No. 55 of 2004 s. 343.]</w:t>
      </w:r>
    </w:p>
    <w:p>
      <w:pPr>
        <w:pStyle w:val="Heading5"/>
        <w:rPr>
          <w:snapToGrid w:val="0"/>
        </w:rPr>
      </w:pPr>
      <w:bookmarkStart w:id="50" w:name="_Toc209794945"/>
      <w:r>
        <w:rPr>
          <w:rStyle w:val="CharSectno"/>
        </w:rPr>
        <w:t>23</w:t>
      </w:r>
      <w:r>
        <w:t>.</w:t>
      </w:r>
      <w:r>
        <w:tab/>
      </w:r>
      <w:r>
        <w:rPr>
          <w:snapToGrid w:val="0"/>
        </w:rPr>
        <w:t>Application for review</w:t>
      </w:r>
      <w:bookmarkEnd w:id="50"/>
    </w:p>
    <w:p>
      <w:pPr>
        <w:pStyle w:val="Subsection"/>
        <w:rPr>
          <w:snapToGrid w:val="0"/>
        </w:rPr>
      </w:pPr>
      <w:r>
        <w:tab/>
        <w:t>(1)</w:t>
      </w:r>
      <w:r>
        <w:tab/>
      </w:r>
      <w:r>
        <w:rPr>
          <w:snapToGrid w:val="0"/>
        </w:rPr>
        <w:t>Any person aggrieved by a reviewable decision of the Commissioner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 </w:t>
      </w:r>
    </w:p>
    <w:p>
      <w:pPr>
        <w:pStyle w:val="Defpara"/>
      </w:pPr>
      <w:r>
        <w:tab/>
        <w:t>(a)</w:t>
      </w:r>
      <w:r>
        <w:tab/>
        <w:t>a person whose licence is affected by a reviewable decision or who, under Part III, applies for or objects to the grant of a licence or applies for or objects to the renewal of a licence; or</w:t>
      </w:r>
    </w:p>
    <w:p>
      <w:pPr>
        <w:pStyle w:val="Defpara"/>
      </w:pPr>
      <w:r>
        <w:tab/>
        <w:t>(b)</w:t>
      </w:r>
      <w:r>
        <w:tab/>
        <w:t>a person affected by a decision of the Commissioner under Part IV Division 2;</w:t>
      </w:r>
    </w:p>
    <w:p>
      <w:pPr>
        <w:pStyle w:val="Defstart"/>
      </w:pPr>
      <w:r>
        <w:rPr>
          <w:b/>
        </w:rPr>
        <w:tab/>
      </w:r>
      <w:r>
        <w:rPr>
          <w:rStyle w:val="CharDefText"/>
        </w:rPr>
        <w:t>reviewable decision</w:t>
      </w:r>
      <w:r>
        <w:t xml:space="preserve"> means — </w:t>
      </w:r>
    </w:p>
    <w:p>
      <w:pPr>
        <w:pStyle w:val="Defpara"/>
      </w:pPr>
      <w:r>
        <w:lastRenderedPageBreak/>
        <w:tab/>
        <w:t>(a)</w:t>
      </w:r>
      <w:r>
        <w:tab/>
        <w:t>a decision under Part III other than a determination of the form in which an application or objection is to be made;</w:t>
      </w:r>
    </w:p>
    <w:p>
      <w:pPr>
        <w:pStyle w:val="Defpara"/>
      </w:pPr>
      <w:r>
        <w:tab/>
        <w:t>(b)</w:t>
      </w:r>
      <w:r>
        <w:tab/>
        <w:t>a decision under Part IV Division 2 or section 82A(1).</w:t>
      </w:r>
    </w:p>
    <w:p>
      <w:pPr>
        <w:pStyle w:val="Footnotesection"/>
      </w:pPr>
      <w:r>
        <w:tab/>
        <w:t>[Section 23 inserted: No. 55 of 2004 s. 344; amended: No. 53 of 2004 s. 14.]</w:t>
      </w:r>
    </w:p>
    <w:p>
      <w:pPr>
        <w:pStyle w:val="Heading2"/>
      </w:pPr>
      <w:bookmarkStart w:id="51" w:name="_Toc209617809"/>
      <w:bookmarkStart w:id="52" w:name="_Toc209618828"/>
      <w:bookmarkStart w:id="53" w:name="_Toc209706826"/>
      <w:bookmarkStart w:id="54" w:name="_Toc209794946"/>
      <w:r>
        <w:rPr>
          <w:rStyle w:val="CharPartNo"/>
        </w:rPr>
        <w:lastRenderedPageBreak/>
        <w:t>Part III</w:t>
      </w:r>
      <w:r>
        <w:rPr>
          <w:rStyle w:val="CharDivNo"/>
        </w:rPr>
        <w:t> </w:t>
      </w:r>
      <w:r>
        <w:t>—</w:t>
      </w:r>
      <w:r>
        <w:rPr>
          <w:rStyle w:val="CharDivText"/>
        </w:rPr>
        <w:t> </w:t>
      </w:r>
      <w:r>
        <w:rPr>
          <w:rStyle w:val="CharPartText"/>
        </w:rPr>
        <w:t>Licensing</w:t>
      </w:r>
      <w:bookmarkEnd w:id="51"/>
      <w:bookmarkEnd w:id="52"/>
      <w:bookmarkEnd w:id="53"/>
      <w:bookmarkEnd w:id="54"/>
      <w:r>
        <w:rPr>
          <w:rStyle w:val="CharPartText"/>
        </w:rPr>
        <w:t xml:space="preserve"> </w:t>
      </w:r>
    </w:p>
    <w:p>
      <w:pPr>
        <w:pStyle w:val="Heading5"/>
        <w:rPr>
          <w:snapToGrid w:val="0"/>
        </w:rPr>
      </w:pPr>
      <w:bookmarkStart w:id="55" w:name="_Toc209794947"/>
      <w:r>
        <w:rPr>
          <w:rStyle w:val="CharSectno"/>
        </w:rPr>
        <w:t>24</w:t>
      </w:r>
      <w:r>
        <w:rPr>
          <w:snapToGrid w:val="0"/>
        </w:rPr>
        <w:t>.</w:t>
      </w:r>
      <w:r>
        <w:rPr>
          <w:snapToGrid w:val="0"/>
        </w:rPr>
        <w:tab/>
        <w:t>Application</w:t>
      </w:r>
      <w:bookmarkEnd w:id="55"/>
      <w:r>
        <w:rPr>
          <w:snapToGrid w:val="0"/>
        </w:rPr>
        <w:t xml:space="preserve"> </w:t>
      </w:r>
    </w:p>
    <w:p>
      <w:pPr>
        <w:pStyle w:val="Subsection"/>
      </w:pPr>
      <w:r>
        <w:tab/>
        <w:t>(1A)</w:t>
      </w:r>
      <w:r>
        <w:tab/>
        <w:t>Despite anything in this Act, on and after the referral day no application for a licence is to be made.</w:t>
      </w:r>
    </w:p>
    <w:p>
      <w:pPr>
        <w:pStyle w:val="Subsection"/>
        <w:rPr>
          <w:snapToGrid w:val="0"/>
        </w:rPr>
      </w:pPr>
      <w:r>
        <w:rPr>
          <w:snapToGrid w:val="0"/>
        </w:rPr>
        <w:tab/>
        <w:t>(1)</w:t>
      </w:r>
      <w:r>
        <w:rPr>
          <w:snapToGrid w:val="0"/>
        </w:rPr>
        <w:tab/>
        <w:t>An application for a licence shall be made in writing and in the manner prescribed and a form approved by the Commissioner and shall contain such information as is prescribed.</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spacing w:before="100"/>
      </w:pPr>
      <w:r>
        <w:tab/>
        <w:t>[Section 24 amended: No. 53 of 2004 s. 15; No. 55 of 2004 s. 345; No. 14 of 2010 s. 42.]</w:t>
      </w:r>
    </w:p>
    <w:p>
      <w:pPr>
        <w:pStyle w:val="Heading5"/>
        <w:spacing w:before="180"/>
        <w:rPr>
          <w:snapToGrid w:val="0"/>
        </w:rPr>
      </w:pPr>
      <w:bookmarkStart w:id="56" w:name="_Toc209794948"/>
      <w:r>
        <w:rPr>
          <w:rStyle w:val="CharSectno"/>
        </w:rPr>
        <w:t>25</w:t>
      </w:r>
      <w:r>
        <w:rPr>
          <w:snapToGrid w:val="0"/>
        </w:rPr>
        <w:t>.</w:t>
      </w:r>
      <w:r>
        <w:rPr>
          <w:snapToGrid w:val="0"/>
        </w:rPr>
        <w:tab/>
        <w:t>Objections</w:t>
      </w:r>
      <w:bookmarkEnd w:id="56"/>
      <w:r>
        <w:rPr>
          <w:snapToGrid w:val="0"/>
        </w:rPr>
        <w:t xml:space="preserve"> </w:t>
      </w:r>
    </w:p>
    <w:p>
      <w:pPr>
        <w:pStyle w:val="Subsection"/>
      </w:pPr>
      <w:r>
        <w:tab/>
        <w:t>(1A)</w:t>
      </w:r>
      <w:r>
        <w:tab/>
        <w:t>Despite anything in this Act, on and after the referral day no objection to the grant or renewal of a licence is to be made or determined.</w:t>
      </w:r>
    </w:p>
    <w:p>
      <w:pPr>
        <w:pStyle w:val="Subsection"/>
        <w:rPr>
          <w:snapToGrid w:val="0"/>
        </w:rPr>
      </w:pPr>
      <w:r>
        <w:rPr>
          <w:snapToGrid w:val="0"/>
        </w:rPr>
        <w:tab/>
        <w:t>(1)</w:t>
      </w:r>
      <w:r>
        <w:rPr>
          <w:snapToGrid w:val="0"/>
        </w:rPr>
        <w:tab/>
        <w:t>An objection to the grant</w:t>
      </w:r>
      <w:r>
        <w:t xml:space="preserve"> or renewal</w:t>
      </w:r>
      <w:r>
        <w:rPr>
          <w:snapToGrid w:val="0"/>
        </w:rPr>
        <w:t xml:space="preserve"> of a licence may be made by any person on the grounds that the applicant does not </w:t>
      </w:r>
      <w:r>
        <w:t>satisfy all the requirements</w:t>
      </w:r>
      <w:r>
        <w:rPr>
          <w:snapToGrid w:val="0"/>
        </w:rPr>
        <w:t xml:space="preserve"> under this Act for the grant </w:t>
      </w:r>
      <w:r>
        <w:t>or renewal</w:t>
      </w:r>
      <w:r>
        <w:rPr>
          <w:snapToGrid w:val="0"/>
        </w:rPr>
        <w:t xml:space="preserve"> of a licence.</w:t>
      </w:r>
    </w:p>
    <w:p>
      <w:pPr>
        <w:pStyle w:val="Subsection"/>
        <w:rPr>
          <w:snapToGrid w:val="0"/>
        </w:rPr>
      </w:pPr>
      <w:r>
        <w:rPr>
          <w:snapToGrid w:val="0"/>
        </w:rPr>
        <w:tab/>
        <w:t>(2)</w:t>
      </w:r>
      <w:r>
        <w:rPr>
          <w:snapToGrid w:val="0"/>
        </w:rPr>
        <w:tab/>
        <w:t xml:space="preserve">Any objection made shall be in writing and in a form and manner determined by the </w:t>
      </w:r>
      <w:r>
        <w:t>Commissioner</w:t>
      </w:r>
      <w:r>
        <w:rPr>
          <w:snapToGrid w:val="0"/>
        </w:rPr>
        <w:t xml:space="preserve"> and shall contain </w:t>
      </w:r>
      <w:r>
        <w:rPr>
          <w:snapToGrid w:val="0"/>
        </w:rPr>
        <w:lastRenderedPageBreak/>
        <w:t>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spacing w:before="120"/>
        <w:rPr>
          <w:snapToGrid w:val="0"/>
        </w:rPr>
      </w:pPr>
      <w:r>
        <w:rPr>
          <w:snapToGrid w:val="0"/>
        </w:rPr>
        <w:tab/>
        <w:t>(4)</w:t>
      </w:r>
      <w:r>
        <w:rPr>
          <w:snapToGrid w:val="0"/>
        </w:rPr>
        <w:tab/>
        <w:t>The Commissioner is to have regard to the rules of natural justice in so far as they are relevant to the determination of an objection.</w:t>
      </w:r>
    </w:p>
    <w:p>
      <w:pPr>
        <w:pStyle w:val="Subsection"/>
        <w:rPr>
          <w:snapToGrid w:val="0"/>
        </w:rPr>
      </w:pPr>
      <w:r>
        <w:rPr>
          <w:snapToGrid w:val="0"/>
        </w:rPr>
        <w:tab/>
        <w:t>(5)</w:t>
      </w:r>
      <w:r>
        <w:rPr>
          <w:snapToGrid w:val="0"/>
        </w:rPr>
        <w:tab/>
        <w:t>If an objection is found by the Commissioner to be frivolous or vexatious, the chief executive officer may recover, from the objector, any additional costs incurred as a debt in a court of competent jurisdiction.</w:t>
      </w:r>
    </w:p>
    <w:p>
      <w:pPr>
        <w:pStyle w:val="Footnotesection"/>
      </w:pPr>
      <w:r>
        <w:tab/>
        <w:t>[Section 25 amended: No. 53 of 2004 s. 16; No. 55 of 2004 s. 346; No. 14 of 2010 s. 43.]</w:t>
      </w:r>
    </w:p>
    <w:p>
      <w:pPr>
        <w:pStyle w:val="Heading5"/>
        <w:rPr>
          <w:snapToGrid w:val="0"/>
        </w:rPr>
      </w:pPr>
      <w:bookmarkStart w:id="57" w:name="_Toc209794949"/>
      <w:r>
        <w:rPr>
          <w:rStyle w:val="CharSectno"/>
        </w:rPr>
        <w:t>26</w:t>
      </w:r>
      <w:r>
        <w:rPr>
          <w:snapToGrid w:val="0"/>
        </w:rPr>
        <w:t>.</w:t>
      </w:r>
      <w:r>
        <w:rPr>
          <w:snapToGrid w:val="0"/>
        </w:rPr>
        <w:tab/>
        <w:t>Finance brokers to be licensed</w:t>
      </w:r>
      <w:bookmarkEnd w:id="57"/>
      <w:r>
        <w:rPr>
          <w:snapToGrid w:val="0"/>
        </w:rPr>
        <w:t xml:space="preserve"> </w:t>
      </w:r>
    </w:p>
    <w:p>
      <w:pPr>
        <w:pStyle w:val="Subsection"/>
      </w:pPr>
      <w:r>
        <w:tab/>
        <w:t>(1A)</w:t>
      </w:r>
      <w:r>
        <w:tab/>
        <w:t>On and after the referral day, subsection (1) has no effect.</w:t>
      </w:r>
    </w:p>
    <w:p>
      <w:pPr>
        <w:pStyle w:val="Subsection"/>
        <w:rPr>
          <w:snapToGrid w:val="0"/>
        </w:rPr>
      </w:pPr>
      <w:r>
        <w:rPr>
          <w:snapToGrid w:val="0"/>
        </w:rPr>
        <w:tab/>
        <w:t>(1)</w:t>
      </w:r>
      <w:r>
        <w:rPr>
          <w:snapToGrid w:val="0"/>
        </w:rPr>
        <w:tab/>
        <w:t>On and after the appointed day a person shall not carry on business, or by any means hold himself or itself out, as a finance broker unless he or it is licensed as such under this Act.</w:t>
      </w:r>
    </w:p>
    <w:p>
      <w:pPr>
        <w:pStyle w:val="Penstart"/>
        <w:rPr>
          <w:snapToGrid w:val="0"/>
        </w:rPr>
      </w:pPr>
      <w:r>
        <w:tab/>
        <w:t>Penalty: $50 000.</w:t>
      </w:r>
    </w:p>
    <w:p>
      <w:pPr>
        <w:pStyle w:val="Subsection"/>
        <w:rPr>
          <w:snapToGrid w:val="0"/>
        </w:rPr>
      </w:pPr>
      <w:r>
        <w:rPr>
          <w:snapToGrid w:val="0"/>
        </w:rPr>
        <w:tab/>
        <w:t>(2)</w:t>
      </w:r>
      <w:r>
        <w:rPr>
          <w:snapToGrid w:val="0"/>
        </w:rPr>
        <w:tab/>
        <w:t xml:space="preserve">In subsection (1) </w:t>
      </w:r>
      <w:r>
        <w:rPr>
          <w:rStyle w:val="CharDefText"/>
        </w:rPr>
        <w:t>appointed day</w:t>
      </w:r>
      <w:r>
        <w:rPr>
          <w:snapToGrid w:val="0"/>
        </w:rPr>
        <w:t xml:space="preserve"> means such day as is fixed by the Minister by notice published in the </w:t>
      </w:r>
      <w:r>
        <w:rPr>
          <w:i/>
          <w:snapToGrid w:val="0"/>
        </w:rPr>
        <w:t>Government Gazette</w:t>
      </w:r>
      <w:r>
        <w:rPr>
          <w:snapToGrid w:val="0"/>
        </w:rPr>
        <w:t xml:space="preserve"> to be the appointed day</w:t>
      </w:r>
      <w:r>
        <w:rPr>
          <w:snapToGrid w:val="0"/>
          <w:vertAlign w:val="superscript"/>
        </w:rPr>
        <w:t> 1</w:t>
      </w:r>
      <w:r>
        <w:rPr>
          <w:snapToGrid w:val="0"/>
        </w:rPr>
        <w:t xml:space="preserve"> for the purposes of that subsection.</w:t>
      </w:r>
    </w:p>
    <w:p>
      <w:pPr>
        <w:pStyle w:val="Footnotesection"/>
      </w:pPr>
      <w:r>
        <w:tab/>
        <w:t>[Section 26 amended: No. 56 of 1995 s. 23(1); No. 53 of 2004 s. 17; No. 14 of 2010 s. 44.]</w:t>
      </w:r>
    </w:p>
    <w:p>
      <w:pPr>
        <w:pStyle w:val="Heading5"/>
      </w:pPr>
      <w:bookmarkStart w:id="58" w:name="_Toc209794950"/>
      <w:r>
        <w:rPr>
          <w:rStyle w:val="CharSectno"/>
        </w:rPr>
        <w:t>27A</w:t>
      </w:r>
      <w:r>
        <w:t>.</w:t>
      </w:r>
      <w:r>
        <w:tab/>
        <w:t>No further grants of licences</w:t>
      </w:r>
      <w:bookmarkEnd w:id="58"/>
    </w:p>
    <w:p>
      <w:pPr>
        <w:pStyle w:val="Subsection"/>
      </w:pPr>
      <w:r>
        <w:tab/>
      </w:r>
      <w:r>
        <w:tab/>
        <w:t>Despite anything in this Act, on and after the referral day, no licences are to be granted under section 27, 28 or 29.</w:t>
      </w:r>
    </w:p>
    <w:p>
      <w:pPr>
        <w:pStyle w:val="Footnotesection"/>
      </w:pPr>
      <w:r>
        <w:tab/>
        <w:t>[Section 27A inserted: No. 14 of 2010 s. 45.]</w:t>
      </w:r>
    </w:p>
    <w:p>
      <w:pPr>
        <w:pStyle w:val="Heading5"/>
        <w:rPr>
          <w:snapToGrid w:val="0"/>
        </w:rPr>
      </w:pPr>
      <w:bookmarkStart w:id="59" w:name="_Toc209794951"/>
      <w:r>
        <w:rPr>
          <w:rStyle w:val="CharSectno"/>
        </w:rPr>
        <w:lastRenderedPageBreak/>
        <w:t>27</w:t>
      </w:r>
      <w:r>
        <w:rPr>
          <w:snapToGrid w:val="0"/>
        </w:rPr>
        <w:t>.</w:t>
      </w:r>
      <w:r>
        <w:rPr>
          <w:snapToGrid w:val="0"/>
        </w:rPr>
        <w:tab/>
        <w:t>Grant of licence to natural person</w:t>
      </w:r>
      <w:bookmarkEnd w:id="59"/>
      <w:r>
        <w:rPr>
          <w:snapToGrid w:val="0"/>
        </w:rPr>
        <w:t xml:space="preserve"> </w:t>
      </w:r>
    </w:p>
    <w:p>
      <w:pPr>
        <w:pStyle w:val="Subsection"/>
        <w:rPr>
          <w:snapToGrid w:val="0"/>
        </w:rPr>
      </w:pPr>
      <w:r>
        <w:rPr>
          <w:snapToGrid w:val="0"/>
        </w:rPr>
        <w:tab/>
        <w:t>(1)</w:t>
      </w:r>
      <w:r>
        <w:rPr>
          <w:snapToGrid w:val="0"/>
        </w:rPr>
        <w:tab/>
        <w:t xml:space="preserve">Subject to this Act, a person, not being a body corporate who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he is resident in the State; and</w:t>
      </w:r>
    </w:p>
    <w:p>
      <w:pPr>
        <w:pStyle w:val="Indenta"/>
        <w:rPr>
          <w:snapToGrid w:val="0"/>
        </w:rPr>
      </w:pPr>
      <w:r>
        <w:rPr>
          <w:snapToGrid w:val="0"/>
        </w:rPr>
        <w:tab/>
        <w:t>(b)</w:t>
      </w:r>
      <w:r>
        <w:rPr>
          <w:snapToGrid w:val="0"/>
        </w:rPr>
        <w:tab/>
        <w:t>he is of or over the age of 18 years; and</w:t>
      </w:r>
    </w:p>
    <w:p>
      <w:pPr>
        <w:pStyle w:val="Indenta"/>
        <w:rPr>
          <w:snapToGrid w:val="0"/>
        </w:rPr>
      </w:pPr>
      <w:r>
        <w:rPr>
          <w:snapToGrid w:val="0"/>
        </w:rPr>
        <w:tab/>
        <w:t>(c)</w:t>
      </w:r>
      <w:r>
        <w:rPr>
          <w:snapToGrid w:val="0"/>
        </w:rPr>
        <w:tab/>
        <w:t>he is a person of good character and repute; and</w:t>
      </w:r>
    </w:p>
    <w:p>
      <w:pPr>
        <w:pStyle w:val="Indenta"/>
      </w:pPr>
      <w:r>
        <w:tab/>
        <w:t>(ca)</w:t>
      </w:r>
      <w:r>
        <w:tab/>
        <w:t>he is a fit and proper person to hold a licence; and</w:t>
      </w:r>
    </w:p>
    <w:p>
      <w:pPr>
        <w:pStyle w:val="Indenta"/>
        <w:rPr>
          <w:snapToGrid w:val="0"/>
        </w:rPr>
      </w:pPr>
      <w:r>
        <w:rPr>
          <w:snapToGrid w:val="0"/>
        </w:rPr>
        <w:tab/>
        <w:t>(d)</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(e)</w:t>
      </w:r>
      <w:r>
        <w:rPr>
          <w:snapToGrid w:val="0"/>
        </w:rPr>
        <w:tab/>
        <w:t>he understands fully the duties and obligations imposed by this Act on finance brokers; and</w:t>
      </w:r>
    </w:p>
    <w:p>
      <w:pPr>
        <w:pStyle w:val="Indenta"/>
      </w:pPr>
      <w:r>
        <w:tab/>
        <w:t>(f)</w:t>
      </w:r>
      <w:r>
        <w:tab/>
        <w:t>he has such other qualifications and satisfies such other requirements (if any) as may be prescribed by the regulations.</w:t>
      </w:r>
    </w:p>
    <w:p>
      <w:pPr>
        <w:pStyle w:val="Ednotesubsection"/>
      </w:pPr>
      <w:r>
        <w:tab/>
        <w:t>[(2)</w:t>
      </w:r>
      <w:r>
        <w:tab/>
        <w:t>deleted]</w:t>
      </w:r>
    </w:p>
    <w:p>
      <w:pPr>
        <w:pStyle w:val="Footnotesection"/>
      </w:pPr>
      <w:r>
        <w:tab/>
        <w:t>[Section 27 amended: No. 53 of 2004 s. 18.]</w:t>
      </w:r>
    </w:p>
    <w:p>
      <w:pPr>
        <w:pStyle w:val="Heading5"/>
        <w:rPr>
          <w:snapToGrid w:val="0"/>
        </w:rPr>
      </w:pPr>
      <w:bookmarkStart w:id="60" w:name="_Toc209794952"/>
      <w:r>
        <w:rPr>
          <w:rStyle w:val="CharSectno"/>
        </w:rPr>
        <w:t>28</w:t>
      </w:r>
      <w:r>
        <w:rPr>
          <w:snapToGrid w:val="0"/>
        </w:rPr>
        <w:t>.</w:t>
      </w:r>
      <w:r>
        <w:rPr>
          <w:snapToGrid w:val="0"/>
        </w:rPr>
        <w:tab/>
        <w:t>Grant of licence to firm</w:t>
      </w:r>
      <w:bookmarkEnd w:id="60"/>
      <w:r>
        <w:rPr>
          <w:snapToGrid w:val="0"/>
        </w:rPr>
        <w:t xml:space="preserve"> </w:t>
      </w:r>
    </w:p>
    <w:p>
      <w:pPr>
        <w:pStyle w:val="Subsection"/>
        <w:rPr>
          <w:snapToGrid w:val="0"/>
        </w:rPr>
      </w:pPr>
      <w:r>
        <w:rPr>
          <w:snapToGrid w:val="0"/>
        </w:rPr>
        <w:tab/>
      </w:r>
      <w:r>
        <w:rPr>
          <w:snapToGrid w:val="0"/>
        </w:rPr>
        <w:tab/>
        <w:t xml:space="preserve">Subject to this Act, 2 or more persons constituting a firm who apply to the </w:t>
      </w:r>
      <w:r>
        <w:t>Commissioner for a licence and pay to the chief executive officer</w:t>
      </w:r>
      <w:r>
        <w:rPr>
          <w:snapToGrid w:val="0"/>
        </w:rPr>
        <w:t xml:space="preserve"> the prescribed fee for the licence shall be granted and may hold a licence if the </w:t>
      </w:r>
      <w:r>
        <w:t>Commissioner</w:t>
      </w:r>
      <w:r>
        <w:rPr>
          <w:snapToGrid w:val="0"/>
        </w:rPr>
        <w:t xml:space="preserve">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w:t>
      </w:r>
    </w:p>
    <w:p>
      <w:pPr>
        <w:pStyle w:val="Indenta"/>
      </w:pPr>
      <w:r>
        <w:lastRenderedPageBreak/>
        <w:tab/>
        <w:t>(aa)</w:t>
      </w:r>
      <w:r>
        <w:tab/>
        <w:t>all of the natural persons, if any, by whom the firm is constituted and all of the directors of, and all of the persons concerned in the management or control of, any body corporate by which the firm is constituted are persons fit to be concerned as directors of, or in the management and control of a finance broker’s business; and</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 and</w:t>
      </w:r>
    </w:p>
    <w:p>
      <w:pPr>
        <w:pStyle w:val="Indenta"/>
        <w:rPr>
          <w:snapToGrid w:val="0"/>
        </w:rPr>
      </w:pPr>
      <w:r>
        <w:rPr>
          <w:snapToGrid w:val="0"/>
        </w:rPr>
        <w:tab/>
        <w:t>(c)</w:t>
      </w:r>
      <w:r>
        <w:rPr>
          <w:snapToGrid w:val="0"/>
        </w:rPr>
        <w:tab/>
        <w:t xml:space="preserve">where the firm is constituted by not more than 3 persons at least one of them is licensed or where the firm is constituted by more than 3 persons at least 2 of them are licensed, and in either case the person in </w:t>
      </w:r>
      <w:r>
        <w:rPr>
          <w:i/>
          <w:snapToGrid w:val="0"/>
        </w:rPr>
        <w:t>bona fide</w:t>
      </w:r>
      <w:r>
        <w:rPr>
          <w:snapToGrid w:val="0"/>
        </w:rPr>
        <w:t xml:space="preserve"> control of the business operated under the licence is licensed; and</w:t>
      </w:r>
    </w:p>
    <w:p>
      <w:pPr>
        <w:pStyle w:val="Indenta"/>
      </w:pPr>
      <w:r>
        <w:tab/>
        <w:t>(d)</w:t>
      </w:r>
      <w:r>
        <w:tab/>
        <w:t>the person in bona fide control of the business has such other qualifications and satisfies such other requirements (if any) as may be prescribed by the regulations.</w:t>
      </w:r>
    </w:p>
    <w:p>
      <w:pPr>
        <w:pStyle w:val="Footnotesection"/>
      </w:pPr>
      <w:r>
        <w:tab/>
        <w:t>[Section 28 amended: No. 53 of 2004 s. 19.]</w:t>
      </w:r>
    </w:p>
    <w:p>
      <w:pPr>
        <w:pStyle w:val="Heading5"/>
        <w:rPr>
          <w:snapToGrid w:val="0"/>
        </w:rPr>
      </w:pPr>
      <w:bookmarkStart w:id="61" w:name="_Toc209794953"/>
      <w:r>
        <w:rPr>
          <w:rStyle w:val="CharSectno"/>
        </w:rPr>
        <w:t>29</w:t>
      </w:r>
      <w:r>
        <w:rPr>
          <w:snapToGrid w:val="0"/>
        </w:rPr>
        <w:t>.</w:t>
      </w:r>
      <w:r>
        <w:rPr>
          <w:snapToGrid w:val="0"/>
        </w:rPr>
        <w:tab/>
        <w:t>Grant of licence to body corporate</w:t>
      </w:r>
      <w:bookmarkEnd w:id="61"/>
      <w:r>
        <w:rPr>
          <w:snapToGrid w:val="0"/>
        </w:rPr>
        <w:t xml:space="preserve"> </w:t>
      </w:r>
    </w:p>
    <w:p>
      <w:pPr>
        <w:pStyle w:val="Subsection"/>
        <w:rPr>
          <w:snapToGrid w:val="0"/>
        </w:rPr>
      </w:pPr>
      <w:r>
        <w:rPr>
          <w:snapToGrid w:val="0"/>
        </w:rPr>
        <w:tab/>
        <w:t>(1)</w:t>
      </w:r>
      <w:r>
        <w:rPr>
          <w:snapToGrid w:val="0"/>
        </w:rPr>
        <w:tab/>
        <w:t xml:space="preserve">Subject to this Act, a body corporate which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w:t>
      </w:r>
    </w:p>
    <w:p>
      <w:pPr>
        <w:pStyle w:val="Indenta"/>
      </w:pPr>
      <w:r>
        <w:tab/>
        <w:t>(aa)</w:t>
      </w:r>
      <w:r>
        <w:tab/>
        <w:t xml:space="preserve">all of the directors of the body corporate, and all of the persons concerned in the management or conduct of the body corporate, are persons fit to be concerned as </w:t>
      </w:r>
      <w:r>
        <w:lastRenderedPageBreak/>
        <w:t>directors of, or in the management and control of a finance broker’s business; and</w:t>
      </w:r>
    </w:p>
    <w:p>
      <w:pPr>
        <w:pStyle w:val="Indenta"/>
        <w:rPr>
          <w:snapToGrid w:val="0"/>
        </w:rPr>
      </w:pPr>
      <w:r>
        <w:rPr>
          <w:snapToGrid w:val="0"/>
        </w:rPr>
        <w:tab/>
        <w:t>(b)</w:t>
      </w:r>
      <w:r>
        <w:rPr>
          <w:snapToGrid w:val="0"/>
        </w:rPr>
        <w:tab/>
        <w:t>that it has sufficient material and financial resources available to it to comply with the requirements of this Act; and</w:t>
      </w:r>
    </w:p>
    <w:p>
      <w:pPr>
        <w:pStyle w:val="Indenta"/>
        <w:rPr>
          <w:snapToGrid w:val="0"/>
        </w:rPr>
      </w:pPr>
      <w:r>
        <w:rPr>
          <w:snapToGrid w:val="0"/>
        </w:rPr>
        <w:tab/>
        <w:t>(c)</w:t>
      </w:r>
      <w:r>
        <w:rPr>
          <w:snapToGrid w:val="0"/>
        </w:rPr>
        <w:tab/>
        <w:t xml:space="preserve">where there are not more than 3 directors of the body corporate at least one of them is licensed or where there are more than 3 directors of the body corporate at least 2 of them are licensed, and in either case the person in </w:t>
      </w:r>
      <w:r>
        <w:rPr>
          <w:i/>
          <w:snapToGrid w:val="0"/>
        </w:rPr>
        <w:t>bona fide</w:t>
      </w:r>
      <w:r>
        <w:rPr>
          <w:snapToGrid w:val="0"/>
        </w:rPr>
        <w:t xml:space="preserve"> control of the business operated under the licence is licensed, or, where a declaration has been made pursuant to subsection (2) and is in force in respect of the body corporate, the officer in </w:t>
      </w:r>
      <w:r>
        <w:rPr>
          <w:i/>
          <w:snapToGrid w:val="0"/>
        </w:rPr>
        <w:t>bona fide</w:t>
      </w:r>
      <w:r>
        <w:rPr>
          <w:snapToGrid w:val="0"/>
        </w:rPr>
        <w:t xml:space="preserve"> control of the finance broker’s part of the business of the body corporate is licensed; and</w:t>
      </w:r>
    </w:p>
    <w:p>
      <w:pPr>
        <w:pStyle w:val="Indenta"/>
      </w:pPr>
      <w:r>
        <w:tab/>
        <w:t>(d)</w:t>
      </w:r>
      <w:r>
        <w:tab/>
        <w:t>that the person in bona fide control of the business, or the officer in bona fide control of the finance broker’s part of the business (as the case requires), has such other qualifications and satisfies such other requirements (if any) as may be prescribed by the regulations.</w:t>
      </w:r>
    </w:p>
    <w:p>
      <w:pPr>
        <w:pStyle w:val="Subsection"/>
        <w:rPr>
          <w:snapToGrid w:val="0"/>
        </w:rPr>
      </w:pPr>
      <w:r>
        <w:rPr>
          <w:snapToGrid w:val="0"/>
        </w:rPr>
        <w:tab/>
        <w:t>(2)</w:t>
      </w:r>
      <w:r>
        <w:rPr>
          <w:snapToGrid w:val="0"/>
        </w:rPr>
        <w:tab/>
        <w:t xml:space="preserve">Where the </w:t>
      </w:r>
      <w:r>
        <w:t>Commissioner</w:t>
      </w:r>
      <w:r>
        <w:rPr>
          <w:snapToGrid w:val="0"/>
        </w:rPr>
        <w:t xml:space="preserve"> is satisfied that finance broker’s business is a minor part of the business of any body corporate the </w:t>
      </w:r>
      <w:r>
        <w:t>Commissioner</w:t>
      </w:r>
      <w:r>
        <w:rPr>
          <w:snapToGrid w:val="0"/>
        </w:rPr>
        <w:t xml:space="preserve"> may recommend to the Minister that a declaration be made to that effect and the Minister may by notice published in the </w:t>
      </w:r>
      <w:r>
        <w:rPr>
          <w:i/>
          <w:snapToGrid w:val="0"/>
        </w:rPr>
        <w:t>Government Gazette</w:t>
      </w:r>
      <w:r>
        <w:rPr>
          <w:snapToGrid w:val="0"/>
        </w:rPr>
        <w:t xml:space="preserve"> make a declaration accordingly and the Minister may upon the recommendation of the </w:t>
      </w:r>
      <w:r>
        <w:t>Commissioner</w:t>
      </w:r>
      <w:r>
        <w:rPr>
          <w:snapToGrid w:val="0"/>
        </w:rPr>
        <w:t xml:space="preserve"> by notice so published revoke any such declaration.</w:t>
      </w:r>
    </w:p>
    <w:p>
      <w:pPr>
        <w:pStyle w:val="Footnotesection"/>
      </w:pPr>
      <w:r>
        <w:tab/>
        <w:t>[Section 29 amended: No. 53 of 2004 s. 20.]</w:t>
      </w:r>
    </w:p>
    <w:p>
      <w:pPr>
        <w:pStyle w:val="Heading5"/>
        <w:rPr>
          <w:snapToGrid w:val="0"/>
        </w:rPr>
      </w:pPr>
      <w:bookmarkStart w:id="62" w:name="_Toc209794954"/>
      <w:r>
        <w:rPr>
          <w:rStyle w:val="CharSectno"/>
        </w:rPr>
        <w:t>30</w:t>
      </w:r>
      <w:r>
        <w:rPr>
          <w:snapToGrid w:val="0"/>
        </w:rPr>
        <w:t>.</w:t>
      </w:r>
      <w:r>
        <w:rPr>
          <w:snapToGrid w:val="0"/>
        </w:rPr>
        <w:tab/>
        <w:t>Effect of licence</w:t>
      </w:r>
      <w:bookmarkEnd w:id="62"/>
      <w:r>
        <w:rPr>
          <w:snapToGrid w:val="0"/>
        </w:rPr>
        <w:t xml:space="preserve"> </w:t>
      </w:r>
    </w:p>
    <w:p>
      <w:pPr>
        <w:pStyle w:val="Subsection"/>
      </w:pPr>
      <w:r>
        <w:tab/>
        <w:t>(1A)</w:t>
      </w:r>
      <w:r>
        <w:tab/>
        <w:t>Despite anything in this Act, on the referral day every licence which has not already expired or been surrendered expires.</w:t>
      </w:r>
    </w:p>
    <w:p>
      <w:pPr>
        <w:pStyle w:val="Subsection"/>
        <w:rPr>
          <w:snapToGrid w:val="0"/>
        </w:rPr>
      </w:pPr>
      <w:r>
        <w:rPr>
          <w:snapToGrid w:val="0"/>
        </w:rPr>
        <w:lastRenderedPageBreak/>
        <w:tab/>
        <w:t>(1)</w:t>
      </w:r>
      <w:r>
        <w:rPr>
          <w:snapToGrid w:val="0"/>
        </w:rPr>
        <w:tab/>
        <w:t>Subject to this Act, a licence</w:t>
      </w:r>
      <w:r>
        <w:t xml:space="preserve"> continues for not longer than 3 years, or such other licence period as may be prescribed.</w:t>
      </w:r>
    </w:p>
    <w:p>
      <w:pPr>
        <w:pStyle w:val="Subsection"/>
        <w:rPr>
          <w:snapToGrid w:val="0"/>
        </w:rPr>
      </w:pPr>
      <w:r>
        <w:rPr>
          <w:snapToGrid w:val="0"/>
        </w:rPr>
        <w:tab/>
        <w:t>(2)</w:t>
      </w:r>
      <w:r>
        <w:rPr>
          <w:snapToGrid w:val="0"/>
        </w:rPr>
        <w:tab/>
        <w:t>If different classes of licence are prescribed, different licence periods, each not exceeding 3 years, may be prescribed for each or any class of licence.</w:t>
      </w:r>
    </w:p>
    <w:p>
      <w:pPr>
        <w:pStyle w:val="Subsection"/>
      </w:pPr>
      <w:r>
        <w:tab/>
        <w:t>(3)</w:t>
      </w:r>
      <w:r>
        <w:tab/>
        <w:t>A person may at any time surrender a licence, and must do so if the person ceases to satisfy the requirements for holding the licence.</w:t>
      </w:r>
    </w:p>
    <w:p>
      <w:pPr>
        <w:pStyle w:val="Ednotesubsection"/>
      </w:pPr>
      <w:r>
        <w:tab/>
        <w:t>[(4)</w:t>
      </w:r>
      <w:r>
        <w:tab/>
        <w:t>deleted]</w:t>
      </w:r>
    </w:p>
    <w:p>
      <w:pPr>
        <w:pStyle w:val="Subsection"/>
        <w:rPr>
          <w:snapToGrid w:val="0"/>
        </w:rPr>
      </w:pPr>
      <w:r>
        <w:tab/>
        <w:t>(5)</w:t>
      </w:r>
      <w:r>
        <w:tab/>
        <w:t xml:space="preserve">Despite the surrender by a person of a </w:t>
      </w:r>
      <w:r>
        <w:rPr>
          <w:snapToGrid w:val="0"/>
        </w:rPr>
        <w:t>licence, this Act applies, for the purpose of enabling the person to be investigated or otherwise dealt with for a matter arising before the surrender, as if the licence had not been surrendered.</w:t>
      </w:r>
    </w:p>
    <w:p>
      <w:pPr>
        <w:pStyle w:val="Footnotesection"/>
      </w:pPr>
      <w:r>
        <w:tab/>
        <w:t>[Section 30 amended: No. 56 of 1995 s. 18 and 23; No. 53 of 2004 s. 21; No. 55 of 2004 s. 347; No. 14 of 2010 s. 46; No. 14 of 2025 s. 22(2).]</w:t>
      </w:r>
    </w:p>
    <w:p>
      <w:pPr>
        <w:pStyle w:val="Heading5"/>
        <w:rPr>
          <w:snapToGrid w:val="0"/>
        </w:rPr>
      </w:pPr>
      <w:bookmarkStart w:id="63" w:name="_Toc209794955"/>
      <w:r>
        <w:rPr>
          <w:rStyle w:val="CharSectno"/>
        </w:rPr>
        <w:t>31</w:t>
      </w:r>
      <w:r>
        <w:rPr>
          <w:snapToGrid w:val="0"/>
        </w:rPr>
        <w:t>.</w:t>
      </w:r>
      <w:r>
        <w:rPr>
          <w:snapToGrid w:val="0"/>
        </w:rPr>
        <w:tab/>
        <w:t>Duration of licence</w:t>
      </w:r>
      <w:bookmarkEnd w:id="63"/>
      <w:r>
        <w:rPr>
          <w:snapToGrid w:val="0"/>
        </w:rPr>
        <w:t xml:space="preserve"> </w:t>
      </w:r>
    </w:p>
    <w:p>
      <w:pPr>
        <w:pStyle w:val="Subsection"/>
      </w:pPr>
      <w:r>
        <w:tab/>
        <w:t>(1)</w:t>
      </w:r>
      <w:r>
        <w:tab/>
        <w:t>Despite anything in this Act, on and after the referral day no licence is to be renewed under subsection (2).</w:t>
      </w:r>
    </w:p>
    <w:p>
      <w:pPr>
        <w:pStyle w:val="Subsection"/>
        <w:rPr>
          <w:snapToGrid w:val="0"/>
        </w:rPr>
      </w:pPr>
      <w:r>
        <w:rPr>
          <w:snapToGrid w:val="0"/>
        </w:rPr>
        <w:tab/>
        <w:t>(2)</w:t>
      </w:r>
      <w:r>
        <w:rPr>
          <w:snapToGrid w:val="0"/>
        </w:rPr>
        <w:tab/>
        <w:t xml:space="preserve">Subject to this Act, a </w:t>
      </w:r>
      <w:r>
        <w:t>licence</w:t>
      </w:r>
      <w:r>
        <w:rPr>
          <w:snapToGrid w:val="0"/>
        </w:rPr>
        <w:t xml:space="preserve"> may, on application and payment of the prescribed fee, be renewed from time to time for the</w:t>
      </w:r>
      <w:r>
        <w:t xml:space="preserve"> relevant period described in section 30.</w:t>
      </w:r>
    </w:p>
    <w:p>
      <w:pPr>
        <w:pStyle w:val="Footnotesection"/>
      </w:pPr>
      <w:r>
        <w:tab/>
        <w:t>[Section 31 amended: No. 56 of 1995 s. 19; No. 53 of 2004 s. 22; No. 14 of 2010 s. 47.]</w:t>
      </w:r>
    </w:p>
    <w:p>
      <w:pPr>
        <w:pStyle w:val="Heading5"/>
        <w:rPr>
          <w:snapToGrid w:val="0"/>
        </w:rPr>
      </w:pPr>
      <w:bookmarkStart w:id="64" w:name="_Toc209794956"/>
      <w:r>
        <w:rPr>
          <w:rStyle w:val="CharSectno"/>
        </w:rPr>
        <w:t>32</w:t>
      </w:r>
      <w:r>
        <w:rPr>
          <w:snapToGrid w:val="0"/>
        </w:rPr>
        <w:t>.</w:t>
      </w:r>
      <w:r>
        <w:rPr>
          <w:snapToGrid w:val="0"/>
        </w:rPr>
        <w:tab/>
        <w:t>Applications for renewals</w:t>
      </w:r>
      <w:bookmarkEnd w:id="64"/>
      <w:r>
        <w:rPr>
          <w:snapToGrid w:val="0"/>
        </w:rPr>
        <w:t xml:space="preserve"> </w:t>
      </w:r>
    </w:p>
    <w:p>
      <w:pPr>
        <w:pStyle w:val="Subsection"/>
      </w:pPr>
      <w:r>
        <w:tab/>
        <w:t>(1A)</w:t>
      </w:r>
      <w:r>
        <w:tab/>
        <w:t xml:space="preserve">Despite anything in this Act, on and after the referral day — </w:t>
      </w:r>
    </w:p>
    <w:p>
      <w:pPr>
        <w:pStyle w:val="Indenta"/>
      </w:pPr>
      <w:r>
        <w:tab/>
        <w:t>(a)</w:t>
      </w:r>
      <w:r>
        <w:tab/>
        <w:t>no application for the renewal of a licence is to be made; and</w:t>
      </w:r>
    </w:p>
    <w:p>
      <w:pPr>
        <w:pStyle w:val="Indenta"/>
      </w:pPr>
      <w:r>
        <w:tab/>
        <w:t>(b)</w:t>
      </w:r>
      <w:r>
        <w:tab/>
        <w:t>no licence is to be renewed.</w:t>
      </w:r>
    </w:p>
    <w:p>
      <w:pPr>
        <w:pStyle w:val="Subsection"/>
        <w:rPr>
          <w:snapToGrid w:val="0"/>
        </w:rPr>
      </w:pPr>
      <w:r>
        <w:rPr>
          <w:snapToGrid w:val="0"/>
        </w:rPr>
        <w:lastRenderedPageBreak/>
        <w:tab/>
        <w:t>(1)</w:t>
      </w:r>
      <w:r>
        <w:rPr>
          <w:snapToGrid w:val="0"/>
        </w:rPr>
        <w:tab/>
        <w:t>If — </w:t>
      </w:r>
    </w:p>
    <w:p>
      <w:pPr>
        <w:pStyle w:val="Indenta"/>
        <w:rPr>
          <w:snapToGrid w:val="0"/>
        </w:rPr>
      </w:pPr>
      <w:r>
        <w:rPr>
          <w:snapToGrid w:val="0"/>
        </w:rPr>
        <w:tab/>
        <w:t>(a)</w:t>
      </w:r>
      <w:r>
        <w:rPr>
          <w:snapToGrid w:val="0"/>
        </w:rPr>
        <w:tab/>
        <w:t xml:space="preserve">an application for renewal is made after, but within 28 days of, the day on which the </w:t>
      </w:r>
      <w:r>
        <w:t>licence</w:t>
      </w:r>
      <w:r>
        <w:rPr>
          <w:snapToGrid w:val="0"/>
        </w:rPr>
        <w:t xml:space="preserve"> expired; and</w:t>
      </w:r>
    </w:p>
    <w:p>
      <w:pPr>
        <w:pStyle w:val="Indenta"/>
        <w:keepNext/>
        <w:rPr>
          <w:snapToGrid w:val="0"/>
        </w:rPr>
      </w:pPr>
      <w:r>
        <w:rPr>
          <w:snapToGrid w:val="0"/>
        </w:rPr>
        <w:tab/>
        <w:t>(b)</w:t>
      </w:r>
      <w:r>
        <w:rPr>
          <w:snapToGrid w:val="0"/>
        </w:rPr>
        <w:tab/>
        <w:t>the prescribed fee and any amount prescribed by way of penalty for a late application are paid,</w:t>
      </w:r>
    </w:p>
    <w:p>
      <w:pPr>
        <w:pStyle w:val="Subsection"/>
        <w:rPr>
          <w:snapToGrid w:val="0"/>
        </w:rPr>
      </w:pPr>
      <w:r>
        <w:rPr>
          <w:snapToGrid w:val="0"/>
        </w:rPr>
        <w:tab/>
      </w:r>
      <w:r>
        <w:rPr>
          <w:snapToGrid w:val="0"/>
        </w:rPr>
        <w:tab/>
        <w:t xml:space="preserve">the </w:t>
      </w:r>
      <w:r>
        <w:t>licence</w:t>
      </w:r>
      <w:r>
        <w:rPr>
          <w:snapToGrid w:val="0"/>
        </w:rPr>
        <w:t xml:space="preserve"> may be renewed for the</w:t>
      </w:r>
      <w:r>
        <w:t xml:space="preserve"> relevant period described in section 30.</w:t>
      </w:r>
    </w:p>
    <w:p>
      <w:pPr>
        <w:pStyle w:val="Subsection"/>
        <w:rPr>
          <w:snapToGrid w:val="0"/>
        </w:rPr>
      </w:pPr>
      <w:r>
        <w:rPr>
          <w:snapToGrid w:val="0"/>
        </w:rPr>
        <w:tab/>
        <w:t>(1a)</w:t>
      </w:r>
      <w:r>
        <w:rPr>
          <w:snapToGrid w:val="0"/>
        </w:rPr>
        <w:tab/>
        <w:t xml:space="preserve">A renewal under subsection (1) shall be taken for all purposes to have taken effect on the day immediately succeeding the day on which the previous </w:t>
      </w:r>
      <w:r>
        <w:t>licence</w:t>
      </w:r>
      <w:r>
        <w:rPr>
          <w:snapToGrid w:val="0"/>
        </w:rPr>
        <w:t xml:space="preserve"> expired.</w:t>
      </w:r>
    </w:p>
    <w:p>
      <w:pPr>
        <w:pStyle w:val="Subsection"/>
        <w:rPr>
          <w:snapToGrid w:val="0"/>
        </w:rPr>
      </w:pPr>
      <w:r>
        <w:rPr>
          <w:snapToGrid w:val="0"/>
        </w:rPr>
        <w:tab/>
        <w:t>(2)</w:t>
      </w:r>
      <w:r>
        <w:rPr>
          <w:snapToGrid w:val="0"/>
        </w:rPr>
        <w:tab/>
        <w:t xml:space="preserve">An application for renewal shall be made in writing and in the manner prescribed and a form approved by the Commissioner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32 amended: No. 56 of 1995 s. 20; No. 53 of 2004 s. 23; No. 55 of 2004 s. 348; No. 14 of 2010 s. 48.]</w:t>
      </w:r>
    </w:p>
    <w:p>
      <w:pPr>
        <w:pStyle w:val="Heading5"/>
      </w:pPr>
      <w:bookmarkStart w:id="65" w:name="_Toc209794957"/>
      <w:r>
        <w:rPr>
          <w:rStyle w:val="CharSectno"/>
        </w:rPr>
        <w:t>33</w:t>
      </w:r>
      <w:r>
        <w:t>.</w:t>
      </w:r>
      <w:r>
        <w:tab/>
        <w:t>Refusal to renew</w:t>
      </w:r>
      <w:bookmarkEnd w:id="65"/>
    </w:p>
    <w:p>
      <w:pPr>
        <w:pStyle w:val="Subsection"/>
        <w:rPr>
          <w:snapToGrid w:val="0"/>
        </w:rPr>
      </w:pPr>
      <w:r>
        <w:rPr>
          <w:snapToGrid w:val="0"/>
        </w:rPr>
        <w:tab/>
      </w:r>
      <w:r>
        <w:rPr>
          <w:snapToGrid w:val="0"/>
        </w:rPr>
        <w:tab/>
        <w:t xml:space="preserve">The Commissioner may refuse to renew a person’s licence if — </w:t>
      </w:r>
    </w:p>
    <w:p>
      <w:pPr>
        <w:pStyle w:val="Indenta"/>
        <w:rPr>
          <w:snapToGrid w:val="0"/>
        </w:rPr>
      </w:pPr>
      <w:r>
        <w:rPr>
          <w:snapToGrid w:val="0"/>
        </w:rPr>
        <w:tab/>
        <w:t>(a)</w:t>
      </w:r>
      <w:r>
        <w:rPr>
          <w:snapToGrid w:val="0"/>
        </w:rPr>
        <w:tab/>
        <w:t>the applicant is no longer able to satisfy the requirements for an initial grant of a licence of that class; or</w:t>
      </w:r>
    </w:p>
    <w:p>
      <w:pPr>
        <w:pStyle w:val="Indenta"/>
        <w:rPr>
          <w:snapToGrid w:val="0"/>
        </w:rPr>
      </w:pPr>
      <w:r>
        <w:rPr>
          <w:snapToGrid w:val="0"/>
        </w:rPr>
        <w:lastRenderedPageBreak/>
        <w:tab/>
        <w:t>(b)</w:t>
      </w:r>
      <w:r>
        <w:rPr>
          <w:snapToGrid w:val="0"/>
        </w:rPr>
        <w:tab/>
        <w:t>the applicant has not met further prescribed educational requirements (if any).</w:t>
      </w:r>
    </w:p>
    <w:p>
      <w:pPr>
        <w:pStyle w:val="Footnotesection"/>
      </w:pPr>
      <w:r>
        <w:tab/>
        <w:t>[Section 33 inserted: No. 53 of 2004 s. 24.]</w:t>
      </w:r>
    </w:p>
    <w:p>
      <w:pPr>
        <w:pStyle w:val="Heading5"/>
        <w:rPr>
          <w:snapToGrid w:val="0"/>
        </w:rPr>
      </w:pPr>
      <w:bookmarkStart w:id="66" w:name="_Toc209794958"/>
      <w:r>
        <w:rPr>
          <w:rStyle w:val="CharSectno"/>
        </w:rPr>
        <w:t>34</w:t>
      </w:r>
      <w:r>
        <w:rPr>
          <w:snapToGrid w:val="0"/>
        </w:rPr>
        <w:t>.</w:t>
      </w:r>
      <w:r>
        <w:rPr>
          <w:snapToGrid w:val="0"/>
        </w:rPr>
        <w:tab/>
        <w:t>Conditions on licences</w:t>
      </w:r>
      <w:bookmarkEnd w:id="66"/>
    </w:p>
    <w:p>
      <w:pPr>
        <w:pStyle w:val="Subsection"/>
        <w:rPr>
          <w:snapToGrid w:val="0"/>
        </w:rPr>
      </w:pPr>
      <w:r>
        <w:rPr>
          <w:snapToGrid w:val="0"/>
        </w:rPr>
        <w:tab/>
        <w:t>(1)</w:t>
      </w:r>
      <w:r>
        <w:rPr>
          <w:snapToGrid w:val="0"/>
        </w:rPr>
        <w:tab/>
        <w:t xml:space="preserve">A licensee </w:t>
      </w:r>
      <w:r>
        <w:t>must until the referral day</w:t>
      </w:r>
      <w:r>
        <w:rPr>
          <w:snapToGrid w:val="0"/>
        </w:rPr>
        <w:t xml:space="preserve"> comply with the provisions of this Act and the finance brokers code of conduct.</w:t>
      </w:r>
    </w:p>
    <w:p>
      <w:pPr>
        <w:pStyle w:val="Subsection"/>
        <w:rPr>
          <w:snapToGrid w:val="0"/>
        </w:rPr>
      </w:pPr>
      <w:r>
        <w:rPr>
          <w:snapToGrid w:val="0"/>
        </w:rPr>
        <w:tab/>
        <w:t>(2)</w:t>
      </w:r>
      <w:r>
        <w:rPr>
          <w:snapToGrid w:val="0"/>
        </w:rPr>
        <w:tab/>
        <w:t>The Commissioner may grant or renew a licence subject to such conditions as the Commissioner thinks fit and, without limiting the generality of the foregoing any of those conditions may relate to the holding of a policy of indemnity insurance in a specified amount.</w:t>
      </w:r>
    </w:p>
    <w:p>
      <w:pPr>
        <w:pStyle w:val="Subsection"/>
        <w:rPr>
          <w:snapToGrid w:val="0"/>
        </w:rPr>
      </w:pPr>
      <w:r>
        <w:rPr>
          <w:snapToGrid w:val="0"/>
        </w:rPr>
        <w:tab/>
        <w:t>(3)</w:t>
      </w:r>
      <w:r>
        <w:rPr>
          <w:snapToGrid w:val="0"/>
        </w:rPr>
        <w:tab/>
        <w:t xml:space="preserve">A licensee </w:t>
      </w:r>
      <w:r>
        <w:t>must until the referral day</w:t>
      </w:r>
      <w:r>
        <w:rPr>
          <w:snapToGrid w:val="0"/>
        </w:rPr>
        <w:t xml:space="preserve"> comply with any condition to which under subsection (2) his licence is subject.</w:t>
      </w:r>
    </w:p>
    <w:p>
      <w:pPr>
        <w:pStyle w:val="Subsection"/>
      </w:pPr>
      <w:r>
        <w:tab/>
        <w:t>(4)</w:t>
      </w:r>
      <w:r>
        <w:tab/>
      </w:r>
      <w:r>
        <w:rPr>
          <w:snapToGrid w:val="0"/>
        </w:rPr>
        <w:t>A condition to which a licence is subject may be varied or revoked by the Commissioner, upon the application of the licensee, or on the Commissioner’s own motion.</w:t>
      </w:r>
    </w:p>
    <w:p>
      <w:pPr>
        <w:pStyle w:val="Subsection"/>
      </w:pPr>
      <w:r>
        <w:tab/>
        <w:t>(5)</w:t>
      </w:r>
      <w:r>
        <w:tab/>
        <w:t>No condition to which a licence is subject may be varied or revoked under subsection (4) on or after the referral day.</w:t>
      </w:r>
    </w:p>
    <w:p>
      <w:pPr>
        <w:pStyle w:val="Footnotesection"/>
      </w:pPr>
      <w:r>
        <w:tab/>
        <w:t>[Section 34 amended: No. 56 of 1995 s. 23; No. 53 of 2004 s. 25; No. 55 of 2004 s. 350; No. 14 of 2010 s. 49.]</w:t>
      </w:r>
    </w:p>
    <w:p>
      <w:pPr>
        <w:pStyle w:val="Ednotesection"/>
      </w:pPr>
      <w:r>
        <w:t>[</w:t>
      </w:r>
      <w:r>
        <w:rPr>
          <w:b/>
          <w:bCs/>
        </w:rPr>
        <w:t>34A.</w:t>
      </w:r>
      <w:r>
        <w:tab/>
        <w:t>Deleted: No. 53 of 2004 s. 26.]</w:t>
      </w:r>
    </w:p>
    <w:p>
      <w:pPr>
        <w:pStyle w:val="Heading5"/>
      </w:pPr>
      <w:bookmarkStart w:id="67" w:name="_Toc209794959"/>
      <w:r>
        <w:rPr>
          <w:rStyle w:val="CharSectno"/>
        </w:rPr>
        <w:t>34B</w:t>
      </w:r>
      <w:r>
        <w:t>.</w:t>
      </w:r>
      <w:r>
        <w:tab/>
        <w:t>Suspension of licence by State Administrative Tribunal</w:t>
      </w:r>
      <w:bookmarkEnd w:id="67"/>
    </w:p>
    <w:p>
      <w:pPr>
        <w:pStyle w:val="Subsection"/>
      </w:pPr>
      <w:r>
        <w:tab/>
        <w:t>(1)</w:t>
      </w:r>
      <w:r>
        <w:tab/>
        <w:t>Where the State Administrative Tribunal makes an order against a licensee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pPr>
      <w:r>
        <w:lastRenderedPageBreak/>
        <w:tab/>
        <w:t>(2)</w:t>
      </w:r>
      <w:r>
        <w:tab/>
        <w:t xml:space="preserve">The power conferred on the State Administrative Tribunal by subsection (1) is in addition </w:t>
      </w:r>
      <w:r>
        <w:rPr>
          <w:snapToGrid w:val="0"/>
        </w:rPr>
        <w:t xml:space="preserve">to, and does not derogate from, </w:t>
      </w:r>
      <w:r>
        <w:t xml:space="preserve">the powers conferred on it by Part IV Division 3 or by the </w:t>
      </w:r>
      <w:r>
        <w:rPr>
          <w:i/>
        </w:rPr>
        <w:t>State Administrative Tribunal Act 2004</w:t>
      </w:r>
      <w:r>
        <w:t>.</w:t>
      </w:r>
    </w:p>
    <w:p>
      <w:pPr>
        <w:pStyle w:val="Footnotesection"/>
      </w:pPr>
      <w:r>
        <w:tab/>
        <w:t>[Section 34B inserted: No. 55 of 2004 s. 351.]</w:t>
      </w:r>
    </w:p>
    <w:p>
      <w:pPr>
        <w:pStyle w:val="Heading5"/>
        <w:rPr>
          <w:snapToGrid w:val="0"/>
        </w:rPr>
      </w:pPr>
      <w:bookmarkStart w:id="68" w:name="_Toc209794960"/>
      <w:r>
        <w:rPr>
          <w:rStyle w:val="CharSectno"/>
        </w:rPr>
        <w:t>35</w:t>
      </w:r>
      <w:r>
        <w:rPr>
          <w:snapToGrid w:val="0"/>
        </w:rPr>
        <w:t>.</w:t>
      </w:r>
      <w:r>
        <w:rPr>
          <w:snapToGrid w:val="0"/>
        </w:rPr>
        <w:tab/>
        <w:t>Bond or guarantee in respect of licence</w:t>
      </w:r>
      <w:bookmarkEnd w:id="68"/>
    </w:p>
    <w:p>
      <w:pPr>
        <w:pStyle w:val="Subsection"/>
        <w:rPr>
          <w:snapToGrid w:val="0"/>
        </w:rPr>
      </w:pPr>
      <w:r>
        <w:rPr>
          <w:snapToGrid w:val="0"/>
        </w:rPr>
        <w:tab/>
        <w:t>(1)</w:t>
      </w:r>
      <w:r>
        <w:rPr>
          <w:snapToGrid w:val="0"/>
        </w:rPr>
        <w:tab/>
        <w:t xml:space="preserve">The </w:t>
      </w:r>
      <w:r>
        <w:t>Commissioner</w:t>
      </w:r>
      <w:r>
        <w:rPr>
          <w:snapToGrid w:val="0"/>
        </w:rPr>
        <w:t xml:space="preserve"> shall not grant or renew a </w:t>
      </w:r>
      <w:r>
        <w:t>licence</w:t>
      </w:r>
      <w:r>
        <w:rPr>
          <w:snapToGrid w:val="0"/>
        </w:rPr>
        <w:t xml:space="preserve"> unless the applicant lodges or has lodged with the </w:t>
      </w:r>
      <w:r>
        <w:t>Commissioner</w:t>
      </w:r>
      <w:r>
        <w:rPr>
          <w:snapToGrid w:val="0"/>
        </w:rPr>
        <w:t xml:space="preserve"> a bond or guarantee to Her Majesty and her successors in an approved form and in an amount approved in respect of the applicant, entered into by an insurance company carrying on business under, and in accordance with </w:t>
      </w:r>
      <w:r>
        <w:t xml:space="preserve">the </w:t>
      </w:r>
      <w:r>
        <w:rPr>
          <w:i/>
        </w:rPr>
        <w:t>Insurance Act 1973</w:t>
      </w:r>
      <w:r>
        <w:rPr>
          <w:iCs/>
        </w:rPr>
        <w:t xml:space="preserve"> </w:t>
      </w:r>
      <w:r>
        <w:rPr>
          <w:iCs/>
          <w:snapToGrid w:val="0"/>
        </w:rPr>
        <w:t xml:space="preserve">of </w:t>
      </w:r>
      <w:r>
        <w:rPr>
          <w:snapToGrid w:val="0"/>
        </w:rPr>
        <w:t xml:space="preserve">the Parliament of the Commonwealth, or by a bank carrying on business under, and in accordance with the </w:t>
      </w:r>
      <w:r>
        <w:rPr>
          <w:i/>
          <w:snapToGrid w:val="0"/>
        </w:rPr>
        <w:t>Banking Act 1959</w:t>
      </w:r>
      <w:r>
        <w:rPr>
          <w:snapToGrid w:val="0"/>
        </w:rPr>
        <w:t xml:space="preserve"> of the Parliament of the Commonwealth, or any other Act in amendment or substitution of those Acts respectively, or by other approved surety or sureties, or by other approved guarantor or guarantors.</w:t>
      </w:r>
    </w:p>
    <w:p>
      <w:pPr>
        <w:pStyle w:val="Subsection"/>
        <w:rPr>
          <w:snapToGrid w:val="0"/>
        </w:rPr>
      </w:pPr>
      <w:r>
        <w:rPr>
          <w:snapToGrid w:val="0"/>
        </w:rPr>
        <w:tab/>
        <w:t>(2)</w:t>
      </w:r>
      <w:r>
        <w:rPr>
          <w:snapToGrid w:val="0"/>
        </w:rPr>
        <w:tab/>
        <w:t xml:space="preserve">A bond or guarantee lodged pursuant to this section shall be conditioned on the licensee duly and according to law paying, applying, and accounting for moneys coming to his hands and punctually complying with all duties and obligations imposed on him by law in relation to those moneys; and the bond or guarantee shall provide that it enures during the term of the </w:t>
      </w:r>
      <w:r>
        <w:t>licence</w:t>
      </w:r>
      <w:r>
        <w:rPr>
          <w:snapToGrid w:val="0"/>
        </w:rPr>
        <w:t xml:space="preserve"> for which it is originally given and may also provide that it enures during the term of any </w:t>
      </w:r>
      <w:r>
        <w:t>licence</w:t>
      </w:r>
      <w:r>
        <w:rPr>
          <w:snapToGrid w:val="0"/>
        </w:rPr>
        <w:t xml:space="preserve"> to the same person granted in renewal of the </w:t>
      </w:r>
      <w:r>
        <w:t>licence</w:t>
      </w:r>
      <w:r>
        <w:rPr>
          <w:snapToGrid w:val="0"/>
        </w:rPr>
        <w:t>.</w:t>
      </w:r>
    </w:p>
    <w:p>
      <w:pPr>
        <w:pStyle w:val="Subsection"/>
        <w:rPr>
          <w:snapToGrid w:val="0"/>
        </w:rPr>
      </w:pPr>
      <w:r>
        <w:rPr>
          <w:snapToGrid w:val="0"/>
        </w:rPr>
        <w:tab/>
        <w:t>(3)</w:t>
      </w:r>
      <w:r>
        <w:rPr>
          <w:snapToGrid w:val="0"/>
        </w:rPr>
        <w:tab/>
        <w:t xml:space="preserve">Where a bond or guarantee enures in respect of the renewal or further renewal of a </w:t>
      </w:r>
      <w:r>
        <w:t>licence</w:t>
      </w:r>
      <w:r>
        <w:rPr>
          <w:snapToGrid w:val="0"/>
        </w:rPr>
        <w:t xml:space="preserve">, the insurance company, surety, or sureties, or the bank, guarantor, or guarantors may by notice in writing given to the </w:t>
      </w:r>
      <w:r>
        <w:t>Commissioner</w:t>
      </w:r>
      <w:r>
        <w:rPr>
          <w:snapToGrid w:val="0"/>
        </w:rPr>
        <w:t xml:space="preserve"> determine its, his, or their liability under the bond or guarantee in respect of any act or default that may be done or made after the current </w:t>
      </w:r>
      <w:r>
        <w:t>licence</w:t>
      </w:r>
      <w:r>
        <w:rPr>
          <w:snapToGrid w:val="0"/>
        </w:rPr>
        <w:t xml:space="preserve"> expires and the </w:t>
      </w:r>
      <w:r>
        <w:t>Commissioner</w:t>
      </w:r>
      <w:r>
        <w:rPr>
          <w:snapToGrid w:val="0"/>
        </w:rPr>
        <w:t xml:space="preserve"> shall not renew the licence until </w:t>
      </w:r>
      <w:r>
        <w:rPr>
          <w:snapToGrid w:val="0"/>
        </w:rPr>
        <w:lastRenderedPageBreak/>
        <w:t>another approved bond or guarantee has been lodged by the applicant.</w:t>
      </w:r>
    </w:p>
    <w:p>
      <w:pPr>
        <w:pStyle w:val="Subsection"/>
        <w:rPr>
          <w:snapToGrid w:val="0"/>
        </w:rPr>
      </w:pPr>
      <w:r>
        <w:rPr>
          <w:snapToGrid w:val="0"/>
        </w:rPr>
        <w:tab/>
        <w:t>(4)</w:t>
      </w:r>
      <w:r>
        <w:rPr>
          <w:snapToGrid w:val="0"/>
        </w:rPr>
        <w:tab/>
        <w:t>Where, at any time during the currency of a</w:t>
      </w:r>
      <w:r>
        <w:t xml:space="preserve"> licence</w:t>
      </w:r>
      <w:r>
        <w:rPr>
          <w:snapToGrid w:val="0"/>
        </w:rPr>
        <w:t xml:space="preserve">, the bond or guarantee lodged in respect of it ceases to be of full force and effect, the </w:t>
      </w:r>
      <w:r>
        <w:t>person who held the licence</w:t>
      </w:r>
      <w:r>
        <w:rPr>
          <w:snapToGrid w:val="0"/>
        </w:rPr>
        <w:t xml:space="preserve"> is deemed not to be the holder of a </w:t>
      </w:r>
      <w:r>
        <w:t>licence</w:t>
      </w:r>
      <w:r>
        <w:rPr>
          <w:snapToGrid w:val="0"/>
        </w:rPr>
        <w:t xml:space="preserve"> until another approved bond or guarantee is lodged by him.</w:t>
      </w:r>
    </w:p>
    <w:p>
      <w:pPr>
        <w:pStyle w:val="Subsection"/>
        <w:rPr>
          <w:snapToGrid w:val="0"/>
        </w:rPr>
      </w:pPr>
      <w:r>
        <w:rPr>
          <w:snapToGrid w:val="0"/>
        </w:rPr>
        <w:tab/>
        <w:t>(5)</w:t>
      </w:r>
      <w:r>
        <w:rPr>
          <w:snapToGrid w:val="0"/>
        </w:rPr>
        <w:tab/>
        <w:t xml:space="preserve">The State Administrative Tribunal may, on the application of the </w:t>
      </w:r>
      <w:r>
        <w:t>Commissioner</w:t>
      </w:r>
      <w:r>
        <w:rPr>
          <w:snapToGrid w:val="0"/>
        </w:rPr>
        <w:t xml:space="preserve"> and on being satisfied that any condition of the bond or guarantee has been broken, assign the moneys recoverable on the bond or guarantee to the </w:t>
      </w:r>
      <w:r>
        <w:t>Commissioner</w:t>
      </w:r>
      <w:r>
        <w:rPr>
          <w:snapToGrid w:val="0"/>
        </w:rPr>
        <w:t xml:space="preserve"> or to any other person and the </w:t>
      </w:r>
      <w:r>
        <w:t>Commissioner</w:t>
      </w:r>
      <w:r>
        <w:rPr>
          <w:snapToGrid w:val="0"/>
        </w:rPr>
        <w:t xml:space="preserve"> or any other person to whom such an assignment has been made or the executors or administrators of the estate of that other person is, upon the assignment, entitled to sue upon the bond or guarantee in their own name or names, as if the bond or guarantee had, in the first instance, been given to him, or them and is entitled to receive, as trustees for all persons interested, the full amount recoverable in respect of the breach of a condition of the bond or guarantee.</w:t>
      </w:r>
    </w:p>
    <w:p>
      <w:pPr>
        <w:pStyle w:val="Subsection"/>
      </w:pPr>
      <w:r>
        <w:tab/>
        <w:t>(6)</w:t>
      </w:r>
      <w:r>
        <w:tab/>
        <w:t xml:space="preserve">Where — </w:t>
      </w:r>
    </w:p>
    <w:p>
      <w:pPr>
        <w:pStyle w:val="Indenta"/>
      </w:pPr>
      <w:r>
        <w:tab/>
        <w:t>(a)</w:t>
      </w:r>
      <w:r>
        <w:tab/>
        <w:t>a licence has expired under section 30(1A); and</w:t>
      </w:r>
    </w:p>
    <w:p>
      <w:pPr>
        <w:pStyle w:val="Indenta"/>
      </w:pPr>
      <w:r>
        <w:tab/>
        <w:t>(b)</w:t>
      </w:r>
      <w:r>
        <w:tab/>
        <w:t>the Commissioner is reasonably satisfied, having regard to the period of time since the licence has expired, that the former licensee is unlikely to have, or to incur, an undischarged liability in respect of moneys which came to his hands before the referral day,</w:t>
      </w:r>
    </w:p>
    <w:p>
      <w:pPr>
        <w:pStyle w:val="Subsection"/>
        <w:rPr>
          <w:snapToGrid w:val="0"/>
        </w:rPr>
      </w:pPr>
      <w:r>
        <w:tab/>
      </w:r>
      <w:r>
        <w:tab/>
        <w:t xml:space="preserve">the </w:t>
      </w:r>
      <w:r>
        <w:rPr>
          <w:snapToGrid w:val="0"/>
        </w:rPr>
        <w:t>Commissioner may release a bond or guarantee lodged by the former licensee under subsection (1) and may return to the former licensee any document associated with the bond or guarantee.</w:t>
      </w:r>
    </w:p>
    <w:p>
      <w:pPr>
        <w:pStyle w:val="Footnotesection"/>
      </w:pPr>
      <w:r>
        <w:tab/>
        <w:t>[Section 35 amended: No. 56 of 1995 s. 23; No. 53 of 2004 s. 27; No. 55 of 2004 s. 352 and 358; No. 14 of 2010 s. 50.]</w:t>
      </w:r>
    </w:p>
    <w:p>
      <w:pPr>
        <w:pStyle w:val="Heading5"/>
      </w:pPr>
      <w:bookmarkStart w:id="69" w:name="_Toc209794961"/>
      <w:r>
        <w:rPr>
          <w:rStyle w:val="CharSectno"/>
        </w:rPr>
        <w:lastRenderedPageBreak/>
        <w:t>35A</w:t>
      </w:r>
      <w:r>
        <w:t>.</w:t>
      </w:r>
      <w:r>
        <w:tab/>
        <w:t>Prescribed person exempt from bond requirements</w:t>
      </w:r>
      <w:bookmarkEnd w:id="69"/>
    </w:p>
    <w:p>
      <w:pPr>
        <w:pStyle w:val="Subsection"/>
        <w:rPr>
          <w:snapToGrid w:val="0"/>
        </w:rPr>
      </w:pPr>
      <w:r>
        <w:rPr>
          <w:snapToGrid w:val="0"/>
        </w:rPr>
        <w:tab/>
        <w:t>(1)</w:t>
      </w:r>
      <w:r>
        <w:rPr>
          <w:snapToGrid w:val="0"/>
        </w:rPr>
        <w:tab/>
        <w:t xml:space="preserve">Despite section 35, the regulations may exempt from the requirement to lodge a bond or guarantee — </w:t>
      </w:r>
    </w:p>
    <w:p>
      <w:pPr>
        <w:pStyle w:val="Indenta"/>
      </w:pPr>
      <w:r>
        <w:tab/>
        <w:t>(a)</w:t>
      </w:r>
      <w:r>
        <w:tab/>
        <w:t>any person or class of persons; or</w:t>
      </w:r>
    </w:p>
    <w:p>
      <w:pPr>
        <w:pStyle w:val="Indenta"/>
        <w:keepNext/>
      </w:pPr>
      <w:r>
        <w:tab/>
        <w:t>(b)</w:t>
      </w:r>
      <w:r>
        <w:tab/>
        <w:t>persons carrying on any business or any specified class of business; or</w:t>
      </w:r>
    </w:p>
    <w:p>
      <w:pPr>
        <w:pStyle w:val="Indenta"/>
      </w:pPr>
      <w:r>
        <w:tab/>
        <w:t>(c)</w:t>
      </w:r>
      <w:r>
        <w:tab/>
        <w:t>any other class of person, act or thing.</w:t>
      </w:r>
    </w:p>
    <w:p>
      <w:pPr>
        <w:pStyle w:val="Subsection"/>
        <w:rPr>
          <w:snapToGrid w:val="0"/>
        </w:rPr>
      </w:pPr>
      <w:r>
        <w:rPr>
          <w:snapToGrid w:val="0"/>
        </w:rPr>
        <w:tab/>
        <w:t>(2)</w:t>
      </w:r>
      <w:r>
        <w:rPr>
          <w:snapToGrid w:val="0"/>
        </w:rPr>
        <w:tab/>
        <w:t xml:space="preserve">An exemption may be expressed to apply — </w:t>
      </w:r>
    </w:p>
    <w:p>
      <w:pPr>
        <w:pStyle w:val="Indenta"/>
      </w:pPr>
      <w:r>
        <w:tab/>
        <w:t>(a)</w:t>
      </w:r>
      <w:r>
        <w:tab/>
        <w:t>generally; or</w:t>
      </w:r>
    </w:p>
    <w:p>
      <w:pPr>
        <w:pStyle w:val="Indenta"/>
      </w:pPr>
      <w:r>
        <w:tab/>
        <w:t>(b)</w:t>
      </w:r>
      <w:r>
        <w:tab/>
        <w:t>only in respect of a specified area or areas in the State.</w:t>
      </w:r>
    </w:p>
    <w:p>
      <w:pPr>
        <w:pStyle w:val="Subsection"/>
        <w:rPr>
          <w:snapToGrid w:val="0"/>
        </w:rPr>
      </w:pPr>
      <w:r>
        <w:rPr>
          <w:snapToGrid w:val="0"/>
        </w:rPr>
        <w:tab/>
        <w:t>(3)</w:t>
      </w:r>
      <w:r>
        <w:rPr>
          <w:snapToGrid w:val="0"/>
        </w:rPr>
        <w:tab/>
        <w:t xml:space="preserve">The regulations may provide — </w:t>
      </w:r>
    </w:p>
    <w:p>
      <w:pPr>
        <w:pStyle w:val="Indenta"/>
      </w:pPr>
      <w:r>
        <w:tab/>
        <w:t>(a)</w:t>
      </w:r>
      <w:r>
        <w:tab/>
        <w:t>for circumstances in which, and conditions subject to which, an exemption is to apply; and</w:t>
      </w:r>
    </w:p>
    <w:p>
      <w:pPr>
        <w:pStyle w:val="Indenta"/>
      </w:pPr>
      <w:r>
        <w:tab/>
        <w:t>(b)</w:t>
      </w:r>
      <w:r>
        <w:tab/>
        <w:t>that an exemption is to have no effect at any time when any condition to which it is subject is not being observed.</w:t>
      </w:r>
    </w:p>
    <w:p>
      <w:pPr>
        <w:pStyle w:val="Footnotesection"/>
      </w:pPr>
      <w:r>
        <w:tab/>
        <w:t>[Section 35A inserted: No. 53 of 2004 s. 28.]</w:t>
      </w:r>
    </w:p>
    <w:p>
      <w:pPr>
        <w:pStyle w:val="Ednotesection"/>
      </w:pPr>
      <w:r>
        <w:t>[</w:t>
      </w:r>
      <w:r>
        <w:rPr>
          <w:b/>
          <w:bCs/>
        </w:rPr>
        <w:t>36-38.</w:t>
      </w:r>
      <w:r>
        <w:tab/>
        <w:t>Deleted: No. 14 of 2010 s. 51.]</w:t>
      </w:r>
    </w:p>
    <w:p>
      <w:pPr>
        <w:pStyle w:val="Ednotesection"/>
      </w:pPr>
      <w:r>
        <w:t>[</w:t>
      </w:r>
      <w:r>
        <w:rPr>
          <w:b/>
          <w:bCs/>
        </w:rPr>
        <w:t>39.</w:t>
      </w:r>
      <w:r>
        <w:tab/>
        <w:t>Deleted: No. 53 of 2004 s. 32.]</w:t>
      </w:r>
    </w:p>
    <w:p>
      <w:pPr>
        <w:pStyle w:val="Heading5"/>
        <w:spacing w:before="240"/>
        <w:rPr>
          <w:snapToGrid w:val="0"/>
        </w:rPr>
      </w:pPr>
      <w:bookmarkStart w:id="70" w:name="_Toc209794962"/>
      <w:r>
        <w:rPr>
          <w:rStyle w:val="CharSectno"/>
        </w:rPr>
        <w:t>40</w:t>
      </w:r>
      <w:r>
        <w:rPr>
          <w:snapToGrid w:val="0"/>
        </w:rPr>
        <w:t>.</w:t>
      </w:r>
      <w:r>
        <w:rPr>
          <w:snapToGrid w:val="0"/>
        </w:rPr>
        <w:tab/>
        <w:t>Licence not transferable</w:t>
      </w:r>
      <w:bookmarkEnd w:id="70"/>
      <w:r>
        <w:rPr>
          <w:snapToGrid w:val="0"/>
        </w:rPr>
        <w:t xml:space="preserve"> </w:t>
      </w:r>
    </w:p>
    <w:p>
      <w:pPr>
        <w:pStyle w:val="Subsection"/>
        <w:rPr>
          <w:snapToGrid w:val="0"/>
        </w:rPr>
      </w:pPr>
      <w:r>
        <w:rPr>
          <w:snapToGrid w:val="0"/>
        </w:rPr>
        <w:tab/>
        <w:t>(1)</w:t>
      </w:r>
      <w:r>
        <w:rPr>
          <w:snapToGrid w:val="0"/>
        </w:rPr>
        <w:tab/>
        <w:t>A person shall not hold more than one licence and shall not carry on more than one business as a finance broker thereunder.</w:t>
      </w:r>
    </w:p>
    <w:p>
      <w:pPr>
        <w:pStyle w:val="Penstart"/>
        <w:rPr>
          <w:snapToGrid w:val="0"/>
        </w:rPr>
      </w:pPr>
      <w:r>
        <w:rPr>
          <w:snapToGrid w:val="0"/>
        </w:rPr>
        <w:tab/>
        <w:t>Penalty: $50 000.</w:t>
      </w:r>
    </w:p>
    <w:p>
      <w:pPr>
        <w:pStyle w:val="Subsection"/>
        <w:rPr>
          <w:snapToGrid w:val="0"/>
        </w:rPr>
      </w:pPr>
      <w:r>
        <w:rPr>
          <w:snapToGrid w:val="0"/>
        </w:rPr>
        <w:tab/>
        <w:t>(2)</w:t>
      </w:r>
      <w:r>
        <w:rPr>
          <w:snapToGrid w:val="0"/>
        </w:rPr>
        <w:tab/>
        <w:t>A licence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of the licensee.</w:t>
      </w:r>
    </w:p>
    <w:p>
      <w:pPr>
        <w:pStyle w:val="Penstart"/>
        <w:rPr>
          <w:snapToGrid w:val="0"/>
        </w:rPr>
      </w:pPr>
      <w:r>
        <w:rPr>
          <w:snapToGrid w:val="0"/>
        </w:rPr>
        <w:tab/>
        <w:t>Penalty: $50 000.</w:t>
      </w:r>
    </w:p>
    <w:p>
      <w:pPr>
        <w:pStyle w:val="Footnotesection"/>
      </w:pPr>
      <w:r>
        <w:lastRenderedPageBreak/>
        <w:tab/>
        <w:t xml:space="preserve">[Section 40 amended: No. 56 of 1995 s. 23; No. 53 of 2004 s. 33.] </w:t>
      </w:r>
    </w:p>
    <w:p>
      <w:pPr>
        <w:pStyle w:val="Heading5"/>
      </w:pPr>
      <w:bookmarkStart w:id="71" w:name="_Toc209794963"/>
      <w:r>
        <w:rPr>
          <w:rStyle w:val="CharSectno"/>
        </w:rPr>
        <w:t>40A</w:t>
      </w:r>
      <w:r>
        <w:t>.</w:t>
      </w:r>
      <w:r>
        <w:tab/>
        <w:t>Prohibition against doing business with unlicensed finance brokers</w:t>
      </w:r>
      <w:bookmarkEnd w:id="71"/>
    </w:p>
    <w:p>
      <w:pPr>
        <w:pStyle w:val="Subsection"/>
      </w:pPr>
      <w:r>
        <w:tab/>
        <w:t>(1A)</w:t>
      </w:r>
      <w:r>
        <w:tab/>
        <w:t>On and after the referral day, subsections (2) and (3) have no effect.</w:t>
      </w:r>
    </w:p>
    <w:p>
      <w:pPr>
        <w:pStyle w:val="Subsection"/>
      </w:pPr>
      <w:r>
        <w:tab/>
        <w:t>(1)</w:t>
      </w:r>
      <w:r>
        <w:tab/>
        <w:t xml:space="preserve">In this section — </w:t>
      </w:r>
    </w:p>
    <w:p>
      <w:pPr>
        <w:pStyle w:val="Defstart"/>
      </w:pPr>
      <w:r>
        <w:tab/>
      </w:r>
      <w:r>
        <w:rPr>
          <w:rStyle w:val="CharDefText"/>
        </w:rPr>
        <w:t>unlicensed finance broker</w:t>
      </w:r>
      <w:r>
        <w:t xml:space="preserve"> means a person or firm that is required by section 26(1) to, but does not, hold a licence for the type of finance broking concerned.</w:t>
      </w:r>
    </w:p>
    <w:p>
      <w:pPr>
        <w:pStyle w:val="Subsection"/>
      </w:pPr>
      <w:r>
        <w:tab/>
        <w:t>(2)</w:t>
      </w:r>
      <w:r>
        <w:tab/>
        <w:t>A licensee must not enter into an agreement for any finance broking to be carried out by a person or firm that is an unlicensed finance broker.</w:t>
      </w:r>
    </w:p>
    <w:p>
      <w:pPr>
        <w:pStyle w:val="Penstart"/>
        <w:rPr>
          <w:snapToGrid w:val="0"/>
        </w:rPr>
      </w:pPr>
      <w:r>
        <w:rPr>
          <w:snapToGrid w:val="0"/>
        </w:rPr>
        <w:tab/>
        <w:t>Penalty: $50 000.</w:t>
      </w:r>
    </w:p>
    <w:p>
      <w:pPr>
        <w:pStyle w:val="Subsection"/>
      </w:pPr>
      <w:r>
        <w:tab/>
        <w:t>(3)</w:t>
      </w:r>
      <w:r>
        <w:tab/>
        <w:t>A licensee must not do any act which assists, or is intended to assist, a person or firm that is an unlicensed finance broker to carry on a business that consists of or includes the carrying out of any finance broking that requires a licence.</w:t>
      </w:r>
    </w:p>
    <w:p>
      <w:pPr>
        <w:pStyle w:val="Penstart"/>
        <w:rPr>
          <w:snapToGrid w:val="0"/>
        </w:rPr>
      </w:pPr>
      <w:r>
        <w:rPr>
          <w:snapToGrid w:val="0"/>
        </w:rPr>
        <w:tab/>
        <w:t>Penalty: $50 000.</w:t>
      </w:r>
    </w:p>
    <w:p>
      <w:pPr>
        <w:pStyle w:val="Footnotesection"/>
      </w:pPr>
      <w:r>
        <w:tab/>
        <w:t>[Section 40A inserted: No. 53 of 2004 s. 34; amended: No. 14 of 2010 s. 52.]</w:t>
      </w:r>
    </w:p>
    <w:p>
      <w:pPr>
        <w:pStyle w:val="Heading5"/>
        <w:rPr>
          <w:snapToGrid w:val="0"/>
        </w:rPr>
      </w:pPr>
      <w:bookmarkStart w:id="72" w:name="_Toc209794964"/>
      <w:r>
        <w:rPr>
          <w:rStyle w:val="CharSectno"/>
        </w:rPr>
        <w:t>41</w:t>
      </w:r>
      <w:r>
        <w:rPr>
          <w:snapToGrid w:val="0"/>
        </w:rPr>
        <w:t>.</w:t>
      </w:r>
      <w:r>
        <w:rPr>
          <w:snapToGrid w:val="0"/>
        </w:rPr>
        <w:tab/>
        <w:t>Use of business name</w:t>
      </w:r>
      <w:bookmarkEnd w:id="72"/>
      <w:r>
        <w:rPr>
          <w:snapToGrid w:val="0"/>
        </w:rPr>
        <w:t xml:space="preserve"> </w:t>
      </w:r>
    </w:p>
    <w:p>
      <w:pPr>
        <w:pStyle w:val="Subsection"/>
      </w:pPr>
      <w:r>
        <w:tab/>
        <w:t>(1A)</w:t>
      </w:r>
      <w:r>
        <w:tab/>
        <w:t>On and after the referral day, subsections (1) and (2) have no effect.</w:t>
      </w:r>
    </w:p>
    <w:p>
      <w:pPr>
        <w:pStyle w:val="Subsection"/>
        <w:rPr>
          <w:snapToGrid w:val="0"/>
        </w:rPr>
      </w:pPr>
      <w:r>
        <w:rPr>
          <w:snapToGrid w:val="0"/>
        </w:rPr>
        <w:tab/>
        <w:t>(1)</w:t>
      </w:r>
      <w:r>
        <w:rPr>
          <w:snapToGrid w:val="0"/>
        </w:rPr>
        <w:tab/>
        <w:t xml:space="preserve">The use of a business name by a licensee is not subject to the approval of the </w:t>
      </w:r>
      <w:r>
        <w:t>Commissioner</w:t>
      </w:r>
      <w:r>
        <w:rPr>
          <w:snapToGrid w:val="0"/>
        </w:rPr>
        <w:t xml:space="preserve"> but — </w:t>
      </w:r>
    </w:p>
    <w:p>
      <w:pPr>
        <w:pStyle w:val="Indenta"/>
        <w:rPr>
          <w:snapToGrid w:val="0"/>
        </w:rPr>
      </w:pPr>
      <w:r>
        <w:rPr>
          <w:snapToGrid w:val="0"/>
        </w:rPr>
        <w:tab/>
        <w:t>(a)</w:t>
      </w:r>
      <w:r>
        <w:rPr>
          <w:snapToGrid w:val="0"/>
        </w:rPr>
        <w:tab/>
        <w:t>a licensee may carry on business as a finance broker under only one business name;</w:t>
      </w:r>
    </w:p>
    <w:p>
      <w:pPr>
        <w:pStyle w:val="Indenta"/>
        <w:rPr>
          <w:snapToGrid w:val="0"/>
        </w:rPr>
      </w:pPr>
      <w:r>
        <w:rPr>
          <w:snapToGrid w:val="0"/>
        </w:rPr>
        <w:tab/>
        <w:t>(b)</w:t>
      </w:r>
      <w:r>
        <w:rPr>
          <w:snapToGrid w:val="0"/>
        </w:rPr>
        <w:tab/>
        <w:t xml:space="preserve">all licensees carrying on the business of a finance broker under a business name shall have their surnames and </w:t>
      </w:r>
      <w:r>
        <w:rPr>
          <w:snapToGrid w:val="0"/>
        </w:rPr>
        <w:lastRenderedPageBreak/>
        <w:t>initials at the head of all correspondence from them in that business.</w:t>
      </w:r>
    </w:p>
    <w:p>
      <w:pPr>
        <w:pStyle w:val="Subsection"/>
        <w:rPr>
          <w:snapToGrid w:val="0"/>
        </w:rPr>
      </w:pPr>
      <w:r>
        <w:rPr>
          <w:snapToGrid w:val="0"/>
        </w:rPr>
        <w:tab/>
        <w:t>(2)</w:t>
      </w:r>
      <w:r>
        <w:rPr>
          <w:snapToGrid w:val="0"/>
        </w:rPr>
        <w:tab/>
        <w:t xml:space="preserve">A licensee who alters the name, style, title, or designation under which he carries on business as a finance broker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pPr>
      <w:r>
        <w:tab/>
        <w:t xml:space="preserve">[Section 41 amended: No. 56 of 1995 s. 23(1); No. 53 of 2004 s. 35; No. 14 of 2010 s. 53.] </w:t>
      </w:r>
    </w:p>
    <w:p>
      <w:pPr>
        <w:pStyle w:val="Heading5"/>
        <w:rPr>
          <w:snapToGrid w:val="0"/>
        </w:rPr>
      </w:pPr>
      <w:bookmarkStart w:id="73" w:name="_Toc209794965"/>
      <w:r>
        <w:rPr>
          <w:rStyle w:val="CharSectno"/>
        </w:rPr>
        <w:t>42</w:t>
      </w:r>
      <w:r>
        <w:rPr>
          <w:snapToGrid w:val="0"/>
        </w:rPr>
        <w:t>.</w:t>
      </w:r>
      <w:r>
        <w:rPr>
          <w:snapToGrid w:val="0"/>
        </w:rPr>
        <w:tab/>
        <w:t>Notice to be exhibited</w:t>
      </w:r>
      <w:bookmarkEnd w:id="73"/>
      <w:r>
        <w:rPr>
          <w:snapToGrid w:val="0"/>
        </w:rPr>
        <w:t xml:space="preserve"> </w:t>
      </w:r>
    </w:p>
    <w:p>
      <w:pPr>
        <w:pStyle w:val="Subsection"/>
      </w:pPr>
      <w:r>
        <w:tab/>
        <w:t>(1)</w:t>
      </w:r>
      <w:r>
        <w:tab/>
        <w:t>On and after the referral day, subsection (2) has no effect.</w:t>
      </w:r>
    </w:p>
    <w:p>
      <w:pPr>
        <w:pStyle w:val="Subsection"/>
        <w:rPr>
          <w:snapToGrid w:val="0"/>
        </w:rPr>
      </w:pPr>
      <w:r>
        <w:rPr>
          <w:snapToGrid w:val="0"/>
        </w:rPr>
        <w:tab/>
        <w:t>(2)</w:t>
      </w:r>
      <w:r>
        <w:rPr>
          <w:snapToGrid w:val="0"/>
        </w:rPr>
        <w:tab/>
      </w:r>
      <w:r>
        <w:t xml:space="preserve">A licensee shall exhibit, </w:t>
      </w:r>
      <w:r>
        <w:rPr>
          <w:snapToGrid w:val="0"/>
        </w:rPr>
        <w:t>and keep exhibited, in a prominent place at his registered office, and at every branch office of his business, so as to be easily read from outside that office — </w:t>
      </w:r>
    </w:p>
    <w:p>
      <w:pPr>
        <w:pStyle w:val="Indenta"/>
        <w:rPr>
          <w:snapToGrid w:val="0"/>
        </w:rPr>
      </w:pPr>
      <w:r>
        <w:rPr>
          <w:snapToGrid w:val="0"/>
        </w:rPr>
        <w:tab/>
        <w:t>(a)</w:t>
      </w:r>
      <w:r>
        <w:rPr>
          <w:snapToGrid w:val="0"/>
        </w:rPr>
        <w:tab/>
        <w:t>a notice of his name, and of the fact that he is a licensed finance broker, together with the name, style, title, or designation under which he carries on business as a finance broker, if that business is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Footnotesection"/>
      </w:pPr>
      <w:r>
        <w:tab/>
        <w:t>[Section 42 amended: No. 14 of 2010 s. 54.]</w:t>
      </w:r>
    </w:p>
    <w:p>
      <w:pPr>
        <w:pStyle w:val="Heading2"/>
      </w:pPr>
      <w:bookmarkStart w:id="74" w:name="_Toc209617829"/>
      <w:bookmarkStart w:id="75" w:name="_Toc209618848"/>
      <w:bookmarkStart w:id="76" w:name="_Toc209706846"/>
      <w:bookmarkStart w:id="77" w:name="_Toc209794966"/>
      <w:r>
        <w:rPr>
          <w:rStyle w:val="CharPartNo"/>
        </w:rPr>
        <w:lastRenderedPageBreak/>
        <w:t>Part IV</w:t>
      </w:r>
      <w:r>
        <w:t> — </w:t>
      </w:r>
      <w:r>
        <w:rPr>
          <w:rStyle w:val="CharPartText"/>
        </w:rPr>
        <w:t>Controls</w:t>
      </w:r>
      <w:bookmarkEnd w:id="74"/>
      <w:bookmarkEnd w:id="75"/>
      <w:bookmarkEnd w:id="76"/>
      <w:bookmarkEnd w:id="77"/>
      <w:r>
        <w:rPr>
          <w:rStyle w:val="CharPartText"/>
        </w:rPr>
        <w:t xml:space="preserve"> </w:t>
      </w:r>
    </w:p>
    <w:p>
      <w:pPr>
        <w:pStyle w:val="Heading3"/>
        <w:rPr>
          <w:snapToGrid w:val="0"/>
        </w:rPr>
      </w:pPr>
      <w:bookmarkStart w:id="78" w:name="_Toc209617830"/>
      <w:bookmarkStart w:id="79" w:name="_Toc209618849"/>
      <w:bookmarkStart w:id="80" w:name="_Toc209706847"/>
      <w:bookmarkStart w:id="81" w:name="_Toc209794967"/>
      <w:r>
        <w:rPr>
          <w:rStyle w:val="CharDivNo"/>
        </w:rPr>
        <w:t>Division 1</w:t>
      </w:r>
      <w:r>
        <w:rPr>
          <w:snapToGrid w:val="0"/>
        </w:rPr>
        <w:t> — </w:t>
      </w:r>
      <w:r>
        <w:rPr>
          <w:rStyle w:val="CharDivText"/>
        </w:rPr>
        <w:t>General</w:t>
      </w:r>
      <w:bookmarkEnd w:id="78"/>
      <w:bookmarkEnd w:id="79"/>
      <w:bookmarkEnd w:id="80"/>
      <w:bookmarkEnd w:id="81"/>
      <w:r>
        <w:rPr>
          <w:rStyle w:val="CharDivText"/>
        </w:rPr>
        <w:t xml:space="preserve"> </w:t>
      </w:r>
    </w:p>
    <w:p>
      <w:pPr>
        <w:pStyle w:val="Heading5"/>
        <w:rPr>
          <w:snapToGrid w:val="0"/>
        </w:rPr>
      </w:pPr>
      <w:bookmarkStart w:id="82" w:name="_Toc209794968"/>
      <w:r>
        <w:rPr>
          <w:rStyle w:val="CharSectno"/>
        </w:rPr>
        <w:t>43</w:t>
      </w:r>
      <w:r>
        <w:rPr>
          <w:snapToGrid w:val="0"/>
        </w:rPr>
        <w:t>.</w:t>
      </w:r>
      <w:r>
        <w:rPr>
          <w:snapToGrid w:val="0"/>
        </w:rPr>
        <w:tab/>
        <w:t>Disability of unlicensed person</w:t>
      </w:r>
      <w:bookmarkEnd w:id="82"/>
      <w:r>
        <w:rPr>
          <w:snapToGrid w:val="0"/>
        </w:rPr>
        <w:t xml:space="preserve"> </w:t>
      </w:r>
    </w:p>
    <w:p>
      <w:pPr>
        <w:pStyle w:val="Subsection"/>
      </w:pPr>
      <w:r>
        <w:tab/>
        <w:t>(1A)</w:t>
      </w:r>
      <w:r>
        <w:tab/>
        <w:t>On and after the referral day, subsection (1) has no effect.</w:t>
      </w:r>
    </w:p>
    <w:p>
      <w:pPr>
        <w:pStyle w:val="Subsection"/>
        <w:rPr>
          <w:snapToGrid w:val="0"/>
        </w:rPr>
      </w:pPr>
      <w:r>
        <w:rPr>
          <w:snapToGrid w:val="0"/>
        </w:rPr>
        <w:tab/>
        <w:t>(1)</w:t>
      </w:r>
      <w:r>
        <w:rPr>
          <w:snapToGrid w:val="0"/>
        </w:rPr>
        <w:tab/>
        <w:t>A finance broker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when he renders the services;</w:t>
      </w:r>
    </w:p>
    <w:p>
      <w:pPr>
        <w:pStyle w:val="Indenta"/>
        <w:rPr>
          <w:snapToGrid w:val="0"/>
        </w:rPr>
      </w:pPr>
      <w:r>
        <w:rPr>
          <w:snapToGrid w:val="0"/>
        </w:rPr>
        <w:tab/>
        <w:t>(b)</w:t>
      </w:r>
      <w:r>
        <w:rPr>
          <w:snapToGrid w:val="0"/>
        </w:rPr>
        <w:tab/>
        <w:t>his appointment to act in that capacity is in writing signed before the receipt of the commission, reward, or other valuable consideration (whether before or after the services are rendered) by the person to be charged therewith or some person lawfully authorised to sign the appointment on his behalf.</w:t>
      </w:r>
    </w:p>
    <w:p>
      <w:pPr>
        <w:pStyle w:val="Subsection"/>
        <w:rPr>
          <w:snapToGrid w:val="0"/>
        </w:rPr>
      </w:pPr>
      <w:r>
        <w:rPr>
          <w:snapToGrid w:val="0"/>
        </w:rPr>
        <w:tab/>
        <w:t>(2)</w:t>
      </w:r>
      <w:r>
        <w:rPr>
          <w:snapToGrid w:val="0"/>
        </w:rPr>
        <w:tab/>
        <w:t>A person shall not demand or receive any commission, reward, or other valuable consideration in contravention of subsection (1).</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commission, reward, or other valuable consideration received in contravention of subsection (1) may be recovered as a civil debt recoverable summarily in any court of competent jurisdiction.</w:t>
      </w:r>
    </w:p>
    <w:p>
      <w:pPr>
        <w:pStyle w:val="Footnotesection"/>
      </w:pPr>
      <w:r>
        <w:tab/>
        <w:t>[Section 43 amended: No. 56 of 1995 s. 23(1); No. 53 of 2004 s. 36; No. 14 of 2010 s. 55.]</w:t>
      </w:r>
    </w:p>
    <w:p>
      <w:pPr>
        <w:pStyle w:val="Heading5"/>
        <w:rPr>
          <w:snapToGrid w:val="0"/>
        </w:rPr>
      </w:pPr>
      <w:bookmarkStart w:id="83" w:name="_Toc209794969"/>
      <w:r>
        <w:rPr>
          <w:rStyle w:val="CharSectno"/>
        </w:rPr>
        <w:t>44</w:t>
      </w:r>
      <w:r>
        <w:rPr>
          <w:snapToGrid w:val="0"/>
        </w:rPr>
        <w:t>.</w:t>
      </w:r>
      <w:r>
        <w:rPr>
          <w:snapToGrid w:val="0"/>
        </w:rPr>
        <w:tab/>
        <w:t>Remuneration of finance brokers</w:t>
      </w:r>
      <w:bookmarkEnd w:id="83"/>
      <w:r>
        <w:rPr>
          <w:snapToGrid w:val="0"/>
        </w:rPr>
        <w:t xml:space="preserve"> </w:t>
      </w:r>
    </w:p>
    <w:p>
      <w:pPr>
        <w:pStyle w:val="Subsection"/>
      </w:pPr>
      <w:r>
        <w:tab/>
        <w:t>(1A)</w:t>
      </w:r>
      <w:r>
        <w:tab/>
        <w:t>On and after the referral day, subsections (5) and (6) have no effect.</w:t>
      </w:r>
    </w:p>
    <w:p>
      <w:pPr>
        <w:pStyle w:val="Subsection"/>
        <w:rPr>
          <w:snapToGrid w:val="0"/>
        </w:rPr>
      </w:pPr>
      <w:r>
        <w:rPr>
          <w:snapToGrid w:val="0"/>
        </w:rPr>
        <w:lastRenderedPageBreak/>
        <w:tab/>
        <w:t>(1)</w:t>
      </w:r>
      <w:r>
        <w:rPr>
          <w:snapToGrid w:val="0"/>
        </w:rPr>
        <w:tab/>
      </w:r>
      <w:r>
        <w:t xml:space="preserve">After taking advice from the Commissioner, the Minister may, </w:t>
      </w:r>
      <w:r>
        <w:rPr>
          <w:snapToGrid w:val="0"/>
        </w:rPr>
        <w:t xml:space="preserve">by notice published in the </w:t>
      </w:r>
      <w:r>
        <w:rPr>
          <w:i/>
          <w:snapToGrid w:val="0"/>
        </w:rPr>
        <w:t>Government Gazette</w:t>
      </w:r>
      <w:r>
        <w:rPr>
          <w:snapToGrid w:val="0"/>
        </w:rPr>
        <w:t>, fix the maximum amounts of remuneration, by way of commission or otherwise, for services rendered by licensees and may do so by reference to the type of loan negotiated, managed or arranged, and the value thereof, and the type of security, if any, offered or where no security is offered by reference to that fact.</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In the absence of an agreement to the contrary between a licensee and the person by whom or on whose behalf he was appointed to negotiate or arrange a loan, the licensee’s remuneration is payable only on the loan being obtained unless a failure to obtain the loan is due to the fault of the person by whom or on whose behalf the licensee was so appointed.</w:t>
      </w:r>
    </w:p>
    <w:p>
      <w:pPr>
        <w:pStyle w:val="Subsection"/>
        <w:rPr>
          <w:snapToGrid w:val="0"/>
        </w:rPr>
      </w:pPr>
      <w:r>
        <w:rPr>
          <w:snapToGrid w:val="0"/>
        </w:rPr>
        <w:tab/>
        <w:t>(4)</w:t>
      </w:r>
      <w:r>
        <w:rPr>
          <w:snapToGrid w:val="0"/>
        </w:rPr>
        <w:tab/>
        <w:t>A licensee may require a person by whom or on whose behalf he was appointed to negotiate or arrange a loan to pay to him the estimated cost of obtaining a valuation of any security offered and any amount so paid shall be held in trust by the licensee to pay the costs of the valuation so obtained and to repay the balance of any such amount to the person who paid the money to him.</w:t>
      </w:r>
    </w:p>
    <w:p>
      <w:pPr>
        <w:pStyle w:val="Subsection"/>
        <w:rPr>
          <w:snapToGrid w:val="0"/>
        </w:rPr>
      </w:pPr>
      <w:r>
        <w:rPr>
          <w:snapToGrid w:val="0"/>
        </w:rPr>
        <w:tab/>
        <w:t>(5)</w:t>
      </w:r>
      <w:r>
        <w:rPr>
          <w:snapToGrid w:val="0"/>
        </w:rPr>
        <w:tab/>
        <w:t>A licensee is not entitled to receive for negotiating, managing or arranging a loan any commission, reward, or other valuable consideration that exceeds in value the amount fixed under subsection (1) in respect thereof.</w:t>
      </w:r>
    </w:p>
    <w:p>
      <w:pPr>
        <w:pStyle w:val="Subsection"/>
        <w:rPr>
          <w:snapToGrid w:val="0"/>
        </w:rPr>
      </w:pPr>
      <w:r>
        <w:rPr>
          <w:snapToGrid w:val="0"/>
        </w:rPr>
        <w:tab/>
        <w:t>(6)</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lastRenderedPageBreak/>
        <w:tab/>
        <w:t>(7)</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[Section 44 amended: No. 53 of 2004 s. 37; No. 14 of 2010 s. 56.]</w:t>
      </w:r>
    </w:p>
    <w:p>
      <w:pPr>
        <w:pStyle w:val="Heading5"/>
        <w:rPr>
          <w:snapToGrid w:val="0"/>
        </w:rPr>
      </w:pPr>
      <w:bookmarkStart w:id="84" w:name="_Toc209794970"/>
      <w:r>
        <w:rPr>
          <w:rStyle w:val="CharSectno"/>
        </w:rPr>
        <w:t>45</w:t>
      </w:r>
      <w:r>
        <w:rPr>
          <w:snapToGrid w:val="0"/>
        </w:rPr>
        <w:t>.</w:t>
      </w:r>
      <w:r>
        <w:rPr>
          <w:snapToGrid w:val="0"/>
        </w:rPr>
        <w:tab/>
        <w:t>Advertisements by licensees</w:t>
      </w:r>
      <w:bookmarkEnd w:id="84"/>
      <w:r>
        <w:rPr>
          <w:snapToGrid w:val="0"/>
        </w:rPr>
        <w:t xml:space="preserve"> </w:t>
      </w:r>
    </w:p>
    <w:p>
      <w:pPr>
        <w:pStyle w:val="Subsection"/>
      </w:pPr>
      <w:r>
        <w:tab/>
        <w:t>(1A)</w:t>
      </w:r>
      <w:r>
        <w:tab/>
        <w:t>On and after the referral day, subsections (1), (2) and (3) have no effect.</w:t>
      </w:r>
    </w:p>
    <w:p>
      <w:pPr>
        <w:pStyle w:val="Subsection"/>
        <w:rPr>
          <w:snapToGrid w:val="0"/>
        </w:rPr>
      </w:pPr>
      <w:r>
        <w:rPr>
          <w:snapToGrid w:val="0"/>
        </w:rPr>
        <w:tab/>
        <w:t>(1)</w:t>
      </w:r>
      <w:r>
        <w:rPr>
          <w:snapToGrid w:val="0"/>
        </w:rPr>
        <w:tab/>
        <w:t>An advertisement in respect of the business of a licensee shall not be published without his authority.</w:t>
      </w:r>
    </w:p>
    <w:p>
      <w:pPr>
        <w:pStyle w:val="Subsection"/>
        <w:rPr>
          <w:snapToGrid w:val="0"/>
        </w:rPr>
      </w:pPr>
      <w:r>
        <w:rPr>
          <w:snapToGrid w:val="0"/>
        </w:rPr>
        <w:tab/>
        <w:t>(2)</w:t>
      </w:r>
      <w:r>
        <w:rPr>
          <w:snapToGrid w:val="0"/>
        </w:rPr>
        <w:tab/>
        <w:t>A duly authorised advertisement in respect of the business of a licensee shall contain (as a minimum) the licence number of the licensee, and such other details (if any) as are prescribed.</w:t>
      </w:r>
    </w:p>
    <w:p>
      <w:pPr>
        <w:pStyle w:val="Subsection"/>
        <w:rPr>
          <w:snapToGrid w:val="0"/>
        </w:rPr>
      </w:pPr>
      <w:r>
        <w:rPr>
          <w:snapToGrid w:val="0"/>
        </w:rPr>
        <w:tab/>
        <w:t>(3)</w:t>
      </w:r>
      <w:r>
        <w:rPr>
          <w:snapToGrid w:val="0"/>
        </w:rPr>
        <w:tab/>
        <w:t xml:space="preserve">A duly authorised advertisement in respect of the business of a licensee </w:t>
      </w:r>
      <w:r>
        <w:t xml:space="preserve">other than an advertisement for credit to which the Consumer Credit (Western Australia) Code applies, </w:t>
      </w:r>
      <w:r>
        <w:rPr>
          <w:snapToGrid w:val="0"/>
        </w:rPr>
        <w:t>shall not mention an interest rate in respect of loans which may be negotiated or arranged unless it is mentioned in respect of specific amounts and it includes the percentage rate of interest in relation thereto calculated in accordance with the formula provided in the Schedule.</w:t>
      </w:r>
    </w:p>
    <w:p>
      <w:pPr>
        <w:pStyle w:val="Subsection"/>
        <w:rPr>
          <w:snapToGrid w:val="0"/>
        </w:rPr>
      </w:pPr>
      <w:r>
        <w:rPr>
          <w:snapToGrid w:val="0"/>
        </w:rPr>
        <w:tab/>
        <w:t>(4)</w:t>
      </w:r>
      <w:r>
        <w:rPr>
          <w:snapToGrid w:val="0"/>
        </w:rPr>
        <w:tab/>
        <w:t>A borrower who enters into a contract with a lender as a consequence of an advertisement which contravened subsection (3) is not thereby entitled to avoid the contract.</w:t>
      </w:r>
    </w:p>
    <w:p>
      <w:pPr>
        <w:pStyle w:val="Subsection"/>
        <w:rPr>
          <w:snapToGrid w:val="0"/>
        </w:rPr>
      </w:pPr>
      <w:r>
        <w:rPr>
          <w:snapToGrid w:val="0"/>
        </w:rPr>
        <w:tab/>
        <w:t>(5)</w:t>
      </w:r>
      <w:r>
        <w:rPr>
          <w:snapToGrid w:val="0"/>
        </w:rPr>
        <w:tab/>
        <w:t xml:space="preserve">In this section — </w:t>
      </w:r>
    </w:p>
    <w:p>
      <w:pPr>
        <w:pStyle w:val="Defstart"/>
      </w:pPr>
      <w:r>
        <w:rPr>
          <w:b/>
        </w:rPr>
        <w:tab/>
      </w:r>
      <w:r>
        <w:rPr>
          <w:rStyle w:val="CharDefText"/>
        </w:rPr>
        <w:t>Consumer Credit (Western Australia) Code</w:t>
      </w:r>
      <w:r>
        <w:t xml:space="preserve"> has the meaning given to it in the </w:t>
      </w:r>
      <w:r>
        <w:rPr>
          <w:i/>
          <w:iCs/>
        </w:rPr>
        <w:t>Consumer Credit (Western Australia) Act 1996</w:t>
      </w:r>
      <w:r>
        <w:rPr>
          <w:iCs/>
          <w:vertAlign w:val="superscript"/>
        </w:rPr>
        <w:t> 3</w:t>
      </w:r>
      <w:r>
        <w:t>.</w:t>
      </w:r>
    </w:p>
    <w:p>
      <w:pPr>
        <w:pStyle w:val="Footnotesection"/>
      </w:pPr>
      <w:r>
        <w:tab/>
        <w:t>[Section 45 amended: No. 53 of 2004 s. 38; No. 14 of 2010 s. 57.]</w:t>
      </w:r>
    </w:p>
    <w:p>
      <w:pPr>
        <w:pStyle w:val="Heading5"/>
        <w:rPr>
          <w:snapToGrid w:val="0"/>
        </w:rPr>
      </w:pPr>
      <w:bookmarkStart w:id="85" w:name="_Toc209794971"/>
      <w:r>
        <w:rPr>
          <w:rStyle w:val="CharSectno"/>
        </w:rPr>
        <w:lastRenderedPageBreak/>
        <w:t>46</w:t>
      </w:r>
      <w:r>
        <w:rPr>
          <w:snapToGrid w:val="0"/>
        </w:rPr>
        <w:t>.</w:t>
      </w:r>
      <w:r>
        <w:rPr>
          <w:snapToGrid w:val="0"/>
        </w:rPr>
        <w:tab/>
        <w:t>Copy of loan documents</w:t>
      </w:r>
      <w:bookmarkEnd w:id="85"/>
      <w:r>
        <w:rPr>
          <w:snapToGrid w:val="0"/>
        </w:rPr>
        <w:t xml:space="preserve"> </w:t>
      </w:r>
    </w:p>
    <w:p>
      <w:pPr>
        <w:pStyle w:val="Subsection"/>
        <w:rPr>
          <w:snapToGrid w:val="0"/>
        </w:rPr>
      </w:pPr>
      <w:r>
        <w:rPr>
          <w:snapToGrid w:val="0"/>
        </w:rPr>
        <w:tab/>
      </w:r>
      <w:r>
        <w:rPr>
          <w:snapToGrid w:val="0"/>
        </w:rPr>
        <w:tab/>
        <w:t>Where</w:t>
      </w:r>
      <w:r>
        <w:t xml:space="preserve"> before the referral day</w:t>
      </w:r>
      <w:r>
        <w:rPr>
          <w:snapToGrid w:val="0"/>
        </w:rPr>
        <w:t xml:space="preserve"> a person signs any contract, or any document purporting to be a contract, relating to any loan that has been negotiated or arranged wholly or in part by a licensee, the licensee shall forthwith supply the person who signed the contract or document with a true copy thereof and obtain from such person an acknowledgment in writing of the receipt of such copy.</w:t>
      </w:r>
    </w:p>
    <w:p>
      <w:pPr>
        <w:pStyle w:val="Footnotesection"/>
      </w:pPr>
      <w:r>
        <w:tab/>
        <w:t>[Section 46 amended: No. 14 of 2010 s. 58.]</w:t>
      </w:r>
    </w:p>
    <w:p>
      <w:pPr>
        <w:pStyle w:val="Heading3"/>
        <w:rPr>
          <w:snapToGrid w:val="0"/>
        </w:rPr>
      </w:pPr>
      <w:bookmarkStart w:id="86" w:name="_Toc209617835"/>
      <w:bookmarkStart w:id="87" w:name="_Toc209618854"/>
      <w:bookmarkStart w:id="88" w:name="_Toc209706852"/>
      <w:bookmarkStart w:id="89" w:name="_Toc209794972"/>
      <w:r>
        <w:rPr>
          <w:rStyle w:val="CharDivNo"/>
        </w:rPr>
        <w:t>Division 2</w:t>
      </w:r>
      <w:r>
        <w:rPr>
          <w:snapToGrid w:val="0"/>
        </w:rPr>
        <w:t> — </w:t>
      </w:r>
      <w:r>
        <w:rPr>
          <w:rStyle w:val="CharDivText"/>
        </w:rPr>
        <w:t>Trust accounts</w:t>
      </w:r>
      <w:bookmarkEnd w:id="86"/>
      <w:bookmarkEnd w:id="87"/>
      <w:bookmarkEnd w:id="88"/>
      <w:bookmarkEnd w:id="89"/>
      <w:r>
        <w:rPr>
          <w:rStyle w:val="CharDivText"/>
        </w:rPr>
        <w:t xml:space="preserve"> </w:t>
      </w:r>
    </w:p>
    <w:p>
      <w:pPr>
        <w:pStyle w:val="Heading5"/>
        <w:rPr>
          <w:snapToGrid w:val="0"/>
        </w:rPr>
      </w:pPr>
      <w:bookmarkStart w:id="90" w:name="_Toc209794973"/>
      <w:r>
        <w:rPr>
          <w:rStyle w:val="CharSectno"/>
        </w:rPr>
        <w:t>47</w:t>
      </w:r>
      <w:r>
        <w:rPr>
          <w:snapToGrid w:val="0"/>
        </w:rPr>
        <w:t>.</w:t>
      </w:r>
      <w:r>
        <w:rPr>
          <w:snapToGrid w:val="0"/>
        </w:rPr>
        <w:tab/>
        <w:t>Terms used</w:t>
      </w:r>
      <w:bookmarkEnd w:id="90"/>
    </w:p>
    <w:p>
      <w:pPr>
        <w:pStyle w:val="Subsection"/>
        <w:rPr>
          <w:snapToGrid w:val="0"/>
        </w:rPr>
      </w:pPr>
      <w:r>
        <w:rPr>
          <w:snapToGrid w:val="0"/>
        </w:rPr>
        <w:tab/>
      </w:r>
      <w:r>
        <w:rPr>
          <w:snapToGrid w:val="0"/>
        </w:rPr>
        <w:tab/>
        <w:t>In this Division, unless the context otherwise requires — </w:t>
      </w:r>
    </w:p>
    <w:p>
      <w:pPr>
        <w:pStyle w:val="Defstart"/>
      </w:pPr>
      <w:r>
        <w:rPr>
          <w:b/>
        </w:rPr>
        <w:tab/>
      </w:r>
      <w:r>
        <w:rPr>
          <w:rStyle w:val="CharDefText"/>
        </w:rPr>
        <w:t>banker</w:t>
      </w:r>
      <w:r>
        <w:t xml:space="preserve"> means the manager, or other officer, for the time being in charge of the office of a bank in which any account of a finance broker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trust accounts</w:t>
      </w:r>
      <w:r>
        <w:t xml:space="preserve"> means accounts relating to moneys received or held by a finance broker for or on behalf of any other person in respect of loans negotiated or arranged by the finance broker;</w:t>
      </w:r>
    </w:p>
    <w:p>
      <w:pPr>
        <w:pStyle w:val="Defstart"/>
      </w:pPr>
      <w:r>
        <w:rPr>
          <w:b/>
        </w:rPr>
        <w:tab/>
      </w:r>
      <w:r>
        <w:rPr>
          <w:rStyle w:val="CharDefText"/>
        </w:rPr>
        <w:t>year</w:t>
      </w:r>
      <w:r>
        <w:t xml:space="preserve"> means a period of 12 months ending on 31 December, subject however to the provisions of section 51.</w:t>
      </w:r>
    </w:p>
    <w:p>
      <w:pPr>
        <w:pStyle w:val="Heading5"/>
        <w:rPr>
          <w:snapToGrid w:val="0"/>
        </w:rPr>
      </w:pPr>
      <w:bookmarkStart w:id="91" w:name="_Toc209794974"/>
      <w:r>
        <w:rPr>
          <w:rStyle w:val="CharSectno"/>
        </w:rPr>
        <w:t>48</w:t>
      </w:r>
      <w:r>
        <w:rPr>
          <w:snapToGrid w:val="0"/>
        </w:rPr>
        <w:t>.</w:t>
      </w:r>
      <w:r>
        <w:rPr>
          <w:snapToGrid w:val="0"/>
        </w:rPr>
        <w:tab/>
        <w:t>Trust accounts</w:t>
      </w:r>
      <w:bookmarkEnd w:id="91"/>
      <w:r>
        <w:rPr>
          <w:snapToGrid w:val="0"/>
        </w:rPr>
        <w:t xml:space="preserve"> </w:t>
      </w:r>
    </w:p>
    <w:p>
      <w:pPr>
        <w:pStyle w:val="Subsection"/>
      </w:pPr>
      <w:r>
        <w:tab/>
        <w:t>(1A)</w:t>
      </w:r>
      <w:r>
        <w:tab/>
        <w:t>On and after the referral day, subsections (1), (2), (3) and (4) have no effect.</w:t>
      </w:r>
    </w:p>
    <w:p>
      <w:pPr>
        <w:pStyle w:val="Subsection"/>
        <w:rPr>
          <w:snapToGrid w:val="0"/>
        </w:rPr>
      </w:pPr>
      <w:r>
        <w:rPr>
          <w:snapToGrid w:val="0"/>
        </w:rPr>
        <w:tab/>
        <w:t>(1)</w:t>
      </w:r>
      <w:r>
        <w:rPr>
          <w:snapToGrid w:val="0"/>
        </w:rPr>
        <w:tab/>
        <w:t xml:space="preserve">Every finance broker shall maintain at least one trust account, designated or evidenced as such, with a bank in the State and shall, as soon as practicable, pay to the credit of that account all moneys received by him for or on behalf of any other person in </w:t>
      </w:r>
      <w:r>
        <w:rPr>
          <w:snapToGrid w:val="0"/>
        </w:rPr>
        <w:lastRenderedPageBreak/>
        <w:t>respect of loans negotiated or arranged by the finance broker or in respect of interest on such loans collected by him.</w:t>
      </w:r>
    </w:p>
    <w:p>
      <w:pPr>
        <w:pStyle w:val="Subsection"/>
        <w:rPr>
          <w:snapToGrid w:val="0"/>
        </w:rPr>
      </w:pPr>
      <w:r>
        <w:rPr>
          <w:snapToGrid w:val="0"/>
        </w:rPr>
        <w:tab/>
        <w:t>(2)</w:t>
      </w:r>
      <w:r>
        <w:rPr>
          <w:snapToGrid w:val="0"/>
        </w:rPr>
        <w:tab/>
        <w:t>Moneys so paid into any such trust account shall not be available for the payment of the debt of any other creditor of the finance broker,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Loan moneys received by a finance broker in the course of negotiating or arranging a loan and moneys received by a finance broker in respect of interest on loans, shall not be withdrawn from his trust account except for the purpose of completing the loan or paying in accordance with subsection (4) the moneys in respect of interest on loans, or as otherwise authorised by this Act, or as otherwise authorised by the prior written consent of all parties to the loan.</w:t>
      </w:r>
    </w:p>
    <w:p>
      <w:pPr>
        <w:pStyle w:val="Subsection"/>
        <w:rPr>
          <w:snapToGrid w:val="0"/>
        </w:rPr>
      </w:pPr>
      <w:r>
        <w:rPr>
          <w:snapToGrid w:val="0"/>
        </w:rPr>
        <w:tab/>
        <w:t>(4)</w:t>
      </w:r>
      <w:r>
        <w:rPr>
          <w:snapToGrid w:val="0"/>
        </w:rPr>
        <w:tab/>
        <w:t>A finance broker shall pay moneys withdrawn from a trust account to the person or persons lawfully entitled or authorised to receive them.</w:t>
      </w:r>
    </w:p>
    <w:p>
      <w:pPr>
        <w:pStyle w:val="Subsection"/>
        <w:rPr>
          <w:snapToGrid w:val="0"/>
        </w:rPr>
      </w:pPr>
      <w:r>
        <w:rPr>
          <w:snapToGrid w:val="0"/>
        </w:rPr>
        <w:tab/>
        <w:t>(5)</w:t>
      </w:r>
      <w:r>
        <w:rPr>
          <w:snapToGrid w:val="0"/>
        </w:rPr>
        <w:tab/>
        <w:t>A finance broker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 and</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 and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[Section 48 amended: No. 14 of 2010 s. 59.]</w:t>
      </w:r>
    </w:p>
    <w:p>
      <w:pPr>
        <w:pStyle w:val="Heading5"/>
        <w:rPr>
          <w:snapToGrid w:val="0"/>
        </w:rPr>
      </w:pPr>
      <w:bookmarkStart w:id="92" w:name="_Toc209794975"/>
      <w:r>
        <w:rPr>
          <w:rStyle w:val="CharSectno"/>
        </w:rPr>
        <w:lastRenderedPageBreak/>
        <w:t>49</w:t>
      </w:r>
      <w:r>
        <w:rPr>
          <w:snapToGrid w:val="0"/>
        </w:rPr>
        <w:t>.</w:t>
      </w:r>
      <w:r>
        <w:rPr>
          <w:snapToGrid w:val="0"/>
        </w:rPr>
        <w:tab/>
        <w:t>Receipts and accounting to principal</w:t>
      </w:r>
      <w:bookmarkEnd w:id="92"/>
      <w:r>
        <w:rPr>
          <w:snapToGrid w:val="0"/>
        </w:rPr>
        <w:t xml:space="preserve"> </w:t>
      </w:r>
    </w:p>
    <w:p>
      <w:pPr>
        <w:pStyle w:val="Subsection"/>
      </w:pPr>
      <w:r>
        <w:tab/>
        <w:t>(1A)</w:t>
      </w:r>
      <w:r>
        <w:tab/>
        <w:t>On and after the referral day, subsections (1), (2), (3), (4), (5) and (6) have no effect.</w:t>
      </w:r>
    </w:p>
    <w:p>
      <w:pPr>
        <w:pStyle w:val="Subsection"/>
        <w:rPr>
          <w:snapToGrid w:val="0"/>
        </w:rPr>
      </w:pPr>
      <w:r>
        <w:rPr>
          <w:snapToGrid w:val="0"/>
        </w:rPr>
        <w:tab/>
        <w:t>(1)</w:t>
      </w:r>
      <w:r>
        <w:rPr>
          <w:snapToGrid w:val="0"/>
        </w:rPr>
        <w:tab/>
        <w:t>When a finance broker receives money for or on behalf of any other person he shall forthwith give to the person paying the money a receipt for it complying with this section and specifying briefly the subject matter or purpose in respect of which the money was received, and shall retain legible carbon duplicates of the receipt.</w:t>
      </w:r>
    </w:p>
    <w:p>
      <w:pPr>
        <w:pStyle w:val="Subsection"/>
        <w:rPr>
          <w:snapToGrid w:val="0"/>
        </w:rPr>
      </w:pPr>
      <w:r>
        <w:rPr>
          <w:snapToGrid w:val="0"/>
        </w:rPr>
        <w:tab/>
        <w:t>(2)</w:t>
      </w:r>
      <w:r>
        <w:rPr>
          <w:snapToGrid w:val="0"/>
        </w:rPr>
        <w:tab/>
        <w:t>Receipts issued under subsection (1) shall be taken from bound books containing not less than 100 receipts and arranged so that a carbon duplicate of each receipt issued shall be retained in the book.</w:t>
      </w:r>
    </w:p>
    <w:p>
      <w:pPr>
        <w:pStyle w:val="Subsection"/>
        <w:rPr>
          <w:snapToGrid w:val="0"/>
        </w:rPr>
      </w:pPr>
      <w:r>
        <w:rPr>
          <w:snapToGrid w:val="0"/>
        </w:rPr>
        <w:tab/>
        <w:t>(3)</w:t>
      </w:r>
      <w:r>
        <w:rPr>
          <w:snapToGrid w:val="0"/>
        </w:rPr>
        <w:tab/>
        <w:t>The finance broker shall produce the retained duplicates in the appropriate books to the auditor at every audit, and at such other times as the auditor may reasonably require.</w:t>
      </w:r>
    </w:p>
    <w:p>
      <w:pPr>
        <w:pStyle w:val="Subsection"/>
        <w:rPr>
          <w:snapToGrid w:val="0"/>
        </w:rPr>
      </w:pPr>
      <w:r>
        <w:rPr>
          <w:snapToGrid w:val="0"/>
        </w:rPr>
        <w:tab/>
        <w:t>(4)</w:t>
      </w:r>
      <w:r>
        <w:rPr>
          <w:snapToGrid w:val="0"/>
        </w:rPr>
        <w:tab/>
        <w:t>The receipts and the duplicates thereof shall be so numbered and or lettered or both that every receipt can be identified and so that the receipt and duplicate have the same number or letter.</w:t>
      </w:r>
    </w:p>
    <w:p>
      <w:pPr>
        <w:pStyle w:val="Subsection"/>
        <w:rPr>
          <w:snapToGrid w:val="0"/>
        </w:rPr>
      </w:pPr>
      <w:r>
        <w:rPr>
          <w:snapToGrid w:val="0"/>
        </w:rPr>
        <w:tab/>
        <w:t>(5)</w:t>
      </w:r>
      <w:r>
        <w:rPr>
          <w:snapToGrid w:val="0"/>
        </w:rPr>
        <w:tab/>
        <w:t xml:space="preserve">Subsections (1) to (4) do not apply in the case of a finance broker if the finance broker’s auditor certifies to the </w:t>
      </w:r>
      <w:r>
        <w:t>Commissioner</w:t>
      </w:r>
      <w:r>
        <w:rPr>
          <w:snapToGrid w:val="0"/>
        </w:rPr>
        <w:t xml:space="preserve"> that he is satisfied with the system employed by the finance broker and that the receipt books are so kept and entered up as to enable the accounts to be properly and conveniently audited, and the </w:t>
      </w:r>
      <w:r>
        <w:t>Commissioner</w:t>
      </w:r>
      <w:r>
        <w:rPr>
          <w:snapToGrid w:val="0"/>
        </w:rPr>
        <w:t xml:space="preserve"> approves of the system employed by the finance broker of recording the receipt of moneys.</w:t>
      </w:r>
    </w:p>
    <w:p>
      <w:pPr>
        <w:pStyle w:val="Subsection"/>
        <w:rPr>
          <w:snapToGrid w:val="0"/>
        </w:rPr>
      </w:pPr>
      <w:r>
        <w:rPr>
          <w:snapToGrid w:val="0"/>
        </w:rPr>
        <w:tab/>
        <w:t>(6)</w:t>
      </w:r>
      <w:r>
        <w:rPr>
          <w:snapToGrid w:val="0"/>
        </w:rPr>
        <w:tab/>
        <w:t>On receipt of any moneys by a finance broker in respect of a loan, or in respect of interest on a loan, he shall render to the person on whose behalf the money is received an account in writing of all such moneys and of the application thereof.</w:t>
      </w:r>
    </w:p>
    <w:p>
      <w:pPr>
        <w:pStyle w:val="Footnotesection"/>
      </w:pPr>
      <w:r>
        <w:lastRenderedPageBreak/>
        <w:tab/>
        <w:t>[Section 49 amended: No. 53 of 2004 s. 39; No. 14 of 2010 s. 60.]</w:t>
      </w:r>
    </w:p>
    <w:p>
      <w:pPr>
        <w:pStyle w:val="Heading5"/>
        <w:rPr>
          <w:snapToGrid w:val="0"/>
        </w:rPr>
      </w:pPr>
      <w:bookmarkStart w:id="93" w:name="_Toc209794976"/>
      <w:r>
        <w:rPr>
          <w:rStyle w:val="CharSectno"/>
        </w:rPr>
        <w:t>50</w:t>
      </w:r>
      <w:r>
        <w:rPr>
          <w:snapToGrid w:val="0"/>
        </w:rPr>
        <w:t>.</w:t>
      </w:r>
      <w:r>
        <w:rPr>
          <w:snapToGrid w:val="0"/>
        </w:rPr>
        <w:tab/>
        <w:t>Duty of finance broker to have trust accounts audited</w:t>
      </w:r>
      <w:bookmarkEnd w:id="93"/>
      <w:r>
        <w:rPr>
          <w:snapToGrid w:val="0"/>
        </w:rPr>
        <w:t xml:space="preserve"> </w:t>
      </w:r>
    </w:p>
    <w:p>
      <w:pPr>
        <w:pStyle w:val="Subsection"/>
      </w:pPr>
      <w:r>
        <w:tab/>
        <w:t>(1A)</w:t>
      </w:r>
      <w:r>
        <w:tab/>
        <w:t>On and after the referral day, subsections (1), (2), (3), (4), (5), (6), (7), (8) and (9) have no effect.</w:t>
      </w:r>
    </w:p>
    <w:p>
      <w:pPr>
        <w:pStyle w:val="Subsection"/>
        <w:rPr>
          <w:snapToGrid w:val="0"/>
        </w:rPr>
      </w:pPr>
      <w:r>
        <w:rPr>
          <w:snapToGrid w:val="0"/>
        </w:rPr>
        <w:tab/>
        <w:t>(1)</w:t>
      </w:r>
      <w:r>
        <w:rPr>
          <w:snapToGrid w:val="0"/>
        </w:rPr>
        <w:tab/>
        <w:t>Every person who carries on business as a finance broker during the whole or any part of that year shall cause his trust accounts for that year, or part of a year, as the case may be, to be audited by an auditor duly qualified or approved under this division.</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w:t>
      </w:r>
      <w:r>
        <w:t xml:space="preserve"> Commissioner</w:t>
      </w:r>
      <w:r>
        <w:rPr>
          <w:snapToGrid w:val="0"/>
        </w:rPr>
        <w:t>.</w:t>
      </w:r>
    </w:p>
    <w:p>
      <w:pPr>
        <w:pStyle w:val="Subsection"/>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statutory declaration of the auditor, in an approved form; and</w:t>
      </w:r>
    </w:p>
    <w:p>
      <w:pPr>
        <w:pStyle w:val="Indenta"/>
        <w:rPr>
          <w:snapToGrid w:val="0"/>
        </w:rPr>
      </w:pPr>
      <w:r>
        <w:rPr>
          <w:snapToGrid w:val="0"/>
        </w:rPr>
        <w:tab/>
        <w:t>(b)</w:t>
      </w:r>
      <w:r>
        <w:rPr>
          <w:snapToGrid w:val="0"/>
        </w:rPr>
        <w:tab/>
        <w:t>deliver a copy of the report so verified to the finance broker.</w:t>
      </w:r>
    </w:p>
    <w:p>
      <w:pPr>
        <w:pStyle w:val="Subsection"/>
        <w:rPr>
          <w:snapToGrid w:val="0"/>
        </w:rPr>
      </w:pPr>
      <w:r>
        <w:rPr>
          <w:snapToGrid w:val="0"/>
        </w:rPr>
        <w:tab/>
        <w:t>(4)</w:t>
      </w:r>
      <w:r>
        <w:rPr>
          <w:snapToGrid w:val="0"/>
        </w:rPr>
        <w:tab/>
        <w:t>The finance broker shall retain the copy of the report and produce it on demand pursuant to section 60(3).</w:t>
      </w:r>
    </w:p>
    <w:p>
      <w:pPr>
        <w:pStyle w:val="Subsection"/>
        <w:rPr>
          <w:snapToGrid w:val="0"/>
        </w:rPr>
      </w:pPr>
      <w:r>
        <w:rPr>
          <w:snapToGrid w:val="0"/>
        </w:rPr>
        <w:tab/>
        <w:t>(5)</w:t>
      </w:r>
      <w:r>
        <w:rPr>
          <w:snapToGrid w:val="0"/>
        </w:rPr>
        <w:tab/>
        <w:t xml:space="preserve">The </w:t>
      </w:r>
      <w:r>
        <w:t>Commissioner</w:t>
      </w:r>
      <w:r>
        <w:rPr>
          <w:snapToGrid w:val="0"/>
        </w:rPr>
        <w:t xml:space="preserve"> may, in circumstances the </w:t>
      </w:r>
      <w:r>
        <w:t>Commissioner</w:t>
      </w:r>
      <w:r>
        <w:rPr>
          <w:snapToGrid w:val="0"/>
        </w:rPr>
        <w:t xml:space="preserv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finance broker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finance broker.</w:t>
      </w:r>
    </w:p>
    <w:p>
      <w:pPr>
        <w:pStyle w:val="Subsection"/>
        <w:rPr>
          <w:snapToGrid w:val="0"/>
        </w:rPr>
      </w:pPr>
      <w:r>
        <w:rPr>
          <w:snapToGrid w:val="0"/>
        </w:rPr>
        <w:lastRenderedPageBreak/>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finance broker if the </w:t>
      </w:r>
      <w:r>
        <w:t>Commissioner</w:t>
      </w:r>
      <w:r>
        <w:rPr>
          <w:snapToGrid w:val="0"/>
        </w:rPr>
        <w:t xml:space="preserve"> so directs but otherwise shall be paid by the</w:t>
      </w:r>
      <w:r>
        <w:t xml:space="preserve"> chief executive officer</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there shall be a quarterly audit in respect of the trust accounts of a finance broker for the first 3 months during which he carries on business as such after the appointed day, and such quarterly audit shall be conducted in accordance with such provisions of this division in respect of the annual audit as are capable of being applied to the quarterly audit, and the auditor shall within 2 months after the end of the first 3 months deliver to the </w:t>
      </w:r>
      <w:r>
        <w:t>Commissioner</w:t>
      </w:r>
      <w:r>
        <w:rPr>
          <w:snapToGrid w:val="0"/>
        </w:rPr>
        <w:t xml:space="preserve"> a report of the result of such quarterly audit.</w:t>
      </w:r>
    </w:p>
    <w:p>
      <w:pPr>
        <w:pStyle w:val="Subsection"/>
        <w:rPr>
          <w:snapToGrid w:val="0"/>
        </w:rPr>
      </w:pPr>
      <w:r>
        <w:rPr>
          <w:snapToGrid w:val="0"/>
        </w:rPr>
        <w:tab/>
        <w:t>(9)</w:t>
      </w:r>
      <w:r>
        <w:rPr>
          <w:snapToGrid w:val="0"/>
        </w:rPr>
        <w:tab/>
        <w:t xml:space="preserve">The </w:t>
      </w:r>
      <w:r>
        <w:t>Commissioner</w:t>
      </w:r>
      <w:r>
        <w:rPr>
          <w:snapToGrid w:val="0"/>
        </w:rPr>
        <w:t xml:space="preserve"> may, </w:t>
      </w:r>
      <w:r>
        <w:t>if the Commissioner thinks</w:t>
      </w:r>
      <w:r>
        <w:rPr>
          <w:snapToGrid w:val="0"/>
        </w:rPr>
        <w:t xml:space="preserve"> fit, waive in respect of a finance broker’s trust accounts the requirement of a quarterly audit mentioned in subsection (8).</w:t>
      </w:r>
    </w:p>
    <w:p>
      <w:pPr>
        <w:pStyle w:val="Footnotesection"/>
      </w:pPr>
      <w:r>
        <w:tab/>
        <w:t>[Section 50 amended: No. 53 of 2004 s. 40; No. 46 of 2009 s. 17; No. 14 of 2010 s. 61.]</w:t>
      </w:r>
    </w:p>
    <w:p>
      <w:pPr>
        <w:pStyle w:val="Heading5"/>
        <w:rPr>
          <w:snapToGrid w:val="0"/>
        </w:rPr>
      </w:pPr>
      <w:bookmarkStart w:id="94" w:name="_Toc209794977"/>
      <w:r>
        <w:rPr>
          <w:rStyle w:val="CharSectno"/>
        </w:rPr>
        <w:t>51</w:t>
      </w:r>
      <w:r>
        <w:rPr>
          <w:snapToGrid w:val="0"/>
        </w:rPr>
        <w:t>.</w:t>
      </w:r>
      <w:r>
        <w:rPr>
          <w:snapToGrid w:val="0"/>
        </w:rPr>
        <w:tab/>
        <w:t>Variation of date of audit</w:t>
      </w:r>
      <w:bookmarkEnd w:id="94"/>
      <w:r>
        <w:rPr>
          <w:snapToGrid w:val="0"/>
        </w:rPr>
        <w:t xml:space="preserve"> </w:t>
      </w:r>
    </w:p>
    <w:p>
      <w:pPr>
        <w:pStyle w:val="Subsection"/>
        <w:rPr>
          <w:snapToGrid w:val="0"/>
        </w:rPr>
      </w:pPr>
      <w:r>
        <w:rPr>
          <w:snapToGrid w:val="0"/>
        </w:rPr>
        <w:tab/>
        <w:t>(1)</w:t>
      </w:r>
      <w:r>
        <w:rPr>
          <w:snapToGrid w:val="0"/>
        </w:rPr>
        <w:tab/>
        <w:t xml:space="preserve">Notwithstanding anything in this Division a finance broker may apply in writing to the </w:t>
      </w:r>
      <w:r>
        <w:t>Commissioner</w:t>
      </w:r>
      <w:r>
        <w:rPr>
          <w:snapToGrid w:val="0"/>
        </w:rPr>
        <w:t xml:space="preserve"> to fix some date other than 31 December, as the date up to which his trust accounts are to be audited, and the </w:t>
      </w:r>
      <w:r>
        <w:t>Commissioner</w:t>
      </w:r>
      <w:r>
        <w:rPr>
          <w:snapToGrid w:val="0"/>
        </w:rPr>
        <w:t xml:space="preserve"> may, in the </w:t>
      </w:r>
      <w:r>
        <w:t>Commissioner’s</w:t>
      </w:r>
      <w:r>
        <w:rPr>
          <w:snapToGrid w:val="0"/>
        </w:rPr>
        <w:t xml:space="preserve"> discretion, permit the finance broker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finance broker affected, revoke any permission granted under this section.</w:t>
      </w:r>
    </w:p>
    <w:p>
      <w:pPr>
        <w:pStyle w:val="Subsection"/>
        <w:rPr>
          <w:snapToGrid w:val="0"/>
        </w:rPr>
      </w:pPr>
      <w:r>
        <w:rPr>
          <w:snapToGrid w:val="0"/>
        </w:rPr>
        <w:lastRenderedPageBreak/>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50 shall, in relation to the finance broker concerned, be read as if such other date was substituted for 31 December.</w:t>
      </w:r>
    </w:p>
    <w:p>
      <w:pPr>
        <w:pStyle w:val="Subsection"/>
        <w:spacing w:before="180"/>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51 amended: No. 53 of 2004 s. 41.]</w:t>
      </w:r>
    </w:p>
    <w:p>
      <w:pPr>
        <w:pStyle w:val="Heading5"/>
        <w:spacing w:before="240"/>
        <w:rPr>
          <w:snapToGrid w:val="0"/>
        </w:rPr>
      </w:pPr>
      <w:bookmarkStart w:id="95" w:name="_Toc209794978"/>
      <w:r>
        <w:rPr>
          <w:rStyle w:val="CharSectno"/>
        </w:rPr>
        <w:t>52</w:t>
      </w:r>
      <w:r>
        <w:rPr>
          <w:snapToGrid w:val="0"/>
        </w:rPr>
        <w:t>.</w:t>
      </w:r>
      <w:r>
        <w:rPr>
          <w:snapToGrid w:val="0"/>
        </w:rPr>
        <w:tab/>
        <w:t>Qualification and approval of auditors</w:t>
      </w:r>
      <w:bookmarkEnd w:id="95"/>
      <w:r>
        <w:rPr>
          <w:snapToGrid w:val="0"/>
        </w:rPr>
        <w:t xml:space="preserve"> </w:t>
      </w:r>
    </w:p>
    <w:p>
      <w:pPr>
        <w:pStyle w:val="Subsection"/>
        <w:spacing w:before="180"/>
        <w:rPr>
          <w:snapToGrid w:val="0"/>
        </w:rPr>
      </w:pPr>
      <w:r>
        <w:rPr>
          <w:snapToGrid w:val="0"/>
        </w:rPr>
        <w:tab/>
        <w:t>(1)</w:t>
      </w:r>
      <w:r>
        <w:rPr>
          <w:snapToGrid w:val="0"/>
        </w:rPr>
        <w:tab/>
        <w:t>Subject to subsection (2), no person is qualified to act as an auditor under this Division unless he is a registered company auditor within the meaning of the</w:t>
      </w:r>
      <w:r>
        <w:rPr>
          <w:i/>
        </w:rPr>
        <w:t xml:space="preserve"> Corporations Act 2001</w:t>
      </w:r>
      <w:r>
        <w:t xml:space="preserve"> of the Commonwealth</w:t>
      </w:r>
      <w:r>
        <w:rPr>
          <w:snapToGrid w:val="0"/>
        </w:rPr>
        <w:t>.</w:t>
      </w:r>
    </w:p>
    <w:p>
      <w:pPr>
        <w:pStyle w:val="Subsection"/>
        <w:keepLines/>
        <w:rPr>
          <w:snapToGrid w:val="0"/>
        </w:rPr>
      </w:pPr>
      <w:r>
        <w:rPr>
          <w:snapToGrid w:val="0"/>
        </w:rPr>
        <w:tab/>
        <w:t>(2)</w:t>
      </w:r>
      <w:r>
        <w:rPr>
          <w:snapToGrid w:val="0"/>
        </w:rPr>
        <w:tab/>
        <w:t xml:space="preserve">In districts in respect of which the </w:t>
      </w:r>
      <w:r>
        <w:t>Commissioner</w:t>
      </w:r>
      <w:r>
        <w:rPr>
          <w:snapToGrid w:val="0"/>
        </w:rPr>
        <w:t xml:space="preserve"> is satisfied that no registered company auditor within the meaning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Division.</w:t>
      </w:r>
    </w:p>
    <w:p>
      <w:pPr>
        <w:pStyle w:val="Subsection"/>
        <w:rPr>
          <w:snapToGrid w:val="0"/>
        </w:rPr>
      </w:pPr>
      <w:r>
        <w:rPr>
          <w:snapToGrid w:val="0"/>
        </w:rPr>
        <w:tab/>
        <w:t>(3)</w:t>
      </w:r>
      <w:r>
        <w:rPr>
          <w:snapToGrid w:val="0"/>
        </w:rPr>
        <w:tab/>
        <w:t>No person shall audit the accounts of a finance broker if he is an employee or partner of that finance broker, or if he is an employee or partner of any other finance broker actually carrying on business as such, or he is himself carrying on business as such.</w:t>
      </w:r>
    </w:p>
    <w:p>
      <w:pPr>
        <w:pStyle w:val="Subsection"/>
        <w:rPr>
          <w:snapToGrid w:val="0"/>
        </w:rPr>
      </w:pPr>
      <w:r>
        <w:rPr>
          <w:snapToGrid w:val="0"/>
        </w:rPr>
        <w:tab/>
        <w:t>(4)</w:t>
      </w:r>
      <w:r>
        <w:rPr>
          <w:snapToGrid w:val="0"/>
        </w:rPr>
        <w:tab/>
        <w:t xml:space="preserve">An auditor shall disclose to the </w:t>
      </w:r>
      <w:r>
        <w:t>Commissioner</w:t>
      </w:r>
      <w:r>
        <w:rPr>
          <w:snapToGrid w:val="0"/>
        </w:rPr>
        <w:t xml:space="preserve"> any close relationship by blood or marriage he has with a finance broker </w:t>
      </w:r>
      <w:r>
        <w:rPr>
          <w:snapToGrid w:val="0"/>
        </w:rPr>
        <w:lastRenderedPageBreak/>
        <w:t xml:space="preserve">whose trust accounts he has been appointed to audit or any business dealings he has with or through such finance broker at any time during his appointment as auditor, and the </w:t>
      </w:r>
      <w:r>
        <w:t>Commissioner</w:t>
      </w:r>
      <w:r>
        <w:rPr>
          <w:snapToGrid w:val="0"/>
        </w:rPr>
        <w:t xml:space="preserve"> may, if the </w:t>
      </w:r>
      <w:r>
        <w:t>Commissioner</w:t>
      </w:r>
      <w:r>
        <w:rPr>
          <w:snapToGrid w:val="0"/>
        </w:rPr>
        <w:t xml:space="preserve"> thinks fit, disqualify that auditor from acting in that particular case.</w:t>
      </w:r>
    </w:p>
    <w:p>
      <w:pPr>
        <w:pStyle w:val="Footnotesection"/>
      </w:pPr>
      <w:r>
        <w:tab/>
        <w:t xml:space="preserve">[Section 52 amended: No. 10 of 1982 s. 28; No. 10 of 2001 s. 221; No. 53 of 2004 s. 42.] </w:t>
      </w:r>
    </w:p>
    <w:p>
      <w:pPr>
        <w:pStyle w:val="Heading5"/>
        <w:rPr>
          <w:snapToGrid w:val="0"/>
        </w:rPr>
      </w:pPr>
      <w:bookmarkStart w:id="96" w:name="_Toc209794979"/>
      <w:r>
        <w:rPr>
          <w:rStyle w:val="CharSectno"/>
        </w:rPr>
        <w:t>53</w:t>
      </w:r>
      <w:r>
        <w:rPr>
          <w:snapToGrid w:val="0"/>
        </w:rPr>
        <w:t>.</w:t>
      </w:r>
      <w:r>
        <w:rPr>
          <w:snapToGrid w:val="0"/>
        </w:rPr>
        <w:tab/>
        <w:t>Appointment of auditor</w:t>
      </w:r>
      <w:bookmarkEnd w:id="96"/>
      <w:r>
        <w:rPr>
          <w:snapToGrid w:val="0"/>
        </w:rPr>
        <w:t xml:space="preserve"> </w:t>
      </w:r>
    </w:p>
    <w:p>
      <w:pPr>
        <w:pStyle w:val="Subsection"/>
        <w:rPr>
          <w:snapToGrid w:val="0"/>
        </w:rPr>
      </w:pPr>
      <w:r>
        <w:rPr>
          <w:snapToGrid w:val="0"/>
        </w:rPr>
        <w:tab/>
        <w:t>(1)</w:t>
      </w:r>
      <w:r>
        <w:rPr>
          <w:snapToGrid w:val="0"/>
        </w:rPr>
        <w:tab/>
        <w:t>Subject to the provisions of this Division the auditor by whom the audit of, and reports on, a finance broker’s trust accounts are to be made</w:t>
      </w:r>
      <w:r>
        <w:t xml:space="preserve"> under this Division</w:t>
      </w:r>
      <w:r>
        <w:rPr>
          <w:snapToGrid w:val="0"/>
        </w:rPr>
        <w:t xml:space="preserve"> shall be appointed and employed for that purpose by that finance broker.</w:t>
      </w:r>
    </w:p>
    <w:p>
      <w:pPr>
        <w:pStyle w:val="Subsection"/>
        <w:rPr>
          <w:snapToGrid w:val="0"/>
        </w:rPr>
      </w:pPr>
      <w:r>
        <w:rPr>
          <w:snapToGrid w:val="0"/>
        </w:rPr>
        <w:tab/>
        <w:t>(2)</w:t>
      </w:r>
      <w:r>
        <w:rPr>
          <w:snapToGrid w:val="0"/>
        </w:rPr>
        <w:tab/>
        <w:t>A finance broker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53 amended: No. 53 of 2004 s. 43; No. 14 of 2010 s. 62.]</w:t>
      </w:r>
    </w:p>
    <w:p>
      <w:pPr>
        <w:pStyle w:val="Heading5"/>
        <w:rPr>
          <w:snapToGrid w:val="0"/>
        </w:rPr>
      </w:pPr>
      <w:bookmarkStart w:id="97" w:name="_Toc209794980"/>
      <w:r>
        <w:rPr>
          <w:rStyle w:val="CharSectno"/>
        </w:rPr>
        <w:t>54</w:t>
      </w:r>
      <w:r>
        <w:rPr>
          <w:snapToGrid w:val="0"/>
        </w:rPr>
        <w:t>.</w:t>
      </w:r>
      <w:r>
        <w:rPr>
          <w:snapToGrid w:val="0"/>
        </w:rPr>
        <w:tab/>
        <w:t>Power to give directions for audit of business carried on at more than one place</w:t>
      </w:r>
      <w:bookmarkEnd w:id="97"/>
      <w:r>
        <w:rPr>
          <w:snapToGrid w:val="0"/>
        </w:rPr>
        <w:t xml:space="preserve"> </w:t>
      </w:r>
    </w:p>
    <w:p>
      <w:pPr>
        <w:pStyle w:val="Subsection"/>
        <w:rPr>
          <w:snapToGrid w:val="0"/>
        </w:rPr>
      </w:pPr>
      <w:r>
        <w:rPr>
          <w:snapToGrid w:val="0"/>
        </w:rPr>
        <w:tab/>
      </w:r>
      <w:r>
        <w:rPr>
          <w:snapToGrid w:val="0"/>
        </w:rPr>
        <w:tab/>
        <w:t xml:space="preserve">In the event of a finance broker carrying on business at more than one place the </w:t>
      </w:r>
      <w:r>
        <w:t>Commissioner</w:t>
      </w:r>
      <w:r>
        <w:rPr>
          <w:snapToGrid w:val="0"/>
        </w:rPr>
        <w:t xml:space="preserve"> may from time to time give such directions as the </w:t>
      </w:r>
      <w:r>
        <w:t>Commissioner</w:t>
      </w:r>
      <w:r>
        <w:rPr>
          <w:snapToGrid w:val="0"/>
        </w:rPr>
        <w:t xml:space="preserve"> thinks fit for separate audits</w:t>
      </w:r>
      <w:r>
        <w:t xml:space="preserve"> under this Division</w:t>
      </w:r>
      <w:r>
        <w:rPr>
          <w:snapToGrid w:val="0"/>
        </w:rPr>
        <w:t xml:space="preserve">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pPr>
      <w:r>
        <w:tab/>
        <w:t>[Section 54 amended: No. 53 of 2004 s. 44; No. 14 of 2010 s. 63.]</w:t>
      </w:r>
    </w:p>
    <w:p>
      <w:pPr>
        <w:pStyle w:val="Heading5"/>
        <w:rPr>
          <w:snapToGrid w:val="0"/>
        </w:rPr>
      </w:pPr>
      <w:bookmarkStart w:id="98" w:name="_Toc209794981"/>
      <w:r>
        <w:rPr>
          <w:rStyle w:val="CharSectno"/>
        </w:rPr>
        <w:lastRenderedPageBreak/>
        <w:t>55</w:t>
      </w:r>
      <w:r>
        <w:rPr>
          <w:snapToGrid w:val="0"/>
        </w:rPr>
        <w:t>.</w:t>
      </w:r>
      <w:r>
        <w:rPr>
          <w:snapToGrid w:val="0"/>
        </w:rPr>
        <w:tab/>
        <w:t>Alteration of rights under this Division</w:t>
      </w:r>
      <w:bookmarkEnd w:id="98"/>
      <w:r>
        <w:rPr>
          <w:snapToGrid w:val="0"/>
        </w:rPr>
        <w:t xml:space="preserve"> </w:t>
      </w:r>
    </w:p>
    <w:p>
      <w:pPr>
        <w:pStyle w:val="Subsection"/>
        <w:spacing w:before="120"/>
        <w:rPr>
          <w:snapToGrid w:val="0"/>
        </w:rPr>
      </w:pPr>
      <w:r>
        <w:rPr>
          <w:snapToGrid w:val="0"/>
        </w:rPr>
        <w:tab/>
      </w:r>
      <w:r>
        <w:rPr>
          <w:snapToGrid w:val="0"/>
        </w:rPr>
        <w:tab/>
        <w:t xml:space="preserve">The </w:t>
      </w:r>
      <w:r>
        <w:t>Commissioner</w:t>
      </w:r>
      <w:r>
        <w:rPr>
          <w:snapToGrid w:val="0"/>
        </w:rPr>
        <w:t xml:space="preserve"> may, if in the </w:t>
      </w:r>
      <w:r>
        <w:t>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Division;</w:t>
      </w:r>
    </w:p>
    <w:p>
      <w:pPr>
        <w:pStyle w:val="Indenta"/>
        <w:rPr>
          <w:snapToGrid w:val="0"/>
        </w:rPr>
      </w:pPr>
      <w:r>
        <w:rPr>
          <w:snapToGrid w:val="0"/>
        </w:rPr>
        <w:tab/>
        <w:t>(b)</w:t>
      </w:r>
      <w:r>
        <w:rPr>
          <w:snapToGrid w:val="0"/>
        </w:rPr>
        <w:tab/>
        <w:t xml:space="preserve">vary or revoke any other approval, direction, permission, or authority granted or given by the </w:t>
      </w:r>
      <w:r>
        <w:t>Commissioner</w:t>
      </w:r>
      <w:r>
        <w:rPr>
          <w:snapToGrid w:val="0"/>
        </w:rPr>
        <w:t xml:space="preserve"> under this Division.</w:t>
      </w:r>
    </w:p>
    <w:p>
      <w:pPr>
        <w:pStyle w:val="Footnotesection"/>
      </w:pPr>
      <w:r>
        <w:tab/>
        <w:t>[Section 55 amended: No. 53 of 2004 s. 45.]</w:t>
      </w:r>
    </w:p>
    <w:p>
      <w:pPr>
        <w:pStyle w:val="Ednotesection"/>
      </w:pPr>
      <w:r>
        <w:t>[</w:t>
      </w:r>
      <w:r>
        <w:rPr>
          <w:b/>
          <w:bCs/>
        </w:rPr>
        <w:t>56.</w:t>
      </w:r>
      <w:r>
        <w:tab/>
        <w:t>Deleted: No. 55 of 2004 s. 353.]</w:t>
      </w:r>
    </w:p>
    <w:p>
      <w:pPr>
        <w:pStyle w:val="Heading5"/>
        <w:rPr>
          <w:snapToGrid w:val="0"/>
        </w:rPr>
      </w:pPr>
      <w:bookmarkStart w:id="99" w:name="_Toc209794982"/>
      <w:r>
        <w:rPr>
          <w:rStyle w:val="CharSectno"/>
        </w:rPr>
        <w:t>57</w:t>
      </w:r>
      <w:r>
        <w:rPr>
          <w:snapToGrid w:val="0"/>
        </w:rPr>
        <w:t>.</w:t>
      </w:r>
      <w:r>
        <w:rPr>
          <w:snapToGrid w:val="0"/>
        </w:rPr>
        <w:tab/>
        <w:t>Duties of finance brokers with respect to audit</w:t>
      </w:r>
      <w:bookmarkEnd w:id="99"/>
      <w:r>
        <w:rPr>
          <w:snapToGrid w:val="0"/>
        </w:rPr>
        <w:t xml:space="preserve"> </w:t>
      </w:r>
    </w:p>
    <w:p>
      <w:pPr>
        <w:pStyle w:val="Subsection"/>
        <w:spacing w:before="120"/>
        <w:rPr>
          <w:snapToGrid w:val="0"/>
        </w:rPr>
      </w:pPr>
      <w:r>
        <w:rPr>
          <w:snapToGrid w:val="0"/>
        </w:rPr>
        <w:tab/>
        <w:t>(1)</w:t>
      </w:r>
      <w:r>
        <w:rPr>
          <w:snapToGrid w:val="0"/>
        </w:rPr>
        <w:tab/>
        <w:t>For the purposes of an audit or report under this Division every finance broker shall, as and when the auditor requires, produce to the auditor his books and all papers, accounts, documents, and securities in his possession, custody, or power in any way relating to any moneys received by the finance broker for or on behalf of any other person and shall furnish the auditor with all such information and particulars as he reasonably requires.</w:t>
      </w:r>
    </w:p>
    <w:p>
      <w:pPr>
        <w:pStyle w:val="Subsection"/>
        <w:spacing w:before="120"/>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spacing w:before="180"/>
        <w:rPr>
          <w:snapToGrid w:val="0"/>
        </w:rPr>
      </w:pPr>
      <w:bookmarkStart w:id="100" w:name="_Toc209794983"/>
      <w:r>
        <w:rPr>
          <w:rStyle w:val="CharSectno"/>
        </w:rPr>
        <w:t>58</w:t>
      </w:r>
      <w:r>
        <w:rPr>
          <w:snapToGrid w:val="0"/>
        </w:rPr>
        <w:t>.</w:t>
      </w:r>
      <w:r>
        <w:rPr>
          <w:snapToGrid w:val="0"/>
        </w:rPr>
        <w:tab/>
        <w:t>Duty of banker with respect to audit</w:t>
      </w:r>
      <w:bookmarkEnd w:id="100"/>
      <w:r>
        <w:rPr>
          <w:snapToGrid w:val="0"/>
        </w:rPr>
        <w:t xml:space="preserve"> </w:t>
      </w:r>
    </w:p>
    <w:p>
      <w:pPr>
        <w:pStyle w:val="Subsection"/>
        <w:rPr>
          <w:snapToGrid w:val="0"/>
        </w:rPr>
      </w:pPr>
      <w:r>
        <w:rPr>
          <w:snapToGrid w:val="0"/>
        </w:rPr>
        <w:tab/>
      </w:r>
      <w:r>
        <w:rPr>
          <w:snapToGrid w:val="0"/>
        </w:rPr>
        <w:tab/>
        <w:t>Every banker of a finance broker shall, on request of any auditor engaged in the audit of that finance broker’s trust accounts under this Division, produce to that auditor all such books, papers, accounts, documents and securities as may be reasonably necessary for the purposes of the audit.</w:t>
      </w:r>
    </w:p>
    <w:p>
      <w:pPr>
        <w:pStyle w:val="Heading5"/>
        <w:rPr>
          <w:snapToGrid w:val="0"/>
        </w:rPr>
      </w:pPr>
      <w:bookmarkStart w:id="101" w:name="_Toc209794984"/>
      <w:r>
        <w:rPr>
          <w:rStyle w:val="CharSectno"/>
        </w:rPr>
        <w:lastRenderedPageBreak/>
        <w:t>59</w:t>
      </w:r>
      <w:r>
        <w:rPr>
          <w:snapToGrid w:val="0"/>
        </w:rPr>
        <w:t>.</w:t>
      </w:r>
      <w:r>
        <w:rPr>
          <w:snapToGrid w:val="0"/>
        </w:rPr>
        <w:tab/>
        <w:t>Contents of auditor’s report</w:t>
      </w:r>
      <w:bookmarkEnd w:id="101"/>
      <w:r>
        <w:rPr>
          <w:snapToGrid w:val="0"/>
        </w:rPr>
        <w:t xml:space="preserve"> </w:t>
      </w:r>
    </w:p>
    <w:p>
      <w:pPr>
        <w:pStyle w:val="Subsection"/>
        <w:rPr>
          <w:snapToGrid w:val="0"/>
        </w:rPr>
      </w:pPr>
      <w:r>
        <w:rPr>
          <w:snapToGrid w:val="0"/>
        </w:rPr>
        <w:tab/>
      </w:r>
      <w:r>
        <w:rPr>
          <w:snapToGrid w:val="0"/>
        </w:rPr>
        <w:tab/>
        <w:t>Every auditor of a finance broker’s trust accounts shall include in his report furnished pursuant to section 50 a statement as to the following matters — </w:t>
      </w:r>
    </w:p>
    <w:p>
      <w:pPr>
        <w:pStyle w:val="Indenta"/>
        <w:rPr>
          <w:snapToGrid w:val="0"/>
        </w:rPr>
      </w:pPr>
      <w:r>
        <w:rPr>
          <w:snapToGrid w:val="0"/>
        </w:rPr>
        <w:tab/>
        <w:t>(a)</w:t>
      </w:r>
      <w:r>
        <w:rPr>
          <w:snapToGrid w:val="0"/>
        </w:rPr>
        <w:tab/>
        <w:t>whether the trust accounts of such finance broker have in the opinion of the auditor been kept regularly and properly written up; and</w:t>
      </w:r>
    </w:p>
    <w:p>
      <w:pPr>
        <w:pStyle w:val="Indenta"/>
        <w:rPr>
          <w:snapToGrid w:val="0"/>
        </w:rPr>
      </w:pPr>
      <w:r>
        <w:rPr>
          <w:snapToGrid w:val="0"/>
        </w:rPr>
        <w:tab/>
        <w:t>(b)</w:t>
      </w:r>
      <w:r>
        <w:rPr>
          <w:snapToGrid w:val="0"/>
        </w:rPr>
        <w:tab/>
        <w:t>whether the trust accounts of such finance broker have been ready for examination at the periods appointed by the auditor; and</w:t>
      </w:r>
    </w:p>
    <w:p>
      <w:pPr>
        <w:pStyle w:val="Indenta"/>
        <w:rPr>
          <w:snapToGrid w:val="0"/>
        </w:rPr>
      </w:pPr>
      <w:r>
        <w:rPr>
          <w:snapToGrid w:val="0"/>
        </w:rPr>
        <w:tab/>
        <w:t>(c)</w:t>
      </w:r>
      <w:r>
        <w:rPr>
          <w:snapToGrid w:val="0"/>
        </w:rPr>
        <w:tab/>
        <w:t>whether such finance broker has complied with the auditor’s requirements; and</w:t>
      </w:r>
    </w:p>
    <w:p>
      <w:pPr>
        <w:pStyle w:val="Indenta"/>
        <w:rPr>
          <w:snapToGrid w:val="0"/>
        </w:rPr>
      </w:pPr>
      <w:r>
        <w:rPr>
          <w:snapToGrid w:val="0"/>
        </w:rPr>
        <w:tab/>
        <w:t>(d)</w:t>
      </w:r>
      <w:r>
        <w:rPr>
          <w:snapToGrid w:val="0"/>
        </w:rPr>
        <w:tab/>
        <w:t>whether in the opinion of the auditor such finance broker’s trust accounts are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59 amended: No. 53 of 2004 s. 46.]</w:t>
      </w:r>
    </w:p>
    <w:p>
      <w:pPr>
        <w:pStyle w:val="Heading5"/>
        <w:rPr>
          <w:snapToGrid w:val="0"/>
        </w:rPr>
      </w:pPr>
      <w:bookmarkStart w:id="102" w:name="_Toc209794985"/>
      <w:r>
        <w:rPr>
          <w:rStyle w:val="CharSectno"/>
        </w:rPr>
        <w:t>60</w:t>
      </w:r>
      <w:r>
        <w:rPr>
          <w:snapToGrid w:val="0"/>
        </w:rPr>
        <w:t>.</w:t>
      </w:r>
      <w:r>
        <w:rPr>
          <w:snapToGrid w:val="0"/>
        </w:rPr>
        <w:tab/>
        <w:t>Statement of moneys etc. held by finance broker for or on behalf of other persons</w:t>
      </w:r>
      <w:bookmarkEnd w:id="102"/>
      <w:r>
        <w:rPr>
          <w:snapToGrid w:val="0"/>
        </w:rPr>
        <w:t xml:space="preserve"> </w:t>
      </w:r>
    </w:p>
    <w:p>
      <w:pPr>
        <w:pStyle w:val="Subsection"/>
        <w:rPr>
          <w:snapToGrid w:val="0"/>
        </w:rPr>
      </w:pPr>
      <w:r>
        <w:rPr>
          <w:snapToGrid w:val="0"/>
        </w:rPr>
        <w:tab/>
        <w:t>(1)</w:t>
      </w:r>
      <w:r>
        <w:rPr>
          <w:snapToGrid w:val="0"/>
        </w:rPr>
        <w:tab/>
        <w:t>Every finance broker shall prepare and certify under his hand and produce to the auditor who audits his trust accounts</w:t>
      </w:r>
      <w:r>
        <w:t xml:space="preserve"> under this Division</w:t>
      </w:r>
      <w:r>
        <w:rPr>
          <w:snapToGrid w:val="0"/>
        </w:rPr>
        <w:t xml:space="preserve">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finance broker for or on behalf of any other person; and</w:t>
      </w:r>
    </w:p>
    <w:p>
      <w:pPr>
        <w:pStyle w:val="Indenta"/>
        <w:rPr>
          <w:snapToGrid w:val="0"/>
        </w:rPr>
      </w:pPr>
      <w:r>
        <w:rPr>
          <w:snapToGrid w:val="0"/>
        </w:rPr>
        <w:tab/>
        <w:t>(b)</w:t>
      </w:r>
      <w:r>
        <w:rPr>
          <w:snapToGrid w:val="0"/>
        </w:rPr>
        <w:tab/>
        <w:t>negotiable or bearer securities or deposit receipts in the name of the finance broker which represent moneys drawn from the finance broker’s trust accounts and which are held by the finance broker on that day.</w:t>
      </w:r>
    </w:p>
    <w:p>
      <w:pPr>
        <w:pStyle w:val="Subsection"/>
        <w:rPr>
          <w:snapToGrid w:val="0"/>
        </w:rPr>
      </w:pPr>
      <w:r>
        <w:rPr>
          <w:snapToGrid w:val="0"/>
        </w:rPr>
        <w:lastRenderedPageBreak/>
        <w:tab/>
        <w:t>(2)</w:t>
      </w:r>
      <w:r>
        <w:rPr>
          <w:snapToGrid w:val="0"/>
        </w:rPr>
        <w:tab/>
        <w:t>The auditor shall examine the statement and endorse on it a certificate as to whether or not it is correct, and deliver it to the finance broker.</w:t>
      </w:r>
    </w:p>
    <w:p>
      <w:pPr>
        <w:pStyle w:val="Subsection"/>
        <w:rPr>
          <w:snapToGrid w:val="0"/>
        </w:rPr>
      </w:pPr>
      <w:r>
        <w:rPr>
          <w:snapToGrid w:val="0"/>
        </w:rPr>
        <w:tab/>
        <w:t>(3)</w:t>
      </w:r>
      <w:r>
        <w:rPr>
          <w:snapToGrid w:val="0"/>
        </w:rPr>
        <w:tab/>
        <w:t>The statement so delivered shall be retained by the finance broker and be produced on demand to the auditor making the next succeeding audit of the finance broker’s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 finance broker’s accounts are being audited</w:t>
      </w:r>
      <w:r>
        <w:t xml:space="preserve"> under this Division</w:t>
      </w:r>
      <w:r>
        <w:rPr>
          <w:snapToGrid w:val="0"/>
        </w:rPr>
        <w:t xml:space="preserve"> for the first time or, where for any other reason, no statement containing the particulars set out in subsection (1) and relating to the previous period of audit is available for the purpose of audit, the finance broker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finance broker, or, in the case of a firm, by the statutory declaration of one of the partners, or, in the case of a body corporate, by the person in </w:t>
      </w:r>
      <w:r>
        <w:rPr>
          <w:i/>
          <w:snapToGrid w:val="0"/>
        </w:rPr>
        <w:t>bona fide</w:t>
      </w:r>
      <w:r>
        <w:rPr>
          <w:snapToGrid w:val="0"/>
        </w:rPr>
        <w:t xml:space="preserve"> control of the finance broker’s business.</w:t>
      </w:r>
    </w:p>
    <w:p>
      <w:pPr>
        <w:pStyle w:val="Footnotesection"/>
      </w:pPr>
      <w:r>
        <w:tab/>
        <w:t>[Section 60 amended: No. 14 of 2010 s. 64.]</w:t>
      </w:r>
    </w:p>
    <w:p>
      <w:pPr>
        <w:pStyle w:val="Heading5"/>
        <w:rPr>
          <w:snapToGrid w:val="0"/>
        </w:rPr>
      </w:pPr>
      <w:bookmarkStart w:id="103" w:name="_Toc209794986"/>
      <w:r>
        <w:rPr>
          <w:rStyle w:val="CharSectno"/>
        </w:rPr>
        <w:t>61</w:t>
      </w:r>
      <w:r>
        <w:rPr>
          <w:snapToGrid w:val="0"/>
        </w:rPr>
        <w:t>.</w:t>
      </w:r>
      <w:r>
        <w:rPr>
          <w:snapToGrid w:val="0"/>
        </w:rPr>
        <w:tab/>
        <w:t>Auditor’s report where finance broker has not complied with Act etc.</w:t>
      </w:r>
      <w:bookmarkEnd w:id="103"/>
      <w:r>
        <w:rPr>
          <w:snapToGrid w:val="0"/>
        </w:rPr>
        <w:t xml:space="preserve"> </w:t>
      </w:r>
    </w:p>
    <w:p>
      <w:pPr>
        <w:pStyle w:val="Subsection"/>
        <w:rPr>
          <w:snapToGrid w:val="0"/>
        </w:rPr>
      </w:pPr>
      <w:r>
        <w:rPr>
          <w:snapToGrid w:val="0"/>
        </w:rPr>
        <w:tab/>
      </w:r>
      <w:r>
        <w:rPr>
          <w:snapToGrid w:val="0"/>
        </w:rPr>
        <w:tab/>
        <w:t>If an auditor in the course of auditing a finance broker’s trust accounts</w:t>
      </w:r>
      <w:r>
        <w:t xml:space="preserve"> under this Division</w:t>
      </w:r>
      <w:r>
        <w:rPr>
          <w:snapToGrid w:val="0"/>
        </w:rPr>
        <w:t xml:space="preserve"> discovers that </w:t>
      </w:r>
      <w:r>
        <w:t>one or more of</w:t>
      </w:r>
      <w:r>
        <w:rPr>
          <w:snapToGrid w:val="0"/>
        </w:rPr>
        <w:t xml:space="preserve"> the accounts are not kept in such a manner as to enable them to be properly audited, or discovers any matter which appears to him to involve dishonesty or a breach of the law on the part of the finance broker, or discovers loss or deficiency of trust moneys </w:t>
      </w:r>
      <w:r>
        <w:t>(whether generally or in an individual trust ledger account)</w:t>
      </w:r>
      <w:r>
        <w:rPr>
          <w:snapToGrid w:val="0"/>
        </w:rPr>
        <w:t xml:space="preserve">, or </w:t>
      </w:r>
      <w:r>
        <w:rPr>
          <w:snapToGrid w:val="0"/>
        </w:rPr>
        <w:lastRenderedPageBreak/>
        <w:t>failure to pay or account for any such moneys, or to comply with the provisions of this Division, he shall fully set out the facts so discovered by him in the report to be delivered to the</w:t>
      </w:r>
      <w:r>
        <w:t xml:space="preserve"> Commissioner</w:t>
      </w:r>
      <w:r>
        <w:rPr>
          <w:snapToGrid w:val="0"/>
        </w:rPr>
        <w:t>.</w:t>
      </w:r>
    </w:p>
    <w:p>
      <w:pPr>
        <w:pStyle w:val="Footnotesection"/>
      </w:pPr>
      <w:r>
        <w:tab/>
        <w:t>[Section 61 amended: No. 53 of 2004 s. 47; No. 14 of 2010 s. 65.]</w:t>
      </w:r>
    </w:p>
    <w:p>
      <w:pPr>
        <w:pStyle w:val="Heading5"/>
        <w:rPr>
          <w:snapToGrid w:val="0"/>
        </w:rPr>
      </w:pPr>
      <w:bookmarkStart w:id="104" w:name="_Toc209794987"/>
      <w:r>
        <w:rPr>
          <w:rStyle w:val="CharSectno"/>
        </w:rPr>
        <w:t>62</w:t>
      </w:r>
      <w:r>
        <w:rPr>
          <w:snapToGrid w:val="0"/>
        </w:rPr>
        <w:t>.</w:t>
      </w:r>
      <w:r>
        <w:rPr>
          <w:snapToGrid w:val="0"/>
        </w:rPr>
        <w:tab/>
        <w:t>Non</w:t>
      </w:r>
      <w:r>
        <w:rPr>
          <w:snapToGrid w:val="0"/>
        </w:rPr>
        <w:noBreakHyphen/>
        <w:t>disclosure by auditors</w:t>
      </w:r>
      <w:bookmarkEnd w:id="104"/>
      <w:r>
        <w:rPr>
          <w:snapToGrid w:val="0"/>
        </w:rPr>
        <w:t xml:space="preserve"> </w:t>
      </w:r>
    </w:p>
    <w:p>
      <w:pPr>
        <w:pStyle w:val="Subsection"/>
        <w:rPr>
          <w:snapToGrid w:val="0"/>
        </w:rPr>
      </w:pPr>
      <w:r>
        <w:rPr>
          <w:snapToGrid w:val="0"/>
        </w:rPr>
        <w:tab/>
        <w:t>(1)</w:t>
      </w:r>
      <w:r>
        <w:rPr>
          <w:snapToGrid w:val="0"/>
        </w:rPr>
        <w:tab/>
        <w:t>Except where this Division provides otherwise an auditor shall not divulge to any person, or in any proceeding, any information which he has obtained in the course of conducting any audit under this Division.</w:t>
      </w:r>
    </w:p>
    <w:p>
      <w:pPr>
        <w:pStyle w:val="Subsection"/>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Division;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finance broker to whom the information relates.</w:t>
      </w:r>
    </w:p>
    <w:p>
      <w:pPr>
        <w:pStyle w:val="Heading5"/>
        <w:rPr>
          <w:snapToGrid w:val="0"/>
        </w:rPr>
      </w:pPr>
      <w:bookmarkStart w:id="105" w:name="_Toc209794988"/>
      <w:r>
        <w:rPr>
          <w:rStyle w:val="CharSectno"/>
        </w:rPr>
        <w:t>63</w:t>
      </w:r>
      <w:r>
        <w:rPr>
          <w:snapToGrid w:val="0"/>
        </w:rPr>
        <w:t>.</w:t>
      </w:r>
      <w:r>
        <w:rPr>
          <w:snapToGrid w:val="0"/>
        </w:rPr>
        <w:tab/>
        <w:t>Right of persons beneficially interested to obtain information</w:t>
      </w:r>
      <w:bookmarkEnd w:id="105"/>
      <w:r>
        <w:rPr>
          <w:snapToGrid w:val="0"/>
        </w:rPr>
        <w:t xml:space="preserve"> </w:t>
      </w:r>
    </w:p>
    <w:p>
      <w:pPr>
        <w:pStyle w:val="Subsection"/>
        <w:rPr>
          <w:snapToGrid w:val="0"/>
        </w:rPr>
      </w:pPr>
      <w:r>
        <w:rPr>
          <w:snapToGrid w:val="0"/>
        </w:rPr>
        <w:tab/>
        <w:t>(1)</w:t>
      </w:r>
      <w:r>
        <w:rPr>
          <w:snapToGrid w:val="0"/>
        </w:rPr>
        <w:tab/>
        <w:t>On request by any person interested in any moneys or securities held or which ought to be held or which have been received by a finance broker, the Commissioner may disclose to such person or his solicitor such portion of any report of an auditor, or of any statutory declaration, statement, or other document delivered to the Commissioner under this Division as affects or may affect such person.</w:t>
      </w:r>
    </w:p>
    <w:p>
      <w:pPr>
        <w:pStyle w:val="Subsection"/>
        <w:rPr>
          <w:snapToGrid w:val="0"/>
        </w:rPr>
      </w:pPr>
      <w:r>
        <w:rPr>
          <w:snapToGrid w:val="0"/>
        </w:rPr>
        <w:tab/>
        <w:t>(2)</w:t>
      </w:r>
      <w:r>
        <w:rPr>
          <w:snapToGrid w:val="0"/>
        </w:rPr>
        <w:tab/>
        <w:t xml:space="preserve">A report of an auditor under this Division or a statutory declaration, statement, or other document delivered to the Commissioner under this Division shall be available in the hands of the Commissioner for inspection by any other auditor </w:t>
      </w:r>
      <w:r>
        <w:rPr>
          <w:snapToGrid w:val="0"/>
        </w:rPr>
        <w:lastRenderedPageBreak/>
        <w:t>appointed to audit the accounts of the same finance broker for the next succeeding year.</w:t>
      </w:r>
    </w:p>
    <w:p>
      <w:pPr>
        <w:pStyle w:val="Footnotesection"/>
      </w:pPr>
      <w:r>
        <w:tab/>
        <w:t>[Section 63 amended: No. 53 of 2004 s. 48.]</w:t>
      </w:r>
    </w:p>
    <w:p>
      <w:pPr>
        <w:pStyle w:val="Heading5"/>
        <w:rPr>
          <w:snapToGrid w:val="0"/>
        </w:rPr>
      </w:pPr>
      <w:bookmarkStart w:id="106" w:name="_Toc209794989"/>
      <w:r>
        <w:rPr>
          <w:rStyle w:val="CharSectno"/>
        </w:rPr>
        <w:t>64</w:t>
      </w:r>
      <w:r>
        <w:rPr>
          <w:snapToGrid w:val="0"/>
        </w:rPr>
        <w:t>.</w:t>
      </w:r>
      <w:r>
        <w:rPr>
          <w:snapToGrid w:val="0"/>
        </w:rPr>
        <w:tab/>
        <w:t>Penalty for breach</w:t>
      </w:r>
      <w:bookmarkEnd w:id="106"/>
      <w:r>
        <w:rPr>
          <w:snapToGrid w:val="0"/>
        </w:rPr>
        <w:t xml:space="preserve"> </w:t>
      </w:r>
    </w:p>
    <w:p>
      <w:pPr>
        <w:pStyle w:val="Subsection"/>
        <w:rPr>
          <w:snapToGrid w:val="0"/>
        </w:rPr>
      </w:pPr>
      <w:r>
        <w:rPr>
          <w:snapToGrid w:val="0"/>
        </w:rPr>
        <w:tab/>
        <w:t>(1)</w:t>
      </w:r>
      <w:r>
        <w:rPr>
          <w:snapToGrid w:val="0"/>
        </w:rPr>
        <w:tab/>
        <w:t>A person who contravenes or does not observe any of the foregoing provisions of this Division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[Section 64 amended: No. 53 of 2004 s. 49.]</w:t>
      </w:r>
    </w:p>
    <w:p>
      <w:pPr>
        <w:pStyle w:val="Heading5"/>
        <w:rPr>
          <w:snapToGrid w:val="0"/>
        </w:rPr>
      </w:pPr>
      <w:bookmarkStart w:id="107" w:name="_Toc209794990"/>
      <w:r>
        <w:rPr>
          <w:rStyle w:val="CharSectno"/>
        </w:rPr>
        <w:t>65</w:t>
      </w:r>
      <w:r>
        <w:rPr>
          <w:snapToGrid w:val="0"/>
        </w:rPr>
        <w:t>.</w:t>
      </w:r>
      <w:r>
        <w:rPr>
          <w:snapToGrid w:val="0"/>
        </w:rPr>
        <w:tab/>
        <w:t>Remuneration of auditor</w:t>
      </w:r>
      <w:bookmarkEnd w:id="107"/>
      <w:r>
        <w:rPr>
          <w:snapToGrid w:val="0"/>
        </w:rPr>
        <w:t xml:space="preserve"> </w:t>
      </w:r>
    </w:p>
    <w:p>
      <w:pPr>
        <w:pStyle w:val="Subsection"/>
        <w:rPr>
          <w:snapToGrid w:val="0"/>
        </w:rPr>
      </w:pPr>
      <w:r>
        <w:rPr>
          <w:snapToGrid w:val="0"/>
        </w:rPr>
        <w:tab/>
      </w:r>
      <w:r>
        <w:rPr>
          <w:snapToGrid w:val="0"/>
        </w:rPr>
        <w:tab/>
        <w:t>Subject to the other provisions of this Division, the reasonable fees and expenses of an auditor for an audit under this Division shall be payable by the finance broker.</w:t>
      </w:r>
    </w:p>
    <w:p>
      <w:pPr>
        <w:pStyle w:val="Heading5"/>
        <w:rPr>
          <w:snapToGrid w:val="0"/>
        </w:rPr>
      </w:pPr>
      <w:bookmarkStart w:id="108" w:name="_Toc209794991"/>
      <w:r>
        <w:rPr>
          <w:rStyle w:val="CharSectno"/>
        </w:rPr>
        <w:t>66</w:t>
      </w:r>
      <w:r>
        <w:rPr>
          <w:snapToGrid w:val="0"/>
        </w:rPr>
        <w:t>.</w:t>
      </w:r>
      <w:r>
        <w:rPr>
          <w:snapToGrid w:val="0"/>
        </w:rPr>
        <w:tab/>
        <w:t>Finance brokers having no accounts to audit</w:t>
      </w:r>
      <w:bookmarkEnd w:id="108"/>
      <w:r>
        <w:rPr>
          <w:snapToGrid w:val="0"/>
        </w:rPr>
        <w:t xml:space="preserve"> </w:t>
      </w:r>
    </w:p>
    <w:p>
      <w:pPr>
        <w:pStyle w:val="Subsection"/>
        <w:rPr>
          <w:snapToGrid w:val="0"/>
        </w:rPr>
      </w:pPr>
      <w:r>
        <w:rPr>
          <w:snapToGrid w:val="0"/>
        </w:rPr>
        <w:tab/>
      </w:r>
      <w:r>
        <w:rPr>
          <w:snapToGrid w:val="0"/>
        </w:rPr>
        <w:tab/>
        <w:t>A finance broker who, in the course of his business, has in any year for which an audit of trust accounts under this Division would otherwise be required neither received nor held any money for or on behalf of any other person shall be deemed to have complied with this Division if within the period of 3 months after the end of that year he makes a statutory declaration to that effect and delivers it to the Commissioner.</w:t>
      </w:r>
    </w:p>
    <w:p>
      <w:pPr>
        <w:pStyle w:val="Footnotesection"/>
      </w:pPr>
      <w:r>
        <w:tab/>
        <w:t>[Section 66 amended: No. 53 of 2004 s. 50; No. 14 of 2010 s. 66.]</w:t>
      </w:r>
    </w:p>
    <w:p>
      <w:pPr>
        <w:pStyle w:val="Heading5"/>
        <w:rPr>
          <w:snapToGrid w:val="0"/>
        </w:rPr>
      </w:pPr>
      <w:bookmarkStart w:id="109" w:name="_Toc209794992"/>
      <w:r>
        <w:rPr>
          <w:rStyle w:val="CharSectno"/>
        </w:rPr>
        <w:lastRenderedPageBreak/>
        <w:t>67</w:t>
      </w:r>
      <w:r>
        <w:rPr>
          <w:snapToGrid w:val="0"/>
        </w:rPr>
        <w:t>.</w:t>
      </w:r>
      <w:r>
        <w:rPr>
          <w:snapToGrid w:val="0"/>
        </w:rPr>
        <w:tab/>
        <w:t>Accounts of firm or body corporate or finance broker with branch office</w:t>
      </w:r>
      <w:bookmarkEnd w:id="109"/>
      <w:r>
        <w:rPr>
          <w:snapToGrid w:val="0"/>
        </w:rPr>
        <w:t xml:space="preserve"> </w:t>
      </w:r>
    </w:p>
    <w:p>
      <w:pPr>
        <w:pStyle w:val="Subsection"/>
        <w:rPr>
          <w:snapToGrid w:val="0"/>
        </w:rPr>
      </w:pPr>
      <w:r>
        <w:rPr>
          <w:snapToGrid w:val="0"/>
        </w:rPr>
        <w:tab/>
        <w:t>(1)</w:t>
      </w:r>
      <w:r>
        <w:rPr>
          <w:snapToGrid w:val="0"/>
        </w:rPr>
        <w:tab/>
        <w:t>Where trust accounts are kept by a firm of finance brokers an audit of those accounts under this Division and the certificates and report of the auditor thereof operate as regards those trust accounts as an audit certificate and report in relation to each finance broker who is a member of such firm.</w:t>
      </w:r>
    </w:p>
    <w:p>
      <w:pPr>
        <w:pStyle w:val="Subsection"/>
        <w:rPr>
          <w:snapToGrid w:val="0"/>
        </w:rPr>
      </w:pPr>
      <w:r>
        <w:rPr>
          <w:snapToGrid w:val="0"/>
        </w:rPr>
        <w:tab/>
        <w:t>(2)</w:t>
      </w:r>
      <w:r>
        <w:rPr>
          <w:snapToGrid w:val="0"/>
        </w:rPr>
        <w:tab/>
        <w:t xml:space="preserve">Where trust accounts are kept by a body corporate an audit of those accounts under this Division and the certificates and report of the auditor thereof operate as regards those trust accounts as an audit certificate and report in relation to a finance broker who is a director of that body corporate and in relation to the finance broker who is in </w:t>
      </w:r>
      <w:r>
        <w:rPr>
          <w:i/>
          <w:snapToGrid w:val="0"/>
        </w:rPr>
        <w:t>bona fide</w:t>
      </w:r>
      <w:r>
        <w:rPr>
          <w:snapToGrid w:val="0"/>
        </w:rPr>
        <w:t xml:space="preserve"> control of the finance broker’s business of the body corporate.</w:t>
      </w:r>
    </w:p>
    <w:p>
      <w:pPr>
        <w:pStyle w:val="Subsection"/>
        <w:rPr>
          <w:snapToGrid w:val="0"/>
        </w:rPr>
      </w:pPr>
      <w:r>
        <w:rPr>
          <w:snapToGrid w:val="0"/>
        </w:rPr>
        <w:tab/>
        <w:t>(3)</w:t>
      </w:r>
      <w:r>
        <w:rPr>
          <w:snapToGrid w:val="0"/>
        </w:rPr>
        <w:tab/>
        <w:t>Where trust accounts are kept by a finance broker who or which has a branch office an audit of those accounts under this Division and the certificates and report of the auditor thereof operate as regards those trust accounts as an audit certificate and report in relation to a finance broker who is the manager of the branch office.</w:t>
      </w:r>
    </w:p>
    <w:p>
      <w:pPr>
        <w:pStyle w:val="Heading5"/>
        <w:rPr>
          <w:snapToGrid w:val="0"/>
        </w:rPr>
      </w:pPr>
      <w:bookmarkStart w:id="110" w:name="_Toc209794993"/>
      <w:r>
        <w:rPr>
          <w:rStyle w:val="CharSectno"/>
        </w:rPr>
        <w:t>68</w:t>
      </w:r>
      <w:r>
        <w:rPr>
          <w:snapToGrid w:val="0"/>
        </w:rPr>
        <w:t>.</w:t>
      </w:r>
      <w:r>
        <w:rPr>
          <w:snapToGrid w:val="0"/>
        </w:rPr>
        <w:tab/>
        <w:t>Power of Commissioner to order audit of trust account</w:t>
      </w:r>
      <w:bookmarkEnd w:id="110"/>
      <w:r>
        <w:rPr>
          <w:snapToGrid w:val="0"/>
        </w:rPr>
        <w:t xml:space="preserve"> </w:t>
      </w:r>
    </w:p>
    <w:p>
      <w:pPr>
        <w:pStyle w:val="Subsection"/>
        <w:rPr>
          <w:snapToGrid w:val="0"/>
        </w:rPr>
      </w:pPr>
      <w:r>
        <w:rPr>
          <w:snapToGrid w:val="0"/>
        </w:rPr>
        <w:tab/>
      </w:r>
      <w:r>
        <w:rPr>
          <w:snapToGrid w:val="0"/>
        </w:rPr>
        <w:tab/>
        <w:t>Without prejudice to the operation of the foregoing provisions of this Division, where the Commissioner is of the opinion that it is in the public interest to do so, the Commissioner may, at any time, cause the trust accounts of a finance broker</w:t>
      </w:r>
      <w:r>
        <w:t xml:space="preserve"> maintained in compliance with section 48</w:t>
      </w:r>
      <w:r>
        <w:rPr>
          <w:snapToGrid w:val="0"/>
        </w:rPr>
        <w:t xml:space="preserve"> to be audited by an auditor nominated in writing by the Commissioner for that purpose.</w:t>
      </w:r>
    </w:p>
    <w:p>
      <w:pPr>
        <w:pStyle w:val="Footnotesection"/>
      </w:pPr>
      <w:r>
        <w:tab/>
        <w:t>[Section 68 amended: No. 53 of 2004 s. 51; No. 14 of 2010 s. 67.]</w:t>
      </w:r>
    </w:p>
    <w:p>
      <w:pPr>
        <w:pStyle w:val="Heading5"/>
        <w:rPr>
          <w:snapToGrid w:val="0"/>
        </w:rPr>
      </w:pPr>
      <w:bookmarkStart w:id="111" w:name="_Toc209794994"/>
      <w:r>
        <w:rPr>
          <w:rStyle w:val="CharSectno"/>
        </w:rPr>
        <w:lastRenderedPageBreak/>
        <w:t>69</w:t>
      </w:r>
      <w:r>
        <w:rPr>
          <w:snapToGrid w:val="0"/>
        </w:rPr>
        <w:t>.</w:t>
      </w:r>
      <w:r>
        <w:rPr>
          <w:snapToGrid w:val="0"/>
        </w:rPr>
        <w:tab/>
        <w:t>Finance broker to produce books etc. to auditor</w:t>
      </w:r>
      <w:bookmarkEnd w:id="111"/>
      <w:r>
        <w:rPr>
          <w:snapToGrid w:val="0"/>
        </w:rPr>
        <w:t xml:space="preserve"> </w:t>
      </w:r>
    </w:p>
    <w:p>
      <w:pPr>
        <w:pStyle w:val="Subsection"/>
        <w:rPr>
          <w:snapToGrid w:val="0"/>
        </w:rPr>
      </w:pPr>
      <w:r>
        <w:rPr>
          <w:snapToGrid w:val="0"/>
        </w:rPr>
        <w:tab/>
      </w:r>
      <w:r>
        <w:rPr>
          <w:snapToGrid w:val="0"/>
        </w:rPr>
        <w:tab/>
        <w:t>Every finance broker shall, at all reasonable times at each place of business at which he carries on business as a finance broker, keep open for inspection — </w:t>
      </w:r>
    </w:p>
    <w:p>
      <w:pPr>
        <w:pStyle w:val="Indenta"/>
        <w:rPr>
          <w:snapToGrid w:val="0"/>
        </w:rPr>
      </w:pPr>
      <w:r>
        <w:rPr>
          <w:snapToGrid w:val="0"/>
        </w:rPr>
        <w:tab/>
        <w:t>(a)</w:t>
      </w:r>
      <w:r>
        <w:rPr>
          <w:snapToGrid w:val="0"/>
        </w:rPr>
        <w:tab/>
        <w:t>by the auditor nominated by the Commissioner</w:t>
      </w:r>
      <w:r>
        <w:t xml:space="preserve"> under section 68</w:t>
      </w:r>
      <w:r>
        <w:rPr>
          <w:snapToGrid w:val="0"/>
        </w:rPr>
        <w:t>; or</w:t>
      </w:r>
    </w:p>
    <w:p>
      <w:pPr>
        <w:pStyle w:val="Indenta"/>
        <w:rPr>
          <w:snapToGrid w:val="0"/>
        </w:rPr>
      </w:pPr>
      <w:r>
        <w:rPr>
          <w:snapToGrid w:val="0"/>
        </w:rPr>
        <w:tab/>
        <w:t>(b)</w:t>
      </w:r>
      <w:r>
        <w:rPr>
          <w:snapToGrid w:val="0"/>
        </w:rPr>
        <w:tab/>
        <w:t>by any other person authorised in writing in that behalf by that auditor,</w:t>
      </w:r>
    </w:p>
    <w:p>
      <w:pPr>
        <w:pStyle w:val="Subsection"/>
        <w:rPr>
          <w:snapToGrid w:val="0"/>
        </w:rPr>
      </w:pPr>
      <w:r>
        <w:rPr>
          <w:snapToGrid w:val="0"/>
        </w:rPr>
        <w:tab/>
      </w:r>
      <w:r>
        <w:rPr>
          <w:snapToGrid w:val="0"/>
        </w:rPr>
        <w:tab/>
        <w:t>all of his trust accounts</w:t>
      </w:r>
      <w:r>
        <w:t xml:space="preserve"> maintained in compliance with section 48</w:t>
      </w:r>
      <w:r>
        <w:rPr>
          <w:snapToGrid w:val="0"/>
        </w:rPr>
        <w:t xml:space="preserve"> that relate to the business carried on by him at that place of business and all other books, accounts and records relating to that business that are required by the auditor for the purpose of carrying out an effective audit of the trust accounts.</w:t>
      </w:r>
    </w:p>
    <w:p>
      <w:pPr>
        <w:pStyle w:val="Footnotesection"/>
      </w:pPr>
      <w:r>
        <w:tab/>
        <w:t>[Section 69 amended: No. 53 of 2004 s. 52; No. 14 of 2010 s. 68.]</w:t>
      </w:r>
    </w:p>
    <w:p>
      <w:pPr>
        <w:pStyle w:val="Heading5"/>
        <w:rPr>
          <w:snapToGrid w:val="0"/>
        </w:rPr>
      </w:pPr>
      <w:bookmarkStart w:id="112" w:name="_Toc209794995"/>
      <w:r>
        <w:rPr>
          <w:rStyle w:val="CharSectno"/>
        </w:rPr>
        <w:t>70</w:t>
      </w:r>
      <w:r>
        <w:rPr>
          <w:snapToGrid w:val="0"/>
        </w:rPr>
        <w:t>.</w:t>
      </w:r>
      <w:r>
        <w:rPr>
          <w:snapToGrid w:val="0"/>
        </w:rPr>
        <w:tab/>
        <w:t>Cost of audit</w:t>
      </w:r>
      <w:bookmarkEnd w:id="112"/>
      <w:r>
        <w:rPr>
          <w:snapToGrid w:val="0"/>
        </w:rPr>
        <w:t xml:space="preserve"> </w:t>
      </w:r>
    </w:p>
    <w:p>
      <w:pPr>
        <w:pStyle w:val="Subsection"/>
        <w:rPr>
          <w:snapToGrid w:val="0"/>
        </w:rPr>
      </w:pPr>
      <w:r>
        <w:rPr>
          <w:snapToGrid w:val="0"/>
        </w:rPr>
        <w:tab/>
      </w:r>
      <w:r>
        <w:rPr>
          <w:snapToGrid w:val="0"/>
        </w:rPr>
        <w:tab/>
        <w:t xml:space="preserve">The cost of an audit carried out pursuant to section 68 shall be as agreed between the Commissioner and the auditor and paid as the Commissioner in writing directs, either by the </w:t>
      </w:r>
      <w:r>
        <w:t>chief executive officer</w:t>
      </w:r>
      <w:r>
        <w:rPr>
          <w:snapToGrid w:val="0"/>
        </w:rPr>
        <w:t xml:space="preserve"> or by the finance broker whose trust accounts have been the subject of the audit.</w:t>
      </w:r>
    </w:p>
    <w:p>
      <w:pPr>
        <w:pStyle w:val="Footnotesection"/>
      </w:pPr>
      <w:r>
        <w:tab/>
        <w:t>[Section 70 amended: No. 53 of 2004 s. 53.]</w:t>
      </w:r>
    </w:p>
    <w:p>
      <w:pPr>
        <w:pStyle w:val="Heading5"/>
        <w:rPr>
          <w:snapToGrid w:val="0"/>
        </w:rPr>
      </w:pPr>
      <w:bookmarkStart w:id="113" w:name="_Toc209794996"/>
      <w:r>
        <w:rPr>
          <w:rStyle w:val="CharSectno"/>
        </w:rPr>
        <w:t>71</w:t>
      </w:r>
      <w:r>
        <w:rPr>
          <w:snapToGrid w:val="0"/>
        </w:rPr>
        <w:t>.</w:t>
      </w:r>
      <w:r>
        <w:rPr>
          <w:snapToGrid w:val="0"/>
        </w:rPr>
        <w:tab/>
        <w:t>Application of s. 62</w:t>
      </w:r>
      <w:bookmarkEnd w:id="113"/>
      <w:r>
        <w:rPr>
          <w:snapToGrid w:val="0"/>
        </w:rPr>
        <w:t xml:space="preserve"> </w:t>
      </w:r>
    </w:p>
    <w:p>
      <w:pPr>
        <w:pStyle w:val="Subsection"/>
        <w:rPr>
          <w:snapToGrid w:val="0"/>
        </w:rPr>
      </w:pPr>
      <w:r>
        <w:rPr>
          <w:snapToGrid w:val="0"/>
        </w:rPr>
        <w:tab/>
      </w:r>
      <w:r>
        <w:rPr>
          <w:snapToGrid w:val="0"/>
        </w:rPr>
        <w:tab/>
        <w:t>The provisions of section 62 apply to an auditor nominated by the Commissioner under section 68 or any person authorised by him under section 69 with such modifications as circumstances require.</w:t>
      </w:r>
    </w:p>
    <w:p>
      <w:pPr>
        <w:pStyle w:val="Footnotesection"/>
      </w:pPr>
      <w:r>
        <w:tab/>
        <w:t>[Section 71 amended: No. 53 of 2004 s. 54.]</w:t>
      </w:r>
    </w:p>
    <w:p>
      <w:pPr>
        <w:pStyle w:val="Heading5"/>
        <w:rPr>
          <w:snapToGrid w:val="0"/>
        </w:rPr>
      </w:pPr>
      <w:bookmarkStart w:id="114" w:name="_Toc209794997"/>
      <w:r>
        <w:rPr>
          <w:rStyle w:val="CharSectno"/>
        </w:rPr>
        <w:lastRenderedPageBreak/>
        <w:t>72</w:t>
      </w:r>
      <w:r>
        <w:rPr>
          <w:snapToGrid w:val="0"/>
        </w:rPr>
        <w:t>.</w:t>
      </w:r>
      <w:r>
        <w:rPr>
          <w:snapToGrid w:val="0"/>
        </w:rPr>
        <w:tab/>
        <w:t>Power of restraining dealing with trust accounts or other accounts</w:t>
      </w:r>
      <w:bookmarkEnd w:id="114"/>
      <w:r>
        <w:rPr>
          <w:snapToGrid w:val="0"/>
        </w:rPr>
        <w:t xml:space="preserve"> </w:t>
      </w:r>
    </w:p>
    <w:p>
      <w:pPr>
        <w:pStyle w:val="Subsection"/>
        <w:rPr>
          <w:snapToGrid w:val="0"/>
        </w:rPr>
      </w:pPr>
      <w:r>
        <w:rPr>
          <w:snapToGrid w:val="0"/>
        </w:rPr>
        <w:tab/>
        <w:t>(1)</w:t>
      </w:r>
      <w:r>
        <w:rPr>
          <w:snapToGrid w:val="0"/>
        </w:rPr>
        <w:tab/>
        <w:t>Where the Commissioner,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 xml:space="preserve">there are reasonable grounds for believing that there is a deficiency in </w:t>
      </w:r>
      <w:r>
        <w:t>a trust account maintained in compliance with section 48 by</w:t>
      </w:r>
      <w:r>
        <w:rPr>
          <w:snapToGrid w:val="0"/>
        </w:rPr>
        <w:t xml:space="preserve"> any finance broker; or</w:t>
      </w:r>
    </w:p>
    <w:p>
      <w:pPr>
        <w:pStyle w:val="Indenta"/>
        <w:rPr>
          <w:snapToGrid w:val="0"/>
        </w:rPr>
      </w:pPr>
      <w:r>
        <w:rPr>
          <w:snapToGrid w:val="0"/>
        </w:rPr>
        <w:tab/>
        <w:t>(b)</w:t>
      </w:r>
      <w:r>
        <w:rPr>
          <w:snapToGrid w:val="0"/>
        </w:rPr>
        <w:tab/>
        <w:t>there has been undue or unreasonable refusal, neglect or delay on the part of any finance broker in paying moneys — </w:t>
      </w:r>
    </w:p>
    <w:p>
      <w:pPr>
        <w:pStyle w:val="Indenti"/>
        <w:rPr>
          <w:snapToGrid w:val="0"/>
        </w:rPr>
      </w:pPr>
      <w:r>
        <w:rPr>
          <w:snapToGrid w:val="0"/>
        </w:rPr>
        <w:tab/>
        <w:t>(i)</w:t>
      </w:r>
      <w:r>
        <w:rPr>
          <w:snapToGrid w:val="0"/>
        </w:rPr>
        <w:tab/>
        <w:t xml:space="preserve">which are, or may be, or have been payable out of </w:t>
      </w:r>
      <w:r>
        <w:t>a trust account maintained in compliance with section 48 by</w:t>
      </w:r>
      <w:r>
        <w:rPr>
          <w:snapToGrid w:val="0"/>
        </w:rPr>
        <w:t xml:space="preserve"> the finance broker; or</w:t>
      </w:r>
    </w:p>
    <w:p>
      <w:pPr>
        <w:pStyle w:val="Indenti"/>
        <w:rPr>
          <w:snapToGrid w:val="0"/>
        </w:rPr>
      </w:pPr>
      <w:r>
        <w:rPr>
          <w:snapToGrid w:val="0"/>
        </w:rPr>
        <w:tab/>
        <w:t>(ii)</w:t>
      </w:r>
      <w:r>
        <w:rPr>
          <w:snapToGrid w:val="0"/>
        </w:rPr>
        <w:tab/>
        <w:t xml:space="preserve">which were required to be paid into </w:t>
      </w:r>
      <w:r>
        <w:t xml:space="preserve">a trust account </w:t>
      </w:r>
      <w:r>
        <w:rPr>
          <w:snapToGrid w:val="0"/>
        </w:rPr>
        <w:t>by the finance broker under the provisions of this Division,</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in which the trust account or any other account in the name of the finance broker is kept, be restrained, until the order is made absolute or discharged, from paying out, transferring or otherwise dealing with any moneys standing to the credit of the trust account or any other account kept at the bank in the name of the finance broker.</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lastRenderedPageBreak/>
        <w:tab/>
        <w:t>(3)</w:t>
      </w:r>
      <w:r>
        <w:rPr>
          <w:snapToGrid w:val="0"/>
        </w:rPr>
        <w:tab/>
        <w:t xml:space="preserve">The order shall be made in the first instance </w:t>
      </w:r>
      <w:r>
        <w:rPr>
          <w:i/>
          <w:snapToGrid w:val="0"/>
        </w:rPr>
        <w:t>ex parte</w:t>
      </w:r>
      <w:r>
        <w:rPr>
          <w:snapToGrid w:val="0"/>
        </w:rPr>
        <w:t>, without any notice to the finance broker and is an order to show cause only.</w:t>
      </w:r>
    </w:p>
    <w:p>
      <w:pPr>
        <w:pStyle w:val="Subsection"/>
        <w:rPr>
          <w:snapToGrid w:val="0"/>
        </w:rPr>
      </w:pPr>
      <w:r>
        <w:rPr>
          <w:snapToGrid w:val="0"/>
        </w:rPr>
        <w:tab/>
        <w:t>(4)</w:t>
      </w:r>
      <w:r>
        <w:rPr>
          <w:snapToGrid w:val="0"/>
        </w:rPr>
        <w:tab/>
        <w:t xml:space="preserve">Unless the finance broker referred to in the order shows to the State Administrative Tribunal within the time specified in the order sufficient cause to the contrary, the order, after proof of </w:t>
      </w:r>
      <w:r>
        <w:t>service,</w:t>
      </w:r>
      <w:r>
        <w:rPr>
          <w:snapToGrid w:val="0"/>
        </w:rPr>
        <w:t xml:space="preserve"> shall be made absolute.</w:t>
      </w:r>
    </w:p>
    <w:p>
      <w:pPr>
        <w:pStyle w:val="Subsection"/>
        <w:rPr>
          <w:snapToGrid w:val="0"/>
        </w:rPr>
      </w:pPr>
      <w:r>
        <w:rPr>
          <w:snapToGrid w:val="0"/>
        </w:rPr>
        <w:tab/>
        <w:t>(5)</w:t>
      </w:r>
      <w:r>
        <w:rPr>
          <w:snapToGrid w:val="0"/>
        </w:rPr>
        <w:tab/>
        <w:t>In this section and in such provisions of other following sections of this Division as relate to this section or an order made under it — </w:t>
      </w:r>
    </w:p>
    <w:p>
      <w:pPr>
        <w:pStyle w:val="Indenta"/>
      </w:pPr>
      <w:r>
        <w:tab/>
        <w:t>(a)</w:t>
      </w:r>
      <w:r>
        <w:tab/>
      </w:r>
      <w:r>
        <w:rPr>
          <w:rStyle w:val="CharDefText"/>
        </w:rPr>
        <w:t>trust account</w:t>
      </w:r>
      <w:r>
        <w:t xml:space="preserve"> includes a bank account, whether a general or a separate account, into which account, moneys received or held by a finance broker for or on behalf of any other person are or were required to be paid under this Division; and</w:t>
      </w:r>
    </w:p>
    <w:p>
      <w:pPr>
        <w:pStyle w:val="Indenta"/>
      </w:pPr>
      <w:r>
        <w:tab/>
        <w:t>(b)</w:t>
      </w:r>
      <w:r>
        <w:tab/>
      </w:r>
      <w:r>
        <w:rPr>
          <w:rStyle w:val="CharDefText"/>
        </w:rPr>
        <w:t>finance broker</w:t>
      </w:r>
      <w:r>
        <w:t xml:space="preserve"> includes a person who has carried on business as a finance broker at any time within a period of 12 months prior to the date of the making of the application under subsection (1).</w:t>
      </w:r>
    </w:p>
    <w:p>
      <w:pPr>
        <w:pStyle w:val="Footnotesection"/>
      </w:pPr>
      <w:r>
        <w:tab/>
        <w:t>[Section 72 amended: No. 53 of 2004 s. 55; No. 55 of 2004 s. 358; No. 14 of 2010 s. 69; No. 14 of 2025 s. 22(3).]</w:t>
      </w:r>
    </w:p>
    <w:p>
      <w:pPr>
        <w:pStyle w:val="Ednotesection"/>
      </w:pPr>
      <w:r>
        <w:t>[</w:t>
      </w:r>
      <w:r>
        <w:rPr>
          <w:b/>
          <w:bCs/>
        </w:rPr>
        <w:t>73-80.</w:t>
      </w:r>
      <w:r>
        <w:tab/>
        <w:t>Deleted: No. 14 of 2010 s. 70.]</w:t>
      </w:r>
    </w:p>
    <w:p>
      <w:pPr>
        <w:pStyle w:val="Heading3"/>
        <w:spacing w:before="260"/>
        <w:rPr>
          <w:snapToGrid w:val="0"/>
        </w:rPr>
      </w:pPr>
      <w:bookmarkStart w:id="115" w:name="_Toc209617861"/>
      <w:bookmarkStart w:id="116" w:name="_Toc209618880"/>
      <w:bookmarkStart w:id="117" w:name="_Toc209706878"/>
      <w:bookmarkStart w:id="118" w:name="_Toc209794998"/>
      <w:r>
        <w:rPr>
          <w:rStyle w:val="CharDivNo"/>
        </w:rPr>
        <w:t>Division 3</w:t>
      </w:r>
      <w:r>
        <w:rPr>
          <w:snapToGrid w:val="0"/>
        </w:rPr>
        <w:t> — </w:t>
      </w:r>
      <w:r>
        <w:rPr>
          <w:rStyle w:val="CharDivText"/>
        </w:rPr>
        <w:t>Discipline</w:t>
      </w:r>
      <w:bookmarkEnd w:id="115"/>
      <w:bookmarkEnd w:id="116"/>
      <w:bookmarkEnd w:id="117"/>
      <w:bookmarkEnd w:id="118"/>
      <w:r>
        <w:rPr>
          <w:rStyle w:val="CharDivText"/>
        </w:rPr>
        <w:t xml:space="preserve"> </w:t>
      </w:r>
    </w:p>
    <w:p>
      <w:pPr>
        <w:pStyle w:val="Heading5"/>
        <w:spacing w:before="240"/>
        <w:rPr>
          <w:snapToGrid w:val="0"/>
        </w:rPr>
      </w:pPr>
      <w:bookmarkStart w:id="119" w:name="_Toc209794999"/>
      <w:r>
        <w:rPr>
          <w:rStyle w:val="CharSectno"/>
        </w:rPr>
        <w:t>81</w:t>
      </w:r>
      <w:r>
        <w:rPr>
          <w:snapToGrid w:val="0"/>
        </w:rPr>
        <w:t>.</w:t>
      </w:r>
      <w:r>
        <w:rPr>
          <w:snapToGrid w:val="0"/>
        </w:rPr>
        <w:tab/>
        <w:t>Code of conduct for finance brokers</w:t>
      </w:r>
      <w:bookmarkEnd w:id="119"/>
    </w:p>
    <w:p>
      <w:pPr>
        <w:pStyle w:val="Subsection"/>
        <w:spacing w:before="180"/>
        <w:rPr>
          <w:snapToGrid w:val="0"/>
        </w:rPr>
      </w:pPr>
      <w:r>
        <w:rPr>
          <w:snapToGrid w:val="0"/>
        </w:rPr>
        <w:tab/>
      </w:r>
      <w:r>
        <w:rPr>
          <w:snapToGrid w:val="0"/>
        </w:rPr>
        <w:tab/>
        <w:t xml:space="preserve">The </w:t>
      </w:r>
      <w:r>
        <w:t>Governor may make regulations prescribing</w:t>
      </w:r>
      <w:r>
        <w:rPr>
          <w:snapToGrid w:val="0"/>
        </w:rPr>
        <w:t xml:space="preserve"> a code of conduct for finance brokers.</w:t>
      </w:r>
    </w:p>
    <w:p>
      <w:pPr>
        <w:pStyle w:val="Footnotesection"/>
      </w:pPr>
      <w:r>
        <w:tab/>
        <w:t>[Section 81 amended: No. 53 of 2004 s. 63.]</w:t>
      </w:r>
    </w:p>
    <w:p>
      <w:pPr>
        <w:pStyle w:val="Heading5"/>
        <w:spacing w:before="240"/>
        <w:rPr>
          <w:snapToGrid w:val="0"/>
        </w:rPr>
      </w:pPr>
      <w:bookmarkStart w:id="120" w:name="_Toc209795000"/>
      <w:r>
        <w:rPr>
          <w:rStyle w:val="CharSectno"/>
        </w:rPr>
        <w:lastRenderedPageBreak/>
        <w:t>82</w:t>
      </w:r>
      <w:r>
        <w:t>.</w:t>
      </w:r>
      <w:r>
        <w:tab/>
        <w:t>Dis</w:t>
      </w:r>
      <w:r>
        <w:rPr>
          <w:snapToGrid w:val="0"/>
        </w:rPr>
        <w:t>ciplinary proceedings against finance brokers</w:t>
      </w:r>
      <w:bookmarkEnd w:id="120"/>
    </w:p>
    <w:p>
      <w:pPr>
        <w:pStyle w:val="Subsection"/>
        <w:spacing w:before="180"/>
        <w:rPr>
          <w:snapToGrid w:val="0"/>
        </w:rPr>
      </w:pPr>
      <w:r>
        <w:tab/>
      </w:r>
      <w:r>
        <w:tab/>
      </w:r>
      <w:r>
        <w:rPr>
          <w:snapToGrid w:val="0"/>
        </w:rPr>
        <w:t xml:space="preserve">The </w:t>
      </w:r>
      <w:r>
        <w:t>Commissioner</w:t>
      </w:r>
      <w:r>
        <w:rPr>
          <w:snapToGrid w:val="0"/>
        </w:rPr>
        <w:t xml:space="preserve"> may allege to the State Administrative Tribunal that there is proper cause for disciplinary action, as mentioned in section 83(2), to be taken against — </w:t>
      </w:r>
    </w:p>
    <w:p>
      <w:pPr>
        <w:pStyle w:val="Indenta"/>
      </w:pPr>
      <w:r>
        <w:tab/>
        <w:t>(a)</w:t>
      </w:r>
      <w:r>
        <w:tab/>
        <w:t xml:space="preserve">a person who was immediately before the referral day a licensed finance broker; or </w:t>
      </w:r>
    </w:p>
    <w:p>
      <w:pPr>
        <w:pStyle w:val="Indenta"/>
        <w:rPr>
          <w:snapToGrid w:val="0"/>
        </w:rPr>
      </w:pPr>
      <w:r>
        <w:tab/>
        <w:t>(b)</w:t>
      </w:r>
      <w:r>
        <w:tab/>
        <w:t>a person who was a licensed finance broker when the conduct the subject of an inquiry allegedly occurred.</w:t>
      </w:r>
    </w:p>
    <w:p>
      <w:pPr>
        <w:pStyle w:val="Footnotesection"/>
      </w:pPr>
      <w:r>
        <w:tab/>
        <w:t>[Section 82 inserted: No. 55 of 2004 s. 354; amended: No. 53 of 2004 s. 64; No. 14 of 2010 s. 71.]</w:t>
      </w:r>
    </w:p>
    <w:p>
      <w:pPr>
        <w:pStyle w:val="Ednotesection"/>
        <w:rPr>
          <w:rStyle w:val="CharSectno"/>
        </w:rPr>
      </w:pPr>
      <w:r>
        <w:rPr>
          <w:rStyle w:val="CharSectno"/>
        </w:rPr>
        <w:t>[</w:t>
      </w:r>
      <w:r>
        <w:rPr>
          <w:rStyle w:val="CharSectno"/>
          <w:b/>
          <w:bCs/>
        </w:rPr>
        <w:t>82A.</w:t>
      </w:r>
      <w:r>
        <w:rPr>
          <w:rStyle w:val="CharSectno"/>
        </w:rPr>
        <w:tab/>
        <w:t>Deleted: No. 14 of 2010 s. 72.]</w:t>
      </w:r>
    </w:p>
    <w:p>
      <w:pPr>
        <w:pStyle w:val="Heading5"/>
        <w:rPr>
          <w:snapToGrid w:val="0"/>
        </w:rPr>
      </w:pPr>
      <w:bookmarkStart w:id="121" w:name="_Toc209795001"/>
      <w:r>
        <w:rPr>
          <w:rStyle w:val="CharSectno"/>
        </w:rPr>
        <w:t>83</w:t>
      </w:r>
      <w:r>
        <w:rPr>
          <w:snapToGrid w:val="0"/>
        </w:rPr>
        <w:t>.</w:t>
      </w:r>
      <w:r>
        <w:rPr>
          <w:snapToGrid w:val="0"/>
        </w:rPr>
        <w:tab/>
        <w:t>Powers on inquiry</w:t>
      </w:r>
      <w:bookmarkEnd w:id="121"/>
      <w:r>
        <w:rPr>
          <w:snapToGrid w:val="0"/>
        </w:rPr>
        <w:t xml:space="preserve"> </w:t>
      </w:r>
    </w:p>
    <w:p>
      <w:pPr>
        <w:pStyle w:val="Subsection"/>
        <w:rPr>
          <w:snapToGrid w:val="0"/>
        </w:rPr>
      </w:pPr>
      <w:r>
        <w:rPr>
          <w:snapToGrid w:val="0"/>
        </w:rPr>
        <w:tab/>
        <w:t>(1)</w:t>
      </w:r>
      <w:r>
        <w:rPr>
          <w:snapToGrid w:val="0"/>
        </w:rPr>
        <w:tab/>
        <w:t xml:space="preserve">If, in a proceeding commenced by an allegation under section 82 against a finance broker, the State Administrative Tribunal is satisfied that proper cause exists for disciplinary action, the State Administrative Tribunal may do </w:t>
      </w:r>
      <w:r>
        <w:t>either or</w:t>
      </w:r>
      <w:r>
        <w:rPr>
          <w:snapToGrid w:val="0"/>
        </w:rPr>
        <w:t xml:space="preserve"> both of the following things — </w:t>
      </w:r>
    </w:p>
    <w:p>
      <w:pPr>
        <w:pStyle w:val="Indenta"/>
        <w:rPr>
          <w:snapToGrid w:val="0"/>
        </w:rPr>
      </w:pPr>
      <w:r>
        <w:rPr>
          <w:snapToGrid w:val="0"/>
        </w:rPr>
        <w:tab/>
        <w:t>(a)</w:t>
      </w:r>
      <w:r>
        <w:rPr>
          <w:snapToGrid w:val="0"/>
        </w:rPr>
        <w:tab/>
        <w:t xml:space="preserve">reprimand or caution the finance </w:t>
      </w:r>
      <w:r>
        <w:t>broker;</w:t>
      </w:r>
    </w:p>
    <w:p>
      <w:pPr>
        <w:pStyle w:val="Indenta"/>
        <w:rPr>
          <w:snapToGrid w:val="0"/>
        </w:rPr>
      </w:pPr>
      <w:r>
        <w:rPr>
          <w:snapToGrid w:val="0"/>
        </w:rPr>
        <w:tab/>
        <w:t>(b)</w:t>
      </w:r>
      <w:r>
        <w:rPr>
          <w:snapToGrid w:val="0"/>
        </w:rPr>
        <w:tab/>
        <w:t>impose a fine not exceeding $10 000 on him.</w:t>
      </w:r>
    </w:p>
    <w:p>
      <w:pPr>
        <w:pStyle w:val="Subsection"/>
        <w:rPr>
          <w:snapToGrid w:val="0"/>
        </w:rPr>
      </w:pPr>
      <w:r>
        <w:rPr>
          <w:snapToGrid w:val="0"/>
        </w:rPr>
        <w:tab/>
        <w:t>(2)</w:t>
      </w:r>
      <w:r>
        <w:rPr>
          <w:snapToGrid w:val="0"/>
        </w:rPr>
        <w:tab/>
        <w:t xml:space="preserve">There shall be proper cause for disciplinary action </w:t>
      </w:r>
      <w:r>
        <w:t>if, before the referral day —</w:t>
      </w:r>
    </w:p>
    <w:p>
      <w:pPr>
        <w:pStyle w:val="Indenta"/>
        <w:rPr>
          <w:snapToGrid w:val="0"/>
        </w:rPr>
      </w:pPr>
      <w:r>
        <w:rPr>
          <w:snapToGrid w:val="0"/>
        </w:rPr>
        <w:tab/>
        <w:t>(a)</w:t>
      </w:r>
      <w:r>
        <w:rPr>
          <w:snapToGrid w:val="0"/>
        </w:rPr>
        <w:tab/>
        <w:t>the finance broker improperly obtained a licence; or</w:t>
      </w:r>
    </w:p>
    <w:p>
      <w:pPr>
        <w:pStyle w:val="Indenta"/>
        <w:rPr>
          <w:snapToGrid w:val="0"/>
        </w:rPr>
      </w:pPr>
      <w:r>
        <w:rPr>
          <w:snapToGrid w:val="0"/>
        </w:rPr>
        <w:tab/>
        <w:t>(b)</w:t>
      </w:r>
      <w:r>
        <w:rPr>
          <w:snapToGrid w:val="0"/>
        </w:rPr>
        <w:tab/>
        <w:t xml:space="preserve">the finance broker, or any person acting with the authority or upon the instructions of the finance broker, in the course of any dealings with a borrower or a lender or a prospective borrower or lender, engaged in conduct that </w:t>
      </w:r>
      <w:r>
        <w:t>constituted</w:t>
      </w:r>
      <w:r>
        <w:rPr>
          <w:snapToGrid w:val="0"/>
        </w:rPr>
        <w:t xml:space="preserve"> a breach of any law other than this Act and that prejudices or may prejudice any rights or interests of the borrower or lender or prospective borrower or lender; or</w:t>
      </w:r>
    </w:p>
    <w:p>
      <w:pPr>
        <w:pStyle w:val="Indenta"/>
        <w:keepNext/>
        <w:rPr>
          <w:snapToGrid w:val="0"/>
        </w:rPr>
      </w:pPr>
      <w:r>
        <w:rPr>
          <w:snapToGrid w:val="0"/>
        </w:rPr>
        <w:lastRenderedPageBreak/>
        <w:tab/>
        <w:t>(c)</w:t>
      </w:r>
      <w:r>
        <w:rPr>
          <w:snapToGrid w:val="0"/>
        </w:rPr>
        <w:tab/>
        <w:t>the finance broker acted in breach of — </w:t>
      </w:r>
    </w:p>
    <w:p>
      <w:pPr>
        <w:pStyle w:val="Indenti"/>
      </w:pPr>
      <w:r>
        <w:tab/>
        <w:t>(i)</w:t>
      </w:r>
      <w:r>
        <w:tab/>
        <w:t>a condition of his licence;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finance brokers code of conduct;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finance broker unfit to hold a licence.</w:t>
      </w:r>
    </w:p>
    <w:p>
      <w:pPr>
        <w:pStyle w:val="Footnotesection"/>
      </w:pPr>
      <w:r>
        <w:tab/>
        <w:t>[Section 83 amended: No. 56 of 1995 s. 23; No. 53 of 2004 s. 66; No. 55 of 2004 s. 355; No. 14 of 2010 s. 73; No. 14 of 2025 s. 22(4).]</w:t>
      </w:r>
    </w:p>
    <w:p>
      <w:pPr>
        <w:pStyle w:val="Heading2"/>
      </w:pPr>
      <w:bookmarkStart w:id="122" w:name="_Toc209617865"/>
      <w:bookmarkStart w:id="123" w:name="_Toc209618884"/>
      <w:bookmarkStart w:id="124" w:name="_Toc209706882"/>
      <w:bookmarkStart w:id="125" w:name="_Toc209795002"/>
      <w:r>
        <w:rPr>
          <w:rStyle w:val="CharPartNo"/>
        </w:rPr>
        <w:lastRenderedPageBreak/>
        <w:t>Part V</w:t>
      </w:r>
      <w:r>
        <w:rPr>
          <w:rStyle w:val="CharDivNo"/>
        </w:rPr>
        <w:t> </w:t>
      </w:r>
      <w:r>
        <w:t>—</w:t>
      </w:r>
      <w:r>
        <w:rPr>
          <w:rStyle w:val="CharDivText"/>
        </w:rPr>
        <w:t> </w:t>
      </w:r>
      <w:r>
        <w:rPr>
          <w:rStyle w:val="CharPartText"/>
        </w:rPr>
        <w:t>Miscellaneous</w:t>
      </w:r>
      <w:bookmarkEnd w:id="122"/>
      <w:bookmarkEnd w:id="123"/>
      <w:bookmarkEnd w:id="124"/>
      <w:bookmarkEnd w:id="125"/>
      <w:r>
        <w:rPr>
          <w:rStyle w:val="CharPartText"/>
        </w:rPr>
        <w:t xml:space="preserve"> </w:t>
      </w:r>
    </w:p>
    <w:p>
      <w:pPr>
        <w:pStyle w:val="Ednotesection"/>
      </w:pPr>
      <w:r>
        <w:t>[</w:t>
      </w:r>
      <w:r>
        <w:rPr>
          <w:b/>
        </w:rPr>
        <w:t>84.</w:t>
      </w:r>
      <w:r>
        <w:tab/>
        <w:t>Deleted: No. 14 of 2010 s. 74.]</w:t>
      </w:r>
    </w:p>
    <w:p>
      <w:pPr>
        <w:pStyle w:val="Heading5"/>
        <w:rPr>
          <w:snapToGrid w:val="0"/>
        </w:rPr>
      </w:pPr>
      <w:bookmarkStart w:id="126" w:name="_Toc209795003"/>
      <w:r>
        <w:rPr>
          <w:rStyle w:val="CharSectno"/>
        </w:rPr>
        <w:t>85</w:t>
      </w:r>
      <w:r>
        <w:rPr>
          <w:snapToGrid w:val="0"/>
        </w:rPr>
        <w:t>.</w:t>
      </w:r>
      <w:r>
        <w:rPr>
          <w:snapToGrid w:val="0"/>
        </w:rPr>
        <w:tab/>
        <w:t>Certificates</w:t>
      </w:r>
      <w:bookmarkEnd w:id="126"/>
    </w:p>
    <w:p>
      <w:pPr>
        <w:pStyle w:val="Ednotesubsection"/>
      </w:pPr>
      <w:r>
        <w:tab/>
        <w:t>[(1), (2)</w:t>
      </w:r>
      <w:r>
        <w:tab/>
        <w:t>deleted]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was or was not, licensed on </w:t>
      </w:r>
      <w:r>
        <w:t>the date referred to</w:t>
      </w:r>
      <w:r>
        <w:rPr>
          <w:snapToGrid w:val="0"/>
        </w:rPr>
        <w:t xml:space="preserve"> in the </w:t>
      </w:r>
      <w:r>
        <w:t>certificate</w:t>
      </w:r>
      <w:r>
        <w:rPr>
          <w:snapToGrid w:val="0"/>
        </w:rPr>
        <w:t xml:space="preserve"> shall, in the absence of proof to the contrary, be taken as proof of the matter so certified.</w:t>
      </w:r>
    </w:p>
    <w:p>
      <w:pPr>
        <w:pStyle w:val="Footnotesection"/>
      </w:pPr>
      <w:r>
        <w:tab/>
        <w:t>[Section 85 amended: No. 56 of 1995 s. 23(2); No. 53 of 2004 s. 68; No. 14 of 2010 s. 75.]</w:t>
      </w:r>
    </w:p>
    <w:p>
      <w:pPr>
        <w:pStyle w:val="Ednotesection"/>
      </w:pPr>
      <w:r>
        <w:t>[</w:t>
      </w:r>
      <w:r>
        <w:rPr>
          <w:b/>
          <w:bCs/>
        </w:rPr>
        <w:t>86.</w:t>
      </w:r>
      <w:r>
        <w:tab/>
        <w:t>Deleted: No. 53 of 2004 s. 69.]</w:t>
      </w:r>
    </w:p>
    <w:p>
      <w:pPr>
        <w:pStyle w:val="Heading5"/>
        <w:rPr>
          <w:snapToGrid w:val="0"/>
        </w:rPr>
      </w:pPr>
      <w:bookmarkStart w:id="127" w:name="_Toc209795004"/>
      <w:r>
        <w:rPr>
          <w:rStyle w:val="CharSectno"/>
        </w:rPr>
        <w:t>87</w:t>
      </w:r>
      <w:r>
        <w:rPr>
          <w:snapToGrid w:val="0"/>
        </w:rPr>
        <w:t>.</w:t>
      </w:r>
      <w:r>
        <w:rPr>
          <w:snapToGrid w:val="0"/>
        </w:rPr>
        <w:tab/>
        <w:t>Immunity of officers</w:t>
      </w:r>
      <w:bookmarkEnd w:id="127"/>
      <w:r>
        <w:rPr>
          <w:snapToGrid w:val="0"/>
        </w:rPr>
        <w:t xml:space="preserve"> </w:t>
      </w:r>
    </w:p>
    <w:p>
      <w:pPr>
        <w:pStyle w:val="Subsection"/>
        <w:spacing w:before="120"/>
        <w:rPr>
          <w:snapToGrid w:val="0"/>
        </w:rPr>
      </w:pPr>
      <w:r>
        <w:rPr>
          <w:snapToGrid w:val="0"/>
        </w:rPr>
        <w:tab/>
      </w:r>
      <w:r>
        <w:rPr>
          <w:snapToGrid w:val="0"/>
        </w:rPr>
        <w:tab/>
        <w:t xml:space="preserve">No liability shall attach to a </w:t>
      </w:r>
      <w:r>
        <w:t>person</w:t>
      </w:r>
      <w:r>
        <w:rPr>
          <w:snapToGrid w:val="0"/>
        </w:rPr>
        <w:t xml:space="preserve"> for any act or omission by him in good faith and in the exercise or purported exercise of his powers or functions, or in the discharge or purported discharge of his duties under this Act.</w:t>
      </w:r>
    </w:p>
    <w:p>
      <w:pPr>
        <w:pStyle w:val="Footnotesection"/>
      </w:pPr>
      <w:r>
        <w:tab/>
        <w:t>[Section 87 amended: No. 53 of 2004 s. 70.]</w:t>
      </w:r>
    </w:p>
    <w:p>
      <w:pPr>
        <w:pStyle w:val="Heading5"/>
      </w:pPr>
      <w:bookmarkStart w:id="128" w:name="_Toc209795005"/>
      <w:r>
        <w:rPr>
          <w:rStyle w:val="CharSectno"/>
        </w:rPr>
        <w:t>88</w:t>
      </w:r>
      <w:r>
        <w:t>.</w:t>
      </w:r>
      <w:r>
        <w:tab/>
        <w:t>Secrecy</w:t>
      </w:r>
      <w:bookmarkEnd w:id="128"/>
      <w:r>
        <w:t xml:space="preserve"> </w:t>
      </w:r>
    </w:p>
    <w:p>
      <w:pPr>
        <w:pStyle w:val="Subsection"/>
        <w:rPr>
          <w:snapToGrid w:val="0"/>
        </w:rPr>
      </w:pPr>
      <w:r>
        <w:rPr>
          <w:snapToGrid w:val="0"/>
        </w:rPr>
        <w:tab/>
        <w:t>(1)</w:t>
      </w:r>
      <w:r>
        <w:rPr>
          <w:snapToGrid w:val="0"/>
        </w:rPr>
        <w:tab/>
        <w:t xml:space="preserve">This section applies to — </w:t>
      </w:r>
    </w:p>
    <w:p>
      <w:pPr>
        <w:pStyle w:val="Indenta"/>
        <w:rPr>
          <w:snapToGrid w:val="0"/>
        </w:rPr>
      </w:pPr>
      <w:r>
        <w:rPr>
          <w:snapToGrid w:val="0"/>
        </w:rPr>
        <w:tab/>
        <w:t>(a)</w:t>
      </w:r>
      <w:r>
        <w:rPr>
          <w:snapToGrid w:val="0"/>
        </w:rPr>
        <w:tab/>
        <w:t>any person who has been, a member or the deputy of a member, or the Registrar, or any other officer, whether permanent or temporary, of the former Board; and</w:t>
      </w:r>
    </w:p>
    <w:p>
      <w:pPr>
        <w:pStyle w:val="Indenta"/>
        <w:rPr>
          <w:snapToGrid w:val="0"/>
        </w:rPr>
      </w:pPr>
      <w:r>
        <w:rPr>
          <w:snapToGrid w:val="0"/>
        </w:rPr>
        <w:tab/>
        <w:t>(b)</w:t>
      </w:r>
      <w:r>
        <w:rPr>
          <w:snapToGrid w:val="0"/>
        </w:rPr>
        <w:tab/>
        <w:t>a person who has, or has had, a function under this Act.</w:t>
      </w:r>
    </w:p>
    <w:p>
      <w:pPr>
        <w:pStyle w:val="Subsection"/>
        <w:rPr>
          <w:snapToGrid w:val="0"/>
        </w:rPr>
      </w:pPr>
      <w:r>
        <w:rPr>
          <w:snapToGrid w:val="0"/>
        </w:rPr>
        <w:tab/>
        <w:t>(2)</w:t>
      </w:r>
      <w:r>
        <w:rPr>
          <w:snapToGrid w:val="0"/>
        </w:rPr>
        <w:tab/>
        <w:t xml:space="preserve">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w:t>
      </w:r>
      <w:r>
        <w:rPr>
          <w:snapToGrid w:val="0"/>
        </w:rPr>
        <w:lastRenderedPageBreak/>
        <w:t>office, position or employment under or for the purposes of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Nothing in subsection (2) prohibits the recording, divulging or communicating of any information referred to in that subsection — </w:t>
      </w:r>
    </w:p>
    <w:p>
      <w:pPr>
        <w:pStyle w:val="Indenta"/>
        <w:spacing w:before="60"/>
        <w:rPr>
          <w:snapToGrid w:val="0"/>
        </w:rPr>
      </w:pPr>
      <w:r>
        <w:rPr>
          <w:snapToGrid w:val="0"/>
        </w:rPr>
        <w:tab/>
        <w:t>(a)</w:t>
      </w:r>
      <w:r>
        <w:rPr>
          <w:snapToGrid w:val="0"/>
        </w:rPr>
        <w:tab/>
        <w:t>for the purpose of performing a function under or in connection with this Act; or</w:t>
      </w:r>
    </w:p>
    <w:p>
      <w:pPr>
        <w:pStyle w:val="Indenta"/>
        <w:spacing w:before="60"/>
        <w:rPr>
          <w:snapToGrid w:val="0"/>
        </w:rPr>
      </w:pPr>
      <w:r>
        <w:rPr>
          <w:snapToGrid w:val="0"/>
        </w:rPr>
        <w:tab/>
        <w:t>(b)</w:t>
      </w:r>
      <w:r>
        <w:rPr>
          <w:snapToGrid w:val="0"/>
        </w:rPr>
        <w:tab/>
        <w:t>for the purpose of giving information concerning the affairs of a licensee or a former licensee to a body established under a written law in relation to the performance by that body of a function under or in connection with that written law; or</w:t>
      </w:r>
    </w:p>
    <w:p>
      <w:pPr>
        <w:pStyle w:val="Indenta"/>
        <w:spacing w:before="60"/>
        <w:rPr>
          <w:snapToGrid w:val="0"/>
        </w:rPr>
      </w:pPr>
      <w:r>
        <w:rPr>
          <w:snapToGrid w:val="0"/>
        </w:rPr>
        <w:tab/>
        <w:t>(c)</w:t>
      </w:r>
      <w:r>
        <w:rPr>
          <w:snapToGrid w:val="0"/>
        </w:rPr>
        <w:tab/>
        <w:t>for the purposes of legal proceedings arising out of the administration of this Act or another written law; or</w:t>
      </w:r>
    </w:p>
    <w:p>
      <w:pPr>
        <w:pStyle w:val="Indenta"/>
        <w:spacing w:before="60"/>
        <w:rPr>
          <w:snapToGrid w:val="0"/>
        </w:rPr>
      </w:pPr>
      <w:r>
        <w:rPr>
          <w:snapToGrid w:val="0"/>
        </w:rPr>
        <w:tab/>
        <w:t>(d)</w:t>
      </w:r>
      <w:r>
        <w:rPr>
          <w:snapToGrid w:val="0"/>
        </w:rPr>
        <w:tab/>
        <w:t>for the purpose of investigation of any suspected offence or the conduct of proceedings against any person for any offence; or</w:t>
      </w:r>
    </w:p>
    <w:p>
      <w:pPr>
        <w:pStyle w:val="Indenta"/>
        <w:spacing w:before="60"/>
        <w:rPr>
          <w:snapToGrid w:val="0"/>
        </w:rPr>
      </w:pPr>
      <w:r>
        <w:rPr>
          <w:snapToGrid w:val="0"/>
        </w:rPr>
        <w:tab/>
        <w:t>(e)</w:t>
      </w:r>
      <w:r>
        <w:rPr>
          <w:snapToGrid w:val="0"/>
        </w:rPr>
        <w:tab/>
        <w:t xml:space="preserve">by the Commissioner for the purpose of making the public aware of — </w:t>
      </w:r>
    </w:p>
    <w:p>
      <w:pPr>
        <w:pStyle w:val="Indenti"/>
        <w:spacing w:before="60"/>
      </w:pPr>
      <w:r>
        <w:tab/>
        <w:t>(i)</w:t>
      </w:r>
      <w:r>
        <w:tab/>
        <w:t>investigations or inquiries being conducted into the conduct of a licensee, a former licensee or a purported licensee, and the results of those inquiries; and</w:t>
      </w:r>
    </w:p>
    <w:p>
      <w:pPr>
        <w:pStyle w:val="Indenti"/>
        <w:spacing w:before="60"/>
      </w:pPr>
      <w:r>
        <w:tab/>
        <w:t>(ii)</w:t>
      </w:r>
      <w:r>
        <w:tab/>
        <w:t>disciplinary action being contemplated or undertaken in relation to a licensee, a former licensee or a purported licensee, and the outcome of that action.</w:t>
      </w:r>
    </w:p>
    <w:p>
      <w:pPr>
        <w:pStyle w:val="Subsection"/>
        <w:rPr>
          <w:snapToGrid w:val="0"/>
        </w:rPr>
      </w:pPr>
      <w:r>
        <w:rPr>
          <w:snapToGrid w:val="0"/>
        </w:rPr>
        <w:tab/>
        <w:t>(4)</w:t>
      </w:r>
      <w:r>
        <w:rPr>
          <w:snapToGrid w:val="0"/>
        </w:rPr>
        <w:tab/>
        <w:t xml:space="preserve">In subsection (1) — </w:t>
      </w:r>
    </w:p>
    <w:p>
      <w:pPr>
        <w:pStyle w:val="Defstart"/>
      </w:pPr>
      <w:r>
        <w:rPr>
          <w:b/>
        </w:rPr>
        <w:tab/>
      </w:r>
      <w:r>
        <w:rPr>
          <w:rStyle w:val="CharDefText"/>
        </w:rPr>
        <w:t>former Board</w:t>
      </w:r>
      <w:r>
        <w:t xml:space="preserve"> means the Finance Brokers Supervisory Board constituted under section 6 of this Act immediately before the commencement of the </w:t>
      </w:r>
      <w:r>
        <w:rPr>
          <w:i/>
        </w:rPr>
        <w:t>Finance Brokers Control Amendment Act 2004</w:t>
      </w:r>
      <w:r>
        <w:t>.</w:t>
      </w:r>
    </w:p>
    <w:p>
      <w:pPr>
        <w:pStyle w:val="Footnotesection"/>
      </w:pPr>
      <w:r>
        <w:lastRenderedPageBreak/>
        <w:tab/>
        <w:t>[Section 88 inserted: No. 53 of 2004 s. 71.]</w:t>
      </w:r>
    </w:p>
    <w:p>
      <w:pPr>
        <w:pStyle w:val="Heading5"/>
        <w:rPr>
          <w:snapToGrid w:val="0"/>
        </w:rPr>
      </w:pPr>
      <w:bookmarkStart w:id="129" w:name="_Toc209795006"/>
      <w:r>
        <w:rPr>
          <w:rStyle w:val="CharSectno"/>
        </w:rPr>
        <w:t>89</w:t>
      </w:r>
      <w:r>
        <w:rPr>
          <w:snapToGrid w:val="0"/>
        </w:rPr>
        <w:t>.</w:t>
      </w:r>
      <w:r>
        <w:rPr>
          <w:snapToGrid w:val="0"/>
        </w:rPr>
        <w:tab/>
        <w:t>Liability of directors of body corporate</w:t>
      </w:r>
      <w:bookmarkEnd w:id="129"/>
      <w:r>
        <w:rPr>
          <w:snapToGrid w:val="0"/>
        </w:rPr>
        <w:t xml:space="preserve"> </w:t>
      </w:r>
    </w:p>
    <w:p>
      <w:pPr>
        <w:pStyle w:val="Subsection"/>
        <w:spacing w:before="120"/>
        <w:rPr>
          <w:snapToGrid w:val="0"/>
        </w:rPr>
      </w:pPr>
      <w:r>
        <w:rPr>
          <w:snapToGrid w:val="0"/>
        </w:rPr>
        <w:tab/>
      </w:r>
      <w:r>
        <w:rPr>
          <w:snapToGrid w:val="0"/>
        </w:rPr>
        <w:tab/>
        <w:t>Where a finance broker is a body corporate all its directors are jointly and severally liable to the clients of the body corporate for its acts and defaults in respect of the proper application of trust funds received by the body corporate from or on behalf of its clients.</w:t>
      </w:r>
    </w:p>
    <w:p>
      <w:pPr>
        <w:pStyle w:val="Heading5"/>
        <w:rPr>
          <w:snapToGrid w:val="0"/>
        </w:rPr>
      </w:pPr>
      <w:bookmarkStart w:id="130" w:name="_Toc209795007"/>
      <w:r>
        <w:rPr>
          <w:rStyle w:val="CharSectno"/>
        </w:rPr>
        <w:t>90</w:t>
      </w:r>
      <w:r>
        <w:rPr>
          <w:snapToGrid w:val="0"/>
        </w:rPr>
        <w:t>.</w:t>
      </w:r>
      <w:r>
        <w:rPr>
          <w:snapToGrid w:val="0"/>
        </w:rPr>
        <w:tab/>
        <w:t>Other rights or remedies</w:t>
      </w:r>
      <w:bookmarkEnd w:id="130"/>
      <w:r>
        <w:rPr>
          <w:snapToGrid w:val="0"/>
        </w:rPr>
        <w:t xml:space="preserve"> </w:t>
      </w:r>
    </w:p>
    <w:p>
      <w:pPr>
        <w:pStyle w:val="Subsection"/>
        <w:spacing w:before="120"/>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31" w:name="_Toc209795008"/>
      <w:r>
        <w:rPr>
          <w:rStyle w:val="CharSectno"/>
        </w:rPr>
        <w:t>91</w:t>
      </w:r>
      <w:r>
        <w:rPr>
          <w:snapToGrid w:val="0"/>
        </w:rPr>
        <w:t>.</w:t>
      </w:r>
      <w:r>
        <w:rPr>
          <w:snapToGrid w:val="0"/>
        </w:rPr>
        <w:tab/>
        <w:t>No waiver of rights</w:t>
      </w:r>
      <w:bookmarkEnd w:id="131"/>
      <w:r>
        <w:rPr>
          <w:snapToGrid w:val="0"/>
        </w:rPr>
        <w:t xml:space="preserve"> </w:t>
      </w:r>
    </w:p>
    <w:p>
      <w:pPr>
        <w:pStyle w:val="Subsection"/>
        <w:spacing w:before="120"/>
        <w:rPr>
          <w:snapToGrid w:val="0"/>
        </w:rPr>
      </w:pPr>
      <w:r>
        <w:rPr>
          <w:snapToGrid w:val="0"/>
        </w:rPr>
        <w:tab/>
      </w:r>
      <w:r>
        <w:rPr>
          <w:snapToGrid w:val="0"/>
        </w:rPr>
        <w:tab/>
        <w:t>A person is not competent to waive any rights conferred on him by this Act.</w:t>
      </w:r>
    </w:p>
    <w:p>
      <w:pPr>
        <w:pStyle w:val="Heading5"/>
        <w:spacing w:before="180"/>
        <w:rPr>
          <w:snapToGrid w:val="0"/>
        </w:rPr>
      </w:pPr>
      <w:bookmarkStart w:id="132" w:name="_Toc209795009"/>
      <w:r>
        <w:rPr>
          <w:rStyle w:val="CharSectno"/>
        </w:rPr>
        <w:t>92</w:t>
      </w:r>
      <w:r>
        <w:rPr>
          <w:snapToGrid w:val="0"/>
        </w:rPr>
        <w:t>.</w:t>
      </w:r>
      <w:r>
        <w:rPr>
          <w:snapToGrid w:val="0"/>
        </w:rPr>
        <w:tab/>
        <w:t>General penalty</w:t>
      </w:r>
      <w:bookmarkEnd w:id="132"/>
      <w:r>
        <w:rPr>
          <w:snapToGrid w:val="0"/>
        </w:rPr>
        <w:t xml:space="preserve"> </w:t>
      </w:r>
    </w:p>
    <w:p>
      <w:pPr>
        <w:pStyle w:val="Subsection"/>
        <w:spacing w:before="120"/>
        <w:rPr>
          <w:snapToGrid w:val="0"/>
        </w:rPr>
      </w:pPr>
      <w:r>
        <w:rPr>
          <w:snapToGrid w:val="0"/>
        </w:rPr>
        <w:tab/>
        <w:t>(1)</w:t>
      </w:r>
      <w:r>
        <w:rPr>
          <w:snapToGrid w:val="0"/>
        </w:rPr>
        <w:tab/>
        <w:t>A person who contravenes or fails to comply with any provision of this Act commits an offence against this Act.</w:t>
      </w:r>
    </w:p>
    <w:p>
      <w:pPr>
        <w:pStyle w:val="Subsection"/>
        <w:spacing w:before="120"/>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92 amended: No. 53 of 2004 s. 72.]</w:t>
      </w:r>
    </w:p>
    <w:p>
      <w:pPr>
        <w:pStyle w:val="Heading5"/>
        <w:spacing w:before="180"/>
      </w:pPr>
      <w:bookmarkStart w:id="133" w:name="_Toc209795010"/>
      <w:r>
        <w:rPr>
          <w:rStyle w:val="CharSectno"/>
        </w:rPr>
        <w:t>92A</w:t>
      </w:r>
      <w:r>
        <w:t>.</w:t>
      </w:r>
      <w:r>
        <w:tab/>
        <w:t>Infringement notices</w:t>
      </w:r>
      <w:bookmarkEnd w:id="133"/>
    </w:p>
    <w:p>
      <w:pPr>
        <w:pStyle w:val="Subsection"/>
        <w:spacing w:before="120"/>
      </w:pPr>
      <w:r>
        <w:tab/>
        <w:t>(1)</w:t>
      </w:r>
      <w:r>
        <w:tab/>
        <w:t>In subsection (2), (3), (6), or (7) —</w:t>
      </w:r>
    </w:p>
    <w:p>
      <w:pPr>
        <w:pStyle w:val="Defstart"/>
      </w:pPr>
      <w:r>
        <w:tab/>
      </w:r>
      <w:r>
        <w:rPr>
          <w:rStyle w:val="CharDefText"/>
        </w:rPr>
        <w:t>authorised person</w:t>
      </w:r>
      <w:r>
        <w:t xml:space="preserve"> means a person appointed under subsection (13) by the chief executive officer to be an authorised person for the purposes of the subsection in which the term is used.</w:t>
      </w:r>
    </w:p>
    <w:p>
      <w:pPr>
        <w:pStyle w:val="Subsection"/>
        <w:spacing w:before="120"/>
      </w:pPr>
      <w:r>
        <w:lastRenderedPageBreak/>
        <w:tab/>
        <w:t>(2)</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60"/>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An authorised person may, in a particular case, extend the period of 28 days within which the modified penalty may be paid and the extension may be allowed whether or not the period of 28 days has elapsed.</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lastRenderedPageBreak/>
        <w:tab/>
        <w:t>(8)</w:t>
      </w:r>
      <w:r>
        <w:tab/>
        <w:t>Where an infringement notice is withdrawn after the modified penalty has been paid, the amount is to be refunded.</w:t>
      </w:r>
    </w:p>
    <w:p>
      <w:pPr>
        <w:pStyle w:val="Subsection"/>
      </w:pPr>
      <w:r>
        <w:tab/>
        <w:t>(9)</w:t>
      </w:r>
      <w:r>
        <w:tab/>
        <w:t>Subsection (10) applies if the modified penalty specified in an infringement notice has been paid within 28 days or such further time as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chief executive officer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chief executive officer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[Section 92A inserted: No. 53 of 2004 s. 73; amended: No. 84 of 2004 s. 80.]</w:t>
      </w:r>
    </w:p>
    <w:p>
      <w:pPr>
        <w:pStyle w:val="Ednotesection"/>
      </w:pPr>
      <w:r>
        <w:t>[</w:t>
      </w:r>
      <w:r>
        <w:rPr>
          <w:b/>
        </w:rPr>
        <w:t>92B.</w:t>
      </w:r>
      <w:r>
        <w:tab/>
        <w:t>Deleted: No. 14 of 2010 s. 76.]</w:t>
      </w:r>
    </w:p>
    <w:p>
      <w:pPr>
        <w:pStyle w:val="Heading5"/>
        <w:rPr>
          <w:snapToGrid w:val="0"/>
        </w:rPr>
      </w:pPr>
      <w:bookmarkStart w:id="134" w:name="_Toc209795011"/>
      <w:r>
        <w:rPr>
          <w:rStyle w:val="CharSectno"/>
        </w:rPr>
        <w:lastRenderedPageBreak/>
        <w:t>93</w:t>
      </w:r>
      <w:r>
        <w:rPr>
          <w:snapToGrid w:val="0"/>
        </w:rPr>
        <w:t>.</w:t>
      </w:r>
      <w:r>
        <w:rPr>
          <w:snapToGrid w:val="0"/>
        </w:rPr>
        <w:tab/>
        <w:t>Proceedings</w:t>
      </w:r>
      <w:bookmarkEnd w:id="134"/>
      <w:r>
        <w:rPr>
          <w:snapToGrid w:val="0"/>
        </w:rPr>
        <w:t xml:space="preserve"> </w:t>
      </w:r>
    </w:p>
    <w:p>
      <w:pPr>
        <w:pStyle w:val="Subsection"/>
        <w:rPr>
          <w:snapToGrid w:val="0"/>
        </w:rPr>
      </w:pPr>
      <w:r>
        <w:rPr>
          <w:snapToGrid w:val="0"/>
        </w:rPr>
        <w:tab/>
        <w:t>(1)</w:t>
      </w:r>
      <w:r>
        <w:rPr>
          <w:snapToGrid w:val="0"/>
        </w:rPr>
        <w:tab/>
        <w:t>Proceedings for an offence against this Act may be taken by the Commissioner.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pPr>
      <w:r>
        <w:tab/>
        <w:t>(3)</w:t>
      </w:r>
      <w:r>
        <w:tab/>
        <w:t>An allegation in a charge of an offence under this Act that a person named therein was or was not licensed at the time specified therein shall, in the absence of proof to the contrary, be taken as proved.</w:t>
      </w:r>
    </w:p>
    <w:p>
      <w:pPr>
        <w:pStyle w:val="Footnotesection"/>
      </w:pPr>
      <w:r>
        <w:tab/>
        <w:t>[Section 93 amended: No. 56 of 1995 s. 23(2); No. 53 of 2004 s. 74; No. 59 of 2004 s. 141; No. 84 of 2004 s. 78.]</w:t>
      </w:r>
    </w:p>
    <w:p>
      <w:pPr>
        <w:pStyle w:val="Heading5"/>
        <w:rPr>
          <w:snapToGrid w:val="0"/>
        </w:rPr>
      </w:pPr>
      <w:bookmarkStart w:id="135" w:name="_Toc209795012"/>
      <w:r>
        <w:rPr>
          <w:rStyle w:val="CharSectno"/>
        </w:rPr>
        <w:t>94</w:t>
      </w:r>
      <w:r>
        <w:rPr>
          <w:snapToGrid w:val="0"/>
        </w:rPr>
        <w:t>.</w:t>
      </w:r>
      <w:r>
        <w:rPr>
          <w:snapToGrid w:val="0"/>
        </w:rPr>
        <w:tab/>
        <w:t>Forms</w:t>
      </w:r>
      <w:bookmarkEnd w:id="135"/>
      <w:r>
        <w:rPr>
          <w:snapToGrid w:val="0"/>
        </w:rPr>
        <w:t xml:space="preserve"> </w:t>
      </w:r>
    </w:p>
    <w:p>
      <w:pPr>
        <w:pStyle w:val="Subsection"/>
        <w:rPr>
          <w:snapToGrid w:val="0"/>
        </w:rPr>
      </w:pPr>
      <w:r>
        <w:rPr>
          <w:snapToGrid w:val="0"/>
        </w:rPr>
        <w:tab/>
      </w:r>
      <w:r>
        <w:rPr>
          <w:snapToGrid w:val="0"/>
        </w:rPr>
        <w:tab/>
        <w:t>In addition to the forms for purposes expressly mentioned elsewhere in this Act, the Commissioner may determine the forms to be used for other purposes under this Act and the information to be contained therein and may require that such information be verified by statutory declaration.</w:t>
      </w:r>
    </w:p>
    <w:p>
      <w:pPr>
        <w:pStyle w:val="Footnotesection"/>
      </w:pPr>
      <w:r>
        <w:tab/>
        <w:t>[Section 94 amended: No. 53 of 2004 s. 75.]</w:t>
      </w:r>
    </w:p>
    <w:p>
      <w:pPr>
        <w:pStyle w:val="Heading5"/>
        <w:rPr>
          <w:snapToGrid w:val="0"/>
        </w:rPr>
      </w:pPr>
      <w:bookmarkStart w:id="136" w:name="_Toc209795013"/>
      <w:r>
        <w:rPr>
          <w:rStyle w:val="CharSectno"/>
        </w:rPr>
        <w:t>95</w:t>
      </w:r>
      <w:r>
        <w:rPr>
          <w:snapToGrid w:val="0"/>
        </w:rPr>
        <w:t>.</w:t>
      </w:r>
      <w:r>
        <w:rPr>
          <w:snapToGrid w:val="0"/>
        </w:rPr>
        <w:tab/>
        <w:t>Regulations</w:t>
      </w:r>
      <w:bookmarkEnd w:id="136"/>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form that a licence is to take, and the details to be included on that licence;</w:t>
      </w:r>
    </w:p>
    <w:p>
      <w:pPr>
        <w:pStyle w:val="Indenta"/>
        <w:rPr>
          <w:snapToGrid w:val="0"/>
        </w:rPr>
      </w:pPr>
      <w:r>
        <w:rPr>
          <w:snapToGrid w:val="0"/>
        </w:rPr>
        <w:tab/>
        <w:t>(b)</w:t>
      </w:r>
      <w:r>
        <w:rPr>
          <w:snapToGrid w:val="0"/>
        </w:rPr>
        <w:tab/>
        <w:t>prescribe particular classes of licence that may be granted or renewed under this Act;</w:t>
      </w:r>
    </w:p>
    <w:p>
      <w:pPr>
        <w:pStyle w:val="Indenta"/>
        <w:rPr>
          <w:snapToGrid w:val="0"/>
        </w:rPr>
      </w:pPr>
      <w:r>
        <w:rPr>
          <w:snapToGrid w:val="0"/>
        </w:rPr>
        <w:lastRenderedPageBreak/>
        <w:tab/>
        <w:t>(ba)</w:t>
      </w:r>
      <w:r>
        <w:rPr>
          <w:snapToGrid w:val="0"/>
        </w:rPr>
        <w:tab/>
        <w:t>prescribe particular qualifications or requirements that may be imposed as criteria for the grant or renewal of a particular class of licence;</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 but not in connection with the commencement of a proceeding before the State Administrative Tribunal;</w:t>
      </w:r>
    </w:p>
    <w:p>
      <w:pPr>
        <w:pStyle w:val="Indenta"/>
      </w:pPr>
      <w:r>
        <w:tab/>
        <w:t>(ea)</w:t>
      </w:r>
      <w:r>
        <w:tab/>
        <w:t>provide for the refund, on the expiry of a licence under section 30(1A), of the whole or part of a fee paid on the grant or most recent renewal of the licence;</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 </w:t>
      </w:r>
    </w:p>
    <w:p>
      <w:pPr>
        <w:pStyle w:val="Indenti"/>
        <w:rPr>
          <w:snapToGrid w:val="0"/>
        </w:rPr>
      </w:pPr>
      <w:r>
        <w:rPr>
          <w:snapToGrid w:val="0"/>
        </w:rPr>
        <w:tab/>
        <w:t>(i)</w:t>
      </w:r>
      <w:r>
        <w:rPr>
          <w:snapToGrid w:val="0"/>
        </w:rPr>
        <w:tab/>
        <w:t>offences for which an infringement notice may be given under section 92A; and</w:t>
      </w:r>
    </w:p>
    <w:p>
      <w:pPr>
        <w:pStyle w:val="Indenti"/>
        <w:rPr>
          <w:snapToGrid w:val="0"/>
        </w:rPr>
      </w:pPr>
      <w:r>
        <w:rPr>
          <w:snapToGrid w:val="0"/>
        </w:rPr>
        <w:tab/>
        <w:t>(ii)</w:t>
      </w:r>
      <w:r>
        <w:rPr>
          <w:snapToGrid w:val="0"/>
        </w:rPr>
        <w:tab/>
        <w:t xml:space="preserve">for each prescribed offence — </w:t>
      </w:r>
    </w:p>
    <w:p>
      <w:pPr>
        <w:pStyle w:val="IndentI0"/>
        <w:rPr>
          <w:snapToGrid w:val="0"/>
        </w:rPr>
      </w:pPr>
      <w:r>
        <w:rPr>
          <w:snapToGrid w:val="0"/>
        </w:rPr>
        <w:tab/>
        <w:t>(I)</w:t>
      </w:r>
      <w:r>
        <w:rPr>
          <w:snapToGrid w:val="0"/>
        </w:rPr>
        <w:tab/>
        <w:t>a modified penalty; or</w:t>
      </w:r>
    </w:p>
    <w:p>
      <w:pPr>
        <w:pStyle w:val="IndentI0"/>
        <w:rPr>
          <w:snapToGrid w:val="0"/>
        </w:rPr>
      </w:pPr>
      <w:r>
        <w:rPr>
          <w:snapToGrid w:val="0"/>
        </w:rPr>
        <w:tab/>
        <w:t>(II)</w:t>
      </w:r>
      <w:r>
        <w:rPr>
          <w:snapToGrid w:val="0"/>
        </w:rPr>
        <w:tab/>
        <w:t>a different modified penalty according to the circumstances of the offence,</w:t>
      </w:r>
    </w:p>
    <w:p>
      <w:pPr>
        <w:pStyle w:val="Indenta"/>
        <w:rPr>
          <w:snapToGrid w:val="0"/>
        </w:rPr>
      </w:pPr>
      <w:r>
        <w:rPr>
          <w:snapToGrid w:val="0"/>
        </w:rPr>
        <w:tab/>
      </w:r>
      <w:r>
        <w:rPr>
          <w:snapToGrid w:val="0"/>
        </w:rPr>
        <w:tab/>
        <w:t>but not in any case exceeding the amount allowed by section 92A(5);</w:t>
      </w:r>
    </w:p>
    <w:p>
      <w:pPr>
        <w:pStyle w:val="Indenta"/>
        <w:rPr>
          <w:snapToGrid w:val="0"/>
        </w:rPr>
      </w:pPr>
      <w:r>
        <w:rPr>
          <w:snapToGrid w:val="0"/>
        </w:rPr>
        <w:tab/>
        <w:t>(g)</w:t>
      </w:r>
      <w:r>
        <w:rPr>
          <w:snapToGrid w:val="0"/>
        </w:rPr>
        <w:tab/>
        <w:t>prescribe penalties not exceeding $1 000 for any breach of the regulations.</w:t>
      </w:r>
    </w:p>
    <w:p>
      <w:pPr>
        <w:pStyle w:val="Ednotesubsection"/>
      </w:pPr>
      <w:r>
        <w:tab/>
        <w:t>[(3)</w:t>
      </w:r>
      <w:r>
        <w:tab/>
        <w:t>deleted]</w:t>
      </w:r>
    </w:p>
    <w:p>
      <w:pPr>
        <w:pStyle w:val="Footnotesection"/>
      </w:pPr>
      <w:r>
        <w:tab/>
        <w:t>[Section 95 amended: No. 65 of 1987 s. 37; No. 56 of 1995 s. 22; No. 53 of 2004 s. 76; No. 55 of 2004 s. 357; No. 14 of 2010 s. 77; No. 34 of 2020 s. 98(2).]</w:t>
      </w:r>
    </w:p>
    <w:p>
      <w:pPr>
        <w:pStyle w:val="Ednotepart"/>
        <w:spacing w:before="400"/>
      </w:pPr>
      <w:r>
        <w:t>[Part VI (s. 96-98) deleted: No. 53 of 2004 s. 77.]</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37" w:name="_Toc209617877"/>
      <w:bookmarkStart w:id="138" w:name="_Toc209618896"/>
      <w:bookmarkStart w:id="139" w:name="_Toc209706894"/>
      <w:bookmarkStart w:id="140" w:name="_Toc209795014"/>
      <w:r>
        <w:rPr>
          <w:rStyle w:val="CharSchNo"/>
        </w:rPr>
        <w:lastRenderedPageBreak/>
        <w:t>Schedule</w:t>
      </w:r>
      <w:r>
        <w:t xml:space="preserve"> — </w:t>
      </w:r>
      <w:r>
        <w:rPr>
          <w:rStyle w:val="CharSchText"/>
        </w:rPr>
        <w:t>Formula for calculating percentage rate of interest</w:t>
      </w:r>
      <w:bookmarkEnd w:id="137"/>
      <w:bookmarkEnd w:id="138"/>
      <w:bookmarkEnd w:id="139"/>
      <w:bookmarkEnd w:id="140"/>
    </w:p>
    <w:p>
      <w:pPr>
        <w:pStyle w:val="yShoulderClause"/>
        <w:rPr>
          <w:snapToGrid w:val="0"/>
        </w:rPr>
      </w:pPr>
      <w:r>
        <w:rPr>
          <w:snapToGrid w:val="0"/>
        </w:rPr>
        <w:t>[s. 45]</w:t>
      </w:r>
    </w:p>
    <w:p>
      <w:pPr>
        <w:pStyle w:val="yFootnotesection"/>
      </w:pPr>
      <w:r>
        <w:tab/>
        <w:t>[Heading amended: No. 19 of 2010 s. 4.]</w:t>
      </w:r>
    </w:p>
    <w:p>
      <w:pPr>
        <w:pStyle w:val="yHeading5"/>
        <w:rPr>
          <w:snapToGrid w:val="0"/>
        </w:rPr>
      </w:pPr>
      <w:bookmarkStart w:id="141" w:name="_Toc209795015"/>
      <w:r>
        <w:rPr>
          <w:rStyle w:val="CharSClsNo"/>
        </w:rPr>
        <w:t>1</w:t>
      </w:r>
      <w:r>
        <w:rPr>
          <w:snapToGrid w:val="0"/>
        </w:rPr>
        <w:t>.</w:t>
      </w:r>
      <w:r>
        <w:rPr>
          <w:snapToGrid w:val="0"/>
        </w:rPr>
        <w:tab/>
        <w:t>Formula for calculating percentage rate of interest</w:t>
      </w:r>
      <w:bookmarkEnd w:id="141"/>
    </w:p>
    <w:p>
      <w:pPr>
        <w:pStyle w:val="ySubsection"/>
        <w:rPr>
          <w:snapToGrid w:val="0"/>
        </w:rPr>
      </w:pPr>
      <w:r>
        <w:rPr>
          <w:snapToGrid w:val="0"/>
        </w:rPr>
        <w:tab/>
        <w:t>(1)</w:t>
      </w:r>
      <w:r>
        <w:rPr>
          <w:snapToGrid w:val="0"/>
        </w:rPr>
        <w:tab/>
        <w:t>The rate at which the interest accrues upon the principal is that nominal annual percentage rate (correct to within 0.5%) which, when applied to the unpaid balances of the principal calculated according to the actuarial method, will yield a sum equal to the total amount of the interest.</w:t>
      </w:r>
    </w:p>
    <w:p>
      <w:pPr>
        <w:pStyle w:val="ySubsection"/>
        <w:rPr>
          <w:snapToGrid w:val="0"/>
        </w:rPr>
      </w:pPr>
      <w:r>
        <w:rPr>
          <w:snapToGrid w:val="0"/>
        </w:rPr>
        <w:tab/>
        <w:t>(2A)</w:t>
      </w:r>
      <w:r>
        <w:rPr>
          <w:snapToGrid w:val="0"/>
        </w:rPr>
        <w:tab/>
        <w:t>In lieu of applying the actuarial method above, where repayment of the principal and interest is to be made by equal regular periodic payments, the first of which is to fall due at the end of the first period then the nominal annual percentage rate referred to in paragraph (1) may be calculated in accordance with the following formulae — </w:t>
      </w:r>
    </w:p>
    <w:p>
      <w:pPr>
        <w:pStyle w:val="yIndenta"/>
        <w:rPr>
          <w:snapToGrid w:val="0"/>
          <w:szCs w:val="22"/>
        </w:rPr>
      </w:pPr>
      <w:r>
        <w:rPr>
          <w:snapToGrid w:val="0"/>
        </w:rPr>
        <w:tab/>
        <w:t>(a)</w:t>
      </w:r>
      <w:r>
        <w:rPr>
          <w:snapToGrid w:val="0"/>
        </w:rPr>
        <w:tab/>
        <w:t xml:space="preserve">to </w:t>
      </w:r>
      <w:r>
        <w:rPr>
          <w:snapToGrid w:val="0"/>
          <w:szCs w:val="22"/>
        </w:rPr>
        <w:t>calculate the flat rate of interest per cent:</w:t>
      </w:r>
    </w:p>
    <w:p>
      <w:pPr>
        <w:pStyle w:val="Equation"/>
        <w:tabs>
          <w:tab w:val="left" w:pos="2410"/>
        </w:tabs>
        <w:spacing w:before="80"/>
        <w:rPr>
          <w:snapToGrid w:val="0"/>
          <w:sz w:val="22"/>
          <w:szCs w:val="22"/>
        </w:rPr>
      </w:pPr>
      <w:r>
        <w:rPr>
          <w:snapToGrid w:val="0"/>
          <w:sz w:val="22"/>
          <w:szCs w:val="22"/>
        </w:rPr>
        <w:tab/>
      </w:r>
      <w:r>
        <w:rPr>
          <w:snapToGrid w:val="0"/>
          <w:position w:val="-28"/>
          <w:sz w:val="22"/>
          <w:szCs w:val="22"/>
        </w:rPr>
        <w:object w:dxaOrig="1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pt;height:31.5pt" o:ole="" fillcolor="window">
            <v:imagedata r:id="rId23" o:title=""/>
          </v:shape>
          <o:OLEObject Type="Embed" ProgID="Equation.3" ShapeID="_x0000_i1025" DrawAspect="Content" ObjectID="_1820409234" r:id="rId24"/>
        </w:object>
      </w:r>
    </w:p>
    <w:p>
      <w:pPr>
        <w:pStyle w:val="yIndenta"/>
        <w:rPr>
          <w:snapToGrid w:val="0"/>
          <w:szCs w:val="22"/>
        </w:rPr>
      </w:pPr>
      <w:r>
        <w:rPr>
          <w:snapToGrid w:val="0"/>
          <w:szCs w:val="22"/>
        </w:rPr>
        <w:tab/>
        <w:t>(b)</w:t>
      </w:r>
      <w:r>
        <w:rPr>
          <w:snapToGrid w:val="0"/>
          <w:szCs w:val="22"/>
        </w:rPr>
        <w:tab/>
        <w:t>to convert the flat rate of interest per cent into the nominal annual percentage rate:</w:t>
      </w:r>
    </w:p>
    <w:p>
      <w:pPr>
        <w:pStyle w:val="Equation"/>
        <w:tabs>
          <w:tab w:val="left" w:pos="2410"/>
        </w:tabs>
        <w:spacing w:before="80"/>
        <w:rPr>
          <w:sz w:val="22"/>
          <w:szCs w:val="22"/>
        </w:rPr>
      </w:pPr>
      <w:r>
        <w:rPr>
          <w:snapToGrid w:val="0"/>
          <w:sz w:val="22"/>
          <w:szCs w:val="22"/>
        </w:rPr>
        <w:tab/>
      </w:r>
      <w:r>
        <w:rPr>
          <w:position w:val="-28"/>
          <w:sz w:val="22"/>
          <w:szCs w:val="22"/>
        </w:rPr>
        <w:object w:dxaOrig="2460" w:dyaOrig="639">
          <v:shape id="_x0000_i1026" type="#_x0000_t75" style="width:129pt;height:31.5pt" o:ole="" fillcolor="window">
            <v:imagedata r:id="rId25" o:title=""/>
          </v:shape>
          <o:OLEObject Type="Embed" ProgID="Equation.3" ShapeID="_x0000_i1026" DrawAspect="Content" ObjectID="_1820409235" r:id="rId26"/>
        </w:object>
      </w:r>
    </w:p>
    <w:p>
      <w:pPr>
        <w:pStyle w:val="ySubsection"/>
        <w:rPr>
          <w:snapToGrid w:val="0"/>
          <w:szCs w:val="22"/>
        </w:rPr>
      </w:pPr>
      <w:r>
        <w:rPr>
          <w:snapToGrid w:val="0"/>
          <w:szCs w:val="22"/>
        </w:rPr>
        <w:tab/>
      </w:r>
      <w:r>
        <w:rPr>
          <w:snapToGrid w:val="0"/>
          <w:szCs w:val="22"/>
        </w:rPr>
        <w:tab/>
        <w:t>where (in each case)</w:t>
      </w:r>
    </w:p>
    <w:p>
      <w:pPr>
        <w:pStyle w:val="yIndenta"/>
      </w:pPr>
      <w:r>
        <w:tab/>
        <w:t>“F”</w:t>
      </w:r>
      <w:r>
        <w:tab/>
        <w:t>= the flat rate of interest per cent</w:t>
      </w:r>
    </w:p>
    <w:p>
      <w:pPr>
        <w:pStyle w:val="yIndenta"/>
      </w:pPr>
      <w:r>
        <w:tab/>
        <w:t>“c”</w:t>
      </w:r>
      <w:r>
        <w:tab/>
        <w:t>= the number of payments per annum</w:t>
      </w:r>
    </w:p>
    <w:p>
      <w:pPr>
        <w:pStyle w:val="yIndenta"/>
      </w:pPr>
      <w:r>
        <w:tab/>
        <w:t>“i”</w:t>
      </w:r>
      <w:r>
        <w:tab/>
        <w:t>= the total amount of the interest</w:t>
      </w:r>
    </w:p>
    <w:p>
      <w:pPr>
        <w:pStyle w:val="yIndenta"/>
      </w:pPr>
      <w:r>
        <w:tab/>
        <w:t>“n”</w:t>
      </w:r>
      <w:r>
        <w:tab/>
        <w:t>= the number of payments</w:t>
      </w:r>
    </w:p>
    <w:p>
      <w:pPr>
        <w:pStyle w:val="yIndenta"/>
      </w:pPr>
      <w:r>
        <w:tab/>
        <w:t>“P”</w:t>
      </w:r>
      <w:r>
        <w:tab/>
        <w:t>= the amount financed</w:t>
      </w:r>
    </w:p>
    <w:p>
      <w:pPr>
        <w:pStyle w:val="yIndenta"/>
      </w:pPr>
      <w:r>
        <w:tab/>
        <w:t>“R”</w:t>
      </w:r>
      <w:r>
        <w:tab/>
        <w:t>= the nominal annual percentage rate.</w:t>
      </w:r>
    </w:p>
    <w:p>
      <w:pPr>
        <w:pStyle w:val="ySubsection"/>
        <w:rPr>
          <w:snapToGrid w:val="0"/>
        </w:rPr>
      </w:pPr>
      <w:r>
        <w:rPr>
          <w:snapToGrid w:val="0"/>
        </w:rPr>
        <w:lastRenderedPageBreak/>
        <w:tab/>
        <w:t>(2B)</w:t>
      </w:r>
      <w:r>
        <w:rPr>
          <w:snapToGrid w:val="0"/>
        </w:rPr>
        <w:tab/>
        <w:t>For the purpose of applying the above formulae, all payments shall be deemed to be equal if the variance between any one payment only and all other payments does not exceed 5%.</w:t>
      </w:r>
    </w:p>
    <w:p>
      <w:pPr>
        <w:pStyle w:val="ySubsection"/>
        <w:rPr>
          <w:snapToGrid w:val="0"/>
        </w:rPr>
      </w:pPr>
      <w:r>
        <w:rPr>
          <w:snapToGrid w:val="0"/>
        </w:rPr>
        <w:tab/>
        <w:t>(3)</w:t>
      </w:r>
      <w:r>
        <w:rPr>
          <w:snapToGrid w:val="0"/>
        </w:rPr>
        <w:tab/>
        <w:t>The disclosure of a percentage rate which is greater than the percentage rate required to be disclosed by either of the above methods shall be a sufficient disclosure.</w:t>
      </w:r>
    </w:p>
    <w:p>
      <w:pPr>
        <w:pStyle w:val="yFootnotesection"/>
      </w:pPr>
      <w:r>
        <w:tab/>
        <w:t>[Clause 1 amended: No. 19 of 2010 s. 51.]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i/>
        </w:rPr>
        <w:sectPr>
          <w:headerReference w:type="even" r:id="rId28"/>
          <w:headerReference w:type="default" r:id="rId29"/>
          <w:headerReference w:type="first" r:id="rId30"/>
          <w:pgSz w:w="11907" w:h="16840" w:code="9"/>
          <w:pgMar w:top="2376" w:right="2405" w:bottom="3542" w:left="2405" w:header="706" w:footer="3544" w:gutter="0"/>
          <w:cols w:space="720"/>
          <w:noEndnote/>
          <w:docGrid w:linePitch="326"/>
        </w:sectPr>
      </w:pPr>
    </w:p>
    <w:p>
      <w:pPr>
        <w:pStyle w:val="nHeading2"/>
      </w:pPr>
      <w:bookmarkStart w:id="143" w:name="_Toc209617879"/>
      <w:bookmarkStart w:id="144" w:name="_Toc209618898"/>
      <w:bookmarkStart w:id="145" w:name="_Toc209706896"/>
      <w:bookmarkStart w:id="146" w:name="_Toc209795016"/>
      <w:r>
        <w:lastRenderedPageBreak/>
        <w:t>Notes</w:t>
      </w:r>
      <w:bookmarkEnd w:id="143"/>
      <w:bookmarkEnd w:id="144"/>
      <w:bookmarkEnd w:id="145"/>
      <w:bookmarkEnd w:id="146"/>
    </w:p>
    <w:p>
      <w:pPr>
        <w:pStyle w:val="nStatement"/>
      </w:pPr>
      <w:r>
        <w:t xml:space="preserve">This is a compilation of the </w:t>
      </w:r>
      <w:r>
        <w:rPr>
          <w:i/>
          <w:noProof/>
        </w:rPr>
        <w:t>Finance Brokers Control Act 1975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47" w:name="_Toc209795017"/>
      <w:r>
        <w:t>Compilation table</w:t>
      </w:r>
      <w:bookmarkEnd w:id="147"/>
    </w:p>
    <w:tbl>
      <w:tblPr>
        <w:tblW w:w="7102" w:type="dxa"/>
        <w:tblInd w:w="55" w:type="dxa"/>
        <w:tblBorders>
          <w:bottom w:val="single" w:sz="4" w:space="0" w:color="auto"/>
        </w:tblBorders>
        <w:tblLayout w:type="fixed"/>
        <w:tblCellMar>
          <w:left w:w="56" w:type="dxa"/>
          <w:right w:w="56" w:type="dxa"/>
        </w:tblCellMar>
        <w:tblLook w:val="0000" w:firstRow="0" w:lastRow="0" w:firstColumn="0" w:lastColumn="0" w:noHBand="0" w:noVBand="0"/>
      </w:tblPr>
      <w:tblGrid>
        <w:gridCol w:w="12"/>
        <w:gridCol w:w="2254"/>
        <w:gridCol w:w="14"/>
        <w:gridCol w:w="1121"/>
        <w:gridCol w:w="13"/>
        <w:gridCol w:w="1122"/>
        <w:gridCol w:w="12"/>
        <w:gridCol w:w="2539"/>
        <w:gridCol w:w="15"/>
      </w:tblGrid>
      <w:tr>
        <w:trPr>
          <w:gridAfter w:val="1"/>
          <w:wAfter w:w="15" w:type="dxa"/>
          <w:cantSplit/>
          <w:tblHeader/>
        </w:trPr>
        <w:tc>
          <w:tcPr>
            <w:tcW w:w="2266"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5" w:type="dxa"/>
          <w:cantSplit/>
        </w:trPr>
        <w:tc>
          <w:tcPr>
            <w:tcW w:w="2266" w:type="dxa"/>
            <w:gridSpan w:val="2"/>
            <w:tcBorders>
              <w:top w:val="nil"/>
            </w:tcBorders>
          </w:tcPr>
          <w:p>
            <w:pPr>
              <w:pStyle w:val="nTable"/>
              <w:spacing w:after="40"/>
              <w:ind w:right="113"/>
            </w:pPr>
            <w:r>
              <w:rPr>
                <w:i/>
              </w:rPr>
              <w:t>Finance Brokers Control Act 1975</w:t>
            </w:r>
          </w:p>
        </w:tc>
        <w:tc>
          <w:tcPr>
            <w:tcW w:w="1135" w:type="dxa"/>
            <w:gridSpan w:val="2"/>
            <w:tcBorders>
              <w:top w:val="nil"/>
            </w:tcBorders>
          </w:tcPr>
          <w:p>
            <w:pPr>
              <w:pStyle w:val="nTable"/>
              <w:spacing w:after="40"/>
            </w:pPr>
            <w:r>
              <w:t>88 of 1975</w:t>
            </w:r>
          </w:p>
        </w:tc>
        <w:tc>
          <w:tcPr>
            <w:tcW w:w="1135" w:type="dxa"/>
            <w:gridSpan w:val="2"/>
            <w:tcBorders>
              <w:top w:val="nil"/>
            </w:tcBorders>
          </w:tcPr>
          <w:p>
            <w:pPr>
              <w:pStyle w:val="nTable"/>
              <w:spacing w:after="40"/>
            </w:pPr>
            <w:r>
              <w:t>20 Nov 1975</w:t>
            </w:r>
          </w:p>
        </w:tc>
        <w:tc>
          <w:tcPr>
            <w:tcW w:w="2551" w:type="dxa"/>
            <w:gridSpan w:val="2"/>
            <w:tcBorders>
              <w:top w:val="nil"/>
            </w:tcBorders>
          </w:tcPr>
          <w:p>
            <w:pPr>
              <w:pStyle w:val="nTable"/>
              <w:spacing w:after="40"/>
            </w:pPr>
            <w:r>
              <w:t>1 Nov 1976 (see s. 2 and</w:t>
            </w:r>
            <w:r>
              <w:rPr>
                <w:i/>
              </w:rPr>
              <w:t xml:space="preserve"> Gazette </w:t>
            </w:r>
            <w:r>
              <w:t>29 Oct 1976 p. 4103)</w:t>
            </w:r>
          </w:p>
        </w:tc>
      </w:tr>
      <w:tr>
        <w:trPr>
          <w:gridAfter w:val="1"/>
          <w:wAfter w:w="15" w:type="dxa"/>
          <w:cantSplit/>
        </w:trPr>
        <w:tc>
          <w:tcPr>
            <w:tcW w:w="2266" w:type="dxa"/>
            <w:gridSpan w:val="2"/>
          </w:tcPr>
          <w:p>
            <w:pPr>
              <w:pStyle w:val="nTable"/>
              <w:spacing w:after="40"/>
              <w:ind w:right="113"/>
            </w:pPr>
            <w:r>
              <w:rPr>
                <w:i/>
              </w:rPr>
              <w:t>Companies (Consequential Amendments) Act 1982</w:t>
            </w:r>
            <w:r>
              <w:t xml:space="preserve"> s. 28</w:t>
            </w:r>
          </w:p>
        </w:tc>
        <w:tc>
          <w:tcPr>
            <w:tcW w:w="1135" w:type="dxa"/>
            <w:gridSpan w:val="2"/>
          </w:tcPr>
          <w:p>
            <w:pPr>
              <w:pStyle w:val="nTable"/>
              <w:spacing w:after="40"/>
            </w:pPr>
            <w:r>
              <w:t>10 of 1982</w:t>
            </w:r>
          </w:p>
        </w:tc>
        <w:tc>
          <w:tcPr>
            <w:tcW w:w="1135" w:type="dxa"/>
            <w:gridSpan w:val="2"/>
          </w:tcPr>
          <w:p>
            <w:pPr>
              <w:pStyle w:val="nTable"/>
              <w:spacing w:after="40"/>
            </w:pPr>
            <w:r>
              <w:t>14 May 1982</w:t>
            </w:r>
          </w:p>
        </w:tc>
        <w:tc>
          <w:tcPr>
            <w:tcW w:w="2551" w:type="dxa"/>
            <w:gridSpan w:val="2"/>
          </w:tcPr>
          <w:p>
            <w:pPr>
              <w:pStyle w:val="nTable"/>
              <w:spacing w:after="40"/>
            </w:pPr>
            <w:r>
              <w:t xml:space="preserve">1 Jul 1982 (see s. 2(1) and </w:t>
            </w:r>
            <w:r>
              <w:rPr>
                <w:i/>
              </w:rPr>
              <w:t>Gazette</w:t>
            </w:r>
            <w:r>
              <w:t xml:space="preserve"> 25 Jun 1982 p. 2079)</w:t>
            </w:r>
          </w:p>
        </w:tc>
      </w:tr>
      <w:tr>
        <w:trPr>
          <w:gridAfter w:val="1"/>
          <w:wAfter w:w="15" w:type="dxa"/>
          <w:cantSplit/>
        </w:trPr>
        <w:tc>
          <w:tcPr>
            <w:tcW w:w="7087" w:type="dxa"/>
            <w:gridSpan w:val="8"/>
          </w:tcPr>
          <w:p>
            <w:pPr>
              <w:pStyle w:val="nTable"/>
              <w:spacing w:after="40"/>
            </w:pPr>
            <w:r>
              <w:rPr>
                <w:b/>
              </w:rPr>
              <w:t xml:space="preserve">Reprint of the </w:t>
            </w:r>
            <w:r>
              <w:rPr>
                <w:b/>
                <w:i/>
              </w:rPr>
              <w:t>Finance Brokers Control Act 1975</w:t>
            </w:r>
            <w:r>
              <w:rPr>
                <w:b/>
              </w:rPr>
              <w:t xml:space="preserve"> as at 2 Apr 1986 </w:t>
            </w:r>
            <w:r>
              <w:rPr>
                <w:b/>
              </w:rPr>
              <w:br/>
            </w:r>
            <w:r>
              <w:t xml:space="preserve">(includes amendments listed above) </w:t>
            </w:r>
          </w:p>
        </w:tc>
      </w:tr>
      <w:tr>
        <w:trPr>
          <w:gridAfter w:val="1"/>
          <w:wAfter w:w="15" w:type="dxa"/>
          <w:cantSplit/>
        </w:trPr>
        <w:tc>
          <w:tcPr>
            <w:tcW w:w="2266" w:type="dxa"/>
            <w:gridSpan w:val="2"/>
          </w:tcPr>
          <w:p>
            <w:pPr>
              <w:pStyle w:val="nTable"/>
              <w:spacing w:after="40"/>
              <w:ind w:right="113"/>
            </w:pPr>
            <w:r>
              <w:rPr>
                <w:i/>
              </w:rPr>
              <w:t>Acts Amendment (Legal Practitioners, Costs and Taxation) Act 1987</w:t>
            </w:r>
            <w:r>
              <w:t xml:space="preserve"> Pt. X</w:t>
            </w:r>
          </w:p>
        </w:tc>
        <w:tc>
          <w:tcPr>
            <w:tcW w:w="1135" w:type="dxa"/>
            <w:gridSpan w:val="2"/>
          </w:tcPr>
          <w:p>
            <w:pPr>
              <w:pStyle w:val="nTable"/>
              <w:spacing w:after="40"/>
            </w:pPr>
            <w:r>
              <w:t>65 of 1987</w:t>
            </w:r>
          </w:p>
        </w:tc>
        <w:tc>
          <w:tcPr>
            <w:tcW w:w="1135" w:type="dxa"/>
            <w:gridSpan w:val="2"/>
          </w:tcPr>
          <w:p>
            <w:pPr>
              <w:pStyle w:val="nTable"/>
              <w:spacing w:after="40"/>
            </w:pPr>
            <w:r>
              <w:t>1 Dec 1987</w:t>
            </w:r>
          </w:p>
        </w:tc>
        <w:tc>
          <w:tcPr>
            <w:tcW w:w="2551" w:type="dxa"/>
            <w:gridSpan w:val="2"/>
          </w:tcPr>
          <w:p>
            <w:pPr>
              <w:pStyle w:val="nTable"/>
              <w:spacing w:after="40"/>
            </w:pPr>
            <w:r>
              <w:t>12 Feb 1988 (see s. 2(2) and</w:t>
            </w:r>
            <w:r>
              <w:rPr>
                <w:i/>
              </w:rPr>
              <w:t xml:space="preserve"> Gazette</w:t>
            </w:r>
            <w:r>
              <w:t xml:space="preserve"> 12 Feb 1988 p. 397)</w:t>
            </w:r>
          </w:p>
        </w:tc>
      </w:tr>
      <w:tr>
        <w:trPr>
          <w:gridAfter w:val="1"/>
          <w:wAfter w:w="15" w:type="dxa"/>
          <w:cantSplit/>
        </w:trPr>
        <w:tc>
          <w:tcPr>
            <w:tcW w:w="2266" w:type="dxa"/>
            <w:gridSpan w:val="2"/>
          </w:tcPr>
          <w:p>
            <w:pPr>
              <w:pStyle w:val="nTable"/>
              <w:spacing w:after="40"/>
              <w:ind w:right="113"/>
            </w:pPr>
            <w:r>
              <w:rPr>
                <w:i/>
              </w:rPr>
              <w:t>Acts Amendment (Public Sector Management) Act 1994</w:t>
            </w:r>
            <w:r>
              <w:t xml:space="preserve"> s. 3(1)</w:t>
            </w:r>
          </w:p>
        </w:tc>
        <w:tc>
          <w:tcPr>
            <w:tcW w:w="1135" w:type="dxa"/>
            <w:gridSpan w:val="2"/>
          </w:tcPr>
          <w:p>
            <w:pPr>
              <w:pStyle w:val="nTable"/>
              <w:spacing w:after="40"/>
            </w:pPr>
            <w:r>
              <w:t>32 of 1994</w:t>
            </w:r>
          </w:p>
        </w:tc>
        <w:tc>
          <w:tcPr>
            <w:tcW w:w="1135" w:type="dxa"/>
            <w:gridSpan w:val="2"/>
          </w:tcPr>
          <w:p>
            <w:pPr>
              <w:pStyle w:val="nTable"/>
              <w:spacing w:after="40"/>
            </w:pPr>
            <w:r>
              <w:t>29 Jun 1994</w:t>
            </w:r>
          </w:p>
        </w:tc>
        <w:tc>
          <w:tcPr>
            <w:tcW w:w="2551" w:type="dxa"/>
            <w:gridSpan w:val="2"/>
          </w:tcPr>
          <w:p>
            <w:pPr>
              <w:pStyle w:val="nTable"/>
              <w:spacing w:after="40"/>
            </w:pPr>
            <w:r>
              <w:t>1 Oct 1994 (see s. 2 and</w:t>
            </w:r>
            <w:r>
              <w:rPr>
                <w:i/>
              </w:rPr>
              <w:t xml:space="preserve"> Gazette </w:t>
            </w:r>
            <w:r>
              <w:t>30 Sep 1994 p. 4948)</w:t>
            </w:r>
          </w:p>
        </w:tc>
      </w:tr>
      <w:tr>
        <w:trPr>
          <w:gridAfter w:val="1"/>
          <w:wAfter w:w="15" w:type="dxa"/>
          <w:cantSplit/>
        </w:trPr>
        <w:tc>
          <w:tcPr>
            <w:tcW w:w="2266" w:type="dxa"/>
            <w:gridSpan w:val="2"/>
          </w:tcPr>
          <w:p>
            <w:pPr>
              <w:pStyle w:val="nTable"/>
              <w:spacing w:after="40"/>
              <w:ind w:right="113"/>
              <w:rPr>
                <w:vertAlign w:val="superscript"/>
              </w:rPr>
            </w:pPr>
            <w:r>
              <w:rPr>
                <w:i/>
              </w:rPr>
              <w:t>Business Licensing Amendment Act 1995</w:t>
            </w:r>
            <w:r>
              <w:t xml:space="preserve"> Pt. 5</w:t>
            </w:r>
            <w:r>
              <w:rPr>
                <w:vertAlign w:val="superscript"/>
              </w:rPr>
              <w:t> 4</w:t>
            </w:r>
          </w:p>
        </w:tc>
        <w:tc>
          <w:tcPr>
            <w:tcW w:w="1135" w:type="dxa"/>
            <w:gridSpan w:val="2"/>
          </w:tcPr>
          <w:p>
            <w:pPr>
              <w:pStyle w:val="nTable"/>
              <w:spacing w:after="40"/>
            </w:pPr>
            <w:r>
              <w:t>56 of 1995</w:t>
            </w:r>
          </w:p>
        </w:tc>
        <w:tc>
          <w:tcPr>
            <w:tcW w:w="1135" w:type="dxa"/>
            <w:gridSpan w:val="2"/>
          </w:tcPr>
          <w:p>
            <w:pPr>
              <w:pStyle w:val="nTable"/>
              <w:spacing w:after="40"/>
            </w:pPr>
            <w:r>
              <w:t>20 Dec 1995</w:t>
            </w:r>
          </w:p>
        </w:tc>
        <w:tc>
          <w:tcPr>
            <w:tcW w:w="2551" w:type="dxa"/>
            <w:gridSpan w:val="2"/>
          </w:tcPr>
          <w:p>
            <w:pPr>
              <w:pStyle w:val="nTable"/>
              <w:spacing w:after="40"/>
            </w:pPr>
            <w:r>
              <w:t>1 May 1996 (see s. 2(2) and</w:t>
            </w:r>
            <w:r>
              <w:rPr>
                <w:i/>
              </w:rPr>
              <w:t xml:space="preserve"> Gazette</w:t>
            </w:r>
            <w:r>
              <w:t xml:space="preserve"> 30 Apr 1996 p. 1853)</w:t>
            </w:r>
          </w:p>
        </w:tc>
      </w:tr>
      <w:tr>
        <w:trPr>
          <w:gridAfter w:val="1"/>
          <w:wAfter w:w="15" w:type="dxa"/>
          <w:cantSplit/>
        </w:trPr>
        <w:tc>
          <w:tcPr>
            <w:tcW w:w="2266" w:type="dxa"/>
            <w:gridSpan w:val="2"/>
          </w:tcPr>
          <w:p>
            <w:pPr>
              <w:pStyle w:val="nTable"/>
              <w:spacing w:after="40"/>
              <w:ind w:right="113"/>
            </w:pPr>
            <w:r>
              <w:rPr>
                <w:i/>
              </w:rPr>
              <w:t>Financial Legislation Amendment Act 1996</w:t>
            </w:r>
            <w:r>
              <w:t xml:space="preserve"> s. 64</w:t>
            </w:r>
          </w:p>
        </w:tc>
        <w:tc>
          <w:tcPr>
            <w:tcW w:w="1135" w:type="dxa"/>
            <w:gridSpan w:val="2"/>
          </w:tcPr>
          <w:p>
            <w:pPr>
              <w:pStyle w:val="nTable"/>
              <w:spacing w:after="40"/>
            </w:pPr>
            <w:r>
              <w:t>49 of 1996</w:t>
            </w:r>
          </w:p>
        </w:tc>
        <w:tc>
          <w:tcPr>
            <w:tcW w:w="1135" w:type="dxa"/>
            <w:gridSpan w:val="2"/>
          </w:tcPr>
          <w:p>
            <w:pPr>
              <w:pStyle w:val="nTable"/>
              <w:spacing w:after="40"/>
            </w:pPr>
            <w:r>
              <w:t>25 Oct 1996</w:t>
            </w:r>
          </w:p>
        </w:tc>
        <w:tc>
          <w:tcPr>
            <w:tcW w:w="2551" w:type="dxa"/>
            <w:gridSpan w:val="2"/>
          </w:tcPr>
          <w:p>
            <w:pPr>
              <w:pStyle w:val="nTable"/>
              <w:spacing w:after="40"/>
            </w:pPr>
            <w:r>
              <w:t>25 Oct 1996 (see s. 2(1))</w:t>
            </w:r>
          </w:p>
        </w:tc>
      </w:tr>
      <w:tr>
        <w:trPr>
          <w:gridAfter w:val="1"/>
          <w:wAfter w:w="15" w:type="dxa"/>
          <w:cantSplit/>
        </w:trPr>
        <w:tc>
          <w:tcPr>
            <w:tcW w:w="2266" w:type="dxa"/>
            <w:gridSpan w:val="2"/>
          </w:tcPr>
          <w:p>
            <w:pPr>
              <w:pStyle w:val="nTable"/>
              <w:spacing w:after="40"/>
              <w:ind w:right="113"/>
            </w:pPr>
            <w:r>
              <w:rPr>
                <w:i/>
              </w:rPr>
              <w:t>Statutes (Repeals and Minor Amendments) Act (No. 2) 1998</w:t>
            </w:r>
            <w:r>
              <w:t xml:space="preserve"> s. 76</w:t>
            </w:r>
          </w:p>
        </w:tc>
        <w:tc>
          <w:tcPr>
            <w:tcW w:w="1135" w:type="dxa"/>
            <w:gridSpan w:val="2"/>
          </w:tcPr>
          <w:p>
            <w:pPr>
              <w:pStyle w:val="nTable"/>
              <w:spacing w:after="40"/>
            </w:pPr>
            <w:r>
              <w:t>10 of 1998</w:t>
            </w:r>
          </w:p>
        </w:tc>
        <w:tc>
          <w:tcPr>
            <w:tcW w:w="1135" w:type="dxa"/>
            <w:gridSpan w:val="2"/>
          </w:tcPr>
          <w:p>
            <w:pPr>
              <w:pStyle w:val="nTable"/>
              <w:spacing w:after="40"/>
            </w:pPr>
            <w:r>
              <w:t>30 Apr 1998</w:t>
            </w:r>
          </w:p>
        </w:tc>
        <w:tc>
          <w:tcPr>
            <w:tcW w:w="2551" w:type="dxa"/>
            <w:gridSpan w:val="2"/>
          </w:tcPr>
          <w:p>
            <w:pPr>
              <w:pStyle w:val="nTable"/>
              <w:spacing w:after="40"/>
            </w:pPr>
            <w:r>
              <w:t>30 Apr 1998 (see s. 2(1))</w:t>
            </w:r>
          </w:p>
        </w:tc>
      </w:tr>
      <w:tr>
        <w:trPr>
          <w:gridAfter w:val="1"/>
          <w:wAfter w:w="15" w:type="dxa"/>
          <w:cantSplit/>
        </w:trPr>
        <w:tc>
          <w:tcPr>
            <w:tcW w:w="2266" w:type="dxa"/>
            <w:gridSpan w:val="2"/>
          </w:tcPr>
          <w:p>
            <w:pPr>
              <w:pStyle w:val="nTable"/>
              <w:spacing w:after="40"/>
              <w:ind w:right="113"/>
            </w:pPr>
            <w:r>
              <w:rPr>
                <w:i/>
              </w:rPr>
              <w:t>Acts Amendment and Repeal (Financial Sector Reform) Act 1999</w:t>
            </w:r>
            <w:r>
              <w:t xml:space="preserve"> s. 79</w:t>
            </w:r>
          </w:p>
        </w:tc>
        <w:tc>
          <w:tcPr>
            <w:tcW w:w="1135" w:type="dxa"/>
            <w:gridSpan w:val="2"/>
          </w:tcPr>
          <w:p>
            <w:pPr>
              <w:pStyle w:val="nTable"/>
              <w:keepLines/>
              <w:spacing w:after="40"/>
            </w:pPr>
            <w:r>
              <w:t>26 of 1999</w:t>
            </w:r>
          </w:p>
        </w:tc>
        <w:tc>
          <w:tcPr>
            <w:tcW w:w="1135" w:type="dxa"/>
            <w:gridSpan w:val="2"/>
          </w:tcPr>
          <w:p>
            <w:pPr>
              <w:pStyle w:val="nTable"/>
              <w:keepLines/>
              <w:spacing w:after="40"/>
            </w:pPr>
            <w:r>
              <w:t>29 Jun 1999</w:t>
            </w:r>
          </w:p>
        </w:tc>
        <w:tc>
          <w:tcPr>
            <w:tcW w:w="2551" w:type="dxa"/>
            <w:gridSpan w:val="2"/>
          </w:tcPr>
          <w:p>
            <w:pPr>
              <w:pStyle w:val="nTable"/>
              <w:keepLines/>
              <w:spacing w:after="40"/>
            </w:pPr>
            <w:r>
              <w:t xml:space="preserve">1 Jul 1999 (see s. 2(1) and </w:t>
            </w:r>
            <w:r>
              <w:rPr>
                <w:i/>
              </w:rPr>
              <w:t>Gazette</w:t>
            </w:r>
            <w:r>
              <w:t xml:space="preserve"> 30 Jun 1999 p. 2905)</w:t>
            </w:r>
          </w:p>
        </w:tc>
      </w:tr>
      <w:tr>
        <w:trPr>
          <w:gridAfter w:val="1"/>
          <w:wAfter w:w="15" w:type="dxa"/>
          <w:cantSplit/>
        </w:trPr>
        <w:tc>
          <w:tcPr>
            <w:tcW w:w="7087" w:type="dxa"/>
            <w:gridSpan w:val="8"/>
            <w:tcBorders>
              <w:bottom w:val="nil"/>
            </w:tcBorders>
          </w:tcPr>
          <w:p>
            <w:pPr>
              <w:pStyle w:val="nTable"/>
              <w:spacing w:after="40"/>
            </w:pPr>
            <w:r>
              <w:rPr>
                <w:b/>
              </w:rPr>
              <w:t xml:space="preserve">Reprint of the </w:t>
            </w:r>
            <w:r>
              <w:rPr>
                <w:b/>
                <w:i/>
              </w:rPr>
              <w:t>Finance Brokers Control Act 1975</w:t>
            </w:r>
            <w:r>
              <w:rPr>
                <w:b/>
              </w:rPr>
              <w:t xml:space="preserve"> as at 3 Mar 2000</w:t>
            </w:r>
            <w:r>
              <w:rPr>
                <w:b/>
              </w:rPr>
              <w:br/>
            </w:r>
            <w:r>
              <w:t xml:space="preserve">(includes amendments listed above) </w:t>
            </w:r>
            <w:r>
              <w:rPr>
                <w:iCs/>
              </w:rPr>
              <w:t>(correction in</w:t>
            </w:r>
            <w:r>
              <w:rPr>
                <w:i/>
              </w:rPr>
              <w:t xml:space="preserve"> Gazette </w:t>
            </w:r>
            <w:r>
              <w:rPr>
                <w:iCs/>
              </w:rPr>
              <w:t>11 Mar 2003 p. 751)</w:t>
            </w:r>
          </w:p>
        </w:tc>
      </w:tr>
      <w:tr>
        <w:trPr>
          <w:gridAfter w:val="1"/>
          <w:wAfter w:w="15" w:type="dxa"/>
          <w:cantSplit/>
        </w:trPr>
        <w:tc>
          <w:tcPr>
            <w:tcW w:w="2266" w:type="dxa"/>
            <w:gridSpan w:val="2"/>
            <w:tcBorders>
              <w:bottom w:val="nil"/>
            </w:tcBorders>
          </w:tcPr>
          <w:p>
            <w:pPr>
              <w:pStyle w:val="nTable"/>
              <w:spacing w:after="40"/>
              <w:ind w:right="113"/>
              <w:rPr>
                <w:i/>
              </w:rPr>
            </w:pPr>
            <w:r>
              <w:rPr>
                <w:i/>
              </w:rPr>
              <w:t>Corporations (Consequential Amendments) Act 2001</w:t>
            </w:r>
            <w:r>
              <w:t xml:space="preserve"> s. 221</w:t>
            </w:r>
          </w:p>
        </w:tc>
        <w:tc>
          <w:tcPr>
            <w:tcW w:w="1135" w:type="dxa"/>
            <w:gridSpan w:val="2"/>
            <w:tcBorders>
              <w:bottom w:val="nil"/>
            </w:tcBorders>
          </w:tcPr>
          <w:p>
            <w:pPr>
              <w:pStyle w:val="nTable"/>
              <w:keepLines/>
              <w:spacing w:after="40"/>
            </w:pPr>
            <w:r>
              <w:t>10 of 2001</w:t>
            </w:r>
          </w:p>
        </w:tc>
        <w:tc>
          <w:tcPr>
            <w:tcW w:w="1135" w:type="dxa"/>
            <w:gridSpan w:val="2"/>
            <w:tcBorders>
              <w:bottom w:val="nil"/>
            </w:tcBorders>
          </w:tcPr>
          <w:p>
            <w:pPr>
              <w:pStyle w:val="nTable"/>
              <w:keepLines/>
              <w:spacing w:after="40"/>
            </w:pPr>
            <w:r>
              <w:t>28 Jun 2001</w:t>
            </w:r>
          </w:p>
        </w:tc>
        <w:tc>
          <w:tcPr>
            <w:tcW w:w="2551" w:type="dxa"/>
            <w:gridSpan w:val="2"/>
            <w:tcBorders>
              <w:bottom w:val="nil"/>
            </w:tcBorders>
          </w:tcPr>
          <w:p>
            <w:pPr>
              <w:pStyle w:val="nTable"/>
              <w:keepLines/>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1"/>
          <w:wAfter w:w="15" w:type="dxa"/>
          <w:cantSplit/>
        </w:trPr>
        <w:tc>
          <w:tcPr>
            <w:tcW w:w="2266" w:type="dxa"/>
            <w:gridSpan w:val="2"/>
            <w:tcBorders>
              <w:top w:val="nil"/>
            </w:tcBorders>
          </w:tcPr>
          <w:p>
            <w:pPr>
              <w:pStyle w:val="nTable"/>
              <w:spacing w:after="40"/>
              <w:ind w:right="113"/>
            </w:pPr>
            <w:r>
              <w:rPr>
                <w:i/>
              </w:rPr>
              <w:lastRenderedPageBreak/>
              <w:t>Building Societies Amendment Act 2001</w:t>
            </w:r>
            <w:r>
              <w:t xml:space="preserve"> s. 51</w:t>
            </w:r>
          </w:p>
        </w:tc>
        <w:tc>
          <w:tcPr>
            <w:tcW w:w="1135" w:type="dxa"/>
            <w:gridSpan w:val="2"/>
            <w:tcBorders>
              <w:top w:val="nil"/>
            </w:tcBorders>
          </w:tcPr>
          <w:p>
            <w:pPr>
              <w:pStyle w:val="nTable"/>
              <w:keepLines/>
              <w:spacing w:after="40"/>
            </w:pPr>
            <w:r>
              <w:t>12 of 2001</w:t>
            </w:r>
          </w:p>
        </w:tc>
        <w:tc>
          <w:tcPr>
            <w:tcW w:w="1135" w:type="dxa"/>
            <w:gridSpan w:val="2"/>
            <w:tcBorders>
              <w:top w:val="nil"/>
            </w:tcBorders>
          </w:tcPr>
          <w:p>
            <w:pPr>
              <w:pStyle w:val="nTable"/>
              <w:keepLines/>
              <w:spacing w:after="40"/>
            </w:pPr>
            <w:r>
              <w:t>13 Jul 2001</w:t>
            </w:r>
          </w:p>
        </w:tc>
        <w:tc>
          <w:tcPr>
            <w:tcW w:w="2551" w:type="dxa"/>
            <w:gridSpan w:val="2"/>
            <w:tcBorders>
              <w:top w:val="nil"/>
            </w:tcBorders>
          </w:tcPr>
          <w:p>
            <w:pPr>
              <w:pStyle w:val="nTable"/>
              <w:keepLines/>
              <w:spacing w:after="40"/>
            </w:pPr>
            <w:r>
              <w:t>13 Jul 2001 (see s. 2)</w:t>
            </w:r>
          </w:p>
        </w:tc>
      </w:tr>
      <w:tr>
        <w:trPr>
          <w:gridAfter w:val="1"/>
          <w:wAfter w:w="15" w:type="dxa"/>
          <w:cantSplit/>
        </w:trPr>
        <w:tc>
          <w:tcPr>
            <w:tcW w:w="2266" w:type="dxa"/>
            <w:gridSpan w:val="2"/>
          </w:tcPr>
          <w:p>
            <w:pPr>
              <w:pStyle w:val="nTable"/>
              <w:spacing w:after="40"/>
              <w:ind w:right="113"/>
            </w:pPr>
            <w:r>
              <w:rPr>
                <w:i/>
              </w:rPr>
              <w:t>Corporations (Consequential Amendments) Act (No. 3) 2003</w:t>
            </w:r>
            <w:r>
              <w:t xml:space="preserve"> Pt. 5</w:t>
            </w:r>
            <w:r>
              <w:rPr>
                <w:vertAlign w:val="superscript"/>
              </w:rPr>
              <w:t> 5</w:t>
            </w:r>
          </w:p>
        </w:tc>
        <w:tc>
          <w:tcPr>
            <w:tcW w:w="1135" w:type="dxa"/>
            <w:gridSpan w:val="2"/>
          </w:tcPr>
          <w:p>
            <w:pPr>
              <w:pStyle w:val="nTable"/>
              <w:keepLines/>
              <w:spacing w:after="40"/>
            </w:pPr>
            <w:r>
              <w:t>21 of 2003</w:t>
            </w:r>
          </w:p>
        </w:tc>
        <w:tc>
          <w:tcPr>
            <w:tcW w:w="1135" w:type="dxa"/>
            <w:gridSpan w:val="2"/>
          </w:tcPr>
          <w:p>
            <w:pPr>
              <w:pStyle w:val="nTable"/>
              <w:keepLines/>
              <w:spacing w:after="40"/>
            </w:pPr>
            <w:r>
              <w:t>23 Apr 2003</w:t>
            </w:r>
          </w:p>
        </w:tc>
        <w:tc>
          <w:tcPr>
            <w:tcW w:w="2551" w:type="dxa"/>
            <w:gridSpan w:val="2"/>
          </w:tcPr>
          <w:p>
            <w:pPr>
              <w:pStyle w:val="nTable"/>
              <w:keepLines/>
              <w:spacing w:after="40"/>
            </w:pPr>
            <w:r>
              <w:t xml:space="preserve">11 Mar 2002 (see s. 2 and Cwlth </w:t>
            </w:r>
            <w:r>
              <w:rPr>
                <w:i/>
              </w:rPr>
              <w:t>Gazette</w:t>
            </w:r>
            <w:r>
              <w:t xml:space="preserve"> 24 Oct 2001 No. GN42)</w:t>
            </w:r>
          </w:p>
        </w:tc>
      </w:tr>
      <w:tr>
        <w:trPr>
          <w:gridAfter w:val="1"/>
          <w:wAfter w:w="15" w:type="dxa"/>
          <w:cantSplit/>
        </w:trPr>
        <w:tc>
          <w:tcPr>
            <w:tcW w:w="2266" w:type="dxa"/>
            <w:gridSpan w:val="2"/>
          </w:tcPr>
          <w:p>
            <w:pPr>
              <w:pStyle w:val="nTable"/>
              <w:spacing w:after="40"/>
              <w:ind w:right="113"/>
            </w:pPr>
            <w:r>
              <w:rPr>
                <w:i/>
              </w:rPr>
              <w:t>Acts Amendment and Repeal (Courts and Legal Practice) Act 2003</w:t>
            </w:r>
            <w:r>
              <w:t xml:space="preserve"> s. 35</w:t>
            </w:r>
          </w:p>
        </w:tc>
        <w:tc>
          <w:tcPr>
            <w:tcW w:w="1135" w:type="dxa"/>
            <w:gridSpan w:val="2"/>
          </w:tcPr>
          <w:p>
            <w:pPr>
              <w:pStyle w:val="nTable"/>
              <w:keepNext/>
              <w:keepLines/>
              <w:spacing w:after="40"/>
            </w:pPr>
            <w:r>
              <w:t>65 of 2003</w:t>
            </w:r>
          </w:p>
        </w:tc>
        <w:tc>
          <w:tcPr>
            <w:tcW w:w="1135" w:type="dxa"/>
            <w:gridSpan w:val="2"/>
          </w:tcPr>
          <w:p>
            <w:pPr>
              <w:pStyle w:val="nTable"/>
              <w:keepNext/>
              <w:keepLines/>
              <w:spacing w:after="40"/>
            </w:pPr>
            <w:r>
              <w:t>4 Dec 2003</w:t>
            </w:r>
          </w:p>
        </w:tc>
        <w:tc>
          <w:tcPr>
            <w:tcW w:w="2551" w:type="dxa"/>
            <w:gridSpan w:val="2"/>
          </w:tcPr>
          <w:p>
            <w:pPr>
              <w:pStyle w:val="nTable"/>
              <w:keepNext/>
              <w:keepLines/>
              <w:spacing w:after="40"/>
            </w:pPr>
            <w:r>
              <w:t xml:space="preserve">1 Jan 2004 (see s. 2 and </w:t>
            </w:r>
            <w:r>
              <w:rPr>
                <w:i/>
              </w:rPr>
              <w:t>Gazette</w:t>
            </w:r>
            <w:r>
              <w:t xml:space="preserve"> 30 Dec 2003 p. 5722)</w:t>
            </w:r>
          </w:p>
        </w:tc>
      </w:tr>
      <w:tr>
        <w:tblPrEx>
          <w:tblBorders>
            <w:bottom w:val="none" w:sz="0" w:space="0" w:color="auto"/>
          </w:tblBorders>
        </w:tblPrEx>
        <w:trPr>
          <w:gridAfter w:val="1"/>
          <w:wAfter w:w="15" w:type="dxa"/>
        </w:trPr>
        <w:tc>
          <w:tcPr>
            <w:tcW w:w="2266" w:type="dxa"/>
            <w:gridSpan w:val="2"/>
          </w:tcPr>
          <w:p>
            <w:pPr>
              <w:pStyle w:val="nTable"/>
              <w:spacing w:after="40"/>
              <w:rPr>
                <w:snapToGrid w:val="0"/>
              </w:rPr>
            </w:pPr>
            <w:r>
              <w:rPr>
                <w:i/>
                <w:iCs/>
                <w:snapToGrid w:val="0"/>
              </w:rPr>
              <w:t>Finance Brokers Control Amendment Act 2004</w:t>
            </w:r>
            <w:r>
              <w:rPr>
                <w:iCs/>
                <w:snapToGrid w:val="0"/>
                <w:vertAlign w:val="superscript"/>
              </w:rPr>
              <w:t> 6</w:t>
            </w:r>
            <w:r>
              <w:rPr>
                <w:snapToGrid w:val="0"/>
                <w:vertAlign w:val="superscript"/>
              </w:rPr>
              <w:t>, 7</w:t>
            </w:r>
          </w:p>
        </w:tc>
        <w:tc>
          <w:tcPr>
            <w:tcW w:w="1135" w:type="dxa"/>
            <w:gridSpan w:val="2"/>
          </w:tcPr>
          <w:p>
            <w:pPr>
              <w:pStyle w:val="nTable"/>
              <w:spacing w:after="40"/>
              <w:rPr>
                <w:snapToGrid w:val="0"/>
              </w:rPr>
            </w:pPr>
            <w:r>
              <w:rPr>
                <w:snapToGrid w:val="0"/>
              </w:rPr>
              <w:t>53 of 2004</w:t>
            </w:r>
          </w:p>
        </w:tc>
        <w:tc>
          <w:tcPr>
            <w:tcW w:w="1135" w:type="dxa"/>
            <w:gridSpan w:val="2"/>
          </w:tcPr>
          <w:p>
            <w:pPr>
              <w:pStyle w:val="nTable"/>
              <w:spacing w:after="40"/>
            </w:pPr>
            <w:r>
              <w:t>18 Nov 2004</w:t>
            </w:r>
          </w:p>
        </w:tc>
        <w:tc>
          <w:tcPr>
            <w:tcW w:w="2551" w:type="dxa"/>
            <w:gridSpan w:val="2"/>
          </w:tcPr>
          <w:p>
            <w:pPr>
              <w:pStyle w:val="nTable"/>
              <w:spacing w:after="40"/>
              <w:rPr>
                <w:snapToGrid w:val="0"/>
              </w:rPr>
            </w:pPr>
            <w:r>
              <w:rPr>
                <w:snapToGrid w:val="0"/>
              </w:rPr>
              <w:t xml:space="preserve">31 Oct 2005 (see s. 2 and </w:t>
            </w:r>
            <w:r>
              <w:rPr>
                <w:i/>
                <w:iCs/>
                <w:snapToGrid w:val="0"/>
              </w:rPr>
              <w:t>Gazette</w:t>
            </w:r>
            <w:r>
              <w:rPr>
                <w:snapToGrid w:val="0"/>
              </w:rPr>
              <w:t xml:space="preserve"> 28 Oct 2005 p. 4839)</w:t>
            </w:r>
          </w:p>
        </w:tc>
      </w:tr>
      <w:tr>
        <w:trPr>
          <w:gridAfter w:val="1"/>
          <w:wAfter w:w="15" w:type="dxa"/>
          <w:cantSplit/>
        </w:trPr>
        <w:tc>
          <w:tcPr>
            <w:tcW w:w="2266" w:type="dxa"/>
            <w:gridSpan w:val="2"/>
          </w:tcPr>
          <w:p>
            <w:pPr>
              <w:pStyle w:val="nTable"/>
              <w:spacing w:after="40"/>
              <w:ind w:right="113"/>
              <w:rPr>
                <w:i/>
              </w:rPr>
            </w:pPr>
            <w:r>
              <w:rPr>
                <w:i/>
                <w:iCs/>
                <w:snapToGrid w:val="0"/>
              </w:rPr>
              <w:t xml:space="preserve">Courts Legislation Amendment and Repeal Act 2004 </w:t>
            </w:r>
            <w:r>
              <w:rPr>
                <w:snapToGrid w:val="0"/>
              </w:rPr>
              <w:t>s. 141</w:t>
            </w:r>
          </w:p>
        </w:tc>
        <w:tc>
          <w:tcPr>
            <w:tcW w:w="1135" w:type="dxa"/>
            <w:gridSpan w:val="2"/>
          </w:tcPr>
          <w:p>
            <w:pPr>
              <w:pStyle w:val="nTable"/>
              <w:keepNext/>
              <w:keepLines/>
              <w:spacing w:after="40"/>
            </w:pPr>
            <w:r>
              <w:rPr>
                <w:snapToGrid w:val="0"/>
              </w:rPr>
              <w:t>59 of 2004</w:t>
            </w:r>
          </w:p>
        </w:tc>
        <w:tc>
          <w:tcPr>
            <w:tcW w:w="1135" w:type="dxa"/>
            <w:gridSpan w:val="2"/>
          </w:tcPr>
          <w:p>
            <w:pPr>
              <w:pStyle w:val="nTable"/>
              <w:keepNext/>
              <w:keepLines/>
              <w:spacing w:after="40"/>
            </w:pPr>
            <w:r>
              <w:rPr>
                <w:snapToGrid w:val="0"/>
              </w:rPr>
              <w:t>23 Nov 2004</w:t>
            </w:r>
          </w:p>
        </w:tc>
        <w:tc>
          <w:tcPr>
            <w:tcW w:w="2551" w:type="dxa"/>
            <w:gridSpan w:val="2"/>
          </w:tcPr>
          <w:p>
            <w:pPr>
              <w:pStyle w:val="nTable"/>
              <w:keepNext/>
              <w:keepLines/>
              <w:spacing w:after="40"/>
            </w:pPr>
            <w:r>
              <w:rPr>
                <w:snapToGrid w:val="0"/>
              </w:rPr>
              <w:t xml:space="preserve">1 May 2005 (see s. 2 and </w:t>
            </w:r>
            <w:r>
              <w:rPr>
                <w:i/>
                <w:iCs/>
                <w:snapToGrid w:val="0"/>
              </w:rPr>
              <w:t>Gazette</w:t>
            </w:r>
            <w:r>
              <w:rPr>
                <w:snapToGrid w:val="0"/>
              </w:rPr>
              <w:t xml:space="preserve"> 31 Dec 2004 p. 7128)</w:t>
            </w:r>
          </w:p>
        </w:tc>
      </w:tr>
      <w:tr>
        <w:tblPrEx>
          <w:tblBorders>
            <w:bottom w:val="none" w:sz="0" w:space="0" w:color="auto"/>
          </w:tblBorders>
        </w:tblPrEx>
        <w:trPr>
          <w:gridAfter w:val="1"/>
          <w:wAfter w:w="15" w:type="dxa"/>
          <w:cantSplit/>
        </w:trPr>
        <w:tc>
          <w:tcPr>
            <w:tcW w:w="2266" w:type="dxa"/>
            <w:gridSpan w:val="2"/>
          </w:tcPr>
          <w:p>
            <w:pPr>
              <w:pStyle w:val="nTable"/>
              <w:spacing w:after="40"/>
              <w:ind w:right="113"/>
              <w:rPr>
                <w:iCs/>
              </w:rPr>
            </w:pPr>
            <w:r>
              <w:rPr>
                <w:i/>
              </w:rPr>
              <w:t>State Administrative Tribunal (Conferral of Jurisdiction) Amendment and Repeal Act 2004</w:t>
            </w:r>
            <w:r>
              <w:rPr>
                <w:iCs/>
              </w:rPr>
              <w:t xml:space="preserve"> Pt. 2 Div. 46</w:t>
            </w:r>
            <w:r>
              <w:rPr>
                <w:iCs/>
                <w:vertAlign w:val="superscript"/>
              </w:rPr>
              <w:t> 8</w:t>
            </w:r>
          </w:p>
        </w:tc>
        <w:tc>
          <w:tcPr>
            <w:tcW w:w="1135" w:type="dxa"/>
            <w:gridSpan w:val="2"/>
          </w:tcPr>
          <w:p>
            <w:pPr>
              <w:pStyle w:val="nTable"/>
              <w:spacing w:after="40"/>
            </w:pPr>
            <w:r>
              <w:t>55 of 2004</w:t>
            </w:r>
          </w:p>
        </w:tc>
        <w:tc>
          <w:tcPr>
            <w:tcW w:w="1135" w:type="dxa"/>
            <w:gridSpan w:val="2"/>
          </w:tcPr>
          <w:p>
            <w:pPr>
              <w:pStyle w:val="nTable"/>
              <w:spacing w:after="40"/>
            </w:pPr>
            <w:r>
              <w:t>24 Nov 2004</w:t>
            </w:r>
          </w:p>
        </w:tc>
        <w:tc>
          <w:tcPr>
            <w:tcW w:w="2551" w:type="dxa"/>
            <w:gridSpan w:val="2"/>
          </w:tcPr>
          <w:p>
            <w:pPr>
              <w:pStyle w:val="nTable"/>
              <w:spacing w:after="40"/>
              <w:ind w:right="65"/>
              <w:rPr>
                <w:spacing w:val="-2"/>
              </w:rPr>
            </w:pPr>
            <w:r>
              <w:t xml:space="preserve">1 Jan 2005 (see s. 2 and </w:t>
            </w:r>
            <w:r>
              <w:rPr>
                <w:i/>
                <w:iCs/>
              </w:rPr>
              <w:t>Gazette</w:t>
            </w:r>
            <w:r>
              <w:t xml:space="preserve"> 31 Dec 2004 p. 7130)</w:t>
            </w:r>
          </w:p>
        </w:tc>
      </w:tr>
      <w:tr>
        <w:tblPrEx>
          <w:tblBorders>
            <w:bottom w:val="none" w:sz="0" w:space="0" w:color="auto"/>
          </w:tblBorders>
        </w:tblPrEx>
        <w:trPr>
          <w:gridAfter w:val="1"/>
          <w:wAfter w:w="15" w:type="dxa"/>
          <w:cantSplit/>
        </w:trPr>
        <w:tc>
          <w:tcPr>
            <w:tcW w:w="2266" w:type="dxa"/>
            <w:gridSpan w:val="2"/>
          </w:tcPr>
          <w:p>
            <w:pPr>
              <w:pStyle w:val="nTable"/>
              <w:spacing w:after="40"/>
              <w:ind w:right="113"/>
              <w:rPr>
                <w:i/>
              </w:rPr>
            </w:pPr>
            <w:r>
              <w:rPr>
                <w:i/>
                <w:iCs/>
                <w:snapToGrid w:val="0"/>
              </w:rPr>
              <w:t>Criminal Procedure and Appeals (Consequential and Other Provisions) Act 2004</w:t>
            </w:r>
            <w:r>
              <w:rPr>
                <w:snapToGrid w:val="0"/>
              </w:rPr>
              <w:t xml:space="preserve"> s. 78, 80 and 82</w:t>
            </w:r>
          </w:p>
        </w:tc>
        <w:tc>
          <w:tcPr>
            <w:tcW w:w="1135" w:type="dxa"/>
            <w:gridSpan w:val="2"/>
          </w:tcPr>
          <w:p>
            <w:pPr>
              <w:pStyle w:val="nTable"/>
              <w:spacing w:after="40"/>
            </w:pPr>
            <w:r>
              <w:rPr>
                <w:snapToGrid w:val="0"/>
              </w:rPr>
              <w:t>84 of 2004</w:t>
            </w:r>
          </w:p>
        </w:tc>
        <w:tc>
          <w:tcPr>
            <w:tcW w:w="1135" w:type="dxa"/>
            <w:gridSpan w:val="2"/>
          </w:tcPr>
          <w:p>
            <w:pPr>
              <w:pStyle w:val="nTable"/>
              <w:spacing w:after="40"/>
            </w:pPr>
            <w:r>
              <w:t>16 Dec 2004</w:t>
            </w:r>
          </w:p>
        </w:tc>
        <w:tc>
          <w:tcPr>
            <w:tcW w:w="2551" w:type="dxa"/>
            <w:gridSpan w:val="2"/>
          </w:tcPr>
          <w:p>
            <w:pPr>
              <w:pStyle w:val="nTable"/>
              <w:spacing w:after="40"/>
              <w:ind w:right="65"/>
              <w:rPr>
                <w:spacing w:val="-2"/>
              </w:rPr>
            </w:pPr>
            <w:r>
              <w:rPr>
                <w:snapToGrid w:val="0"/>
              </w:rPr>
              <w:t xml:space="preserve">s. 78: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r>
              <w:rPr>
                <w:snapToGrid w:val="0"/>
              </w:rPr>
              <w:br/>
              <w:t xml:space="preserve">s. 80 and 82: 31 Oct 2005 (see s. 2 and </w:t>
            </w:r>
            <w:r>
              <w:rPr>
                <w:i/>
                <w:iCs/>
                <w:snapToGrid w:val="0"/>
              </w:rPr>
              <w:t>Gazette</w:t>
            </w:r>
            <w:r>
              <w:rPr>
                <w:snapToGrid w:val="0"/>
              </w:rPr>
              <w:t xml:space="preserve"> 28 Oct 2005 p. 4839)</w:t>
            </w:r>
          </w:p>
        </w:tc>
      </w:tr>
      <w:tr>
        <w:tblPrEx>
          <w:tblBorders>
            <w:bottom w:val="none" w:sz="0" w:space="0" w:color="auto"/>
          </w:tblBorders>
        </w:tblPrEx>
        <w:trPr>
          <w:gridAfter w:val="1"/>
          <w:wAfter w:w="15" w:type="dxa"/>
          <w:cantSplit/>
        </w:trPr>
        <w:tc>
          <w:tcPr>
            <w:tcW w:w="7087" w:type="dxa"/>
            <w:gridSpan w:val="8"/>
          </w:tcPr>
          <w:p>
            <w:pPr>
              <w:pStyle w:val="nTable"/>
              <w:spacing w:after="40"/>
              <w:ind w:right="65"/>
              <w:rPr>
                <w:snapToGrid w:val="0"/>
              </w:rPr>
            </w:pPr>
            <w:r>
              <w:rPr>
                <w:b/>
              </w:rPr>
              <w:t xml:space="preserve">Reprint 3: The </w:t>
            </w:r>
            <w:r>
              <w:rPr>
                <w:b/>
                <w:i/>
              </w:rPr>
              <w:t>Finance Brokers Control Act 1975</w:t>
            </w:r>
            <w:r>
              <w:rPr>
                <w:b/>
              </w:rPr>
              <w:t xml:space="preserve"> as at 5 Aug 2005 </w:t>
            </w:r>
            <w:r>
              <w:t xml:space="preserve">(includes amendments listed above except those in the </w:t>
            </w:r>
            <w:r>
              <w:rPr>
                <w:i/>
                <w:iCs/>
                <w:snapToGrid w:val="0"/>
              </w:rPr>
              <w:t xml:space="preserve">Finance Brokers Control Amendment Act 2004 </w:t>
            </w:r>
            <w:r>
              <w:rPr>
                <w:snapToGrid w:val="0"/>
              </w:rPr>
              <w:t>and the</w:t>
            </w:r>
            <w:r>
              <w:rPr>
                <w:i/>
                <w:iCs/>
                <w:snapToGrid w:val="0"/>
              </w:rPr>
              <w:t xml:space="preserve"> Criminal Procedure and Appeals (Consequential and Other Provisions) Act 2004 </w:t>
            </w:r>
            <w:r>
              <w:rPr>
                <w:snapToGrid w:val="0"/>
              </w:rPr>
              <w:t>s. 80 and 82</w:t>
            </w:r>
            <w:r>
              <w:t>)</w:t>
            </w:r>
          </w:p>
        </w:tc>
      </w:tr>
      <w:tr>
        <w:tblPrEx>
          <w:tblBorders>
            <w:bottom w:val="none" w:sz="0" w:space="0" w:color="auto"/>
          </w:tblBorders>
        </w:tblPrEx>
        <w:trPr>
          <w:gridAfter w:val="1"/>
          <w:wAfter w:w="15" w:type="dxa"/>
          <w:cantSplit/>
        </w:trPr>
        <w:tc>
          <w:tcPr>
            <w:tcW w:w="2266" w:type="dxa"/>
            <w:gridSpan w:val="2"/>
          </w:tcPr>
          <w:p>
            <w:pPr>
              <w:pStyle w:val="nTable"/>
              <w:spacing w:after="40"/>
              <w:ind w:right="113"/>
              <w:rPr>
                <w:i/>
              </w:rPr>
            </w:pPr>
            <w:r>
              <w:rPr>
                <w:i/>
                <w:iCs/>
              </w:rPr>
              <w:t>Housing Societies Repeal Act 2005</w:t>
            </w:r>
            <w:r>
              <w:t xml:space="preserve"> s. 27</w:t>
            </w:r>
          </w:p>
        </w:tc>
        <w:tc>
          <w:tcPr>
            <w:tcW w:w="1135" w:type="dxa"/>
            <w:gridSpan w:val="2"/>
          </w:tcPr>
          <w:p>
            <w:pPr>
              <w:pStyle w:val="nTable"/>
              <w:spacing w:after="40"/>
            </w:pPr>
            <w:r>
              <w:t>17 of 2005</w:t>
            </w:r>
          </w:p>
        </w:tc>
        <w:tc>
          <w:tcPr>
            <w:tcW w:w="1135" w:type="dxa"/>
            <w:gridSpan w:val="2"/>
          </w:tcPr>
          <w:p>
            <w:pPr>
              <w:pStyle w:val="nTable"/>
              <w:spacing w:after="40"/>
            </w:pPr>
            <w:r>
              <w:t>5 Oct 2005</w:t>
            </w:r>
          </w:p>
        </w:tc>
        <w:tc>
          <w:tcPr>
            <w:tcW w:w="2551" w:type="dxa"/>
            <w:gridSpan w:val="2"/>
          </w:tcPr>
          <w:p>
            <w:pPr>
              <w:pStyle w:val="nTable"/>
              <w:spacing w:after="40"/>
            </w:pPr>
            <w:r>
              <w:t xml:space="preserve">10 Jul 2010 (see s. 2(3) and </w:t>
            </w:r>
            <w:r>
              <w:rPr>
                <w:i/>
                <w:iCs/>
              </w:rPr>
              <w:t>Gazette</w:t>
            </w:r>
            <w:r>
              <w:t xml:space="preserve"> 9 Jul 2010 p. 3239)</w:t>
            </w:r>
          </w:p>
        </w:tc>
      </w:tr>
      <w:tr>
        <w:tblPrEx>
          <w:tblBorders>
            <w:bottom w:val="none" w:sz="0" w:space="0" w:color="auto"/>
          </w:tblBorders>
        </w:tblPrEx>
        <w:trPr>
          <w:gridAfter w:val="1"/>
          <w:wAfter w:w="15" w:type="dxa"/>
          <w:cantSplit/>
        </w:trPr>
        <w:tc>
          <w:tcPr>
            <w:tcW w:w="2266" w:type="dxa"/>
            <w:gridSpan w:val="2"/>
          </w:tcPr>
          <w:p>
            <w:pPr>
              <w:pStyle w:val="nTable"/>
              <w:spacing w:after="40"/>
              <w:ind w:right="113"/>
              <w:rPr>
                <w:i/>
              </w:rPr>
            </w:pPr>
            <w:r>
              <w:rPr>
                <w:i/>
              </w:rPr>
              <w:t>Oaths, Affidavits and Statutory Declarations (Consequential Provisions) Act 2005</w:t>
            </w:r>
            <w:r>
              <w:rPr>
                <w:iCs/>
              </w:rPr>
              <w:t xml:space="preserve"> s. 63</w:t>
            </w:r>
            <w:r>
              <w:rPr>
                <w:iCs/>
                <w:vertAlign w:val="superscript"/>
              </w:rPr>
              <w:t> 9</w:t>
            </w:r>
          </w:p>
        </w:tc>
        <w:tc>
          <w:tcPr>
            <w:tcW w:w="1135" w:type="dxa"/>
            <w:gridSpan w:val="2"/>
          </w:tcPr>
          <w:p>
            <w:pPr>
              <w:pStyle w:val="nTable"/>
              <w:spacing w:after="40"/>
            </w:pPr>
            <w:r>
              <w:t>24 of 2005</w:t>
            </w:r>
          </w:p>
        </w:tc>
        <w:tc>
          <w:tcPr>
            <w:tcW w:w="1135" w:type="dxa"/>
            <w:gridSpan w:val="2"/>
          </w:tcPr>
          <w:p>
            <w:pPr>
              <w:pStyle w:val="nTable"/>
              <w:spacing w:after="40"/>
            </w:pPr>
            <w:r>
              <w:t>2 Dec 2005</w:t>
            </w:r>
          </w:p>
        </w:tc>
        <w:tc>
          <w:tcPr>
            <w:tcW w:w="2551" w:type="dxa"/>
            <w:gridSpan w:val="2"/>
          </w:tcPr>
          <w:p>
            <w:pPr>
              <w:pStyle w:val="nTable"/>
              <w:spacing w:after="40"/>
            </w:pPr>
            <w:r>
              <w:t xml:space="preserve">1 Jan 2006 (see s. 2 and </w:t>
            </w:r>
            <w:r>
              <w:rPr>
                <w:i/>
                <w:iCs/>
              </w:rPr>
              <w:t>Gazette</w:t>
            </w:r>
            <w:r>
              <w:t xml:space="preserve"> 23 Dec 2005 p. 6244)</w:t>
            </w:r>
          </w:p>
        </w:tc>
      </w:tr>
      <w:tr>
        <w:tblPrEx>
          <w:tblBorders>
            <w:bottom w:val="none" w:sz="0" w:space="0" w:color="auto"/>
          </w:tblBorders>
        </w:tblPrEx>
        <w:trPr>
          <w:gridAfter w:val="1"/>
          <w:wAfter w:w="15" w:type="dxa"/>
          <w:cantSplit/>
        </w:trPr>
        <w:tc>
          <w:tcPr>
            <w:tcW w:w="7087" w:type="dxa"/>
            <w:gridSpan w:val="8"/>
          </w:tcPr>
          <w:p>
            <w:pPr>
              <w:pStyle w:val="nTable"/>
              <w:keepNext/>
              <w:spacing w:after="40"/>
            </w:pPr>
            <w:r>
              <w:rPr>
                <w:b/>
              </w:rPr>
              <w:lastRenderedPageBreak/>
              <w:t xml:space="preserve">Reprint 4: The </w:t>
            </w:r>
            <w:r>
              <w:rPr>
                <w:b/>
                <w:i/>
              </w:rPr>
              <w:t>Finance Brokers Control Act 1975</w:t>
            </w:r>
            <w:r>
              <w:rPr>
                <w:b/>
              </w:rPr>
              <w:t xml:space="preserve"> as at 13 Oct 2006 </w:t>
            </w:r>
            <w:r>
              <w:t xml:space="preserve">(includes amendments listed above </w:t>
            </w:r>
            <w:r>
              <w:rPr>
                <w:snapToGrid w:val="0"/>
              </w:rPr>
              <w:t xml:space="preserve">except those in the </w:t>
            </w:r>
            <w:r>
              <w:rPr>
                <w:i/>
                <w:iCs/>
              </w:rPr>
              <w:t>Housing Societies Repeal Act 2005</w:t>
            </w:r>
            <w:r>
              <w:t>)</w:t>
            </w:r>
          </w:p>
        </w:tc>
      </w:tr>
      <w:tr>
        <w:tblPrEx>
          <w:tblBorders>
            <w:bottom w:val="none" w:sz="0" w:space="0" w:color="auto"/>
          </w:tblBorders>
        </w:tblPrEx>
        <w:trPr>
          <w:gridAfter w:val="1"/>
          <w:wAfter w:w="15" w:type="dxa"/>
          <w:cantSplit/>
        </w:trPr>
        <w:tc>
          <w:tcPr>
            <w:tcW w:w="2266" w:type="dxa"/>
            <w:gridSpan w:val="2"/>
          </w:tcPr>
          <w:p>
            <w:pPr>
              <w:pStyle w:val="nTable"/>
              <w:spacing w:after="40"/>
              <w:ind w:right="113"/>
              <w:rPr>
                <w:i/>
              </w:rPr>
            </w:pPr>
            <w:r>
              <w:rPr>
                <w:i/>
                <w:snapToGrid w:val="0"/>
              </w:rPr>
              <w:t xml:space="preserve">Financial Legislation Amendment and Repeal Act 2006 </w:t>
            </w:r>
            <w:r>
              <w:rPr>
                <w:iCs/>
                <w:snapToGrid w:val="0"/>
              </w:rPr>
              <w:t>Sch. 1 cl. 62</w:t>
            </w:r>
          </w:p>
        </w:tc>
        <w:tc>
          <w:tcPr>
            <w:tcW w:w="1135" w:type="dxa"/>
            <w:gridSpan w:val="2"/>
          </w:tcPr>
          <w:p>
            <w:pPr>
              <w:pStyle w:val="nTable"/>
              <w:spacing w:after="40"/>
            </w:pPr>
            <w:r>
              <w:rPr>
                <w:snapToGrid w:val="0"/>
              </w:rPr>
              <w:t xml:space="preserve">77 of 2006 </w:t>
            </w:r>
          </w:p>
        </w:tc>
        <w:tc>
          <w:tcPr>
            <w:tcW w:w="1135" w:type="dxa"/>
            <w:gridSpan w:val="2"/>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bottom w:val="none" w:sz="0" w:space="0" w:color="auto"/>
          </w:tblBorders>
        </w:tblPrEx>
        <w:trPr>
          <w:gridAfter w:val="1"/>
          <w:wAfter w:w="15" w:type="dxa"/>
          <w:cantSplit/>
        </w:trPr>
        <w:tc>
          <w:tcPr>
            <w:tcW w:w="2266" w:type="dxa"/>
            <w:gridSpan w:val="2"/>
          </w:tcPr>
          <w:p>
            <w:pPr>
              <w:pStyle w:val="nTable"/>
              <w:spacing w:after="40"/>
              <w:ind w:right="113"/>
              <w:rPr>
                <w:i/>
                <w:snapToGrid w:val="0"/>
              </w:rPr>
            </w:pPr>
            <w:r>
              <w:rPr>
                <w:i/>
                <w:iCs/>
                <w:snapToGrid w:val="0"/>
              </w:rPr>
              <w:t xml:space="preserve">Legal Profession Act 2008 </w:t>
            </w:r>
            <w:r>
              <w:rPr>
                <w:snapToGrid w:val="0"/>
              </w:rPr>
              <w:t xml:space="preserve">s. 664 </w:t>
            </w:r>
          </w:p>
        </w:tc>
        <w:tc>
          <w:tcPr>
            <w:tcW w:w="1135" w:type="dxa"/>
            <w:gridSpan w:val="2"/>
          </w:tcPr>
          <w:p>
            <w:pPr>
              <w:pStyle w:val="nTable"/>
              <w:spacing w:after="40"/>
              <w:rPr>
                <w:snapToGrid w:val="0"/>
              </w:rPr>
            </w:pPr>
            <w:r>
              <w:rPr>
                <w:snapToGrid w:val="0"/>
              </w:rPr>
              <w:t>21 of 2008</w:t>
            </w:r>
          </w:p>
        </w:tc>
        <w:tc>
          <w:tcPr>
            <w:tcW w:w="1135" w:type="dxa"/>
            <w:gridSpan w:val="2"/>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blPrEx>
          <w:tblBorders>
            <w:bottom w:val="none" w:sz="0" w:space="0" w:color="auto"/>
          </w:tblBorders>
        </w:tblPrEx>
        <w:trPr>
          <w:gridAfter w:val="1"/>
          <w:wAfter w:w="15" w:type="dxa"/>
          <w:cantSplit/>
        </w:trPr>
        <w:tc>
          <w:tcPr>
            <w:tcW w:w="2266" w:type="dxa"/>
            <w:gridSpan w:val="2"/>
          </w:tcPr>
          <w:p>
            <w:pPr>
              <w:pStyle w:val="nTable"/>
              <w:spacing w:after="40"/>
              <w:ind w:right="113"/>
              <w:rPr>
                <w:i/>
              </w:rPr>
            </w:pPr>
            <w:r>
              <w:rPr>
                <w:i/>
              </w:rPr>
              <w:t>Statutes (Repeals and Minor Amendments) Act 2009</w:t>
            </w:r>
            <w:r>
              <w:rPr>
                <w:iCs/>
              </w:rPr>
              <w:t xml:space="preserve"> s. 17</w:t>
            </w:r>
          </w:p>
        </w:tc>
        <w:tc>
          <w:tcPr>
            <w:tcW w:w="1135" w:type="dxa"/>
            <w:gridSpan w:val="2"/>
          </w:tcPr>
          <w:p>
            <w:pPr>
              <w:pStyle w:val="nTable"/>
              <w:spacing w:after="40"/>
            </w:pPr>
            <w:r>
              <w:t>46 of 2009</w:t>
            </w:r>
          </w:p>
        </w:tc>
        <w:tc>
          <w:tcPr>
            <w:tcW w:w="1135" w:type="dxa"/>
            <w:gridSpan w:val="2"/>
          </w:tcPr>
          <w:p>
            <w:pPr>
              <w:pStyle w:val="nTable"/>
              <w:spacing w:after="40"/>
            </w:pPr>
            <w:r>
              <w:t>3 Dec 2009</w:t>
            </w:r>
          </w:p>
        </w:tc>
        <w:tc>
          <w:tcPr>
            <w:tcW w:w="2551" w:type="dxa"/>
            <w:gridSpan w:val="2"/>
          </w:tcPr>
          <w:p>
            <w:pPr>
              <w:pStyle w:val="nTable"/>
              <w:spacing w:after="40"/>
            </w:pPr>
            <w:r>
              <w:t>4 Dec 2009 (see s. 2(b))</w:t>
            </w:r>
          </w:p>
        </w:tc>
      </w:tr>
      <w:tr>
        <w:tblPrEx>
          <w:tblBorders>
            <w:bottom w:val="none" w:sz="0" w:space="0" w:color="auto"/>
          </w:tblBorders>
        </w:tblPrEx>
        <w:trPr>
          <w:gridAfter w:val="1"/>
          <w:wAfter w:w="15" w:type="dxa"/>
          <w:cantSplit/>
        </w:trPr>
        <w:tc>
          <w:tcPr>
            <w:tcW w:w="2266" w:type="dxa"/>
            <w:gridSpan w:val="2"/>
          </w:tcPr>
          <w:p>
            <w:pPr>
              <w:pStyle w:val="nTable"/>
              <w:spacing w:after="40"/>
              <w:ind w:right="113"/>
            </w:pPr>
            <w:r>
              <w:rPr>
                <w:i/>
                <w:snapToGrid w:val="0"/>
              </w:rPr>
              <w:t>Credit (Commonwealth Powers) (Transitional and Consequential Provisions) Act 2010</w:t>
            </w:r>
            <w:r>
              <w:rPr>
                <w:i/>
                <w:iCs/>
                <w:snapToGrid w:val="0"/>
              </w:rPr>
              <w:t xml:space="preserve"> </w:t>
            </w:r>
            <w:r>
              <w:rPr>
                <w:snapToGrid w:val="0"/>
              </w:rPr>
              <w:t>Pt. 4 Div. 1</w:t>
            </w:r>
          </w:p>
        </w:tc>
        <w:tc>
          <w:tcPr>
            <w:tcW w:w="1135" w:type="dxa"/>
            <w:gridSpan w:val="2"/>
          </w:tcPr>
          <w:p>
            <w:pPr>
              <w:pStyle w:val="nTable"/>
              <w:spacing w:after="40"/>
            </w:pPr>
            <w:r>
              <w:t>14 of 2010</w:t>
            </w:r>
          </w:p>
        </w:tc>
        <w:tc>
          <w:tcPr>
            <w:tcW w:w="1135" w:type="dxa"/>
            <w:gridSpan w:val="2"/>
          </w:tcPr>
          <w:p>
            <w:pPr>
              <w:pStyle w:val="nTable"/>
              <w:spacing w:after="40"/>
            </w:pPr>
            <w:r>
              <w:t>25 Jun 2010</w:t>
            </w:r>
          </w:p>
        </w:tc>
        <w:tc>
          <w:tcPr>
            <w:tcW w:w="2551" w:type="dxa"/>
            <w:gridSpan w:val="2"/>
          </w:tcPr>
          <w:p>
            <w:pPr>
              <w:pStyle w:val="nTable"/>
              <w:spacing w:after="40"/>
            </w:pPr>
            <w:r>
              <w:t xml:space="preserve">1 Jul 2010 (see s. 2(b) and </w:t>
            </w:r>
            <w:r>
              <w:rPr>
                <w:i/>
                <w:iCs/>
              </w:rPr>
              <w:t xml:space="preserve">Gazette </w:t>
            </w:r>
            <w:r>
              <w:t>30 Jun 2010 p. 3185)</w:t>
            </w:r>
          </w:p>
        </w:tc>
      </w:tr>
      <w:tr>
        <w:trPr>
          <w:gridBefore w:val="1"/>
          <w:wBefore w:w="12" w:type="dxa"/>
          <w:cantSplit/>
        </w:trPr>
        <w:tc>
          <w:tcPr>
            <w:tcW w:w="2268" w:type="dxa"/>
            <w:gridSpan w:val="2"/>
            <w:tcBorders>
              <w:bottom w:val="nil"/>
            </w:tcBorders>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gridSpan w:val="2"/>
            <w:tcBorders>
              <w:bottom w:val="nil"/>
            </w:tcBorders>
          </w:tcPr>
          <w:p>
            <w:pPr>
              <w:pStyle w:val="nTable"/>
              <w:spacing w:after="40"/>
              <w:rPr>
                <w:snapToGrid w:val="0"/>
              </w:rPr>
            </w:pPr>
            <w:r>
              <w:rPr>
                <w:snapToGrid w:val="0"/>
              </w:rPr>
              <w:t>19 of 2010</w:t>
            </w:r>
          </w:p>
        </w:tc>
        <w:tc>
          <w:tcPr>
            <w:tcW w:w="1134" w:type="dxa"/>
            <w:gridSpan w:val="2"/>
            <w:tcBorders>
              <w:bottom w:val="nil"/>
            </w:tcBorders>
          </w:tcPr>
          <w:p>
            <w:pPr>
              <w:pStyle w:val="nTable"/>
              <w:spacing w:after="40"/>
              <w:rPr>
                <w:snapToGrid w:val="0"/>
              </w:rPr>
            </w:pPr>
            <w:r>
              <w:rPr>
                <w:snapToGrid w:val="0"/>
              </w:rPr>
              <w:t>28 Jun 2010</w:t>
            </w:r>
          </w:p>
        </w:tc>
        <w:tc>
          <w:tcPr>
            <w:tcW w:w="2554" w:type="dxa"/>
            <w:gridSpan w:val="2"/>
            <w:tcBorders>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bottom w:val="none" w:sz="0" w:space="0" w:color="auto"/>
          </w:tblBorders>
        </w:tblPrEx>
        <w:trPr>
          <w:gridBefore w:val="1"/>
          <w:wBefore w:w="12" w:type="dxa"/>
          <w:cantSplit/>
        </w:trPr>
        <w:tc>
          <w:tcPr>
            <w:tcW w:w="2268" w:type="dxa"/>
            <w:gridSpan w:val="2"/>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22</w:t>
            </w:r>
          </w:p>
        </w:tc>
        <w:tc>
          <w:tcPr>
            <w:tcW w:w="1134" w:type="dxa"/>
            <w:gridSpan w:val="2"/>
            <w:shd w:val="clear" w:color="auto" w:fill="auto"/>
          </w:tcPr>
          <w:p>
            <w:pPr>
              <w:pStyle w:val="nTable"/>
              <w:spacing w:after="40"/>
              <w:rPr>
                <w:snapToGrid w:val="0"/>
              </w:rPr>
            </w:pPr>
            <w:r>
              <w:rPr>
                <w:snapToGrid w:val="0"/>
              </w:rPr>
              <w:t>8 of 2012</w:t>
            </w:r>
          </w:p>
        </w:tc>
        <w:tc>
          <w:tcPr>
            <w:tcW w:w="1134" w:type="dxa"/>
            <w:gridSpan w:val="2"/>
            <w:shd w:val="clear" w:color="auto" w:fill="auto"/>
          </w:tcPr>
          <w:p>
            <w:pPr>
              <w:pStyle w:val="nTable"/>
              <w:spacing w:after="40"/>
              <w:rPr>
                <w:snapToGrid w:val="0"/>
              </w:rPr>
            </w:pPr>
            <w:r>
              <w:t>21 May 2012</w:t>
            </w:r>
          </w:p>
        </w:tc>
        <w:tc>
          <w:tcPr>
            <w:tcW w:w="2554" w:type="dxa"/>
            <w:gridSpan w:val="2"/>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bottom w:val="none" w:sz="0" w:space="0" w:color="auto"/>
          </w:tblBorders>
        </w:tblPrEx>
        <w:trPr>
          <w:gridBefore w:val="1"/>
          <w:wBefore w:w="12" w:type="dxa"/>
          <w:cantSplit/>
        </w:trPr>
        <w:tc>
          <w:tcPr>
            <w:tcW w:w="7090" w:type="dxa"/>
            <w:gridSpan w:val="8"/>
            <w:shd w:val="clear" w:color="auto" w:fill="auto"/>
          </w:tcPr>
          <w:p>
            <w:pPr>
              <w:pStyle w:val="nTable"/>
              <w:spacing w:after="40"/>
              <w:rPr>
                <w:snapToGrid w:val="0"/>
              </w:rPr>
            </w:pPr>
            <w:r>
              <w:rPr>
                <w:b/>
                <w:snapToGrid w:val="0"/>
              </w:rPr>
              <w:t xml:space="preserve">Reprint 5: The </w:t>
            </w:r>
            <w:r>
              <w:rPr>
                <w:b/>
                <w:i/>
                <w:noProof/>
                <w:snapToGrid w:val="0"/>
              </w:rPr>
              <w:t>Finance Brokers Control Act 1975</w:t>
            </w:r>
            <w:r>
              <w:rPr>
                <w:b/>
                <w:snapToGrid w:val="0"/>
              </w:rPr>
              <w:t xml:space="preserve"> as at 7 Aug 2015</w:t>
            </w:r>
            <w:r>
              <w:rPr>
                <w:snapToGrid w:val="0"/>
              </w:rPr>
              <w:t xml:space="preserve"> (includes amendments listed above)</w:t>
            </w:r>
          </w:p>
        </w:tc>
      </w:tr>
      <w:tr>
        <w:trPr>
          <w:gridBefore w:val="1"/>
          <w:wBefore w:w="12" w:type="dxa"/>
          <w:cantSplit/>
        </w:trPr>
        <w:tc>
          <w:tcPr>
            <w:tcW w:w="2254" w:type="dxa"/>
            <w:shd w:val="clear" w:color="auto" w:fill="auto"/>
          </w:tcPr>
          <w:p>
            <w:pPr>
              <w:pStyle w:val="nTable"/>
              <w:spacing w:after="40"/>
              <w:rPr>
                <w:b/>
                <w:snapToGrid w:val="0"/>
              </w:rPr>
            </w:pPr>
            <w:r>
              <w:rPr>
                <w:i/>
              </w:rPr>
              <w:t>COVID</w:t>
            </w:r>
            <w:r>
              <w:rPr>
                <w:i/>
              </w:rPr>
              <w:noBreakHyphen/>
              <w:t>19 Response and Economic Recovery Omnibus Act 2020</w:t>
            </w:r>
            <w:r>
              <w:t xml:space="preserve"> s. 98</w:t>
            </w:r>
          </w:p>
        </w:tc>
        <w:tc>
          <w:tcPr>
            <w:tcW w:w="1135" w:type="dxa"/>
            <w:gridSpan w:val="2"/>
            <w:shd w:val="clear" w:color="auto" w:fill="auto"/>
          </w:tcPr>
          <w:p>
            <w:pPr>
              <w:pStyle w:val="nTable"/>
              <w:spacing w:after="40"/>
              <w:rPr>
                <w:snapToGrid w:val="0"/>
              </w:rPr>
            </w:pPr>
            <w:r>
              <w:rPr>
                <w:snapToGrid w:val="0"/>
              </w:rPr>
              <w:t>34 of 2020</w:t>
            </w:r>
          </w:p>
        </w:tc>
        <w:tc>
          <w:tcPr>
            <w:tcW w:w="1135" w:type="dxa"/>
            <w:gridSpan w:val="2"/>
            <w:shd w:val="clear" w:color="auto" w:fill="auto"/>
          </w:tcPr>
          <w:p>
            <w:pPr>
              <w:pStyle w:val="nTable"/>
              <w:spacing w:after="40"/>
              <w:rPr>
                <w:snapToGrid w:val="0"/>
              </w:rPr>
            </w:pPr>
            <w:r>
              <w:rPr>
                <w:snapToGrid w:val="0"/>
              </w:rPr>
              <w:t>11 Sep 2020</w:t>
            </w:r>
          </w:p>
        </w:tc>
        <w:tc>
          <w:tcPr>
            <w:tcW w:w="2566" w:type="dxa"/>
            <w:gridSpan w:val="3"/>
            <w:shd w:val="clear" w:color="auto" w:fill="auto"/>
          </w:tcPr>
          <w:p>
            <w:pPr>
              <w:pStyle w:val="nTable"/>
              <w:spacing w:after="40"/>
              <w:rPr>
                <w:snapToGrid w:val="0"/>
              </w:rPr>
            </w:pPr>
            <w:r>
              <w:rPr>
                <w:snapToGrid w:val="0"/>
              </w:rPr>
              <w:t>12 Sep 2020 (see s. 2(b))</w:t>
            </w:r>
          </w:p>
        </w:tc>
      </w:tr>
      <w:tr>
        <w:trPr>
          <w:gridBefore w:val="1"/>
          <w:wBefore w:w="12" w:type="dxa"/>
          <w:cantSplit/>
        </w:trPr>
        <w:tc>
          <w:tcPr>
            <w:tcW w:w="2254" w:type="dxa"/>
            <w:shd w:val="clear" w:color="auto" w:fill="auto"/>
          </w:tcPr>
          <w:p>
            <w:pPr>
              <w:pStyle w:val="nTable"/>
              <w:spacing w:after="40"/>
              <w:rPr>
                <w:i/>
              </w:rPr>
            </w:pPr>
            <w:r>
              <w:rPr>
                <w:i/>
                <w:iCs/>
                <w:snapToGrid w:val="0"/>
              </w:rPr>
              <w:t>Legal Profession Uniform Law Application Act 2022</w:t>
            </w:r>
            <w:r>
              <w:rPr>
                <w:iCs/>
                <w:snapToGrid w:val="0"/>
              </w:rPr>
              <w:t xml:space="preserve"> s. 424</w:t>
            </w:r>
          </w:p>
        </w:tc>
        <w:tc>
          <w:tcPr>
            <w:tcW w:w="1135" w:type="dxa"/>
            <w:gridSpan w:val="2"/>
            <w:shd w:val="clear" w:color="auto" w:fill="auto"/>
          </w:tcPr>
          <w:p>
            <w:pPr>
              <w:pStyle w:val="nTable"/>
              <w:spacing w:after="40"/>
              <w:rPr>
                <w:snapToGrid w:val="0"/>
              </w:rPr>
            </w:pPr>
            <w:r>
              <w:t>9 of 2022</w:t>
            </w:r>
          </w:p>
        </w:tc>
        <w:tc>
          <w:tcPr>
            <w:tcW w:w="1135" w:type="dxa"/>
            <w:gridSpan w:val="2"/>
            <w:shd w:val="clear" w:color="auto" w:fill="auto"/>
          </w:tcPr>
          <w:p>
            <w:pPr>
              <w:pStyle w:val="nTable"/>
              <w:spacing w:after="40"/>
              <w:rPr>
                <w:snapToGrid w:val="0"/>
              </w:rPr>
            </w:pPr>
            <w:r>
              <w:t>14 Apr 2022</w:t>
            </w:r>
          </w:p>
        </w:tc>
        <w:tc>
          <w:tcPr>
            <w:tcW w:w="2566" w:type="dxa"/>
            <w:gridSpan w:val="3"/>
            <w:shd w:val="clear" w:color="auto" w:fill="auto"/>
          </w:tcPr>
          <w:p>
            <w:pPr>
              <w:pStyle w:val="nTable"/>
              <w:spacing w:after="40"/>
              <w:rPr>
                <w:snapToGrid w:val="0"/>
              </w:rPr>
            </w:pPr>
            <w:r>
              <w:rPr>
                <w:snapToGrid w:val="0"/>
              </w:rPr>
              <w:t>1 Jul 2022 (see s. 2(c) and SL 2022/113 cl. 2)</w:t>
            </w:r>
          </w:p>
        </w:tc>
      </w:tr>
      <w:tr>
        <w:tblPrEx>
          <w:tblBorders>
            <w:bottom w:val="none" w:sz="0" w:space="0" w:color="auto"/>
          </w:tblBorders>
        </w:tblPrEx>
        <w:trPr>
          <w:gridBefore w:val="1"/>
          <w:wBefore w:w="12" w:type="dxa"/>
          <w:cantSplit/>
        </w:trPr>
        <w:tc>
          <w:tcPr>
            <w:tcW w:w="2254" w:type="dxa"/>
            <w:tcBorders>
              <w:bottom w:val="single" w:sz="8" w:space="0" w:color="auto"/>
            </w:tcBorders>
            <w:shd w:val="clear" w:color="auto" w:fill="auto"/>
          </w:tcPr>
          <w:p>
            <w:pPr>
              <w:pStyle w:val="nTable"/>
              <w:spacing w:after="40"/>
              <w:rPr>
                <w:i/>
                <w:iCs/>
                <w:snapToGrid w:val="0"/>
              </w:rPr>
            </w:pPr>
            <w:r>
              <w:rPr>
                <w:i/>
                <w:snapToGrid w:val="0"/>
              </w:rPr>
              <w:t>Statutes</w:t>
            </w:r>
            <w:r>
              <w:rPr>
                <w:i/>
              </w:rPr>
              <w:t xml:space="preserve"> (Repeals and Minor Amendments) Act 2025</w:t>
            </w:r>
            <w:r>
              <w:rPr>
                <w:iCs/>
              </w:rPr>
              <w:t xml:space="preserve"> s. 22</w:t>
            </w:r>
          </w:p>
        </w:tc>
        <w:tc>
          <w:tcPr>
            <w:tcW w:w="1135" w:type="dxa"/>
            <w:gridSpan w:val="2"/>
            <w:tcBorders>
              <w:bottom w:val="single" w:sz="8" w:space="0" w:color="auto"/>
            </w:tcBorders>
            <w:shd w:val="clear" w:color="auto" w:fill="auto"/>
          </w:tcPr>
          <w:p>
            <w:pPr>
              <w:pStyle w:val="nTable"/>
              <w:spacing w:after="40"/>
            </w:pPr>
            <w:r>
              <w:rPr>
                <w:snapToGrid w:val="0"/>
              </w:rPr>
              <w:t>14 of 2025</w:t>
            </w:r>
          </w:p>
        </w:tc>
        <w:tc>
          <w:tcPr>
            <w:tcW w:w="1135" w:type="dxa"/>
            <w:gridSpan w:val="2"/>
            <w:tcBorders>
              <w:bottom w:val="single" w:sz="8" w:space="0" w:color="auto"/>
            </w:tcBorders>
            <w:shd w:val="clear" w:color="auto" w:fill="auto"/>
          </w:tcPr>
          <w:p>
            <w:pPr>
              <w:pStyle w:val="nTable"/>
              <w:spacing w:after="40"/>
            </w:pPr>
            <w:r>
              <w:rPr>
                <w:snapToGrid w:val="0"/>
              </w:rPr>
              <w:t>25 Sep 2025</w:t>
            </w:r>
          </w:p>
        </w:tc>
        <w:tc>
          <w:tcPr>
            <w:tcW w:w="2566" w:type="dxa"/>
            <w:gridSpan w:val="3"/>
            <w:tcBorders>
              <w:bottom w:val="single" w:sz="8" w:space="0" w:color="auto"/>
            </w:tcBorders>
            <w:shd w:val="clear" w:color="auto" w:fill="auto"/>
          </w:tcPr>
          <w:p>
            <w:pPr>
              <w:pStyle w:val="nTable"/>
              <w:spacing w:after="40"/>
              <w:rPr>
                <w:snapToGrid w:val="0"/>
              </w:rPr>
            </w:pPr>
            <w:r>
              <w:rPr>
                <w:snapToGrid w:val="0"/>
              </w:rPr>
              <w:t>26 Sep 2025 (see s. 2(b))</w:t>
            </w:r>
          </w:p>
        </w:tc>
      </w:tr>
    </w:tbl>
    <w:p>
      <w:pPr>
        <w:pStyle w:val="nHeading3"/>
      </w:pPr>
      <w:bookmarkStart w:id="148" w:name="_Toc209795018"/>
      <w:r>
        <w:lastRenderedPageBreak/>
        <w:t>Uncommenced provisions table</w:t>
      </w:r>
      <w:bookmarkEnd w:id="14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tcBorders>
            <w:shd w:val="clear" w:color="auto" w:fill="auto"/>
          </w:tcPr>
          <w:p>
            <w:pPr>
              <w:pStyle w:val="nTable"/>
              <w:spacing w:after="40"/>
              <w:rPr>
                <w:vertAlign w:val="superscript"/>
              </w:rPr>
            </w:pPr>
            <w:r>
              <w:rPr>
                <w:i/>
                <w:iCs/>
                <w:snapToGrid w:val="0"/>
              </w:rPr>
              <w:t xml:space="preserve">Credit (Commonwealth Powers) (Transitional and Consequential Provisions) Act 2010 </w:t>
            </w:r>
            <w:r>
              <w:rPr>
                <w:snapToGrid w:val="0"/>
              </w:rPr>
              <w:t>Pt. 5 Div. 1</w:t>
            </w:r>
          </w:p>
        </w:tc>
        <w:tc>
          <w:tcPr>
            <w:tcW w:w="1134" w:type="dxa"/>
            <w:tcBorders>
              <w:top w:val="single" w:sz="8" w:space="0" w:color="auto"/>
            </w:tcBorders>
            <w:shd w:val="clear" w:color="auto" w:fill="auto"/>
          </w:tcPr>
          <w:p>
            <w:pPr>
              <w:pStyle w:val="nTable"/>
              <w:keepNext/>
              <w:keepLines/>
              <w:spacing w:after="40"/>
            </w:pPr>
            <w:r>
              <w:t>14 of 2010</w:t>
            </w:r>
          </w:p>
        </w:tc>
        <w:tc>
          <w:tcPr>
            <w:tcW w:w="1134" w:type="dxa"/>
            <w:tcBorders>
              <w:top w:val="single" w:sz="8" w:space="0" w:color="auto"/>
            </w:tcBorders>
            <w:shd w:val="clear" w:color="auto" w:fill="auto"/>
          </w:tcPr>
          <w:p>
            <w:pPr>
              <w:pStyle w:val="nTable"/>
              <w:keepNext/>
              <w:keepLines/>
              <w:spacing w:after="40"/>
            </w:pPr>
            <w:r>
              <w:t>25 Jun 2010</w:t>
            </w:r>
          </w:p>
        </w:tc>
        <w:tc>
          <w:tcPr>
            <w:tcW w:w="2552" w:type="dxa"/>
            <w:tcBorders>
              <w:top w:val="single" w:sz="8" w:space="0" w:color="auto"/>
            </w:tcBorders>
            <w:shd w:val="clear" w:color="auto" w:fill="auto"/>
          </w:tcPr>
          <w:p>
            <w:pPr>
              <w:pStyle w:val="nTable"/>
              <w:keepNext/>
              <w:keepLines/>
              <w:spacing w:after="40"/>
            </w:pPr>
            <w:r>
              <w:t>To be proclaimed (see s. 2(b))</w:t>
            </w:r>
          </w:p>
        </w:tc>
      </w:tr>
      <w:tr>
        <w:trPr>
          <w:cantSplit/>
        </w:trPr>
        <w:tc>
          <w:tcPr>
            <w:tcW w:w="2268" w:type="dxa"/>
            <w:tcBorders>
              <w:bottom w:val="single" w:sz="4" w:space="0" w:color="auto"/>
            </w:tcBorders>
            <w:shd w:val="clear" w:color="auto" w:fill="auto"/>
          </w:tcPr>
          <w:p>
            <w:pPr>
              <w:pStyle w:val="nTable"/>
              <w:spacing w:after="40"/>
              <w:rPr>
                <w:snapToGrid w:val="0"/>
              </w:rPr>
            </w:pPr>
            <w:r>
              <w:rPr>
                <w:i/>
                <w:iCs/>
                <w:snapToGrid w:val="0"/>
              </w:rPr>
              <w:t xml:space="preserve">Evidence Act 2025 </w:t>
            </w:r>
            <w:r>
              <w:rPr>
                <w:snapToGrid w:val="0"/>
              </w:rPr>
              <w:t>s. 492(2)</w:t>
            </w:r>
          </w:p>
        </w:tc>
        <w:tc>
          <w:tcPr>
            <w:tcW w:w="1134" w:type="dxa"/>
            <w:tcBorders>
              <w:bottom w:val="single" w:sz="4" w:space="0" w:color="auto"/>
            </w:tcBorders>
            <w:shd w:val="clear" w:color="auto" w:fill="auto"/>
          </w:tcPr>
          <w:p>
            <w:pPr>
              <w:pStyle w:val="nTable"/>
              <w:keepNext/>
              <w:keepLines/>
              <w:spacing w:after="40"/>
            </w:pPr>
            <w:r>
              <w:t>15 of 2025</w:t>
            </w:r>
          </w:p>
        </w:tc>
        <w:tc>
          <w:tcPr>
            <w:tcW w:w="1134" w:type="dxa"/>
            <w:tcBorders>
              <w:bottom w:val="single" w:sz="4" w:space="0" w:color="auto"/>
            </w:tcBorders>
            <w:shd w:val="clear" w:color="auto" w:fill="auto"/>
          </w:tcPr>
          <w:p>
            <w:pPr>
              <w:pStyle w:val="nTable"/>
              <w:keepNext/>
              <w:keepLines/>
              <w:spacing w:after="40"/>
            </w:pPr>
            <w:r>
              <w:t>25 Sep 2025</w:t>
            </w:r>
          </w:p>
        </w:tc>
        <w:tc>
          <w:tcPr>
            <w:tcW w:w="2552" w:type="dxa"/>
            <w:tcBorders>
              <w:bottom w:val="single" w:sz="4" w:space="0" w:color="auto"/>
            </w:tcBorders>
            <w:shd w:val="clear" w:color="auto" w:fill="auto"/>
          </w:tcPr>
          <w:p>
            <w:pPr>
              <w:pStyle w:val="nTable"/>
              <w:keepNext/>
              <w:keepLines/>
              <w:spacing w:after="40"/>
            </w:pPr>
            <w:r>
              <w:t>To be proclaimed (see s. 2(e))</w:t>
            </w:r>
          </w:p>
        </w:tc>
      </w:tr>
    </w:tbl>
    <w:p>
      <w:pPr>
        <w:pStyle w:val="nHeading3"/>
      </w:pPr>
      <w:bookmarkStart w:id="149" w:name="_Toc209795019"/>
      <w:r>
        <w:t>Other notes</w:t>
      </w:r>
      <w:bookmarkEnd w:id="149"/>
    </w:p>
    <w:p>
      <w:pPr>
        <w:pStyle w:val="nNote"/>
        <w:rPr>
          <w:snapToGrid w:val="0"/>
        </w:rPr>
      </w:pPr>
      <w:r>
        <w:rPr>
          <w:snapToGrid w:val="0"/>
          <w:vertAlign w:val="superscript"/>
        </w:rPr>
        <w:t>1</w:t>
      </w:r>
      <w:r>
        <w:rPr>
          <w:snapToGrid w:val="0"/>
        </w:rPr>
        <w:tab/>
        <w:t xml:space="preserve">The appointed day is 1 August 1977 (see </w:t>
      </w:r>
      <w:r>
        <w:rPr>
          <w:i/>
          <w:snapToGrid w:val="0"/>
        </w:rPr>
        <w:t>Gazette</w:t>
      </w:r>
      <w:r>
        <w:rPr>
          <w:snapToGrid w:val="0"/>
        </w:rPr>
        <w:t xml:space="preserve"> 17 June 1977 p. 1834).</w:t>
      </w:r>
    </w:p>
    <w:p>
      <w:pPr>
        <w:pStyle w:val="nNote"/>
      </w:pPr>
      <w:r>
        <w:rPr>
          <w:snapToGrid w:val="0"/>
          <w:vertAlign w:val="superscript"/>
        </w:rPr>
        <w:t>2</w:t>
      </w:r>
      <w:r>
        <w:tab/>
        <w:t xml:space="preserve">The referral day is 1 July 2010 (see </w:t>
      </w:r>
      <w:r>
        <w:rPr>
          <w:i/>
        </w:rPr>
        <w:t>Gazette</w:t>
      </w:r>
      <w:r>
        <w:t xml:space="preserve"> 30 Jun 2010 p. 3187).</w:t>
      </w:r>
    </w:p>
    <w:p>
      <w:pPr>
        <w:pStyle w:val="nNote"/>
        <w:rPr>
          <w:snapToGrid w:val="0"/>
        </w:rPr>
      </w:pPr>
      <w:r>
        <w:rPr>
          <w:snapToGrid w:val="0"/>
          <w:vertAlign w:val="superscript"/>
        </w:rPr>
        <w:t>3</w:t>
      </w:r>
      <w:r>
        <w:tab/>
        <w:t xml:space="preserve">Repealed by the </w:t>
      </w:r>
      <w:r>
        <w:rPr>
          <w:i/>
        </w:rPr>
        <w:t>Credit (Commonwealth Powers) (Transitional and Consequential Provisions) Act 2010</w:t>
      </w:r>
      <w:r>
        <w:t>.</w:t>
      </w:r>
    </w:p>
    <w:p>
      <w:pPr>
        <w:pStyle w:val="nNote"/>
      </w:pPr>
      <w:r>
        <w:rPr>
          <w:snapToGrid w:val="0"/>
          <w:vertAlign w:val="superscript"/>
        </w:rPr>
        <w:t>4</w:t>
      </w:r>
      <w:r>
        <w:rPr>
          <w:snapToGrid w:val="0"/>
        </w:rPr>
        <w:tab/>
        <w:t xml:space="preserve">The </w:t>
      </w:r>
      <w:r>
        <w:rPr>
          <w:i/>
          <w:snapToGrid w:val="0"/>
        </w:rPr>
        <w:t>Business Licensing Amendment Act 1995</w:t>
      </w:r>
      <w:r>
        <w:rPr>
          <w:snapToGrid w:val="0"/>
        </w:rPr>
        <w:t xml:space="preserve"> s. 24 is a transitional provision that is of no further effect.</w:t>
      </w:r>
    </w:p>
    <w:p>
      <w:pPr>
        <w:pStyle w:val="nNote"/>
      </w:pPr>
      <w:r>
        <w:rPr>
          <w:vertAlign w:val="superscript"/>
        </w:rPr>
        <w:t>5</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keepNext/>
      </w:pPr>
      <w:r>
        <w:lastRenderedPageBreak/>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Note"/>
        <w:keepNext/>
        <w:keepLines/>
        <w:rPr>
          <w:snapToGrid w:val="0"/>
        </w:rPr>
      </w:pPr>
      <w:r>
        <w:rPr>
          <w:vertAlign w:val="superscript"/>
        </w:rPr>
        <w:t>6</w:t>
      </w:r>
      <w:r>
        <w:rPr>
          <w:vertAlign w:val="superscript"/>
        </w:rPr>
        <w:tab/>
      </w:r>
      <w:r>
        <w:rPr>
          <w:snapToGrid w:val="0"/>
        </w:rPr>
        <w:t xml:space="preserve">The </w:t>
      </w:r>
      <w:r>
        <w:rPr>
          <w:i/>
          <w:iCs/>
          <w:snapToGrid w:val="0"/>
        </w:rPr>
        <w:t>Finance Brokers Control Amendment Act 2004</w:t>
      </w:r>
      <w:r>
        <w:rPr>
          <w:snapToGrid w:val="0"/>
        </w:rPr>
        <w:t xml:space="preserve"> Sch. 1 reads as follows:</w:t>
      </w:r>
    </w:p>
    <w:p>
      <w:pPr>
        <w:pStyle w:val="BlankOpen"/>
      </w:pPr>
    </w:p>
    <w:p>
      <w:pPr>
        <w:pStyle w:val="nzHeading2"/>
        <w:keepLines/>
      </w:pPr>
      <w:r>
        <w:rPr>
          <w:rStyle w:val="CharSchNo"/>
        </w:rPr>
        <w:t>Schedule 1</w:t>
      </w:r>
      <w:r>
        <w:t> — </w:t>
      </w:r>
      <w:r>
        <w:rPr>
          <w:rStyle w:val="CharSchText"/>
        </w:rPr>
        <w:t>Transitional and savings</w:t>
      </w:r>
    </w:p>
    <w:p>
      <w:pPr>
        <w:pStyle w:val="nzMiscellaneousBody"/>
        <w:keepNext/>
        <w:keepLines/>
        <w:jc w:val="right"/>
      </w:pPr>
      <w:r>
        <w:t>[s. 78]</w:t>
      </w:r>
    </w:p>
    <w:p>
      <w:pPr>
        <w:pStyle w:val="nzHeading5"/>
      </w:pPr>
      <w:r>
        <w:t>1.</w:t>
      </w:r>
      <w:r>
        <w:tab/>
        <w:t>Meanings of terms used in this Schedule</w:t>
      </w:r>
    </w:p>
    <w:p>
      <w:pPr>
        <w:pStyle w:val="nzSubsection"/>
        <w:keepNext/>
        <w:keepLines/>
      </w:pPr>
      <w:r>
        <w:tab/>
      </w:r>
      <w:r>
        <w:tab/>
        <w:t xml:space="preserve">In this Schedule, unless the contrary intention appears — </w:t>
      </w:r>
    </w:p>
    <w:p>
      <w:pPr>
        <w:pStyle w:val="nzDefstart"/>
      </w:pPr>
      <w:r>
        <w:tab/>
      </w:r>
      <w:r>
        <w:rPr>
          <w:rStyle w:val="CharDefText"/>
        </w:rPr>
        <w:t>Board</w:t>
      </w:r>
      <w:r>
        <w:t xml:space="preserve"> means the Finance Brokers Supervisory Board as constituted under the Finance Brokers Act;</w:t>
      </w:r>
    </w:p>
    <w:p>
      <w:pPr>
        <w:pStyle w:val="nzDefstart"/>
      </w:pPr>
      <w:r>
        <w:lastRenderedPageBreak/>
        <w:tab/>
      </w:r>
      <w:r>
        <w:rPr>
          <w:rStyle w:val="CharDefText"/>
        </w:rPr>
        <w:t>commencement day</w:t>
      </w:r>
      <w:r>
        <w:t xml:space="preserve"> means the day fixed under section 2 as the day on which this Act comes into operation;</w:t>
      </w:r>
    </w:p>
    <w:p>
      <w:pPr>
        <w:pStyle w:val="nzDefstart"/>
      </w:pPr>
      <w:r>
        <w:tab/>
      </w:r>
      <w:r>
        <w:rPr>
          <w:rStyle w:val="CharDefText"/>
        </w:rPr>
        <w:t>Finance Brokers Act</w:t>
      </w:r>
      <w:r>
        <w:t xml:space="preserve"> means the </w:t>
      </w:r>
      <w:r>
        <w:rPr>
          <w:i/>
        </w:rPr>
        <w:t>Finance Brokers Control Act 1975</w:t>
      </w:r>
      <w:r>
        <w:t xml:space="preserve"> as in force immediately before the commencement day.</w:t>
      </w:r>
    </w:p>
    <w:p>
      <w:pPr>
        <w:pStyle w:val="nzHeading5"/>
        <w:keepNext w:val="0"/>
        <w:keepLines w:val="0"/>
      </w:pPr>
      <w:r>
        <w:t>2.</w:t>
      </w:r>
      <w:r>
        <w:tab/>
        <w:t>Interpretation Act to apply</w:t>
      </w:r>
    </w:p>
    <w:p>
      <w:pPr>
        <w:pStyle w:val="nzSubsection"/>
      </w:pPr>
      <w:r>
        <w:tab/>
      </w:r>
      <w:r>
        <w:tab/>
        <w:t xml:space="preserve">This Schedule does not limit the operation of the </w:t>
      </w:r>
      <w:r>
        <w:rPr>
          <w:i/>
        </w:rPr>
        <w:t>Interpretation Act 1984</w:t>
      </w:r>
      <w:r>
        <w:t>.</w:t>
      </w:r>
    </w:p>
    <w:p>
      <w:pPr>
        <w:pStyle w:val="nzHeading5"/>
        <w:keepNext w:val="0"/>
        <w:keepLines w:val="0"/>
      </w:pPr>
      <w:r>
        <w:t>3.</w:t>
      </w:r>
      <w:r>
        <w:tab/>
        <w:t>Board dissolved</w:t>
      </w:r>
    </w:p>
    <w:p>
      <w:pPr>
        <w:pStyle w:val="nzSubsection"/>
      </w:pPr>
      <w:r>
        <w:tab/>
        <w:t>(1)</w:t>
      </w:r>
      <w:r>
        <w:tab/>
        <w:t>Subject to clause 6, the Board is dissolved.</w:t>
      </w:r>
    </w:p>
    <w:p>
      <w:pPr>
        <w:pStyle w:val="nzSubsection"/>
      </w:pPr>
      <w:r>
        <w:tab/>
        <w:t>(2)</w:t>
      </w:r>
      <w:r>
        <w:tab/>
        <w:t>Subject to clause 6, the members of the Board cease to hold office.</w:t>
      </w:r>
    </w:p>
    <w:p>
      <w:pPr>
        <w:pStyle w:val="nzHeading5"/>
        <w:keepNext w:val="0"/>
        <w:keepLines w:val="0"/>
      </w:pPr>
      <w:r>
        <w:t>4.</w:t>
      </w:r>
      <w:r>
        <w:tab/>
        <w:t>Winding up of affairs of the Board</w:t>
      </w:r>
    </w:p>
    <w:p>
      <w:pPr>
        <w:pStyle w:val="nzSubsection"/>
      </w:pPr>
      <w:r>
        <w:tab/>
        <w:t>(1)</w:t>
      </w:r>
      <w:r>
        <w:tab/>
        <w:t xml:space="preserve">On and after the commencement day — </w:t>
      </w:r>
    </w:p>
    <w:p>
      <w:pPr>
        <w:pStyle w:val="nzIndenta"/>
      </w:pPr>
      <w:r>
        <w:tab/>
        <w:t>(a)</w:t>
      </w:r>
      <w:r>
        <w:tab/>
        <w:t>the Commissioner is to take control of all registers, documents, books and other records (however compiled, recorded or stored) relating to the Board and the exercise of its functions, and of any tape, disc or other device or medium relating to such records;</w:t>
      </w:r>
    </w:p>
    <w:p>
      <w:pPr>
        <w:pStyle w:val="nzIndenta"/>
      </w:pPr>
      <w:r>
        <w:tab/>
        <w:t>(b)</w:t>
      </w:r>
      <w:r>
        <w:tab/>
        <w:t>all rights, liabilities and obligations of the Board that existed immediately before the commencement day devolve on the Commissioner acting on behalf of, and in the name of, the State;</w:t>
      </w:r>
    </w:p>
    <w:p>
      <w:pPr>
        <w:pStyle w:val="nzIndenta"/>
      </w:pPr>
      <w:r>
        <w:tab/>
        <w:t>(c)</w:t>
      </w:r>
      <w:r>
        <w:tab/>
        <w:t>all contracts, agreements and undertakings made by and with the Board and having effect immediately before the commencement day have effect as contracts, agreements and undertakings made with the Commissioner acting on behalf of, and in the name of, the State and may be enforced by or against the State accordingly;</w:t>
      </w:r>
    </w:p>
    <w:p>
      <w:pPr>
        <w:pStyle w:val="nzIndenta"/>
      </w:pPr>
      <w:r>
        <w:tab/>
        <w:t>(d)</w:t>
      </w:r>
      <w:r>
        <w:tab/>
        <w:t xml:space="preserve">any legal or other proceedings or any remedies that might, but for the operation of the </w:t>
      </w:r>
      <w:r>
        <w:rPr>
          <w:i/>
        </w:rPr>
        <w:t>Finance Brokers Control Amendment Act 2004</w:t>
      </w:r>
      <w:r>
        <w:t>, have been commenced or continued by or against or have been available to the Board may be commenced or continued by or against or are available to the Commissioner acting on behalf of, and in the name of, the State, as the case requires; and</w:t>
      </w:r>
    </w:p>
    <w:p>
      <w:pPr>
        <w:pStyle w:val="nzIndenta"/>
      </w:pPr>
      <w:r>
        <w:tab/>
        <w:t>(e)</w:t>
      </w:r>
      <w:r>
        <w:tab/>
        <w:t>any fees, charges or other moneys payable to the Board under the Finance Brokers Act and outstanding at the commencement day become payable to the chief executive officer at the time, and in the manner, in which those moneys would have been payable to the Board under that Act.</w:t>
      </w:r>
    </w:p>
    <w:p>
      <w:pPr>
        <w:pStyle w:val="nzSubsection"/>
      </w:pPr>
      <w:r>
        <w:lastRenderedPageBreak/>
        <w:tab/>
        <w:t>(2)</w:t>
      </w:r>
      <w:r>
        <w:tab/>
        <w:t>A reference to the Board in a document in existence immediately before the commencement day is to be construed, on and after the commencement day, as a reference to the Commissioner, unless in the context it would be inappropriate to do so.</w:t>
      </w:r>
    </w:p>
    <w:p>
      <w:pPr>
        <w:pStyle w:val="nzHeading5"/>
      </w:pPr>
      <w:r>
        <w:t>5.</w:t>
      </w:r>
      <w:r>
        <w:tab/>
        <w:t>Registrar’s certificate</w:t>
      </w:r>
    </w:p>
    <w:p>
      <w:pPr>
        <w:pStyle w:val="nzSubsection"/>
      </w:pPr>
      <w:r>
        <w:tab/>
      </w:r>
      <w:r>
        <w:tab/>
        <w:t>A certificate issued before the commencement day under the hand of the Registrar that any person is or is not, or was or was not, licensed or the holder of a business certificate on the date of or a date referred to, in the certificate, or as to any other matter contained in a register, shall, in the absence of proof to the contrary, be taken as proof of the matter so certified.</w:t>
      </w:r>
    </w:p>
    <w:p>
      <w:pPr>
        <w:pStyle w:val="nzHeading5"/>
      </w:pPr>
      <w:r>
        <w:t>6.</w:t>
      </w:r>
      <w:r>
        <w:tab/>
        <w:t>Final report</w:t>
      </w:r>
    </w:p>
    <w:p>
      <w:pPr>
        <w:pStyle w:val="nzSubsection"/>
      </w:pPr>
      <w:r>
        <w:tab/>
        <w:t>(1)</w:t>
      </w:r>
      <w:r>
        <w:tab/>
        <w:t>As soon as practicable after the commencement day, the Chairman of the Board immediately before the commencement day shall prepare a report on the Board’s activities under the Finance Brokers Act for the period beginning on the day after the period for which the last report was submitted under section 86 of the Finance Brokers Act and ending on the commencement day and submitting that report to the Minister.</w:t>
      </w:r>
    </w:p>
    <w:p>
      <w:pPr>
        <w:pStyle w:val="nzSubsection"/>
      </w:pPr>
      <w:r>
        <w:tab/>
        <w:t>(2)</w:t>
      </w:r>
      <w:r>
        <w:tab/>
        <w:t>Section 86(2) of the Finance Brokers Act applies to a report prepared and submitted under subclause (1) as if the section had not been repealed.</w:t>
      </w:r>
    </w:p>
    <w:p>
      <w:pPr>
        <w:pStyle w:val="nzHeading5"/>
      </w:pPr>
      <w:r>
        <w:t>7.</w:t>
      </w:r>
      <w:r>
        <w:tab/>
        <w:t>Bond in respect of business certificate</w:t>
      </w:r>
    </w:p>
    <w:p>
      <w:pPr>
        <w:pStyle w:val="nzSubsection"/>
      </w:pPr>
      <w:r>
        <w:tab/>
      </w:r>
      <w:r>
        <w:tab/>
        <w:t xml:space="preserve">On and after the commencement day, a bond or guarantee entered into under section 35 of the Finance Brokers Act continues to have effect as if the bond or guarantee was entered into in relation to the licensee’s licence held (by virtue of clause 8) under the </w:t>
      </w:r>
      <w:r>
        <w:rPr>
          <w:i/>
        </w:rPr>
        <w:t>Finance Brokers Control Act 1975</w:t>
      </w:r>
      <w:r>
        <w:t xml:space="preserve"> after the commencement day.</w:t>
      </w:r>
    </w:p>
    <w:p>
      <w:pPr>
        <w:pStyle w:val="nzHeading5"/>
      </w:pPr>
      <w:r>
        <w:t>8.</w:t>
      </w:r>
      <w:r>
        <w:tab/>
        <w:t>Persons licensed or to whom an exception applied under the Finance Brokers Act before the commencement day</w:t>
      </w:r>
    </w:p>
    <w:p>
      <w:pPr>
        <w:pStyle w:val="nzSubsection"/>
      </w:pPr>
      <w:r>
        <w:tab/>
        <w:t>(1)</w:t>
      </w:r>
      <w:r>
        <w:tab/>
        <w:t xml:space="preserve">A person who immediately before the commencement day was licensed under the Finance Brokers Act and held a business certificate under that Act is, on that day, to be taken to be licensed under the </w:t>
      </w:r>
      <w:r>
        <w:rPr>
          <w:i/>
        </w:rPr>
        <w:t>Finance Brokers Control Act 1975</w:t>
      </w:r>
      <w:r>
        <w:t xml:space="preserve"> for the period that the business certificate would have been valid under the Finance Brokers Act</w:t>
      </w:r>
      <w:r>
        <w:rPr>
          <w:snapToGrid w:val="0"/>
        </w:rPr>
        <w:t>, and for the licence to be subject to any conditions imposed on that business certificate</w:t>
      </w:r>
      <w:r>
        <w:t>.</w:t>
      </w:r>
    </w:p>
    <w:p>
      <w:pPr>
        <w:pStyle w:val="nzSubsection"/>
      </w:pPr>
      <w:r>
        <w:tab/>
        <w:t>(2)</w:t>
      </w:r>
      <w:r>
        <w:tab/>
        <w:t xml:space="preserve">A person who immediately before the commencement day was excepted from the meaning of “finance broker” under section 5(2) of the Finance Brokers Act is, on that day, to be taken to be </w:t>
      </w:r>
      <w:r>
        <w:lastRenderedPageBreak/>
        <w:t>exempted in a similar manner for a period of up to 12 months beginning on the commencement day.</w:t>
      </w:r>
    </w:p>
    <w:p>
      <w:pPr>
        <w:pStyle w:val="nzSubsection"/>
      </w:pPr>
      <w:r>
        <w:tab/>
        <w:t>(3)</w:t>
      </w:r>
      <w:r>
        <w:tab/>
      </w:r>
      <w:r>
        <w:rPr>
          <w:snapToGrid w:val="0"/>
        </w:rPr>
        <w:t xml:space="preserve">A person who is taken to be exempted under subclause (2) is no longer to be taken to be exempted if the person becomes licensed under the </w:t>
      </w:r>
      <w:r>
        <w:rPr>
          <w:i/>
          <w:snapToGrid w:val="0"/>
        </w:rPr>
        <w:t>Finance Brokers Control Act 1975</w:t>
      </w:r>
      <w:r>
        <w:rPr>
          <w:snapToGrid w:val="0"/>
        </w:rPr>
        <w:t>.</w:t>
      </w:r>
    </w:p>
    <w:p>
      <w:pPr>
        <w:pStyle w:val="nzSubsection"/>
      </w:pPr>
      <w:r>
        <w:tab/>
        <w:t>(4)</w:t>
      </w:r>
      <w:r>
        <w:tab/>
        <w:t xml:space="preserve">The Commissioner is to enter the name of a person to whom subclause (1) or (2) applies in the register kept under section 84 of the </w:t>
      </w:r>
      <w:r>
        <w:rPr>
          <w:i/>
        </w:rPr>
        <w:t>Finance Brokers Control Act 1975</w:t>
      </w:r>
      <w:r>
        <w:t>.</w:t>
      </w:r>
    </w:p>
    <w:p>
      <w:pPr>
        <w:pStyle w:val="nzHeading5"/>
      </w:pPr>
      <w:r>
        <w:t>9.</w:t>
      </w:r>
      <w:r>
        <w:tab/>
        <w:t>Persons licensed, but without a business certificate, under the Finance Brokers Act before the commencement day</w:t>
      </w:r>
    </w:p>
    <w:p>
      <w:pPr>
        <w:pStyle w:val="nzSubsection"/>
      </w:pPr>
      <w:r>
        <w:tab/>
        <w:t>(1)</w:t>
      </w:r>
      <w:r>
        <w:tab/>
        <w:t xml:space="preserve">A licence issued under the Finance Brokers Act within 3 years of the commencement day and that does not have a business certificate associated with it is, on that day, to be taken to be a licence of the appropriate category under the </w:t>
      </w:r>
      <w:r>
        <w:rPr>
          <w:i/>
        </w:rPr>
        <w:t>Finance Brokers Control Act 1975</w:t>
      </w:r>
      <w:r>
        <w:t xml:space="preserve"> for a period equal to 3 years from the day of its issue.</w:t>
      </w:r>
    </w:p>
    <w:p>
      <w:pPr>
        <w:pStyle w:val="nzSubsection"/>
      </w:pPr>
      <w:r>
        <w:tab/>
        <w:t>(2)</w:t>
      </w:r>
      <w:r>
        <w:tab/>
        <w:t xml:space="preserve">A licence issued under the Finance Brokers Act that is valid immediately before the commencement day as a result of payment of a holding fee under section 30(4)(b) of the Finance Brokers Act is, on that day, to be taken to be a licence of the appropriate category under the </w:t>
      </w:r>
      <w:r>
        <w:rPr>
          <w:i/>
        </w:rPr>
        <w:t>Finance Brokers Control Act 1975</w:t>
      </w:r>
      <w:r>
        <w:t xml:space="preserve"> for the period that the holding fee would have been effective under the Finance Brokers Act.</w:t>
      </w:r>
    </w:p>
    <w:p>
      <w:pPr>
        <w:pStyle w:val="nzSubsection"/>
      </w:pPr>
      <w:r>
        <w:tab/>
        <w:t>(3)</w:t>
      </w:r>
      <w:r>
        <w:tab/>
        <w:t>A licence under subclause (1) or (2) is subject to the condition that the licensee is not to carry on business in his or her own right.</w:t>
      </w:r>
    </w:p>
    <w:p>
      <w:pPr>
        <w:pStyle w:val="nzHeading5"/>
        <w:rPr>
          <w:snapToGrid w:val="0"/>
        </w:rPr>
      </w:pPr>
      <w:r>
        <w:t>10.</w:t>
      </w:r>
      <w:r>
        <w:tab/>
      </w:r>
      <w:r>
        <w:rPr>
          <w:snapToGrid w:val="0"/>
        </w:rPr>
        <w:t>Licence condition revoked on commencement day</w:t>
      </w:r>
    </w:p>
    <w:p>
      <w:pPr>
        <w:pStyle w:val="nzSubsection"/>
      </w:pPr>
      <w:r>
        <w:tab/>
      </w:r>
      <w:r>
        <w:tab/>
      </w:r>
      <w:r>
        <w:rPr>
          <w:snapToGrid w:val="0"/>
        </w:rPr>
        <w:t>If a licence issued under the Finance Brokers Act has a condition to the effect that a licence does not confer the right for a licensee to carry on business as a finance broker unless he or she also holds a business certificate in respect of that licence, that condition is revoked on the commencement day.</w:t>
      </w:r>
    </w:p>
    <w:p>
      <w:pPr>
        <w:pStyle w:val="nzHeading5"/>
        <w:spacing w:before="80"/>
      </w:pPr>
      <w:r>
        <w:t>11.</w:t>
      </w:r>
      <w:r>
        <w:tab/>
        <w:t>Applications for certificates and licenses</w:t>
      </w:r>
    </w:p>
    <w:p>
      <w:pPr>
        <w:pStyle w:val="nzSubsection"/>
      </w:pPr>
      <w:r>
        <w:tab/>
      </w:r>
      <w:r>
        <w:tab/>
        <w:t xml:space="preserve">A person who has, before the commencement day, made an application for — </w:t>
      </w:r>
    </w:p>
    <w:p>
      <w:pPr>
        <w:pStyle w:val="nzIndenta"/>
      </w:pPr>
      <w:r>
        <w:tab/>
        <w:t>(a)</w:t>
      </w:r>
      <w:r>
        <w:tab/>
        <w:t>a licence under section 24 of the Finance Brokers Act; or</w:t>
      </w:r>
    </w:p>
    <w:p>
      <w:pPr>
        <w:pStyle w:val="nzIndenta"/>
      </w:pPr>
      <w:r>
        <w:tab/>
        <w:t>(b)</w:t>
      </w:r>
      <w:r>
        <w:tab/>
        <w:t>a business certificate or the renewal of a business certificate under section 31 of the Finance Brokers Act,</w:t>
      </w:r>
    </w:p>
    <w:p>
      <w:pPr>
        <w:pStyle w:val="nzSubsection"/>
      </w:pPr>
      <w:r>
        <w:tab/>
      </w:r>
      <w:r>
        <w:tab/>
        <w:t xml:space="preserve">but in respect of which a decision has not been made by the Board before the commencement day, is to be taken to have made an </w:t>
      </w:r>
      <w:r>
        <w:lastRenderedPageBreak/>
        <w:t xml:space="preserve">application for a licence under the </w:t>
      </w:r>
      <w:r>
        <w:rPr>
          <w:i/>
        </w:rPr>
        <w:t>Finance Brokers Control Act 1975.</w:t>
      </w:r>
    </w:p>
    <w:p>
      <w:pPr>
        <w:pStyle w:val="nzHeading5"/>
        <w:spacing w:before="80"/>
      </w:pPr>
      <w:r>
        <w:t>12.</w:t>
      </w:r>
      <w:r>
        <w:tab/>
        <w:t>Further transitional provision may be made</w:t>
      </w:r>
    </w:p>
    <w:p>
      <w:pPr>
        <w:pStyle w:val="nzSubsection"/>
        <w:rPr>
          <w:snapToGrid w:val="0"/>
        </w:rPr>
      </w:pPr>
      <w:r>
        <w:tab/>
        <w:t>(1)</w:t>
      </w:r>
      <w:r>
        <w:tab/>
        <w:t xml:space="preserve">The regulations may make provision for </w:t>
      </w:r>
      <w:r>
        <w:rPr>
          <w:snapToGrid w:val="0"/>
        </w:rPr>
        <w:t>any transitional matter</w:t>
      </w:r>
      <w:r>
        <w:t xml:space="preserve"> for which</w:t>
      </w:r>
      <w:r>
        <w:rPr>
          <w:snapToGrid w:val="0"/>
        </w:rPr>
        <w:t xml:space="preserve"> </w:t>
      </w:r>
      <w:r>
        <w:t>there</w:t>
      </w:r>
      <w:r>
        <w:rPr>
          <w:snapToGrid w:val="0"/>
        </w:rPr>
        <w:t xml:space="preserve"> is no sufficient provision in this Schedule. </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Schedule, the regulations may — </w:t>
      </w:r>
    </w:p>
    <w:p>
      <w:pPr>
        <w:pStyle w:val="nzIndenta"/>
        <w:rPr>
          <w:snapToGrid w:val="0"/>
        </w:rPr>
      </w:pPr>
      <w:r>
        <w:rPr>
          <w:snapToGrid w:val="0"/>
        </w:rPr>
        <w:tab/>
        <w:t>(a)</w:t>
      </w:r>
      <w:r>
        <w:rPr>
          <w:snapToGrid w:val="0"/>
        </w:rPr>
        <w:tab/>
      </w:r>
      <w:r>
        <w:t>modify</w:t>
      </w:r>
      <w:r>
        <w:rPr>
          <w:snapToGrid w:val="0"/>
        </w:rPr>
        <w:t xml:space="preserve">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Regulations may be made for the purposes of this clause to have effect from the commencement of this Act.</w:t>
      </w:r>
    </w:p>
    <w:p>
      <w:pPr>
        <w:pStyle w:val="nzSubsection"/>
        <w:rPr>
          <w:snapToGrid w:val="0"/>
        </w:rPr>
      </w:pPr>
      <w:r>
        <w:rPr>
          <w:snapToGrid w:val="0"/>
        </w:rPr>
        <w:tab/>
        <w:t>(4)</w:t>
      </w:r>
      <w:r>
        <w:rPr>
          <w:snapToGrid w:val="0"/>
        </w:rPr>
        <w:tab/>
        <w:t xml:space="preserve">To the extent that a provision of any such regulation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 xml:space="preserve">to affect, in a manner prejudicial to any person (other than </w:t>
      </w:r>
      <w:r>
        <w:t>the</w:t>
      </w:r>
      <w:r>
        <w:rPr>
          <w:snapToGrid w:val="0"/>
        </w:rPr>
        <w:t xml:space="preserve"> State), the rights of that person existing before the day of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nzSubsection"/>
      </w:pPr>
      <w:r>
        <w:tab/>
        <w:t>(5)</w:t>
      </w:r>
      <w:r>
        <w:tab/>
        <w:t xml:space="preserve">In subclause (1) — </w:t>
      </w:r>
    </w:p>
    <w:p>
      <w:pPr>
        <w:pStyle w:val="nzDefstart"/>
      </w:pPr>
      <w:r>
        <w:rPr>
          <w:b/>
        </w:rPr>
        <w:tab/>
      </w:r>
      <w:r>
        <w:rPr>
          <w:rStyle w:val="CharDefText"/>
        </w:rPr>
        <w:t>transitional matter</w:t>
      </w:r>
      <w:r>
        <w:t xml:space="preserve"> means a matter or thing necessary or convenient to provide for the change from the Finance Brokers Act, to the </w:t>
      </w:r>
      <w:r>
        <w:rPr>
          <w:i/>
        </w:rPr>
        <w:t>Finance Brokers Control Act 1975</w:t>
      </w:r>
      <w:r>
        <w:t xml:space="preserve"> as in force after the commencement day.</w:t>
      </w:r>
    </w:p>
    <w:p>
      <w:pPr>
        <w:pStyle w:val="BlankClose"/>
      </w:pPr>
    </w:p>
    <w:p>
      <w:pPr>
        <w:pStyle w:val="nNote"/>
        <w:keepNext/>
        <w:keepLines/>
        <w:rPr>
          <w:snapToGrid w:val="0"/>
        </w:rPr>
      </w:pPr>
      <w:r>
        <w:rPr>
          <w:vertAlign w:val="superscript"/>
        </w:rPr>
        <w:t>7</w:t>
      </w:r>
      <w:r>
        <w:tab/>
        <w:t xml:space="preserve">The amendment in the </w:t>
      </w:r>
      <w:r>
        <w:rPr>
          <w:i/>
          <w:iCs/>
        </w:rPr>
        <w:t>Finance Brokers Amendment Act 2004</w:t>
      </w:r>
      <w:r>
        <w:t xml:space="preserve"> s. 74(2) is not included because the subsection it sought to amend had been replaced by the </w:t>
      </w:r>
      <w:r>
        <w:rPr>
          <w:i/>
          <w:iCs/>
          <w:snapToGrid w:val="0"/>
        </w:rPr>
        <w:t xml:space="preserve">Criminal Procedure and Appeals (Consequential and Other Provisions) Act 2004 </w:t>
      </w:r>
      <w:r>
        <w:t>s. 78 before it purported to come into operation.</w:t>
      </w:r>
    </w:p>
    <w:p>
      <w:pPr>
        <w:pStyle w:val="nNote"/>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rPr>
          <w:iCs/>
          <w:snapToGrid w:val="0"/>
        </w:rPr>
      </w:pPr>
      <w:r>
        <w:rPr>
          <w:snapToGrid w:val="0"/>
          <w:vertAlign w:val="superscript"/>
        </w:rPr>
        <w:t>9</w:t>
      </w:r>
      <w:r>
        <w:rPr>
          <w:snapToGrid w:val="0"/>
        </w:rPr>
        <w:tab/>
      </w:r>
      <w:r>
        <w:rPr>
          <w:iCs/>
          <w:snapToGrid w:val="0"/>
        </w:rPr>
        <w:t xml:space="preserve">The amendment in the </w:t>
      </w:r>
      <w:r>
        <w:rPr>
          <w:i/>
          <w:snapToGrid w:val="0"/>
        </w:rPr>
        <w:t>Oaths, Affidavits and Statutory Declarations (Consequential Provisions) Act 2005</w:t>
      </w:r>
      <w:r>
        <w:rPr>
          <w:iCs/>
          <w:snapToGrid w:val="0"/>
        </w:rPr>
        <w:t xml:space="preserve"> s. 63 to amend s. 15(2)(c)(iv) is not included because the subsection it sought to amend had been replaced by the </w:t>
      </w:r>
      <w:r>
        <w:rPr>
          <w:i/>
          <w:snapToGrid w:val="0"/>
        </w:rPr>
        <w:t>Finance Brokers Control Amendment Act 2004</w:t>
      </w:r>
      <w:r>
        <w:rPr>
          <w:iCs/>
          <w:snapToGrid w:val="0"/>
        </w:rPr>
        <w:t xml:space="preserve"> s. 10.</w:t>
      </w:r>
    </w:p>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rPr>
          <w:sz w:val="28"/>
        </w:rPr>
      </w:pPr>
      <w:bookmarkStart w:id="151" w:name="_Toc209617883"/>
      <w:bookmarkStart w:id="152" w:name="_Toc209618902"/>
      <w:bookmarkStart w:id="153" w:name="_Toc209706900"/>
      <w:bookmarkStart w:id="154" w:name="_Toc209795020"/>
      <w:r>
        <w:rPr>
          <w:sz w:val="28"/>
        </w:rPr>
        <w:lastRenderedPageBreak/>
        <w:t>Defined terms</w:t>
      </w:r>
      <w:bookmarkEnd w:id="151"/>
      <w:bookmarkEnd w:id="152"/>
      <w:bookmarkEnd w:id="153"/>
      <w:bookmarkEnd w:id="1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day</w:t>
      </w:r>
      <w:r>
        <w:tab/>
        <w:t>4, 26(2)</w:t>
      </w:r>
    </w:p>
    <w:p>
      <w:pPr>
        <w:pStyle w:val="DefinedTerms"/>
      </w:pPr>
      <w:r>
        <w:t>approved</w:t>
      </w:r>
      <w:r>
        <w:tab/>
        <w:t>4</w:t>
      </w:r>
    </w:p>
    <w:p>
      <w:pPr>
        <w:pStyle w:val="DefinedTerms"/>
      </w:pPr>
      <w:r>
        <w:t>ASIC</w:t>
      </w:r>
      <w:r>
        <w:tab/>
        <w:t>4</w:t>
      </w:r>
    </w:p>
    <w:p>
      <w:pPr>
        <w:pStyle w:val="DefinedTerms"/>
      </w:pPr>
      <w:r>
        <w:t>auditor</w:t>
      </w:r>
      <w:r>
        <w:tab/>
        <w:t>4</w:t>
      </w:r>
    </w:p>
    <w:p>
      <w:pPr>
        <w:pStyle w:val="DefinedTerms"/>
      </w:pPr>
      <w:r>
        <w:t>authorised person</w:t>
      </w:r>
      <w:r>
        <w:tab/>
        <w:t>92A(1)</w:t>
      </w:r>
    </w:p>
    <w:p>
      <w:pPr>
        <w:pStyle w:val="DefinedTerms"/>
      </w:pPr>
      <w:r>
        <w:t>bank</w:t>
      </w:r>
      <w:r>
        <w:tab/>
        <w:t>4</w:t>
      </w:r>
    </w:p>
    <w:p>
      <w:pPr>
        <w:pStyle w:val="DefinedTerms"/>
      </w:pPr>
      <w:r>
        <w:t>banker</w:t>
      </w:r>
      <w:r>
        <w:tab/>
        <w:t>47</w:t>
      </w:r>
    </w:p>
    <w:p>
      <w:pPr>
        <w:pStyle w:val="DefinedTerms"/>
      </w:pPr>
      <w:r>
        <w:t>business</w:t>
      </w:r>
      <w:r>
        <w:tab/>
        <w:t>4</w:t>
      </w:r>
    </w:p>
    <w:p>
      <w:pPr>
        <w:pStyle w:val="DefinedTerms"/>
      </w:pPr>
      <w:r>
        <w:t>business day</w:t>
      </w:r>
      <w:r>
        <w:tab/>
        <w:t>47</w:t>
      </w:r>
    </w:p>
    <w:p>
      <w:pPr>
        <w:pStyle w:val="DefinedTerms"/>
      </w:pPr>
      <w:r>
        <w:t>Commissioner</w:t>
      </w:r>
      <w:r>
        <w:tab/>
        <w:t>4</w:t>
      </w:r>
    </w:p>
    <w:p>
      <w:pPr>
        <w:pStyle w:val="DefinedTerms"/>
      </w:pPr>
      <w:r>
        <w:t>condition</w:t>
      </w:r>
      <w:r>
        <w:tab/>
        <w:t>4</w:t>
      </w:r>
    </w:p>
    <w:p>
      <w:pPr>
        <w:pStyle w:val="DefinedTerms"/>
      </w:pPr>
      <w:r>
        <w:t>Consumer Credit (Western Australia) Code</w:t>
      </w:r>
      <w:r>
        <w:tab/>
        <w:t>45(5)</w:t>
      </w:r>
    </w:p>
    <w:p>
      <w:pPr>
        <w:pStyle w:val="DefinedTerms"/>
      </w:pPr>
      <w:r>
        <w:t>department</w:t>
      </w:r>
      <w:r>
        <w:tab/>
        <w:t>4</w:t>
      </w:r>
    </w:p>
    <w:p>
      <w:pPr>
        <w:pStyle w:val="DefinedTerms"/>
      </w:pPr>
      <w:r>
        <w:t>executive officer</w:t>
      </w:r>
      <w:r>
        <w:tab/>
        <w:t>6(3)</w:t>
      </w:r>
    </w:p>
    <w:p>
      <w:pPr>
        <w:pStyle w:val="DefinedTerms"/>
      </w:pPr>
      <w:r>
        <w:t>finance broker</w:t>
      </w:r>
      <w:r>
        <w:tab/>
        <w:t>4, 5(1), 72(5)(b)</w:t>
      </w:r>
    </w:p>
    <w:p>
      <w:pPr>
        <w:pStyle w:val="DefinedTerms"/>
      </w:pPr>
      <w:r>
        <w:t>finance brokers code of conduct</w:t>
      </w:r>
      <w:r>
        <w:tab/>
        <w:t>4</w:t>
      </w:r>
    </w:p>
    <w:p>
      <w:pPr>
        <w:pStyle w:val="DefinedTerms"/>
      </w:pPr>
      <w:r>
        <w:t>former Board</w:t>
      </w:r>
      <w:r>
        <w:tab/>
        <w:t>88(4)</w:t>
      </w:r>
    </w:p>
    <w:p>
      <w:pPr>
        <w:pStyle w:val="DefinedTerms"/>
      </w:pPr>
      <w:r>
        <w:t>information</w:t>
      </w:r>
      <w:r>
        <w:tab/>
        <w:t>18H(3)</w:t>
      </w:r>
    </w:p>
    <w:p>
      <w:pPr>
        <w:pStyle w:val="DefinedTerms"/>
      </w:pPr>
      <w:r>
        <w:t>investigative function</w:t>
      </w:r>
      <w:r>
        <w:tab/>
        <w:t>15(4)</w:t>
      </w:r>
    </w:p>
    <w:p>
      <w:pPr>
        <w:pStyle w:val="DefinedTerms"/>
      </w:pPr>
      <w:r>
        <w:t>investigator</w:t>
      </w:r>
      <w:r>
        <w:tab/>
        <w:t>4</w:t>
      </w:r>
    </w:p>
    <w:p>
      <w:pPr>
        <w:pStyle w:val="DefinedTerms"/>
      </w:pPr>
      <w:r>
        <w:t>licence</w:t>
      </w:r>
      <w:r>
        <w:tab/>
        <w:t>4</w:t>
      </w:r>
    </w:p>
    <w:p>
      <w:pPr>
        <w:pStyle w:val="DefinedTerms"/>
      </w:pPr>
      <w:r>
        <w:t>licensed</w:t>
      </w:r>
      <w:r>
        <w:tab/>
        <w:t>4</w:t>
      </w:r>
    </w:p>
    <w:p>
      <w:pPr>
        <w:pStyle w:val="DefinedTerms"/>
      </w:pPr>
      <w:r>
        <w:t>licensee</w:t>
      </w:r>
      <w:r>
        <w:tab/>
        <w:t>4</w:t>
      </w:r>
    </w:p>
    <w:p>
      <w:pPr>
        <w:pStyle w:val="DefinedTerms"/>
      </w:pPr>
      <w:r>
        <w:t>motor vehicle</w:t>
      </w:r>
      <w:r>
        <w:tab/>
        <w:t>4</w:t>
      </w:r>
    </w:p>
    <w:p>
      <w:pPr>
        <w:pStyle w:val="DefinedTerms"/>
      </w:pPr>
      <w:r>
        <w:t>person aggrieved</w:t>
      </w:r>
      <w:r>
        <w:tab/>
        <w:t>23(2)</w:t>
      </w:r>
    </w:p>
    <w:p>
      <w:pPr>
        <w:pStyle w:val="DefinedTerms"/>
      </w:pPr>
      <w:r>
        <w:t>referral day</w:t>
      </w:r>
      <w:r>
        <w:tab/>
        <w:t>4</w:t>
      </w:r>
    </w:p>
    <w:p>
      <w:pPr>
        <w:pStyle w:val="DefinedTerms"/>
      </w:pPr>
      <w:r>
        <w:t>renewal</w:t>
      </w:r>
      <w:r>
        <w:tab/>
        <w:t>4</w:t>
      </w:r>
    </w:p>
    <w:p>
      <w:pPr>
        <w:pStyle w:val="DefinedTerms"/>
      </w:pPr>
      <w:r>
        <w:t>reviewable decision</w:t>
      </w:r>
      <w:r>
        <w:tab/>
        <w:t>23(2)</w:t>
      </w:r>
    </w:p>
    <w:p>
      <w:pPr>
        <w:pStyle w:val="DefinedTerms"/>
      </w:pPr>
      <w:r>
        <w:t>supervisor</w:t>
      </w:r>
      <w:r>
        <w:tab/>
        <w:t>4</w:t>
      </w:r>
    </w:p>
    <w:p>
      <w:pPr>
        <w:pStyle w:val="DefinedTerms"/>
      </w:pPr>
      <w:r>
        <w:t>trust account</w:t>
      </w:r>
      <w:r>
        <w:tab/>
        <w:t>72(5)(a)</w:t>
      </w:r>
    </w:p>
    <w:p>
      <w:pPr>
        <w:pStyle w:val="DefinedTerms"/>
      </w:pPr>
      <w:r>
        <w:t>trust accounts</w:t>
      </w:r>
      <w:r>
        <w:tab/>
        <w:t>47</w:t>
      </w:r>
    </w:p>
    <w:p>
      <w:pPr>
        <w:pStyle w:val="DefinedTerms"/>
      </w:pPr>
      <w:r>
        <w:t>unlicensed finance broker</w:t>
      </w:r>
      <w:r>
        <w:tab/>
        <w:t>40A(1)</w:t>
      </w:r>
    </w:p>
    <w:p>
      <w:pPr>
        <w:pStyle w:val="DefinedTerms"/>
      </w:pPr>
      <w:r>
        <w:t>year</w:t>
      </w:r>
      <w:r>
        <w:tab/>
        <w:t>47</w:t>
      </w:r>
    </w:p>
    <w:p>
      <w:pPr>
        <w:pStyle w:val="DefinedTerms"/>
        <w:sectPr>
          <w:headerReference w:type="even" r:id="rId33"/>
          <w:headerReference w:type="default" r:id="rId3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06DDBA5"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88F94EA" w14:textId="26106ABC" w:rsidR="00D36552" w:rsidRDefault="00D3655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A1E95">
                        <w:rPr>
                          <w:sz w:val="16"/>
                        </w:rPr>
                        <w:t>2025</w:t>
                      </w:r>
                      <w:r>
                        <w:rPr>
                          <w:sz w:val="16"/>
                        </w:rPr>
                        <w:fldChar w:fldCharType="end"/>
                      </w:r>
                      <w:r>
                        <w:rPr>
                          <w:sz w:val="16"/>
                        </w:rPr>
                        <w:t>.</w:t>
                      </w:r>
                    </w:p>
                    <w:p w14:paraId="3750C554" w14:textId="77777777" w:rsidR="00D36552" w:rsidRDefault="00D3655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0AEE5C8" w14:textId="5D3CB0FC" w:rsidR="00D36552" w:rsidRDefault="00D3655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A1E95">
                        <w:rPr>
                          <w:sz w:val="16"/>
                        </w:rPr>
                        <w:t>2025</w:t>
                      </w:r>
                      <w:r>
                        <w:rPr>
                          <w:sz w:val="16"/>
                        </w:rPr>
                        <w:fldChar w:fldCharType="end"/>
                      </w:r>
                      <w:r>
                        <w:rPr>
                          <w:sz w:val="16"/>
                        </w:rPr>
                        <w:t>.</w:t>
                      </w:r>
                    </w:p>
                    <w:p w14:paraId="40B20153" w14:textId="77777777" w:rsidR="00D36552" w:rsidRDefault="00D3655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Finance Brokers Control Act 1975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42" w:name="Schedule"/>
    <w:bookmarkEnd w:id="14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0" w:name="Compilation"/>
    <w:bookmarkEnd w:id="15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5" w:name="DefinedTerms"/>
    <w:bookmarkEnd w:id="15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6" w:name="Coversheet"/>
    <w:bookmarkEnd w:id="1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05E4C1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9479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59A8DE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168F9C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870109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A981DD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64E0B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8EABA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5EAC69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08DE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A8A726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4144202"/>
    <w:docVar w:name="WAFER_20140123135643" w:val="RemoveTocBookmarks,RemoveUnusedBookmarks,RemoveLanguageTags,UsedStyles,ResetPageSize,UpdateArrangement"/>
    <w:docVar w:name="WAFER_20140123135643_GUID" w:val="cd8f9861-d3e8-4f4a-a9b2-8be57fe95878"/>
    <w:docVar w:name="WAFER_20140123135910" w:val="RemoveTocBookmarks,RunningHeaders"/>
    <w:docVar w:name="WAFER_20140123135910_GUID" w:val="4427560f-2930-447a-afda-e400c9b5da31"/>
    <w:docVar w:name="WAFER_20150415152108" w:val="ResetPageSize,UpdateArrangement,UpdateNTable"/>
    <w:docVar w:name="WAFER_20150415152108_GUID" w:val="a169cb76-e7db-4b87-ac0f-12dd1a1ecca7"/>
    <w:docVar w:name="WAFER_20150728113156" w:val="RemoveTocBookmarks,RemoveLanguageTags,RemoveTrackChanges,RunningHeaders"/>
    <w:docVar w:name="WAFER_20150728113156_GUID" w:val="8c7d9a33-78e0-45d8-acb0-1ab1d6505745"/>
    <w:docVar w:name="WAFER_20150728113211" w:val="RemoveTocBookmarks,RemoveLanguageTags,RemoveTrackChanges,RunningHeaders"/>
    <w:docVar w:name="WAFER_20150728113211_GUID" w:val="bf099246-0b73-4b88-9527-be8441682fbe"/>
    <w:docVar w:name="WAFER_20151105094934" w:val="UsedStyles"/>
    <w:docVar w:name="WAFER_20151105094934_GUID" w:val="e6925a68-7349-4ebd-b495-805e3c0241be"/>
    <w:docVar w:name="WAFER_2020021214383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835_GUID" w:val="9b22c439-801c-4146-a8c1-eb8d40214285"/>
    <w:docVar w:name="WAFER_20200911110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0448_GUID" w:val="4eb492a0-f6ae-4ad0-a051-1e3bb717f4db"/>
    <w:docVar w:name="WAFER_202204081548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854_GUID" w:val="d0f9ce1c-fed0-405d-bb04-48cc8d56c5f5"/>
    <w:docVar w:name="WAFER_202206290913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1336_GUID" w:val="74f33aba-589c-41d7-a1e4-e980976f7fd4"/>
    <w:docVar w:name="WAFER_202509241442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924144202_GUID" w:val="183b97d8-9724-493b-bb23-64bbf7733a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5:docId w15:val="{EDDD1E5E-3E5F-4E05-9E1B-39EEB9D8E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basedOn w:val="zDefstart"/>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oleObject" Target="embeddings/oleObject2.bin"/><Relationship Id="rId39" Type="http://schemas.openxmlformats.org/officeDocument/2006/relationships/header" Target="header19.xml"/><Relationship Id="rId21" Type="http://schemas.openxmlformats.org/officeDocument/2006/relationships/header" Target="header8.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oleObject" Target="embeddings/oleObject1.bin"/><Relationship Id="rId32" Type="http://schemas.openxmlformats.org/officeDocument/2006/relationships/header" Target="header14.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wmf"/><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4.png"/><Relationship Id="rId30" Type="http://schemas.openxmlformats.org/officeDocument/2006/relationships/header" Target="header12.xml"/><Relationship Id="rId35" Type="http://schemas.openxmlformats.org/officeDocument/2006/relationships/header" Target="header17.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3.wmf"/><Relationship Id="rId33" Type="http://schemas.openxmlformats.org/officeDocument/2006/relationships/header" Target="header15.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20213</Words>
  <Characters>94396</Characters>
  <Application>Microsoft Office Word</Application>
  <DocSecurity>0</DocSecurity>
  <Lines>2551</Lines>
  <Paragraphs>1348</Paragraphs>
  <ScaleCrop>false</ScaleCrop>
  <HeadingPairs>
    <vt:vector size="2" baseType="variant">
      <vt:variant>
        <vt:lpstr>Title</vt:lpstr>
      </vt:variant>
      <vt:variant>
        <vt:i4>1</vt:i4>
      </vt:variant>
    </vt:vector>
  </HeadingPairs>
  <TitlesOfParts>
    <vt:vector size="1" baseType="lpstr">
      <vt:lpstr>Finance Brokers Control Act 1975</vt:lpstr>
    </vt:vector>
  </TitlesOfParts>
  <Manager/>
  <Company/>
  <LinksUpToDate>false</LinksUpToDate>
  <CharactersWithSpaces>113261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Act 1975 - 05-e0-00</dc:title>
  <dc:subject/>
  <dc:creator/>
  <cp:keywords/>
  <dc:description/>
  <cp:lastModifiedBy>Master Repository Process</cp:lastModifiedBy>
  <cp:revision>4</cp:revision>
  <cp:lastPrinted>2015-08-17T08:07:00Z</cp:lastPrinted>
  <dcterms:created xsi:type="dcterms:W3CDTF">2025-09-26T08:27:00Z</dcterms:created>
  <dcterms:modified xsi:type="dcterms:W3CDTF">2025-09-26T08:27:00Z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1975</vt:lpwstr>
  </property>
  <property fmtid="{D5CDD505-2E9C-101B-9397-08002B2CF9AE}" pid="3" name="DocumentType">
    <vt:lpwstr>Act</vt:lpwstr>
  </property>
  <property fmtid="{D5CDD505-2E9C-101B-9397-08002B2CF9AE}" pid="4" name="OwlsUID">
    <vt:i4>269</vt:i4>
  </property>
  <property fmtid="{D5CDD505-2E9C-101B-9397-08002B2CF9AE}" pid="5" name="ReprintedAsAt">
    <vt:filetime>2015-08-06T16:00:00Z</vt:filetime>
  </property>
  <property fmtid="{D5CDD505-2E9C-101B-9397-08002B2CF9AE}" pid="6" name="ReprintNo">
    <vt:lpwstr>5</vt:lpwstr>
  </property>
  <property fmtid="{D5CDD505-2E9C-101B-9397-08002B2CF9AE}" pid="7" name="CommencementDate">
    <vt:lpwstr>20250926</vt:lpwstr>
  </property>
  <property fmtid="{D5CDD505-2E9C-101B-9397-08002B2CF9AE}" pid="8" name="CommencementAsAt">
    <vt:filetime>2025-09-25T16:00:00Z</vt:filetime>
  </property>
  <property fmtid="{D5CDD505-2E9C-101B-9397-08002B2CF9AE}" pid="9" name="CommencementYear">
    <vt:lpwstr>2025</vt:lpwstr>
  </property>
  <property fmtid="{D5CDD505-2E9C-101B-9397-08002B2CF9AE}" pid="10" name="AsAtDate">
    <vt:lpwstr>26 Sep 2025</vt:lpwstr>
  </property>
  <property fmtid="{D5CDD505-2E9C-101B-9397-08002B2CF9AE}" pid="11" name="Suffix">
    <vt:lpwstr>05-e0-00</vt:lpwstr>
  </property>
  <property fmtid="{D5CDD505-2E9C-101B-9397-08002B2CF9AE}" pid="12" name="Official">
    <vt:lpwstr/>
  </property>
</Properties>
</file>