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_Toc209874277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_Toc209874278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_Toc209874279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_Toc209874280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_Toc209874281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_Toc209874282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_Toc209874283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_Toc209874284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_Toc209874285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_Toc209874288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_Toc209874289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_Toc209874290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_Toc209874291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_Toc209874293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_Toc209874294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_Toc209874295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_Toc209874296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_Toc209874297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_Toc209874298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_Toc209874299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_Toc209874301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_Toc209874302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_Toc209874303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_Toc209874304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_Toc209874306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_Toc209874307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_Toc209874308 \h </w:instrText>
      </w:r>
      <w:r>
        <w:fldChar w:fldCharType="separate"/>
      </w:r>
      <w:r>
        <w:t>30</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_Toc209874309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_Toc209874310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_Toc209874311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_Toc209874313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_Toc209874314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_Toc209874315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_Toc209874316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_Toc209874317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_Toc209874318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_Toc209874319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_Toc209874320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_Toc209874321 \h </w:instrText>
      </w:r>
      <w:r>
        <w:fldChar w:fldCharType="separate"/>
      </w:r>
      <w:r>
        <w:t>38</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_Toc209874322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_Toc209874323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_Toc209874324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_Toc209874325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_Toc209874326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_Toc209874328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_Toc209874329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_Toc209874330 \h </w:instrText>
      </w:r>
      <w:r>
        <w:fldChar w:fldCharType="separate"/>
      </w:r>
      <w:r>
        <w:t>47</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_Toc209874331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_Toc209874332 \h </w:instrText>
      </w:r>
      <w:r>
        <w:fldChar w:fldCharType="separate"/>
      </w:r>
      <w:r>
        <w:t>54</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_Toc209874333 \h </w:instrText>
      </w:r>
      <w:r>
        <w:fldChar w:fldCharType="separate"/>
      </w:r>
      <w:r>
        <w:t>57</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_Toc209874334 \h </w:instrText>
      </w:r>
      <w:r>
        <w:fldChar w:fldCharType="separate"/>
      </w:r>
      <w:r>
        <w:t>60</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_Toc209874335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_Toc209874336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_Toc209874337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_Toc209874338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_Toc209874340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_Toc209874341 \h </w:instrText>
      </w:r>
      <w:r>
        <w:fldChar w:fldCharType="separate"/>
      </w:r>
      <w:r>
        <w:t>71</w:t>
      </w:r>
      <w:r>
        <w:fldChar w:fldCharType="end"/>
      </w:r>
    </w:p>
    <w:p>
      <w:pPr>
        <w:pStyle w:val="TOC8"/>
        <w:rPr>
          <w:rFonts w:asciiTheme="minorHAnsi" w:eastAsiaTheme="minorEastAsia" w:hAnsiTheme="minorHAnsi" w:cstheme="minorBidi"/>
          <w:szCs w:val="22"/>
        </w:rPr>
      </w:pPr>
      <w:r>
        <w:t>14B.</w:t>
      </w:r>
      <w:r>
        <w:tab/>
        <w:t>CEO may assess racing bets levy in certain circumstances</w:t>
      </w:r>
      <w:r>
        <w:tab/>
      </w:r>
      <w:r>
        <w:fldChar w:fldCharType="begin"/>
      </w:r>
      <w:r>
        <w:instrText xml:space="preserve"> PAGEREF _Toc209874342 \h </w:instrText>
      </w:r>
      <w:r>
        <w:fldChar w:fldCharType="separate"/>
      </w:r>
      <w:r>
        <w:t>73</w:t>
      </w:r>
      <w:r>
        <w:fldChar w:fldCharType="end"/>
      </w:r>
    </w:p>
    <w:p>
      <w:pPr>
        <w:pStyle w:val="TOC8"/>
        <w:rPr>
          <w:rFonts w:asciiTheme="minorHAnsi" w:eastAsiaTheme="minorEastAsia" w:hAnsiTheme="minorHAnsi" w:cstheme="minorBidi"/>
          <w:szCs w:val="22"/>
        </w:rPr>
      </w:pPr>
      <w:r>
        <w:t>14C.</w:t>
      </w:r>
      <w:r>
        <w:tab/>
        <w:t>Review of levy assessments</w:t>
      </w:r>
      <w:r>
        <w:tab/>
      </w:r>
      <w:r>
        <w:fldChar w:fldCharType="begin"/>
      </w:r>
      <w:r>
        <w:instrText xml:space="preserve"> PAGEREF _Toc209874343 \h </w:instrText>
      </w:r>
      <w:r>
        <w:fldChar w:fldCharType="separate"/>
      </w:r>
      <w:r>
        <w:t>74</w:t>
      </w:r>
      <w:r>
        <w:fldChar w:fldCharType="end"/>
      </w:r>
    </w:p>
    <w:p>
      <w:pPr>
        <w:pStyle w:val="TOC8"/>
        <w:rPr>
          <w:rFonts w:asciiTheme="minorHAnsi" w:eastAsiaTheme="minorEastAsia" w:hAnsiTheme="minorHAnsi" w:cstheme="minorBidi"/>
          <w:szCs w:val="22"/>
        </w:rPr>
      </w:pPr>
      <w:r>
        <w:t>14D.</w:t>
      </w:r>
      <w:r>
        <w:tab/>
        <w:t>CEO may recover unpaid racing bets levy and other costs</w:t>
      </w:r>
      <w:r>
        <w:tab/>
      </w:r>
      <w:r>
        <w:fldChar w:fldCharType="begin"/>
      </w:r>
      <w:r>
        <w:instrText xml:space="preserve"> PAGEREF _Toc209874344 \h </w:instrText>
      </w:r>
      <w:r>
        <w:fldChar w:fldCharType="separate"/>
      </w:r>
      <w:r>
        <w:t>75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_Toc209874345 \h </w:instrText>
      </w:r>
      <w:r>
        <w:fldChar w:fldCharType="separate"/>
      </w:r>
      <w:r>
        <w:t>75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_Toc209874346 \h </w:instrText>
      </w:r>
      <w:r>
        <w:fldChar w:fldCharType="separate"/>
      </w:r>
      <w:r>
        <w:t>78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_Toc209874347 \h </w:instrText>
      </w:r>
      <w:r>
        <w:fldChar w:fldCharType="separate"/>
      </w:r>
      <w:r>
        <w:t>78</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_Toc209874348 \h </w:instrText>
      </w:r>
      <w:r>
        <w:fldChar w:fldCharType="separate"/>
      </w:r>
      <w:r>
        <w:t>79</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_Toc209874349 \h </w:instrText>
      </w:r>
      <w:r>
        <w:fldChar w:fldCharType="separate"/>
      </w:r>
      <w:r>
        <w:t>82</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_Toc209874350 \h </w:instrText>
      </w:r>
      <w:r>
        <w:fldChar w:fldCharType="separate"/>
      </w:r>
      <w:r>
        <w:t>82</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_Toc209874351 \h </w:instrText>
      </w:r>
      <w:r>
        <w:fldChar w:fldCharType="separate"/>
      </w:r>
      <w:r>
        <w:t>82</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_Toc209874352 \h </w:instrText>
      </w:r>
      <w:r>
        <w:fldChar w:fldCharType="separate"/>
      </w:r>
      <w:r>
        <w:t>83</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_Toc209874353 \h </w:instrText>
      </w:r>
      <w:r>
        <w:fldChar w:fldCharType="separate"/>
      </w:r>
      <w:r>
        <w:t>84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_Toc209874354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_Toc209874356 \h </w:instrText>
      </w:r>
      <w:r>
        <w:fldChar w:fldCharType="separate"/>
      </w:r>
      <w:r>
        <w:t>87</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_Toc209874357 \h </w:instrText>
      </w:r>
      <w:r>
        <w:fldChar w:fldCharType="separate"/>
      </w:r>
      <w:r>
        <w:t>87</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_Toc209874358 \h </w:instrText>
      </w:r>
      <w:r>
        <w:fldChar w:fldCharType="separate"/>
      </w:r>
      <w:r>
        <w:t>89</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_Toc209874359 \h </w:instrText>
      </w:r>
      <w:r>
        <w:fldChar w:fldCharType="separate"/>
      </w:r>
      <w:r>
        <w:t>91</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_Toc209874360 \h </w:instrText>
      </w:r>
      <w:r>
        <w:fldChar w:fldCharType="separate"/>
      </w:r>
      <w:r>
        <w:t>93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_Toc209874361 \h </w:instrText>
      </w:r>
      <w:r>
        <w:fldChar w:fldCharType="separate"/>
      </w:r>
      <w:r>
        <w:t>93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_Toc209874362 \h </w:instrText>
      </w:r>
      <w:r>
        <w:fldChar w:fldCharType="separate"/>
      </w:r>
      <w:r>
        <w:t>95</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_Toc209874363 \h </w:instrText>
      </w:r>
      <w:r>
        <w:fldChar w:fldCharType="separate"/>
      </w:r>
      <w:r>
        <w:t>96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_Toc209874364 \h </w:instrText>
      </w:r>
      <w:r>
        <w:fldChar w:fldCharType="separate"/>
      </w:r>
      <w:r>
        <w:t>97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_Toc209874365 \h </w:instrText>
      </w:r>
      <w:r>
        <w:fldChar w:fldCharType="separate"/>
      </w:r>
      <w:r>
        <w:t>98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_Toc209874366 \h </w:instrText>
      </w:r>
      <w:r>
        <w:fldChar w:fldCharType="separate"/>
      </w:r>
      <w:r>
        <w:t>100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_Toc209874367 \h </w:instrText>
      </w:r>
      <w:r>
        <w:fldChar w:fldCharType="separate"/>
      </w:r>
      <w:r>
        <w:t>101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_Toc209874368 \h </w:instrText>
      </w:r>
      <w:r>
        <w:fldChar w:fldCharType="separate"/>
      </w:r>
      <w:r>
        <w:t>101</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_Toc209874369 \h </w:instrText>
      </w:r>
      <w:r>
        <w:fldChar w:fldCharType="separate"/>
      </w:r>
      <w:r>
        <w:t>102</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_Toc209874370 \h </w:instrText>
      </w:r>
      <w:r>
        <w:fldChar w:fldCharType="separate"/>
      </w:r>
      <w:r>
        <w:t>102</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_Toc209874371 \h </w:instrText>
      </w:r>
      <w:r>
        <w:fldChar w:fldCharType="separate"/>
      </w:r>
      <w:r>
        <w:t>104</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_Toc209874372 \h </w:instrText>
      </w:r>
      <w:r>
        <w:fldChar w:fldCharType="separate"/>
      </w:r>
      <w:r>
        <w:t>105</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_Toc209874373 \h </w:instrText>
      </w:r>
      <w:r>
        <w:fldChar w:fldCharType="separate"/>
      </w:r>
      <w:r>
        <w:t>107</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_Toc209874374 \h </w:instrText>
      </w:r>
      <w:r>
        <w:fldChar w:fldCharType="separate"/>
      </w:r>
      <w:r>
        <w:t>109</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_Toc209874375 \h </w:instrText>
      </w:r>
      <w:r>
        <w:fldChar w:fldCharType="separate"/>
      </w:r>
      <w:r>
        <w:t>111</w:t>
      </w:r>
      <w:r>
        <w:fldChar w:fldCharType="end"/>
      </w:r>
    </w:p>
    <w:p>
      <w:pPr>
        <w:pStyle w:val="TOC8"/>
        <w:rPr>
          <w:rFonts w:asciiTheme="minorHAnsi" w:eastAsiaTheme="minorEastAsia" w:hAnsiTheme="minorHAnsi" w:cstheme="minorBidi"/>
          <w:szCs w:val="22"/>
        </w:rPr>
      </w:pPr>
      <w:r>
        <w:t>27G.</w:t>
      </w:r>
      <w:r>
        <w:tab/>
        <w:t>Liability of officers for offence by body corporate</w:t>
      </w:r>
      <w:r>
        <w:tab/>
      </w:r>
      <w:r>
        <w:fldChar w:fldCharType="begin"/>
      </w:r>
      <w:r>
        <w:instrText xml:space="preserve"> PAGEREF _Toc209874376 \h </w:instrText>
      </w:r>
      <w:r>
        <w:fldChar w:fldCharType="separate"/>
      </w:r>
      <w:r>
        <w:t>112</w:t>
      </w:r>
      <w:r>
        <w:fldChar w:fldCharType="end"/>
      </w:r>
    </w:p>
    <w:p>
      <w:pPr>
        <w:pStyle w:val="TOC8"/>
        <w:rPr>
          <w:rFonts w:asciiTheme="minorHAnsi" w:eastAsiaTheme="minorEastAsia" w:hAnsiTheme="minorHAnsi" w:cstheme="minorBidi"/>
          <w:szCs w:val="22"/>
        </w:rPr>
      </w:pPr>
      <w:r>
        <w:t>27H.</w:t>
      </w:r>
      <w:r>
        <w:tab/>
        <w:t>Liability of individuals, partners, bodies corporate and licensed managers</w:t>
      </w:r>
      <w:r>
        <w:tab/>
      </w:r>
      <w:r>
        <w:fldChar w:fldCharType="begin"/>
      </w:r>
      <w:r>
        <w:instrText xml:space="preserve"> PAGEREF _Toc209874377 \h </w:instrText>
      </w:r>
      <w:r>
        <w:fldChar w:fldCharType="separate"/>
      </w:r>
      <w:r>
        <w:t>113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_Toc209874378 \h </w:instrText>
      </w:r>
      <w:r>
        <w:fldChar w:fldCharType="separate"/>
      </w:r>
      <w:r>
        <w:t>113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_Toc209874379 \h </w:instrText>
      </w:r>
      <w:r>
        <w:fldChar w:fldCharType="separate"/>
      </w:r>
      <w:r>
        <w:t>114</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_Toc209874380 \h </w:instrText>
      </w:r>
      <w:r>
        <w:fldChar w:fldCharType="separate"/>
      </w:r>
      <w:r>
        <w:t>115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_Toc209874381 \h </w:instrText>
      </w:r>
      <w:r>
        <w:fldChar w:fldCharType="separate"/>
      </w:r>
      <w:r>
        <w:t>117</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_Toc209874382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_Toc209874383 \h </w:instrText>
      </w:r>
      <w:r>
        <w:fldChar w:fldCharType="separate"/>
      </w:r>
      <w:r>
        <w:t>118</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_Toc209874384 \h </w:instrText>
      </w:r>
      <w:r>
        <w:fldChar w:fldCharType="separate"/>
      </w:r>
      <w:r>
        <w:t>118</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_Toc209874385 \h </w:instrText>
      </w:r>
      <w:r>
        <w:fldChar w:fldCharType="separate"/>
      </w:r>
      <w:r>
        <w:t>119</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_Toc209874386 \h </w:instrText>
      </w:r>
      <w:r>
        <w:fldChar w:fldCharType="separate"/>
      </w:r>
      <w:r>
        <w:t>120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_Toc209874387 \h </w:instrText>
      </w:r>
      <w:r>
        <w:fldChar w:fldCharType="separate"/>
      </w:r>
      <w:r>
        <w:t>120</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_Toc209874388 \h </w:instrText>
      </w:r>
      <w:r>
        <w:fldChar w:fldCharType="separate"/>
      </w:r>
      <w:r>
        <w:t>121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_Toc209874389 \h </w:instrText>
      </w:r>
      <w:r>
        <w:fldChar w:fldCharType="separate"/>
      </w:r>
      <w:r>
        <w:t>121</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_Toc209874390 \h </w:instrText>
      </w:r>
      <w:r>
        <w:fldChar w:fldCharType="separate"/>
      </w:r>
      <w:r>
        <w:t>123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_Toc209874391 \h </w:instrText>
      </w:r>
      <w:r>
        <w:fldChar w:fldCharType="separate"/>
      </w:r>
      <w:r>
        <w:t>126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_Toc209874392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32B.</w:t>
      </w:r>
      <w:r>
        <w:tab/>
        <w:t>Delegation by CEO</w:t>
      </w:r>
      <w:r>
        <w:tab/>
      </w:r>
      <w:r>
        <w:fldChar w:fldCharType="begin"/>
      </w:r>
      <w:r>
        <w:instrText xml:space="preserve"> PAGEREF _Toc209874394 \h </w:instrText>
      </w:r>
      <w:r>
        <w:fldChar w:fldCharType="separate"/>
      </w:r>
      <w:r>
        <w:t>131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_Toc209874395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Gambling Legislation Amendment Act 2024</w:t>
      </w:r>
    </w:p>
    <w:p>
      <w:pPr>
        <w:pStyle w:val="TOC8"/>
        <w:rPr>
          <w:rFonts w:asciiTheme="minorHAnsi" w:eastAsiaTheme="minorEastAsia" w:hAnsiTheme="minorHAnsi" w:cstheme="minorBidi"/>
          <w:szCs w:val="22"/>
        </w:rPr>
      </w:pPr>
      <w:r>
        <w:t>34.</w:t>
      </w:r>
      <w:r>
        <w:tab/>
        <w:t>Term used: commencement day</w:t>
      </w:r>
      <w:r>
        <w:tab/>
      </w:r>
      <w:r>
        <w:fldChar w:fldCharType="begin"/>
      </w:r>
      <w:r>
        <w:instrText xml:space="preserve"> PAGEREF _Toc209874397 \h </w:instrText>
      </w:r>
      <w:r>
        <w:fldChar w:fldCharType="separate"/>
      </w:r>
      <w:r>
        <w:t>135</w:t>
      </w:r>
      <w:r>
        <w:fldChar w:fldCharType="end"/>
      </w:r>
    </w:p>
    <w:p>
      <w:pPr>
        <w:pStyle w:val="TOC8"/>
        <w:rPr>
          <w:rFonts w:asciiTheme="minorHAnsi" w:eastAsiaTheme="minorEastAsia" w:hAnsiTheme="minorHAnsi" w:cstheme="minorBidi"/>
          <w:szCs w:val="22"/>
        </w:rPr>
      </w:pPr>
      <w:r>
        <w:t>35.</w:t>
      </w:r>
      <w:r>
        <w:tab/>
        <w:t xml:space="preserve">Application of </w:t>
      </w:r>
      <w:r>
        <w:rPr>
          <w:i/>
        </w:rPr>
        <w:t>Interpretation Act 1984</w:t>
      </w:r>
      <w:r>
        <w:tab/>
      </w:r>
      <w:r>
        <w:fldChar w:fldCharType="begin"/>
      </w:r>
      <w:r>
        <w:instrText xml:space="preserve"> PAGEREF _Toc209874398 \h </w:instrText>
      </w:r>
      <w:r>
        <w:fldChar w:fldCharType="separate"/>
      </w:r>
      <w:r>
        <w:t>135</w:t>
      </w:r>
      <w:r>
        <w:fldChar w:fldCharType="end"/>
      </w:r>
    </w:p>
    <w:p>
      <w:pPr>
        <w:pStyle w:val="TOC8"/>
        <w:rPr>
          <w:rFonts w:asciiTheme="minorHAnsi" w:eastAsiaTheme="minorEastAsia" w:hAnsiTheme="minorHAnsi" w:cstheme="minorBidi"/>
          <w:szCs w:val="22"/>
        </w:rPr>
      </w:pPr>
      <w:r>
        <w:t>36.</w:t>
      </w:r>
      <w:r>
        <w:tab/>
        <w:t>Requirement to lodge monthly return and pay racing bets levy</w:t>
      </w:r>
      <w:r>
        <w:tab/>
      </w:r>
      <w:r>
        <w:fldChar w:fldCharType="begin"/>
      </w:r>
      <w:r>
        <w:instrText xml:space="preserve"> PAGEREF _Toc209874399 \h </w:instrText>
      </w:r>
      <w:r>
        <w:fldChar w:fldCharType="separate"/>
      </w:r>
      <w:r>
        <w:t>135</w:t>
      </w:r>
      <w:r>
        <w:fldChar w:fldCharType="end"/>
      </w:r>
    </w:p>
    <w:p>
      <w:pPr>
        <w:pStyle w:val="TOC8"/>
        <w:rPr>
          <w:rFonts w:asciiTheme="minorHAnsi" w:eastAsiaTheme="minorEastAsia" w:hAnsiTheme="minorHAnsi" w:cstheme="minorBidi"/>
          <w:szCs w:val="22"/>
        </w:rPr>
      </w:pPr>
      <w:r>
        <w:t>37.</w:t>
      </w:r>
      <w:r>
        <w:tab/>
        <w:t>Transitional regulations</w:t>
      </w:r>
      <w:r>
        <w:tab/>
      </w:r>
      <w:r>
        <w:fldChar w:fldCharType="begin"/>
      </w:r>
      <w:r>
        <w:instrText xml:space="preserve"> PAGEREF _Toc209874400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_Toc209874403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_Toc209874404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_Toc209874405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83786968"/>
      <w:bookmarkStart w:id="3" w:name="_Toc183787722"/>
      <w:bookmarkStart w:id="4" w:name="_Toc184024983"/>
      <w:bookmarkStart w:id="5" w:name="_Toc184035302"/>
      <w:bookmarkStart w:id="6" w:name="_Toc209874276"/>
      <w:r>
        <w:rPr>
          <w:rStyle w:val="CharPartNo"/>
        </w:rPr>
        <w:lastRenderedPageBreak/>
        <w:t>Part 1</w:t>
      </w:r>
      <w:r>
        <w:rPr>
          <w:b w:val="0"/>
        </w:rPr>
        <w:t> </w:t>
      </w:r>
      <w:r>
        <w:t>—</w:t>
      </w:r>
      <w:r>
        <w:rPr>
          <w:b w:val="0"/>
        </w:rPr>
        <w:t> </w:t>
      </w:r>
      <w:r>
        <w:rPr>
          <w:rStyle w:val="CharPartText"/>
        </w:rPr>
        <w:t>Preliminary</w:t>
      </w:r>
      <w:bookmarkEnd w:id="2"/>
      <w:bookmarkEnd w:id="3"/>
      <w:bookmarkEnd w:id="4"/>
      <w:bookmarkEnd w:id="5"/>
      <w:bookmarkEnd w:id="6"/>
    </w:p>
    <w:p>
      <w:pPr>
        <w:pStyle w:val="Footnoteheading"/>
        <w:tabs>
          <w:tab w:val="left" w:pos="851"/>
        </w:tabs>
      </w:pPr>
      <w:r>
        <w:tab/>
        <w:t>[Heading inserted: No. 35 of 2003 s. 101(1).]</w:t>
      </w:r>
    </w:p>
    <w:p>
      <w:pPr>
        <w:pStyle w:val="Heading5"/>
        <w:spacing w:before="180"/>
        <w:rPr>
          <w:snapToGrid w:val="0"/>
        </w:rPr>
      </w:pPr>
      <w:bookmarkStart w:id="7" w:name="_Toc209874277"/>
      <w:r>
        <w:rPr>
          <w:rStyle w:val="CharSectno"/>
        </w:rPr>
        <w:t>1</w:t>
      </w:r>
      <w:r>
        <w:rPr>
          <w:snapToGrid w:val="0"/>
        </w:rPr>
        <w:t>.</w:t>
      </w:r>
      <w:r>
        <w:rPr>
          <w:snapToGrid w:val="0"/>
        </w:rPr>
        <w:tab/>
        <w:t>Short title</w:t>
      </w:r>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8" w:name="_Toc20987427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9" w:name="_Toc209874279"/>
      <w:r>
        <w:rPr>
          <w:rStyle w:val="CharSectno"/>
        </w:rPr>
        <w:t>4</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assessment notice</w:t>
      </w:r>
      <w:r>
        <w:t xml:space="preserve"> has the meaning given in section 14B(3);</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lastRenderedPageBreak/>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CEO</w:t>
      </w:r>
      <w:r>
        <w:t xml:space="preserve"> means the chief executive officer of the Department;</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lastRenderedPageBreak/>
        <w:tab/>
      </w:r>
      <w:r>
        <w:rPr>
          <w:rStyle w:val="CharDefText"/>
        </w:rPr>
        <w:t>controlling interest</w:t>
      </w:r>
      <w:r>
        <w:t xml:space="preserve"> means an interest in not less than fifty per centum (50%) of the issued shares of the body corporate;</w:t>
      </w:r>
    </w:p>
    <w:p>
      <w:pPr>
        <w:pStyle w:val="Defstart"/>
      </w:pPr>
      <w:r>
        <w:tab/>
      </w:r>
      <w:r>
        <w:rPr>
          <w:rStyle w:val="CharDefText"/>
        </w:rPr>
        <w:t>Department</w:t>
      </w:r>
      <w:r>
        <w:t xml:space="preserve"> means the department of the Public Service assisting the Minister in the administration of this Act;</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 events or contingencies;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lastRenderedPageBreak/>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w:t>
      </w:r>
      <w:r>
        <w:lastRenderedPageBreak/>
        <w:t>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lastRenderedPageBreak/>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lastRenderedPageBreak/>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lastRenderedPageBreak/>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No. 53 of 2024 s. 4.] </w:t>
      </w:r>
    </w:p>
    <w:p>
      <w:pPr>
        <w:pStyle w:val="Heading5"/>
      </w:pPr>
      <w:bookmarkStart w:id="10" w:name="_Toc209874280"/>
      <w:r>
        <w:rPr>
          <w:rStyle w:val="CharSectno"/>
        </w:rPr>
        <w:t>4AA</w:t>
      </w:r>
      <w:r>
        <w:t>.</w:t>
      </w:r>
      <w:r>
        <w:tab/>
        <w:t>Term used: betting exchange</w:t>
      </w:r>
      <w:bookmarkEnd w:id="10"/>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1" w:name="_Toc209874281"/>
      <w:r>
        <w:rPr>
          <w:rStyle w:val="CharSectno"/>
        </w:rPr>
        <w:t>4A</w:t>
      </w:r>
      <w:r>
        <w:t>.</w:t>
      </w:r>
      <w:r>
        <w:tab/>
        <w:t>Application of this Act to certain sporting events other than races</w:t>
      </w:r>
      <w:bookmarkEnd w:id="11"/>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keepNext/>
        <w:spacing w:before="120"/>
      </w:pPr>
      <w:r>
        <w:lastRenderedPageBreak/>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$10 000.</w:t>
      </w:r>
    </w:p>
    <w:p>
      <w:pPr>
        <w:pStyle w:val="Subsection"/>
      </w:pPr>
      <w:r>
        <w:rPr>
          <w:spacing w:val="-2"/>
        </w:rPr>
        <w:tab/>
        <w:t>(7)</w:t>
      </w:r>
      <w:r>
        <w:tab/>
        <w:t xml:space="preserve">The Commission may, whether or not a person is convicted of an offence under subsection (6), cancel or suspend a permit if </w:t>
      </w:r>
      <w:r>
        <w:lastRenderedPageBreak/>
        <w:t>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 No. 53 of 2024 s. 23.]</w:t>
      </w:r>
    </w:p>
    <w:p>
      <w:pPr>
        <w:pStyle w:val="Heading5"/>
        <w:spacing w:before="180"/>
        <w:rPr>
          <w:snapToGrid w:val="0"/>
        </w:rPr>
      </w:pPr>
      <w:bookmarkStart w:id="12" w:name="_Toc209874282"/>
      <w:r>
        <w:rPr>
          <w:rStyle w:val="CharSectno"/>
        </w:rPr>
        <w:t>4B</w:t>
      </w:r>
      <w:r>
        <w:rPr>
          <w:snapToGrid w:val="0"/>
        </w:rPr>
        <w:t>.</w:t>
      </w:r>
      <w:r>
        <w:rPr>
          <w:snapToGrid w:val="0"/>
        </w:rPr>
        <w:tab/>
        <w:t>Application of this Act to events</w:t>
      </w:r>
      <w:bookmarkEnd w:id="12"/>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pPr>
      <w:r>
        <w:tab/>
        <w:t>(3A)</w:t>
      </w:r>
      <w:r>
        <w:tab/>
        <w:t xml:space="preserve">The holder of a bookmaker’s licence endorsed to authorise bookmaking on an event or a contingency must comply with the conditions </w:t>
      </w:r>
      <w:r>
        <w:rPr>
          <w:iCs/>
        </w:rPr>
        <w:t>and requirements</w:t>
      </w:r>
      <w:r>
        <w:t xml:space="preserve"> to which the approval of bookmaking on the event or contingency is subject under subsection (3).</w:t>
      </w:r>
    </w:p>
    <w:p>
      <w:pPr>
        <w:pStyle w:val="Penstart"/>
      </w:pPr>
      <w:r>
        <w:tab/>
        <w:t>Penalty for this subsection: a fine of $10 000.</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lastRenderedPageBreak/>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No. 53 of 2024 s. 5.] </w:t>
      </w:r>
    </w:p>
    <w:p>
      <w:pPr>
        <w:pStyle w:val="Heading5"/>
        <w:spacing w:before="180"/>
        <w:rPr>
          <w:snapToGrid w:val="0"/>
        </w:rPr>
      </w:pPr>
      <w:bookmarkStart w:id="13" w:name="_Toc209874283"/>
      <w:r>
        <w:rPr>
          <w:rStyle w:val="CharSectno"/>
        </w:rPr>
        <w:t>5</w:t>
      </w:r>
      <w:r>
        <w:rPr>
          <w:snapToGrid w:val="0"/>
        </w:rPr>
        <w:t>.</w:t>
      </w:r>
      <w:r>
        <w:rPr>
          <w:snapToGrid w:val="0"/>
        </w:rPr>
        <w:tab/>
        <w:t>Legalisation of betting</w:t>
      </w:r>
      <w:bookmarkEnd w:id="13"/>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lastRenderedPageBreak/>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4" w:name="_Toc209874284"/>
      <w:r>
        <w:rPr>
          <w:rStyle w:val="CharSectno"/>
        </w:rPr>
        <w:t>5A</w:t>
      </w:r>
      <w:r>
        <w:t>.</w:t>
      </w:r>
      <w:r>
        <w:tab/>
        <w:t>Communication and broadcasting of information</w:t>
      </w:r>
      <w:bookmarkEnd w:id="14"/>
    </w:p>
    <w:p>
      <w:pPr>
        <w:pStyle w:val="Subsection"/>
      </w:pPr>
      <w:r>
        <w:tab/>
      </w:r>
      <w:r>
        <w:tab/>
        <w:t xml:space="preserve">Despite the provisions of any other Act it is lawful — </w:t>
      </w:r>
    </w:p>
    <w:p>
      <w:pPr>
        <w:pStyle w:val="Indenta"/>
      </w:pPr>
      <w:r>
        <w:tab/>
        <w:t>(a)</w:t>
      </w:r>
      <w:r>
        <w:tab/>
        <w:t xml:space="preserve">to communicate information from a race course or a venue at which an event is held to a totalisator agency for or in connection with the payment or crediting of </w:t>
      </w:r>
      <w:r>
        <w:lastRenderedPageBreak/>
        <w:t>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5" w:name="_Toc209874285"/>
      <w:r>
        <w:rPr>
          <w:rStyle w:val="CharSectno"/>
        </w:rPr>
        <w:t>5C</w:t>
      </w:r>
      <w:r>
        <w:t>.</w:t>
      </w:r>
      <w:r>
        <w:tab/>
        <w:t>Betting on simulated races</w:t>
      </w:r>
      <w:bookmarkEnd w:id="15"/>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6" w:name="_Toc183786978"/>
      <w:bookmarkStart w:id="17" w:name="_Toc183787732"/>
      <w:bookmarkStart w:id="18" w:name="_Toc184024993"/>
      <w:bookmarkStart w:id="19" w:name="_Toc184035312"/>
      <w:bookmarkStart w:id="20" w:name="_Toc209874286"/>
      <w:r>
        <w:rPr>
          <w:rStyle w:val="CharPartNo"/>
        </w:rPr>
        <w:lastRenderedPageBreak/>
        <w:t>Part 1A</w:t>
      </w:r>
      <w:r>
        <w:t> — </w:t>
      </w:r>
      <w:r>
        <w:rPr>
          <w:rStyle w:val="CharPartText"/>
        </w:rPr>
        <w:t>Wagering licences</w:t>
      </w:r>
      <w:bookmarkEnd w:id="16"/>
      <w:bookmarkEnd w:id="17"/>
      <w:bookmarkEnd w:id="18"/>
      <w:bookmarkEnd w:id="19"/>
      <w:bookmarkEnd w:id="20"/>
    </w:p>
    <w:p>
      <w:pPr>
        <w:pStyle w:val="Footnoteheading"/>
        <w:rPr>
          <w:iCs/>
        </w:rPr>
      </w:pPr>
      <w:r>
        <w:rPr>
          <w:iCs/>
        </w:rPr>
        <w:tab/>
        <w:t xml:space="preserve">[Heading inserted: </w:t>
      </w:r>
      <w:r>
        <w:t>No. 21 of 2009 s. 47</w:t>
      </w:r>
      <w:r>
        <w:rPr>
          <w:iCs/>
        </w:rPr>
        <w:t>.]</w:t>
      </w:r>
    </w:p>
    <w:p>
      <w:pPr>
        <w:pStyle w:val="Heading3"/>
      </w:pPr>
      <w:bookmarkStart w:id="21" w:name="_Toc183786979"/>
      <w:bookmarkStart w:id="22" w:name="_Toc183787733"/>
      <w:bookmarkStart w:id="23" w:name="_Toc184024994"/>
      <w:bookmarkStart w:id="24" w:name="_Toc184035313"/>
      <w:bookmarkStart w:id="25" w:name="_Toc209874287"/>
      <w:r>
        <w:rPr>
          <w:rStyle w:val="CharDivNo"/>
        </w:rPr>
        <w:t>Division 1</w:t>
      </w:r>
      <w:r>
        <w:t> — </w:t>
      </w:r>
      <w:r>
        <w:rPr>
          <w:rStyle w:val="CharDivText"/>
        </w:rPr>
        <w:t>General</w:t>
      </w:r>
      <w:bookmarkEnd w:id="21"/>
      <w:bookmarkEnd w:id="22"/>
      <w:bookmarkEnd w:id="23"/>
      <w:bookmarkEnd w:id="24"/>
      <w:bookmarkEnd w:id="25"/>
    </w:p>
    <w:p>
      <w:pPr>
        <w:pStyle w:val="Footnoteheading"/>
        <w:rPr>
          <w:iCs/>
        </w:rPr>
      </w:pPr>
      <w:r>
        <w:rPr>
          <w:iCs/>
        </w:rPr>
        <w:tab/>
        <w:t>[Heading inserted: No. 21 of 2009 s. 47.]</w:t>
      </w:r>
    </w:p>
    <w:p>
      <w:pPr>
        <w:pStyle w:val="Heading5"/>
      </w:pPr>
      <w:bookmarkStart w:id="26" w:name="_Toc209874288"/>
      <w:r>
        <w:rPr>
          <w:rStyle w:val="CharSectno"/>
        </w:rPr>
        <w:t>6</w:t>
      </w:r>
      <w:r>
        <w:t>.</w:t>
      </w:r>
      <w:r>
        <w:tab/>
        <w:t>Wagering licence and wagering licensee</w:t>
      </w:r>
      <w:bookmarkEnd w:id="26"/>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27" w:name="_Toc209874289"/>
      <w:r>
        <w:rPr>
          <w:rStyle w:val="CharSectno"/>
        </w:rPr>
        <w:t>7</w:t>
      </w:r>
      <w:r>
        <w:t>.</w:t>
      </w:r>
      <w:r>
        <w:tab/>
        <w:t>Associates</w:t>
      </w:r>
      <w:bookmarkEnd w:id="27"/>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lastRenderedPageBreak/>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lastRenderedPageBreak/>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28" w:name="_Toc209874290"/>
      <w:r>
        <w:rPr>
          <w:rStyle w:val="CharSectno"/>
        </w:rPr>
        <w:t>8</w:t>
      </w:r>
      <w:r>
        <w:t>.</w:t>
      </w:r>
      <w:r>
        <w:tab/>
        <w:t>Key employees</w:t>
      </w:r>
      <w:bookmarkEnd w:id="28"/>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lastRenderedPageBreak/>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29" w:name="_Toc209874291"/>
      <w:r>
        <w:rPr>
          <w:rStyle w:val="CharSectno"/>
        </w:rPr>
        <w:t>9</w:t>
      </w:r>
      <w:r>
        <w:t>.</w:t>
      </w:r>
      <w:r>
        <w:tab/>
        <w:t>Determinations of good repute and public interest</w:t>
      </w:r>
      <w:bookmarkEnd w:id="29"/>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30" w:name="_Toc183786984"/>
      <w:bookmarkStart w:id="31" w:name="_Toc183787738"/>
      <w:bookmarkStart w:id="32" w:name="_Toc184024999"/>
      <w:bookmarkStart w:id="33" w:name="_Toc184035318"/>
      <w:bookmarkStart w:id="34" w:name="_Toc209874292"/>
      <w:r>
        <w:rPr>
          <w:rStyle w:val="CharDivNo"/>
        </w:rPr>
        <w:t>Division 2</w:t>
      </w:r>
      <w:r>
        <w:t> — </w:t>
      </w:r>
      <w:r>
        <w:rPr>
          <w:rStyle w:val="CharDivText"/>
        </w:rPr>
        <w:t>Applications for and grant of wagering licences</w:t>
      </w:r>
      <w:bookmarkEnd w:id="30"/>
      <w:bookmarkEnd w:id="31"/>
      <w:bookmarkEnd w:id="32"/>
      <w:bookmarkEnd w:id="33"/>
      <w:bookmarkEnd w:id="34"/>
    </w:p>
    <w:p>
      <w:pPr>
        <w:pStyle w:val="Footnoteheading"/>
        <w:rPr>
          <w:iCs/>
        </w:rPr>
      </w:pPr>
      <w:r>
        <w:rPr>
          <w:iCs/>
        </w:rPr>
        <w:tab/>
        <w:t xml:space="preserve">[Heading inserted: </w:t>
      </w:r>
      <w:r>
        <w:t>No. 21 of 2009 s. 47</w:t>
      </w:r>
      <w:r>
        <w:rPr>
          <w:iCs/>
        </w:rPr>
        <w:t>.]</w:t>
      </w:r>
    </w:p>
    <w:p>
      <w:pPr>
        <w:pStyle w:val="Heading5"/>
      </w:pPr>
      <w:bookmarkStart w:id="35" w:name="_Toc209874293"/>
      <w:r>
        <w:rPr>
          <w:rStyle w:val="CharSectno"/>
        </w:rPr>
        <w:t>10</w:t>
      </w:r>
      <w:r>
        <w:t>.</w:t>
      </w:r>
      <w:r>
        <w:tab/>
        <w:t>Application for wagering licence</w:t>
      </w:r>
      <w:bookmarkEnd w:id="35"/>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36" w:name="_Toc209874294"/>
      <w:r>
        <w:rPr>
          <w:rStyle w:val="CharSectno"/>
        </w:rPr>
        <w:lastRenderedPageBreak/>
        <w:t>10A</w:t>
      </w:r>
      <w:r>
        <w:t>.</w:t>
      </w:r>
      <w:r>
        <w:tab/>
        <w:t>Grant of wagering licence</w:t>
      </w:r>
      <w:bookmarkEnd w:id="36"/>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37" w:name="_Toc209874295"/>
      <w:r>
        <w:rPr>
          <w:rStyle w:val="CharSectno"/>
        </w:rPr>
        <w:t>10B</w:t>
      </w:r>
      <w:r>
        <w:t>.</w:t>
      </w:r>
      <w:r>
        <w:tab/>
        <w:t>Fee for wagering licence</w:t>
      </w:r>
      <w:bookmarkEnd w:id="37"/>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lastRenderedPageBreak/>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38" w:name="_Toc209874296"/>
      <w:r>
        <w:rPr>
          <w:rStyle w:val="CharSectno"/>
        </w:rPr>
        <w:t>10C</w:t>
      </w:r>
      <w:r>
        <w:t>.</w:t>
      </w:r>
      <w:r>
        <w:tab/>
        <w:t>Duration of wagering licence</w:t>
      </w:r>
      <w:bookmarkEnd w:id="38"/>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lastRenderedPageBreak/>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39" w:name="_Toc209874297"/>
      <w:r>
        <w:rPr>
          <w:rStyle w:val="CharSectno"/>
        </w:rPr>
        <w:t>10D</w:t>
      </w:r>
      <w:r>
        <w:t>.</w:t>
      </w:r>
      <w:r>
        <w:tab/>
        <w:t>Wagering licence may authorise preparatory action</w:t>
      </w:r>
      <w:bookmarkEnd w:id="39"/>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lastRenderedPageBreak/>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40" w:name="_Toc209874298"/>
      <w:r>
        <w:rPr>
          <w:rStyle w:val="CharSectno"/>
        </w:rPr>
        <w:t>10E</w:t>
      </w:r>
      <w:r>
        <w:t>.</w:t>
      </w:r>
      <w:r>
        <w:tab/>
        <w:t>Transfer of wagering licence</w:t>
      </w:r>
      <w:bookmarkEnd w:id="40"/>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lastRenderedPageBreak/>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41" w:name="_Toc209874299"/>
      <w:r>
        <w:rPr>
          <w:rStyle w:val="CharSectno"/>
        </w:rPr>
        <w:t>10F</w:t>
      </w:r>
      <w:r>
        <w:t>.</w:t>
      </w:r>
      <w:r>
        <w:tab/>
        <w:t>No proprietary right in wagering licence</w:t>
      </w:r>
      <w:bookmarkEnd w:id="41"/>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42" w:name="_Toc183786992"/>
      <w:bookmarkStart w:id="43" w:name="_Toc183787746"/>
      <w:bookmarkStart w:id="44" w:name="_Toc184025007"/>
      <w:bookmarkStart w:id="45" w:name="_Toc184035326"/>
      <w:bookmarkStart w:id="46" w:name="_Toc209874300"/>
      <w:r>
        <w:rPr>
          <w:rStyle w:val="CharDivNo"/>
        </w:rPr>
        <w:lastRenderedPageBreak/>
        <w:t>Division 3</w:t>
      </w:r>
      <w:r>
        <w:t> — </w:t>
      </w:r>
      <w:r>
        <w:rPr>
          <w:rStyle w:val="CharDivText"/>
        </w:rPr>
        <w:t>Conditions of wagering licences</w:t>
      </w:r>
      <w:bookmarkEnd w:id="42"/>
      <w:bookmarkEnd w:id="43"/>
      <w:bookmarkEnd w:id="44"/>
      <w:bookmarkEnd w:id="45"/>
      <w:bookmarkEnd w:id="46"/>
    </w:p>
    <w:p>
      <w:pPr>
        <w:pStyle w:val="Footnotesection"/>
        <w:keepNext/>
        <w:rPr>
          <w:iCs/>
        </w:rPr>
      </w:pPr>
      <w:r>
        <w:rPr>
          <w:iCs/>
        </w:rPr>
        <w:tab/>
        <w:t>[Heading inserted: No. 21 of 2009 s. 47.]</w:t>
      </w:r>
    </w:p>
    <w:p>
      <w:pPr>
        <w:pStyle w:val="Heading5"/>
      </w:pPr>
      <w:bookmarkStart w:id="47" w:name="_Toc209874301"/>
      <w:r>
        <w:rPr>
          <w:rStyle w:val="CharSectno"/>
        </w:rPr>
        <w:t>10G</w:t>
      </w:r>
      <w:r>
        <w:t>.</w:t>
      </w:r>
      <w:r>
        <w:tab/>
        <w:t>Financial assurance</w:t>
      </w:r>
      <w:bookmarkEnd w:id="47"/>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48" w:name="_Toc209874302"/>
      <w:r>
        <w:rPr>
          <w:rStyle w:val="CharSectno"/>
        </w:rPr>
        <w:t>10H</w:t>
      </w:r>
      <w:r>
        <w:t>.</w:t>
      </w:r>
      <w:r>
        <w:tab/>
        <w:t>Racing industry arrangement</w:t>
      </w:r>
      <w:bookmarkEnd w:id="48"/>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49" w:name="_Toc209874303"/>
      <w:r>
        <w:rPr>
          <w:rStyle w:val="CharSectno"/>
        </w:rPr>
        <w:lastRenderedPageBreak/>
        <w:t>10I</w:t>
      </w:r>
      <w:r>
        <w:t>.</w:t>
      </w:r>
      <w:r>
        <w:tab/>
        <w:t>Consumer protection policy</w:t>
      </w:r>
      <w:bookmarkEnd w:id="49"/>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50" w:name="_Toc209874304"/>
      <w:r>
        <w:rPr>
          <w:rStyle w:val="CharSectno"/>
        </w:rPr>
        <w:t>10J</w:t>
      </w:r>
      <w:r>
        <w:t>.</w:t>
      </w:r>
      <w:r>
        <w:tab/>
        <w:t>General provisions relating to bets with wagering licensee</w:t>
      </w:r>
      <w:bookmarkEnd w:id="50"/>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51" w:name="_Toc183786997"/>
      <w:bookmarkStart w:id="52" w:name="_Toc183787751"/>
      <w:bookmarkStart w:id="53" w:name="_Toc184025012"/>
      <w:bookmarkStart w:id="54" w:name="_Toc184035331"/>
      <w:bookmarkStart w:id="55" w:name="_Toc209874305"/>
      <w:r>
        <w:rPr>
          <w:rStyle w:val="CharDivNo"/>
        </w:rPr>
        <w:t>Division 4</w:t>
      </w:r>
      <w:r>
        <w:t> — </w:t>
      </w:r>
      <w:r>
        <w:rPr>
          <w:rStyle w:val="CharDivText"/>
        </w:rPr>
        <w:t>Disciplinary and other actions concerning wagering licences</w:t>
      </w:r>
      <w:bookmarkEnd w:id="51"/>
      <w:bookmarkEnd w:id="52"/>
      <w:bookmarkEnd w:id="53"/>
      <w:bookmarkEnd w:id="54"/>
      <w:bookmarkEnd w:id="55"/>
    </w:p>
    <w:p>
      <w:pPr>
        <w:pStyle w:val="Footnoteheading"/>
        <w:rPr>
          <w:iCs/>
        </w:rPr>
      </w:pPr>
      <w:r>
        <w:rPr>
          <w:iCs/>
        </w:rPr>
        <w:tab/>
        <w:t xml:space="preserve">[Heading inserted: </w:t>
      </w:r>
      <w:r>
        <w:t>No. 21 of 2009 s. 47</w:t>
      </w:r>
      <w:r>
        <w:rPr>
          <w:iCs/>
        </w:rPr>
        <w:t>.]</w:t>
      </w:r>
    </w:p>
    <w:p>
      <w:pPr>
        <w:pStyle w:val="Heading5"/>
      </w:pPr>
      <w:bookmarkStart w:id="56" w:name="_Toc209874306"/>
      <w:r>
        <w:rPr>
          <w:rStyle w:val="CharSectno"/>
        </w:rPr>
        <w:t>10K</w:t>
      </w:r>
      <w:r>
        <w:t>.</w:t>
      </w:r>
      <w:r>
        <w:tab/>
        <w:t>Commission may take or recommend disciplinary action</w:t>
      </w:r>
      <w:bookmarkEnd w:id="56"/>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lastRenderedPageBreak/>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lastRenderedPageBreak/>
        <w:tab/>
        <w:t>(d)</w:t>
      </w:r>
      <w:r>
        <w:tab/>
        <w:t xml:space="preserve">that the wagering licensee has become a Chapter 5 body corporate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lastRenderedPageBreak/>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 amended: No. 14 of 2025 s. 5.]</w:t>
      </w:r>
    </w:p>
    <w:p>
      <w:pPr>
        <w:pStyle w:val="Heading5"/>
      </w:pPr>
      <w:bookmarkStart w:id="57" w:name="_Toc209874307"/>
      <w:r>
        <w:rPr>
          <w:rStyle w:val="CharSectno"/>
        </w:rPr>
        <w:t>10L</w:t>
      </w:r>
      <w:r>
        <w:t>.</w:t>
      </w:r>
      <w:r>
        <w:tab/>
        <w:t>Minister’s power to amend, suspend or cancel wagering licence</w:t>
      </w:r>
      <w:bookmarkEnd w:id="57"/>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lastRenderedPageBreak/>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58" w:name="_Toc209874308"/>
      <w:r>
        <w:rPr>
          <w:rStyle w:val="CharSectno"/>
        </w:rPr>
        <w:lastRenderedPageBreak/>
        <w:t>10M</w:t>
      </w:r>
      <w:r>
        <w:t>.</w:t>
      </w:r>
      <w:r>
        <w:tab/>
        <w:t>Suspension of wagering licence</w:t>
      </w:r>
      <w:bookmarkEnd w:id="58"/>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59" w:name="_Toc209874309"/>
      <w:r>
        <w:rPr>
          <w:rStyle w:val="CharSectno"/>
        </w:rPr>
        <w:t>10N</w:t>
      </w:r>
      <w:r>
        <w:t>.</w:t>
      </w:r>
      <w:r>
        <w:tab/>
        <w:t>Surrender of wagering licence</w:t>
      </w:r>
      <w:bookmarkEnd w:id="59"/>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60" w:name="_Toc209874310"/>
      <w:r>
        <w:rPr>
          <w:rStyle w:val="CharSectno"/>
        </w:rPr>
        <w:t>10O</w:t>
      </w:r>
      <w:r>
        <w:t>.</w:t>
      </w:r>
      <w:r>
        <w:tab/>
        <w:t>Appointment of temporary licensee if wagering licence suspended, cancelled, surrendered</w:t>
      </w:r>
      <w:bookmarkEnd w:id="60"/>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lastRenderedPageBreak/>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61" w:name="_Toc209874311"/>
      <w:r>
        <w:rPr>
          <w:rStyle w:val="CharSectno"/>
        </w:rPr>
        <w:t>10P</w:t>
      </w:r>
      <w:r>
        <w:t>.</w:t>
      </w:r>
      <w:r>
        <w:tab/>
        <w:t>Directions necessary for transitioning to new wagering licence</w:t>
      </w:r>
      <w:bookmarkEnd w:id="61"/>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 xml:space="preserve">grant a wagering licence to another person under section 10A and provide for the transition to the other </w:t>
      </w:r>
      <w:r>
        <w:lastRenderedPageBreak/>
        <w:t>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62" w:name="_Toc183787004"/>
      <w:bookmarkStart w:id="63" w:name="_Toc183787758"/>
      <w:bookmarkStart w:id="64" w:name="_Toc184025019"/>
      <w:bookmarkStart w:id="65" w:name="_Toc184035338"/>
      <w:bookmarkStart w:id="66" w:name="_Toc209874312"/>
      <w:r>
        <w:rPr>
          <w:rStyle w:val="CharDivNo"/>
        </w:rPr>
        <w:t>Division 5</w:t>
      </w:r>
      <w:r>
        <w:t> — </w:t>
      </w:r>
      <w:r>
        <w:rPr>
          <w:rStyle w:val="CharDivText"/>
        </w:rPr>
        <w:t>Miscellaneous</w:t>
      </w:r>
      <w:bookmarkEnd w:id="62"/>
      <w:bookmarkEnd w:id="63"/>
      <w:bookmarkEnd w:id="64"/>
      <w:bookmarkEnd w:id="65"/>
      <w:bookmarkEnd w:id="66"/>
    </w:p>
    <w:p>
      <w:pPr>
        <w:pStyle w:val="Footnoteheading"/>
        <w:rPr>
          <w:iCs/>
        </w:rPr>
      </w:pPr>
      <w:r>
        <w:rPr>
          <w:iCs/>
        </w:rPr>
        <w:tab/>
        <w:t xml:space="preserve">[Heading inserted: </w:t>
      </w:r>
      <w:r>
        <w:t>No. 21 of 2009 s. 47</w:t>
      </w:r>
      <w:r>
        <w:rPr>
          <w:iCs/>
        </w:rPr>
        <w:t>.]</w:t>
      </w:r>
    </w:p>
    <w:p>
      <w:pPr>
        <w:pStyle w:val="Heading5"/>
      </w:pPr>
      <w:bookmarkStart w:id="67" w:name="_Toc209874313"/>
      <w:r>
        <w:rPr>
          <w:rStyle w:val="CharSectno"/>
        </w:rPr>
        <w:t>10Q</w:t>
      </w:r>
      <w:r>
        <w:t>.</w:t>
      </w:r>
      <w:r>
        <w:tab/>
        <w:t>Wagering licence agreements</w:t>
      </w:r>
      <w:bookmarkEnd w:id="67"/>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68" w:name="_Toc209874314"/>
      <w:r>
        <w:rPr>
          <w:rStyle w:val="CharSectno"/>
        </w:rPr>
        <w:t>10R</w:t>
      </w:r>
      <w:r>
        <w:t>.</w:t>
      </w:r>
      <w:r>
        <w:tab/>
        <w:t>Minister may amend wagering licence on request</w:t>
      </w:r>
      <w:bookmarkEnd w:id="68"/>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lastRenderedPageBreak/>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69" w:name="_Toc209874315"/>
      <w:r>
        <w:rPr>
          <w:rStyle w:val="CharSectno"/>
        </w:rPr>
        <w:t>10S</w:t>
      </w:r>
      <w:r>
        <w:t>.</w:t>
      </w:r>
      <w:r>
        <w:tab/>
        <w:t>Combined totalisator pool and fixed odds schemes</w:t>
      </w:r>
      <w:bookmarkEnd w:id="69"/>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 xml:space="preserve">If the Commission determines that the adoption of any rules under subsection (2)(a) or making of any arrangements under subsection (2)(b) is, or will be, detrimental to the public interest, the Commission may, as the case requires and in accordance </w:t>
      </w:r>
      <w:r>
        <w:lastRenderedPageBreak/>
        <w:t>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70" w:name="_Toc209874316"/>
      <w:r>
        <w:rPr>
          <w:rStyle w:val="CharSectno"/>
        </w:rPr>
        <w:t>10T</w:t>
      </w:r>
      <w:r>
        <w:t>.</w:t>
      </w:r>
      <w:r>
        <w:tab/>
        <w:t>Engaging contractors and appointing agents to assist wagering licensee</w:t>
      </w:r>
      <w:bookmarkEnd w:id="70"/>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71" w:name="_Toc209874317"/>
      <w:r>
        <w:rPr>
          <w:rStyle w:val="CharSectno"/>
        </w:rPr>
        <w:t>10U</w:t>
      </w:r>
      <w:r>
        <w:t>.</w:t>
      </w:r>
      <w:r>
        <w:tab/>
        <w:t>Betting agencies</w:t>
      </w:r>
      <w:bookmarkEnd w:id="71"/>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lastRenderedPageBreak/>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72" w:name="_Toc209874318"/>
      <w:r>
        <w:rPr>
          <w:rStyle w:val="CharSectno"/>
        </w:rPr>
        <w:t>10V</w:t>
      </w:r>
      <w:r>
        <w:t>.</w:t>
      </w:r>
      <w:r>
        <w:tab/>
        <w:t>Directions relating to betting agencies</w:t>
      </w:r>
      <w:bookmarkEnd w:id="72"/>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73" w:name="_Toc209874319"/>
      <w:r>
        <w:rPr>
          <w:rStyle w:val="CharSectno"/>
        </w:rPr>
        <w:t>10W</w:t>
      </w:r>
      <w:r>
        <w:t>.</w:t>
      </w:r>
      <w:r>
        <w:tab/>
        <w:t>Wagering licensee to give notice to Commission about certain matters</w:t>
      </w:r>
      <w:bookmarkEnd w:id="73"/>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lastRenderedPageBreak/>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74" w:name="_Toc209874320"/>
      <w:r>
        <w:rPr>
          <w:rStyle w:val="CharSectno"/>
        </w:rPr>
        <w:t>10X</w:t>
      </w:r>
      <w:r>
        <w:t>.</w:t>
      </w:r>
      <w:r>
        <w:tab/>
        <w:t>Approval of associates of wagering licensee</w:t>
      </w:r>
      <w:bookmarkEnd w:id="74"/>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keepNext/>
      </w:pPr>
      <w:r>
        <w:lastRenderedPageBreak/>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75" w:name="_Toc209874321"/>
      <w:r>
        <w:rPr>
          <w:rStyle w:val="CharSectno"/>
        </w:rPr>
        <w:lastRenderedPageBreak/>
        <w:t>10Y</w:t>
      </w:r>
      <w:r>
        <w:t>.</w:t>
      </w:r>
      <w:r>
        <w:tab/>
        <w:t>Commission may give directions to wagering licensee in relation to wagering business</w:t>
      </w:r>
      <w:bookmarkEnd w:id="75"/>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76" w:name="_Toc209874322"/>
      <w:r>
        <w:rPr>
          <w:rStyle w:val="CharSectno"/>
        </w:rPr>
        <w:t>10Z</w:t>
      </w:r>
      <w:r>
        <w:t>.</w:t>
      </w:r>
      <w:r>
        <w:tab/>
        <w:t>Disclosure of certain information authorised</w:t>
      </w:r>
      <w:bookmarkEnd w:id="76"/>
    </w:p>
    <w:p>
      <w:pPr>
        <w:pStyle w:val="Subsection"/>
        <w:keepNext/>
      </w:pPr>
      <w:r>
        <w:tab/>
      </w:r>
      <w:r>
        <w:tab/>
        <w:t xml:space="preserve">For the purposes of the </w:t>
      </w:r>
      <w:r>
        <w:rPr>
          <w:i/>
        </w:rPr>
        <w:t>Gaming and Wagering Commission Act 1987</w:t>
      </w:r>
      <w:r>
        <w:t xml:space="preserve"> section 20(3), the following is, when authorised by the </w:t>
      </w:r>
      <w:r>
        <w:lastRenderedPageBreak/>
        <w:t>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77" w:name="_Toc209874323"/>
      <w:r>
        <w:rPr>
          <w:rStyle w:val="CharSectno"/>
        </w:rPr>
        <w:t>10ZA</w:t>
      </w:r>
      <w:r>
        <w:t>.</w:t>
      </w:r>
      <w:r>
        <w:tab/>
        <w:t>Amount deducted as commission by wagering licensee</w:t>
      </w:r>
      <w:bookmarkEnd w:id="77"/>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78" w:name="_Toc209874324"/>
      <w:r>
        <w:rPr>
          <w:rStyle w:val="CharSectno"/>
        </w:rPr>
        <w:t>10ZB</w:t>
      </w:r>
      <w:r>
        <w:t>.</w:t>
      </w:r>
      <w:r>
        <w:tab/>
        <w:t>Unclaimed moneys</w:t>
      </w:r>
      <w:bookmarkEnd w:id="78"/>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lastRenderedPageBreak/>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79" w:name="_Toc209874325"/>
      <w:r>
        <w:rPr>
          <w:rStyle w:val="CharSectno"/>
        </w:rPr>
        <w:t>10ZC</w:t>
      </w:r>
      <w:r>
        <w:t>.</w:t>
      </w:r>
      <w:r>
        <w:tab/>
        <w:t xml:space="preserve">Authorisation for </w:t>
      </w:r>
      <w:r>
        <w:rPr>
          <w:i/>
        </w:rPr>
        <w:t xml:space="preserve">Competition and Consumer Act 2010 </w:t>
      </w:r>
      <w:r>
        <w:t>(Cth) and Competition Code</w:t>
      </w:r>
      <w:bookmarkEnd w:id="79"/>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lastRenderedPageBreak/>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lastRenderedPageBreak/>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80" w:name="_Toc209874326"/>
      <w:r>
        <w:rPr>
          <w:rStyle w:val="CharSectno"/>
        </w:rPr>
        <w:t>10ZD</w:t>
      </w:r>
      <w:r>
        <w:t>.</w:t>
      </w:r>
      <w:r>
        <w:tab/>
        <w:t>Confidential police information</w:t>
      </w:r>
      <w:bookmarkEnd w:id="80"/>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81" w:name="_Toc183787019"/>
      <w:bookmarkStart w:id="82" w:name="_Toc183787773"/>
      <w:bookmarkStart w:id="83" w:name="_Toc184025034"/>
      <w:bookmarkStart w:id="84" w:name="_Toc184035353"/>
      <w:bookmarkStart w:id="85" w:name="_Toc209874327"/>
      <w:r>
        <w:rPr>
          <w:rStyle w:val="CharPartNo"/>
        </w:rPr>
        <w:lastRenderedPageBreak/>
        <w:t>Part 2</w:t>
      </w:r>
      <w:r>
        <w:rPr>
          <w:rStyle w:val="CharDivNo"/>
        </w:rPr>
        <w:t> </w:t>
      </w:r>
      <w:r>
        <w:t>—</w:t>
      </w:r>
      <w:r>
        <w:rPr>
          <w:rStyle w:val="CharDivText"/>
        </w:rPr>
        <w:t> </w:t>
      </w:r>
      <w:r>
        <w:rPr>
          <w:rStyle w:val="CharPartText"/>
        </w:rPr>
        <w:t>Other licences, approvals and permits</w:t>
      </w:r>
      <w:bookmarkEnd w:id="81"/>
      <w:bookmarkEnd w:id="82"/>
      <w:bookmarkEnd w:id="83"/>
      <w:bookmarkEnd w:id="84"/>
      <w:bookmarkEnd w:id="85"/>
    </w:p>
    <w:p>
      <w:pPr>
        <w:pStyle w:val="Footnoteheading"/>
        <w:tabs>
          <w:tab w:val="left" w:pos="851"/>
        </w:tabs>
      </w:pPr>
      <w:r>
        <w:tab/>
        <w:t>[Heading inserted: No. 35 of 2003 s. 101(2); amended:  No. 21 of 2019 s. 48.]</w:t>
      </w:r>
    </w:p>
    <w:p>
      <w:pPr>
        <w:pStyle w:val="Heading5"/>
      </w:pPr>
      <w:bookmarkStart w:id="86" w:name="_Toc209874328"/>
      <w:r>
        <w:rPr>
          <w:rStyle w:val="CharSectno"/>
        </w:rPr>
        <w:t>11</w:t>
      </w:r>
      <w:r>
        <w:t>.</w:t>
      </w:r>
      <w:r>
        <w:tab/>
        <w:t>Licences and approvals relating to bookmaking</w:t>
      </w:r>
      <w:bookmarkEnd w:id="86"/>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lastRenderedPageBreak/>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tab/>
        <w:t>(6)</w:t>
      </w:r>
      <w:r>
        <w:tab/>
        <w:t>A body corporate that holds a bookmaker’s licence must, within 7 days after a person becomes or ceases to be a person who occupies a position of authority in the body corporate, lodge with the Commission a notice stating the full name and usual residential address of that person and the fact that the person has become or ceased to be such a person.</w:t>
      </w:r>
    </w:p>
    <w:p>
      <w:pPr>
        <w:pStyle w:val="Penstart"/>
      </w:pPr>
      <w:r>
        <w:tab/>
        <w:t>Penalty for this subsection: a fine of $25 000.</w:t>
      </w:r>
    </w:p>
    <w:p>
      <w:pPr>
        <w:pStyle w:val="Subsection"/>
      </w:pPr>
      <w:r>
        <w:tab/>
        <w:t>(6A)</w:t>
      </w:r>
      <w:r>
        <w:tab/>
        <w:t>A body corporate that holds a bookmaker’s licence must, in the month of July in each year, lodge with the Commission a return in a form approved by the Commission.</w:t>
      </w:r>
    </w:p>
    <w:p>
      <w:pPr>
        <w:pStyle w:val="Penstart"/>
      </w:pPr>
      <w:r>
        <w:tab/>
        <w:t>Penalty for this subsection: a fine of $100 000.</w:t>
      </w:r>
    </w:p>
    <w:p>
      <w:pPr>
        <w:pStyle w:val="Subsection"/>
      </w:pPr>
      <w:r>
        <w:tab/>
        <w:t>(6B)</w:t>
      </w:r>
      <w:r>
        <w:tab/>
        <w:t>Each person who is a member of a partnership that holds a bookmaker’s licence must, within 7 days after a person becomes or ceases to be a member of the partnership, lodge with the Commission a notice stating the full name and usual residential address of that person and the fact that the person has become or ceased to be a member.</w:t>
      </w:r>
    </w:p>
    <w:p>
      <w:pPr>
        <w:pStyle w:val="Penstart"/>
      </w:pPr>
      <w:r>
        <w:lastRenderedPageBreak/>
        <w:tab/>
        <w:t>Penalty for this subsection: a fine of $5 000.</w:t>
      </w:r>
    </w:p>
    <w:p>
      <w:pPr>
        <w:pStyle w:val="Subsection"/>
      </w:pPr>
      <w:r>
        <w:tab/>
        <w:t>(6C)</w:t>
      </w:r>
      <w:r>
        <w:tab/>
        <w:t>Each person who is a member of a partnership that holds a bookmaker’s licence must, in the month of July in each year, lodge with the Commission a return in a form approved by the Commission.</w:t>
      </w:r>
    </w:p>
    <w:p>
      <w:pPr>
        <w:pStyle w:val="Penstart"/>
      </w:pPr>
      <w:r>
        <w:tab/>
        <w:t>Penalty for this subsection: a fine of $20 000.</w:t>
      </w:r>
    </w:p>
    <w:p>
      <w:pPr>
        <w:pStyle w:val="Subsection"/>
      </w:pPr>
      <w:r>
        <w:tab/>
        <w:t>(6D)</w:t>
      </w:r>
      <w:r>
        <w:tab/>
        <w:t>A member of a partnership who is otherwise required to comply with subsection (6B) or (6C) need not comply with the subsection if another member of the partnership has complied with the subsection.</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 No. 53 of 2024 s. 6.]</w:t>
      </w:r>
    </w:p>
    <w:p>
      <w:pPr>
        <w:pStyle w:val="Heading5"/>
        <w:spacing w:before="180"/>
      </w:pPr>
      <w:bookmarkStart w:id="87" w:name="_Toc209874329"/>
      <w:r>
        <w:rPr>
          <w:rStyle w:val="CharSectno"/>
        </w:rPr>
        <w:t>11A</w:t>
      </w:r>
      <w:r>
        <w:t>.</w:t>
      </w:r>
      <w:r>
        <w:tab/>
        <w:t>Bookmaker’s licence — natural person</w:t>
      </w:r>
      <w:bookmarkEnd w:id="87"/>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lastRenderedPageBreak/>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w:t>
      </w:r>
      <w:r>
        <w:rPr>
          <w:snapToGrid w:val="0"/>
        </w:rPr>
        <w:lastRenderedPageBreak/>
        <w:t xml:space="preserve">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88" w:name="_Toc209874330"/>
      <w:r>
        <w:rPr>
          <w:rStyle w:val="CharSectno"/>
        </w:rPr>
        <w:t>11B</w:t>
      </w:r>
      <w:r>
        <w:t>.</w:t>
      </w:r>
      <w:r>
        <w:tab/>
        <w:t>Bookmaker’s licence — partnership</w:t>
      </w:r>
      <w:bookmarkEnd w:id="88"/>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lastRenderedPageBreak/>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$50 000.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lastRenderedPageBreak/>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lastRenderedPageBreak/>
        <w:tab/>
        <w:t>(b)</w:t>
      </w:r>
      <w:r>
        <w:tab/>
        <w:t>by a licensed employee appointed to act as a licensed manager under subsection (12).</w:t>
      </w:r>
    </w:p>
    <w:p>
      <w:pPr>
        <w:pStyle w:val="Penstart"/>
      </w:pPr>
      <w:r>
        <w:tab/>
        <w:t>Penalty for this subsection: a fine of $20 000.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$5 000.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$10 000.</w:t>
      </w:r>
    </w:p>
    <w:p>
      <w:pPr>
        <w:pStyle w:val="Footnotesection"/>
      </w:pPr>
      <w:r>
        <w:tab/>
        <w:t>[Section 11B inserted: No. 13 of 2002 s. 7; amended: No. 35 of 2003 s. 102; No. 18 of 2009 s. 11(3) and (4); No. 41 of 2018 s. 15(1); No. 21 of 2019 s. 80; No. 53 of 2024 s. 23.]</w:t>
      </w:r>
    </w:p>
    <w:p>
      <w:pPr>
        <w:pStyle w:val="Heading5"/>
        <w:keepNext w:val="0"/>
        <w:keepLines w:val="0"/>
      </w:pPr>
      <w:bookmarkStart w:id="89" w:name="_Toc209874331"/>
      <w:r>
        <w:rPr>
          <w:rStyle w:val="CharSectno"/>
        </w:rPr>
        <w:t>11C</w:t>
      </w:r>
      <w:r>
        <w:t>.</w:t>
      </w:r>
      <w:r>
        <w:tab/>
        <w:t>Bookmaker’s licences — body corporate</w:t>
      </w:r>
      <w:bookmarkEnd w:id="8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lastRenderedPageBreak/>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$50 000.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lastRenderedPageBreak/>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lastRenderedPageBreak/>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$20 000.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$5 000.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$10 000.</w:t>
      </w:r>
    </w:p>
    <w:p>
      <w:pPr>
        <w:pStyle w:val="Footnotesection"/>
        <w:ind w:left="890" w:hanging="890"/>
      </w:pPr>
      <w:r>
        <w:lastRenderedPageBreak/>
        <w:tab/>
        <w:t>[Section 11C inserted: No. 13 of 2002 s. 7; amended: No. 35 of 2003 s. 102; No. 18 of 2009 s. 11(5) and (6); No. 41 of 2018 s. 15(1); No. 21 of 2019 s. 80; No. 53 of 2024 s. 23.]</w:t>
      </w:r>
    </w:p>
    <w:p>
      <w:pPr>
        <w:pStyle w:val="Heading5"/>
        <w:spacing w:before="180"/>
      </w:pPr>
      <w:bookmarkStart w:id="90" w:name="_Toc209874332"/>
      <w:r>
        <w:rPr>
          <w:rStyle w:val="CharSectno"/>
        </w:rPr>
        <w:t>11D</w:t>
      </w:r>
      <w:r>
        <w:t>.</w:t>
      </w:r>
      <w:r>
        <w:tab/>
        <w:t>Licences — manager or employee</w:t>
      </w:r>
      <w:bookmarkEnd w:id="90"/>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 xml:space="preserve">A bookmaker’s manager licence or a bookmaker’s employee licence shall not be transferable or pass to the personal </w:t>
      </w:r>
      <w:r>
        <w:rPr>
          <w:snapToGrid w:val="0"/>
        </w:rPr>
        <w:lastRenderedPageBreak/>
        <w:t>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91" w:name="_Toc209874333"/>
      <w:r>
        <w:rPr>
          <w:rStyle w:val="CharSectno"/>
        </w:rPr>
        <w:lastRenderedPageBreak/>
        <w:t>11E</w:t>
      </w:r>
      <w:r>
        <w:t>.</w:t>
      </w:r>
      <w:r>
        <w:tab/>
        <w:t>Security</w:t>
      </w:r>
      <w:bookmarkEnd w:id="91"/>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lastRenderedPageBreak/>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w:t>
      </w:r>
      <w:r>
        <w:rPr>
          <w:snapToGrid w:val="0"/>
        </w:rPr>
        <w:lastRenderedPageBreak/>
        <w:t>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lastRenderedPageBreak/>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 No. 53 of 2024 s. 23.]</w:t>
      </w:r>
    </w:p>
    <w:p>
      <w:pPr>
        <w:pStyle w:val="Heading5"/>
        <w:spacing w:before="180"/>
      </w:pPr>
      <w:bookmarkStart w:id="92" w:name="_Toc209874334"/>
      <w:r>
        <w:rPr>
          <w:rStyle w:val="CharSectno"/>
        </w:rPr>
        <w:t>11F</w:t>
      </w:r>
      <w:r>
        <w:t>.</w:t>
      </w:r>
      <w:r>
        <w:tab/>
        <w:t>Notification of Commission in relation to licensed manager</w:t>
      </w:r>
      <w:bookmarkEnd w:id="92"/>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$10 000.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$5 000.</w:t>
      </w:r>
    </w:p>
    <w:p>
      <w:pPr>
        <w:pStyle w:val="Footnotesection"/>
        <w:spacing w:before="80"/>
        <w:ind w:left="890" w:hanging="890"/>
      </w:pPr>
      <w:r>
        <w:tab/>
        <w:t>[Section 11F inserted: No. 13 of 2002 s. 7; amended: No. 35 of 2003 s. 102; No. 41 of 2018 s. 8; No. 53 of 2024 s. 23.]</w:t>
      </w:r>
    </w:p>
    <w:p>
      <w:pPr>
        <w:pStyle w:val="Heading5"/>
        <w:spacing w:before="180"/>
      </w:pPr>
      <w:bookmarkStart w:id="93" w:name="_Toc209874335"/>
      <w:r>
        <w:rPr>
          <w:rStyle w:val="CharSectno"/>
        </w:rPr>
        <w:t>11G</w:t>
      </w:r>
      <w:r>
        <w:t>.</w:t>
      </w:r>
      <w:r>
        <w:tab/>
        <w:t>Offences</w:t>
      </w:r>
      <w:bookmarkEnd w:id="93"/>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lastRenderedPageBreak/>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pPr>
      <w:r>
        <w:tab/>
        <w:t>Penalty for this subsection: a fine of $100 000.</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pPr>
      <w:r>
        <w:tab/>
        <w:t>Penalty for this subsection: a fine of $100 000.</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lastRenderedPageBreak/>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 No. 53 of 2024 s. 7 and 23.]</w:t>
      </w:r>
    </w:p>
    <w:p>
      <w:pPr>
        <w:pStyle w:val="Ednotesection"/>
        <w:spacing w:before="180"/>
      </w:pPr>
      <w:r>
        <w:t>[</w:t>
      </w:r>
      <w:r>
        <w:rPr>
          <w:b/>
        </w:rPr>
        <w:t>11H, 11I.</w:t>
      </w:r>
      <w:r>
        <w:tab/>
        <w:t>Deleted: No. 70 of 2006 s. 10(2).]</w:t>
      </w:r>
    </w:p>
    <w:p>
      <w:pPr>
        <w:pStyle w:val="Heading5"/>
        <w:spacing w:before="180"/>
        <w:rPr>
          <w:snapToGrid w:val="0"/>
        </w:rPr>
      </w:pPr>
      <w:bookmarkStart w:id="94" w:name="_Toc209874336"/>
      <w:r>
        <w:rPr>
          <w:rStyle w:val="CharSectno"/>
        </w:rPr>
        <w:t>12</w:t>
      </w:r>
      <w:r>
        <w:rPr>
          <w:snapToGrid w:val="0"/>
        </w:rPr>
        <w:t>.</w:t>
      </w:r>
      <w:r>
        <w:rPr>
          <w:snapToGrid w:val="0"/>
        </w:rPr>
        <w:tab/>
        <w:t>Bookmaking on racecourses</w:t>
      </w:r>
      <w:bookmarkEnd w:id="94"/>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w:t>
      </w:r>
      <w:r>
        <w:rPr>
          <w:snapToGrid w:val="0"/>
        </w:rPr>
        <w:lastRenderedPageBreak/>
        <w:t xml:space="preserve">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xml:space="preserve">, </w:t>
      </w:r>
      <w:r>
        <w:rPr>
          <w:snapToGrid w:val="0"/>
        </w:rPr>
        <w:lastRenderedPageBreak/>
        <w:t>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 xml:space="preserve">as the agent of the partnership or body corporate, to operate on behalf of that partnership or body corporate at that racecourse notwithstanding the absence of the licensed manager, in the event of there otherwise being, in the opinion of that </w:t>
      </w:r>
      <w:r>
        <w:lastRenderedPageBreak/>
        <w:t>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 xml:space="preserve">any duplicate record, or other betting material, required to be delivered to a person authorised by the racing club to receive it is duly received at </w:t>
      </w:r>
      <w:r>
        <w:rPr>
          <w:snapToGrid w:val="0"/>
        </w:rPr>
        <w:lastRenderedPageBreak/>
        <w:t>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95" w:name="_Toc209874337"/>
      <w:r>
        <w:rPr>
          <w:rStyle w:val="CharSectno"/>
        </w:rPr>
        <w:t>12A</w:t>
      </w:r>
      <w:r>
        <w:t>.</w:t>
      </w:r>
      <w:r>
        <w:tab/>
        <w:t>Temporary bookmakers’ employees’ licences</w:t>
      </w:r>
      <w:bookmarkEnd w:id="95"/>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w:t>
      </w:r>
      <w:r>
        <w:lastRenderedPageBreak/>
        <w:t>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lastRenderedPageBreak/>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96" w:name="_Toc209874338"/>
      <w:r>
        <w:rPr>
          <w:rStyle w:val="CharSectno"/>
        </w:rPr>
        <w:lastRenderedPageBreak/>
        <w:t>13</w:t>
      </w:r>
      <w:r>
        <w:rPr>
          <w:snapToGrid w:val="0"/>
        </w:rPr>
        <w:t>.</w:t>
      </w:r>
      <w:r>
        <w:rPr>
          <w:snapToGrid w:val="0"/>
        </w:rPr>
        <w:tab/>
        <w:t>Bookmakers’ annual licence fee</w:t>
      </w:r>
      <w:bookmarkEnd w:id="96"/>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lastRenderedPageBreak/>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97" w:name="_Toc183787031"/>
      <w:bookmarkStart w:id="98" w:name="_Toc183787785"/>
      <w:bookmarkStart w:id="99" w:name="_Toc184025046"/>
      <w:bookmarkStart w:id="100" w:name="_Toc184035365"/>
      <w:bookmarkStart w:id="101" w:name="_Toc209874339"/>
      <w:r>
        <w:rPr>
          <w:rStyle w:val="CharPartNo"/>
        </w:rPr>
        <w:lastRenderedPageBreak/>
        <w:t>Part 3</w:t>
      </w:r>
      <w:r>
        <w:rPr>
          <w:b w:val="0"/>
        </w:rPr>
        <w:t> </w:t>
      </w:r>
      <w:r>
        <w:t>—</w:t>
      </w:r>
      <w:r>
        <w:rPr>
          <w:b w:val="0"/>
        </w:rPr>
        <w:t> </w:t>
      </w:r>
      <w:r>
        <w:rPr>
          <w:rStyle w:val="CharPartText"/>
        </w:rPr>
        <w:t>Levies and totalisators</w:t>
      </w:r>
      <w:bookmarkEnd w:id="97"/>
      <w:bookmarkEnd w:id="98"/>
      <w:bookmarkEnd w:id="99"/>
      <w:bookmarkEnd w:id="100"/>
      <w:bookmarkEnd w:id="101"/>
    </w:p>
    <w:p>
      <w:pPr>
        <w:pStyle w:val="Footnoteheading"/>
        <w:tabs>
          <w:tab w:val="left" w:pos="851"/>
        </w:tabs>
      </w:pPr>
      <w:r>
        <w:tab/>
        <w:t>[Heading inserted: No. 35 of 2003 s. 101(3).]</w:t>
      </w:r>
    </w:p>
    <w:p>
      <w:pPr>
        <w:pStyle w:val="Heading5"/>
      </w:pPr>
      <w:bookmarkStart w:id="102" w:name="_Toc209874340"/>
      <w:r>
        <w:rPr>
          <w:rStyle w:val="CharSectno"/>
        </w:rPr>
        <w:t>14</w:t>
      </w:r>
      <w:r>
        <w:t>.</w:t>
      </w:r>
      <w:r>
        <w:tab/>
        <w:t>Bets transmitted from racing club to wagering licensee</w:t>
      </w:r>
      <w:bookmarkEnd w:id="102"/>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03" w:name="_Toc209874341"/>
      <w:r>
        <w:rPr>
          <w:rStyle w:val="CharSectno"/>
        </w:rPr>
        <w:t>14A</w:t>
      </w:r>
      <w:r>
        <w:t>.</w:t>
      </w:r>
      <w:r>
        <w:tab/>
        <w:t>Betting operators’ liability to lodge returns and to pay racing bets levy</w:t>
      </w:r>
      <w:bookmarkEnd w:id="103"/>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lastRenderedPageBreak/>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A betting operator must, in relation to racing bets placed with, or placed or accepted through, the betting operator in each month — </w:t>
      </w:r>
    </w:p>
    <w:p>
      <w:pPr>
        <w:pStyle w:val="Indenta"/>
      </w:pPr>
      <w:r>
        <w:tab/>
        <w:t>(a)</w:t>
      </w:r>
      <w:r>
        <w:tab/>
        <w:t>within the prescribed period, lodge a return with the Department in the form approved by the CEO; and</w:t>
      </w:r>
    </w:p>
    <w:p>
      <w:pPr>
        <w:pStyle w:val="Indenta"/>
        <w:rPr>
          <w:iCs/>
        </w:rPr>
      </w:pPr>
      <w:r>
        <w:tab/>
        <w:t>(b)</w:t>
      </w:r>
      <w:r>
        <w:tab/>
        <w:t xml:space="preserve">when the return is lodged with the Department, pay to the CEO the racing bets levy on the whole of the gross revenue or turnover reported in the return in accordance with the </w:t>
      </w:r>
      <w:r>
        <w:rPr>
          <w:i/>
        </w:rPr>
        <w:t>Racing Bets Levy Act 2009</w:t>
      </w:r>
      <w:r>
        <w:rPr>
          <w:iCs/>
        </w:rPr>
        <w:t>.</w:t>
      </w:r>
    </w:p>
    <w:p>
      <w:pPr>
        <w:pStyle w:val="Penstart"/>
        <w:keepNext/>
      </w:pPr>
      <w:r>
        <w:lastRenderedPageBreak/>
        <w:tab/>
        <w:t>Penalty for this subsection:</w:t>
      </w:r>
    </w:p>
    <w:p>
      <w:pPr>
        <w:pStyle w:val="Penpara"/>
      </w:pPr>
      <w:r>
        <w:tab/>
        <w:t>(a)</w:t>
      </w:r>
      <w:r>
        <w:tab/>
        <w:t>a fine of $20 000;</w:t>
      </w:r>
    </w:p>
    <w:p>
      <w:pPr>
        <w:pStyle w:val="Penpara"/>
      </w:pPr>
      <w:r>
        <w:tab/>
        <w:t>(b)</w:t>
      </w:r>
      <w:r>
        <w:tab/>
        <w:t xml:space="preserve">for each separate and further offence committed by the betting operator under the </w:t>
      </w:r>
      <w:r>
        <w:rPr>
          <w:i/>
        </w:rPr>
        <w:t>Interpretation Act 1984</w:t>
      </w:r>
      <w:r>
        <w:t xml:space="preserve"> section 71 — a fine of $1 000.</w:t>
      </w:r>
    </w:p>
    <w:p>
      <w:pPr>
        <w:pStyle w:val="Footnotesection"/>
      </w:pPr>
      <w:r>
        <w:tab/>
        <w:t>[Section 14A inserted: No. 29 of 2009 s. 6; amended: No. 37 of 2018 s. 54; No. 41 of 2018 s. 9; No. 53 of 2024 s. 9.]</w:t>
      </w:r>
    </w:p>
    <w:p>
      <w:pPr>
        <w:pStyle w:val="Heading5"/>
      </w:pPr>
      <w:bookmarkStart w:id="104" w:name="_Toc183775694"/>
      <w:bookmarkStart w:id="105" w:name="_Toc183786344"/>
      <w:bookmarkStart w:id="106" w:name="_Toc209874342"/>
      <w:r>
        <w:rPr>
          <w:rStyle w:val="CharSectno"/>
        </w:rPr>
        <w:t>14B</w:t>
      </w:r>
      <w:r>
        <w:t>.</w:t>
      </w:r>
      <w:r>
        <w:tab/>
        <w:t>CEO may assess racing bets levy in certain circumstances</w:t>
      </w:r>
      <w:bookmarkEnd w:id="104"/>
      <w:bookmarkEnd w:id="105"/>
      <w:bookmarkEnd w:id="106"/>
    </w:p>
    <w:p>
      <w:pPr>
        <w:pStyle w:val="Subsection"/>
      </w:pPr>
      <w:r>
        <w:tab/>
        <w:t>(1)</w:t>
      </w:r>
      <w:r>
        <w:tab/>
        <w:t xml:space="preserve">The CEO may, in relation to a betting operator, make an assessment of the amount of racing bets levy payable in relation to a month if — </w:t>
      </w:r>
    </w:p>
    <w:p>
      <w:pPr>
        <w:pStyle w:val="Indenta"/>
      </w:pPr>
      <w:r>
        <w:tab/>
        <w:t>(a)</w:t>
      </w:r>
      <w:r>
        <w:tab/>
        <w:t xml:space="preserve">the betting operator has failed to — </w:t>
      </w:r>
    </w:p>
    <w:p>
      <w:pPr>
        <w:pStyle w:val="Indenti"/>
      </w:pPr>
      <w:r>
        <w:tab/>
        <w:t>(i)</w:t>
      </w:r>
      <w:r>
        <w:tab/>
        <w:t>lodge or keep a return or other record; or</w:t>
      </w:r>
    </w:p>
    <w:p>
      <w:pPr>
        <w:pStyle w:val="Indenti"/>
      </w:pPr>
      <w:r>
        <w:tab/>
        <w:t>(ii)</w:t>
      </w:r>
      <w:r>
        <w:tab/>
        <w:t>provide information required under this Act;</w:t>
      </w:r>
    </w:p>
    <w:p>
      <w:pPr>
        <w:pStyle w:val="Indenta"/>
      </w:pPr>
      <w:r>
        <w:tab/>
      </w:r>
      <w:r>
        <w:tab/>
        <w:t>or</w:t>
      </w:r>
    </w:p>
    <w:p>
      <w:pPr>
        <w:pStyle w:val="Indenta"/>
      </w:pPr>
      <w:r>
        <w:tab/>
        <w:t>(b)</w:t>
      </w:r>
      <w:r>
        <w:tab/>
        <w:t xml:space="preserve">the CEO has reason to believe or suspect that — </w:t>
      </w:r>
    </w:p>
    <w:p>
      <w:pPr>
        <w:pStyle w:val="Indenti"/>
      </w:pPr>
      <w:r>
        <w:tab/>
        <w:t>(i)</w:t>
      </w:r>
      <w:r>
        <w:tab/>
        <w:t>a return lodged or other information given by the betting operator is materially incomplete or inaccurate; or</w:t>
      </w:r>
    </w:p>
    <w:p>
      <w:pPr>
        <w:pStyle w:val="Indenti"/>
      </w:pPr>
      <w:r>
        <w:tab/>
        <w:t>(ii)</w:t>
      </w:r>
      <w:r>
        <w:tab/>
        <w:t>the betting operator is liable to pay the levy, even though a return was not lodged; or</w:t>
      </w:r>
    </w:p>
    <w:p>
      <w:pPr>
        <w:pStyle w:val="Indenti"/>
      </w:pPr>
      <w:r>
        <w:tab/>
        <w:t>(iii)</w:t>
      </w:r>
      <w:r>
        <w:tab/>
        <w:t>the betting operator is liable to pay an amount of levy that is different to the amount (if any) indicated by a return.</w:t>
      </w:r>
    </w:p>
    <w:p>
      <w:pPr>
        <w:pStyle w:val="Subsection"/>
      </w:pPr>
      <w:r>
        <w:tab/>
        <w:t>(2)</w:t>
      </w:r>
      <w:r>
        <w:tab/>
        <w:t>The CEO may request further information from the betting operator for the purpose of making an assessment.</w:t>
      </w:r>
    </w:p>
    <w:p>
      <w:pPr>
        <w:pStyle w:val="Subsection"/>
      </w:pPr>
      <w:r>
        <w:tab/>
        <w:t>(3)</w:t>
      </w:r>
      <w:r>
        <w:tab/>
        <w:t xml:space="preserve">The CEO must give written notice of the assessment (an </w:t>
      </w:r>
      <w:r>
        <w:rPr>
          <w:rStyle w:val="CharDefText"/>
        </w:rPr>
        <w:t>assessment notice</w:t>
      </w:r>
      <w:r>
        <w:t>) to the betting operator.</w:t>
      </w:r>
    </w:p>
    <w:p>
      <w:pPr>
        <w:pStyle w:val="Subsection"/>
      </w:pPr>
      <w:r>
        <w:lastRenderedPageBreak/>
        <w:tab/>
        <w:t>(4)</w:t>
      </w:r>
      <w:r>
        <w:tab/>
        <w:t>The CEO may require the betting operator to pay a penalty amount of up to 10% of the amount of the racing bets levy specified in the assessment notice.</w:t>
      </w:r>
    </w:p>
    <w:p>
      <w:pPr>
        <w:pStyle w:val="Subsection"/>
      </w:pPr>
      <w:r>
        <w:tab/>
        <w:t>(5)</w:t>
      </w:r>
      <w:r>
        <w:tab/>
        <w:t xml:space="preserve">The assessment notice must include the following information — </w:t>
      </w:r>
    </w:p>
    <w:p>
      <w:pPr>
        <w:pStyle w:val="Indenta"/>
      </w:pPr>
      <w:r>
        <w:tab/>
        <w:t>(a)</w:t>
      </w:r>
      <w:r>
        <w:tab/>
        <w:t>details of the calculation of the amount of the levy;</w:t>
      </w:r>
    </w:p>
    <w:p>
      <w:pPr>
        <w:pStyle w:val="Indenta"/>
      </w:pPr>
      <w:r>
        <w:tab/>
        <w:t>(b)</w:t>
      </w:r>
      <w:r>
        <w:tab/>
        <w:t>the grounds on which the CEO has made the assessment;</w:t>
      </w:r>
    </w:p>
    <w:p>
      <w:pPr>
        <w:pStyle w:val="Indenta"/>
      </w:pPr>
      <w:r>
        <w:tab/>
        <w:t>(c)</w:t>
      </w:r>
      <w:r>
        <w:tab/>
        <w:t>the penalty amount, if any, required to be paid;</w:t>
      </w:r>
    </w:p>
    <w:p>
      <w:pPr>
        <w:pStyle w:val="Indenta"/>
      </w:pPr>
      <w:r>
        <w:tab/>
        <w:t>(d)</w:t>
      </w:r>
      <w:r>
        <w:tab/>
        <w:t>the date by which the payment of the levy and penalty amount (if any) must be made;</w:t>
      </w:r>
    </w:p>
    <w:p>
      <w:pPr>
        <w:pStyle w:val="Indenta"/>
      </w:pPr>
      <w:r>
        <w:tab/>
        <w:t>(e)</w:t>
      </w:r>
      <w:r>
        <w:tab/>
        <w:t>details of the betting operator’s right to an internal review of the assessment under section 14C.</w:t>
      </w:r>
    </w:p>
    <w:p>
      <w:pPr>
        <w:pStyle w:val="Subsection"/>
      </w:pPr>
      <w:r>
        <w:tab/>
        <w:t>(6)</w:t>
      </w:r>
      <w:r>
        <w:tab/>
        <w:t>A betting operator that receives an assessment notice is liable to pay the CEO in accordance with the notice unless the assessment is varied or revoked under section 14C.</w:t>
      </w:r>
    </w:p>
    <w:p>
      <w:pPr>
        <w:pStyle w:val="Footnotesection"/>
      </w:pPr>
      <w:bookmarkStart w:id="107" w:name="_Toc183775695"/>
      <w:bookmarkStart w:id="108" w:name="_Toc183786345"/>
      <w:r>
        <w:tab/>
        <w:t>[Section 14B inserted: No. 53 of 2024 s. 10.]</w:t>
      </w:r>
    </w:p>
    <w:p>
      <w:pPr>
        <w:pStyle w:val="Heading5"/>
      </w:pPr>
      <w:bookmarkStart w:id="109" w:name="_Toc209874343"/>
      <w:r>
        <w:rPr>
          <w:rStyle w:val="CharSectno"/>
        </w:rPr>
        <w:t>14C</w:t>
      </w:r>
      <w:r>
        <w:t>.</w:t>
      </w:r>
      <w:r>
        <w:tab/>
        <w:t>Review of levy assessments</w:t>
      </w:r>
      <w:bookmarkEnd w:id="107"/>
      <w:bookmarkEnd w:id="108"/>
      <w:bookmarkEnd w:id="109"/>
    </w:p>
    <w:p>
      <w:pPr>
        <w:pStyle w:val="Subsection"/>
      </w:pPr>
      <w:r>
        <w:tab/>
        <w:t>(1)</w:t>
      </w:r>
      <w:r>
        <w:tab/>
        <w:t>A betting operator may, within 14 days of receiving an assessment notice, apply to the CEO for an internal review of the assessment.</w:t>
      </w:r>
    </w:p>
    <w:p>
      <w:pPr>
        <w:pStyle w:val="Subsection"/>
      </w:pPr>
      <w:r>
        <w:tab/>
        <w:t>(2)</w:t>
      </w:r>
      <w:r>
        <w:tab/>
        <w:t xml:space="preserve">An application for internal review must — </w:t>
      </w:r>
    </w:p>
    <w:p>
      <w:pPr>
        <w:pStyle w:val="Indenta"/>
      </w:pPr>
      <w:r>
        <w:tab/>
        <w:t>(a)</w:t>
      </w:r>
      <w:r>
        <w:tab/>
        <w:t>be made in writing; and</w:t>
      </w:r>
    </w:p>
    <w:p>
      <w:pPr>
        <w:pStyle w:val="Indenta"/>
      </w:pPr>
      <w:r>
        <w:tab/>
        <w:t>(b)</w:t>
      </w:r>
      <w:r>
        <w:tab/>
        <w:t>comply with any other requirements prescribed by the regulations.</w:t>
      </w:r>
    </w:p>
    <w:p>
      <w:pPr>
        <w:pStyle w:val="Subsection"/>
      </w:pPr>
      <w:r>
        <w:tab/>
        <w:t>(3)</w:t>
      </w:r>
      <w:r>
        <w:tab/>
        <w:t>The CEO may request further information from the betting operator for the purposes of determining the application.</w:t>
      </w:r>
    </w:p>
    <w:p>
      <w:pPr>
        <w:pStyle w:val="Subsection"/>
      </w:pPr>
      <w:r>
        <w:tab/>
        <w:t>(4)</w:t>
      </w:r>
      <w:r>
        <w:tab/>
        <w:t>In determining the application, the CEO may confirm, vary or revoke the assessment.</w:t>
      </w:r>
    </w:p>
    <w:p>
      <w:pPr>
        <w:pStyle w:val="Subsection"/>
      </w:pPr>
      <w:r>
        <w:lastRenderedPageBreak/>
        <w:tab/>
        <w:t>(5)</w:t>
      </w:r>
      <w:r>
        <w:tab/>
        <w:t>The CEO must give written notice of the determination to the applicant, including the grounds on which the CEO has made the determination.</w:t>
      </w:r>
    </w:p>
    <w:p>
      <w:pPr>
        <w:pStyle w:val="Subsection"/>
      </w:pPr>
      <w:r>
        <w:tab/>
        <w:t>(6)</w:t>
      </w:r>
      <w:r>
        <w:tab/>
        <w:t>A determination to vary or revoke an assessment takes effect on and from the day on which the written notice of the determination is given to the applicant.</w:t>
      </w:r>
    </w:p>
    <w:p>
      <w:pPr>
        <w:pStyle w:val="Footnotesection"/>
      </w:pPr>
      <w:bookmarkStart w:id="110" w:name="_Toc183775696"/>
      <w:bookmarkStart w:id="111" w:name="_Toc183786346"/>
      <w:r>
        <w:tab/>
        <w:t>[Section 14C inserted: No. 53 of 2024 s. 10.]</w:t>
      </w:r>
    </w:p>
    <w:p>
      <w:pPr>
        <w:pStyle w:val="Heading5"/>
      </w:pPr>
      <w:bookmarkStart w:id="112" w:name="_Toc209874344"/>
      <w:r>
        <w:rPr>
          <w:rStyle w:val="CharSectno"/>
        </w:rPr>
        <w:t>14D</w:t>
      </w:r>
      <w:r>
        <w:t>.</w:t>
      </w:r>
      <w:r>
        <w:tab/>
        <w:t>CEO may recover unpaid racing bets levy and other costs</w:t>
      </w:r>
      <w:bookmarkEnd w:id="110"/>
      <w:bookmarkEnd w:id="111"/>
      <w:bookmarkEnd w:id="112"/>
    </w:p>
    <w:p>
      <w:pPr>
        <w:pStyle w:val="Subsection"/>
      </w:pPr>
      <w:r>
        <w:tab/>
        <w:t>(1)</w:t>
      </w:r>
      <w:r>
        <w:tab/>
        <w:t>The CEO may recover unpaid amounts payable under section 14A(2)(b) as a debt in a court of competent jurisdiction.</w:t>
      </w:r>
    </w:p>
    <w:p>
      <w:pPr>
        <w:pStyle w:val="Subsection"/>
      </w:pPr>
      <w:r>
        <w:tab/>
        <w:t>(2)</w:t>
      </w:r>
      <w:r>
        <w:tab/>
        <w:t xml:space="preserve">The CEO may seek an order for the recovery of unpaid amounts specified in the following in a court of competent jurisdiction — </w:t>
      </w:r>
    </w:p>
    <w:p>
      <w:pPr>
        <w:pStyle w:val="Indenta"/>
      </w:pPr>
      <w:r>
        <w:tab/>
        <w:t>(a)</w:t>
      </w:r>
      <w:r>
        <w:tab/>
        <w:t>an assessment notice;</w:t>
      </w:r>
    </w:p>
    <w:p>
      <w:pPr>
        <w:pStyle w:val="Indenta"/>
      </w:pPr>
      <w:r>
        <w:tab/>
        <w:t>(b)</w:t>
      </w:r>
      <w:r>
        <w:tab/>
        <w:t>a notice of a determination under section 14C.</w:t>
      </w:r>
    </w:p>
    <w:p>
      <w:pPr>
        <w:pStyle w:val="Footnotesection"/>
      </w:pPr>
      <w:r>
        <w:tab/>
        <w:t>[Section 14D inserted: No. 53 of 2024 s. 10.]</w:t>
      </w:r>
    </w:p>
    <w:p>
      <w:pPr>
        <w:pStyle w:val="Ednotesection"/>
        <w:ind w:left="890" w:hanging="890"/>
      </w:pPr>
      <w:r>
        <w:t>[</w:t>
      </w:r>
      <w:r>
        <w:rPr>
          <w:b/>
          <w:bCs/>
        </w:rPr>
        <w:t>15,</w:t>
      </w:r>
      <w:r>
        <w:rPr>
          <w:i w:val="0"/>
          <w:iCs/>
        </w:rPr>
        <w:t xml:space="preserve"> </w:t>
      </w:r>
      <w:r>
        <w:rPr>
          <w:b/>
        </w:rPr>
        <w:t>16.</w:t>
      </w:r>
      <w:r>
        <w:rPr>
          <w:b/>
        </w:rPr>
        <w:tab/>
      </w:r>
      <w:r>
        <w:t>Deleted: No. 37 of 2019 s. 55.]</w:t>
      </w:r>
    </w:p>
    <w:p>
      <w:pPr>
        <w:pStyle w:val="Heading5"/>
        <w:spacing w:before="180"/>
        <w:rPr>
          <w:snapToGrid w:val="0"/>
        </w:rPr>
      </w:pPr>
      <w:bookmarkStart w:id="113" w:name="_Toc209874345"/>
      <w:r>
        <w:rPr>
          <w:rStyle w:val="CharSectno"/>
        </w:rPr>
        <w:t>16A</w:t>
      </w:r>
      <w:r>
        <w:rPr>
          <w:snapToGrid w:val="0"/>
        </w:rPr>
        <w:t>.</w:t>
      </w:r>
      <w:r>
        <w:rPr>
          <w:snapToGrid w:val="0"/>
        </w:rPr>
        <w:tab/>
        <w:t>Books of account, records etc.</w:t>
      </w:r>
      <w:bookmarkEnd w:id="113"/>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lastRenderedPageBreak/>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w:t>
      </w:r>
      <w:r>
        <w:rPr>
          <w:snapToGrid w:val="0"/>
        </w:rPr>
        <w:lastRenderedPageBreak/>
        <w:t xml:space="preserve">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14" w:name="_Toc209874346"/>
      <w:r>
        <w:rPr>
          <w:rStyle w:val="CharSectno"/>
        </w:rPr>
        <w:lastRenderedPageBreak/>
        <w:t>17</w:t>
      </w:r>
      <w:r>
        <w:rPr>
          <w:snapToGrid w:val="0"/>
        </w:rPr>
        <w:t>.</w:t>
      </w:r>
      <w:r>
        <w:rPr>
          <w:snapToGrid w:val="0"/>
        </w:rPr>
        <w:tab/>
        <w:t>Effect on annual licence fee of not being entitled to receive or retain consideration</w:t>
      </w:r>
      <w:bookmarkEnd w:id="114"/>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15" w:name="_Toc209874347"/>
      <w:r>
        <w:rPr>
          <w:rStyle w:val="CharSectno"/>
        </w:rPr>
        <w:t>17A</w:t>
      </w:r>
      <w:r>
        <w:rPr>
          <w:snapToGrid w:val="0"/>
        </w:rPr>
        <w:t>.</w:t>
      </w:r>
      <w:r>
        <w:rPr>
          <w:snapToGrid w:val="0"/>
        </w:rPr>
        <w:tab/>
        <w:t>Annual licence fee in respect of totalisators</w:t>
      </w:r>
      <w:bookmarkEnd w:id="115"/>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lastRenderedPageBreak/>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16" w:name="_Toc209874348"/>
      <w:r>
        <w:rPr>
          <w:rStyle w:val="CharSectno"/>
        </w:rPr>
        <w:t>17B</w:t>
      </w:r>
      <w:r>
        <w:rPr>
          <w:snapToGrid w:val="0"/>
        </w:rPr>
        <w:t>.</w:t>
      </w:r>
      <w:r>
        <w:rPr>
          <w:snapToGrid w:val="0"/>
        </w:rPr>
        <w:tab/>
        <w:t>Use of the totalisator by racing clubs</w:t>
      </w:r>
      <w:bookmarkEnd w:id="116"/>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lastRenderedPageBreak/>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w:t>
      </w:r>
      <w:r>
        <w:rPr>
          <w:snapToGrid w:val="0"/>
        </w:rPr>
        <w:lastRenderedPageBreak/>
        <w:t>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17" w:name="_Toc209874349"/>
      <w:r>
        <w:rPr>
          <w:rStyle w:val="CharSectno"/>
        </w:rPr>
        <w:lastRenderedPageBreak/>
        <w:t>17C</w:t>
      </w:r>
      <w:r>
        <w:rPr>
          <w:snapToGrid w:val="0"/>
        </w:rPr>
        <w:t>.</w:t>
      </w:r>
      <w:r>
        <w:rPr>
          <w:snapToGrid w:val="0"/>
        </w:rPr>
        <w:tab/>
        <w:t>Making of bets on designated sporting events not authorised</w:t>
      </w:r>
      <w:bookmarkEnd w:id="117"/>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18" w:name="_Toc209874350"/>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18"/>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19" w:name="_Toc209874351"/>
      <w:r>
        <w:rPr>
          <w:rStyle w:val="CharSectno"/>
        </w:rPr>
        <w:t>17E</w:t>
      </w:r>
      <w:r>
        <w:rPr>
          <w:snapToGrid w:val="0"/>
        </w:rPr>
        <w:t>.</w:t>
      </w:r>
      <w:r>
        <w:rPr>
          <w:snapToGrid w:val="0"/>
        </w:rPr>
        <w:tab/>
        <w:t>Percentage of off course bets to belong to RWWA</w:t>
      </w:r>
      <w:bookmarkEnd w:id="119"/>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lastRenderedPageBreak/>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20" w:name="_Toc209874352"/>
      <w:r>
        <w:rPr>
          <w:rStyle w:val="CharSectno"/>
        </w:rPr>
        <w:t>17EA</w:t>
      </w:r>
      <w:r>
        <w:t>.</w:t>
      </w:r>
      <w:r>
        <w:tab/>
        <w:t xml:space="preserve">Management of fixed odds </w:t>
      </w:r>
      <w:r>
        <w:rPr>
          <w:snapToGrid w:val="0"/>
        </w:rPr>
        <w:t>—</w:t>
      </w:r>
      <w:r>
        <w:t xml:space="preserve"> prescribed margin</w:t>
      </w:r>
      <w:bookmarkEnd w:id="120"/>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lastRenderedPageBreak/>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8.75pt" o:ole="">
            <v:imagedata r:id="rId21" o:title=""/>
          </v:shape>
          <o:OLEObject Type="Embed" ProgID="Equation.3" ShapeID="_x0000_i1025" DrawAspect="Content" ObjectID="_1820732589" r:id="rId22"/>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21" w:name="_Toc209874353"/>
      <w:r>
        <w:rPr>
          <w:rStyle w:val="CharSectno"/>
        </w:rPr>
        <w:t>17F</w:t>
      </w:r>
      <w:r>
        <w:rPr>
          <w:snapToGrid w:val="0"/>
        </w:rPr>
        <w:t>.</w:t>
      </w:r>
      <w:r>
        <w:rPr>
          <w:snapToGrid w:val="0"/>
        </w:rPr>
        <w:tab/>
        <w:t>Percentage of bets to belong to racing club</w:t>
      </w:r>
      <w:bookmarkEnd w:id="121"/>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22" w:name="_Toc209874354"/>
      <w:r>
        <w:rPr>
          <w:rStyle w:val="CharSectno"/>
        </w:rPr>
        <w:lastRenderedPageBreak/>
        <w:t>18B</w:t>
      </w:r>
      <w:r>
        <w:rPr>
          <w:snapToGrid w:val="0"/>
        </w:rPr>
        <w:t>.</w:t>
      </w:r>
      <w:r>
        <w:rPr>
          <w:snapToGrid w:val="0"/>
        </w:rPr>
        <w:tab/>
        <w:t>Assessment of annual licence fee</w:t>
      </w:r>
      <w:bookmarkEnd w:id="122"/>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w:t>
      </w:r>
      <w:r>
        <w:rPr>
          <w:snapToGrid w:val="0"/>
        </w:rPr>
        <w:lastRenderedPageBreak/>
        <w:t xml:space="preserve">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23" w:name="_Toc183787044"/>
      <w:bookmarkStart w:id="124" w:name="_Toc183787798"/>
      <w:bookmarkStart w:id="125" w:name="_Toc184025062"/>
      <w:bookmarkStart w:id="126" w:name="_Toc184035381"/>
      <w:bookmarkStart w:id="127" w:name="_Toc209874355"/>
      <w:r>
        <w:rPr>
          <w:rStyle w:val="CharPartNo"/>
        </w:rPr>
        <w:lastRenderedPageBreak/>
        <w:t>Part 4</w:t>
      </w:r>
      <w:r>
        <w:rPr>
          <w:b w:val="0"/>
        </w:rPr>
        <w:t> </w:t>
      </w:r>
      <w:r>
        <w:t>—</w:t>
      </w:r>
      <w:r>
        <w:rPr>
          <w:b w:val="0"/>
        </w:rPr>
        <w:t> </w:t>
      </w:r>
      <w:r>
        <w:rPr>
          <w:rStyle w:val="CharPartText"/>
        </w:rPr>
        <w:t>Enforcement and offences</w:t>
      </w:r>
      <w:bookmarkEnd w:id="123"/>
      <w:bookmarkEnd w:id="124"/>
      <w:bookmarkEnd w:id="125"/>
      <w:bookmarkEnd w:id="126"/>
      <w:bookmarkEnd w:id="127"/>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28" w:name="_Toc209874356"/>
      <w:r>
        <w:rPr>
          <w:rStyle w:val="CharSectno"/>
        </w:rPr>
        <w:t>19A</w:t>
      </w:r>
      <w:r>
        <w:rPr>
          <w:snapToGrid w:val="0"/>
        </w:rPr>
        <w:t>.</w:t>
      </w:r>
      <w:r>
        <w:rPr>
          <w:snapToGrid w:val="0"/>
        </w:rPr>
        <w:tab/>
      </w:r>
      <w:r>
        <w:t>Commission</w:t>
      </w:r>
      <w:r>
        <w:rPr>
          <w:snapToGrid w:val="0"/>
        </w:rPr>
        <w:t xml:space="preserve"> may recover unpaid money in respect of annual licence fee</w:t>
      </w:r>
      <w:bookmarkEnd w:id="12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29" w:name="_Toc209874357"/>
      <w:r>
        <w:rPr>
          <w:rStyle w:val="CharSectno"/>
        </w:rPr>
        <w:t>20</w:t>
      </w:r>
      <w:r>
        <w:t>.</w:t>
      </w:r>
      <w:r>
        <w:tab/>
        <w:t>Entry and inspection of racecourses and certain other premises</w:t>
      </w:r>
      <w:bookmarkEnd w:id="129"/>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lastRenderedPageBreak/>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lastRenderedPageBreak/>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30" w:name="_Toc209874358"/>
      <w:r>
        <w:rPr>
          <w:rStyle w:val="CharSectno"/>
        </w:rPr>
        <w:t>20A</w:t>
      </w:r>
      <w:r>
        <w:t>.</w:t>
      </w:r>
      <w:r>
        <w:tab/>
        <w:t>Powers of Commission representative</w:t>
      </w:r>
      <w:bookmarkEnd w:id="13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 xml:space="preserve">to give the Commission representative any information, record or other thing in the person’s </w:t>
      </w:r>
      <w:r>
        <w:lastRenderedPageBreak/>
        <w:t>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A person must comply with a requirement under subsection (1)(f).</w:t>
      </w:r>
    </w:p>
    <w:p>
      <w:pPr>
        <w:pStyle w:val="Penstart"/>
      </w:pPr>
      <w:r>
        <w:tab/>
        <w:t>Penalty for this subsection: a fine of $20 000.</w:t>
      </w:r>
    </w:p>
    <w:p>
      <w:pPr>
        <w:pStyle w:val="Subsection"/>
      </w:pPr>
      <w:r>
        <w:tab/>
        <w:t>(2A)</w:t>
      </w:r>
      <w:r>
        <w:tab/>
        <w:t xml:space="preserve">A person must not — </w:t>
      </w:r>
    </w:p>
    <w:p>
      <w:pPr>
        <w:pStyle w:val="Indenta"/>
      </w:pPr>
      <w:r>
        <w:tab/>
        <w:t>(a)</w:t>
      </w:r>
      <w:r>
        <w:tab/>
        <w:t xml:space="preserve">give a Commission representative information that the person knows to be false or misleading in a material particular; or </w:t>
      </w:r>
    </w:p>
    <w:p>
      <w:pPr>
        <w:pStyle w:val="Indenta"/>
      </w:pPr>
      <w:r>
        <w:tab/>
        <w:t>(b)</w:t>
      </w:r>
      <w:r>
        <w:tab/>
        <w:t>hinder, delay or obstruct a Commission representative in carrying out functions under this section.</w:t>
      </w:r>
    </w:p>
    <w:p>
      <w:pPr>
        <w:pStyle w:val="Penstart"/>
      </w:pPr>
      <w:r>
        <w:tab/>
        <w:t>Penalty for this subsection: a fine of $100 000.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 No. 53 of 2024 s. 11.]</w:t>
      </w:r>
    </w:p>
    <w:p>
      <w:pPr>
        <w:pStyle w:val="Heading5"/>
        <w:keepNext w:val="0"/>
        <w:keepLines w:val="0"/>
        <w:spacing w:before="120"/>
      </w:pPr>
      <w:bookmarkStart w:id="131" w:name="_Toc209874359"/>
      <w:r>
        <w:rPr>
          <w:rStyle w:val="CharSectno"/>
        </w:rPr>
        <w:t>20B</w:t>
      </w:r>
      <w:r>
        <w:t>.</w:t>
      </w:r>
      <w:r>
        <w:tab/>
        <w:t>Requirement to provide information</w:t>
      </w:r>
      <w:bookmarkEnd w:id="13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lastRenderedPageBreak/>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lastRenderedPageBreak/>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$20 000.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 No. 53 of 2024 s. 23.]</w:t>
      </w:r>
    </w:p>
    <w:p>
      <w:pPr>
        <w:pStyle w:val="Heading5"/>
      </w:pPr>
      <w:bookmarkStart w:id="132" w:name="_Toc209874360"/>
      <w:r>
        <w:rPr>
          <w:rStyle w:val="CharSectno"/>
        </w:rPr>
        <w:t>20C</w:t>
      </w:r>
      <w:r>
        <w:t>.</w:t>
      </w:r>
      <w:r>
        <w:tab/>
        <w:t>Complying with information requirements</w:t>
      </w:r>
      <w:bookmarkEnd w:id="13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33" w:name="_Toc209874361"/>
      <w:r>
        <w:rPr>
          <w:rStyle w:val="CharSectno"/>
        </w:rPr>
        <w:t>21</w:t>
      </w:r>
      <w:r>
        <w:rPr>
          <w:snapToGrid w:val="0"/>
        </w:rPr>
        <w:t>.</w:t>
      </w:r>
      <w:r>
        <w:rPr>
          <w:snapToGrid w:val="0"/>
        </w:rPr>
        <w:tab/>
        <w:t>Prohibition of betting with minors, intoxicated persons, etc.</w:t>
      </w:r>
      <w:bookmarkEnd w:id="13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lastRenderedPageBreak/>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lastRenderedPageBreak/>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34" w:name="_Toc209874362"/>
      <w:r>
        <w:rPr>
          <w:rStyle w:val="CharSectno"/>
        </w:rPr>
        <w:t>22</w:t>
      </w:r>
      <w:r>
        <w:rPr>
          <w:snapToGrid w:val="0"/>
        </w:rPr>
        <w:t>.</w:t>
      </w:r>
      <w:r>
        <w:rPr>
          <w:snapToGrid w:val="0"/>
        </w:rPr>
        <w:tab/>
        <w:t>Offences by minors</w:t>
      </w:r>
      <w:bookmarkEnd w:id="134"/>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lastRenderedPageBreak/>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$2 000.</w:t>
      </w:r>
    </w:p>
    <w:p>
      <w:pPr>
        <w:pStyle w:val="Footnotesection"/>
      </w:pPr>
      <w:r>
        <w:tab/>
        <w:t xml:space="preserve">[Section 22 amended: No. 113 of 1965 s. 8(1); No. 46 of 1972 s. 6; No. 11 of 1992 s. 44 and 62; No. 63 of 1995 s. 66; No. 13 of 2002 s. 21; No. 35 of 2003 s. 103; No. 8 of 2007 s. 9; No. 41 of 2018 s. 15(1); No. 53 of 2024 s. 23.] </w:t>
      </w:r>
    </w:p>
    <w:p>
      <w:pPr>
        <w:pStyle w:val="Heading5"/>
      </w:pPr>
      <w:bookmarkStart w:id="135" w:name="_Toc209874363"/>
      <w:r>
        <w:rPr>
          <w:rStyle w:val="CharSectno"/>
        </w:rPr>
        <w:t>22A</w:t>
      </w:r>
      <w:r>
        <w:t>.</w:t>
      </w:r>
      <w:r>
        <w:tab/>
        <w:t>Prohibition on assisting minors to bet</w:t>
      </w:r>
      <w:bookmarkEnd w:id="135"/>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lastRenderedPageBreak/>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$10 000.</w:t>
      </w:r>
    </w:p>
    <w:p>
      <w:pPr>
        <w:pStyle w:val="Footnotesection"/>
      </w:pPr>
      <w:r>
        <w:tab/>
        <w:t>[Section 22A inserted: No. 8 of 2007 s. 10; amended: No. 41 of 2018 s. 15(3); No. 53 of 2024 s. 23.]</w:t>
      </w:r>
    </w:p>
    <w:p>
      <w:pPr>
        <w:pStyle w:val="Heading5"/>
        <w:spacing w:before="180"/>
        <w:rPr>
          <w:snapToGrid w:val="0"/>
        </w:rPr>
      </w:pPr>
      <w:bookmarkStart w:id="136" w:name="_Toc209874364"/>
      <w:r>
        <w:rPr>
          <w:rStyle w:val="CharSectno"/>
        </w:rPr>
        <w:t>23</w:t>
      </w:r>
      <w:r>
        <w:rPr>
          <w:snapToGrid w:val="0"/>
        </w:rPr>
        <w:t>.</w:t>
      </w:r>
      <w:r>
        <w:rPr>
          <w:snapToGrid w:val="0"/>
        </w:rPr>
        <w:tab/>
        <w:t>Prohibition of betting unless in accordance with this Act</w:t>
      </w:r>
      <w:bookmarkEnd w:id="136"/>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lastRenderedPageBreak/>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$100 000.</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$20 000.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No. 53 of 2024 s. 12 and 23.] </w:t>
      </w:r>
    </w:p>
    <w:p>
      <w:pPr>
        <w:pStyle w:val="Heading5"/>
        <w:rPr>
          <w:snapToGrid w:val="0"/>
        </w:rPr>
      </w:pPr>
      <w:bookmarkStart w:id="137" w:name="_Toc209874365"/>
      <w:r>
        <w:rPr>
          <w:rStyle w:val="CharSectno"/>
        </w:rPr>
        <w:t>24</w:t>
      </w:r>
      <w:r>
        <w:rPr>
          <w:snapToGrid w:val="0"/>
        </w:rPr>
        <w:t>.</w:t>
      </w:r>
      <w:r>
        <w:rPr>
          <w:snapToGrid w:val="0"/>
        </w:rPr>
        <w:tab/>
        <w:t>Unlawful betting</w:t>
      </w:r>
      <w:bookmarkEnd w:id="137"/>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lastRenderedPageBreak/>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pPr>
      <w:r>
        <w:tab/>
        <w:t>Penalty for this subsection: a fine of $100 000.</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lastRenderedPageBreak/>
        <w:tab/>
        <w:t xml:space="preserve">[Section 24 inserted: No. 63 of 1995 s. 68; amended: No. 17 of 1998 s. 20; No. 84 of 2004 s. 80 and 82; No. 70 of 2006 s. 7; No. 29 of 2009 s. 10; No. 41 of 2018 s. 10 and 15(1); No. 53 of 2024 s. 13.] </w:t>
      </w:r>
    </w:p>
    <w:p>
      <w:pPr>
        <w:pStyle w:val="Heading5"/>
        <w:rPr>
          <w:snapToGrid w:val="0"/>
        </w:rPr>
      </w:pPr>
      <w:bookmarkStart w:id="138" w:name="_Toc209874366"/>
      <w:r>
        <w:rPr>
          <w:rStyle w:val="CharSectno"/>
        </w:rPr>
        <w:t>25</w:t>
      </w:r>
      <w:r>
        <w:rPr>
          <w:snapToGrid w:val="0"/>
        </w:rPr>
        <w:t>.</w:t>
      </w:r>
      <w:r>
        <w:rPr>
          <w:snapToGrid w:val="0"/>
        </w:rPr>
        <w:tab/>
        <w:t>Bookmakers may be ordered not to bet</w:t>
      </w:r>
      <w:bookmarkEnd w:id="138"/>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$20 000.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No. 53 of 2024 s. 23.] </w:t>
      </w:r>
    </w:p>
    <w:p>
      <w:pPr>
        <w:pStyle w:val="Heading5"/>
        <w:rPr>
          <w:snapToGrid w:val="0"/>
        </w:rPr>
      </w:pPr>
      <w:bookmarkStart w:id="139" w:name="_Toc209874367"/>
      <w:r>
        <w:rPr>
          <w:rStyle w:val="CharSectno"/>
        </w:rPr>
        <w:lastRenderedPageBreak/>
        <w:t>26</w:t>
      </w:r>
      <w:r>
        <w:rPr>
          <w:snapToGrid w:val="0"/>
        </w:rPr>
        <w:t>.</w:t>
      </w:r>
      <w:r>
        <w:rPr>
          <w:snapToGrid w:val="0"/>
        </w:rPr>
        <w:tab/>
        <w:t>Loitering in street or public place</w:t>
      </w:r>
      <w:bookmarkEnd w:id="13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$2 000.</w:t>
      </w:r>
    </w:p>
    <w:p>
      <w:pPr>
        <w:pStyle w:val="Footnotesection"/>
      </w:pPr>
      <w:r>
        <w:tab/>
        <w:t xml:space="preserve">[Section 26 inserted: No. 63 of 1995 s. 70; amended: No. 41 of 2018 s. 15(3); No. 53 of 2024 s. 23.] </w:t>
      </w:r>
    </w:p>
    <w:p>
      <w:pPr>
        <w:pStyle w:val="Heading5"/>
        <w:rPr>
          <w:snapToGrid w:val="0"/>
        </w:rPr>
      </w:pPr>
      <w:bookmarkStart w:id="140" w:name="_Toc209874368"/>
      <w:r>
        <w:rPr>
          <w:rStyle w:val="CharSectno"/>
        </w:rPr>
        <w:t>26A</w:t>
      </w:r>
      <w:r>
        <w:rPr>
          <w:snapToGrid w:val="0"/>
        </w:rPr>
        <w:t>.</w:t>
      </w:r>
      <w:r>
        <w:rPr>
          <w:snapToGrid w:val="0"/>
        </w:rPr>
        <w:tab/>
        <w:t>Removal of persons</w:t>
      </w:r>
      <w:bookmarkEnd w:id="140"/>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$10 000.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lastRenderedPageBreak/>
        <w:tab/>
        <w:t xml:space="preserve">[Section 26A inserted: No. 63 of 1995 s. 71; amended: No. 41 of 2018 s. 15(1); No. 53 of 2024 s. 23.] </w:t>
      </w:r>
    </w:p>
    <w:p>
      <w:pPr>
        <w:pStyle w:val="Heading5"/>
        <w:rPr>
          <w:snapToGrid w:val="0"/>
        </w:rPr>
      </w:pPr>
      <w:bookmarkStart w:id="141" w:name="_Toc209874369"/>
      <w:r>
        <w:rPr>
          <w:rStyle w:val="CharSectno"/>
        </w:rPr>
        <w:t>26B</w:t>
      </w:r>
      <w:r>
        <w:rPr>
          <w:snapToGrid w:val="0"/>
        </w:rPr>
        <w:t>.</w:t>
      </w:r>
      <w:r>
        <w:rPr>
          <w:snapToGrid w:val="0"/>
        </w:rPr>
        <w:tab/>
        <w:t>Penalty for persons warning offenders of approach of member of Police Force</w:t>
      </w:r>
      <w:bookmarkEnd w:id="141"/>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$20 000.</w:t>
      </w:r>
    </w:p>
    <w:p>
      <w:pPr>
        <w:pStyle w:val="Footnotesection"/>
        <w:ind w:left="890" w:hanging="890"/>
      </w:pPr>
      <w:r>
        <w:tab/>
        <w:t xml:space="preserve">[Section 26B inserted: No. 63 of 1995 s. 72; amended: No. 41 of 2018 s. 15(3); No. 53 of 2024 s. 23.] </w:t>
      </w:r>
    </w:p>
    <w:p>
      <w:pPr>
        <w:pStyle w:val="Heading5"/>
        <w:keepNext w:val="0"/>
        <w:keepLines w:val="0"/>
        <w:spacing w:before="240"/>
        <w:rPr>
          <w:snapToGrid w:val="0"/>
        </w:rPr>
      </w:pPr>
      <w:bookmarkStart w:id="142" w:name="_Toc209874370"/>
      <w:r>
        <w:rPr>
          <w:rStyle w:val="CharSectno"/>
        </w:rPr>
        <w:t>26C</w:t>
      </w:r>
      <w:r>
        <w:rPr>
          <w:snapToGrid w:val="0"/>
        </w:rPr>
        <w:t>.</w:t>
      </w:r>
      <w:r>
        <w:rPr>
          <w:snapToGrid w:val="0"/>
        </w:rPr>
        <w:tab/>
        <w:t>Unlawful betting on licensed premises</w:t>
      </w:r>
      <w:bookmarkEnd w:id="1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$20 000;</w:t>
      </w:r>
    </w:p>
    <w:p>
      <w:pPr>
        <w:pStyle w:val="Penpara"/>
      </w:pPr>
      <w:r>
        <w:tab/>
        <w:t>(b)</w:t>
      </w:r>
      <w:r>
        <w:tab/>
        <w:t>in the case of an employee or agent, a fine of $10 000.</w:t>
      </w:r>
    </w:p>
    <w:p>
      <w:pPr>
        <w:pStyle w:val="Subsection"/>
        <w:spacing w:before="120"/>
        <w:rPr>
          <w:snapToGrid w:val="0"/>
        </w:rPr>
      </w:pPr>
      <w:r>
        <w:rPr>
          <w:snapToGrid w:val="0"/>
        </w:rPr>
        <w:tab/>
        <w:t>(2)</w:t>
      </w:r>
      <w:r>
        <w:rPr>
          <w:snapToGrid w:val="0"/>
        </w:rPr>
        <w:tab/>
        <w:t xml:space="preserve">In any proceedings against a person under subsection (1), any statement made by the person convicted for the offence under section 23 or 24, as to the place where the offence was </w:t>
      </w:r>
      <w:r>
        <w:rPr>
          <w:snapToGrid w:val="0"/>
        </w:rPr>
        <w:lastRenderedPageBreak/>
        <w:t>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lastRenderedPageBreak/>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No. 53 of 2024 s. 23.] </w:t>
      </w:r>
    </w:p>
    <w:p>
      <w:pPr>
        <w:pStyle w:val="Heading5"/>
        <w:keepNext w:val="0"/>
        <w:keepLines w:val="0"/>
        <w:spacing w:before="180"/>
      </w:pPr>
      <w:bookmarkStart w:id="143" w:name="_Toc209874371"/>
      <w:r>
        <w:rPr>
          <w:rStyle w:val="CharSectno"/>
        </w:rPr>
        <w:t>27</w:t>
      </w:r>
      <w:r>
        <w:t>.</w:t>
      </w:r>
      <w:r>
        <w:tab/>
        <w:t>Penalty on owner or occupier of premises used for unlawful betting</w:t>
      </w:r>
      <w:bookmarkEnd w:id="143"/>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lastRenderedPageBreak/>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$50 000.</w:t>
      </w:r>
    </w:p>
    <w:p>
      <w:pPr>
        <w:pStyle w:val="Footnotesection"/>
      </w:pPr>
      <w:r>
        <w:tab/>
        <w:t>[Section 27 inserted: No. 35 of 2003 s. 89; amended: No. 41 of 2018 s. 15(3); No. 21 of 2019 s. 80; No. 53 of 2024 s. 14.]</w:t>
      </w:r>
    </w:p>
    <w:p>
      <w:pPr>
        <w:pStyle w:val="Heading5"/>
        <w:spacing w:before="180"/>
      </w:pPr>
      <w:bookmarkStart w:id="144" w:name="_Toc209874372"/>
      <w:r>
        <w:rPr>
          <w:rStyle w:val="CharSectno"/>
        </w:rPr>
        <w:t>27A</w:t>
      </w:r>
      <w:r>
        <w:t>.</w:t>
      </w:r>
      <w:r>
        <w:tab/>
        <w:t>Interstate and offshore betting</w:t>
      </w:r>
      <w:bookmarkEnd w:id="144"/>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lastRenderedPageBreak/>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$10 000.</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$10 000.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$50 000.</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$50 000.</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$10 000.</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lastRenderedPageBreak/>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 No. 53 of 2024 s. 15 and 23.]</w:t>
      </w:r>
    </w:p>
    <w:p>
      <w:pPr>
        <w:pStyle w:val="Ednotesection"/>
        <w:spacing w:before="180"/>
      </w:pPr>
      <w:r>
        <w:t>[</w:t>
      </w:r>
      <w:r>
        <w:rPr>
          <w:b/>
          <w:bCs/>
        </w:rPr>
        <w:t>27B, 27C.</w:t>
      </w:r>
      <w:r>
        <w:tab/>
        <w:t>Deleted: No. 29 of 2009 s. 12.]</w:t>
      </w:r>
    </w:p>
    <w:p>
      <w:pPr>
        <w:pStyle w:val="Heading5"/>
        <w:spacing w:before="180"/>
      </w:pPr>
      <w:bookmarkStart w:id="145" w:name="_Toc209874373"/>
      <w:r>
        <w:rPr>
          <w:rStyle w:val="CharSectno"/>
        </w:rPr>
        <w:t>27D</w:t>
      </w:r>
      <w:r>
        <w:t>.</w:t>
      </w:r>
      <w:r>
        <w:tab/>
        <w:t>Publication of WA race fields restricted</w:t>
      </w:r>
      <w:bookmarkEnd w:id="145"/>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lastRenderedPageBreak/>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$50 000.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lastRenderedPageBreak/>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 No. 53 of 2024 s. 23.]</w:t>
      </w:r>
    </w:p>
    <w:p>
      <w:pPr>
        <w:pStyle w:val="Heading5"/>
        <w:spacing w:before="180"/>
      </w:pPr>
      <w:bookmarkStart w:id="146" w:name="_Toc209874374"/>
      <w:r>
        <w:rPr>
          <w:rStyle w:val="CharSectno"/>
        </w:rPr>
        <w:t>27E</w:t>
      </w:r>
      <w:r>
        <w:t>.</w:t>
      </w:r>
      <w:r>
        <w:tab/>
        <w:t>Confidentiality</w:t>
      </w:r>
      <w:bookmarkEnd w:id="146"/>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lastRenderedPageBreak/>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 No. 53 of 2024 s. 16.]</w:t>
      </w:r>
    </w:p>
    <w:p>
      <w:pPr>
        <w:pStyle w:val="Heading5"/>
      </w:pPr>
      <w:bookmarkStart w:id="147" w:name="_Toc209874375"/>
      <w:r>
        <w:rPr>
          <w:rStyle w:val="CharSectno"/>
        </w:rPr>
        <w:lastRenderedPageBreak/>
        <w:t>27F</w:t>
      </w:r>
      <w:r>
        <w:t>.</w:t>
      </w:r>
      <w:r>
        <w:tab/>
        <w:t>Authorisation of publication of WA race fields by domestic betting operators</w:t>
      </w:r>
      <w:bookmarkEnd w:id="147"/>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 xml:space="preserve">If the Commission decides to cancel or suspend the authorisation of a domestic betting operator, the Commission is </w:t>
      </w:r>
      <w:r>
        <w:lastRenderedPageBreak/>
        <w:t>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148" w:name="_Toc209874376"/>
      <w:r>
        <w:rPr>
          <w:rStyle w:val="CharSectno"/>
        </w:rPr>
        <w:t>27G</w:t>
      </w:r>
      <w:r>
        <w:t>.</w:t>
      </w:r>
      <w:r>
        <w:tab/>
        <w:t>Liability of officers for offence by body corporate</w:t>
      </w:r>
      <w:bookmarkEnd w:id="14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11C(9) and (13)</w:t>
            </w:r>
          </w:p>
        </w:tc>
        <w:tc>
          <w:tcPr>
            <w:tcW w:w="2410" w:type="dxa"/>
            <w:noWrap/>
          </w:tcPr>
          <w:p>
            <w:pPr>
              <w:pStyle w:val="TableNAm"/>
            </w:pPr>
            <w:r>
              <w:t>s. 11E(5)</w:t>
            </w:r>
          </w:p>
        </w:tc>
      </w:tr>
      <w:tr>
        <w:trPr>
          <w:cantSplit/>
        </w:trPr>
        <w:tc>
          <w:tcPr>
            <w:tcW w:w="2409" w:type="dxa"/>
            <w:noWrap/>
          </w:tcPr>
          <w:p>
            <w:pPr>
              <w:pStyle w:val="TableNAm"/>
            </w:pPr>
            <w:r>
              <w:t>s. 11G(1) and (2)</w:t>
            </w:r>
          </w:p>
        </w:tc>
        <w:tc>
          <w:tcPr>
            <w:tcW w:w="2410" w:type="dxa"/>
            <w:noWrap/>
          </w:tcPr>
          <w:p>
            <w:pPr>
              <w:pStyle w:val="TableNAm"/>
            </w:pPr>
            <w:r>
              <w:t>s. 14A(2)</w:t>
            </w:r>
          </w:p>
        </w:tc>
      </w:tr>
      <w:tr>
        <w:trPr>
          <w:cantSplit/>
        </w:trPr>
        <w:tc>
          <w:tcPr>
            <w:tcW w:w="2409" w:type="dxa"/>
            <w:noWrap/>
          </w:tcPr>
          <w:p>
            <w:pPr>
              <w:pStyle w:val="TableNAm"/>
            </w:pPr>
            <w:r>
              <w:t>s. 20A(2) and (2A)</w:t>
            </w:r>
          </w:p>
        </w:tc>
        <w:tc>
          <w:tcPr>
            <w:tcW w:w="2410" w:type="dxa"/>
            <w:noWrap/>
          </w:tcPr>
          <w:p>
            <w:pPr>
              <w:pStyle w:val="TableNAm"/>
            </w:pPr>
            <w:r>
              <w:t>s. 20B(6)</w:t>
            </w:r>
          </w:p>
        </w:tc>
      </w:tr>
      <w:tr>
        <w:trPr>
          <w:cantSplit/>
        </w:trPr>
        <w:tc>
          <w:tcPr>
            <w:tcW w:w="2409" w:type="dxa"/>
            <w:noWrap/>
          </w:tcPr>
          <w:p>
            <w:pPr>
              <w:pStyle w:val="TableNAm"/>
            </w:pPr>
            <w:r>
              <w:t>s. 23(1)</w:t>
            </w:r>
          </w:p>
        </w:tc>
        <w:tc>
          <w:tcPr>
            <w:tcW w:w="2410" w:type="dxa"/>
            <w:noWrap/>
          </w:tcPr>
          <w:p>
            <w:pPr>
              <w:pStyle w:val="TableNAm"/>
            </w:pPr>
            <w:r>
              <w:t>s. 24(1)</w:t>
            </w:r>
          </w:p>
        </w:tc>
      </w:tr>
      <w:tr>
        <w:trPr>
          <w:cantSplit/>
        </w:trPr>
        <w:tc>
          <w:tcPr>
            <w:tcW w:w="2409" w:type="dxa"/>
            <w:noWrap/>
          </w:tcPr>
          <w:p>
            <w:pPr>
              <w:pStyle w:val="TableNAm"/>
            </w:pPr>
            <w:r>
              <w:t>s. 26C(1)</w:t>
            </w:r>
          </w:p>
        </w:tc>
        <w:tc>
          <w:tcPr>
            <w:tcW w:w="2410" w:type="dxa"/>
            <w:noWrap/>
          </w:tcPr>
          <w:p>
            <w:pPr>
              <w:pStyle w:val="TableNAm"/>
            </w:pPr>
            <w:r>
              <w:t>s. 27</w:t>
            </w:r>
          </w:p>
        </w:tc>
      </w:tr>
      <w:tr>
        <w:trPr>
          <w:cantSplit/>
        </w:trPr>
        <w:tc>
          <w:tcPr>
            <w:tcW w:w="2409" w:type="dxa"/>
            <w:noWrap/>
          </w:tcPr>
          <w:p>
            <w:pPr>
              <w:pStyle w:val="TableNAm"/>
            </w:pPr>
            <w:r>
              <w:t>s. 27A(2), (2B), (2C) and (3)</w:t>
            </w:r>
          </w:p>
        </w:tc>
        <w:tc>
          <w:tcPr>
            <w:tcW w:w="2410" w:type="dxa"/>
            <w:noWrap/>
          </w:tcPr>
          <w:p>
            <w:pPr>
              <w:pStyle w:val="TableNAm"/>
            </w:pPr>
            <w:r>
              <w:t>s. 27D(2A)</w:t>
            </w:r>
          </w:p>
        </w:tc>
      </w:tr>
      <w:tr>
        <w:trPr>
          <w:cantSplit/>
        </w:trPr>
        <w:tc>
          <w:tcPr>
            <w:tcW w:w="2409" w:type="dxa"/>
            <w:noWrap/>
          </w:tcPr>
          <w:p>
            <w:pPr>
              <w:pStyle w:val="TableNAm"/>
            </w:pPr>
            <w:r>
              <w:t>s. 28C</w:t>
            </w:r>
          </w:p>
        </w:tc>
        <w:tc>
          <w:tcPr>
            <w:tcW w:w="2410" w:type="dxa"/>
            <w:noWrap/>
          </w:tcPr>
          <w:p>
            <w:pPr>
              <w:pStyle w:val="TableNAm"/>
            </w:pPr>
            <w:r>
              <w:t>s. 28D</w:t>
            </w:r>
          </w:p>
        </w:tc>
      </w:tr>
    </w:tbl>
    <w:p>
      <w:pPr>
        <w:pStyle w:val="Footnotesection"/>
      </w:pPr>
      <w:r>
        <w:tab/>
        <w:t>[Section 27G inserted: No. 9 of 2023 s. 26; amended: No. 53 of 2024 s. 17.]</w:t>
      </w:r>
    </w:p>
    <w:p>
      <w:pPr>
        <w:pStyle w:val="Heading5"/>
        <w:spacing w:before="240"/>
      </w:pPr>
      <w:bookmarkStart w:id="149" w:name="_Toc209874377"/>
      <w:r>
        <w:rPr>
          <w:rStyle w:val="CharSectno"/>
        </w:rPr>
        <w:lastRenderedPageBreak/>
        <w:t>27H</w:t>
      </w:r>
      <w:r>
        <w:t>.</w:t>
      </w:r>
      <w:r>
        <w:tab/>
        <w:t>Liability of individuals, partners, bodies corporate and licensed managers</w:t>
      </w:r>
      <w:bookmarkEnd w:id="149"/>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Ednotesubsection"/>
      </w:pPr>
      <w:r>
        <w:tab/>
        <w:t>[(3)</w:t>
      </w:r>
      <w:r>
        <w:tab/>
        <w:t>deleted]</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 amended: No. 9 of 2023 s. 28.]</w:t>
      </w:r>
    </w:p>
    <w:p>
      <w:pPr>
        <w:pStyle w:val="Heading5"/>
        <w:spacing w:before="240"/>
        <w:rPr>
          <w:snapToGrid w:val="0"/>
        </w:rPr>
      </w:pPr>
      <w:bookmarkStart w:id="150" w:name="_Toc209874378"/>
      <w:r>
        <w:rPr>
          <w:rStyle w:val="CharSectno"/>
        </w:rPr>
        <w:t>28</w:t>
      </w:r>
      <w:r>
        <w:rPr>
          <w:snapToGrid w:val="0"/>
        </w:rPr>
        <w:t>.</w:t>
      </w:r>
      <w:r>
        <w:rPr>
          <w:snapToGrid w:val="0"/>
        </w:rPr>
        <w:tab/>
        <w:t>Forfeiture of betting material and money in certain cases</w:t>
      </w:r>
      <w:bookmarkEnd w:id="150"/>
      <w:r>
        <w:rPr>
          <w:snapToGrid w:val="0"/>
        </w:rPr>
        <w:t xml:space="preserve"> </w:t>
      </w:r>
    </w:p>
    <w:p>
      <w:pPr>
        <w:pStyle w:val="Subsection"/>
        <w:rPr>
          <w:snapToGrid w:val="0"/>
        </w:rPr>
      </w:pPr>
      <w:r>
        <w:rPr>
          <w:snapToGrid w:val="0"/>
        </w:rPr>
        <w:tab/>
        <w:t>(1)</w:t>
      </w:r>
      <w:r>
        <w:rPr>
          <w:snapToGrid w:val="0"/>
        </w:rPr>
        <w:tab/>
        <w:t xml:space="preserve">A court recording a conviction of a charge of an offence against this Act, may order that betting material found and produced in evidence at the hearing of the charge be destroyed, and that </w:t>
      </w:r>
      <w:r>
        <w:rPr>
          <w:snapToGrid w:val="0"/>
        </w:rPr>
        <w:lastRenderedPageBreak/>
        <w:t>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51" w:name="_Toc209874379"/>
      <w:r>
        <w:rPr>
          <w:rStyle w:val="CharSectno"/>
        </w:rPr>
        <w:t>28A</w:t>
      </w:r>
      <w:r>
        <w:rPr>
          <w:snapToGrid w:val="0"/>
        </w:rPr>
        <w:t>.</w:t>
      </w:r>
      <w:r>
        <w:rPr>
          <w:snapToGrid w:val="0"/>
        </w:rPr>
        <w:tab/>
        <w:t>Search warrant</w:t>
      </w:r>
      <w:bookmarkEnd w:id="151"/>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lastRenderedPageBreak/>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52" w:name="_Toc209874380"/>
      <w:r>
        <w:rPr>
          <w:rStyle w:val="CharSectno"/>
        </w:rPr>
        <w:t>28B</w:t>
      </w:r>
      <w:r>
        <w:rPr>
          <w:snapToGrid w:val="0"/>
        </w:rPr>
        <w:t>.</w:t>
      </w:r>
      <w:r>
        <w:rPr>
          <w:snapToGrid w:val="0"/>
        </w:rPr>
        <w:tab/>
        <w:t>Prima facie evidence of offence</w:t>
      </w:r>
      <w:bookmarkEnd w:id="152"/>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 xml:space="preserve">the evidence of the prosecution is such as to raise in the mind of the court a reasonable suspicion that the person charged is guilty of the offence charged, that evidence </w:t>
      </w:r>
      <w:r>
        <w:rPr>
          <w:snapToGrid w:val="0"/>
        </w:rPr>
        <w:lastRenderedPageBreak/>
        <w:t>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53" w:name="_Toc209874381"/>
      <w:r>
        <w:rPr>
          <w:rStyle w:val="CharSectno"/>
        </w:rPr>
        <w:lastRenderedPageBreak/>
        <w:t>28C</w:t>
      </w:r>
      <w:r>
        <w:rPr>
          <w:snapToGrid w:val="0"/>
        </w:rPr>
        <w:t>.</w:t>
      </w:r>
      <w:r>
        <w:rPr>
          <w:snapToGrid w:val="0"/>
        </w:rPr>
        <w:tab/>
        <w:t>Offences in respect of conducting betting agencies</w:t>
      </w:r>
      <w:bookmarkEnd w:id="15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pPr>
      <w:r>
        <w:tab/>
        <w:t>Penalty: a fine of $10 000.</w:t>
      </w:r>
    </w:p>
    <w:p>
      <w:pPr>
        <w:pStyle w:val="Footnotesection"/>
      </w:pPr>
      <w:r>
        <w:tab/>
        <w:t xml:space="preserve">[Section 28C inserted: No. 63 of 1995 s. 77; amended: No. 35 of 2003 s. 103; No. 41 of 2018 s. 15(3); No. 53 of 2024 s. 18.] </w:t>
      </w:r>
    </w:p>
    <w:p>
      <w:pPr>
        <w:pStyle w:val="Heading5"/>
        <w:spacing w:before="240"/>
        <w:rPr>
          <w:snapToGrid w:val="0"/>
        </w:rPr>
      </w:pPr>
      <w:bookmarkStart w:id="154" w:name="_Toc209874382"/>
      <w:r>
        <w:rPr>
          <w:rStyle w:val="CharSectno"/>
        </w:rPr>
        <w:t>28D</w:t>
      </w:r>
      <w:r>
        <w:rPr>
          <w:snapToGrid w:val="0"/>
        </w:rPr>
        <w:t>.</w:t>
      </w:r>
      <w:r>
        <w:rPr>
          <w:snapToGrid w:val="0"/>
        </w:rPr>
        <w:tab/>
        <w:t>Penalty for acting as totalisator agent</w:t>
      </w:r>
      <w:bookmarkEnd w:id="154"/>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lastRenderedPageBreak/>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pPr>
      <w:r>
        <w:tab/>
        <w:t>Penalty: a fine of $50 000.</w:t>
      </w:r>
    </w:p>
    <w:p>
      <w:pPr>
        <w:pStyle w:val="Footnotesection"/>
      </w:pPr>
      <w:r>
        <w:tab/>
        <w:t xml:space="preserve">[Section 28D inserted: No. 63 of 1995 s. 78; amended: No. 41 of 2018 s. 15(3); No. 53 of 2024 s. 19.] </w:t>
      </w:r>
    </w:p>
    <w:p>
      <w:pPr>
        <w:pStyle w:val="Heading5"/>
        <w:spacing w:before="240"/>
        <w:rPr>
          <w:snapToGrid w:val="0"/>
        </w:rPr>
      </w:pPr>
      <w:bookmarkStart w:id="155" w:name="_Toc209874383"/>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55"/>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$10 000.</w:t>
      </w:r>
    </w:p>
    <w:p>
      <w:pPr>
        <w:pStyle w:val="Footnotesection"/>
      </w:pPr>
      <w:r>
        <w:tab/>
        <w:t xml:space="preserve">[Section 28E inserted: No. 63 of 1995 s. 79; amended: No. 35 of 2003 s. 103; No. 41 of 2018 s. 15(3); No. 53 of 2024 s. 23.] </w:t>
      </w:r>
    </w:p>
    <w:p>
      <w:pPr>
        <w:pStyle w:val="Heading5"/>
        <w:rPr>
          <w:snapToGrid w:val="0"/>
        </w:rPr>
      </w:pPr>
      <w:bookmarkStart w:id="156" w:name="_Toc209874384"/>
      <w:r>
        <w:rPr>
          <w:rStyle w:val="CharSectno"/>
        </w:rPr>
        <w:t>28F</w:t>
      </w:r>
      <w:r>
        <w:rPr>
          <w:snapToGrid w:val="0"/>
        </w:rPr>
        <w:t>.</w:t>
      </w:r>
      <w:r>
        <w:rPr>
          <w:snapToGrid w:val="0"/>
        </w:rPr>
        <w:tab/>
        <w:t>Non</w:t>
      </w:r>
      <w:r>
        <w:rPr>
          <w:snapToGrid w:val="0"/>
        </w:rPr>
        <w:noBreakHyphen/>
        <w:t>application of sections 28D and 28E</w:t>
      </w:r>
      <w:bookmarkEnd w:id="156"/>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lastRenderedPageBreak/>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57" w:name="_Toc209874385"/>
      <w:r>
        <w:rPr>
          <w:rStyle w:val="CharSectno"/>
        </w:rPr>
        <w:t>28G</w:t>
      </w:r>
      <w:r>
        <w:rPr>
          <w:snapToGrid w:val="0"/>
        </w:rPr>
        <w:t>.</w:t>
      </w:r>
      <w:r>
        <w:rPr>
          <w:snapToGrid w:val="0"/>
        </w:rPr>
        <w:tab/>
        <w:t>Penalty for accepting bets after closing time</w:t>
      </w:r>
      <w:bookmarkEnd w:id="157"/>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lastRenderedPageBreak/>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58" w:name="_Toc209874386"/>
      <w:r>
        <w:rPr>
          <w:rStyle w:val="CharSectno"/>
        </w:rPr>
        <w:t>29</w:t>
      </w:r>
      <w:r>
        <w:t>.</w:t>
      </w:r>
      <w:r>
        <w:tab/>
        <w:t>Penalty for providing credit</w:t>
      </w:r>
      <w:bookmarkEnd w:id="15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$50 000.</w:t>
      </w:r>
    </w:p>
    <w:p>
      <w:pPr>
        <w:pStyle w:val="Footnotesection"/>
      </w:pPr>
      <w:r>
        <w:tab/>
        <w:t>[Section 29 inserted: No. 40 of 1999 s. 36; amended: No. 35 of 2003 s. 93 and 103; No. 41 of 2018 s. 15(3); No. 53 of 2024 s. 23.]</w:t>
      </w:r>
    </w:p>
    <w:p>
      <w:pPr>
        <w:pStyle w:val="Heading5"/>
        <w:rPr>
          <w:snapToGrid w:val="0"/>
        </w:rPr>
      </w:pPr>
      <w:bookmarkStart w:id="159" w:name="_Toc209874387"/>
      <w:r>
        <w:rPr>
          <w:rStyle w:val="CharSectno"/>
        </w:rPr>
        <w:t>30</w:t>
      </w:r>
      <w:r>
        <w:rPr>
          <w:snapToGrid w:val="0"/>
        </w:rPr>
        <w:t>.</w:t>
      </w:r>
      <w:r>
        <w:rPr>
          <w:snapToGrid w:val="0"/>
        </w:rPr>
        <w:tab/>
        <w:t>General penalty</w:t>
      </w:r>
      <w:bookmarkEnd w:id="15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$5 000, and in addition to a penalty of a sum not exceeding $250 for each day the offence continues; or</w:t>
      </w:r>
    </w:p>
    <w:p>
      <w:pPr>
        <w:pStyle w:val="Indenta"/>
        <w:rPr>
          <w:snapToGrid w:val="0"/>
        </w:rPr>
      </w:pPr>
      <w:r>
        <w:rPr>
          <w:snapToGrid w:val="0"/>
        </w:rPr>
        <w:lastRenderedPageBreak/>
        <w:tab/>
        <w:t>(b)</w:t>
      </w:r>
      <w:r>
        <w:rPr>
          <w:snapToGrid w:val="0"/>
        </w:rPr>
        <w:tab/>
        <w:t>if the contravention is not a continuing offence, to a penalty not exceeding $5 000.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No. 53 of 2024 s. 23.] </w:t>
      </w:r>
    </w:p>
    <w:p>
      <w:pPr>
        <w:pStyle w:val="Heading5"/>
        <w:spacing w:before="240"/>
        <w:rPr>
          <w:b w:val="0"/>
        </w:rPr>
      </w:pPr>
      <w:bookmarkStart w:id="160" w:name="_Toc209874388"/>
      <w:r>
        <w:rPr>
          <w:rStyle w:val="CharSectno"/>
        </w:rPr>
        <w:t>30A</w:t>
      </w:r>
      <w:r>
        <w:t>.</w:t>
      </w:r>
      <w:r>
        <w:rPr>
          <w:b w:val="0"/>
        </w:rPr>
        <w:tab/>
      </w:r>
      <w:r>
        <w:rPr>
          <w:snapToGrid w:val="0"/>
        </w:rPr>
        <w:t>Offences to be dealt with by magistrate</w:t>
      </w:r>
      <w:bookmarkEnd w:id="160"/>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61" w:name="_Toc209874389"/>
      <w:r>
        <w:rPr>
          <w:rStyle w:val="CharSectno"/>
        </w:rPr>
        <w:t>31</w:t>
      </w:r>
      <w:r>
        <w:rPr>
          <w:snapToGrid w:val="0"/>
        </w:rPr>
        <w:t>.</w:t>
      </w:r>
      <w:r>
        <w:rPr>
          <w:snapToGrid w:val="0"/>
        </w:rPr>
        <w:tab/>
        <w:t>Conduct of betting</w:t>
      </w:r>
      <w:bookmarkEnd w:id="161"/>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w:t>
      </w:r>
      <w:r>
        <w:rPr>
          <w:snapToGrid w:val="0"/>
        </w:rPr>
        <w:lastRenderedPageBreak/>
        <w:t xml:space="preserve">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keepNext/>
        <w:rPr>
          <w:snapToGrid w:val="0"/>
        </w:rPr>
      </w:pPr>
      <w:r>
        <w:rPr>
          <w:snapToGrid w:val="0"/>
        </w:rPr>
        <w:lastRenderedPageBreak/>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62" w:name="_Toc209874390"/>
      <w:r>
        <w:rPr>
          <w:rStyle w:val="CharSectno"/>
        </w:rPr>
        <w:t>31A</w:t>
      </w:r>
      <w:r>
        <w:rPr>
          <w:snapToGrid w:val="0"/>
        </w:rPr>
        <w:t>.</w:t>
      </w:r>
      <w:r>
        <w:rPr>
          <w:snapToGrid w:val="0"/>
        </w:rPr>
        <w:tab/>
        <w:t>Evidence</w:t>
      </w:r>
      <w:bookmarkEnd w:id="16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lastRenderedPageBreak/>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w:t>
      </w:r>
      <w:r>
        <w:rPr>
          <w:snapToGrid w:val="0"/>
        </w:rPr>
        <w:lastRenderedPageBreak/>
        <w:t>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lastRenderedPageBreak/>
        <w:tab/>
        <w:t xml:space="preserve">[Section 31A inserted: No. 11 of 1992 s. 55; amended: No. 17 of 1998 s. 24; No. 13 of 2002 s. 25; No. 35 of 2003 s. 102; No. 84 of 2004 s. 80; No. 59 of 2006 s. 73.] </w:t>
      </w:r>
    </w:p>
    <w:p>
      <w:pPr>
        <w:pStyle w:val="Heading5"/>
        <w:rPr>
          <w:snapToGrid w:val="0"/>
        </w:rPr>
      </w:pPr>
      <w:bookmarkStart w:id="163" w:name="_Toc209874391"/>
      <w:r>
        <w:rPr>
          <w:rStyle w:val="CharSectno"/>
        </w:rPr>
        <w:t>32</w:t>
      </w:r>
      <w:r>
        <w:rPr>
          <w:snapToGrid w:val="0"/>
        </w:rPr>
        <w:t>.</w:t>
      </w:r>
      <w:r>
        <w:rPr>
          <w:snapToGrid w:val="0"/>
        </w:rPr>
        <w:tab/>
        <w:t>Disputes as to bets with bookmakers</w:t>
      </w:r>
      <w:bookmarkEnd w:id="163"/>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w:t>
      </w:r>
      <w:r>
        <w:rPr>
          <w:snapToGrid w:val="0"/>
        </w:rPr>
        <w:lastRenderedPageBreak/>
        <w:t xml:space="preserve">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64" w:name="_Toc209874392"/>
      <w:r>
        <w:rPr>
          <w:rStyle w:val="CharSectno"/>
        </w:rPr>
        <w:t>32A</w:t>
      </w:r>
      <w:r>
        <w:rPr>
          <w:snapToGrid w:val="0"/>
        </w:rPr>
        <w:t>.</w:t>
      </w:r>
      <w:r>
        <w:rPr>
          <w:snapToGrid w:val="0"/>
        </w:rPr>
        <w:tab/>
        <w:t>Disciplinary powers for licensees other than wagering licensee</w:t>
      </w:r>
      <w:bookmarkEnd w:id="164"/>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keepNext/>
        <w:spacing w:before="120"/>
        <w:rPr>
          <w:snapToGrid w:val="0"/>
        </w:rPr>
      </w:pPr>
      <w:r>
        <w:rPr>
          <w:snapToGrid w:val="0"/>
        </w:rPr>
        <w:lastRenderedPageBreak/>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keepNext/>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 xml:space="preserve">in the case of a partnership, does not comply with any one or more of the matters referred to in section 11B(1) </w:t>
      </w:r>
      <w:r>
        <w:lastRenderedPageBreak/>
        <w:t>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 xml:space="preserve">has carried on, or attempted to carry on, the business of a bookmaker or the operation of a totalisator authorised </w:t>
      </w:r>
      <w:r>
        <w:rPr>
          <w:snapToGrid w:val="0"/>
        </w:rPr>
        <w:lastRenderedPageBreak/>
        <w:t>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65" w:name="_Toc183787082"/>
      <w:bookmarkStart w:id="166" w:name="_Toc183787836"/>
      <w:bookmarkStart w:id="167" w:name="_Toc184025100"/>
      <w:bookmarkStart w:id="168" w:name="_Toc184035419"/>
      <w:bookmarkStart w:id="169" w:name="_Toc209874393"/>
      <w:r>
        <w:rPr>
          <w:rStyle w:val="CharPartNo"/>
        </w:rPr>
        <w:lastRenderedPageBreak/>
        <w:t>Part 5</w:t>
      </w:r>
      <w:r>
        <w:rPr>
          <w:rStyle w:val="CharDivNo"/>
        </w:rPr>
        <w:t> </w:t>
      </w:r>
      <w:r>
        <w:t>—</w:t>
      </w:r>
      <w:r>
        <w:rPr>
          <w:rStyle w:val="CharDivText"/>
        </w:rPr>
        <w:t> </w:t>
      </w:r>
      <w:r>
        <w:rPr>
          <w:rStyle w:val="CharPartText"/>
        </w:rPr>
        <w:t>Miscellaneous</w:t>
      </w:r>
      <w:bookmarkEnd w:id="165"/>
      <w:bookmarkEnd w:id="166"/>
      <w:bookmarkEnd w:id="167"/>
      <w:bookmarkEnd w:id="168"/>
      <w:bookmarkEnd w:id="169"/>
    </w:p>
    <w:p>
      <w:pPr>
        <w:pStyle w:val="Footnoteheading"/>
        <w:tabs>
          <w:tab w:val="left" w:pos="851"/>
        </w:tabs>
      </w:pPr>
      <w:r>
        <w:tab/>
        <w:t>[Heading inserted: No. 35 of 2003 s. 101(5).]</w:t>
      </w:r>
    </w:p>
    <w:p>
      <w:pPr>
        <w:pStyle w:val="Heading5"/>
      </w:pPr>
      <w:bookmarkStart w:id="170" w:name="_Toc183775707"/>
      <w:bookmarkStart w:id="171" w:name="_Toc183786357"/>
      <w:bookmarkStart w:id="172" w:name="_Toc209874394"/>
      <w:r>
        <w:rPr>
          <w:rStyle w:val="CharSectno"/>
        </w:rPr>
        <w:t>32B</w:t>
      </w:r>
      <w:r>
        <w:t>.</w:t>
      </w:r>
      <w:r>
        <w:tab/>
        <w:t>Delegation by CEO</w:t>
      </w:r>
      <w:bookmarkEnd w:id="170"/>
      <w:bookmarkEnd w:id="171"/>
      <w:bookmarkEnd w:id="172"/>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authorised for the purposes of this section by the regulations.</w:t>
      </w:r>
    </w:p>
    <w:p>
      <w:pPr>
        <w:pStyle w:val="Subsection"/>
      </w:pPr>
      <w:r>
        <w:tab/>
        <w:t>(2)</w:t>
      </w:r>
      <w:r>
        <w:tab/>
        <w:t>The delegation must be in writing signed by the CEO.</w:t>
      </w:r>
    </w:p>
    <w:p>
      <w:pPr>
        <w:pStyle w:val="Subsection"/>
      </w:pPr>
      <w:r>
        <w:tab/>
        <w:t>(3)</w:t>
      </w:r>
      <w:r>
        <w:tab/>
        <w:t>A person exercising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rPr>
          <w:rStyle w:val="CharSectno"/>
          <w:b/>
        </w:rPr>
      </w:pPr>
      <w:r>
        <w:tab/>
        <w:t>[Section 32B inserted: No. 53 of 2024 s. 20.]</w:t>
      </w:r>
    </w:p>
    <w:p>
      <w:pPr>
        <w:pStyle w:val="Heading5"/>
        <w:rPr>
          <w:snapToGrid w:val="0"/>
        </w:rPr>
      </w:pPr>
      <w:bookmarkStart w:id="173" w:name="_Toc209874395"/>
      <w:r>
        <w:rPr>
          <w:rStyle w:val="CharSectno"/>
        </w:rPr>
        <w:t>33</w:t>
      </w:r>
      <w:r>
        <w:rPr>
          <w:snapToGrid w:val="0"/>
        </w:rPr>
        <w:t>.</w:t>
      </w:r>
      <w:r>
        <w:rPr>
          <w:snapToGrid w:val="0"/>
        </w:rPr>
        <w:tab/>
        <w:t>Regulations</w:t>
      </w:r>
      <w:bookmarkEnd w:id="1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lastRenderedPageBreak/>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w:t>
      </w:r>
      <w:r>
        <w:rPr>
          <w:snapToGrid w:val="0"/>
        </w:rPr>
        <w:lastRenderedPageBreak/>
        <w:t>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 xml:space="preserve">imposing a monetary penalty for breach of a regulation so made, or the breach of a term or condition of a licence, not greater than the amount prescribed as a general penalty under </w:t>
      </w:r>
      <w:r>
        <w:t>section 30;</w:t>
      </w:r>
    </w:p>
    <w:p>
      <w:pPr>
        <w:pStyle w:val="Indenta"/>
      </w:pPr>
      <w:r>
        <w:tab/>
        <w:t>(c)</w:t>
      </w:r>
      <w:r>
        <w:tab/>
        <w:t>make provision for giving effect to specified national policies (that is, policies and agreements to which the State and at least 1 other Australian jurisdiction are parties), to the extent to which the policies relate to the purposes of this Act.</w:t>
      </w:r>
    </w:p>
    <w:p>
      <w:pPr>
        <w:pStyle w:val="Subsection"/>
        <w:rPr>
          <w:snapToGrid w:val="0"/>
        </w:rPr>
      </w:pPr>
      <w:r>
        <w:rPr>
          <w:snapToGrid w:val="0"/>
        </w:rPr>
        <w:lastRenderedPageBreak/>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No. 53 of 2024 s. 21.] </w:t>
      </w:r>
    </w:p>
    <w:p>
      <w:pPr>
        <w:pStyle w:val="Heading2"/>
      </w:pPr>
      <w:bookmarkStart w:id="174" w:name="_Toc173413411"/>
      <w:bookmarkStart w:id="175" w:name="_Toc173415294"/>
      <w:bookmarkStart w:id="176" w:name="_Toc174021379"/>
      <w:bookmarkStart w:id="177" w:name="_Toc174021631"/>
      <w:bookmarkStart w:id="178" w:name="_Toc174375545"/>
      <w:bookmarkStart w:id="179" w:name="_Toc183775710"/>
      <w:bookmarkStart w:id="180" w:name="_Toc183786360"/>
      <w:bookmarkStart w:id="181" w:name="_Toc184025103"/>
      <w:bookmarkStart w:id="182" w:name="_Toc184035422"/>
      <w:bookmarkStart w:id="183" w:name="_Toc209874396"/>
      <w:r>
        <w:rPr>
          <w:rStyle w:val="CharPartNo"/>
        </w:rPr>
        <w:lastRenderedPageBreak/>
        <w:t>Part 6</w:t>
      </w:r>
      <w:r>
        <w:rPr>
          <w:rStyle w:val="CharDivNo"/>
        </w:rPr>
        <w:t> </w:t>
      </w:r>
      <w:r>
        <w:t>—</w:t>
      </w:r>
      <w:r>
        <w:rPr>
          <w:rStyle w:val="CharDivText"/>
        </w:rPr>
        <w:t> </w:t>
      </w:r>
      <w:r>
        <w:rPr>
          <w:rStyle w:val="CharPartText"/>
        </w:rPr>
        <w:t xml:space="preserve">Transitional provisions for </w:t>
      </w:r>
      <w:r>
        <w:rPr>
          <w:rStyle w:val="CharPartText"/>
          <w:i/>
        </w:rPr>
        <w:t>Gambling Legislation Amendment Act 2024</w:t>
      </w:r>
      <w:bookmarkEnd w:id="174"/>
      <w:bookmarkEnd w:id="175"/>
      <w:bookmarkEnd w:id="176"/>
      <w:bookmarkEnd w:id="177"/>
      <w:bookmarkEnd w:id="178"/>
      <w:bookmarkEnd w:id="179"/>
      <w:bookmarkEnd w:id="180"/>
      <w:bookmarkEnd w:id="181"/>
      <w:bookmarkEnd w:id="182"/>
      <w:bookmarkEnd w:id="183"/>
    </w:p>
    <w:p>
      <w:pPr>
        <w:pStyle w:val="Footnoteheading"/>
      </w:pPr>
      <w:bookmarkStart w:id="184" w:name="_Toc183775711"/>
      <w:bookmarkStart w:id="185" w:name="_Toc183786361"/>
      <w:r>
        <w:tab/>
        <w:t>[Heading inserted: No. 53 of 2024 s. 22.]</w:t>
      </w:r>
    </w:p>
    <w:p>
      <w:pPr>
        <w:pStyle w:val="Heading5"/>
      </w:pPr>
      <w:bookmarkStart w:id="186" w:name="_Toc209874397"/>
      <w:r>
        <w:rPr>
          <w:rStyle w:val="CharSectno"/>
        </w:rPr>
        <w:t>34</w:t>
      </w:r>
      <w:r>
        <w:t>.</w:t>
      </w:r>
      <w:r>
        <w:tab/>
        <w:t>Term used: commencement day</w:t>
      </w:r>
      <w:bookmarkEnd w:id="184"/>
      <w:bookmarkEnd w:id="185"/>
      <w:bookmarkEnd w:id="18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section 22 comes into operation.</w:t>
      </w:r>
    </w:p>
    <w:p>
      <w:pPr>
        <w:pStyle w:val="Footnotesection"/>
      </w:pPr>
      <w:bookmarkStart w:id="187" w:name="_Toc183775712"/>
      <w:bookmarkStart w:id="188" w:name="_Toc183786362"/>
      <w:r>
        <w:tab/>
        <w:t>[Section 34 inserted: No. 53 of 2024 s. 22.]</w:t>
      </w:r>
    </w:p>
    <w:p>
      <w:pPr>
        <w:pStyle w:val="Heading5"/>
      </w:pPr>
      <w:bookmarkStart w:id="189" w:name="_Toc209874398"/>
      <w:r>
        <w:rPr>
          <w:rStyle w:val="CharSectno"/>
        </w:rPr>
        <w:t>35</w:t>
      </w:r>
      <w:r>
        <w:t>.</w:t>
      </w:r>
      <w:r>
        <w:tab/>
        <w:t xml:space="preserve">Application of </w:t>
      </w:r>
      <w:r>
        <w:rPr>
          <w:i/>
        </w:rPr>
        <w:t>Interpretation Act 1984</w:t>
      </w:r>
      <w:bookmarkEnd w:id="187"/>
      <w:bookmarkEnd w:id="188"/>
      <w:bookmarkEnd w:id="189"/>
    </w:p>
    <w:p>
      <w:pPr>
        <w:pStyle w:val="Subsection"/>
      </w:pPr>
      <w:r>
        <w:tab/>
      </w:r>
      <w:r>
        <w:tab/>
        <w:t xml:space="preserve">This Part does not limit the operation of the </w:t>
      </w:r>
      <w:r>
        <w:rPr>
          <w:i/>
        </w:rPr>
        <w:t>Interpretation Act 1984</w:t>
      </w:r>
      <w:r>
        <w:t>.</w:t>
      </w:r>
    </w:p>
    <w:p>
      <w:pPr>
        <w:pStyle w:val="Footnotesection"/>
      </w:pPr>
      <w:bookmarkStart w:id="190" w:name="_Toc183775713"/>
      <w:bookmarkStart w:id="191" w:name="_Toc183786363"/>
      <w:r>
        <w:tab/>
        <w:t>[Section 35 inserted: No. 53 of 2024 s. 22.]</w:t>
      </w:r>
    </w:p>
    <w:p>
      <w:pPr>
        <w:pStyle w:val="Heading5"/>
      </w:pPr>
      <w:bookmarkStart w:id="192" w:name="_Toc209874399"/>
      <w:r>
        <w:rPr>
          <w:rStyle w:val="CharSectno"/>
        </w:rPr>
        <w:t>36</w:t>
      </w:r>
      <w:r>
        <w:t>.</w:t>
      </w:r>
      <w:r>
        <w:tab/>
        <w:t>Requirement to lodge monthly return and pay racing bets levy</w:t>
      </w:r>
      <w:bookmarkEnd w:id="190"/>
      <w:bookmarkEnd w:id="191"/>
      <w:bookmarkEnd w:id="192"/>
    </w:p>
    <w:p>
      <w:pPr>
        <w:pStyle w:val="Subsection"/>
      </w:pPr>
      <w:r>
        <w:tab/>
        <w:t>(1)</w:t>
      </w:r>
      <w:r>
        <w:tab/>
        <w:t xml:space="preserve">In this section — </w:t>
      </w:r>
    </w:p>
    <w:p>
      <w:pPr>
        <w:pStyle w:val="Defstart"/>
      </w:pPr>
      <w:r>
        <w:tab/>
      </w:r>
      <w:r>
        <w:rPr>
          <w:rStyle w:val="CharDefText"/>
        </w:rPr>
        <w:t>former section 14A(2)</w:t>
      </w:r>
      <w:r>
        <w:t xml:space="preserve"> means section 14A(2) as in force before commencement day.</w:t>
      </w:r>
    </w:p>
    <w:p>
      <w:pPr>
        <w:pStyle w:val="Subsection"/>
      </w:pPr>
      <w:r>
        <w:tab/>
        <w:t>(2)</w:t>
      </w:r>
      <w:r>
        <w:tab/>
        <w:t xml:space="preserve">Section 14A(2) does not apply to a betting operator in relation to a month if, under former section 14A(2) — </w:t>
      </w:r>
    </w:p>
    <w:p>
      <w:pPr>
        <w:pStyle w:val="Indenta"/>
      </w:pPr>
      <w:r>
        <w:tab/>
        <w:t>(a)</w:t>
      </w:r>
      <w:r>
        <w:tab/>
        <w:t>a return was lodged by the betting operator for that month; and</w:t>
      </w:r>
    </w:p>
    <w:p>
      <w:pPr>
        <w:pStyle w:val="Indenta"/>
      </w:pPr>
      <w:r>
        <w:tab/>
        <w:t>(b)</w:t>
      </w:r>
      <w:r>
        <w:tab/>
        <w:t>the betting operator paid the racing bets levy in relation to the return.</w:t>
      </w:r>
    </w:p>
    <w:p>
      <w:pPr>
        <w:pStyle w:val="Subsection"/>
      </w:pPr>
      <w:r>
        <w:tab/>
        <w:t>(3)</w:t>
      </w:r>
      <w:r>
        <w:tab/>
        <w:t>A return lodged under section 14A(2) may relate to bets placed with, or placed or accepted through, the betting operator before commencement day.</w:t>
      </w:r>
    </w:p>
    <w:p>
      <w:pPr>
        <w:pStyle w:val="Subsection"/>
      </w:pPr>
      <w:r>
        <w:lastRenderedPageBreak/>
        <w:tab/>
        <w:t>(4)</w:t>
      </w:r>
      <w:r>
        <w:tab/>
        <w:t>The CEO is not prevented from performing the CEO’s functions under Part 3 in relation to bets placed with, or placed or accepted through, a betting operator before commencement day only because the bets were placed or accepted before commencement day.</w:t>
      </w:r>
    </w:p>
    <w:p>
      <w:pPr>
        <w:pStyle w:val="Footnotesection"/>
      </w:pPr>
      <w:bookmarkStart w:id="193" w:name="_Toc183775714"/>
      <w:bookmarkStart w:id="194" w:name="_Toc183786364"/>
      <w:r>
        <w:tab/>
        <w:t>[Section 36 inserted: No. 53 of 2024 s. 22.]</w:t>
      </w:r>
    </w:p>
    <w:p>
      <w:pPr>
        <w:pStyle w:val="Heading5"/>
      </w:pPr>
      <w:bookmarkStart w:id="195" w:name="_Toc209874400"/>
      <w:r>
        <w:rPr>
          <w:rStyle w:val="CharSectno"/>
        </w:rPr>
        <w:t>37</w:t>
      </w:r>
      <w:r>
        <w:t>.</w:t>
      </w:r>
      <w:r>
        <w:tab/>
        <w:t>Transitional regulations</w:t>
      </w:r>
      <w:bookmarkEnd w:id="193"/>
      <w:bookmarkEnd w:id="194"/>
      <w:bookmarkEnd w:id="195"/>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2.</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37 inserted: No. 53 of 2024 s. 22.]</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96" w:name="_Toc183787084"/>
      <w:bookmarkStart w:id="197" w:name="_Toc183787838"/>
      <w:bookmarkStart w:id="198" w:name="_Toc184025108"/>
      <w:bookmarkStart w:id="199" w:name="_Toc184035427"/>
      <w:bookmarkStart w:id="200" w:name="_Toc209874401"/>
      <w:r>
        <w:rPr>
          <w:rStyle w:val="CharSchNo"/>
        </w:rPr>
        <w:lastRenderedPageBreak/>
        <w:t>Schedule 3</w:t>
      </w:r>
      <w:r>
        <w:t xml:space="preserve"> — </w:t>
      </w:r>
      <w:r>
        <w:rPr>
          <w:rStyle w:val="CharSchText"/>
        </w:rPr>
        <w:t>Requirements for licensing of a body corporate and continuation of the licence of a body corporate</w:t>
      </w:r>
      <w:bookmarkEnd w:id="196"/>
      <w:bookmarkEnd w:id="197"/>
      <w:bookmarkEnd w:id="198"/>
      <w:bookmarkEnd w:id="199"/>
      <w:bookmarkEnd w:id="200"/>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02" w:name="_Toc183787085"/>
      <w:bookmarkStart w:id="203" w:name="_Toc183787839"/>
      <w:bookmarkStart w:id="204" w:name="_Toc184025109"/>
      <w:bookmarkStart w:id="205" w:name="_Toc184035428"/>
      <w:bookmarkStart w:id="206" w:name="_Toc209874402"/>
      <w:r>
        <w:lastRenderedPageBreak/>
        <w:t>Notes</w:t>
      </w:r>
      <w:bookmarkEnd w:id="202"/>
      <w:bookmarkEnd w:id="203"/>
      <w:bookmarkEnd w:id="204"/>
      <w:bookmarkEnd w:id="205"/>
      <w:bookmarkEnd w:id="206"/>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7" w:name="_Toc209874403"/>
      <w:r>
        <w:t>Compilation table</w:t>
      </w:r>
      <w:bookmarkEnd w:id="20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c>
          <w:tcPr>
            <w:tcW w:w="2269" w:type="dxa"/>
            <w:tcBorders>
              <w:top w:val="nil"/>
              <w:bottom w:val="nil"/>
              <w:right w:val="nil"/>
            </w:tcBorders>
          </w:tcPr>
          <w:p>
            <w:pPr>
              <w:pStyle w:val="nTable"/>
              <w:spacing w:after="40"/>
            </w:pPr>
            <w:r>
              <w:rPr>
                <w:i/>
              </w:rPr>
              <w:lastRenderedPageBreak/>
              <w:t>Directors’ Liability Reform Act 2023</w:t>
            </w:r>
            <w:r>
              <w:t xml:space="preserve"> Pt. 3 Div. 8 (other than s. 27)</w:t>
            </w:r>
          </w:p>
        </w:tc>
        <w:tc>
          <w:tcPr>
            <w:tcW w:w="1134" w:type="dxa"/>
            <w:tcBorders>
              <w:top w:val="nil"/>
              <w:left w:val="nil"/>
              <w:bottom w:val="nil"/>
              <w:right w:val="nil"/>
            </w:tcBorders>
          </w:tcPr>
          <w:p>
            <w:pPr>
              <w:pStyle w:val="nTable"/>
              <w:spacing w:after="40"/>
            </w:pPr>
            <w:r>
              <w:t>9 of 2023</w:t>
            </w:r>
          </w:p>
        </w:tc>
        <w:tc>
          <w:tcPr>
            <w:tcW w:w="1134" w:type="dxa"/>
            <w:tcBorders>
              <w:top w:val="nil"/>
              <w:left w:val="nil"/>
              <w:bottom w:val="nil"/>
              <w:right w:val="nil"/>
            </w:tcBorders>
          </w:tcPr>
          <w:p>
            <w:pPr>
              <w:pStyle w:val="nTable"/>
              <w:spacing w:after="40"/>
            </w:pPr>
            <w:r>
              <w:t>4 Apr 2023</w:t>
            </w:r>
          </w:p>
        </w:tc>
        <w:tc>
          <w:tcPr>
            <w:tcW w:w="2552" w:type="dxa"/>
            <w:tcBorders>
              <w:top w:val="nil"/>
              <w:left w:val="nil"/>
              <w:bottom w:val="nil"/>
            </w:tcBorders>
          </w:tcPr>
          <w:p>
            <w:pPr>
              <w:pStyle w:val="nTable"/>
              <w:spacing w:after="40"/>
            </w:pPr>
            <w:r>
              <w:t>5 Apr 2023 (see s. 2(d)(ii) and (j))</w:t>
            </w:r>
          </w:p>
        </w:tc>
      </w:tr>
      <w:tr>
        <w:tc>
          <w:tcPr>
            <w:tcW w:w="2269" w:type="dxa"/>
            <w:tcBorders>
              <w:top w:val="nil"/>
              <w:bottom w:val="nil"/>
              <w:right w:val="nil"/>
            </w:tcBorders>
          </w:tcPr>
          <w:p>
            <w:pPr>
              <w:pStyle w:val="nTable"/>
              <w:spacing w:after="40"/>
              <w:rPr>
                <w:i/>
              </w:rPr>
            </w:pPr>
            <w:r>
              <w:rPr>
                <w:i/>
              </w:rPr>
              <w:t>Gambling Legislation Amendment Act 2024</w:t>
            </w:r>
            <w:r>
              <w:rPr>
                <w:iCs/>
              </w:rPr>
              <w:t xml:space="preserve"> Pt. 2 (other than s. 8)</w:t>
            </w:r>
          </w:p>
        </w:tc>
        <w:tc>
          <w:tcPr>
            <w:tcW w:w="1134" w:type="dxa"/>
            <w:tcBorders>
              <w:top w:val="nil"/>
              <w:left w:val="nil"/>
              <w:bottom w:val="nil"/>
              <w:right w:val="nil"/>
            </w:tcBorders>
          </w:tcPr>
          <w:p>
            <w:pPr>
              <w:pStyle w:val="nTable"/>
              <w:spacing w:after="40"/>
            </w:pPr>
            <w:r>
              <w:t>53 of 2024</w:t>
            </w:r>
          </w:p>
        </w:tc>
        <w:tc>
          <w:tcPr>
            <w:tcW w:w="1134" w:type="dxa"/>
            <w:tcBorders>
              <w:top w:val="nil"/>
              <w:left w:val="nil"/>
              <w:bottom w:val="nil"/>
              <w:right w:val="nil"/>
            </w:tcBorders>
          </w:tcPr>
          <w:p>
            <w:pPr>
              <w:pStyle w:val="nTable"/>
              <w:spacing w:after="40"/>
            </w:pPr>
            <w:r>
              <w:t>6 Dec 2024</w:t>
            </w:r>
          </w:p>
        </w:tc>
        <w:tc>
          <w:tcPr>
            <w:tcW w:w="2552" w:type="dxa"/>
            <w:tcBorders>
              <w:top w:val="nil"/>
              <w:left w:val="nil"/>
              <w:bottom w:val="nil"/>
            </w:tcBorders>
          </w:tcPr>
          <w:p>
            <w:pPr>
              <w:pStyle w:val="nTable"/>
              <w:spacing w:after="40"/>
            </w:pPr>
            <w:r>
              <w:t>7 Dec 2024 (see s. 2(d))</w:t>
            </w:r>
          </w:p>
        </w:tc>
      </w:tr>
      <w:tr>
        <w:tc>
          <w:tcPr>
            <w:tcW w:w="2269" w:type="dxa"/>
            <w:tcBorders>
              <w:top w:val="nil"/>
              <w:bottom w:val="single" w:sz="8" w:space="0" w:color="auto"/>
              <w:right w:val="nil"/>
            </w:tcBorders>
          </w:tcPr>
          <w:p>
            <w:pPr>
              <w:pStyle w:val="nTable"/>
              <w:spacing w:after="40"/>
              <w:rPr>
                <w:iCs/>
              </w:rPr>
            </w:pPr>
            <w:r>
              <w:rPr>
                <w:i/>
              </w:rPr>
              <w:t xml:space="preserve">Statutes (Repeals and Minor Amendments) Act 2025 </w:t>
            </w:r>
            <w:r>
              <w:rPr>
                <w:iCs/>
              </w:rPr>
              <w:t>s. 5</w:t>
            </w:r>
          </w:p>
        </w:tc>
        <w:tc>
          <w:tcPr>
            <w:tcW w:w="1134" w:type="dxa"/>
            <w:tcBorders>
              <w:top w:val="nil"/>
              <w:left w:val="nil"/>
              <w:bottom w:val="single" w:sz="8" w:space="0" w:color="auto"/>
              <w:right w:val="nil"/>
            </w:tcBorders>
          </w:tcPr>
          <w:p>
            <w:pPr>
              <w:pStyle w:val="nTable"/>
              <w:spacing w:after="40"/>
            </w:pPr>
            <w:r>
              <w:t>14 of 2025</w:t>
            </w:r>
          </w:p>
        </w:tc>
        <w:tc>
          <w:tcPr>
            <w:tcW w:w="1134" w:type="dxa"/>
            <w:tcBorders>
              <w:top w:val="nil"/>
              <w:left w:val="nil"/>
              <w:bottom w:val="single" w:sz="8" w:space="0" w:color="auto"/>
              <w:right w:val="nil"/>
            </w:tcBorders>
          </w:tcPr>
          <w:p>
            <w:pPr>
              <w:pStyle w:val="nTable"/>
              <w:spacing w:after="40"/>
            </w:pPr>
            <w:r>
              <w:t>25 Sep 2025</w:t>
            </w:r>
          </w:p>
        </w:tc>
        <w:tc>
          <w:tcPr>
            <w:tcW w:w="2552" w:type="dxa"/>
            <w:tcBorders>
              <w:top w:val="nil"/>
              <w:left w:val="nil"/>
              <w:bottom w:val="single" w:sz="8" w:space="0" w:color="auto"/>
            </w:tcBorders>
          </w:tcPr>
          <w:p>
            <w:pPr>
              <w:pStyle w:val="nTable"/>
              <w:spacing w:after="40"/>
            </w:pPr>
            <w:r>
              <w:t>26 Sep 2025 (see s. 2(b))</w:t>
            </w:r>
          </w:p>
        </w:tc>
      </w:tr>
    </w:tbl>
    <w:p>
      <w:pPr>
        <w:pStyle w:val="nHeading3"/>
      </w:pPr>
      <w:bookmarkStart w:id="208" w:name="_Toc209874404"/>
      <w:r>
        <w:t>Uncommenced provisions table</w:t>
      </w:r>
      <w:bookmarkEnd w:id="2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nil"/>
            </w:tcBorders>
          </w:tcPr>
          <w:p>
            <w:pPr>
              <w:pStyle w:val="nTable"/>
              <w:spacing w:after="40"/>
              <w:rPr>
                <w:i/>
              </w:rPr>
            </w:pPr>
            <w:r>
              <w:rPr>
                <w:i/>
              </w:rPr>
              <w:t>Directors’ Liability Reform Act 2023</w:t>
            </w:r>
            <w:r>
              <w:t xml:space="preserve"> s. 27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 xml:space="preserve">On the day on which the </w:t>
            </w:r>
            <w:r>
              <w:rPr>
                <w:i/>
              </w:rPr>
              <w:t>TAB (Disposal) Act 2019</w:t>
            </w:r>
            <w:r>
              <w:t xml:space="preserve"> s. 70 comes into operation (see s. 2(d)(ii))</w:t>
            </w:r>
          </w:p>
        </w:tc>
      </w:tr>
      <w:tr>
        <w:tc>
          <w:tcPr>
            <w:tcW w:w="2268" w:type="dxa"/>
            <w:tcBorders>
              <w:top w:val="nil"/>
              <w:bottom w:val="single" w:sz="4" w:space="0" w:color="auto"/>
            </w:tcBorders>
          </w:tcPr>
          <w:p>
            <w:pPr>
              <w:pStyle w:val="nTable"/>
              <w:spacing w:after="40"/>
              <w:rPr>
                <w:iCs/>
              </w:rPr>
            </w:pPr>
            <w:r>
              <w:rPr>
                <w:i/>
              </w:rPr>
              <w:t>Gambling Legislation Amendment Act 2024</w:t>
            </w:r>
            <w:r>
              <w:rPr>
                <w:iCs/>
              </w:rPr>
              <w:t xml:space="preserve"> s. 8</w:t>
            </w:r>
          </w:p>
        </w:tc>
        <w:tc>
          <w:tcPr>
            <w:tcW w:w="1134" w:type="dxa"/>
            <w:tcBorders>
              <w:top w:val="nil"/>
              <w:bottom w:val="single" w:sz="4" w:space="0" w:color="auto"/>
            </w:tcBorders>
          </w:tcPr>
          <w:p>
            <w:pPr>
              <w:pStyle w:val="nTable"/>
              <w:spacing w:after="40"/>
            </w:pPr>
            <w:r>
              <w:t>53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09" w:name="_Toc209874405"/>
      <w:r>
        <w:t>Other notes</w:t>
      </w:r>
      <w:bookmarkEnd w:id="209"/>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lastRenderedPageBreak/>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lastRenderedPageBreak/>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lastRenderedPageBreak/>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lastRenderedPageBreak/>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lastRenderedPageBreak/>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11" w:name="_Toc184035432"/>
      <w:bookmarkStart w:id="212" w:name="_Toc209874406"/>
      <w:r>
        <w:rPr>
          <w:sz w:val="28"/>
        </w:rPr>
        <w:lastRenderedPageBreak/>
        <w:t>Defined terms</w:t>
      </w:r>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assessment notice</w:t>
      </w:r>
      <w:r>
        <w:tab/>
        <w:t>4(1), 14B(3)</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CEO</w:t>
      </w:r>
      <w:r>
        <w:tab/>
        <w:t>4(1)</w:t>
      </w:r>
    </w:p>
    <w:p>
      <w:pPr>
        <w:pStyle w:val="DefinedTerms"/>
      </w:pPr>
      <w:r>
        <w:t>commencement day</w:t>
      </w:r>
      <w:r>
        <w:tab/>
        <w:t>34</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Department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lastRenderedPageBreak/>
        <w:t>former section 14A(2)</w:t>
      </w:r>
      <w:r>
        <w:tab/>
        <w:t>36(1)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lastRenderedPageBreak/>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 4(1)</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total turnover</w:t>
      </w:r>
      <w:r>
        <w:tab/>
        <w:t>13(1A), 17A(1A)</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Pr>
        <w:pStyle w:val="DefinedTerms"/>
      </w:pPr>
      <w:r>
        <w:t>WA race field</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29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 w:name="WAFER_2024112915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2918_GUID" w:val="d6f95250-f73f-4a46-b02c-72b2bea7d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E8D76-5019-4ABD-8C50-6787483B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39711</Words>
  <Characters>185851</Characters>
  <Application>Microsoft Office Word</Application>
  <DocSecurity>0</DocSecurity>
  <Lines>5162</Lines>
  <Paragraphs>2855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222707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1954 - 10-k0-01</dc:title>
  <dc:subject/>
  <dc:creator/>
  <cp:keywords/>
  <dc:description/>
  <cp:lastModifiedBy>Master Repository Process</cp:lastModifiedBy>
  <cp:revision>4</cp:revision>
  <cp:lastPrinted>2019-09-20T03:40:00Z</cp:lastPrinted>
  <dcterms:created xsi:type="dcterms:W3CDTF">2025-09-30T02:17:00Z</dcterms:created>
  <dcterms:modified xsi:type="dcterms:W3CDTF">2025-09-30T02:17:00Z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26 Sep 2025</vt:lpwstr>
  </property>
  <property fmtid="{D5CDD505-2E9C-101B-9397-08002B2CF9AE}" pid="8" name="Suffix">
    <vt:lpwstr>10-k0-01</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