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(General)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_Toc209016839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_Toc209016840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_Toc209016841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Approved VET courses (Act s. 5(1))</w:t>
      </w:r>
      <w:r>
        <w:tab/>
      </w:r>
      <w:r>
        <w:fldChar w:fldCharType="begin"/>
      </w:r>
      <w:r>
        <w:instrText xml:space="preserve"> PAGEREF _Toc209016843 \h </w:instrText>
      </w:r>
      <w:r>
        <w:fldChar w:fldCharType="separate"/>
      </w:r>
      <w:r>
        <w:t>5</w:t>
      </w:r>
      <w:r>
        <w:fldChar w:fldCharType="end"/>
      </w:r>
    </w:p>
    <w:p>
      <w:pPr>
        <w:pStyle w:val="TOC8"/>
        <w:rPr>
          <w:rFonts w:asciiTheme="minorHAnsi" w:eastAsiaTheme="minorEastAsia" w:hAnsiTheme="minorHAnsi" w:cstheme="minorBidi"/>
          <w:szCs w:val="22"/>
        </w:rPr>
      </w:pPr>
      <w:r>
        <w:t>5.</w:t>
      </w:r>
      <w:r>
        <w:tab/>
        <w:t>Corresponding laws (Act s. 5(1))</w:t>
      </w:r>
      <w:r>
        <w:tab/>
      </w:r>
      <w:r>
        <w:fldChar w:fldCharType="begin"/>
      </w:r>
      <w:r>
        <w:instrText xml:space="preserve"> PAGEREF _Toc209016844 \h </w:instrText>
      </w:r>
      <w:r>
        <w:fldChar w:fldCharType="separate"/>
      </w:r>
      <w:r>
        <w:t>5</w:t>
      </w:r>
      <w:r>
        <w:fldChar w:fldCharType="end"/>
      </w:r>
    </w:p>
    <w:p>
      <w:pPr>
        <w:pStyle w:val="TOC8"/>
        <w:rPr>
          <w:rFonts w:asciiTheme="minorHAnsi" w:eastAsiaTheme="minorEastAsia" w:hAnsiTheme="minorHAnsi" w:cstheme="minorBidi"/>
          <w:szCs w:val="22"/>
        </w:rPr>
      </w:pPr>
      <w:r>
        <w:t>6.</w:t>
      </w:r>
      <w:r>
        <w:tab/>
        <w:t>Prescribed VET qualifications (Act s. 5(1))</w:t>
      </w:r>
      <w:r>
        <w:tab/>
      </w:r>
      <w:r>
        <w:fldChar w:fldCharType="begin"/>
      </w:r>
      <w:r>
        <w:instrText xml:space="preserve"> PAGEREF _Toc209016845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for Part 7A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_Toc209016848 \h </w:instrText>
      </w:r>
      <w:r>
        <w:fldChar w:fldCharType="separate"/>
      </w:r>
      <w:r>
        <w:t>7</w:t>
      </w:r>
      <w:r>
        <w:fldChar w:fldCharType="end"/>
      </w:r>
    </w:p>
    <w:p>
      <w:pPr>
        <w:pStyle w:val="TOC8"/>
        <w:rPr>
          <w:rFonts w:asciiTheme="minorHAnsi" w:eastAsiaTheme="minorEastAsia" w:hAnsiTheme="minorHAnsi" w:cstheme="minorBidi"/>
          <w:szCs w:val="22"/>
        </w:rPr>
      </w:pPr>
      <w:r>
        <w:t>8.</w:t>
      </w:r>
      <w:r>
        <w:tab/>
      </w:r>
      <w:r>
        <w:rPr>
          <w:bCs/>
        </w:rPr>
        <w:t>Council standards and framework</w:t>
      </w:r>
      <w:r>
        <w:tab/>
      </w:r>
      <w:r>
        <w:fldChar w:fldCharType="begin"/>
      </w:r>
      <w:r>
        <w:instrText xml:space="preserve"> PAGEREF _Toc209016849 \h </w:instrText>
      </w:r>
      <w:r>
        <w:fldChar w:fldCharType="separate"/>
      </w:r>
      <w:r>
        <w:t>9</w:t>
      </w:r>
      <w:r>
        <w:fldChar w:fldCharType="end"/>
      </w:r>
    </w:p>
    <w:p>
      <w:pPr>
        <w:pStyle w:val="TOC8"/>
        <w:rPr>
          <w:rFonts w:asciiTheme="minorHAnsi" w:eastAsiaTheme="minorEastAsia" w:hAnsiTheme="minorHAnsi" w:cstheme="minorBidi"/>
          <w:szCs w:val="22"/>
        </w:rPr>
      </w:pPr>
      <w:r>
        <w:t>9.</w:t>
      </w:r>
      <w:r>
        <w:tab/>
        <w:t>Register</w:t>
      </w:r>
      <w:r>
        <w:tab/>
      </w:r>
      <w:r>
        <w:fldChar w:fldCharType="begin"/>
      </w:r>
      <w:r>
        <w:instrText xml:space="preserve"> PAGEREF _Toc209016850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training providers</w:t>
      </w:r>
    </w:p>
    <w:p>
      <w:pPr>
        <w:pStyle w:val="TOC8"/>
        <w:rPr>
          <w:rFonts w:asciiTheme="minorHAnsi" w:eastAsiaTheme="minorEastAsia" w:hAnsiTheme="minorHAnsi" w:cstheme="minorBidi"/>
          <w:szCs w:val="22"/>
        </w:rPr>
      </w:pPr>
      <w:r>
        <w:t>10.</w:t>
      </w:r>
      <w:r>
        <w:tab/>
        <w:t>Applying to be registered training provider</w:t>
      </w:r>
      <w:r>
        <w:tab/>
      </w:r>
      <w:r>
        <w:fldChar w:fldCharType="begin"/>
      </w:r>
      <w:r>
        <w:instrText xml:space="preserve"> PAGEREF _Toc209016852 \h </w:instrText>
      </w:r>
      <w:r>
        <w:fldChar w:fldCharType="separate"/>
      </w:r>
      <w:r>
        <w:t>10</w:t>
      </w:r>
      <w:r>
        <w:fldChar w:fldCharType="end"/>
      </w:r>
    </w:p>
    <w:p>
      <w:pPr>
        <w:pStyle w:val="TOC8"/>
        <w:rPr>
          <w:rFonts w:asciiTheme="minorHAnsi" w:eastAsiaTheme="minorEastAsia" w:hAnsiTheme="minorHAnsi" w:cstheme="minorBidi"/>
          <w:szCs w:val="22"/>
        </w:rPr>
      </w:pPr>
      <w:r>
        <w:t>11.</w:t>
      </w:r>
      <w:r>
        <w:tab/>
      </w:r>
      <w:r>
        <w:rPr>
          <w:bCs/>
        </w:rPr>
        <w:t>Dealing with training provider applications</w:t>
      </w:r>
      <w:r>
        <w:tab/>
      </w:r>
      <w:r>
        <w:fldChar w:fldCharType="begin"/>
      </w:r>
      <w:r>
        <w:instrText xml:space="preserve"> PAGEREF _Toc209016853 \h </w:instrText>
      </w:r>
      <w:r>
        <w:fldChar w:fldCharType="separate"/>
      </w:r>
      <w:r>
        <w:t>11</w:t>
      </w:r>
      <w:r>
        <w:fldChar w:fldCharType="end"/>
      </w:r>
    </w:p>
    <w:p>
      <w:pPr>
        <w:pStyle w:val="TOC8"/>
        <w:rPr>
          <w:rFonts w:asciiTheme="minorHAnsi" w:eastAsiaTheme="minorEastAsia" w:hAnsiTheme="minorHAnsi" w:cstheme="minorBidi"/>
          <w:szCs w:val="22"/>
        </w:rPr>
      </w:pPr>
      <w:r>
        <w:t>12.</w:t>
      </w:r>
      <w:r>
        <w:tab/>
        <w:t>Registering training providers</w:t>
      </w:r>
      <w:r>
        <w:tab/>
      </w:r>
      <w:r>
        <w:fldChar w:fldCharType="begin"/>
      </w:r>
      <w:r>
        <w:instrText xml:space="preserve"> PAGEREF _Toc209016854 \h </w:instrText>
      </w:r>
      <w:r>
        <w:fldChar w:fldCharType="separate"/>
      </w:r>
      <w:r>
        <w:t>11</w:t>
      </w:r>
      <w:r>
        <w:fldChar w:fldCharType="end"/>
      </w:r>
    </w:p>
    <w:p>
      <w:pPr>
        <w:pStyle w:val="TOC8"/>
        <w:rPr>
          <w:rFonts w:asciiTheme="minorHAnsi" w:eastAsiaTheme="minorEastAsia" w:hAnsiTheme="minorHAnsi" w:cstheme="minorBidi"/>
          <w:szCs w:val="22"/>
        </w:rPr>
      </w:pPr>
      <w:r>
        <w:t>13.</w:t>
      </w:r>
      <w:r>
        <w:tab/>
        <w:t>Conditions of registration</w:t>
      </w:r>
      <w:r>
        <w:tab/>
      </w:r>
      <w:r>
        <w:fldChar w:fldCharType="begin"/>
      </w:r>
      <w:r>
        <w:instrText xml:space="preserve"> PAGEREF _Toc209016855 \h </w:instrText>
      </w:r>
      <w:r>
        <w:fldChar w:fldCharType="separate"/>
      </w:r>
      <w:r>
        <w:t>14</w:t>
      </w:r>
      <w:r>
        <w:fldChar w:fldCharType="end"/>
      </w:r>
    </w:p>
    <w:p>
      <w:pPr>
        <w:pStyle w:val="TOC8"/>
        <w:rPr>
          <w:rFonts w:asciiTheme="minorHAnsi" w:eastAsiaTheme="minorEastAsia" w:hAnsiTheme="minorHAnsi" w:cstheme="minorBidi"/>
          <w:szCs w:val="22"/>
        </w:rPr>
      </w:pPr>
      <w:r>
        <w:t>14.</w:t>
      </w:r>
      <w:r>
        <w:tab/>
        <w:t>Period of registration</w:t>
      </w:r>
      <w:r>
        <w:tab/>
      </w:r>
      <w:r>
        <w:fldChar w:fldCharType="begin"/>
      </w:r>
      <w:r>
        <w:instrText xml:space="preserve"> PAGEREF _Toc209016856 \h </w:instrText>
      </w:r>
      <w:r>
        <w:fldChar w:fldCharType="separate"/>
      </w:r>
      <w:r>
        <w:t>16</w:t>
      </w:r>
      <w:r>
        <w:fldChar w:fldCharType="end"/>
      </w:r>
    </w:p>
    <w:p>
      <w:pPr>
        <w:pStyle w:val="TOC8"/>
        <w:rPr>
          <w:rFonts w:asciiTheme="minorHAnsi" w:eastAsiaTheme="minorEastAsia" w:hAnsiTheme="minorHAnsi" w:cstheme="minorBidi"/>
          <w:szCs w:val="22"/>
        </w:rPr>
      </w:pPr>
      <w:r>
        <w:t>15.</w:t>
      </w:r>
      <w:r>
        <w:tab/>
        <w:t>Annual fees payable by registered training providers</w:t>
      </w:r>
      <w:r>
        <w:tab/>
      </w:r>
      <w:r>
        <w:fldChar w:fldCharType="begin"/>
      </w:r>
      <w:r>
        <w:instrText xml:space="preserve"> PAGEREF _Toc209016857 \h </w:instrText>
      </w:r>
      <w:r>
        <w:fldChar w:fldCharType="separate"/>
      </w:r>
      <w:r>
        <w:t>16</w:t>
      </w:r>
      <w:r>
        <w:fldChar w:fldCharType="end"/>
      </w:r>
    </w:p>
    <w:p>
      <w:pPr>
        <w:pStyle w:val="TOC8"/>
        <w:rPr>
          <w:rFonts w:asciiTheme="minorHAnsi" w:eastAsiaTheme="minorEastAsia" w:hAnsiTheme="minorHAnsi" w:cstheme="minorBidi"/>
          <w:szCs w:val="22"/>
        </w:rPr>
      </w:pPr>
      <w:r>
        <w:t>16.</w:t>
      </w:r>
      <w:r>
        <w:tab/>
        <w:t>Renewal of registration</w:t>
      </w:r>
      <w:r>
        <w:tab/>
      </w:r>
      <w:r>
        <w:fldChar w:fldCharType="begin"/>
      </w:r>
      <w:r>
        <w:instrText xml:space="preserve"> PAGEREF _Toc209016858 \h </w:instrText>
      </w:r>
      <w:r>
        <w:fldChar w:fldCharType="separate"/>
      </w:r>
      <w:r>
        <w:t>16</w:t>
      </w:r>
      <w:r>
        <w:fldChar w:fldCharType="end"/>
      </w:r>
    </w:p>
    <w:p>
      <w:pPr>
        <w:pStyle w:val="TOC8"/>
        <w:rPr>
          <w:rFonts w:asciiTheme="minorHAnsi" w:eastAsiaTheme="minorEastAsia" w:hAnsiTheme="minorHAnsi" w:cstheme="minorBidi"/>
          <w:szCs w:val="22"/>
        </w:rPr>
      </w:pPr>
      <w:r>
        <w:t>17.</w:t>
      </w:r>
      <w:r>
        <w:tab/>
        <w:t>Varying registration</w:t>
      </w:r>
      <w:r>
        <w:tab/>
      </w:r>
      <w:r>
        <w:fldChar w:fldCharType="begin"/>
      </w:r>
      <w:r>
        <w:instrText xml:space="preserve"> PAGEREF _Toc209016859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w:t>
      </w:r>
      <w:r>
        <w:tab/>
        <w:t>Cancelling registration if provider’s operations change</w:t>
      </w:r>
      <w:r>
        <w:tab/>
      </w:r>
      <w:r>
        <w:fldChar w:fldCharType="begin"/>
      </w:r>
      <w:r>
        <w:instrText xml:space="preserve"> PAGEREF _Toc209016860 \h </w:instrText>
      </w:r>
      <w:r>
        <w:fldChar w:fldCharType="separate"/>
      </w:r>
      <w:r>
        <w:t>19</w:t>
      </w:r>
      <w:r>
        <w:fldChar w:fldCharType="end"/>
      </w:r>
    </w:p>
    <w:p>
      <w:pPr>
        <w:pStyle w:val="TOC8"/>
        <w:rPr>
          <w:rFonts w:asciiTheme="minorHAnsi" w:eastAsiaTheme="minorEastAsia" w:hAnsiTheme="minorHAnsi" w:cstheme="minorBidi"/>
          <w:szCs w:val="22"/>
        </w:rPr>
      </w:pPr>
      <w:r>
        <w:t>19.</w:t>
      </w:r>
      <w:r>
        <w:tab/>
        <w:t>Suspending or cancelling registration</w:t>
      </w:r>
      <w:r>
        <w:tab/>
      </w:r>
      <w:r>
        <w:fldChar w:fldCharType="begin"/>
      </w:r>
      <w:r>
        <w:instrText xml:space="preserve"> PAGEREF _Toc209016861 \h </w:instrText>
      </w:r>
      <w:r>
        <w:fldChar w:fldCharType="separate"/>
      </w:r>
      <w:r>
        <w:t>20</w:t>
      </w:r>
      <w:r>
        <w:fldChar w:fldCharType="end"/>
      </w:r>
    </w:p>
    <w:p>
      <w:pPr>
        <w:pStyle w:val="TOC8"/>
        <w:rPr>
          <w:rFonts w:asciiTheme="minorHAnsi" w:eastAsiaTheme="minorEastAsia" w:hAnsiTheme="minorHAnsi" w:cstheme="minorBidi"/>
          <w:szCs w:val="22"/>
        </w:rPr>
      </w:pPr>
      <w:r>
        <w:t>20.</w:t>
      </w:r>
      <w:r>
        <w:tab/>
        <w:t>Suspension of WA registered provider may be on terms</w:t>
      </w:r>
      <w:r>
        <w:tab/>
      </w:r>
      <w:r>
        <w:fldChar w:fldCharType="begin"/>
      </w:r>
      <w:r>
        <w:instrText xml:space="preserve"> PAGEREF _Toc209016862 \h </w:instrText>
      </w:r>
      <w:r>
        <w:fldChar w:fldCharType="separate"/>
      </w:r>
      <w:r>
        <w:t>21</w:t>
      </w:r>
      <w:r>
        <w:fldChar w:fldCharType="end"/>
      </w:r>
    </w:p>
    <w:p>
      <w:pPr>
        <w:pStyle w:val="TOC8"/>
        <w:rPr>
          <w:rFonts w:asciiTheme="minorHAnsi" w:eastAsiaTheme="minorEastAsia" w:hAnsiTheme="minorHAnsi" w:cstheme="minorBidi"/>
          <w:szCs w:val="22"/>
        </w:rPr>
      </w:pPr>
      <w:r>
        <w:t>21.</w:t>
      </w:r>
      <w:r>
        <w:tab/>
        <w:t>Effect of suspension of WA registered provider</w:t>
      </w:r>
      <w:r>
        <w:tab/>
      </w:r>
      <w:r>
        <w:fldChar w:fldCharType="begin"/>
      </w:r>
      <w:r>
        <w:instrText xml:space="preserve"> PAGEREF _Toc209016863 \h </w:instrText>
      </w:r>
      <w:r>
        <w:fldChar w:fldCharType="separate"/>
      </w:r>
      <w:r>
        <w:t>22</w:t>
      </w:r>
      <w:r>
        <w:fldChar w:fldCharType="end"/>
      </w:r>
    </w:p>
    <w:p>
      <w:pPr>
        <w:pStyle w:val="TOC8"/>
        <w:rPr>
          <w:rFonts w:asciiTheme="minorHAnsi" w:eastAsiaTheme="minorEastAsia" w:hAnsiTheme="minorHAnsi" w:cstheme="minorBidi"/>
          <w:szCs w:val="22"/>
        </w:rPr>
      </w:pPr>
      <w:r>
        <w:t>22.</w:t>
      </w:r>
      <w:r>
        <w:tab/>
        <w:t>Requests for reassessment of decision to suspend WA registered provider</w:t>
      </w:r>
      <w:r>
        <w:tab/>
      </w:r>
      <w:r>
        <w:fldChar w:fldCharType="begin"/>
      </w:r>
      <w:r>
        <w:instrText xml:space="preserve"> PAGEREF _Toc209016864 \h </w:instrText>
      </w:r>
      <w:r>
        <w:fldChar w:fldCharType="separate"/>
      </w:r>
      <w:r>
        <w:t>22</w:t>
      </w:r>
      <w:r>
        <w:fldChar w:fldCharType="end"/>
      </w:r>
    </w:p>
    <w:p>
      <w:pPr>
        <w:pStyle w:val="TOC8"/>
        <w:rPr>
          <w:rFonts w:asciiTheme="minorHAnsi" w:eastAsiaTheme="minorEastAsia" w:hAnsiTheme="minorHAnsi" w:cstheme="minorBidi"/>
          <w:szCs w:val="22"/>
        </w:rPr>
      </w:pPr>
      <w:r>
        <w:t>23.</w:t>
      </w:r>
      <w:r>
        <w:tab/>
        <w:t>Fees</w:t>
      </w:r>
      <w:r>
        <w:tab/>
      </w:r>
      <w:r>
        <w:fldChar w:fldCharType="begin"/>
      </w:r>
      <w:r>
        <w:instrText xml:space="preserve"> PAGEREF _Toc209016865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Audits of, and investigations into, training providers</w:t>
      </w:r>
    </w:p>
    <w:p>
      <w:pPr>
        <w:pStyle w:val="TOC8"/>
        <w:rPr>
          <w:rFonts w:asciiTheme="minorHAnsi" w:eastAsiaTheme="minorEastAsia" w:hAnsiTheme="minorHAnsi" w:cstheme="minorBidi"/>
          <w:szCs w:val="22"/>
        </w:rPr>
      </w:pPr>
      <w:r>
        <w:t>24.</w:t>
      </w:r>
      <w:r>
        <w:tab/>
        <w:t>Term used: official travel costs</w:t>
      </w:r>
      <w:r>
        <w:tab/>
      </w:r>
      <w:r>
        <w:fldChar w:fldCharType="begin"/>
      </w:r>
      <w:r>
        <w:instrText xml:space="preserve"> PAGEREF _Toc209016867 \h </w:instrText>
      </w:r>
      <w:r>
        <w:fldChar w:fldCharType="separate"/>
      </w:r>
      <w:r>
        <w:t>23</w:t>
      </w:r>
      <w:r>
        <w:fldChar w:fldCharType="end"/>
      </w:r>
    </w:p>
    <w:p>
      <w:pPr>
        <w:pStyle w:val="TOC8"/>
        <w:rPr>
          <w:rFonts w:asciiTheme="minorHAnsi" w:eastAsiaTheme="minorEastAsia" w:hAnsiTheme="minorHAnsi" w:cstheme="minorBidi"/>
          <w:szCs w:val="22"/>
        </w:rPr>
      </w:pPr>
      <w:r>
        <w:t>25.</w:t>
      </w:r>
      <w:r>
        <w:tab/>
        <w:t>Audits</w:t>
      </w:r>
      <w:r>
        <w:tab/>
      </w:r>
      <w:r>
        <w:fldChar w:fldCharType="begin"/>
      </w:r>
      <w:r>
        <w:instrText xml:space="preserve"> PAGEREF _Toc209016868 \h </w:instrText>
      </w:r>
      <w:r>
        <w:fldChar w:fldCharType="separate"/>
      </w:r>
      <w:r>
        <w:t>24</w:t>
      </w:r>
      <w:r>
        <w:fldChar w:fldCharType="end"/>
      </w:r>
    </w:p>
    <w:p>
      <w:pPr>
        <w:pStyle w:val="TOC8"/>
        <w:rPr>
          <w:rFonts w:asciiTheme="minorHAnsi" w:eastAsiaTheme="minorEastAsia" w:hAnsiTheme="minorHAnsi" w:cstheme="minorBidi"/>
          <w:szCs w:val="22"/>
        </w:rPr>
      </w:pPr>
      <w:r>
        <w:t>26A.</w:t>
      </w:r>
      <w:r>
        <w:tab/>
        <w:t>Compliance audits</w:t>
      </w:r>
      <w:r>
        <w:tab/>
      </w:r>
      <w:r>
        <w:fldChar w:fldCharType="begin"/>
      </w:r>
      <w:r>
        <w:instrText xml:space="preserve"> PAGEREF _Toc209016869 \h </w:instrText>
      </w:r>
      <w:r>
        <w:fldChar w:fldCharType="separate"/>
      </w:r>
      <w:r>
        <w:t>24</w:t>
      </w:r>
      <w:r>
        <w:fldChar w:fldCharType="end"/>
      </w:r>
    </w:p>
    <w:p>
      <w:pPr>
        <w:pStyle w:val="TOC8"/>
        <w:rPr>
          <w:rFonts w:asciiTheme="minorHAnsi" w:eastAsiaTheme="minorEastAsia" w:hAnsiTheme="minorHAnsi" w:cstheme="minorBidi"/>
          <w:szCs w:val="22"/>
        </w:rPr>
      </w:pPr>
      <w:r>
        <w:t>26B.</w:t>
      </w:r>
      <w:r>
        <w:tab/>
      </w:r>
      <w:r>
        <w:rPr>
          <w:bCs/>
        </w:rPr>
        <w:t>Investigations</w:t>
      </w:r>
      <w:r>
        <w:tab/>
      </w:r>
      <w:r>
        <w:fldChar w:fldCharType="begin"/>
      </w:r>
      <w:r>
        <w:instrText xml:space="preserve"> PAGEREF _Toc209016870 \h </w:instrText>
      </w:r>
      <w:r>
        <w:fldChar w:fldCharType="separate"/>
      </w:r>
      <w:r>
        <w:t>26</w:t>
      </w:r>
      <w:r>
        <w:fldChar w:fldCharType="end"/>
      </w:r>
    </w:p>
    <w:p>
      <w:pPr>
        <w:pStyle w:val="TOC8"/>
        <w:rPr>
          <w:rFonts w:asciiTheme="minorHAnsi" w:eastAsiaTheme="minorEastAsia" w:hAnsiTheme="minorHAnsi" w:cstheme="minorBidi"/>
          <w:szCs w:val="22"/>
        </w:rPr>
      </w:pPr>
      <w:r>
        <w:t>26C.</w:t>
      </w:r>
      <w:r>
        <w:tab/>
        <w:t>Circumstances in which a charge may be waived in whole or in part</w:t>
      </w:r>
      <w:r>
        <w:tab/>
      </w:r>
      <w:r>
        <w:fldChar w:fldCharType="begin"/>
      </w:r>
      <w:r>
        <w:instrText xml:space="preserve"> PAGEREF _Toc209016871 \h </w:instrText>
      </w:r>
      <w:r>
        <w:fldChar w:fldCharType="separate"/>
      </w:r>
      <w:r>
        <w:t>28</w:t>
      </w:r>
      <w:r>
        <w:fldChar w:fldCharType="end"/>
      </w:r>
    </w:p>
    <w:p>
      <w:pPr>
        <w:pStyle w:val="TOC8"/>
        <w:rPr>
          <w:rFonts w:asciiTheme="minorHAnsi" w:eastAsiaTheme="minorEastAsia" w:hAnsiTheme="minorHAnsi" w:cstheme="minorBidi"/>
          <w:szCs w:val="22"/>
        </w:rPr>
      </w:pPr>
      <w:r>
        <w:t>26D.</w:t>
      </w:r>
      <w:r>
        <w:tab/>
        <w:t>Rounding</w:t>
      </w:r>
      <w:r>
        <w:tab/>
      </w:r>
      <w:r>
        <w:fldChar w:fldCharType="begin"/>
      </w:r>
      <w:r>
        <w:instrText xml:space="preserve"> PAGEREF _Toc209016872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Obligations of registered training providers and of the Council</w:t>
      </w:r>
    </w:p>
    <w:p>
      <w:pPr>
        <w:pStyle w:val="TOC8"/>
        <w:rPr>
          <w:rFonts w:asciiTheme="minorHAnsi" w:eastAsiaTheme="minorEastAsia" w:hAnsiTheme="minorHAnsi" w:cstheme="minorBidi"/>
          <w:szCs w:val="22"/>
        </w:rPr>
      </w:pPr>
      <w:r>
        <w:t>26.</w:t>
      </w:r>
      <w:r>
        <w:tab/>
        <w:t>Reporting to Council</w:t>
      </w:r>
      <w:r>
        <w:tab/>
      </w:r>
      <w:r>
        <w:fldChar w:fldCharType="begin"/>
      </w:r>
      <w:r>
        <w:instrText xml:space="preserve"> PAGEREF _Toc209016874 \h </w:instrText>
      </w:r>
      <w:r>
        <w:fldChar w:fldCharType="separate"/>
      </w:r>
      <w:r>
        <w:t>29</w:t>
      </w:r>
      <w:r>
        <w:fldChar w:fldCharType="end"/>
      </w:r>
    </w:p>
    <w:p>
      <w:pPr>
        <w:pStyle w:val="TOC8"/>
        <w:rPr>
          <w:rFonts w:asciiTheme="minorHAnsi" w:eastAsiaTheme="minorEastAsia" w:hAnsiTheme="minorHAnsi" w:cstheme="minorBidi"/>
          <w:szCs w:val="22"/>
        </w:rPr>
      </w:pPr>
      <w:r>
        <w:t>27.</w:t>
      </w:r>
      <w:r>
        <w:tab/>
        <w:t>Giving Council information on ceasing operations</w:t>
      </w:r>
      <w:r>
        <w:tab/>
      </w:r>
      <w:r>
        <w:fldChar w:fldCharType="begin"/>
      </w:r>
      <w:r>
        <w:instrText xml:space="preserve"> PAGEREF _Toc209016875 \h </w:instrText>
      </w:r>
      <w:r>
        <w:fldChar w:fldCharType="separate"/>
      </w:r>
      <w:r>
        <w:t>30</w:t>
      </w:r>
      <w:r>
        <w:fldChar w:fldCharType="end"/>
      </w:r>
    </w:p>
    <w:p>
      <w:pPr>
        <w:pStyle w:val="TOC8"/>
        <w:rPr>
          <w:rFonts w:asciiTheme="minorHAnsi" w:eastAsiaTheme="minorEastAsia" w:hAnsiTheme="minorHAnsi" w:cstheme="minorBidi"/>
          <w:szCs w:val="22"/>
        </w:rPr>
      </w:pPr>
      <w:r>
        <w:t>28A.</w:t>
      </w:r>
      <w:r>
        <w:tab/>
        <w:t>Person may obtain from Council certified copies of information</w:t>
      </w:r>
      <w:r>
        <w:tab/>
      </w:r>
      <w:r>
        <w:fldChar w:fldCharType="begin"/>
      </w:r>
      <w:r>
        <w:instrText xml:space="preserve"> PAGEREF _Toc209016876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Accreditation of VET courses</w:t>
      </w:r>
    </w:p>
    <w:p>
      <w:pPr>
        <w:pStyle w:val="TOC8"/>
        <w:rPr>
          <w:rFonts w:asciiTheme="minorHAnsi" w:eastAsiaTheme="minorEastAsia" w:hAnsiTheme="minorHAnsi" w:cstheme="minorBidi"/>
          <w:szCs w:val="22"/>
        </w:rPr>
      </w:pPr>
      <w:r>
        <w:t>28.</w:t>
      </w:r>
      <w:r>
        <w:tab/>
        <w:t>Applying to have VET course accredited</w:t>
      </w:r>
      <w:r>
        <w:tab/>
      </w:r>
      <w:r>
        <w:fldChar w:fldCharType="begin"/>
      </w:r>
      <w:r>
        <w:instrText xml:space="preserve"> PAGEREF _Toc209016878 \h </w:instrText>
      </w:r>
      <w:r>
        <w:fldChar w:fldCharType="separate"/>
      </w:r>
      <w:r>
        <w:t>32</w:t>
      </w:r>
      <w:r>
        <w:fldChar w:fldCharType="end"/>
      </w:r>
    </w:p>
    <w:p>
      <w:pPr>
        <w:pStyle w:val="TOC8"/>
        <w:rPr>
          <w:rFonts w:asciiTheme="minorHAnsi" w:eastAsiaTheme="minorEastAsia" w:hAnsiTheme="minorHAnsi" w:cstheme="minorBidi"/>
          <w:szCs w:val="22"/>
        </w:rPr>
      </w:pPr>
      <w:r>
        <w:t>29.</w:t>
      </w:r>
      <w:r>
        <w:tab/>
        <w:t>Dealing with applications</w:t>
      </w:r>
      <w:r>
        <w:tab/>
      </w:r>
      <w:r>
        <w:fldChar w:fldCharType="begin"/>
      </w:r>
      <w:r>
        <w:instrText xml:space="preserve"> PAGEREF _Toc209016879 \h </w:instrText>
      </w:r>
      <w:r>
        <w:fldChar w:fldCharType="separate"/>
      </w:r>
      <w:r>
        <w:t>32</w:t>
      </w:r>
      <w:r>
        <w:fldChar w:fldCharType="end"/>
      </w:r>
    </w:p>
    <w:p>
      <w:pPr>
        <w:pStyle w:val="TOC8"/>
        <w:rPr>
          <w:rFonts w:asciiTheme="minorHAnsi" w:eastAsiaTheme="minorEastAsia" w:hAnsiTheme="minorHAnsi" w:cstheme="minorBidi"/>
          <w:szCs w:val="22"/>
        </w:rPr>
      </w:pPr>
      <w:r>
        <w:t>30.</w:t>
      </w:r>
      <w:r>
        <w:tab/>
        <w:t>Accrediting VET courses</w:t>
      </w:r>
      <w:r>
        <w:tab/>
      </w:r>
      <w:r>
        <w:fldChar w:fldCharType="begin"/>
      </w:r>
      <w:r>
        <w:instrText xml:space="preserve"> PAGEREF _Toc209016880 \h </w:instrText>
      </w:r>
      <w:r>
        <w:fldChar w:fldCharType="separate"/>
      </w:r>
      <w:r>
        <w:t>33</w:t>
      </w:r>
      <w:r>
        <w:fldChar w:fldCharType="end"/>
      </w:r>
    </w:p>
    <w:p>
      <w:pPr>
        <w:pStyle w:val="TOC8"/>
        <w:rPr>
          <w:rFonts w:asciiTheme="minorHAnsi" w:eastAsiaTheme="minorEastAsia" w:hAnsiTheme="minorHAnsi" w:cstheme="minorBidi"/>
          <w:szCs w:val="22"/>
        </w:rPr>
      </w:pPr>
      <w:r>
        <w:t>31.</w:t>
      </w:r>
      <w:r>
        <w:tab/>
        <w:t>Period of accreditation</w:t>
      </w:r>
      <w:r>
        <w:tab/>
      </w:r>
      <w:r>
        <w:fldChar w:fldCharType="begin"/>
      </w:r>
      <w:r>
        <w:instrText xml:space="preserve"> PAGEREF _Toc209016881 \h </w:instrText>
      </w:r>
      <w:r>
        <w:fldChar w:fldCharType="separate"/>
      </w:r>
      <w:r>
        <w:t>34</w:t>
      </w:r>
      <w:r>
        <w:fldChar w:fldCharType="end"/>
      </w:r>
    </w:p>
    <w:p>
      <w:pPr>
        <w:pStyle w:val="TOC8"/>
        <w:rPr>
          <w:rFonts w:asciiTheme="minorHAnsi" w:eastAsiaTheme="minorEastAsia" w:hAnsiTheme="minorHAnsi" w:cstheme="minorBidi"/>
          <w:szCs w:val="22"/>
        </w:rPr>
      </w:pPr>
      <w:r>
        <w:t>32.</w:t>
      </w:r>
      <w:r>
        <w:tab/>
        <w:t>Renewing accreditation</w:t>
      </w:r>
      <w:r>
        <w:tab/>
      </w:r>
      <w:r>
        <w:fldChar w:fldCharType="begin"/>
      </w:r>
      <w:r>
        <w:instrText xml:space="preserve"> PAGEREF _Toc209016882 \h </w:instrText>
      </w:r>
      <w:r>
        <w:fldChar w:fldCharType="separate"/>
      </w:r>
      <w:r>
        <w:t>34</w:t>
      </w:r>
      <w:r>
        <w:fldChar w:fldCharType="end"/>
      </w:r>
    </w:p>
    <w:p>
      <w:pPr>
        <w:pStyle w:val="TOC8"/>
        <w:rPr>
          <w:rFonts w:asciiTheme="minorHAnsi" w:eastAsiaTheme="minorEastAsia" w:hAnsiTheme="minorHAnsi" w:cstheme="minorBidi"/>
          <w:szCs w:val="22"/>
        </w:rPr>
      </w:pPr>
      <w:r>
        <w:t>33A.</w:t>
      </w:r>
      <w:r>
        <w:tab/>
        <w:t>Varying accreditation</w:t>
      </w:r>
      <w:r>
        <w:tab/>
      </w:r>
      <w:r>
        <w:fldChar w:fldCharType="begin"/>
      </w:r>
      <w:r>
        <w:instrText xml:space="preserve"> PAGEREF _Toc209016883 \h </w:instrText>
      </w:r>
      <w:r>
        <w:fldChar w:fldCharType="separate"/>
      </w:r>
      <w:r>
        <w:t>34</w:t>
      </w:r>
      <w:r>
        <w:fldChar w:fldCharType="end"/>
      </w:r>
    </w:p>
    <w:p>
      <w:pPr>
        <w:pStyle w:val="TOC8"/>
        <w:rPr>
          <w:rFonts w:asciiTheme="minorHAnsi" w:eastAsiaTheme="minorEastAsia" w:hAnsiTheme="minorHAnsi" w:cstheme="minorBidi"/>
          <w:szCs w:val="22"/>
        </w:rPr>
      </w:pPr>
      <w:r>
        <w:t>33.</w:t>
      </w:r>
      <w:r>
        <w:tab/>
        <w:t>Cancelling accreditation</w:t>
      </w:r>
      <w:r>
        <w:tab/>
      </w:r>
      <w:r>
        <w:fldChar w:fldCharType="begin"/>
      </w:r>
      <w:r>
        <w:instrText xml:space="preserve"> PAGEREF _Toc209016884 \h </w:instrText>
      </w:r>
      <w:r>
        <w:fldChar w:fldCharType="separate"/>
      </w:r>
      <w:r>
        <w:t>36</w:t>
      </w:r>
      <w:r>
        <w:fldChar w:fldCharType="end"/>
      </w:r>
    </w:p>
    <w:p>
      <w:pPr>
        <w:pStyle w:val="TOC8"/>
        <w:rPr>
          <w:rFonts w:asciiTheme="minorHAnsi" w:eastAsiaTheme="minorEastAsia" w:hAnsiTheme="minorHAnsi" w:cstheme="minorBidi"/>
          <w:szCs w:val="22"/>
        </w:rPr>
      </w:pPr>
      <w:r>
        <w:t>34A.</w:t>
      </w:r>
      <w:r>
        <w:tab/>
        <w:t>Validity of decisions unaffected</w:t>
      </w:r>
      <w:r>
        <w:tab/>
      </w:r>
      <w:r>
        <w:fldChar w:fldCharType="begin"/>
      </w:r>
      <w:r>
        <w:instrText xml:space="preserve"> PAGEREF _Toc209016885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Regulations for Part 7 of the Act</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34.</w:t>
      </w:r>
      <w:r>
        <w:tab/>
        <w:t>Term used: nominated training provider</w:t>
      </w:r>
      <w:r>
        <w:tab/>
      </w:r>
      <w:r>
        <w:fldChar w:fldCharType="begin"/>
      </w:r>
      <w:r>
        <w:instrText xml:space="preserve"> PAGEREF _Toc209016888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Classifying prescribed VET qualifications</w:t>
      </w:r>
    </w:p>
    <w:p>
      <w:pPr>
        <w:pStyle w:val="TOC8"/>
        <w:rPr>
          <w:rFonts w:asciiTheme="minorHAnsi" w:eastAsiaTheme="minorEastAsia" w:hAnsiTheme="minorHAnsi" w:cstheme="minorBidi"/>
          <w:szCs w:val="22"/>
        </w:rPr>
      </w:pPr>
      <w:r>
        <w:t>36.</w:t>
      </w:r>
      <w:r>
        <w:tab/>
        <w:t>Who Board must consult (Act s. 60C)</w:t>
      </w:r>
      <w:r>
        <w:tab/>
      </w:r>
      <w:r>
        <w:fldChar w:fldCharType="begin"/>
      </w:r>
      <w:r>
        <w:instrText xml:space="preserve"> PAGEREF _Toc209016890 \h </w:instrText>
      </w:r>
      <w:r>
        <w:fldChar w:fldCharType="separate"/>
      </w:r>
      <w:r>
        <w:t>37</w:t>
      </w:r>
      <w:r>
        <w:fldChar w:fldCharType="end"/>
      </w:r>
    </w:p>
    <w:p>
      <w:pPr>
        <w:pStyle w:val="TOC8"/>
        <w:rPr>
          <w:rFonts w:asciiTheme="minorHAnsi" w:eastAsiaTheme="minorEastAsia" w:hAnsiTheme="minorHAnsi" w:cstheme="minorBidi"/>
          <w:szCs w:val="22"/>
        </w:rPr>
      </w:pPr>
      <w:r>
        <w:t>37.</w:t>
      </w:r>
      <w:r>
        <w:tab/>
        <w:t>Board’s advice and recommendations to Minister (Act s. 60C)</w:t>
      </w:r>
      <w:r>
        <w:tab/>
      </w:r>
      <w:r>
        <w:fldChar w:fldCharType="begin"/>
      </w:r>
      <w:r>
        <w:instrText xml:space="preserve"> PAGEREF _Toc209016891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Training contracts</w:t>
      </w:r>
    </w:p>
    <w:p>
      <w:pPr>
        <w:pStyle w:val="TOC8"/>
        <w:rPr>
          <w:rFonts w:asciiTheme="minorHAnsi" w:eastAsiaTheme="minorEastAsia" w:hAnsiTheme="minorHAnsi" w:cstheme="minorBidi"/>
          <w:szCs w:val="22"/>
        </w:rPr>
      </w:pPr>
      <w:r>
        <w:t>38.</w:t>
      </w:r>
      <w:r>
        <w:tab/>
        <w:t>Form and content of training contracts</w:t>
      </w:r>
      <w:r>
        <w:tab/>
      </w:r>
      <w:r>
        <w:fldChar w:fldCharType="begin"/>
      </w:r>
      <w:r>
        <w:instrText xml:space="preserve"> PAGEREF _Toc209016893 \h </w:instrText>
      </w:r>
      <w:r>
        <w:fldChar w:fldCharType="separate"/>
      </w:r>
      <w:r>
        <w:t>39</w:t>
      </w:r>
      <w:r>
        <w:fldChar w:fldCharType="end"/>
      </w:r>
    </w:p>
    <w:p>
      <w:pPr>
        <w:pStyle w:val="TOC8"/>
        <w:rPr>
          <w:rFonts w:asciiTheme="minorHAnsi" w:eastAsiaTheme="minorEastAsia" w:hAnsiTheme="minorHAnsi" w:cstheme="minorBidi"/>
          <w:szCs w:val="22"/>
        </w:rPr>
      </w:pPr>
      <w:r>
        <w:t>39.</w:t>
      </w:r>
      <w:r>
        <w:tab/>
        <w:t>Probation periods of training contracts</w:t>
      </w:r>
      <w:r>
        <w:tab/>
      </w:r>
      <w:r>
        <w:fldChar w:fldCharType="begin"/>
      </w:r>
      <w:r>
        <w:instrText xml:space="preserve"> PAGEREF _Toc209016894 \h </w:instrText>
      </w:r>
      <w:r>
        <w:fldChar w:fldCharType="separate"/>
      </w:r>
      <w:r>
        <w:t>40</w:t>
      </w:r>
      <w:r>
        <w:fldChar w:fldCharType="end"/>
      </w:r>
    </w:p>
    <w:p>
      <w:pPr>
        <w:pStyle w:val="TOC8"/>
        <w:rPr>
          <w:rFonts w:asciiTheme="minorHAnsi" w:eastAsiaTheme="minorEastAsia" w:hAnsiTheme="minorHAnsi" w:cstheme="minorBidi"/>
          <w:szCs w:val="22"/>
        </w:rPr>
      </w:pPr>
      <w:r>
        <w:t>40.</w:t>
      </w:r>
      <w:r>
        <w:tab/>
        <w:t>Children’s capacity to enter into training contracts</w:t>
      </w:r>
      <w:r>
        <w:tab/>
      </w:r>
      <w:r>
        <w:fldChar w:fldCharType="begin"/>
      </w:r>
      <w:r>
        <w:instrText xml:space="preserve"> PAGEREF _Toc209016895 \h </w:instrText>
      </w:r>
      <w:r>
        <w:fldChar w:fldCharType="separate"/>
      </w:r>
      <w:r>
        <w:t>40</w:t>
      </w:r>
      <w:r>
        <w:fldChar w:fldCharType="end"/>
      </w:r>
    </w:p>
    <w:p>
      <w:pPr>
        <w:pStyle w:val="TOC8"/>
        <w:rPr>
          <w:rFonts w:asciiTheme="minorHAnsi" w:eastAsiaTheme="minorEastAsia" w:hAnsiTheme="minorHAnsi" w:cstheme="minorBidi"/>
          <w:szCs w:val="22"/>
        </w:rPr>
      </w:pPr>
      <w:r>
        <w:t>41.</w:t>
      </w:r>
      <w:r>
        <w:tab/>
        <w:t>Lodging training contracts for registration (Act s. 60F)</w:t>
      </w:r>
      <w:r>
        <w:tab/>
      </w:r>
      <w:r>
        <w:fldChar w:fldCharType="begin"/>
      </w:r>
      <w:r>
        <w:instrText xml:space="preserve"> PAGEREF _Toc209016896 \h </w:instrText>
      </w:r>
      <w:r>
        <w:fldChar w:fldCharType="separate"/>
      </w:r>
      <w:r>
        <w:t>42</w:t>
      </w:r>
      <w:r>
        <w:fldChar w:fldCharType="end"/>
      </w:r>
    </w:p>
    <w:p>
      <w:pPr>
        <w:pStyle w:val="TOC8"/>
        <w:rPr>
          <w:rFonts w:asciiTheme="minorHAnsi" w:eastAsiaTheme="minorEastAsia" w:hAnsiTheme="minorHAnsi" w:cstheme="minorBidi"/>
          <w:szCs w:val="22"/>
        </w:rPr>
      </w:pPr>
      <w:r>
        <w:t>42.</w:t>
      </w:r>
      <w:r>
        <w:tab/>
        <w:t>Registering training contracts (Act s. 60F)</w:t>
      </w:r>
      <w:r>
        <w:tab/>
      </w:r>
      <w:r>
        <w:fldChar w:fldCharType="begin"/>
      </w:r>
      <w:r>
        <w:instrText xml:space="preserve"> PAGEREF _Toc209016897 \h </w:instrText>
      </w:r>
      <w:r>
        <w:fldChar w:fldCharType="separate"/>
      </w:r>
      <w:r>
        <w:t>42</w:t>
      </w:r>
      <w:r>
        <w:fldChar w:fldCharType="end"/>
      </w:r>
    </w:p>
    <w:p>
      <w:pPr>
        <w:pStyle w:val="TOC8"/>
        <w:rPr>
          <w:rFonts w:asciiTheme="minorHAnsi" w:eastAsiaTheme="minorEastAsia" w:hAnsiTheme="minorHAnsi" w:cstheme="minorBidi"/>
          <w:szCs w:val="22"/>
        </w:rPr>
      </w:pPr>
      <w:r>
        <w:t>43.</w:t>
      </w:r>
      <w:r>
        <w:tab/>
        <w:t>Training plans for training contracts</w:t>
      </w:r>
      <w:r>
        <w:tab/>
      </w:r>
      <w:r>
        <w:fldChar w:fldCharType="begin"/>
      </w:r>
      <w:r>
        <w:instrText xml:space="preserve"> PAGEREF _Toc209016898 \h </w:instrText>
      </w:r>
      <w:r>
        <w:fldChar w:fldCharType="separate"/>
      </w:r>
      <w:r>
        <w:t>44</w:t>
      </w:r>
      <w:r>
        <w:fldChar w:fldCharType="end"/>
      </w:r>
    </w:p>
    <w:p>
      <w:pPr>
        <w:pStyle w:val="TOC8"/>
        <w:rPr>
          <w:rFonts w:asciiTheme="minorHAnsi" w:eastAsiaTheme="minorEastAsia" w:hAnsiTheme="minorHAnsi" w:cstheme="minorBidi"/>
          <w:szCs w:val="22"/>
        </w:rPr>
      </w:pPr>
      <w:r>
        <w:t>44.</w:t>
      </w:r>
      <w:r>
        <w:tab/>
        <w:t>Cancellation of registration by chief executive (Act s. 60F)</w:t>
      </w:r>
      <w:r>
        <w:tab/>
      </w:r>
      <w:r>
        <w:fldChar w:fldCharType="begin"/>
      </w:r>
      <w:r>
        <w:instrText xml:space="preserve"> PAGEREF _Toc209016899 \h </w:instrText>
      </w:r>
      <w:r>
        <w:fldChar w:fldCharType="separate"/>
      </w:r>
      <w:r>
        <w:t>46</w:t>
      </w:r>
      <w:r>
        <w:fldChar w:fldCharType="end"/>
      </w:r>
    </w:p>
    <w:p>
      <w:pPr>
        <w:pStyle w:val="TOC8"/>
        <w:rPr>
          <w:rFonts w:asciiTheme="minorHAnsi" w:eastAsiaTheme="minorEastAsia" w:hAnsiTheme="minorHAnsi" w:cstheme="minorBidi"/>
          <w:szCs w:val="22"/>
        </w:rPr>
      </w:pPr>
      <w:r>
        <w:t>45.</w:t>
      </w:r>
      <w:r>
        <w:tab/>
        <w:t>Chief executive may require persons involved in training contracts to provide information</w:t>
      </w:r>
      <w:r>
        <w:tab/>
      </w:r>
      <w:r>
        <w:fldChar w:fldCharType="begin"/>
      </w:r>
      <w:r>
        <w:instrText xml:space="preserve"> PAGEREF _Toc209016900 \h </w:instrText>
      </w:r>
      <w:r>
        <w:fldChar w:fldCharType="separate"/>
      </w:r>
      <w:r>
        <w:t>47</w:t>
      </w:r>
      <w:r>
        <w:fldChar w:fldCharType="end"/>
      </w:r>
    </w:p>
    <w:p>
      <w:pPr>
        <w:pStyle w:val="TOC8"/>
        <w:rPr>
          <w:rFonts w:asciiTheme="minorHAnsi" w:eastAsiaTheme="minorEastAsia" w:hAnsiTheme="minorHAnsi" w:cstheme="minorBidi"/>
          <w:szCs w:val="22"/>
        </w:rPr>
      </w:pPr>
      <w:r>
        <w:t>46.</w:t>
      </w:r>
      <w:r>
        <w:tab/>
        <w:t>Variation of training contract by parties (Act s. 60E)</w:t>
      </w:r>
      <w:r>
        <w:tab/>
      </w:r>
      <w:r>
        <w:fldChar w:fldCharType="begin"/>
      </w:r>
      <w:r>
        <w:instrText xml:space="preserve"> PAGEREF _Toc209016901 \h </w:instrText>
      </w:r>
      <w:r>
        <w:fldChar w:fldCharType="separate"/>
      </w:r>
      <w:r>
        <w:t>47</w:t>
      </w:r>
      <w:r>
        <w:fldChar w:fldCharType="end"/>
      </w:r>
    </w:p>
    <w:p>
      <w:pPr>
        <w:pStyle w:val="TOC8"/>
        <w:rPr>
          <w:rFonts w:asciiTheme="minorHAnsi" w:eastAsiaTheme="minorEastAsia" w:hAnsiTheme="minorHAnsi" w:cstheme="minorBidi"/>
          <w:szCs w:val="22"/>
        </w:rPr>
      </w:pPr>
      <w:r>
        <w:t>47.</w:t>
      </w:r>
      <w:r>
        <w:tab/>
        <w:t>Assignment of training contract to another employer (Act s. 60E)</w:t>
      </w:r>
      <w:r>
        <w:tab/>
      </w:r>
      <w:r>
        <w:fldChar w:fldCharType="begin"/>
      </w:r>
      <w:r>
        <w:instrText xml:space="preserve"> PAGEREF _Toc209016902 \h </w:instrText>
      </w:r>
      <w:r>
        <w:fldChar w:fldCharType="separate"/>
      </w:r>
      <w:r>
        <w:t>49</w:t>
      </w:r>
      <w:r>
        <w:fldChar w:fldCharType="end"/>
      </w:r>
    </w:p>
    <w:p>
      <w:pPr>
        <w:pStyle w:val="TOC8"/>
        <w:rPr>
          <w:rFonts w:asciiTheme="minorHAnsi" w:eastAsiaTheme="minorEastAsia" w:hAnsiTheme="minorHAnsi" w:cstheme="minorBidi"/>
          <w:szCs w:val="22"/>
        </w:rPr>
      </w:pPr>
      <w:r>
        <w:t>48.</w:t>
      </w:r>
      <w:r>
        <w:tab/>
        <w:t>Suspension of training contract by parties (Act s. 60E)</w:t>
      </w:r>
      <w:r>
        <w:tab/>
      </w:r>
      <w:r>
        <w:fldChar w:fldCharType="begin"/>
      </w:r>
      <w:r>
        <w:instrText xml:space="preserve"> PAGEREF _Toc209016903 \h </w:instrText>
      </w:r>
      <w:r>
        <w:fldChar w:fldCharType="separate"/>
      </w:r>
      <w:r>
        <w:t>50</w:t>
      </w:r>
      <w:r>
        <w:fldChar w:fldCharType="end"/>
      </w:r>
    </w:p>
    <w:p>
      <w:pPr>
        <w:pStyle w:val="TOC8"/>
        <w:rPr>
          <w:rFonts w:asciiTheme="minorHAnsi" w:eastAsiaTheme="minorEastAsia" w:hAnsiTheme="minorHAnsi" w:cstheme="minorBidi"/>
          <w:szCs w:val="22"/>
        </w:rPr>
      </w:pPr>
      <w:r>
        <w:t>49.</w:t>
      </w:r>
      <w:r>
        <w:tab/>
        <w:t>Suspension by employer (Act s. 60E)</w:t>
      </w:r>
      <w:r>
        <w:tab/>
      </w:r>
      <w:r>
        <w:fldChar w:fldCharType="begin"/>
      </w:r>
      <w:r>
        <w:instrText xml:space="preserve"> PAGEREF _Toc209016904 \h </w:instrText>
      </w:r>
      <w:r>
        <w:fldChar w:fldCharType="separate"/>
      </w:r>
      <w:r>
        <w:t>50</w:t>
      </w:r>
      <w:r>
        <w:fldChar w:fldCharType="end"/>
      </w:r>
    </w:p>
    <w:p>
      <w:pPr>
        <w:pStyle w:val="TOC8"/>
        <w:rPr>
          <w:rFonts w:asciiTheme="minorHAnsi" w:eastAsiaTheme="minorEastAsia" w:hAnsiTheme="minorHAnsi" w:cstheme="minorBidi"/>
          <w:szCs w:val="22"/>
        </w:rPr>
      </w:pPr>
      <w:r>
        <w:t>50.</w:t>
      </w:r>
      <w:r>
        <w:tab/>
        <w:t>Termination of training contract by parties (Act s. 60G)</w:t>
      </w:r>
      <w:r>
        <w:tab/>
      </w:r>
      <w:r>
        <w:fldChar w:fldCharType="begin"/>
      </w:r>
      <w:r>
        <w:instrText xml:space="preserve"> PAGEREF _Toc209016905 \h </w:instrText>
      </w:r>
      <w:r>
        <w:fldChar w:fldCharType="separate"/>
      </w:r>
      <w:r>
        <w:t>52</w:t>
      </w:r>
      <w:r>
        <w:fldChar w:fldCharType="end"/>
      </w:r>
    </w:p>
    <w:p>
      <w:pPr>
        <w:pStyle w:val="TOC8"/>
        <w:rPr>
          <w:rFonts w:asciiTheme="minorHAnsi" w:eastAsiaTheme="minorEastAsia" w:hAnsiTheme="minorHAnsi" w:cstheme="minorBidi"/>
          <w:szCs w:val="22"/>
        </w:rPr>
      </w:pPr>
      <w:r>
        <w:t>51.</w:t>
      </w:r>
      <w:r>
        <w:tab/>
        <w:t>Approval of termination of training contract by chief executive (Act s. 60G)</w:t>
      </w:r>
      <w:r>
        <w:tab/>
      </w:r>
      <w:r>
        <w:fldChar w:fldCharType="begin"/>
      </w:r>
      <w:r>
        <w:instrText xml:space="preserve"> PAGEREF _Toc209016906 \h </w:instrText>
      </w:r>
      <w:r>
        <w:fldChar w:fldCharType="separate"/>
      </w:r>
      <w:r>
        <w:t>52</w:t>
      </w:r>
      <w:r>
        <w:fldChar w:fldCharType="end"/>
      </w:r>
    </w:p>
    <w:p>
      <w:pPr>
        <w:pStyle w:val="TOC8"/>
        <w:rPr>
          <w:rFonts w:asciiTheme="minorHAnsi" w:eastAsiaTheme="minorEastAsia" w:hAnsiTheme="minorHAnsi" w:cstheme="minorBidi"/>
          <w:szCs w:val="22"/>
        </w:rPr>
      </w:pPr>
      <w:r>
        <w:t>52.</w:t>
      </w:r>
      <w:r>
        <w:tab/>
        <w:t>Completion of training contract</w:t>
      </w:r>
      <w:r>
        <w:tab/>
      </w:r>
      <w:r>
        <w:fldChar w:fldCharType="begin"/>
      </w:r>
      <w:r>
        <w:instrText xml:space="preserve"> PAGEREF _Toc209016907 \h </w:instrText>
      </w:r>
      <w:r>
        <w:fldChar w:fldCharType="separate"/>
      </w:r>
      <w:r>
        <w:t>52</w:t>
      </w:r>
      <w:r>
        <w:fldChar w:fldCharType="end"/>
      </w:r>
    </w:p>
    <w:p>
      <w:pPr>
        <w:pStyle w:val="TOC8"/>
        <w:rPr>
          <w:rFonts w:asciiTheme="minorHAnsi" w:eastAsiaTheme="minorEastAsia" w:hAnsiTheme="minorHAnsi" w:cstheme="minorBidi"/>
          <w:szCs w:val="22"/>
        </w:rPr>
      </w:pPr>
      <w:r>
        <w:t>52A.</w:t>
      </w:r>
      <w:r>
        <w:tab/>
        <w:t>Resolution of disputes by chief executive</w:t>
      </w:r>
      <w:r>
        <w:tab/>
      </w:r>
      <w:r>
        <w:fldChar w:fldCharType="begin"/>
      </w:r>
      <w:r>
        <w:instrText xml:space="preserve"> PAGEREF _Toc209016908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Procedure and appeals</w:t>
      </w:r>
    </w:p>
    <w:p>
      <w:pPr>
        <w:pStyle w:val="TOC8"/>
        <w:rPr>
          <w:rFonts w:asciiTheme="minorHAnsi" w:eastAsiaTheme="minorEastAsia" w:hAnsiTheme="minorHAnsi" w:cstheme="minorBidi"/>
          <w:szCs w:val="22"/>
        </w:rPr>
      </w:pPr>
      <w:r>
        <w:t>53.</w:t>
      </w:r>
      <w:r>
        <w:tab/>
        <w:t>Procedure on applications</w:t>
      </w:r>
      <w:r>
        <w:tab/>
      </w:r>
      <w:r>
        <w:fldChar w:fldCharType="begin"/>
      </w:r>
      <w:r>
        <w:instrText xml:space="preserve"> PAGEREF _Toc209016910 \h </w:instrText>
      </w:r>
      <w:r>
        <w:fldChar w:fldCharType="separate"/>
      </w:r>
      <w:r>
        <w:t>53</w:t>
      </w:r>
      <w:r>
        <w:fldChar w:fldCharType="end"/>
      </w:r>
    </w:p>
    <w:p>
      <w:pPr>
        <w:pStyle w:val="TOC8"/>
        <w:rPr>
          <w:rFonts w:asciiTheme="minorHAnsi" w:eastAsiaTheme="minorEastAsia" w:hAnsiTheme="minorHAnsi" w:cstheme="minorBidi"/>
          <w:szCs w:val="22"/>
        </w:rPr>
      </w:pPr>
      <w:r>
        <w:t>54.</w:t>
      </w:r>
      <w:r>
        <w:tab/>
        <w:t>Appeals</w:t>
      </w:r>
      <w:r>
        <w:tab/>
      </w:r>
      <w:r>
        <w:fldChar w:fldCharType="begin"/>
      </w:r>
      <w:r>
        <w:instrText xml:space="preserve"> PAGEREF _Toc209016911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Repeals and transitional matters</w:t>
      </w:r>
    </w:p>
    <w:p>
      <w:pPr>
        <w:pStyle w:val="TOC8"/>
        <w:rPr>
          <w:rFonts w:asciiTheme="minorHAnsi" w:eastAsiaTheme="minorEastAsia" w:hAnsiTheme="minorHAnsi" w:cstheme="minorBidi"/>
          <w:szCs w:val="22"/>
        </w:rPr>
      </w:pPr>
      <w:r>
        <w:t>55.</w:t>
      </w:r>
      <w:r>
        <w:tab/>
        <w:t>Term used: commencement</w:t>
      </w:r>
      <w:r>
        <w:tab/>
      </w:r>
      <w:r>
        <w:fldChar w:fldCharType="begin"/>
      </w:r>
      <w:r>
        <w:instrText xml:space="preserve"> PAGEREF _Toc209016913 \h </w:instrText>
      </w:r>
      <w:r>
        <w:fldChar w:fldCharType="separate"/>
      </w:r>
      <w:r>
        <w:t>55</w:t>
      </w:r>
      <w:r>
        <w:fldChar w:fldCharType="end"/>
      </w:r>
    </w:p>
    <w:p>
      <w:pPr>
        <w:pStyle w:val="TOC8"/>
        <w:rPr>
          <w:rFonts w:asciiTheme="minorHAnsi" w:eastAsiaTheme="minorEastAsia" w:hAnsiTheme="minorHAnsi" w:cstheme="minorBidi"/>
          <w:szCs w:val="22"/>
        </w:rPr>
      </w:pPr>
      <w:r>
        <w:t>57.</w:t>
      </w:r>
      <w:r>
        <w:tab/>
        <w:t>Registered training providers</w:t>
      </w:r>
      <w:r>
        <w:tab/>
      </w:r>
      <w:r>
        <w:fldChar w:fldCharType="begin"/>
      </w:r>
      <w:r>
        <w:instrText xml:space="preserve"> PAGEREF _Toc209016914 \h </w:instrText>
      </w:r>
      <w:r>
        <w:fldChar w:fldCharType="separate"/>
      </w:r>
      <w:r>
        <w:t>55</w:t>
      </w:r>
      <w:r>
        <w:fldChar w:fldCharType="end"/>
      </w:r>
    </w:p>
    <w:p>
      <w:pPr>
        <w:pStyle w:val="TOC8"/>
        <w:rPr>
          <w:rFonts w:asciiTheme="minorHAnsi" w:eastAsiaTheme="minorEastAsia" w:hAnsiTheme="minorHAnsi" w:cstheme="minorBidi"/>
          <w:szCs w:val="22"/>
        </w:rPr>
      </w:pPr>
      <w:r>
        <w:t>58.</w:t>
      </w:r>
      <w:r>
        <w:tab/>
        <w:t>Accredited courses</w:t>
      </w:r>
      <w:r>
        <w:tab/>
      </w:r>
      <w:r>
        <w:fldChar w:fldCharType="begin"/>
      </w:r>
      <w:r>
        <w:instrText xml:space="preserve"> PAGEREF _Toc209016915 \h </w:instrText>
      </w:r>
      <w:r>
        <w:fldChar w:fldCharType="separate"/>
      </w:r>
      <w:r>
        <w:t>55</w:t>
      </w:r>
      <w:r>
        <w:fldChar w:fldCharType="end"/>
      </w:r>
    </w:p>
    <w:p>
      <w:pPr>
        <w:pStyle w:val="TOC8"/>
        <w:rPr>
          <w:rFonts w:asciiTheme="minorHAnsi" w:eastAsiaTheme="minorEastAsia" w:hAnsiTheme="minorHAnsi" w:cstheme="minorBidi"/>
          <w:szCs w:val="22"/>
        </w:rPr>
      </w:pPr>
      <w:r>
        <w:lastRenderedPageBreak/>
        <w:t>59.</w:t>
      </w:r>
      <w:r>
        <w:tab/>
        <w:t>Traineeship contracts</w:t>
      </w:r>
      <w:r>
        <w:tab/>
      </w:r>
      <w:r>
        <w:fldChar w:fldCharType="begin"/>
      </w:r>
      <w:r>
        <w:instrText xml:space="preserve"> PAGEREF _Toc209016916 \h </w:instrText>
      </w:r>
      <w:r>
        <w:fldChar w:fldCharType="separate"/>
      </w:r>
      <w:r>
        <w:t>55</w:t>
      </w:r>
      <w:r>
        <w:fldChar w:fldCharType="end"/>
      </w:r>
    </w:p>
    <w:p>
      <w:pPr>
        <w:pStyle w:val="TOC8"/>
        <w:rPr>
          <w:rFonts w:asciiTheme="minorHAnsi" w:eastAsiaTheme="minorEastAsia" w:hAnsiTheme="minorHAnsi" w:cstheme="minorBidi"/>
          <w:szCs w:val="22"/>
        </w:rPr>
      </w:pPr>
      <w:r>
        <w:t>60.</w:t>
      </w:r>
      <w:r>
        <w:tab/>
        <w:t>Apprentices learning trades, transitional provisions for</w:t>
      </w:r>
      <w:r>
        <w:tab/>
      </w:r>
      <w:r>
        <w:fldChar w:fldCharType="begin"/>
      </w:r>
      <w:r>
        <w:instrText xml:space="preserve"> PAGEREF _Toc209016917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Vocational Education and Training (General) Amendment Regulations 2015</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_Toc209016920 \h </w:instrText>
      </w:r>
      <w:r>
        <w:fldChar w:fldCharType="separate"/>
      </w:r>
      <w:r>
        <w:t>57</w:t>
      </w:r>
      <w:r>
        <w:fldChar w:fldCharType="end"/>
      </w:r>
    </w:p>
    <w:p>
      <w:pPr>
        <w:pStyle w:val="TOC8"/>
        <w:rPr>
          <w:rFonts w:asciiTheme="minorHAnsi" w:eastAsiaTheme="minorEastAsia" w:hAnsiTheme="minorHAnsi" w:cstheme="minorBidi"/>
          <w:szCs w:val="22"/>
        </w:rPr>
      </w:pPr>
      <w:r>
        <w:t>62.</w:t>
      </w:r>
      <w:r>
        <w:tab/>
        <w:t>Mandatory conditions applicable to WA registered providers during transitional period</w:t>
      </w:r>
      <w:r>
        <w:tab/>
      </w:r>
      <w:r>
        <w:fldChar w:fldCharType="begin"/>
      </w:r>
      <w:r>
        <w:instrText xml:space="preserve"> PAGEREF _Toc209016921 \h </w:instrText>
      </w:r>
      <w:r>
        <w:fldChar w:fldCharType="separate"/>
      </w:r>
      <w:r>
        <w:t>57</w:t>
      </w:r>
      <w:r>
        <w:fldChar w:fldCharType="end"/>
      </w:r>
    </w:p>
    <w:p>
      <w:pPr>
        <w:pStyle w:val="TOC8"/>
        <w:rPr>
          <w:rFonts w:asciiTheme="minorHAnsi" w:eastAsiaTheme="minorEastAsia" w:hAnsiTheme="minorHAnsi" w:cstheme="minorBidi"/>
          <w:szCs w:val="22"/>
        </w:rPr>
      </w:pPr>
      <w:r>
        <w:t>63.</w:t>
      </w:r>
      <w:r>
        <w:tab/>
        <w:t>Applications before commencement day</w:t>
      </w:r>
      <w:r>
        <w:tab/>
      </w:r>
      <w:r>
        <w:fldChar w:fldCharType="begin"/>
      </w:r>
      <w:r>
        <w:instrText xml:space="preserve"> PAGEREF _Toc209016922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 for </w:t>
      </w:r>
      <w:r>
        <w:rPr>
          <w:i/>
          <w:iCs/>
        </w:rPr>
        <w:t>Vocational Education and Training (General) Amendment Regulations (No. 2) 2025</w:t>
      </w:r>
    </w:p>
    <w:p>
      <w:pPr>
        <w:pStyle w:val="TOC8"/>
        <w:rPr>
          <w:rFonts w:asciiTheme="minorHAnsi" w:eastAsiaTheme="minorEastAsia" w:hAnsiTheme="minorHAnsi" w:cstheme="minorBidi"/>
          <w:szCs w:val="22"/>
        </w:rPr>
      </w:pPr>
      <w:r>
        <w:t>64.</w:t>
      </w:r>
      <w:r>
        <w:tab/>
        <w:t>Pre</w:t>
      </w:r>
      <w:r>
        <w:noBreakHyphen/>
        <w:t>commencement regulations apply to particular matters during and after transitional period</w:t>
      </w:r>
      <w:r>
        <w:tab/>
      </w:r>
      <w:r>
        <w:fldChar w:fldCharType="begin"/>
      </w:r>
      <w:r>
        <w:instrText xml:space="preserve"> PAGEREF _Toc209016924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1 — Training contract</w:t>
      </w:r>
    </w:p>
    <w:p>
      <w:pPr>
        <w:pStyle w:val="TOC2"/>
        <w:tabs>
          <w:tab w:val="right" w:leader="dot" w:pos="7077"/>
        </w:tabs>
        <w:rPr>
          <w:rFonts w:asciiTheme="minorHAnsi" w:eastAsiaTheme="minorEastAsia" w:hAnsiTheme="minorHAnsi" w:cstheme="minorBidi"/>
          <w:b w:val="0"/>
          <w:sz w:val="22"/>
          <w:szCs w:val="22"/>
        </w:rPr>
      </w:pPr>
      <w:r>
        <w:t>Schedule 2 — Provisions about old agreements and old training contracts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_Toc209016927 \h </w:instrText>
      </w:r>
      <w:r>
        <w:fldChar w:fldCharType="separate"/>
      </w:r>
      <w:r>
        <w:t>82</w:t>
      </w:r>
      <w:r>
        <w:fldChar w:fldCharType="end"/>
      </w:r>
    </w:p>
    <w:p>
      <w:pPr>
        <w:pStyle w:val="TOC8"/>
        <w:rPr>
          <w:rFonts w:asciiTheme="minorHAnsi" w:eastAsiaTheme="minorEastAsia" w:hAnsiTheme="minorHAnsi" w:cstheme="minorBidi"/>
          <w:szCs w:val="22"/>
        </w:rPr>
      </w:pPr>
      <w:r>
        <w:t>2.</w:t>
      </w:r>
      <w:r>
        <w:tab/>
        <w:t>Old agreements to be read with modifications</w:t>
      </w:r>
      <w:r>
        <w:tab/>
      </w:r>
      <w:r>
        <w:fldChar w:fldCharType="begin"/>
      </w:r>
      <w:r>
        <w:instrText xml:space="preserve"> PAGEREF _Toc209016928 \h </w:instrText>
      </w:r>
      <w:r>
        <w:fldChar w:fldCharType="separate"/>
      </w:r>
      <w:r>
        <w:t>82</w:t>
      </w:r>
      <w:r>
        <w:fldChar w:fldCharType="end"/>
      </w:r>
    </w:p>
    <w:p>
      <w:pPr>
        <w:pStyle w:val="TOC8"/>
        <w:rPr>
          <w:rFonts w:asciiTheme="minorHAnsi" w:eastAsiaTheme="minorEastAsia" w:hAnsiTheme="minorHAnsi" w:cstheme="minorBidi"/>
          <w:szCs w:val="22"/>
        </w:rPr>
      </w:pPr>
      <w:r>
        <w:t>3.</w:t>
      </w:r>
      <w:r>
        <w:tab/>
        <w:t>Old agreements and contracts not terminated by sale of business</w:t>
      </w:r>
      <w:r>
        <w:tab/>
      </w:r>
      <w:r>
        <w:fldChar w:fldCharType="begin"/>
      </w:r>
      <w:r>
        <w:instrText xml:space="preserve"> PAGEREF _Toc209016929 \h </w:instrText>
      </w:r>
      <w:r>
        <w:fldChar w:fldCharType="separate"/>
      </w:r>
      <w:r>
        <w:t>84</w:t>
      </w:r>
      <w:r>
        <w:fldChar w:fldCharType="end"/>
      </w:r>
    </w:p>
    <w:p>
      <w:pPr>
        <w:pStyle w:val="TOC8"/>
        <w:rPr>
          <w:rFonts w:asciiTheme="minorHAnsi" w:eastAsiaTheme="minorEastAsia" w:hAnsiTheme="minorHAnsi" w:cstheme="minorBidi"/>
          <w:szCs w:val="22"/>
        </w:rPr>
      </w:pPr>
      <w:r>
        <w:t>4.</w:t>
      </w:r>
      <w:r>
        <w:tab/>
        <w:t>Technical instruction requirements for trade apprentices</w:t>
      </w:r>
      <w:r>
        <w:tab/>
      </w:r>
      <w:r>
        <w:fldChar w:fldCharType="begin"/>
      </w:r>
      <w:r>
        <w:instrText xml:space="preserve"> PAGEREF _Toc209016930 \h </w:instrText>
      </w:r>
      <w:r>
        <w:fldChar w:fldCharType="separate"/>
      </w:r>
      <w:r>
        <w:t>84</w:t>
      </w:r>
      <w:r>
        <w:fldChar w:fldCharType="end"/>
      </w:r>
    </w:p>
    <w:p>
      <w:pPr>
        <w:pStyle w:val="TOC8"/>
        <w:rPr>
          <w:rFonts w:asciiTheme="minorHAnsi" w:eastAsiaTheme="minorEastAsia" w:hAnsiTheme="minorHAnsi" w:cstheme="minorBidi"/>
          <w:szCs w:val="22"/>
        </w:rPr>
      </w:pPr>
      <w:r>
        <w:t>5.</w:t>
      </w:r>
      <w:r>
        <w:tab/>
        <w:t>Final certificates for trade apprentices</w:t>
      </w:r>
      <w:r>
        <w:tab/>
      </w:r>
      <w:r>
        <w:fldChar w:fldCharType="begin"/>
      </w:r>
      <w:r>
        <w:instrText xml:space="preserve"> PAGEREF _Toc209016931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_Toc209016933 \h </w:instrText>
      </w:r>
      <w:r>
        <w:fldChar w:fldCharType="separate"/>
      </w:r>
      <w:r>
        <w:t>85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_Toc209016934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600"/>
      </w:pPr>
      <w:r>
        <w:t>Vocational Education and Training Act 1996</w:t>
      </w:r>
    </w:p>
    <w:p>
      <w:pPr>
        <w:pStyle w:val="NameofActReg"/>
        <w:spacing w:before="600" w:after="720"/>
      </w:pPr>
      <w:r>
        <w:t>Vocational Education and Training (General) Regulations 2009</w:t>
      </w:r>
    </w:p>
    <w:p>
      <w:pPr>
        <w:pStyle w:val="Heading2"/>
        <w:pageBreakBefore w:val="0"/>
      </w:pPr>
      <w:bookmarkStart w:id="2" w:name="_Toc208842368"/>
      <w:bookmarkStart w:id="3" w:name="_Toc208843790"/>
      <w:bookmarkStart w:id="4" w:name="_Toc208995247"/>
      <w:bookmarkStart w:id="5" w:name="_Toc209016838"/>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p>
    <w:p>
      <w:pPr>
        <w:pStyle w:val="Heading5"/>
      </w:pPr>
      <w:bookmarkStart w:id="6" w:name="_Toc209016839"/>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Vocational Education and Training (General) Regulations 2009</w:t>
      </w:r>
      <w:r>
        <w:t>.</w:t>
      </w:r>
    </w:p>
    <w:p>
      <w:pPr>
        <w:pStyle w:val="Heading5"/>
        <w:rPr>
          <w:spacing w:val="-2"/>
        </w:rPr>
      </w:pPr>
      <w:bookmarkStart w:id="8" w:name="_Toc209016840"/>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9" w:name="_Toc209016841"/>
      <w:r>
        <w:rPr>
          <w:rStyle w:val="CharSectno"/>
        </w:rPr>
        <w:t>3</w:t>
      </w:r>
      <w:r>
        <w:t>.</w:t>
      </w:r>
      <w:r>
        <w:tab/>
        <w:t>Terms used</w:t>
      </w:r>
      <w:bookmarkEnd w:id="9"/>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keepNext/>
      </w:pPr>
      <w:r>
        <w:tab/>
      </w:r>
      <w:r>
        <w:rPr>
          <w:rStyle w:val="CharDefText"/>
        </w:rPr>
        <w:t>AQF</w:t>
      </w:r>
      <w:r>
        <w:t xml:space="preserve"> means the framework for recognition and endorsement of qualifications set out in the document titled “Australian </w:t>
      </w:r>
      <w:r>
        <w:lastRenderedPageBreak/>
        <w:t xml:space="preserve">Qualifications Framework”, Second Edition, January 2013 as amended by — </w:t>
      </w:r>
    </w:p>
    <w:p>
      <w:pPr>
        <w:pStyle w:val="Defpara"/>
      </w:pPr>
      <w:r>
        <w:tab/>
        <w:t>(a)</w:t>
      </w:r>
      <w:r>
        <w:tab/>
        <w:t xml:space="preserve">the document titled “Addendum No. 5 to AQF Second Edition January 2013: Amended Qualification Type: AQF Issuance Policy, Masters Degree (Extended)” dated 19 November 2024; and </w:t>
      </w:r>
    </w:p>
    <w:p>
      <w:pPr>
        <w:pStyle w:val="Defpara"/>
      </w:pPr>
      <w:r>
        <w:tab/>
        <w:t>(b)</w:t>
      </w:r>
      <w:r>
        <w:tab/>
        <w:t xml:space="preserve">the document titled “Addendum No. 6 to AQF Second Edition January 2013: The Undergraduate Certificate qualification” dated 23 January 2025; and </w:t>
      </w:r>
    </w:p>
    <w:p>
      <w:pPr>
        <w:pStyle w:val="Defpara"/>
      </w:pPr>
      <w:r>
        <w:tab/>
        <w:t>(c)</w:t>
      </w:r>
      <w:r>
        <w:tab/>
        <w:t>the document titled “Addendum No. 7 (Part A) to AQF Second Edition January 2013: Vocational Degree Qualification” dated 26 February 2025; and</w:t>
      </w:r>
    </w:p>
    <w:p>
      <w:pPr>
        <w:pStyle w:val="Defpara"/>
      </w:pPr>
      <w:r>
        <w:tab/>
        <w:t>(d)</w:t>
      </w:r>
      <w:r>
        <w:tab/>
        <w:t>the document titled “Addendum No. 7 (Part B) to AQF Second Edition January 2013: Vocational Degree: Updates to AQF Issuance Policy and Glossary” dated 26 February 2025;</w:t>
      </w:r>
    </w:p>
    <w:p>
      <w:pPr>
        <w:pStyle w:val="PermNoteHeading"/>
      </w:pPr>
      <w:r>
        <w:tab/>
        <w:t>Note for this definition:</w:t>
      </w:r>
    </w:p>
    <w:p>
      <w:pPr>
        <w:pStyle w:val="PermNoteText"/>
      </w:pPr>
      <w:r>
        <w:tab/>
      </w:r>
      <w:r>
        <w:tab/>
        <w:t>The documents referred to in this definition are available on a website maintained by or on behalf of the Council.</w:t>
      </w:r>
    </w:p>
    <w:p>
      <w:pPr>
        <w:pStyle w:val="Defstart"/>
      </w:pPr>
      <w:r>
        <w:tab/>
      </w:r>
      <w:r>
        <w:rPr>
          <w:rStyle w:val="CharDefText"/>
        </w:rPr>
        <w:t>ASQA</w:t>
      </w:r>
      <w:r>
        <w:t xml:space="preserve"> means the Australian Skills Quality Authority (the National VET Regulator) established under the Commonwealth Act section 155;</w:t>
      </w:r>
    </w:p>
    <w:p>
      <w:pPr>
        <w:pStyle w:val="Defstart"/>
      </w:pPr>
      <w:r>
        <w:tab/>
      </w:r>
      <w:r>
        <w:rPr>
          <w:rStyle w:val="CharDefText"/>
        </w:rPr>
        <w:t>Commonwealth Act</w:t>
      </w:r>
      <w:r>
        <w:t xml:space="preserve"> means the </w:t>
      </w:r>
      <w:r>
        <w:rPr>
          <w:i/>
        </w:rPr>
        <w:t>National Vocational Education and Training Regulator Act 2011</w:t>
      </w:r>
      <w:r>
        <w:t xml:space="preserve"> (Commonwealth);</w:t>
      </w:r>
    </w:p>
    <w:p>
      <w:pPr>
        <w:pStyle w:val="Defstart"/>
      </w:pPr>
      <w:r>
        <w:tab/>
      </w:r>
      <w:r>
        <w:rPr>
          <w:rStyle w:val="CharDefText"/>
        </w:rPr>
        <w:t>compliance standards</w:t>
      </w:r>
      <w:r>
        <w:t xml:space="preserve"> means the document titled “Compliance Standards and Fit and Proper Person Requirements </w:t>
      </w:r>
      <w:r>
        <w:noBreakHyphen/>
        <w:t xml:space="preserve"> Registration Standards 2025” version 1.0 dated 20 August 2025;</w:t>
      </w:r>
    </w:p>
    <w:p>
      <w:pPr>
        <w:pStyle w:val="PermNoteHeading"/>
      </w:pPr>
      <w:r>
        <w:tab/>
        <w:t>Note for this definition:</w:t>
      </w:r>
    </w:p>
    <w:p>
      <w:pPr>
        <w:pStyle w:val="PermNoteText"/>
      </w:pPr>
      <w:r>
        <w:tab/>
      </w:r>
      <w:r>
        <w:tab/>
        <w:t>The document referred to in this definition is available on a website maintained by or on behalf of the Council.</w:t>
      </w:r>
    </w:p>
    <w:p>
      <w:pPr>
        <w:pStyle w:val="Defstart"/>
      </w:pPr>
      <w:r>
        <w:tab/>
      </w:r>
      <w:r>
        <w:rPr>
          <w:rStyle w:val="CharDefText"/>
        </w:rPr>
        <w:t>complying training plan</w:t>
      </w:r>
      <w:r>
        <w:t xml:space="preserve"> has the meaning given in regulation 43(1);</w:t>
      </w:r>
    </w:p>
    <w:p>
      <w:pPr>
        <w:pStyle w:val="Defstart"/>
      </w:pPr>
      <w:r>
        <w:lastRenderedPageBreak/>
        <w:tab/>
      </w:r>
      <w:r>
        <w:rPr>
          <w:rStyle w:val="CharDefText"/>
        </w:rPr>
        <w:t>data provision requirements</w:t>
      </w:r>
      <w:r>
        <w:t xml:space="preserve"> means the document titled “Data Provision Requirements” version 1.0 dated 20 August 2025;</w:t>
      </w:r>
    </w:p>
    <w:p>
      <w:pPr>
        <w:pStyle w:val="PermNoteHeading"/>
      </w:pPr>
      <w:r>
        <w:tab/>
        <w:t>Note for this definition:</w:t>
      </w:r>
    </w:p>
    <w:p>
      <w:pPr>
        <w:pStyle w:val="PermNoteText"/>
      </w:pPr>
      <w:r>
        <w:tab/>
      </w:r>
      <w:r>
        <w:tab/>
        <w:t>The document referred to in this definition is available on a website maintained by or on behalf of the Council.</w:t>
      </w:r>
    </w:p>
    <w:p>
      <w:pPr>
        <w:pStyle w:val="Defstart"/>
      </w:pPr>
      <w:r>
        <w:tab/>
      </w:r>
      <w:r>
        <w:rPr>
          <w:rStyle w:val="CharDefText"/>
        </w:rPr>
        <w:t>fit and proper person requirements</w:t>
      </w:r>
      <w:r>
        <w:t xml:space="preserve"> means Schedule 1 to the compliance standards;</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national register</w:t>
      </w:r>
      <w:r>
        <w:t xml:space="preserve"> means the National Register as defined in the Commonwealth Act section 3;</w:t>
      </w:r>
    </w:p>
    <w:p>
      <w:pPr>
        <w:pStyle w:val="Defstart"/>
      </w:pPr>
      <w:r>
        <w:tab/>
      </w:r>
      <w:r>
        <w:rPr>
          <w:rStyle w:val="CharDefText"/>
        </w:rPr>
        <w:t>non</w:t>
      </w:r>
      <w:r>
        <w:rPr>
          <w:rStyle w:val="CharDefText"/>
        </w:rPr>
        <w:noBreakHyphen/>
        <w:t>referring State</w:t>
      </w:r>
      <w:r>
        <w:t xml:space="preserve"> has the meaning given in the Commonwealth Act section 7;</w:t>
      </w:r>
    </w:p>
    <w:p>
      <w:pPr>
        <w:pStyle w:val="Defstart"/>
      </w:pPr>
      <w:r>
        <w:tab/>
      </w:r>
      <w:r>
        <w:rPr>
          <w:rStyle w:val="CharDefText"/>
        </w:rPr>
        <w:t>outcome standards</w:t>
      </w:r>
      <w:r>
        <w:t xml:space="preserve"> means the document titled “Outcome Standards </w:t>
      </w:r>
      <w:r>
        <w:noBreakHyphen/>
        <w:t xml:space="preserve"> Registration Standards 2025” version 1.0 dated 20 August 2025;</w:t>
      </w:r>
    </w:p>
    <w:p>
      <w:pPr>
        <w:pStyle w:val="PermNoteHeading"/>
      </w:pPr>
      <w:r>
        <w:tab/>
        <w:t>Note for this definition:</w:t>
      </w:r>
    </w:p>
    <w:p>
      <w:pPr>
        <w:pStyle w:val="PermNoteText"/>
      </w:pPr>
      <w:r>
        <w:tab/>
      </w:r>
      <w:r>
        <w:tab/>
        <w:t>The document referred to in this definition is available on a website maintained by or on behalf of the Council.</w:t>
      </w:r>
    </w:p>
    <w:p>
      <w:pPr>
        <w:pStyle w:val="Defstart"/>
      </w:pPr>
      <w:r>
        <w:tab/>
      </w:r>
      <w:r>
        <w:rPr>
          <w:rStyle w:val="CharDefText"/>
        </w:rPr>
        <w:t>personal details</w:t>
      </w:r>
      <w:r>
        <w:t> —</w:t>
      </w:r>
    </w:p>
    <w:p>
      <w:pPr>
        <w:pStyle w:val="Defpara"/>
      </w:pPr>
      <w:r>
        <w:tab/>
        <w:t>(a)</w:t>
      </w:r>
      <w:r>
        <w:tab/>
        <w:t xml:space="preserve">of an individual, means their </w:t>
      </w:r>
      <w:r>
        <w:rPr>
          <w:spacing w:val="-2"/>
        </w:rPr>
        <w:t>name</w:t>
      </w:r>
      <w:r>
        <w:t>, residential address and date of birth; or</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bCs/>
          <w:iCs/>
        </w:rPr>
        <w:t>registration</w:t>
      </w:r>
      <w:r>
        <w:rPr>
          <w:rStyle w:val="CharDefText"/>
        </w:rPr>
        <w:t xml:space="preserve"> </w:t>
      </w:r>
      <w:r>
        <w:rPr>
          <w:rStyle w:val="CharDefText"/>
          <w:bCs/>
          <w:iCs/>
        </w:rPr>
        <w:t>application</w:t>
      </w:r>
      <w:r>
        <w:t xml:space="preserve"> means an application to be registered as a training provider under section 58B of the Act;</w:t>
      </w:r>
    </w:p>
    <w:p>
      <w:pPr>
        <w:pStyle w:val="Defstart"/>
      </w:pPr>
      <w:r>
        <w:tab/>
      </w:r>
      <w:r>
        <w:rPr>
          <w:rStyle w:val="CharDefText"/>
        </w:rPr>
        <w:t>registration standards 2025</w:t>
      </w:r>
      <w:r>
        <w:t xml:space="preserve"> means — </w:t>
      </w:r>
    </w:p>
    <w:p>
      <w:pPr>
        <w:pStyle w:val="Defpara"/>
      </w:pPr>
      <w:r>
        <w:tab/>
        <w:t>(a)</w:t>
      </w:r>
      <w:r>
        <w:tab/>
        <w:t>the compliance standards; and</w:t>
      </w:r>
    </w:p>
    <w:p>
      <w:pPr>
        <w:pStyle w:val="Defpara"/>
      </w:pPr>
      <w:r>
        <w:tab/>
        <w:t>(b)</w:t>
      </w:r>
      <w:r>
        <w:tab/>
        <w:t>the outcome standards;</w:t>
      </w:r>
    </w:p>
    <w:p>
      <w:pPr>
        <w:pStyle w:val="Defstart"/>
      </w:pPr>
      <w:r>
        <w:tab/>
      </w:r>
      <w:r>
        <w:rPr>
          <w:rStyle w:val="CharDefText"/>
        </w:rPr>
        <w:t>school</w:t>
      </w:r>
      <w:r>
        <w:rPr>
          <w:rStyle w:val="CharDefText"/>
        </w:rPr>
        <w:noBreakHyphen/>
        <w:t>based apprenticeship</w:t>
      </w:r>
      <w:r>
        <w:t xml:space="preserve"> has the meaning given in regulation 43(1);</w:t>
      </w:r>
    </w:p>
    <w:p>
      <w:pPr>
        <w:pStyle w:val="Defstart"/>
      </w:pPr>
      <w:r>
        <w:lastRenderedPageBreak/>
        <w:tab/>
      </w:r>
      <w:r>
        <w:rPr>
          <w:rStyle w:val="CharDefText"/>
          <w:bCs/>
          <w:iCs/>
          <w:snapToGrid/>
        </w:rPr>
        <w:t>training provider application</w:t>
      </w:r>
      <w:r>
        <w:t xml:space="preserve"> means — </w:t>
      </w:r>
    </w:p>
    <w:p>
      <w:pPr>
        <w:pStyle w:val="Defpara"/>
      </w:pPr>
      <w:r>
        <w:tab/>
        <w:t>(a)</w:t>
      </w:r>
      <w:r>
        <w:tab/>
        <w:t>a registration application; or</w:t>
      </w:r>
    </w:p>
    <w:p>
      <w:pPr>
        <w:pStyle w:val="Defpara"/>
      </w:pPr>
      <w:r>
        <w:tab/>
        <w:t>(b)</w:t>
      </w:r>
      <w:r>
        <w:tab/>
        <w:t>an application made under regulation 16 for a renewal of a registration; or</w:t>
      </w:r>
    </w:p>
    <w:p>
      <w:pPr>
        <w:pStyle w:val="Defpara"/>
      </w:pPr>
      <w:r>
        <w:tab/>
        <w:t>(c)</w:t>
      </w:r>
      <w:r>
        <w:tab/>
        <w:t>an application made under regulation 17 for a variation of a registration;</w:t>
      </w:r>
    </w:p>
    <w:p>
      <w:pPr>
        <w:pStyle w:val="Defstart"/>
      </w:pPr>
      <w:r>
        <w:tab/>
      </w:r>
      <w:r>
        <w:rPr>
          <w:rStyle w:val="CharDefText"/>
          <w:snapToGrid/>
        </w:rPr>
        <w:t>VET quality framework</w:t>
      </w:r>
      <w:r>
        <w:t xml:space="preserve"> means — </w:t>
      </w:r>
    </w:p>
    <w:p>
      <w:pPr>
        <w:pStyle w:val="Defpara"/>
      </w:pPr>
      <w:r>
        <w:tab/>
        <w:t>(a)</w:t>
      </w:r>
      <w:r>
        <w:tab/>
        <w:t>the registration standards 2025; and</w:t>
      </w:r>
    </w:p>
    <w:p>
      <w:pPr>
        <w:pStyle w:val="Defpara"/>
      </w:pPr>
      <w:r>
        <w:tab/>
        <w:t>(b)</w:t>
      </w:r>
      <w:r>
        <w:tab/>
        <w:t>the AQF; and</w:t>
      </w:r>
    </w:p>
    <w:p>
      <w:pPr>
        <w:pStyle w:val="Defpara"/>
      </w:pPr>
      <w:r>
        <w:tab/>
        <w:t>(c)</w:t>
      </w:r>
      <w:r>
        <w:tab/>
        <w:t>the data provision requirements; and</w:t>
      </w:r>
    </w:p>
    <w:p>
      <w:pPr>
        <w:pStyle w:val="Defpara"/>
      </w:pPr>
      <w:r>
        <w:tab/>
        <w:t>(d)</w:t>
      </w:r>
      <w:r>
        <w:tab/>
        <w:t xml:space="preserve">the </w:t>
      </w:r>
      <w:r>
        <w:rPr>
          <w:i/>
        </w:rPr>
        <w:t>Financial Viability Assessment Guidelines for the Registration of Training Providers 2017</w:t>
      </w:r>
      <w:r>
        <w:t xml:space="preserve"> as issued under section 13 of the Act on 6 September 2017;</w:t>
      </w:r>
    </w:p>
    <w:p>
      <w:pPr>
        <w:pStyle w:val="PermNoteHeading"/>
      </w:pPr>
      <w:r>
        <w:tab/>
        <w:t>Note for this definition:</w:t>
      </w:r>
    </w:p>
    <w:p>
      <w:pPr>
        <w:pStyle w:val="PermNoteText"/>
      </w:pPr>
      <w:r>
        <w:tab/>
      </w:r>
      <w:r>
        <w:tab/>
        <w:t>The document referred to in paragraph (d) of this definition is available on a website maintained by or on behalf of the Council.</w:t>
      </w:r>
    </w:p>
    <w:p>
      <w:pPr>
        <w:pStyle w:val="Defstart"/>
      </w:pPr>
      <w:r>
        <w:tab/>
      </w:r>
      <w:r>
        <w:rPr>
          <w:rStyle w:val="CharDefText"/>
        </w:rPr>
        <w:t>WA</w:t>
      </w:r>
      <w:r>
        <w:t xml:space="preserve"> means Western Australia;</w:t>
      </w:r>
    </w:p>
    <w:p>
      <w:pPr>
        <w:pStyle w:val="Defstart"/>
      </w:pPr>
      <w:r>
        <w:tab/>
      </w:r>
      <w:r>
        <w:rPr>
          <w:rStyle w:val="CharDefText"/>
        </w:rPr>
        <w:t>WA registered provider</w:t>
      </w:r>
      <w:r>
        <w:t xml:space="preserve"> means a training provider that is registered by the Council under Part 7A of the Act;</w:t>
      </w:r>
    </w:p>
    <w:p>
      <w:pPr>
        <w:pStyle w:val="Defstart"/>
      </w:pPr>
      <w:r>
        <w:tab/>
      </w:r>
      <w:r>
        <w:rPr>
          <w:rStyle w:val="CharDefText"/>
        </w:rPr>
        <w:t>working day</w:t>
      </w:r>
      <w:r>
        <w:t xml:space="preserve"> means a day other than a Saturday, a Sunday or a public holiday in Perth.</w:t>
      </w:r>
    </w:p>
    <w:p>
      <w:pPr>
        <w:pStyle w:val="Footnotesection"/>
      </w:pPr>
      <w:r>
        <w:tab/>
        <w:t>[Regulation 3 amended: Gazette 17 Dec 2013 p.</w:t>
      </w:r>
      <w:r>
        <w:rPr>
          <w:sz w:val="19"/>
        </w:rPr>
        <w:t> </w:t>
      </w:r>
      <w:r>
        <w:t>6219; 10 Mar 2015 p. 827; 29 Dec 2017 p. 6081; SL 2025/165 r. 4.]</w:t>
      </w:r>
    </w:p>
    <w:p>
      <w:pPr>
        <w:pStyle w:val="Heading2"/>
      </w:pPr>
      <w:bookmarkStart w:id="10" w:name="_Toc208842372"/>
      <w:bookmarkStart w:id="11" w:name="_Toc208843794"/>
      <w:bookmarkStart w:id="12" w:name="_Toc208995251"/>
      <w:bookmarkStart w:id="13" w:name="_Toc209016842"/>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bookmarkEnd w:id="13"/>
    </w:p>
    <w:p>
      <w:pPr>
        <w:pStyle w:val="Heading5"/>
      </w:pPr>
      <w:bookmarkStart w:id="14" w:name="_Toc209016843"/>
      <w:r>
        <w:rPr>
          <w:rStyle w:val="CharSectno"/>
        </w:rPr>
        <w:t>4</w:t>
      </w:r>
      <w:r>
        <w:t>.</w:t>
      </w:r>
      <w:r>
        <w:tab/>
        <w:t>Approved VET courses (Act s. 5(1))</w:t>
      </w:r>
      <w:bookmarkEnd w:id="14"/>
    </w:p>
    <w:p>
      <w:pPr>
        <w:pStyle w:val="Subsection"/>
      </w:pPr>
      <w:r>
        <w:tab/>
        <w:t>(1)</w:t>
      </w:r>
      <w:r>
        <w:tab/>
        <w:t>In this regulation —</w:t>
      </w:r>
    </w:p>
    <w:p>
      <w:pPr>
        <w:pStyle w:val="Defstart"/>
      </w:pPr>
      <w:r>
        <w:tab/>
      </w:r>
      <w:r>
        <w:rPr>
          <w:rStyle w:val="CharDefText"/>
        </w:rPr>
        <w:t>listed</w:t>
      </w:r>
      <w:r>
        <w:t xml:space="preserve"> means listed on the national register.</w:t>
      </w:r>
    </w:p>
    <w:p>
      <w:pPr>
        <w:pStyle w:val="Subsection"/>
      </w:pPr>
      <w:r>
        <w:tab/>
        <w:t>(2)</w:t>
      </w:r>
      <w:r>
        <w:tab/>
        <w:t xml:space="preserve">For the purpose of the definition of </w:t>
      </w:r>
      <w:r>
        <w:rPr>
          <w:b/>
          <w:i/>
        </w:rPr>
        <w:t>approved VET course</w:t>
      </w:r>
      <w:r>
        <w:t xml:space="preserve"> in section 5(1) of the Act, the following are prescribed — </w:t>
      </w:r>
    </w:p>
    <w:p>
      <w:pPr>
        <w:pStyle w:val="Indenta"/>
      </w:pPr>
      <w:r>
        <w:tab/>
        <w:t>(a)</w:t>
      </w:r>
      <w:r>
        <w:tab/>
        <w:t>each listed unit of competency that forms part of a listed training package;</w:t>
      </w:r>
    </w:p>
    <w:p>
      <w:pPr>
        <w:pStyle w:val="Indenta"/>
      </w:pPr>
      <w:r>
        <w:tab/>
        <w:t>(b)</w:t>
      </w:r>
      <w:r>
        <w:tab/>
        <w:t>any VET course accredited by ASQA;</w:t>
      </w:r>
    </w:p>
    <w:p>
      <w:pPr>
        <w:pStyle w:val="Indenta"/>
      </w:pPr>
      <w:r>
        <w:tab/>
        <w:t>(c)</w:t>
      </w:r>
      <w:r>
        <w:tab/>
        <w:t>any VET course accredited by another non</w:t>
      </w:r>
      <w:r>
        <w:noBreakHyphen/>
        <w:t>referring State.</w:t>
      </w:r>
    </w:p>
    <w:p>
      <w:pPr>
        <w:pStyle w:val="Footnotesection"/>
      </w:pPr>
      <w:r>
        <w:tab/>
        <w:t>[Regulation 4 amended: Gazette 17 Dec 2013 p.</w:t>
      </w:r>
      <w:r>
        <w:rPr>
          <w:sz w:val="19"/>
        </w:rPr>
        <w:t> </w:t>
      </w:r>
      <w:r>
        <w:t>6220; 10 Mar 2015 p. 827-8.]</w:t>
      </w:r>
    </w:p>
    <w:p>
      <w:pPr>
        <w:pStyle w:val="Heading5"/>
      </w:pPr>
      <w:bookmarkStart w:id="15" w:name="_Toc209016844"/>
      <w:r>
        <w:rPr>
          <w:rStyle w:val="CharSectno"/>
        </w:rPr>
        <w:t>5</w:t>
      </w:r>
      <w:r>
        <w:t>.</w:t>
      </w:r>
      <w:r>
        <w:tab/>
        <w:t>Corresponding laws (Act s. 5(1))</w:t>
      </w:r>
      <w:bookmarkEnd w:id="15"/>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r>
              <w:t>Australian Capital Territory</w:t>
            </w:r>
          </w:p>
        </w:tc>
        <w:tc>
          <w:tcPr>
            <w:tcW w:w="4162" w:type="dxa"/>
          </w:tcPr>
          <w:p>
            <w:pPr>
              <w:pStyle w:val="TableNAm"/>
              <w:spacing w:before="0"/>
            </w:pPr>
            <w:r>
              <w:rPr>
                <w:i/>
                <w:iCs/>
              </w:rPr>
              <w:t>Training and Tertiary Education Act 2003</w:t>
            </w:r>
          </w:p>
        </w:tc>
      </w:tr>
      <w:tr>
        <w:tc>
          <w:tcPr>
            <w:tcW w:w="1984" w:type="dxa"/>
          </w:tcPr>
          <w:p>
            <w:pPr>
              <w:pStyle w:val="TableNAm"/>
              <w:spacing w:before="0"/>
            </w:pPr>
            <w:r>
              <w:t>New South Wales</w:t>
            </w:r>
          </w:p>
        </w:tc>
        <w:tc>
          <w:tcPr>
            <w:tcW w:w="4162" w:type="dxa"/>
          </w:tcPr>
          <w:p>
            <w:pPr>
              <w:pStyle w:val="TableNAm"/>
              <w:spacing w:before="0"/>
              <w:rPr>
                <w:i/>
                <w:iCs/>
              </w:rPr>
            </w:pPr>
            <w:r>
              <w:rPr>
                <w:i/>
                <w:iCs/>
              </w:rPr>
              <w:t>Vocational Education and Training Act 2005</w:t>
            </w:r>
            <w:r>
              <w:rPr>
                <w:iCs/>
                <w:vertAlign w:val="superscript"/>
              </w:rPr>
              <w:t> 1</w:t>
            </w:r>
          </w:p>
        </w:tc>
      </w:tr>
      <w:tr>
        <w:tc>
          <w:tcPr>
            <w:tcW w:w="1984" w:type="dxa"/>
          </w:tcPr>
          <w:p>
            <w:pPr>
              <w:pStyle w:val="TableNAm"/>
              <w:spacing w:before="0"/>
            </w:pPr>
            <w:r>
              <w:t>Northern Territory</w:t>
            </w:r>
          </w:p>
        </w:tc>
        <w:tc>
          <w:tcPr>
            <w:tcW w:w="4162" w:type="dxa"/>
          </w:tcPr>
          <w:p>
            <w:pPr>
              <w:pStyle w:val="TableNAm"/>
              <w:spacing w:before="0"/>
            </w:pPr>
            <w:r>
              <w:rPr>
                <w:i/>
                <w:iCs/>
              </w:rPr>
              <w:t>Northern Territory Employment and Training Act</w:t>
            </w:r>
            <w:r>
              <w:rPr>
                <w:iCs/>
                <w:vertAlign w:val="superscript"/>
              </w:rPr>
              <w:t> 2</w:t>
            </w:r>
          </w:p>
        </w:tc>
      </w:tr>
      <w:tr>
        <w:tc>
          <w:tcPr>
            <w:tcW w:w="1984" w:type="dxa"/>
          </w:tcPr>
          <w:p>
            <w:pPr>
              <w:pStyle w:val="TableNAm"/>
              <w:spacing w:before="0"/>
            </w:pPr>
            <w:r>
              <w:t>Queensland</w:t>
            </w:r>
          </w:p>
        </w:tc>
        <w:tc>
          <w:tcPr>
            <w:tcW w:w="4162" w:type="dxa"/>
          </w:tcPr>
          <w:p>
            <w:pPr>
              <w:pStyle w:val="TableNAm"/>
              <w:spacing w:before="0"/>
            </w:pPr>
            <w:r>
              <w:rPr>
                <w:i/>
                <w:iCs/>
              </w:rPr>
              <w:t>Vocational Education, Training and Employment Act 2000</w:t>
            </w:r>
            <w:r>
              <w:rPr>
                <w:iCs/>
                <w:vertAlign w:val="superscript"/>
              </w:rPr>
              <w:t> 3</w:t>
            </w:r>
          </w:p>
        </w:tc>
      </w:tr>
      <w:tr>
        <w:tc>
          <w:tcPr>
            <w:tcW w:w="1984" w:type="dxa"/>
          </w:tcPr>
          <w:p>
            <w:pPr>
              <w:pStyle w:val="TableNAm"/>
              <w:spacing w:before="0"/>
            </w:pPr>
            <w:r>
              <w:lastRenderedPageBreak/>
              <w:t>South Australia</w:t>
            </w:r>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r>
              <w:t>Tasmania</w:t>
            </w:r>
          </w:p>
        </w:tc>
        <w:tc>
          <w:tcPr>
            <w:tcW w:w="4162" w:type="dxa"/>
          </w:tcPr>
          <w:p>
            <w:pPr>
              <w:pStyle w:val="TableNAm"/>
              <w:spacing w:before="0"/>
              <w:rPr>
                <w:i/>
                <w:iCs/>
              </w:rPr>
            </w:pPr>
            <w:r>
              <w:rPr>
                <w:i/>
                <w:iCs/>
              </w:rPr>
              <w:t>Vocational Education and Training Act 1994</w:t>
            </w:r>
            <w:r>
              <w:rPr>
                <w:iCs/>
                <w:vertAlign w:val="superscript"/>
              </w:rPr>
              <w:t> 4</w:t>
            </w:r>
          </w:p>
        </w:tc>
      </w:tr>
      <w:tr>
        <w:tc>
          <w:tcPr>
            <w:tcW w:w="1984" w:type="dxa"/>
          </w:tcPr>
          <w:p>
            <w:pPr>
              <w:pStyle w:val="TableNAm"/>
              <w:spacing w:before="0"/>
            </w:pPr>
            <w:r>
              <w:t>Victoria</w:t>
            </w:r>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16" w:name="_Toc209016845"/>
      <w:r>
        <w:rPr>
          <w:rStyle w:val="CharSectno"/>
        </w:rPr>
        <w:t>6</w:t>
      </w:r>
      <w:r>
        <w:t>.</w:t>
      </w:r>
      <w:r>
        <w:tab/>
        <w:t>Prescribed VET qualifications (Act s. 5(1))</w:t>
      </w:r>
      <w:bookmarkEnd w:id="16"/>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Degree.</w:t>
      </w:r>
    </w:p>
    <w:p>
      <w:pPr>
        <w:pStyle w:val="Ednotepara"/>
      </w:pPr>
      <w:r>
        <w:tab/>
        <w:t>[(h)</w:t>
      </w:r>
      <w:r>
        <w:tab/>
        <w:t>deleted]</w:t>
      </w:r>
    </w:p>
    <w:p>
      <w:pPr>
        <w:pStyle w:val="Footnotesection"/>
      </w:pPr>
      <w:r>
        <w:tab/>
        <w:t>[Regulation 6 amended: SL 2025/71 r. 4.]</w:t>
      </w:r>
    </w:p>
    <w:p>
      <w:pPr>
        <w:pStyle w:val="Heading2"/>
      </w:pPr>
      <w:bookmarkStart w:id="17" w:name="_Toc208842376"/>
      <w:bookmarkStart w:id="18" w:name="_Toc208843798"/>
      <w:bookmarkStart w:id="19" w:name="_Toc208995255"/>
      <w:bookmarkStart w:id="20" w:name="_Toc209016846"/>
      <w:r>
        <w:rPr>
          <w:rStyle w:val="CharPartNo"/>
        </w:rPr>
        <w:lastRenderedPageBreak/>
        <w:t>Part 3</w:t>
      </w:r>
      <w:r>
        <w:t> — </w:t>
      </w:r>
      <w:r>
        <w:rPr>
          <w:rStyle w:val="CharPartText"/>
        </w:rPr>
        <w:t>Regulations for Part 7A of the Act</w:t>
      </w:r>
      <w:bookmarkEnd w:id="17"/>
      <w:bookmarkEnd w:id="18"/>
      <w:bookmarkEnd w:id="19"/>
      <w:bookmarkEnd w:id="20"/>
    </w:p>
    <w:p>
      <w:pPr>
        <w:pStyle w:val="Heading3"/>
      </w:pPr>
      <w:bookmarkStart w:id="21" w:name="_Toc208842377"/>
      <w:bookmarkStart w:id="22" w:name="_Toc208843799"/>
      <w:bookmarkStart w:id="23" w:name="_Toc208995256"/>
      <w:bookmarkStart w:id="24" w:name="_Toc209016847"/>
      <w:r>
        <w:rPr>
          <w:rStyle w:val="CharDivNo"/>
        </w:rPr>
        <w:t>Division 1</w:t>
      </w:r>
      <w:r>
        <w:t> — </w:t>
      </w:r>
      <w:r>
        <w:rPr>
          <w:rStyle w:val="CharDivText"/>
        </w:rPr>
        <w:t>General matters</w:t>
      </w:r>
      <w:bookmarkEnd w:id="21"/>
      <w:bookmarkEnd w:id="22"/>
      <w:bookmarkEnd w:id="23"/>
      <w:bookmarkEnd w:id="24"/>
    </w:p>
    <w:p>
      <w:pPr>
        <w:pStyle w:val="Heading5"/>
      </w:pPr>
      <w:bookmarkStart w:id="25" w:name="_Toc208493856"/>
      <w:bookmarkStart w:id="26" w:name="_Toc208494202"/>
      <w:bookmarkStart w:id="27" w:name="_Toc209016848"/>
      <w:r>
        <w:rPr>
          <w:rStyle w:val="CharSectno"/>
        </w:rPr>
        <w:t>7</w:t>
      </w:r>
      <w:r>
        <w:t>.</w:t>
      </w:r>
      <w:r>
        <w:tab/>
        <w:t>Terms used</w:t>
      </w:r>
      <w:bookmarkEnd w:id="25"/>
      <w:bookmarkEnd w:id="26"/>
      <w:bookmarkEnd w:id="27"/>
    </w:p>
    <w:p>
      <w:pPr>
        <w:pStyle w:val="Subsection"/>
      </w:pPr>
      <w:r>
        <w:tab/>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bCs/>
          <w:iCs/>
        </w:rPr>
        <w:t>accreditation standards</w:t>
      </w:r>
      <w:r>
        <w:t xml:space="preserve"> means the document titled “AQTF2021 Standards for Accredited Courses” dated 28 July 2021;</w:t>
      </w:r>
    </w:p>
    <w:p>
      <w:pPr>
        <w:pStyle w:val="PermNoteHeading"/>
      </w:pPr>
      <w:r>
        <w:tab/>
        <w:t>Note for this definition:</w:t>
      </w:r>
    </w:p>
    <w:p>
      <w:pPr>
        <w:pStyle w:val="PermNoteText"/>
      </w:pPr>
      <w:r>
        <w:tab/>
      </w:r>
      <w:r>
        <w:tab/>
        <w:t>The document referred to in this definition is available on a website maintained by or on behalf of the Council.</w:t>
      </w:r>
    </w:p>
    <w:p>
      <w:pPr>
        <w:pStyle w:val="Defstart"/>
      </w:pPr>
      <w:r>
        <w:tab/>
      </w:r>
      <w:r>
        <w:rPr>
          <w:rStyle w:val="CharDefText"/>
        </w:rPr>
        <w:t>audit</w:t>
      </w:r>
      <w:r>
        <w:t xml:space="preserve"> means an audit conducted under regulation 25;</w:t>
      </w:r>
    </w:p>
    <w:p>
      <w:pPr>
        <w:pStyle w:val="Defstart"/>
      </w:pPr>
      <w:r>
        <w:tab/>
      </w:r>
      <w:r>
        <w:rPr>
          <w:rStyle w:val="CharDefText"/>
        </w:rPr>
        <w:t>compliance audit</w:t>
      </w:r>
      <w:r>
        <w:t xml:space="preserve"> means a compliance audit conducted under regulation 26A;</w:t>
      </w:r>
    </w:p>
    <w:p>
      <w:pPr>
        <w:pStyle w:val="Defstart"/>
      </w:pPr>
      <w:r>
        <w:tab/>
      </w:r>
      <w:r>
        <w:rPr>
          <w:rStyle w:val="CharDefText"/>
          <w:bCs/>
          <w:iCs/>
        </w:rPr>
        <w:t>condition of registration</w:t>
      </w:r>
      <w:r>
        <w:t>, for a WA registered provider, means a condition to which the provider’s registration is subject under regulation 13(1);</w:t>
      </w:r>
    </w:p>
    <w:p>
      <w:pPr>
        <w:pStyle w:val="Defstart"/>
      </w:pPr>
      <w:r>
        <w:tab/>
      </w:r>
      <w:r>
        <w:rPr>
          <w:rStyle w:val="CharDefText"/>
        </w:rPr>
        <w:t>governing person</w:t>
      </w:r>
      <w:r>
        <w:t xml:space="preserve">, in relation to a training provider — </w:t>
      </w:r>
    </w:p>
    <w:p>
      <w:pPr>
        <w:pStyle w:val="Defpara"/>
      </w:pPr>
      <w:r>
        <w:tab/>
        <w:t>(a)</w:t>
      </w:r>
      <w:r>
        <w:tab/>
        <w:t>means a person responsible for overseeing, directing or exercising a degree of control or influence over the management or operation of the provider; and</w:t>
      </w:r>
    </w:p>
    <w:p>
      <w:pPr>
        <w:pStyle w:val="Defpara"/>
      </w:pPr>
      <w:r>
        <w:tab/>
        <w:t>(b)</w:t>
      </w:r>
      <w:r>
        <w:tab/>
        <w:t xml:space="preserve">includes — </w:t>
      </w:r>
    </w:p>
    <w:p>
      <w:pPr>
        <w:pStyle w:val="Defsubpara"/>
      </w:pPr>
      <w:r>
        <w:tab/>
        <w:t>(i)</w:t>
      </w:r>
      <w:r>
        <w:tab/>
        <w:t>an executive officer (as that term is defined in the Commonwealth Act section 3) in relation to the provider; and</w:t>
      </w:r>
    </w:p>
    <w:p>
      <w:pPr>
        <w:pStyle w:val="Defsubpara"/>
      </w:pPr>
      <w:r>
        <w:tab/>
        <w:t>(ii)</w:t>
      </w:r>
      <w:r>
        <w:tab/>
        <w:t>a high managerial agent (as that term is defined in the Commonwealth Act section 3) of the provider;</w:t>
      </w:r>
    </w:p>
    <w:p>
      <w:pPr>
        <w:pStyle w:val="Defstart"/>
      </w:pPr>
      <w:r>
        <w:rPr>
          <w:b/>
          <w:i/>
        </w:rPr>
        <w:tab/>
      </w:r>
      <w:r>
        <w:rPr>
          <w:rStyle w:val="CharDefText"/>
        </w:rPr>
        <w:t>investigation</w:t>
      </w:r>
      <w:r>
        <w:t xml:space="preserve"> means an investigation conducted under regulation 26B;</w:t>
      </w:r>
    </w:p>
    <w:p>
      <w:pPr>
        <w:pStyle w:val="Defstart"/>
      </w:pPr>
      <w:r>
        <w:lastRenderedPageBreak/>
        <w:tab/>
      </w:r>
      <w:r>
        <w:rPr>
          <w:rStyle w:val="CharDefText"/>
          <w:bCs/>
          <w:iCs/>
        </w:rPr>
        <w:t>owner</w:t>
      </w:r>
      <w:r>
        <w:t>, of a VET course, means the person who owns the copyright in the course;</w:t>
      </w:r>
    </w:p>
    <w:p>
      <w:pPr>
        <w:pStyle w:val="Defstart"/>
      </w:pPr>
      <w:r>
        <w:tab/>
      </w:r>
      <w:r>
        <w:rPr>
          <w:rStyle w:val="CharDefText"/>
          <w:bCs/>
          <w:iCs/>
        </w:rPr>
        <w:t>register</w:t>
      </w:r>
      <w:r>
        <w:t xml:space="preserve"> means the register created and maintained under regulation 9;</w:t>
      </w:r>
    </w:p>
    <w:p>
      <w:pPr>
        <w:pStyle w:val="Defstart"/>
      </w:pPr>
      <w:r>
        <w:tab/>
      </w:r>
      <w:r>
        <w:rPr>
          <w:rStyle w:val="CharDefText"/>
          <w:bCs/>
          <w:iCs/>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 or</w:t>
      </w:r>
    </w:p>
    <w:p>
      <w:pPr>
        <w:pStyle w:val="Defpara"/>
      </w:pPr>
      <w:r>
        <w:tab/>
        <w:t>(c)</w:t>
      </w:r>
      <w:r>
        <w:tab/>
        <w:t>ASQA;</w:t>
      </w:r>
    </w:p>
    <w:p>
      <w:pPr>
        <w:pStyle w:val="Defstart"/>
      </w:pPr>
      <w:r>
        <w:tab/>
      </w:r>
      <w:r>
        <w:rPr>
          <w:rStyle w:val="CharDefText"/>
          <w:bCs/>
          <w:iCs/>
        </w:rPr>
        <w:t>registration document</w:t>
      </w:r>
      <w:r>
        <w:t xml:space="preserve"> means a document that evidences the registration of a training provider and that complies with the requirements of the Standards for VET Regulators;</w:t>
      </w:r>
    </w:p>
    <w:p>
      <w:pPr>
        <w:pStyle w:val="Defstart"/>
      </w:pPr>
      <w:r>
        <w:tab/>
      </w:r>
      <w:r>
        <w:rPr>
          <w:rStyle w:val="CharDefText"/>
          <w:bCs/>
          <w:iCs/>
        </w:rPr>
        <w:t>scope</w:t>
      </w:r>
      <w:r>
        <w:rPr>
          <w:rStyle w:val="CharDefText"/>
        </w:rPr>
        <w:t xml:space="preserve"> </w:t>
      </w:r>
      <w:r>
        <w:rPr>
          <w:rStyle w:val="CharDefText"/>
          <w:bCs/>
          <w:iCs/>
        </w:rPr>
        <w:t>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bCs/>
          <w:iCs/>
        </w:rPr>
        <w:t>Standards for VET Regulators</w:t>
      </w:r>
      <w:r>
        <w:t xml:space="preserve"> means the </w:t>
      </w:r>
      <w:r>
        <w:rPr>
          <w:i/>
        </w:rPr>
        <w:t xml:space="preserve">Standards for VET Regulators 2015 </w:t>
      </w:r>
      <w:r>
        <w:t>(Cth) as in force on 14 April 2017;</w:t>
      </w:r>
    </w:p>
    <w:p>
      <w:pPr>
        <w:pStyle w:val="PermNoteHeading"/>
      </w:pPr>
      <w:r>
        <w:tab/>
        <w:t>Note for this definition:</w:t>
      </w:r>
    </w:p>
    <w:p>
      <w:pPr>
        <w:pStyle w:val="PermNoteText"/>
      </w:pPr>
      <w:r>
        <w:tab/>
      </w:r>
      <w:r>
        <w:tab/>
        <w:t>This document is made under the Commonwealth Act section 189 and is published on the Commonwealth’s legislation website.</w:t>
      </w:r>
    </w:p>
    <w:p>
      <w:pPr>
        <w:pStyle w:val="Defstart"/>
      </w:pPr>
      <w:r>
        <w:tab/>
      </w:r>
      <w:r>
        <w:rPr>
          <w:rStyle w:val="CharDefText"/>
          <w:bCs/>
          <w:iCs/>
        </w:rPr>
        <w:t>VET course for a prescribed VET qualification</w:t>
      </w:r>
      <w:r>
        <w:t xml:space="preserve"> means a VET course that, if successfully completed by a person, will result in the conferral of a prescribed VET qualification on the person if the person has also fulfilled any other requirements to obtain the qualification such as those of an apprentice under a training contract;</w:t>
      </w:r>
    </w:p>
    <w:p>
      <w:pPr>
        <w:pStyle w:val="Defstart"/>
      </w:pPr>
      <w:r>
        <w:lastRenderedPageBreak/>
        <w:tab/>
      </w:r>
      <w:r>
        <w:rPr>
          <w:rStyle w:val="CharDefText"/>
          <w:bCs/>
          <w:iCs/>
        </w:rPr>
        <w:t>WA accredited course</w:t>
      </w:r>
      <w:r>
        <w:t xml:space="preserve"> means a VET course that is an approved VET course by reason of being accredited by the Council under Part 7A of the Act.</w:t>
      </w:r>
    </w:p>
    <w:p>
      <w:pPr>
        <w:pStyle w:val="Footnotesection"/>
      </w:pPr>
      <w:r>
        <w:tab/>
        <w:t>[Regulation 7 inserted: SL 2025/165 r. 5.]</w:t>
      </w:r>
    </w:p>
    <w:p>
      <w:pPr>
        <w:pStyle w:val="Heading5"/>
      </w:pPr>
      <w:bookmarkStart w:id="28" w:name="_Toc209016849"/>
      <w:r>
        <w:rPr>
          <w:rStyle w:val="CharSectno"/>
        </w:rPr>
        <w:t>8</w:t>
      </w:r>
      <w:r>
        <w:t>.</w:t>
      </w:r>
      <w:r>
        <w:tab/>
      </w:r>
      <w:r>
        <w:rPr>
          <w:bCs/>
        </w:rPr>
        <w:t>Council standards and framework</w:t>
      </w:r>
      <w:bookmarkEnd w:id="28"/>
    </w:p>
    <w:p>
      <w:pPr>
        <w:pStyle w:val="Subsection"/>
      </w:pPr>
      <w:r>
        <w:tab/>
        <w:t>(1)</w:t>
      </w:r>
      <w:r>
        <w:tab/>
        <w:t>In performing its functions under Part 7A of the Act, the Council must have regard to the Standards for VET Regulators.</w:t>
      </w:r>
    </w:p>
    <w:p>
      <w:pPr>
        <w:pStyle w:val="Subsection"/>
      </w:pPr>
      <w:r>
        <w:tab/>
        <w:t>(2)</w:t>
      </w:r>
      <w:r>
        <w:tab/>
        <w:t>In performing its functions under Part 7A of the Act, the Council must apply —</w:t>
      </w:r>
    </w:p>
    <w:p>
      <w:pPr>
        <w:pStyle w:val="Indenta"/>
      </w:pPr>
      <w:r>
        <w:tab/>
        <w:t>(a)</w:t>
      </w:r>
      <w:r>
        <w:tab/>
        <w:t>the VET quality framework; and</w:t>
      </w:r>
    </w:p>
    <w:p>
      <w:pPr>
        <w:pStyle w:val="Indenta"/>
        <w:keepNext/>
      </w:pPr>
      <w:r>
        <w:tab/>
        <w:t>(b)</w:t>
      </w:r>
      <w:r>
        <w:tab/>
        <w:t>the accreditation standards.</w:t>
      </w:r>
    </w:p>
    <w:p>
      <w:pPr>
        <w:pStyle w:val="Footnotesection"/>
      </w:pPr>
      <w:r>
        <w:tab/>
        <w:t>[Regulation 8 amended: Gazette 25 Oct 2011 p. 4509; 17 Dec 2013 p. 6220; 10 Mar 2015 p. 828; SL 2025/165 r. 6.]</w:t>
      </w:r>
    </w:p>
    <w:p>
      <w:pPr>
        <w:pStyle w:val="Heading5"/>
      </w:pPr>
      <w:bookmarkStart w:id="29" w:name="_Toc209016850"/>
      <w:r>
        <w:rPr>
          <w:rStyle w:val="CharSectno"/>
        </w:rPr>
        <w:t>9</w:t>
      </w:r>
      <w:r>
        <w:t>.</w:t>
      </w:r>
      <w:r>
        <w:tab/>
        <w:t>Register</w:t>
      </w:r>
      <w:bookmarkEnd w:id="29"/>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lastRenderedPageBreak/>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national register as soon as practicable after it is recorded on the register.</w:t>
      </w:r>
    </w:p>
    <w:p>
      <w:pPr>
        <w:pStyle w:val="Footnotesection"/>
      </w:pPr>
      <w:r>
        <w:tab/>
        <w:t>[Regulation 9 amended: Gazette 17 Dec 2013 p.</w:t>
      </w:r>
      <w:r>
        <w:rPr>
          <w:sz w:val="19"/>
        </w:rPr>
        <w:t> </w:t>
      </w:r>
      <w:r>
        <w:t>6220.]</w:t>
      </w:r>
    </w:p>
    <w:p>
      <w:pPr>
        <w:pStyle w:val="Heading3"/>
        <w:keepLines/>
      </w:pPr>
      <w:bookmarkStart w:id="30" w:name="_Toc208842381"/>
      <w:bookmarkStart w:id="31" w:name="_Toc208843803"/>
      <w:bookmarkStart w:id="32" w:name="_Toc208995260"/>
      <w:bookmarkStart w:id="33" w:name="_Toc209016851"/>
      <w:r>
        <w:rPr>
          <w:rStyle w:val="CharDivNo"/>
        </w:rPr>
        <w:t>Division 2</w:t>
      </w:r>
      <w:r>
        <w:t> — </w:t>
      </w:r>
      <w:r>
        <w:rPr>
          <w:rStyle w:val="CharDivText"/>
        </w:rPr>
        <w:t>Registration of training providers</w:t>
      </w:r>
      <w:bookmarkEnd w:id="30"/>
      <w:bookmarkEnd w:id="31"/>
      <w:bookmarkEnd w:id="32"/>
      <w:bookmarkEnd w:id="33"/>
    </w:p>
    <w:p>
      <w:pPr>
        <w:pStyle w:val="Heading5"/>
      </w:pPr>
      <w:bookmarkStart w:id="34" w:name="_Toc209016852"/>
      <w:r>
        <w:rPr>
          <w:rStyle w:val="CharSectno"/>
        </w:rPr>
        <w:t>10</w:t>
      </w:r>
      <w:r>
        <w:t>.</w:t>
      </w:r>
      <w:r>
        <w:tab/>
        <w:t>Applying to be registered training provider</w:t>
      </w:r>
      <w:bookmarkEnd w:id="34"/>
    </w:p>
    <w:p>
      <w:pPr>
        <w:pStyle w:val="Subsection"/>
      </w:pPr>
      <w:r>
        <w:tab/>
        <w:t>(1)</w:t>
      </w:r>
      <w:r>
        <w:tab/>
        <w:t xml:space="preserve">A person may apply to be registered as a training provider under section 58B of the Act — </w:t>
      </w:r>
    </w:p>
    <w:p>
      <w:pPr>
        <w:pStyle w:val="Indenta"/>
      </w:pPr>
      <w:r>
        <w:tab/>
        <w:t>(a)</w:t>
      </w:r>
      <w:r>
        <w:tab/>
        <w:t xml:space="preserve">if the person’s principal place of business — </w:t>
      </w:r>
    </w:p>
    <w:p>
      <w:pPr>
        <w:pStyle w:val="Indenti"/>
      </w:pPr>
      <w:r>
        <w:tab/>
        <w:t>(i)</w:t>
      </w:r>
      <w:r>
        <w:tab/>
        <w:t>is in WA and all or most of the vocational education and training that the person provides, or intends to provide, is or will be either in WA or another non</w:t>
      </w:r>
      <w:r>
        <w:noBreakHyphen/>
        <w:t>referring State (whether or not the person also provides, or intends to provide, vocational education and training elsewhere); or</w:t>
      </w:r>
    </w:p>
    <w:p>
      <w:pPr>
        <w:pStyle w:val="Indenti"/>
      </w:pPr>
      <w:r>
        <w:tab/>
        <w:t>(ii)</w:t>
      </w:r>
      <w:r>
        <w:tab/>
        <w:t>is in another non</w:t>
      </w:r>
      <w:r>
        <w:noBreakHyphen/>
        <w:t>referring State and all or most of the vocational education and training that the person provides, or intends to provide, is or will be in WA (whether or not the person also provides, or intends to provide, vocational education and training elsewhere);</w:t>
      </w:r>
    </w:p>
    <w:p>
      <w:pPr>
        <w:pStyle w:val="Indenta"/>
      </w:pPr>
      <w:r>
        <w:tab/>
      </w:r>
      <w:r>
        <w:tab/>
        <w:t>and</w:t>
      </w:r>
    </w:p>
    <w:p>
      <w:pPr>
        <w:pStyle w:val="Indenta"/>
      </w:pPr>
      <w:r>
        <w:tab/>
        <w:t>(b)</w:t>
      </w:r>
      <w:r>
        <w:tab/>
        <w:t>the person is not a training organisation to which the Commonwealth Act applies.</w:t>
      </w:r>
    </w:p>
    <w:p>
      <w:pPr>
        <w:pStyle w:val="Subsection"/>
      </w:pPr>
      <w:r>
        <w:tab/>
        <w:t>(2)</w:t>
      </w:r>
      <w:r>
        <w:tab/>
        <w:t>A WA registered provider whose registration is cancelled by the Council may not apply for registration under section 58B of the Act for 2 years, or such shorter time as the Council considers appropriate, after the day that the cancellation takes effect.</w:t>
      </w:r>
    </w:p>
    <w:p>
      <w:pPr>
        <w:pStyle w:val="Subsection"/>
      </w:pPr>
      <w:r>
        <w:lastRenderedPageBreak/>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keepNext/>
      </w:pPr>
      <w:r>
        <w:tab/>
        <w:t>(4)</w:t>
      </w:r>
      <w:r>
        <w:tab/>
        <w:t>If a registration application is not made in accordance with this regulation, the Council may reject it without deciding it.</w:t>
      </w:r>
    </w:p>
    <w:p>
      <w:pPr>
        <w:pStyle w:val="Footnotesection"/>
        <w:spacing w:before="80"/>
        <w:ind w:left="890" w:hanging="890"/>
      </w:pPr>
      <w:r>
        <w:tab/>
        <w:t>[Regulation 10 amended: Gazette 17 Dec 2013 p.</w:t>
      </w:r>
      <w:r>
        <w:rPr>
          <w:sz w:val="19"/>
        </w:rPr>
        <w:t> </w:t>
      </w:r>
      <w:r>
        <w:t>6221.]</w:t>
      </w:r>
    </w:p>
    <w:p>
      <w:pPr>
        <w:pStyle w:val="Heading5"/>
      </w:pPr>
      <w:bookmarkStart w:id="35" w:name="_Toc209016853"/>
      <w:r>
        <w:rPr>
          <w:rStyle w:val="CharSectno"/>
        </w:rPr>
        <w:t>11</w:t>
      </w:r>
      <w:r>
        <w:t>.</w:t>
      </w:r>
      <w:r>
        <w:tab/>
      </w:r>
      <w:r>
        <w:rPr>
          <w:bCs/>
        </w:rPr>
        <w:t>Dealing with training provider applications</w:t>
      </w:r>
      <w:bookmarkEnd w:id="35"/>
    </w:p>
    <w:p>
      <w:pPr>
        <w:pStyle w:val="Ednotesubsection"/>
      </w:pPr>
      <w:r>
        <w:tab/>
        <w:t>[(1)</w:t>
      </w:r>
      <w:r>
        <w:tab/>
        <w:t>deleted]</w:t>
      </w:r>
    </w:p>
    <w:p>
      <w:pPr>
        <w:pStyle w:val="Subsection"/>
      </w:pPr>
      <w:r>
        <w:tab/>
        <w:t>(2)</w:t>
      </w:r>
      <w:r>
        <w:tab/>
        <w:t xml:space="preserve">This regulation and regulations 12, 16 and 17 do not limit the grounds on which the Council may decide not to grant a </w:t>
      </w:r>
      <w:r>
        <w:rPr>
          <w:spacing w:val="-2"/>
        </w:rPr>
        <w:t>training</w:t>
      </w:r>
      <w:r>
        <w:t xml:space="preserve"> provider application.</w:t>
      </w:r>
    </w:p>
    <w:p>
      <w:pPr>
        <w:pStyle w:val="Subsection"/>
      </w:pPr>
      <w:r>
        <w:tab/>
        <w:t>(3)</w:t>
      </w:r>
      <w:r>
        <w:tab/>
        <w:t xml:space="preserve">The Council may ask the applicant to provide it with any information it needs to decide a </w:t>
      </w:r>
      <w:r>
        <w:rPr>
          <w:spacing w:val="-2"/>
        </w:rPr>
        <w:t>training</w:t>
      </w:r>
      <w:r>
        <w:t xml:space="preserve"> provider application.</w:t>
      </w:r>
    </w:p>
    <w:p>
      <w:pPr>
        <w:pStyle w:val="Subsection"/>
      </w:pPr>
      <w:r>
        <w:tab/>
        <w:t>(4)</w:t>
      </w:r>
      <w:r>
        <w:tab/>
        <w:t>The Council may delay deciding a training provider application until it has received any information it has asked the applicant to provide.</w:t>
      </w:r>
    </w:p>
    <w:p>
      <w:pPr>
        <w:pStyle w:val="Subsection"/>
      </w:pPr>
      <w:r>
        <w:tab/>
        <w:t>(5)</w:t>
      </w:r>
      <w:r>
        <w:tab/>
        <w:t xml:space="preserve">If the Council does not grant a </w:t>
      </w:r>
      <w:r>
        <w:rPr>
          <w:spacing w:val="-2"/>
        </w:rPr>
        <w:t>training</w:t>
      </w:r>
      <w:r>
        <w:t xml:space="preserve"> provider application, it must give the applicant a written notice stating its decision and the reasons for its decision.</w:t>
      </w:r>
    </w:p>
    <w:p>
      <w:pPr>
        <w:pStyle w:val="Footnotesection"/>
      </w:pPr>
      <w:r>
        <w:tab/>
        <w:t>[Regulation 11 amended: SL 2025/165 r. 7.]</w:t>
      </w:r>
    </w:p>
    <w:p>
      <w:pPr>
        <w:pStyle w:val="Heading5"/>
      </w:pPr>
      <w:bookmarkStart w:id="36" w:name="_Toc209016854"/>
      <w:r>
        <w:rPr>
          <w:rStyle w:val="CharSectno"/>
        </w:rPr>
        <w:t>12</w:t>
      </w:r>
      <w:r>
        <w:t>.</w:t>
      </w:r>
      <w:r>
        <w:tab/>
        <w:t>Registering training providers</w:t>
      </w:r>
      <w:bookmarkEnd w:id="36"/>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keepNext/>
      </w:pPr>
      <w:r>
        <w:lastRenderedPageBreak/>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 xml:space="preserve">The Council must not register a training provider unless it is satisfied that the provider satisfies the criteria for making a registration application under regulation 10(1) and has sufficient resources to be a training provider and that — </w:t>
      </w:r>
    </w:p>
    <w:p>
      <w:pPr>
        <w:pStyle w:val="Indenta"/>
      </w:pPr>
      <w:r>
        <w:tab/>
        <w:t>(a)</w:t>
      </w:r>
      <w:r>
        <w:tab/>
        <w:t>the provider complies with the VET quality framework and the conditions of registration for the provider; or</w:t>
      </w:r>
    </w:p>
    <w:p>
      <w:pPr>
        <w:pStyle w:val="Indenta"/>
      </w:pPr>
      <w:r>
        <w:tab/>
        <w:t>(b)</w:t>
      </w:r>
      <w:r>
        <w:tab/>
        <w:t>an audit has been conducted on the provider within the previous 3 months and the provider has been found to comply with the VET quality framework and the conditions of registration for the provider; or</w:t>
      </w:r>
    </w:p>
    <w:p>
      <w:pPr>
        <w:pStyle w:val="Indenta"/>
      </w:pPr>
      <w:r>
        <w:tab/>
        <w:t>(c)</w:t>
      </w:r>
      <w:r>
        <w:tab/>
        <w:t>the provider is registered under a corresponding law and the registration application does not seek a scope of registration or a condition of registration for the provider that differs from the scope or a condition of registration for the provider under the corresponding law.</w:t>
      </w:r>
    </w:p>
    <w:p>
      <w:pPr>
        <w:pStyle w:val="Subsection"/>
      </w:pPr>
      <w:r>
        <w:tab/>
        <w:t>(4)</w:t>
      </w:r>
      <w:r>
        <w:tab/>
        <w:t xml:space="preserve">The Council must not register a training provider who is registered under a corresponding law or the Commonwealth Act </w:t>
      </w:r>
      <w:r>
        <w:lastRenderedPageBreak/>
        <w:t>until the Council receives a notice from the relevant registering body that the registering body has cancelled the provider’s registration.</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that the provider, or a governing person in relation to the provider, is a fit and proper person.</w:t>
      </w:r>
    </w:p>
    <w:p>
      <w:pPr>
        <w:pStyle w:val="Subsection"/>
      </w:pPr>
      <w:r>
        <w:tab/>
        <w:t>(6A)</w:t>
      </w:r>
      <w:r>
        <w:tab/>
        <w:t xml:space="preserve">In determining whether a provider, or a governing person in relation to the provider, is a fit and proper person, the Council — </w:t>
      </w:r>
    </w:p>
    <w:p>
      <w:pPr>
        <w:pStyle w:val="Indenta"/>
      </w:pPr>
      <w:r>
        <w:tab/>
        <w:t>(a)</w:t>
      </w:r>
      <w:r>
        <w:tab/>
        <w:t>must have regard to the fit and proper person requirements; and</w:t>
      </w:r>
    </w:p>
    <w:p>
      <w:pPr>
        <w:pStyle w:val="Indenta"/>
      </w:pPr>
      <w:r>
        <w:tab/>
        <w:t>(b)</w:t>
      </w:r>
      <w:r>
        <w:tab/>
        <w:t xml:space="preserve">may have regard to — </w:t>
      </w:r>
    </w:p>
    <w:p>
      <w:pPr>
        <w:pStyle w:val="Indenti"/>
      </w:pPr>
      <w:r>
        <w:tab/>
        <w:t>(i)</w:t>
      </w:r>
      <w:r>
        <w:tab/>
        <w:t>the prior conduct of the provider, the governing person, an associate of the provider or an associate of the governing person (whether in WA or elsewhere); and</w:t>
      </w:r>
    </w:p>
    <w:p>
      <w:pPr>
        <w:pStyle w:val="Indenti"/>
      </w:pPr>
      <w:r>
        <w:tab/>
        <w:t>(ii)</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 xml:space="preserve">any condition of </w:t>
      </w:r>
      <w:r>
        <w:rPr>
          <w:spacing w:val="-2"/>
        </w:rPr>
        <w:t>registration</w:t>
      </w:r>
      <w:r>
        <w:t xml:space="preserve"> for the provider imposed under regulation 13(3)(c);</w:t>
      </w:r>
    </w:p>
    <w:p>
      <w:pPr>
        <w:pStyle w:val="Indenta"/>
      </w:pPr>
      <w:r>
        <w:tab/>
        <w:t>(b)</w:t>
      </w:r>
      <w:r>
        <w:tab/>
        <w:t>give the applicant a registration document;</w:t>
      </w:r>
    </w:p>
    <w:p>
      <w:pPr>
        <w:pStyle w:val="Indenta"/>
      </w:pPr>
      <w:r>
        <w:tab/>
        <w:t>(c)</w:t>
      </w:r>
      <w:r>
        <w:tab/>
        <w:t>give the applicant written notice of each condition to which the registration is subject under regulation 13.</w:t>
      </w:r>
    </w:p>
    <w:p>
      <w:pPr>
        <w:pStyle w:val="Footnotesection"/>
      </w:pPr>
      <w:r>
        <w:tab/>
        <w:t>[Regulation 12 amended: Gazette 25 Oct 2011 p. 4509; 17 Dec 2013 p. 6221; 10 Mar 2015 p. 828</w:t>
      </w:r>
      <w:r>
        <w:noBreakHyphen/>
        <w:t>9; SL 2025/165 r. 8.]</w:t>
      </w:r>
    </w:p>
    <w:p>
      <w:pPr>
        <w:pStyle w:val="Heading5"/>
      </w:pPr>
      <w:bookmarkStart w:id="37" w:name="_Toc209016855"/>
      <w:r>
        <w:rPr>
          <w:rStyle w:val="CharSectno"/>
        </w:rPr>
        <w:lastRenderedPageBreak/>
        <w:t>13</w:t>
      </w:r>
      <w:r>
        <w:t>.</w:t>
      </w:r>
      <w:r>
        <w:tab/>
        <w:t>Conditions of registration</w:t>
      </w:r>
      <w:bookmarkEnd w:id="37"/>
    </w:p>
    <w:p>
      <w:pPr>
        <w:pStyle w:val="Subsection"/>
        <w:keepNext/>
      </w:pPr>
      <w:r>
        <w:tab/>
        <w:t>(1)</w:t>
      </w:r>
      <w:r>
        <w:tab/>
        <w:t>A WA registered provider’s registration is subject to —</w:t>
      </w:r>
    </w:p>
    <w:p>
      <w:pPr>
        <w:pStyle w:val="Indenta"/>
      </w:pPr>
      <w:r>
        <w:tab/>
        <w:t>(a)</w:t>
      </w:r>
      <w:r>
        <w:tab/>
        <w:t>the VET quality framework;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 following —</w:t>
      </w:r>
    </w:p>
    <w:p>
      <w:pPr>
        <w:pStyle w:val="Indenta"/>
      </w:pPr>
      <w:r>
        <w:tab/>
        <w:t>(a)</w:t>
      </w:r>
      <w:r>
        <w:tab/>
        <w:t>the provider must comply with the VET quality framework;</w:t>
      </w:r>
    </w:p>
    <w:p>
      <w:pPr>
        <w:pStyle w:val="Indenta"/>
      </w:pPr>
      <w:r>
        <w:tab/>
        <w:t>(b)</w:t>
      </w:r>
      <w:r>
        <w:tab/>
        <w:t>the provider must, if an audit or a compliance audit shows the provider does not comply with the VET quality framework, take all steps necessary to comply with the framework;</w:t>
      </w:r>
    </w:p>
    <w:p>
      <w:pPr>
        <w:pStyle w:val="Indenta"/>
      </w:pPr>
      <w:r>
        <w:tab/>
        <w:t>(c)</w:t>
      </w:r>
      <w:r>
        <w:tab/>
        <w:t>the provider must have sufficient resources to be a training provider;</w:t>
      </w:r>
    </w:p>
    <w:p>
      <w:pPr>
        <w:pStyle w:val="Indenta"/>
      </w:pPr>
      <w:r>
        <w:tab/>
        <w:t>(d)</w:t>
      </w:r>
      <w:r>
        <w:tab/>
        <w:t>the provider must, if an audit or a compliance audit shows the provider is not complying with a condition of registration for the provider, take all steps necessary to comply with it;</w:t>
      </w:r>
    </w:p>
    <w:p>
      <w:pPr>
        <w:pStyle w:val="Indenta"/>
      </w:pPr>
      <w:r>
        <w:tab/>
        <w:t>(e)</w:t>
      </w:r>
      <w:r>
        <w:tab/>
        <w:t>if any of the following events has occurred or is going to occur, the provider must give the Council written notice of it within 10 working days —</w:t>
      </w:r>
    </w:p>
    <w:p>
      <w:pPr>
        <w:pStyle w:val="Indenti"/>
      </w:pPr>
      <w:r>
        <w:tab/>
        <w:t>(i)</w:t>
      </w:r>
      <w:r>
        <w:tab/>
        <w:t>a significant change to the provider’s operations or any other event that would significantly affect the provider’s ability to comply with the VET quality framework or a condition of registration for the provider;</w:t>
      </w:r>
    </w:p>
    <w:p>
      <w:pPr>
        <w:pStyle w:val="Indenti"/>
      </w:pPr>
      <w:r>
        <w:tab/>
        <w:t>(ii)</w:t>
      </w:r>
      <w:r>
        <w:tab/>
        <w:t>the provider’s principal place of business ceases to be in WA;</w:t>
      </w:r>
    </w:p>
    <w:p>
      <w:pPr>
        <w:pStyle w:val="Indenti"/>
      </w:pPr>
      <w:r>
        <w:tab/>
        <w:t>(iii)</w:t>
      </w:r>
      <w:r>
        <w:tab/>
        <w:t>all or most of the vocational education and training that the provider provides ceases to be provided in WA;</w:t>
      </w:r>
    </w:p>
    <w:p>
      <w:pPr>
        <w:pStyle w:val="Indenta"/>
      </w:pPr>
      <w:r>
        <w:lastRenderedPageBreak/>
        <w:tab/>
        <w:t>(f)</w:t>
      </w:r>
      <w:r>
        <w:tab/>
        <w:t xml:space="preserve">the provider must cooperate with the Council to the extent necessary for the Council to perform its functions or to facilitate the Council’s performance of its functions, including — </w:t>
      </w:r>
    </w:p>
    <w:p>
      <w:pPr>
        <w:pStyle w:val="Indenti"/>
      </w:pPr>
      <w:r>
        <w:tab/>
        <w:t>(i)</w:t>
      </w:r>
      <w:r>
        <w:tab/>
        <w:t>in the conduct of audits, compliance audits and investigations; and</w:t>
      </w:r>
    </w:p>
    <w:p>
      <w:pPr>
        <w:pStyle w:val="Indenti"/>
      </w:pPr>
      <w:r>
        <w:tab/>
        <w:t>(ii)</w:t>
      </w:r>
      <w:r>
        <w:tab/>
        <w:t>in the monitoring of the provider’s operations;</w:t>
      </w:r>
    </w:p>
    <w:p>
      <w:pPr>
        <w:pStyle w:val="Indenta"/>
      </w:pPr>
      <w:r>
        <w:tab/>
        <w:t>(g)</w:t>
      </w:r>
      <w:r>
        <w:tab/>
        <w:t xml:space="preserve">the provider must provide accurate — </w:t>
      </w:r>
    </w:p>
    <w:p>
      <w:pPr>
        <w:pStyle w:val="Indenti"/>
      </w:pPr>
      <w:r>
        <w:tab/>
        <w:t>(i)</w:t>
      </w:r>
      <w:r>
        <w:tab/>
        <w:t>responses to information requests from the Council relevant to the provider’s registration; and</w:t>
      </w:r>
    </w:p>
    <w:p>
      <w:pPr>
        <w:pStyle w:val="Indenti"/>
      </w:pPr>
      <w:r>
        <w:tab/>
        <w:t>(ii)</w:t>
      </w:r>
      <w:r>
        <w:tab/>
        <w:t>information to the Council as required by the data provision requirements.</w:t>
      </w:r>
    </w:p>
    <w:p>
      <w:pPr>
        <w:pStyle w:val="Subsection"/>
      </w:pPr>
      <w:r>
        <w:tab/>
        <w:t>(3)</w:t>
      </w:r>
      <w:r>
        <w:tab/>
        <w:t>The Council may impose any of the following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pPr>
      <w:r>
        <w:tab/>
        <w:t>(4)</w:t>
      </w:r>
      <w:r>
        <w:tab/>
        <w:t>A condition imposed under subregulation (3) must be consistent with the VET quality framework.</w:t>
      </w:r>
    </w:p>
    <w:p>
      <w:pPr>
        <w:pStyle w:val="Footnotesection"/>
      </w:pPr>
      <w:r>
        <w:tab/>
        <w:t>[Regulation 13 amended: Gazette 25 Oct 2011 p. 4510; 17 Dec 2013 p. 6222; 10 Mar 2015 p. 829</w:t>
      </w:r>
      <w:r>
        <w:noBreakHyphen/>
        <w:t>30; SL 2025/165 r. 9.]</w:t>
      </w:r>
    </w:p>
    <w:p>
      <w:pPr>
        <w:pStyle w:val="Heading5"/>
      </w:pPr>
      <w:bookmarkStart w:id="38" w:name="_Toc209016856"/>
      <w:r>
        <w:rPr>
          <w:rStyle w:val="CharSectno"/>
        </w:rPr>
        <w:lastRenderedPageBreak/>
        <w:t>14</w:t>
      </w:r>
      <w:r>
        <w:t>.</w:t>
      </w:r>
      <w:r>
        <w:tab/>
        <w:t>Period of registration</w:t>
      </w:r>
      <w:bookmarkEnd w:id="38"/>
    </w:p>
    <w:p>
      <w:pPr>
        <w:pStyle w:val="Subsection"/>
      </w:pPr>
      <w:r>
        <w:tab/>
      </w:r>
      <w:r>
        <w:tab/>
        <w:t>Unless it is sooner cancelled by the Council, a WA registered provider’s registration, whether granted initially or renewed, has effect for the period (not over 7 years) set by the Council and specified in the registration document given to the provider.</w:t>
      </w:r>
    </w:p>
    <w:p>
      <w:pPr>
        <w:pStyle w:val="Footnotesection"/>
      </w:pPr>
      <w:r>
        <w:tab/>
        <w:t>[Regulation 14 amended: Gazette 10 Mar 2015 p. 830; 28 Aug 2015 p. 3599.]</w:t>
      </w:r>
    </w:p>
    <w:p>
      <w:pPr>
        <w:pStyle w:val="Heading5"/>
      </w:pPr>
      <w:bookmarkStart w:id="39" w:name="_Toc209016857"/>
      <w:r>
        <w:rPr>
          <w:rStyle w:val="CharSectno"/>
        </w:rPr>
        <w:t>15</w:t>
      </w:r>
      <w:r>
        <w:t>.</w:t>
      </w:r>
      <w:r>
        <w:tab/>
        <w:t>Annual fees payable by registered training providers</w:t>
      </w:r>
      <w:bookmarkEnd w:id="39"/>
    </w:p>
    <w:p>
      <w:pPr>
        <w:pStyle w:val="Subsection"/>
      </w:pPr>
      <w:r>
        <w:tab/>
      </w:r>
      <w:r>
        <w:tab/>
        <w:t>A WA registered provider must pay an annual fee set under regulation 23 on or before each anniversary of the provider’s registration or its renewal.</w:t>
      </w:r>
    </w:p>
    <w:p>
      <w:pPr>
        <w:pStyle w:val="Heading5"/>
      </w:pPr>
      <w:bookmarkStart w:id="40" w:name="_Toc209016858"/>
      <w:r>
        <w:rPr>
          <w:rStyle w:val="CharSectno"/>
        </w:rPr>
        <w:t>16</w:t>
      </w:r>
      <w:r>
        <w:t>.</w:t>
      </w:r>
      <w:r>
        <w:tab/>
        <w:t>Renewal of registration</w:t>
      </w:r>
      <w:bookmarkEnd w:id="40"/>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keepNext/>
      </w:pPr>
      <w:r>
        <w:lastRenderedPageBreak/>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that the provider satisfies the criteria for making a registration application under regulation 10(1); and</w:t>
      </w:r>
    </w:p>
    <w:p>
      <w:pPr>
        <w:pStyle w:val="Ednotesubpara"/>
      </w:pPr>
      <w:r>
        <w:tab/>
        <w:t>[(ii)</w:t>
      </w:r>
      <w:r>
        <w:tab/>
        <w:t>deleted]</w:t>
      </w:r>
    </w:p>
    <w:p>
      <w:pPr>
        <w:pStyle w:val="Indenti"/>
      </w:pPr>
      <w:r>
        <w:tab/>
        <w:t>(iii)</w:t>
      </w:r>
      <w:r>
        <w:tab/>
        <w:t>the provider is complying with the conditions of registration for the provider;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registration document.</w:t>
      </w:r>
    </w:p>
    <w:p>
      <w:pPr>
        <w:pStyle w:val="Footnotesection"/>
      </w:pPr>
      <w:r>
        <w:tab/>
        <w:t>[Regulation 16 amended: Gazette 25 Oct 2011 p. 4510; 17 Dec 2013 p. 6222; 10 Mar 2015 p. 830; SL 2025/165 r. 10.]</w:t>
      </w:r>
    </w:p>
    <w:p>
      <w:pPr>
        <w:pStyle w:val="Heading5"/>
      </w:pPr>
      <w:bookmarkStart w:id="41" w:name="_Toc209016859"/>
      <w:r>
        <w:rPr>
          <w:rStyle w:val="CharSectno"/>
        </w:rPr>
        <w:t>17</w:t>
      </w:r>
      <w:r>
        <w:t>.</w:t>
      </w:r>
      <w:r>
        <w:tab/>
        <w:t>Varying registration</w:t>
      </w:r>
      <w:bookmarkEnd w:id="41"/>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lastRenderedPageBreak/>
        <w:tab/>
        <w:t>(2)</w:t>
      </w:r>
      <w:r>
        <w:tab/>
        <w:t>On an application made under subregulation (1) the Council may vary —</w:t>
      </w:r>
    </w:p>
    <w:p>
      <w:pPr>
        <w:pStyle w:val="Indenta"/>
      </w:pPr>
      <w:r>
        <w:tab/>
        <w:t>(a)</w:t>
      </w:r>
      <w:r>
        <w:tab/>
        <w:t>the applicant’s scope of registration; or</w:t>
      </w:r>
    </w:p>
    <w:p>
      <w:pPr>
        <w:pStyle w:val="Indenta"/>
      </w:pPr>
      <w:r>
        <w:tab/>
        <w:t>(b)</w:t>
      </w:r>
      <w:r>
        <w:tab/>
        <w:t>a condition of registration for the provider imposed under regulation 13(3)(c); or</w:t>
      </w:r>
    </w:p>
    <w:p>
      <w:pPr>
        <w:pStyle w:val="Indenta"/>
      </w:pPr>
      <w:r>
        <w:tab/>
        <w:t>(c)</w:t>
      </w:r>
      <w:r>
        <w:tab/>
        <w:t>any other of the applicant’s details on the register.</w:t>
      </w:r>
    </w:p>
    <w:p>
      <w:pPr>
        <w:pStyle w:val="Subsection"/>
        <w:spacing w:before="120"/>
      </w:pPr>
      <w:r>
        <w:tab/>
        <w:t>(3)</w:t>
      </w:r>
      <w:r>
        <w:tab/>
        <w:t xml:space="preserve">The Council, on its own initiative, may vary a WA registered provider’s registration at any time by doing any of the following — </w:t>
      </w:r>
    </w:p>
    <w:p>
      <w:pPr>
        <w:pStyle w:val="Indenta"/>
      </w:pPr>
      <w:r>
        <w:tab/>
        <w:t>(a)</w:t>
      </w:r>
      <w:r>
        <w:tab/>
        <w:t>correcting any information on the register that is wrong;</w:t>
      </w:r>
    </w:p>
    <w:p>
      <w:pPr>
        <w:pStyle w:val="Indenta"/>
      </w:pPr>
      <w:r>
        <w:tab/>
        <w:t>(b)</w:t>
      </w:r>
      <w:r>
        <w:tab/>
        <w:t>changing the provider’s scope of registration;</w:t>
      </w:r>
    </w:p>
    <w:p>
      <w:pPr>
        <w:pStyle w:val="Indenta"/>
      </w:pPr>
      <w:r>
        <w:tab/>
        <w:t>(c)</w:t>
      </w:r>
      <w:r>
        <w:tab/>
        <w:t>imposing a condition of registration for the provider that may be imposed under regulation 13(3)(c);</w:t>
      </w:r>
    </w:p>
    <w:p>
      <w:pPr>
        <w:pStyle w:val="Indenta"/>
      </w:pPr>
      <w:r>
        <w:tab/>
        <w:t>(d)</w:t>
      </w:r>
      <w:r>
        <w:tab/>
        <w:t>varying or cancelling a condition of registration for the provider that has been imposed under regulation 13(3)(c).</w:t>
      </w:r>
    </w:p>
    <w:p>
      <w:pPr>
        <w:pStyle w:val="Subsection"/>
      </w:pPr>
      <w:r>
        <w:tab/>
        <w:t>(4)</w:t>
      </w:r>
      <w:r>
        <w:tab/>
        <w:t xml:space="preserve">The Council must not vary a WA registered provider’s registration to change the provider’s scope of registration unless it is satisfied that — </w:t>
      </w:r>
    </w:p>
    <w:p>
      <w:pPr>
        <w:pStyle w:val="Indenta"/>
      </w:pPr>
      <w:r>
        <w:tab/>
        <w:t>(a)</w:t>
      </w:r>
      <w:r>
        <w:tab/>
        <w:t>the provider satisfies the criteria for making a registration application under regulation 10(1); and</w:t>
      </w:r>
    </w:p>
    <w:p>
      <w:pPr>
        <w:pStyle w:val="Indenta"/>
      </w:pPr>
      <w:r>
        <w:tab/>
        <w:t>(b)</w:t>
      </w:r>
      <w:r>
        <w:tab/>
        <w:t xml:space="preserve">in relation to any operations that the change would authorise the provider to conduct and that, without the change, the provider is not authorised to conduct, either — </w:t>
      </w:r>
    </w:p>
    <w:p>
      <w:pPr>
        <w:pStyle w:val="Indenti"/>
      </w:pPr>
      <w:r>
        <w:tab/>
        <w:t>(i)</w:t>
      </w:r>
      <w:r>
        <w:tab/>
        <w:t>the provider complies with the VET quality framework; or</w:t>
      </w:r>
    </w:p>
    <w:p>
      <w:pPr>
        <w:pStyle w:val="Indenti"/>
      </w:pPr>
      <w:r>
        <w:tab/>
        <w:t>(ii)</w:t>
      </w:r>
      <w:r>
        <w:tab/>
        <w:t>an audit or a compliance audit has been conducted on the provider within the previous 3 months and the provider has been found to comply with the VET quality framework.</w:t>
      </w:r>
    </w:p>
    <w:p>
      <w:pPr>
        <w:pStyle w:val="Subsection"/>
        <w:spacing w:before="120"/>
      </w:pPr>
      <w:r>
        <w:lastRenderedPageBreak/>
        <w:tab/>
        <w:t>(5)</w:t>
      </w:r>
      <w:r>
        <w:tab/>
        <w:t>If the Council varies a WA registered provider’s registration, the Council must give the provider written notice of its decision and, if the decision is made under subregulation (3), the reasons for it.</w:t>
      </w:r>
    </w:p>
    <w:p>
      <w:pPr>
        <w:pStyle w:val="Footnotesection"/>
        <w:spacing w:before="60"/>
        <w:ind w:left="890" w:hanging="890"/>
      </w:pPr>
      <w:r>
        <w:tab/>
        <w:t>[Regulation 17 amended: Gazette 25 Oct 2011 p. 4510; 17 Dec 2013 p. 6222; 10 Mar 2015 p. 830; SL 2025/165 r. 11.]</w:t>
      </w:r>
    </w:p>
    <w:p>
      <w:pPr>
        <w:pStyle w:val="Heading5"/>
      </w:pPr>
      <w:bookmarkStart w:id="42" w:name="_Toc209016860"/>
      <w:r>
        <w:rPr>
          <w:rStyle w:val="CharSectno"/>
        </w:rPr>
        <w:t>18</w:t>
      </w:r>
      <w:r>
        <w:t>.</w:t>
      </w:r>
      <w:r>
        <w:tab/>
        <w:t>Cancelling registration if provider’s operations change</w:t>
      </w:r>
      <w:bookmarkEnd w:id="42"/>
    </w:p>
    <w:p>
      <w:pPr>
        <w:pStyle w:val="Subsection"/>
      </w:pPr>
      <w:r>
        <w:tab/>
        <w:t>(1)</w:t>
      </w:r>
      <w:r>
        <w:tab/>
        <w:t>Under section 58B of the Act, the Council may cancel a WA registered provider’s registration if it is satisfied that the provider is a person who does not satisfy, or no longer satisfies, the criteria for making a registration application under regulation 10(1).</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or the Commonwealth Act, the Council must not cancel the registration until the application is decided.</w:t>
      </w:r>
    </w:p>
    <w:p>
      <w:pPr>
        <w:pStyle w:val="Footnotesection"/>
      </w:pPr>
      <w:r>
        <w:tab/>
        <w:t>[Regulation 18 amended: Gazette 17 Dec 2013 p.</w:t>
      </w:r>
      <w:r>
        <w:rPr>
          <w:sz w:val="19"/>
        </w:rPr>
        <w:t> </w:t>
      </w:r>
      <w:r>
        <w:t>6222; SL 2025/165 r. 12.]</w:t>
      </w:r>
    </w:p>
    <w:p>
      <w:pPr>
        <w:pStyle w:val="Heading5"/>
        <w:pageBreakBefore/>
        <w:spacing w:before="0"/>
      </w:pPr>
      <w:bookmarkStart w:id="43" w:name="_Toc209016861"/>
      <w:r>
        <w:rPr>
          <w:rStyle w:val="CharSectno"/>
        </w:rPr>
        <w:lastRenderedPageBreak/>
        <w:t>19</w:t>
      </w:r>
      <w:r>
        <w:t>.</w:t>
      </w:r>
      <w:r>
        <w:tab/>
        <w:t>Suspending or cancelling registration</w:t>
      </w:r>
      <w:bookmarkEnd w:id="43"/>
    </w:p>
    <w:p>
      <w:pPr>
        <w:pStyle w:val="Subsection"/>
      </w:pPr>
      <w:r>
        <w:tab/>
        <w:t>(1)</w:t>
      </w:r>
      <w:r>
        <w:tab/>
        <w:t xml:space="preserve">Under section 58B of the Act, the Council may suspend or cancel a WA registered provider’s registration if it is satisfied as to any of the following matters —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Ednotepara"/>
      </w:pPr>
      <w:r>
        <w:tab/>
        <w:t>[(d)</w:t>
      </w:r>
      <w:r>
        <w:tab/>
        <w:t>deleted]</w:t>
      </w:r>
    </w:p>
    <w:p>
      <w:pPr>
        <w:pStyle w:val="Indenta"/>
      </w:pPr>
      <w:r>
        <w:tab/>
        <w:t>(e)</w:t>
      </w:r>
      <w:r>
        <w:tab/>
        <w:t>the provider has contravened a condition of registration for the provider;</w:t>
      </w:r>
    </w:p>
    <w:p>
      <w:pPr>
        <w:pStyle w:val="Indenta"/>
      </w:pPr>
      <w:r>
        <w:tab/>
        <w:t>(f)</w:t>
      </w:r>
      <w:r>
        <w:tab/>
        <w:t>the provider, or a governing person in relation to the provider, is not a fit and proper person having regard to the matters in regulation 12(6A);</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provider satisfies the criteria for making a registration application under regulation 10(1); or</w:t>
      </w:r>
    </w:p>
    <w:p>
      <w:pPr>
        <w:pStyle w:val="Indenta"/>
      </w:pPr>
      <w:r>
        <w:tab/>
        <w:t>(b)</w:t>
      </w:r>
      <w:r>
        <w:tab/>
        <w:t>the provider has applied to another registering body to be registered as a training provider under a corresponding law or the Commonwealth Act.</w:t>
      </w:r>
    </w:p>
    <w:p>
      <w:pPr>
        <w:pStyle w:val="Subsection"/>
      </w:pPr>
      <w:r>
        <w:tab/>
        <w:t>(3)</w:t>
      </w:r>
      <w:r>
        <w:tab/>
        <w:t>The suspension of a WA registered provider’s registration may relate to the whole or a part of the provider’s scope of registration, as the Council decides.</w:t>
      </w:r>
    </w:p>
    <w:p>
      <w:pPr>
        <w:pStyle w:val="Subsection"/>
        <w:keepNext/>
      </w:pPr>
      <w:r>
        <w:lastRenderedPageBreak/>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(5A)</w:t>
      </w:r>
      <w:r>
        <w:tab/>
        <w:t>The reasons for the suspension referred to in subregulation (4)(a) must identify specific issues to be addressed by the applicant.</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any registering body that has, or may have, registered the provider under a corresponding law or under the Commonwealth Act.</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r>
        <w:tab/>
        <w:t>[Regulation 19 amended: Gazette 25 Oct 2011 p. 4510; 17 Dec 2013 p. 6223; 15 Jul 2014 p. 2463; 10 Mar 2015 p. 831; SL 2025/165 r. 13.]</w:t>
      </w:r>
    </w:p>
    <w:p>
      <w:pPr>
        <w:pStyle w:val="Heading5"/>
      </w:pPr>
      <w:bookmarkStart w:id="44" w:name="_Toc209016862"/>
      <w:r>
        <w:rPr>
          <w:rStyle w:val="CharSectno"/>
        </w:rPr>
        <w:t>20</w:t>
      </w:r>
      <w:r>
        <w:t>.</w:t>
      </w:r>
      <w:r>
        <w:tab/>
        <w:t>Suspension of WA registered provider may be on terms</w:t>
      </w:r>
      <w:bookmarkEnd w:id="44"/>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lastRenderedPageBreak/>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45" w:name="_Toc209016863"/>
      <w:r>
        <w:rPr>
          <w:rStyle w:val="CharSectno"/>
        </w:rPr>
        <w:t>21</w:t>
      </w:r>
      <w:r>
        <w:t>.</w:t>
      </w:r>
      <w:r>
        <w:tab/>
        <w:t>Effect of suspension of WA registered provider</w:t>
      </w:r>
      <w:bookmarkEnd w:id="45"/>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spacing w:before="180"/>
      </w:pPr>
      <w:bookmarkStart w:id="46" w:name="_Toc209016864"/>
      <w:r>
        <w:rPr>
          <w:rStyle w:val="CharSectno"/>
        </w:rPr>
        <w:t>22</w:t>
      </w:r>
      <w:r>
        <w:t>.</w:t>
      </w:r>
      <w:r>
        <w:tab/>
        <w:t>Requests for reassessment of decision to suspend WA registered provider</w:t>
      </w:r>
      <w:bookmarkEnd w:id="46"/>
    </w:p>
    <w:p>
      <w:pPr>
        <w:pStyle w:val="Subsection"/>
      </w:pPr>
      <w:r>
        <w:tab/>
        <w:t>(1)</w:t>
      </w:r>
      <w:r>
        <w:tab/>
        <w:t>This regulation applies if the Council has decided to suspend a WA registered provider’s registration under regulation 19.</w:t>
      </w:r>
    </w:p>
    <w:p>
      <w:pPr>
        <w:pStyle w:val="Subsection"/>
      </w:pPr>
      <w:r>
        <w:tab/>
        <w:t>(2)</w:t>
      </w:r>
      <w:r>
        <w:tab/>
        <w:t>A WA registered provider to whom this regulation applies may request in writing that the Council reassess its decision in relation to the issues identified by the Council in the written order given under regulation 19(4).</w:t>
      </w:r>
    </w:p>
    <w:p>
      <w:pPr>
        <w:pStyle w:val="Subsection"/>
      </w:pPr>
      <w:r>
        <w:lastRenderedPageBreak/>
        <w:tab/>
        <w:t>(3)</w:t>
      </w:r>
      <w:r>
        <w:tab/>
        <w:t xml:space="preserve">A request by a WA registered provider must — </w:t>
      </w:r>
    </w:p>
    <w:p>
      <w:pPr>
        <w:pStyle w:val="Indenta"/>
      </w:pPr>
      <w:r>
        <w:tab/>
        <w:t>(a)</w:t>
      </w:r>
      <w:r>
        <w:tab/>
        <w:t>describe the actions taken by the provider to address the issues identified in the order referred to in subregulation (2); and</w:t>
      </w:r>
    </w:p>
    <w:p>
      <w:pPr>
        <w:pStyle w:val="Indenta"/>
      </w:pPr>
      <w:r>
        <w:tab/>
        <w:t>(b)</w:t>
      </w:r>
      <w:r>
        <w:tab/>
        <w:t>provide evidence to demonstrate that those issues have been addressed by the provider; and</w:t>
      </w:r>
    </w:p>
    <w:p>
      <w:pPr>
        <w:pStyle w:val="Indenta"/>
      </w:pPr>
      <w:r>
        <w:tab/>
        <w:t>(c)</w:t>
      </w:r>
      <w:r>
        <w:tab/>
        <w:t>be accompanied by the reassessment fee set under regulation 23.</w:t>
      </w:r>
    </w:p>
    <w:p>
      <w:pPr>
        <w:pStyle w:val="Footnotesection"/>
      </w:pPr>
      <w:r>
        <w:tab/>
        <w:t>[Regulation 22 inserted: Gazette 17 Dec 2013 p.</w:t>
      </w:r>
      <w:r>
        <w:rPr>
          <w:sz w:val="19"/>
        </w:rPr>
        <w:t> </w:t>
      </w:r>
      <w:r>
        <w:t>6223</w:t>
      </w:r>
      <w:r>
        <w:noBreakHyphen/>
        <w:t>4.]</w:t>
      </w:r>
    </w:p>
    <w:p>
      <w:pPr>
        <w:pStyle w:val="Heading5"/>
        <w:spacing w:before="180"/>
      </w:pPr>
      <w:bookmarkStart w:id="47" w:name="_Toc209016865"/>
      <w:r>
        <w:rPr>
          <w:rStyle w:val="CharSectno"/>
        </w:rPr>
        <w:t>23</w:t>
      </w:r>
      <w:r>
        <w:t>.</w:t>
      </w:r>
      <w:r>
        <w:tab/>
        <w:t>Fees</w:t>
      </w:r>
      <w:bookmarkEnd w:id="47"/>
    </w:p>
    <w:p>
      <w:pPr>
        <w:pStyle w:val="Subsection"/>
      </w:pPr>
      <w:r>
        <w:tab/>
        <w:t>(1)</w:t>
      </w:r>
      <w:r>
        <w:tab/>
        <w:t>The fees payable under this Division are to be set by the Council.</w:t>
      </w:r>
    </w:p>
    <w:p>
      <w:pPr>
        <w:pStyle w:val="Subsection"/>
        <w:spacing w:before="120"/>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48" w:name="_Toc208842396"/>
      <w:bookmarkStart w:id="49" w:name="_Toc208843818"/>
      <w:bookmarkStart w:id="50" w:name="_Toc208995275"/>
      <w:bookmarkStart w:id="51" w:name="_Toc209016866"/>
      <w:r>
        <w:rPr>
          <w:rStyle w:val="CharDivNo"/>
        </w:rPr>
        <w:t>Division 3</w:t>
      </w:r>
      <w:r>
        <w:t> — </w:t>
      </w:r>
      <w:r>
        <w:rPr>
          <w:rStyle w:val="CharDivText"/>
        </w:rPr>
        <w:t>Audits of, and investigations into, training providers</w:t>
      </w:r>
      <w:bookmarkEnd w:id="48"/>
      <w:bookmarkEnd w:id="49"/>
      <w:bookmarkEnd w:id="50"/>
      <w:bookmarkEnd w:id="51"/>
    </w:p>
    <w:p>
      <w:pPr>
        <w:pStyle w:val="Footnoteheading"/>
      </w:pPr>
      <w:r>
        <w:tab/>
        <w:t>[Heading amended: Gazette 17 Dec 2013 p. 6224.]</w:t>
      </w:r>
    </w:p>
    <w:p>
      <w:pPr>
        <w:pStyle w:val="Heading5"/>
      </w:pPr>
      <w:bookmarkStart w:id="52" w:name="_Toc208493866"/>
      <w:bookmarkStart w:id="53" w:name="_Toc208494212"/>
      <w:bookmarkStart w:id="54" w:name="_Toc209016867"/>
      <w:r>
        <w:rPr>
          <w:rStyle w:val="CharSectno"/>
        </w:rPr>
        <w:t>24</w:t>
      </w:r>
      <w:r>
        <w:t>.</w:t>
      </w:r>
      <w:r>
        <w:tab/>
        <w:t>Term used: official travel costs</w:t>
      </w:r>
      <w:bookmarkEnd w:id="52"/>
      <w:bookmarkEnd w:id="53"/>
      <w:bookmarkEnd w:id="54"/>
    </w:p>
    <w:p>
      <w:pPr>
        <w:pStyle w:val="Subsection"/>
      </w:pPr>
      <w:r>
        <w:tab/>
      </w:r>
      <w:r>
        <w:tab/>
        <w:t>In this Division —</w:t>
      </w:r>
    </w:p>
    <w:p>
      <w:pPr>
        <w:pStyle w:val="Defstart"/>
      </w:pPr>
      <w:r>
        <w:tab/>
      </w:r>
      <w:r>
        <w:rPr>
          <w:rStyle w:val="CharDefText"/>
        </w:rPr>
        <w:t>official travel costs</w:t>
      </w:r>
      <w:r>
        <w:t xml:space="preserve"> means — </w:t>
      </w:r>
    </w:p>
    <w:p>
      <w:pPr>
        <w:pStyle w:val="Defpara"/>
      </w:pPr>
      <w:r>
        <w:tab/>
        <w:t>(a)</w:t>
      </w:r>
      <w:r>
        <w:tab/>
        <w:t>reasonably incurred airfares; and</w:t>
      </w:r>
    </w:p>
    <w:p>
      <w:pPr>
        <w:pStyle w:val="Defpara"/>
      </w:pPr>
      <w:r>
        <w:lastRenderedPageBreak/>
        <w:tab/>
        <w:t>(b)</w:t>
      </w:r>
      <w:r>
        <w:tab/>
        <w:t xml:space="preserve">such other travel expenses as may be reasonably incurred, including the following expenses — </w:t>
      </w:r>
    </w:p>
    <w:p>
      <w:pPr>
        <w:pStyle w:val="Defsubpara"/>
      </w:pPr>
      <w:r>
        <w:tab/>
        <w:t>(i)</w:t>
      </w:r>
      <w:r>
        <w:tab/>
        <w:t xml:space="preserve">accommodation; </w:t>
      </w:r>
    </w:p>
    <w:p>
      <w:pPr>
        <w:pStyle w:val="Defsubpara"/>
      </w:pPr>
      <w:r>
        <w:tab/>
        <w:t>(ii)</w:t>
      </w:r>
      <w:r>
        <w:tab/>
        <w:t xml:space="preserve">car rental; </w:t>
      </w:r>
    </w:p>
    <w:p>
      <w:pPr>
        <w:pStyle w:val="Defsubpara"/>
      </w:pPr>
      <w:r>
        <w:tab/>
        <w:t>(iii)</w:t>
      </w:r>
      <w:r>
        <w:tab/>
        <w:t>a meal.</w:t>
      </w:r>
    </w:p>
    <w:p>
      <w:pPr>
        <w:pStyle w:val="Footnotesection"/>
      </w:pPr>
      <w:r>
        <w:tab/>
        <w:t>[Regulation 24 inserted: SL 2025/165 r. 14.]</w:t>
      </w:r>
    </w:p>
    <w:p>
      <w:pPr>
        <w:pStyle w:val="Heading5"/>
      </w:pPr>
      <w:bookmarkStart w:id="55" w:name="_Toc209016868"/>
      <w:r>
        <w:rPr>
          <w:rStyle w:val="CharSectno"/>
        </w:rPr>
        <w:t>25</w:t>
      </w:r>
      <w:r>
        <w:t>.</w:t>
      </w:r>
      <w:r>
        <w:tab/>
        <w:t>Audits</w:t>
      </w:r>
      <w:bookmarkEnd w:id="55"/>
    </w:p>
    <w:p>
      <w:pPr>
        <w:pStyle w:val="Subsection"/>
      </w:pPr>
      <w:r>
        <w:tab/>
        <w:t>(1)</w:t>
      </w:r>
      <w:r>
        <w:tab/>
        <w:t>An inquiry conducted under section 58D of the Act may be in the form of an audit to establish whether a training provider is complying with the Act, VET quality framework or conditions of registration for the provider.</w:t>
      </w:r>
    </w:p>
    <w:p>
      <w:pPr>
        <w:pStyle w:val="Subsection"/>
      </w:pPr>
      <w:r>
        <w:tab/>
        <w:t>(2A)</w:t>
      </w:r>
      <w:r>
        <w:tab/>
        <w:t>The Council may conduct an audit at any time on a training provider if the Council thinks fit having regard to the Act and the relevant registration requirements.</w:t>
      </w:r>
    </w:p>
    <w:p>
      <w:pPr>
        <w:pStyle w:val="Subsection"/>
      </w:pPr>
      <w:r>
        <w:tab/>
        <w:t>(2B)</w:t>
      </w:r>
      <w:r>
        <w:tab/>
        <w:t>A training provider must cooperate with the Council in its conduct of an audit and provide any relevant information that the Council requests.</w:t>
      </w:r>
    </w:p>
    <w:p>
      <w:pPr>
        <w:pStyle w:val="Subsection"/>
      </w:pPr>
      <w:r>
        <w:tab/>
        <w:t>(2)</w:t>
      </w:r>
      <w:r>
        <w:tab/>
        <w:t>An audit must comply with the Standards for VET Regulators to the extent that they relate to audits.</w:t>
      </w:r>
    </w:p>
    <w:p>
      <w:pPr>
        <w:pStyle w:val="Subsection"/>
        <w:keepNext/>
      </w:pPr>
      <w:r>
        <w:tab/>
        <w:t>(3)</w:t>
      </w:r>
      <w:r>
        <w:tab/>
        <w:t>A contravention of subregulation (2) does not affect the validity of the audit if the contravention —</w:t>
      </w:r>
    </w:p>
    <w:p>
      <w:pPr>
        <w:pStyle w:val="Indenta"/>
      </w:pPr>
      <w:r>
        <w:tab/>
        <w:t>(a)</w:t>
      </w:r>
      <w:r>
        <w:tab/>
        <w:t>does not substantially affect the outcome of the audit; or</w:t>
      </w:r>
    </w:p>
    <w:p>
      <w:pPr>
        <w:pStyle w:val="Indenta"/>
      </w:pPr>
      <w:r>
        <w:tab/>
        <w:t>(b)</w:t>
      </w:r>
      <w:r>
        <w:tab/>
        <w:t>arises out of an inconsistency between the Standards for VET Regulators and written laws.</w:t>
      </w:r>
    </w:p>
    <w:p>
      <w:pPr>
        <w:pStyle w:val="Footnotesection"/>
      </w:pPr>
      <w:r>
        <w:tab/>
        <w:t>[Regulation 25 amended: Gazette 17 Dec 2013 p.</w:t>
      </w:r>
      <w:r>
        <w:rPr>
          <w:sz w:val="19"/>
        </w:rPr>
        <w:t> </w:t>
      </w:r>
      <w:r>
        <w:t>6225; 10 Mar 2015 p. 831</w:t>
      </w:r>
      <w:r>
        <w:noBreakHyphen/>
        <w:t>2; SL 2025/165 r. 15.]</w:t>
      </w:r>
    </w:p>
    <w:p>
      <w:pPr>
        <w:pStyle w:val="Heading5"/>
      </w:pPr>
      <w:bookmarkStart w:id="56" w:name="_Toc209016869"/>
      <w:r>
        <w:rPr>
          <w:rStyle w:val="CharSectno"/>
        </w:rPr>
        <w:t>26A</w:t>
      </w:r>
      <w:r>
        <w:t>.</w:t>
      </w:r>
      <w:r>
        <w:tab/>
        <w:t>Compliance audits</w:t>
      </w:r>
      <w:bookmarkEnd w:id="56"/>
    </w:p>
    <w:p>
      <w:pPr>
        <w:pStyle w:val="Subsection"/>
      </w:pPr>
      <w:r>
        <w:tab/>
        <w:t>(1)</w:t>
      </w:r>
      <w:r>
        <w:tab/>
        <w:t xml:space="preserve">An inquiry conducted under section 58D of the Act may be in the form of a compliance audit on a WA registered provider in </w:t>
      </w:r>
      <w:r>
        <w:lastRenderedPageBreak/>
        <w:t>the form of a review or examination of the provider’s operations or a particular aspect of the operations.</w:t>
      </w:r>
    </w:p>
    <w:p>
      <w:pPr>
        <w:pStyle w:val="Subsection"/>
      </w:pPr>
      <w:r>
        <w:tab/>
        <w:t>(2)</w:t>
      </w:r>
      <w:r>
        <w:tab/>
        <w:t xml:space="preserve">The Council may conduct a compliance audit on a WA registered provider — </w:t>
      </w:r>
    </w:p>
    <w:p>
      <w:pPr>
        <w:pStyle w:val="Indenta"/>
      </w:pPr>
      <w:r>
        <w:tab/>
        <w:t>(a)</w:t>
      </w:r>
      <w:r>
        <w:tab/>
        <w:t>if the Council thinks fit after assessing the results of an audit; or</w:t>
      </w:r>
    </w:p>
    <w:p>
      <w:pPr>
        <w:pStyle w:val="Indenta"/>
      </w:pPr>
      <w:r>
        <w:tab/>
        <w:t>(b)</w:t>
      </w:r>
      <w:r>
        <w:tab/>
        <w:t>as part of an investigation.</w:t>
      </w:r>
    </w:p>
    <w:p>
      <w:pPr>
        <w:pStyle w:val="Subsection"/>
      </w:pPr>
      <w:r>
        <w:tab/>
        <w:t>(3A)</w:t>
      </w:r>
      <w:r>
        <w:tab/>
        <w:t>A WA registered provider must cooperate with the Council in its conduct of a compliance audit and provide any relevant information that the Council requests.</w:t>
      </w:r>
    </w:p>
    <w:p>
      <w:pPr>
        <w:pStyle w:val="Subsection"/>
      </w:pPr>
      <w:r>
        <w:tab/>
        <w:t>(3B)</w:t>
      </w:r>
      <w:r>
        <w:tab/>
        <w:t>A compliance audit must comply with the Standards for VET Regulators to the extent that they relate to compliance audits.</w:t>
      </w:r>
    </w:p>
    <w:p>
      <w:pPr>
        <w:pStyle w:val="Subsection"/>
      </w:pPr>
      <w:r>
        <w:tab/>
        <w:t>(3C)</w:t>
      </w:r>
      <w:r>
        <w:tab/>
        <w:t xml:space="preserve">A contravention of subregulation (3B) does not affect the validity of the compliance audit if the contravention — </w:t>
      </w:r>
    </w:p>
    <w:p>
      <w:pPr>
        <w:pStyle w:val="Indenta"/>
      </w:pPr>
      <w:r>
        <w:tab/>
        <w:t>(a)</w:t>
      </w:r>
      <w:r>
        <w:tab/>
        <w:t>does not substantially affect the outcome of the compliance audit; or</w:t>
      </w:r>
    </w:p>
    <w:p>
      <w:pPr>
        <w:pStyle w:val="Indenta"/>
      </w:pPr>
      <w:r>
        <w:tab/>
        <w:t>(b)</w:t>
      </w:r>
      <w:r>
        <w:tab/>
        <w:t>arises out of an inconsistency between the Standards for VET Regulators and written laws.</w:t>
      </w:r>
    </w:p>
    <w:p>
      <w:pPr>
        <w:pStyle w:val="Subsection"/>
        <w:keepNext/>
      </w:pPr>
      <w:r>
        <w:tab/>
        <w:t>(3)</w:t>
      </w:r>
      <w:r>
        <w:tab/>
        <w:t xml:space="preserve">If the Council conducts a compliance audit on a WA registered provider, a charge is payable for — </w:t>
      </w:r>
    </w:p>
    <w:p>
      <w:pPr>
        <w:pStyle w:val="Indenta"/>
        <w:keepNext/>
      </w:pPr>
      <w:r>
        <w:tab/>
        <w:t>(a)</w:t>
      </w:r>
      <w:r>
        <w:tab/>
        <w:t xml:space="preserve">the costs and expenses incurred by the Council in conducting the compliance audit, calculated as the sum of — </w:t>
      </w:r>
    </w:p>
    <w:p>
      <w:pPr>
        <w:pStyle w:val="Indenti"/>
      </w:pPr>
      <w:r>
        <w:tab/>
        <w:t>(i)</w:t>
      </w:r>
      <w:r>
        <w:tab/>
        <w:t>$1 000; and</w:t>
      </w:r>
    </w:p>
    <w:p>
      <w:pPr>
        <w:pStyle w:val="Indenti"/>
        <w:keepNext/>
      </w:pPr>
      <w:r>
        <w:tab/>
        <w:t>(ii)</w:t>
      </w:r>
      <w:r>
        <w:tab/>
        <w:t>if the audit exceeds 4 hours in length — $250 per subsequent hour; and</w:t>
      </w:r>
    </w:p>
    <w:p>
      <w:pPr>
        <w:pStyle w:val="Indenti"/>
      </w:pPr>
      <w:r>
        <w:tab/>
        <w:t>(iii)</w:t>
      </w:r>
      <w:r>
        <w:tab/>
        <w:t>the official travel costs;</w:t>
      </w:r>
    </w:p>
    <w:p>
      <w:pPr>
        <w:pStyle w:val="Indenta"/>
      </w:pPr>
      <w:r>
        <w:tab/>
      </w:r>
      <w:r>
        <w:tab/>
        <w:t>and</w:t>
      </w:r>
    </w:p>
    <w:p>
      <w:pPr>
        <w:pStyle w:val="Indenta"/>
      </w:pPr>
      <w:r>
        <w:tab/>
        <w:t>(b)</w:t>
      </w:r>
      <w:r>
        <w:tab/>
        <w:t>if part of the compliance audit is conducted outside Australia — additional expenses reasonably incurred by the Council relating to that part of the audit.</w:t>
      </w:r>
    </w:p>
    <w:p>
      <w:pPr>
        <w:pStyle w:val="Subsection"/>
      </w:pPr>
      <w:r>
        <w:lastRenderedPageBreak/>
        <w:tab/>
        <w:t>(4)</w:t>
      </w:r>
      <w:r>
        <w:tab/>
        <w:t>A charge under subregulation (3) relating to a compliance audit on a WA registered provider is payable by that provider.</w:t>
      </w:r>
    </w:p>
    <w:p>
      <w:pPr>
        <w:pStyle w:val="Subsection"/>
      </w:pPr>
      <w:r>
        <w:tab/>
        <w:t>(5)</w:t>
      </w:r>
      <w:r>
        <w:tab/>
        <w:t>If a charge payable under subregulation (3) is not paid, the amount of the charge may be recovered in a court of competent jurisdiction as a debt due to the State.</w:t>
      </w:r>
    </w:p>
    <w:p>
      <w:pPr>
        <w:pStyle w:val="Footnotesection"/>
      </w:pPr>
      <w:r>
        <w:tab/>
        <w:t>[Regulation 26A inserted: Gazette 17 Dec 2013 p.</w:t>
      </w:r>
      <w:r>
        <w:rPr>
          <w:sz w:val="19"/>
        </w:rPr>
        <w:t> </w:t>
      </w:r>
      <w:r>
        <w:t>6225</w:t>
      </w:r>
      <w:r>
        <w:noBreakHyphen/>
        <w:t>6; amended: Gazette 10 Mar 2015 p. 832; SL 2025/165 r. 16.]</w:t>
      </w:r>
    </w:p>
    <w:p>
      <w:pPr>
        <w:pStyle w:val="Heading5"/>
      </w:pPr>
      <w:bookmarkStart w:id="57" w:name="_Toc209016870"/>
      <w:r>
        <w:rPr>
          <w:rStyle w:val="CharSectno"/>
        </w:rPr>
        <w:t>26B</w:t>
      </w:r>
      <w:r>
        <w:t>.</w:t>
      </w:r>
      <w:r>
        <w:tab/>
      </w:r>
      <w:r>
        <w:rPr>
          <w:bCs/>
        </w:rPr>
        <w:t>Investigations</w:t>
      </w:r>
      <w:bookmarkEnd w:id="57"/>
    </w:p>
    <w:p>
      <w:pPr>
        <w:pStyle w:val="Subsection"/>
      </w:pPr>
      <w:r>
        <w:tab/>
        <w:t>(1)</w:t>
      </w:r>
      <w:r>
        <w:tab/>
        <w:t>An inquiry conducted under section 58D of the Act may be in the form of an investigation of a WA registered provider’s compliance with the VET quality framework, the accreditation standards or the conditions of registration for the provider.</w:t>
      </w:r>
    </w:p>
    <w:p>
      <w:pPr>
        <w:pStyle w:val="Subsection"/>
      </w:pPr>
      <w:r>
        <w:tab/>
        <w:t>(2A)</w:t>
      </w:r>
      <w:r>
        <w:tab/>
        <w:t>A WA registered provider must cooperate with the Council in its conduct of an investigation and provide any relevant information that the Council requests.</w:t>
      </w:r>
    </w:p>
    <w:p>
      <w:pPr>
        <w:pStyle w:val="Subsection"/>
      </w:pPr>
      <w:r>
        <w:tab/>
        <w:t>(2)</w:t>
      </w:r>
      <w:r>
        <w:tab/>
        <w:t>The investigation must comply with the Standards for VET Regulators to the extent that they relate to investigations of complaints.</w:t>
      </w:r>
    </w:p>
    <w:p>
      <w:pPr>
        <w:pStyle w:val="Subsection"/>
      </w:pPr>
      <w:r>
        <w:tab/>
        <w:t>(3)</w:t>
      </w:r>
      <w:r>
        <w:tab/>
        <w:t>A contravention of subregulation (2) does not affect the validity of the investigation if the contravention —</w:t>
      </w:r>
    </w:p>
    <w:p>
      <w:pPr>
        <w:pStyle w:val="Indenta"/>
      </w:pPr>
      <w:r>
        <w:tab/>
        <w:t>(a)</w:t>
      </w:r>
      <w:r>
        <w:tab/>
        <w:t>does not substantially affect the outcome of the investigation; or</w:t>
      </w:r>
    </w:p>
    <w:p>
      <w:pPr>
        <w:pStyle w:val="Indenta"/>
      </w:pPr>
      <w:r>
        <w:tab/>
        <w:t>(b)</w:t>
      </w:r>
      <w:r>
        <w:tab/>
        <w:t>arises out of an inconsistency between the Standards for VET Regulators and written laws.</w:t>
      </w:r>
    </w:p>
    <w:p>
      <w:pPr>
        <w:pStyle w:val="Subsection"/>
      </w:pPr>
      <w:r>
        <w:tab/>
        <w:t>(4)</w:t>
      </w:r>
      <w:r>
        <w:tab/>
        <w:t xml:space="preserve">If the Council investigates a complaint made about a WA registered provider and finds the complaint substantiated, a charge is payable for — </w:t>
      </w:r>
    </w:p>
    <w:p>
      <w:pPr>
        <w:pStyle w:val="Indenta"/>
      </w:pPr>
      <w:r>
        <w:tab/>
        <w:t>(a)</w:t>
      </w:r>
      <w:r>
        <w:tab/>
        <w:t xml:space="preserve">the costs and expenses incurred by the Council in conducting the investigation, calculated as the sum of — </w:t>
      </w:r>
    </w:p>
    <w:p>
      <w:pPr>
        <w:pStyle w:val="Indenti"/>
      </w:pPr>
      <w:r>
        <w:tab/>
        <w:t>(i)</w:t>
      </w:r>
      <w:r>
        <w:tab/>
        <w:t>$250 per hour; and</w:t>
      </w:r>
    </w:p>
    <w:p>
      <w:pPr>
        <w:pStyle w:val="Indenti"/>
      </w:pPr>
      <w:r>
        <w:lastRenderedPageBreak/>
        <w:tab/>
        <w:t>(ii)</w:t>
      </w:r>
      <w:r>
        <w:tab/>
        <w:t>the official travel costs;</w:t>
      </w:r>
    </w:p>
    <w:p>
      <w:pPr>
        <w:pStyle w:val="Indenta"/>
      </w:pPr>
      <w:r>
        <w:tab/>
      </w:r>
      <w:r>
        <w:tab/>
        <w:t>and</w:t>
      </w:r>
    </w:p>
    <w:p>
      <w:pPr>
        <w:pStyle w:val="Indenta"/>
      </w:pPr>
      <w:r>
        <w:tab/>
        <w:t>(b)</w:t>
      </w:r>
      <w:r>
        <w:tab/>
        <w:t>if a compliance audit is conducted as part of the investigation — the charges prescribed under regulation 26A(3)(a); and</w:t>
      </w:r>
    </w:p>
    <w:p>
      <w:pPr>
        <w:pStyle w:val="Indenta"/>
      </w:pPr>
      <w:r>
        <w:tab/>
        <w:t>(c)</w:t>
      </w:r>
      <w:r>
        <w:tab/>
        <w:t>if  part of the investigation, or compliance audit referred to in paragraph (b), is conducted outside Australia —  additional expenses reasonably incurred by the Council relating to that part of the investigation or audit.</w:t>
      </w:r>
    </w:p>
    <w:p>
      <w:pPr>
        <w:pStyle w:val="Subsection"/>
      </w:pPr>
      <w:r>
        <w:tab/>
        <w:t>(5)</w:t>
      </w:r>
      <w:r>
        <w:tab/>
        <w:t>A charge under subregulation (4) relating to an investigation of a WA registered provider is payable by that provider.</w:t>
      </w:r>
    </w:p>
    <w:p>
      <w:pPr>
        <w:pStyle w:val="Subsection"/>
      </w:pPr>
      <w:r>
        <w:tab/>
        <w:t>(6)</w:t>
      </w:r>
      <w:r>
        <w:tab/>
        <w:t>If a charge payable under subregulation (4) is not paid, the amount of the charge may be recovered in a court of competent jurisdiction as a debt due to the State.</w:t>
      </w:r>
    </w:p>
    <w:p>
      <w:pPr>
        <w:pStyle w:val="Footnotesection"/>
      </w:pPr>
      <w:r>
        <w:tab/>
        <w:t>[Regulation 26B inserted: Gazette 17 Dec 2013 p.</w:t>
      </w:r>
      <w:r>
        <w:rPr>
          <w:sz w:val="19"/>
        </w:rPr>
        <w:t> </w:t>
      </w:r>
      <w:r>
        <w:t>6226; amended: Gazette 10 Mar 2015 p. 832</w:t>
      </w:r>
      <w:r>
        <w:noBreakHyphen/>
        <w:t>3; SL 2025/165 r. 17.]</w:t>
      </w:r>
    </w:p>
    <w:p>
      <w:pPr>
        <w:pStyle w:val="Heading5"/>
        <w:pageBreakBefore/>
        <w:spacing w:before="0"/>
      </w:pPr>
      <w:bookmarkStart w:id="58" w:name="_Toc209016871"/>
      <w:r>
        <w:rPr>
          <w:rStyle w:val="CharSectno"/>
        </w:rPr>
        <w:lastRenderedPageBreak/>
        <w:t>26C</w:t>
      </w:r>
      <w:r>
        <w:t>.</w:t>
      </w:r>
      <w:r>
        <w:tab/>
        <w:t>Circumstances in which a charge may be waived in whole or in part</w:t>
      </w:r>
      <w:bookmarkEnd w:id="58"/>
    </w:p>
    <w:p>
      <w:pPr>
        <w:pStyle w:val="Subsection"/>
      </w:pPr>
      <w:r>
        <w:tab/>
        <w:t>(1)</w:t>
      </w:r>
      <w:r>
        <w:tab/>
        <w:t xml:space="preserve">A charge that would otherwise be payable under this Division may be waived, in whole or in part if, in the opinion of Council — </w:t>
      </w:r>
    </w:p>
    <w:p>
      <w:pPr>
        <w:pStyle w:val="Indenta"/>
      </w:pPr>
      <w:r>
        <w:tab/>
        <w:t>(a)</w:t>
      </w:r>
      <w:r>
        <w:tab/>
        <w:t>special or unusual circumstances exist which cause the charge to be unreasonable or inequitable; or</w:t>
      </w:r>
    </w:p>
    <w:p>
      <w:pPr>
        <w:pStyle w:val="Indenta"/>
      </w:pPr>
      <w:r>
        <w:tab/>
        <w:t>(b)</w:t>
      </w:r>
      <w:r>
        <w:tab/>
        <w:t>the amount of the charge that remains unpaid is so small that its recovery would be uneconomical to pursue.</w:t>
      </w:r>
    </w:p>
    <w:p>
      <w:pPr>
        <w:pStyle w:val="Subsection"/>
      </w:pPr>
      <w:r>
        <w:tab/>
        <w:t>(2)</w:t>
      </w:r>
      <w:r>
        <w:tab/>
        <w:t xml:space="preserve">For the purposes of subregulation (1)(a), the following circumstances do not constitute grounds for granting a waiver — </w:t>
      </w:r>
    </w:p>
    <w:p>
      <w:pPr>
        <w:pStyle w:val="Indenta"/>
      </w:pPr>
      <w:r>
        <w:tab/>
        <w:t>(a)</w:t>
      </w:r>
      <w:r>
        <w:tab/>
        <w:t>where the WA registered provider required to pay the charge did not consent to the compliance audit or investigation that resulted in the imposition of a charge;</w:t>
      </w:r>
    </w:p>
    <w:p>
      <w:pPr>
        <w:pStyle w:val="Indenta"/>
      </w:pPr>
      <w:r>
        <w:tab/>
        <w:t>(b)</w:t>
      </w:r>
      <w:r>
        <w:tab/>
        <w:t>where the WA registered provider required to pay the charge does not agree with the outcome of the compliance audit or investigation that resulted in the imposition of a charge;</w:t>
      </w:r>
    </w:p>
    <w:p>
      <w:pPr>
        <w:pStyle w:val="Indenta"/>
      </w:pPr>
      <w:r>
        <w:tab/>
        <w:t>(c)</w:t>
      </w:r>
      <w:r>
        <w:tab/>
        <w:t>where the WA registered provider required to pay the charge ceases to exist, or ceases to be a WA registered provider, or ceases to carry on business as a training provider.</w:t>
      </w:r>
    </w:p>
    <w:p>
      <w:pPr>
        <w:pStyle w:val="Footnotesection"/>
      </w:pPr>
      <w:r>
        <w:tab/>
        <w:t>[Regulation 26C inserted: Gazette 17 Dec 2013 p.</w:t>
      </w:r>
      <w:r>
        <w:rPr>
          <w:sz w:val="19"/>
        </w:rPr>
        <w:t> </w:t>
      </w:r>
      <w:r>
        <w:t>6227; amended: Gazette 10 Mar 2015 p. 833.]</w:t>
      </w:r>
    </w:p>
    <w:p>
      <w:pPr>
        <w:pStyle w:val="Heading5"/>
      </w:pPr>
      <w:bookmarkStart w:id="59" w:name="_Toc209016872"/>
      <w:r>
        <w:rPr>
          <w:rStyle w:val="CharSectno"/>
        </w:rPr>
        <w:t>26D</w:t>
      </w:r>
      <w:r>
        <w:t>.</w:t>
      </w:r>
      <w:r>
        <w:tab/>
        <w:t>Rounding</w:t>
      </w:r>
      <w:bookmarkEnd w:id="59"/>
    </w:p>
    <w:p>
      <w:pPr>
        <w:pStyle w:val="Subsection"/>
        <w:keepNext/>
      </w:pPr>
      <w:r>
        <w:tab/>
      </w:r>
      <w:r>
        <w:tab/>
        <w:t xml:space="preserve">When determining under regulations 26A(3)(a)(ii) and 26B(4)(a)(i) the amount of the charge payable for a compliance audit or investigation where the hourly rate is $250 </w:t>
      </w:r>
      <w:r>
        <w:lastRenderedPageBreak/>
        <w:t xml:space="preserve">per hour, the following amounts will apply in the following circumstances — </w:t>
      </w:r>
    </w:p>
    <w:p>
      <w:pPr>
        <w:pStyle w:val="Indenta"/>
      </w:pPr>
      <w:r>
        <w:tab/>
        <w:t>(a)</w:t>
      </w:r>
      <w:r>
        <w:tab/>
        <w:t>if the time taken to complete the compliance audit or an investigation is less than 30 minutes, the total amount payable will be zero dollars;</w:t>
      </w:r>
    </w:p>
    <w:p>
      <w:pPr>
        <w:pStyle w:val="Indenta"/>
      </w:pPr>
      <w:r>
        <w:tab/>
        <w:t>(b)</w:t>
      </w:r>
      <w:r>
        <w:tab/>
        <w:t>if the time taken to complete the compliance audit or investigation is less than one hour but equal to or greater than 30 minutes, the total amount payable will be $125.</w:t>
      </w:r>
    </w:p>
    <w:p>
      <w:pPr>
        <w:pStyle w:val="Footnotesection"/>
      </w:pPr>
      <w:r>
        <w:tab/>
        <w:t>[Regulation 26D inserted: Gazette 17 Dec 2013 p.</w:t>
      </w:r>
      <w:r>
        <w:rPr>
          <w:sz w:val="19"/>
        </w:rPr>
        <w:t> </w:t>
      </w:r>
      <w:r>
        <w:t>6227; amended: Gazette 10 Mar 2015 p. 833.]</w:t>
      </w:r>
    </w:p>
    <w:p>
      <w:pPr>
        <w:pStyle w:val="Heading3"/>
        <w:keepLines/>
      </w:pPr>
      <w:bookmarkStart w:id="60" w:name="_Toc208842403"/>
      <w:bookmarkStart w:id="61" w:name="_Toc208843825"/>
      <w:bookmarkStart w:id="62" w:name="_Toc208995282"/>
      <w:bookmarkStart w:id="63" w:name="_Toc209016873"/>
      <w:r>
        <w:rPr>
          <w:rStyle w:val="CharDivNo"/>
        </w:rPr>
        <w:t>Division 4</w:t>
      </w:r>
      <w:r>
        <w:t> — </w:t>
      </w:r>
      <w:r>
        <w:rPr>
          <w:rStyle w:val="CharDivText"/>
        </w:rPr>
        <w:t>Obligations of registered training providers and of the Council</w:t>
      </w:r>
      <w:bookmarkEnd w:id="60"/>
      <w:bookmarkEnd w:id="61"/>
      <w:bookmarkEnd w:id="62"/>
      <w:bookmarkEnd w:id="63"/>
    </w:p>
    <w:p>
      <w:pPr>
        <w:pStyle w:val="Footnoteheading"/>
      </w:pPr>
      <w:r>
        <w:tab/>
        <w:t>[Heading amended: Gazette 17 Dec 2013 p. 6228.]</w:t>
      </w:r>
    </w:p>
    <w:p>
      <w:pPr>
        <w:pStyle w:val="Heading5"/>
      </w:pPr>
      <w:bookmarkStart w:id="64" w:name="_Toc209016874"/>
      <w:r>
        <w:rPr>
          <w:rStyle w:val="CharSectno"/>
        </w:rPr>
        <w:t>26</w:t>
      </w:r>
      <w:r>
        <w:t>.</w:t>
      </w:r>
      <w:r>
        <w:tab/>
        <w:t>Reporting to Council</w:t>
      </w:r>
      <w:bookmarkEnd w:id="64"/>
    </w:p>
    <w:p>
      <w:pPr>
        <w:pStyle w:val="Subsection"/>
        <w:spacing w:before="180"/>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spacing w:before="180"/>
      </w:pPr>
      <w:r>
        <w:tab/>
        <w:t>(2)</w:t>
      </w:r>
      <w:r>
        <w:tab/>
        <w:t>The Council must not require a WA registered provider to give it a return more frequently than once in every 6 months.</w:t>
      </w:r>
    </w:p>
    <w:p>
      <w:pPr>
        <w:pStyle w:val="Subsection"/>
        <w:spacing w:before="180"/>
      </w:pPr>
      <w:r>
        <w:tab/>
        <w:t>(3A)</w:t>
      </w:r>
      <w:r>
        <w:tab/>
        <w:t>Subregulation (2) does not apply if the Council considers that special circumstances exist that warrant the Council giving a WA registered provider a notice under this regulation.</w:t>
      </w:r>
    </w:p>
    <w:p>
      <w:pPr>
        <w:pStyle w:val="Subsection"/>
        <w:keepNext/>
        <w:spacing w:before="180"/>
      </w:pPr>
      <w:r>
        <w:lastRenderedPageBreak/>
        <w:tab/>
        <w:t>(3)</w:t>
      </w:r>
      <w:r>
        <w:tab/>
        <w:t>A return must be in a form required by the Council and contain the following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Indenta"/>
        <w:keepNext/>
      </w:pPr>
      <w:r>
        <w:tab/>
        <w:t>(e)</w:t>
      </w:r>
      <w:r>
        <w:tab/>
        <w:t xml:space="preserve">any other information — </w:t>
      </w:r>
    </w:p>
    <w:p>
      <w:pPr>
        <w:pStyle w:val="Indenti"/>
      </w:pPr>
      <w:r>
        <w:tab/>
        <w:t>(i)</w:t>
      </w:r>
      <w:r>
        <w:tab/>
        <w:t>referred to in the data provision requirements; or</w:t>
      </w:r>
    </w:p>
    <w:p>
      <w:pPr>
        <w:pStyle w:val="Indenti"/>
      </w:pPr>
      <w:r>
        <w:tab/>
        <w:t>(ii)</w:t>
      </w:r>
      <w:r>
        <w:tab/>
        <w:t>required by the Council.</w:t>
      </w:r>
    </w:p>
    <w:p>
      <w:pPr>
        <w:pStyle w:val="Subsection"/>
        <w:keepNext/>
      </w:pPr>
      <w:r>
        <w:tab/>
        <w:t>(4)</w:t>
      </w:r>
      <w:r>
        <w:tab/>
        <w:t>A WA registered provider who is given a notice under this regulation and who does not give the Council a return in accordance with the notice and this regulation commits an offence.</w:t>
      </w:r>
    </w:p>
    <w:p>
      <w:pPr>
        <w:pStyle w:val="Penstart"/>
      </w:pPr>
      <w:r>
        <w:tab/>
        <w:t>Penalty for this subregulation: a fine of $5 000.</w:t>
      </w:r>
    </w:p>
    <w:p>
      <w:pPr>
        <w:pStyle w:val="Footnotesection"/>
      </w:pPr>
      <w:r>
        <w:tab/>
        <w:t>[Regulation 26 amended: Gazette 16 Mar 2012 p. 1248; 10 Mar 2015 p. 833; SL 2025/165 r. 18.]</w:t>
      </w:r>
    </w:p>
    <w:p>
      <w:pPr>
        <w:pStyle w:val="Heading5"/>
      </w:pPr>
      <w:bookmarkStart w:id="65" w:name="_Toc209016875"/>
      <w:r>
        <w:rPr>
          <w:rStyle w:val="CharSectno"/>
        </w:rPr>
        <w:t>27</w:t>
      </w:r>
      <w:r>
        <w:t>.</w:t>
      </w:r>
      <w:r>
        <w:tab/>
        <w:t>Giving Council information on ceasing operations</w:t>
      </w:r>
      <w:bookmarkEnd w:id="65"/>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keepNext/>
      </w:pPr>
      <w:r>
        <w:lastRenderedPageBreak/>
        <w:tab/>
        <w:t>(2)</w:t>
      </w:r>
      <w:r>
        <w:tab/>
        <w:t xml:space="preserve">Within 28 days after becoming a provider to which this regulation applies, the provider must give the Council — </w:t>
      </w:r>
    </w:p>
    <w:p>
      <w:pPr>
        <w:pStyle w:val="Indenta"/>
      </w:pPr>
      <w:r>
        <w:tab/>
        <w:t>(a)</w:t>
      </w:r>
      <w:r>
        <w:tab/>
        <w:t>the following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VET quality framework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for this subregulation: a fine of $5 000.</w:t>
      </w:r>
    </w:p>
    <w:p>
      <w:pPr>
        <w:pStyle w:val="Footnotesection"/>
      </w:pPr>
      <w:r>
        <w:tab/>
        <w:t>[Regulation 27 amended: Gazette 25 Oct 2011 p. 4511; 10 Mar 2015 p. 834; SL 2025/165 r. 19.]</w:t>
      </w:r>
    </w:p>
    <w:p>
      <w:pPr>
        <w:pStyle w:val="Heading5"/>
      </w:pPr>
      <w:bookmarkStart w:id="66" w:name="_Toc209016876"/>
      <w:r>
        <w:rPr>
          <w:rStyle w:val="CharSectno"/>
        </w:rPr>
        <w:t>28A</w:t>
      </w:r>
      <w:r>
        <w:t>.</w:t>
      </w:r>
      <w:r>
        <w:tab/>
        <w:t>Person may obtain from Council certified copies of information</w:t>
      </w:r>
      <w:bookmarkEnd w:id="66"/>
    </w:p>
    <w:p>
      <w:pPr>
        <w:pStyle w:val="Subsection"/>
      </w:pPr>
      <w:r>
        <w:tab/>
        <w:t>(1)</w:t>
      </w:r>
      <w:r>
        <w:tab/>
        <w:t xml:space="preserve">A person may make an application under this regulation if the person was a person to whom a course was provided, or a qualification conferred, by a WA registered provider that has — </w:t>
      </w:r>
    </w:p>
    <w:p>
      <w:pPr>
        <w:pStyle w:val="Indenta"/>
      </w:pPr>
      <w:r>
        <w:tab/>
        <w:t>(a)</w:t>
      </w:r>
      <w:r>
        <w:tab/>
        <w:t>ceased to operate in WA; or</w:t>
      </w:r>
    </w:p>
    <w:p>
      <w:pPr>
        <w:pStyle w:val="Indenta"/>
      </w:pPr>
      <w:r>
        <w:tab/>
        <w:t>(b)</w:t>
      </w:r>
      <w:r>
        <w:tab/>
        <w:t>ceased to be a WA registered provider.</w:t>
      </w:r>
    </w:p>
    <w:p>
      <w:pPr>
        <w:pStyle w:val="Subsection"/>
      </w:pPr>
      <w:r>
        <w:lastRenderedPageBreak/>
        <w:tab/>
        <w:t>(2)</w:t>
      </w:r>
      <w:r>
        <w:tab/>
        <w:t>On application made to the Council, the Council must supply to a person about whom the Council holds information under this Division, a certified copy of any, or all, of that information as is requested by the person.</w:t>
      </w:r>
    </w:p>
    <w:p>
      <w:pPr>
        <w:pStyle w:val="Subsection"/>
      </w:pPr>
      <w:r>
        <w:tab/>
        <w:t>(3)</w:t>
      </w:r>
      <w:r>
        <w:tab/>
        <w:t>An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$60 for each certified copy requested.</w:t>
      </w:r>
    </w:p>
    <w:p>
      <w:pPr>
        <w:pStyle w:val="Footnotesection"/>
      </w:pPr>
      <w:r>
        <w:tab/>
        <w:t>[Regulation 28A inserted: Gazette 17 Dec 2013 p.</w:t>
      </w:r>
      <w:r>
        <w:rPr>
          <w:sz w:val="19"/>
        </w:rPr>
        <w:t> </w:t>
      </w:r>
      <w:r>
        <w:t>6228; amended: SL 2025/165 r. 20.]</w:t>
      </w:r>
    </w:p>
    <w:p>
      <w:pPr>
        <w:pStyle w:val="Heading3"/>
      </w:pPr>
      <w:bookmarkStart w:id="67" w:name="_Toc208842407"/>
      <w:bookmarkStart w:id="68" w:name="_Toc208843829"/>
      <w:bookmarkStart w:id="69" w:name="_Toc208995286"/>
      <w:bookmarkStart w:id="70" w:name="_Toc209016877"/>
      <w:r>
        <w:rPr>
          <w:rStyle w:val="CharDivNo"/>
        </w:rPr>
        <w:t>Division 5</w:t>
      </w:r>
      <w:r>
        <w:t> — </w:t>
      </w:r>
      <w:r>
        <w:rPr>
          <w:rStyle w:val="CharDivText"/>
        </w:rPr>
        <w:t>Accreditation of VET courses</w:t>
      </w:r>
      <w:bookmarkEnd w:id="67"/>
      <w:bookmarkEnd w:id="68"/>
      <w:bookmarkEnd w:id="69"/>
      <w:bookmarkEnd w:id="70"/>
    </w:p>
    <w:p>
      <w:pPr>
        <w:pStyle w:val="Heading5"/>
      </w:pPr>
      <w:bookmarkStart w:id="71" w:name="_Toc209016878"/>
      <w:r>
        <w:rPr>
          <w:rStyle w:val="CharSectno"/>
        </w:rPr>
        <w:t>28</w:t>
      </w:r>
      <w:r>
        <w:t>.</w:t>
      </w:r>
      <w:r>
        <w:tab/>
        <w:t>Applying to have VET course accredited</w:t>
      </w:r>
      <w:bookmarkEnd w:id="71"/>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$8 070 for each course that the application is made in respect of.</w:t>
      </w:r>
    </w:p>
    <w:p>
      <w:pPr>
        <w:pStyle w:val="Footnotesection"/>
      </w:pPr>
      <w:r>
        <w:tab/>
        <w:t>[Regulation 28 amended: Gazette 25 Oct 2011 p. 4512; 21 Aug 2012 p. 3927; 17 Dec 2013 p. 6228; 15 Jul 2014 p. 2464.]</w:t>
      </w:r>
    </w:p>
    <w:p>
      <w:pPr>
        <w:pStyle w:val="Heading5"/>
      </w:pPr>
      <w:bookmarkStart w:id="72" w:name="_Toc209016879"/>
      <w:r>
        <w:rPr>
          <w:rStyle w:val="CharSectno"/>
        </w:rPr>
        <w:t>29</w:t>
      </w:r>
      <w:r>
        <w:t>.</w:t>
      </w:r>
      <w:r>
        <w:tab/>
        <w:t>Dealing with applications</w:t>
      </w:r>
      <w:bookmarkEnd w:id="72"/>
    </w:p>
    <w:p>
      <w:pPr>
        <w:pStyle w:val="Subsection"/>
      </w:pPr>
      <w:r>
        <w:tab/>
        <w:t>(1)</w:t>
      </w:r>
      <w:r>
        <w:tab/>
        <w:t>This regulation and regulation 30 do not limit the grounds on which the Council may decide not to grant an accreditation application.</w:t>
      </w:r>
    </w:p>
    <w:p>
      <w:pPr>
        <w:pStyle w:val="Subsection"/>
      </w:pPr>
      <w:r>
        <w:lastRenderedPageBreak/>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73" w:name="_Toc209016880"/>
      <w:r>
        <w:rPr>
          <w:rStyle w:val="CharSectno"/>
        </w:rPr>
        <w:t>30</w:t>
      </w:r>
      <w:r>
        <w:t>.</w:t>
      </w:r>
      <w:r>
        <w:tab/>
        <w:t>Accrediting VET courses</w:t>
      </w:r>
      <w:bookmarkEnd w:id="73"/>
    </w:p>
    <w:p>
      <w:pPr>
        <w:pStyle w:val="Subsection"/>
        <w:keepNext/>
      </w:pPr>
      <w:r>
        <w:tab/>
        <w:t>(1)</w:t>
      </w:r>
      <w:r>
        <w:tab/>
        <w:t xml:space="preserve">The Council must not accredit a VET course unless — </w:t>
      </w:r>
    </w:p>
    <w:p>
      <w:pPr>
        <w:pStyle w:val="Indenta"/>
      </w:pPr>
      <w:r>
        <w:tab/>
        <w:t>(a)</w:t>
      </w:r>
      <w:r>
        <w:tab/>
        <w:t>it has assessed the VET course in accordance with the accreditation standards; and</w:t>
      </w:r>
    </w:p>
    <w:p>
      <w:pPr>
        <w:pStyle w:val="Indenta"/>
      </w:pPr>
      <w:r>
        <w:tab/>
        <w:t>(b)</w:t>
      </w:r>
      <w:r>
        <w:tab/>
        <w:t>it is satisfied the VET course meets those standards; and</w:t>
      </w:r>
    </w:p>
    <w:p>
      <w:pPr>
        <w:pStyle w:val="Indenta"/>
      </w:pPr>
      <w:r>
        <w:tab/>
        <w:t>(c)</w:t>
      </w:r>
      <w:r>
        <w:tab/>
        <w:t>in the case of a VET course for a prescribed VET qualification — it is satisfied the course complies with the guidelines in the AQF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give that person a course accreditation document in accordance with the accreditation standards;</w:t>
      </w:r>
    </w:p>
    <w:p>
      <w:pPr>
        <w:pStyle w:val="Indenta"/>
      </w:pPr>
      <w:r>
        <w:tab/>
        <w:t>(c)</w:t>
      </w:r>
      <w:r>
        <w:tab/>
        <w:t>give that person written notice of any condition to which the accreditation is subject.</w:t>
      </w:r>
    </w:p>
    <w:p>
      <w:pPr>
        <w:pStyle w:val="Footnotesection"/>
      </w:pPr>
      <w:r>
        <w:tab/>
        <w:t>[Regulation 30 amended: Gazette 17 Dec 2013 p.</w:t>
      </w:r>
      <w:r>
        <w:rPr>
          <w:sz w:val="19"/>
        </w:rPr>
        <w:t> </w:t>
      </w:r>
      <w:r>
        <w:t>6228</w:t>
      </w:r>
      <w:r>
        <w:noBreakHyphen/>
        <w:t>9; 10 Mar 2015 p. 834.]</w:t>
      </w:r>
    </w:p>
    <w:p>
      <w:pPr>
        <w:pStyle w:val="Heading5"/>
        <w:pageBreakBefore/>
        <w:spacing w:before="0"/>
      </w:pPr>
      <w:bookmarkStart w:id="74" w:name="_Toc209016881"/>
      <w:r>
        <w:rPr>
          <w:rStyle w:val="CharSectno"/>
        </w:rPr>
        <w:lastRenderedPageBreak/>
        <w:t>31</w:t>
      </w:r>
      <w:r>
        <w:t>.</w:t>
      </w:r>
      <w:r>
        <w:tab/>
        <w:t>Period of accreditation</w:t>
      </w:r>
      <w:bookmarkEnd w:id="74"/>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75" w:name="_Toc209016882"/>
      <w:r>
        <w:rPr>
          <w:rStyle w:val="CharSectno"/>
        </w:rPr>
        <w:t>32</w:t>
      </w:r>
      <w:r>
        <w:t>.</w:t>
      </w:r>
      <w:r>
        <w:tab/>
        <w:t>Renewing accreditation</w:t>
      </w:r>
      <w:bookmarkEnd w:id="75"/>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76" w:name="_Toc209016883"/>
      <w:r>
        <w:rPr>
          <w:rStyle w:val="CharSectno"/>
        </w:rPr>
        <w:t>33A</w:t>
      </w:r>
      <w:r>
        <w:t>.</w:t>
      </w:r>
      <w:r>
        <w:tab/>
        <w:t>Varying accreditation</w:t>
      </w:r>
      <w:bookmarkEnd w:id="76"/>
    </w:p>
    <w:p>
      <w:pPr>
        <w:pStyle w:val="Subsection"/>
      </w:pPr>
      <w:r>
        <w:tab/>
        <w:t>(1)</w:t>
      </w:r>
      <w:r>
        <w:tab/>
        <w:t>The Council may at any time vary the accreditation of a WA accredited course.</w:t>
      </w:r>
    </w:p>
    <w:p>
      <w:pPr>
        <w:pStyle w:val="Subsection"/>
      </w:pPr>
      <w:r>
        <w:tab/>
        <w:t>(2)</w:t>
      </w:r>
      <w:r>
        <w:tab/>
        <w:t xml:space="preserve">The Council may take such action — </w:t>
      </w:r>
    </w:p>
    <w:p>
      <w:pPr>
        <w:pStyle w:val="Indenta"/>
      </w:pPr>
      <w:r>
        <w:tab/>
        <w:t>(a)</w:t>
      </w:r>
      <w:r>
        <w:tab/>
        <w:t xml:space="preserve">on its own initiative, if the Council is satisfied that the action is reasonable and — </w:t>
      </w:r>
    </w:p>
    <w:p>
      <w:pPr>
        <w:pStyle w:val="Indenti"/>
      </w:pPr>
      <w:r>
        <w:tab/>
        <w:t>(i)</w:t>
      </w:r>
      <w:r>
        <w:tab/>
        <w:t>updates information in the course; or</w:t>
      </w:r>
    </w:p>
    <w:p>
      <w:pPr>
        <w:pStyle w:val="Indenti"/>
      </w:pPr>
      <w:r>
        <w:tab/>
        <w:t>(ii)</w:t>
      </w:r>
      <w:r>
        <w:tab/>
        <w:t>corrects false or misleading information in the course; or</w:t>
      </w:r>
    </w:p>
    <w:p>
      <w:pPr>
        <w:pStyle w:val="Indenti"/>
      </w:pPr>
      <w:r>
        <w:lastRenderedPageBreak/>
        <w:tab/>
        <w:t>(iii)</w:t>
      </w:r>
      <w:r>
        <w:tab/>
        <w:t>has been requested by an occupational licensing body, or other industry body, that deals with, or has an interest in, matters relating to the course’s content;</w:t>
      </w:r>
    </w:p>
    <w:p>
      <w:pPr>
        <w:pStyle w:val="Indenta"/>
      </w:pPr>
      <w:r>
        <w:tab/>
      </w:r>
      <w:r>
        <w:tab/>
        <w:t>or</w:t>
      </w:r>
    </w:p>
    <w:p>
      <w:pPr>
        <w:pStyle w:val="Indenta"/>
      </w:pPr>
      <w:r>
        <w:tab/>
        <w:t>(b)</w:t>
      </w:r>
      <w:r>
        <w:tab/>
        <w:t xml:space="preserve">if — </w:t>
      </w:r>
    </w:p>
    <w:p>
      <w:pPr>
        <w:pStyle w:val="Indenti"/>
      </w:pPr>
      <w:r>
        <w:tab/>
        <w:t>(i)</w:t>
      </w:r>
      <w:r>
        <w:tab/>
        <w:t>an application is made by the owner of the course; and</w:t>
      </w:r>
    </w:p>
    <w:p>
      <w:pPr>
        <w:pStyle w:val="Indenti"/>
      </w:pPr>
      <w:r>
        <w:tab/>
        <w:t>(ii)</w:t>
      </w:r>
      <w:r>
        <w:tab/>
        <w:t>the Council is satisfied that it is appropriate to vary the accreditation.</w:t>
      </w:r>
    </w:p>
    <w:p>
      <w:pPr>
        <w:pStyle w:val="Subsection"/>
      </w:pPr>
      <w:r>
        <w:tab/>
        <w:t>(3)</w:t>
      </w:r>
      <w:r>
        <w:tab/>
        <w:t xml:space="preserve">An application to vary the accreditation of a WA accredited course must be in a form approved by the Council and be accompanied by — </w:t>
      </w:r>
    </w:p>
    <w:p>
      <w:pPr>
        <w:pStyle w:val="Indenta"/>
      </w:pPr>
      <w:r>
        <w:tab/>
        <w:t>(a)</w:t>
      </w:r>
      <w:r>
        <w:tab/>
        <w:t>any information that the form requires the applicant to provide; and</w:t>
      </w:r>
    </w:p>
    <w:p>
      <w:pPr>
        <w:pStyle w:val="Indenta"/>
      </w:pPr>
      <w:r>
        <w:tab/>
        <w:t>(b)</w:t>
      </w:r>
      <w:r>
        <w:tab/>
        <w:t>the application fee of $2 290.</w:t>
      </w:r>
    </w:p>
    <w:p>
      <w:pPr>
        <w:pStyle w:val="Subsection"/>
      </w:pPr>
      <w:r>
        <w:tab/>
        <w:t>(4)</w:t>
      </w:r>
      <w:r>
        <w:tab/>
        <w:t>This regulation and regulation 30(1) (as applied by subregulation (6)) do not limit the grounds on which the Council may decide not to grant an application to vary the accreditation of a WA accredited course.</w:t>
      </w:r>
    </w:p>
    <w:p>
      <w:pPr>
        <w:pStyle w:val="Subsection"/>
      </w:pPr>
      <w:r>
        <w:tab/>
        <w:t>(5)</w:t>
      </w:r>
      <w:r>
        <w:tab/>
        <w:t>The Council must not grant an application except in accordance with subregulation (2) and regulation 30(1) (as applied by subregulation (6)).</w:t>
      </w:r>
    </w:p>
    <w:p>
      <w:pPr>
        <w:pStyle w:val="Subsection"/>
      </w:pPr>
      <w:r>
        <w:tab/>
        <w:t>(6)</w:t>
      </w:r>
      <w:r>
        <w:tab/>
        <w:t>Regulations 29(2), (3) and (5) and 30(1) apply to and in respect of an application to vary the accreditation of a WA accredited course.</w:t>
      </w:r>
    </w:p>
    <w:p>
      <w:pPr>
        <w:pStyle w:val="Subsection"/>
      </w:pPr>
      <w:r>
        <w:tab/>
        <w:t>(7)</w:t>
      </w:r>
      <w:r>
        <w:tab/>
        <w:t>If the Council decides to vary the accreditation of a WA accredited course, it must give to the owner of the course —</w:t>
      </w:r>
    </w:p>
    <w:p>
      <w:pPr>
        <w:pStyle w:val="Indenta"/>
      </w:pPr>
      <w:r>
        <w:tab/>
        <w:t>(a)</w:t>
      </w:r>
      <w:r>
        <w:tab/>
        <w:t>a course accreditation document in accordance with the accreditation standards; and</w:t>
      </w:r>
    </w:p>
    <w:p>
      <w:pPr>
        <w:pStyle w:val="Indenta"/>
        <w:keepNext/>
      </w:pPr>
      <w:r>
        <w:lastRenderedPageBreak/>
        <w:tab/>
        <w:t>(b)</w:t>
      </w:r>
      <w:r>
        <w:tab/>
        <w:t>written notice of any condition to which the accreditation as varied is subject.</w:t>
      </w:r>
    </w:p>
    <w:p>
      <w:pPr>
        <w:pStyle w:val="Footnotesection"/>
      </w:pPr>
      <w:r>
        <w:tab/>
        <w:t>[Regulation 33A inserted: Gazette 17 Dec 2013 p.</w:t>
      </w:r>
      <w:r>
        <w:rPr>
          <w:sz w:val="19"/>
        </w:rPr>
        <w:t> </w:t>
      </w:r>
      <w:r>
        <w:t>6229</w:t>
      </w:r>
      <w:r>
        <w:noBreakHyphen/>
        <w:t>30; amended: Gazette 15 Jul 2014 p. 2464; 10 Mar 2015 p. 834.]</w:t>
      </w:r>
    </w:p>
    <w:p>
      <w:pPr>
        <w:pStyle w:val="Heading5"/>
      </w:pPr>
      <w:bookmarkStart w:id="77" w:name="_Toc209016884"/>
      <w:r>
        <w:rPr>
          <w:rStyle w:val="CharSectno"/>
        </w:rPr>
        <w:t>33</w:t>
      </w:r>
      <w:r>
        <w:t>.</w:t>
      </w:r>
      <w:r>
        <w:tab/>
        <w:t>Cancelling accreditation</w:t>
      </w:r>
      <w:bookmarkEnd w:id="77"/>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5"/>
      </w:pPr>
      <w:bookmarkStart w:id="78" w:name="_Toc209016885"/>
      <w:r>
        <w:rPr>
          <w:rStyle w:val="CharSectno"/>
        </w:rPr>
        <w:t>34A</w:t>
      </w:r>
      <w:r>
        <w:t>.</w:t>
      </w:r>
      <w:r>
        <w:tab/>
        <w:t>Validity of decisions unaffected</w:t>
      </w:r>
      <w:bookmarkEnd w:id="78"/>
    </w:p>
    <w:p>
      <w:pPr>
        <w:pStyle w:val="Subsection"/>
      </w:pPr>
      <w:r>
        <w:tab/>
      </w:r>
      <w:r>
        <w:tab/>
        <w:t xml:space="preserve">A contravention of the accreditation standards by the Council in making a decision under regulation 29, 30, 32 or 33A does not affect the validity of that decision if the contravention — </w:t>
      </w:r>
    </w:p>
    <w:p>
      <w:pPr>
        <w:pStyle w:val="Indenta"/>
      </w:pPr>
      <w:r>
        <w:tab/>
        <w:t>(a)</w:t>
      </w:r>
      <w:r>
        <w:tab/>
        <w:t>does not substantially affect the decision; or</w:t>
      </w:r>
    </w:p>
    <w:p>
      <w:pPr>
        <w:pStyle w:val="Indenta"/>
      </w:pPr>
      <w:r>
        <w:tab/>
        <w:t>(b)</w:t>
      </w:r>
      <w:r>
        <w:tab/>
        <w:t>arises out of an inconsistency between the accreditation standards and written laws.</w:t>
      </w:r>
    </w:p>
    <w:p>
      <w:pPr>
        <w:pStyle w:val="Footnotesection"/>
      </w:pPr>
      <w:r>
        <w:tab/>
        <w:t>[Regulation 34A inserted: Gazette 10 Mar 2015 p. 834.]</w:t>
      </w:r>
    </w:p>
    <w:p>
      <w:pPr>
        <w:pStyle w:val="Heading2"/>
      </w:pPr>
      <w:bookmarkStart w:id="79" w:name="_Toc208842416"/>
      <w:bookmarkStart w:id="80" w:name="_Toc208843838"/>
      <w:bookmarkStart w:id="81" w:name="_Toc208995295"/>
      <w:bookmarkStart w:id="82" w:name="_Toc209016886"/>
      <w:r>
        <w:rPr>
          <w:rStyle w:val="CharPartNo"/>
        </w:rPr>
        <w:lastRenderedPageBreak/>
        <w:t>Part 4</w:t>
      </w:r>
      <w:r>
        <w:t> — </w:t>
      </w:r>
      <w:r>
        <w:rPr>
          <w:rStyle w:val="CharPartText"/>
        </w:rPr>
        <w:t>Regulations for Part 7 of the Act</w:t>
      </w:r>
      <w:bookmarkEnd w:id="79"/>
      <w:bookmarkEnd w:id="80"/>
      <w:bookmarkEnd w:id="81"/>
      <w:bookmarkEnd w:id="82"/>
    </w:p>
    <w:p>
      <w:pPr>
        <w:pStyle w:val="Heading3"/>
      </w:pPr>
      <w:bookmarkStart w:id="83" w:name="_Toc208842417"/>
      <w:bookmarkStart w:id="84" w:name="_Toc208843839"/>
      <w:bookmarkStart w:id="85" w:name="_Toc208995296"/>
      <w:bookmarkStart w:id="86" w:name="_Toc209016887"/>
      <w:r>
        <w:rPr>
          <w:rStyle w:val="CharDivNo"/>
        </w:rPr>
        <w:t>Division 1</w:t>
      </w:r>
      <w:r>
        <w:t> — </w:t>
      </w:r>
      <w:r>
        <w:rPr>
          <w:rStyle w:val="CharDivText"/>
        </w:rPr>
        <w:t>General matters</w:t>
      </w:r>
      <w:bookmarkEnd w:id="83"/>
      <w:bookmarkEnd w:id="84"/>
      <w:bookmarkEnd w:id="85"/>
      <w:bookmarkEnd w:id="86"/>
    </w:p>
    <w:p>
      <w:pPr>
        <w:pStyle w:val="Heading5"/>
      </w:pPr>
      <w:bookmarkStart w:id="87" w:name="_Toc209016888"/>
      <w:r>
        <w:rPr>
          <w:rStyle w:val="CharSectno"/>
        </w:rPr>
        <w:t>34</w:t>
      </w:r>
      <w:r>
        <w:t>.</w:t>
      </w:r>
      <w:r>
        <w:tab/>
        <w:t>Term used: nominated training provider</w:t>
      </w:r>
      <w:bookmarkEnd w:id="87"/>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Ednotesection"/>
      </w:pPr>
      <w:r>
        <w:t>[</w:t>
      </w:r>
      <w:r>
        <w:rPr>
          <w:b/>
          <w:bCs/>
        </w:rPr>
        <w:t>35.</w:t>
      </w:r>
      <w:r>
        <w:tab/>
        <w:t xml:space="preserve">Deleted: SL 2024/147 r. 4.] </w:t>
      </w:r>
    </w:p>
    <w:p>
      <w:pPr>
        <w:pStyle w:val="Heading3"/>
      </w:pPr>
      <w:bookmarkStart w:id="88" w:name="_Toc208842419"/>
      <w:bookmarkStart w:id="89" w:name="_Toc208843841"/>
      <w:bookmarkStart w:id="90" w:name="_Toc208995298"/>
      <w:bookmarkStart w:id="91" w:name="_Toc209016889"/>
      <w:r>
        <w:rPr>
          <w:rStyle w:val="CharDivNo"/>
        </w:rPr>
        <w:t>Division 2</w:t>
      </w:r>
      <w:r>
        <w:t> — </w:t>
      </w:r>
      <w:r>
        <w:rPr>
          <w:rStyle w:val="CharDivText"/>
        </w:rPr>
        <w:t>Classifying prescribed VET qualifications</w:t>
      </w:r>
      <w:bookmarkEnd w:id="88"/>
      <w:bookmarkEnd w:id="89"/>
      <w:bookmarkEnd w:id="90"/>
      <w:bookmarkEnd w:id="91"/>
    </w:p>
    <w:p>
      <w:pPr>
        <w:pStyle w:val="Heading5"/>
      </w:pPr>
      <w:bookmarkStart w:id="92" w:name="_Toc209016890"/>
      <w:r>
        <w:rPr>
          <w:rStyle w:val="CharSectno"/>
        </w:rPr>
        <w:t>36</w:t>
      </w:r>
      <w:r>
        <w:t>.</w:t>
      </w:r>
      <w:r>
        <w:tab/>
        <w:t>Who Board must consult (Act s. 60C)</w:t>
      </w:r>
      <w:bookmarkEnd w:id="92"/>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keepNext/>
      </w:pPr>
      <w:r>
        <w:lastRenderedPageBreak/>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93" w:name="_Toc209016891"/>
      <w:r>
        <w:rPr>
          <w:rStyle w:val="CharSectno"/>
        </w:rPr>
        <w:t>37</w:t>
      </w:r>
      <w:r>
        <w:t>.</w:t>
      </w:r>
      <w:r>
        <w:tab/>
        <w:t>Board’s advice and recommendations to Minister (Act s. 60C)</w:t>
      </w:r>
      <w:bookmarkEnd w:id="93"/>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lastRenderedPageBreak/>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Footnotesection"/>
      </w:pPr>
      <w:r>
        <w:tab/>
        <w:t>[Regulation 37 amended: Gazette 17 Dec 2013 p.</w:t>
      </w:r>
      <w:r>
        <w:rPr>
          <w:sz w:val="19"/>
        </w:rPr>
        <w:t> </w:t>
      </w:r>
      <w:r>
        <w:t>6230.]</w:t>
      </w:r>
    </w:p>
    <w:p>
      <w:pPr>
        <w:pStyle w:val="Heading3"/>
      </w:pPr>
      <w:bookmarkStart w:id="94" w:name="_Toc208842422"/>
      <w:bookmarkStart w:id="95" w:name="_Toc208843844"/>
      <w:bookmarkStart w:id="96" w:name="_Toc208995301"/>
      <w:bookmarkStart w:id="97" w:name="_Toc209016892"/>
      <w:r>
        <w:rPr>
          <w:rStyle w:val="CharDivNo"/>
        </w:rPr>
        <w:t>Division 3</w:t>
      </w:r>
      <w:r>
        <w:t> — </w:t>
      </w:r>
      <w:r>
        <w:rPr>
          <w:rStyle w:val="CharDivText"/>
        </w:rPr>
        <w:t>Training contracts</w:t>
      </w:r>
      <w:bookmarkEnd w:id="94"/>
      <w:bookmarkEnd w:id="95"/>
      <w:bookmarkEnd w:id="96"/>
      <w:bookmarkEnd w:id="97"/>
    </w:p>
    <w:p>
      <w:pPr>
        <w:pStyle w:val="Heading5"/>
      </w:pPr>
      <w:bookmarkStart w:id="98" w:name="_Toc209016893"/>
      <w:r>
        <w:rPr>
          <w:rStyle w:val="CharSectno"/>
        </w:rPr>
        <w:t>38</w:t>
      </w:r>
      <w:r>
        <w:t>.</w:t>
      </w:r>
      <w:r>
        <w:tab/>
        <w:t>Form and content of training contracts</w:t>
      </w:r>
      <w:bookmarkEnd w:id="98"/>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(3A)</w:t>
      </w:r>
      <w:r>
        <w:tab/>
        <w:t>A training contract must specify a default maximum time of 9 months employment under that contract, or such lesser time as may be mutually agreed by the parties, before any competency based wage progression clause in an award can be invoked using units gained institutionally.</w:t>
      </w:r>
    </w:p>
    <w:p>
      <w:pPr>
        <w:pStyle w:val="Subsection"/>
        <w:keepNext/>
      </w:pPr>
      <w:r>
        <w:tab/>
        <w:t>(3B)</w:t>
      </w:r>
      <w:r>
        <w:tab/>
        <w:t xml:space="preserve">In subregulation (3A) — </w:t>
      </w:r>
    </w:p>
    <w:p>
      <w:pPr>
        <w:pStyle w:val="Defstart"/>
      </w:pPr>
      <w:r>
        <w:tab/>
      </w:r>
      <w:r>
        <w:rPr>
          <w:rStyle w:val="CharDefText"/>
        </w:rPr>
        <w:t>units gained institutionally</w:t>
      </w:r>
      <w:r>
        <w:t xml:space="preserve"> means units gained as part of a prior qualification such as a pre</w:t>
      </w:r>
      <w:r>
        <w:noBreakHyphen/>
        <w:t>apprenticeship, but does not include units attained by fulfilling the obligations of an apprentice under a training contract.</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lastRenderedPageBreak/>
        <w:tab/>
        <w:t>(4)</w:t>
      </w:r>
      <w:r>
        <w:tab/>
        <w:t>A reference in a training contract to “State/Territory Training Authority” is, in respect of WA, a reference to the chief executive.</w:t>
      </w:r>
    </w:p>
    <w:p>
      <w:pPr>
        <w:pStyle w:val="Footnotesection"/>
      </w:pPr>
      <w:r>
        <w:tab/>
        <w:t>[Regulation 38 amended: Gazette 12 Dec 2014 p.</w:t>
      </w:r>
      <w:r>
        <w:rPr>
          <w:sz w:val="19"/>
        </w:rPr>
        <w:t> </w:t>
      </w:r>
      <w:r>
        <w:t>4743.]</w:t>
      </w:r>
    </w:p>
    <w:p>
      <w:pPr>
        <w:pStyle w:val="Heading5"/>
        <w:spacing w:before="180"/>
      </w:pPr>
      <w:bookmarkStart w:id="99" w:name="_Toc209016894"/>
      <w:r>
        <w:rPr>
          <w:rStyle w:val="CharSectno"/>
        </w:rPr>
        <w:t>39</w:t>
      </w:r>
      <w:r>
        <w:t>.</w:t>
      </w:r>
      <w:r>
        <w:tab/>
        <w:t>Probation periods of training contracts</w:t>
      </w:r>
      <w:bookmarkEnd w:id="99"/>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spacing w:before="180"/>
      </w:pPr>
      <w:bookmarkStart w:id="100" w:name="_Toc209016895"/>
      <w:r>
        <w:rPr>
          <w:rStyle w:val="CharSectno"/>
        </w:rPr>
        <w:t>40</w:t>
      </w:r>
      <w:r>
        <w:t>.</w:t>
      </w:r>
      <w:r>
        <w:tab/>
        <w:t>Children’s capacity to enter into training contracts</w:t>
      </w:r>
      <w:bookmarkEnd w:id="100"/>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lastRenderedPageBreak/>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keepNext/>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keepNext/>
      </w:pPr>
      <w:r>
        <w:lastRenderedPageBreak/>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101" w:name="_Toc209016896"/>
      <w:r>
        <w:rPr>
          <w:rStyle w:val="CharSectno"/>
        </w:rPr>
        <w:t>41</w:t>
      </w:r>
      <w:r>
        <w:t>.</w:t>
      </w:r>
      <w:r>
        <w:tab/>
        <w:t>Lodging training contracts for registration (Act s. 60F)</w:t>
      </w:r>
      <w:bookmarkEnd w:id="101"/>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102" w:name="_Toc209016897"/>
      <w:r>
        <w:rPr>
          <w:rStyle w:val="CharSectno"/>
        </w:rPr>
        <w:t>42</w:t>
      </w:r>
      <w:r>
        <w:t>.</w:t>
      </w:r>
      <w:r>
        <w:tab/>
        <w:t>Registering training contracts (Act s. 60F)</w:t>
      </w:r>
      <w:bookmarkEnd w:id="102"/>
    </w:p>
    <w:p>
      <w:pPr>
        <w:pStyle w:val="Subsection"/>
      </w:pPr>
      <w:r>
        <w:tab/>
        <w:t>(1)</w:t>
      </w:r>
      <w:r>
        <w:tab/>
        <w:t>As soon as practicable after a training contract is lodged for registration, the chief executive must register or refuse to register it.</w:t>
      </w:r>
    </w:p>
    <w:p>
      <w:pPr>
        <w:pStyle w:val="Subsection"/>
      </w:pPr>
      <w:r>
        <w:lastRenderedPageBreak/>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(ca)</w:t>
      </w:r>
      <w:r>
        <w:tab/>
        <w:t>the chief executive is not satisfied that the qualification set out in the contract is appropriate for the intended occupation during the contract; or</w:t>
      </w:r>
    </w:p>
    <w:p>
      <w:pPr>
        <w:pStyle w:val="Indenta"/>
      </w:pPr>
      <w:r>
        <w:tab/>
        <w:t>(cb)</w:t>
      </w:r>
      <w:r>
        <w:tab/>
        <w:t>the chief executive is satisfied that registering that contract would result in an effect or outcome that is contrary to the objects of the Act; or</w:t>
      </w:r>
    </w:p>
    <w:p>
      <w:pPr>
        <w:pStyle w:val="Indenta"/>
      </w:pPr>
      <w:r>
        <w:tab/>
        <w:t>(cc)</w:t>
      </w:r>
      <w:r>
        <w:tab/>
        <w:t>the party to be trained is not an Australian citizen, or does not hold an Australian visa that will support the employment and study arrangements specified in the training contract; or</w:t>
      </w:r>
    </w:p>
    <w:p>
      <w:pPr>
        <w:pStyle w:val="Indenta"/>
      </w:pPr>
      <w:r>
        <w:tab/>
        <w:t>(c)</w:t>
      </w:r>
      <w:r>
        <w:tab/>
        <w:t>the chief executive is satisfied the parties have terminated the contract.</w:t>
      </w:r>
    </w:p>
    <w:p>
      <w:pPr>
        <w:pStyle w:val="Ednotesubsection"/>
      </w:pPr>
      <w:r>
        <w:tab/>
        <w:t>[(3A)</w:t>
      </w:r>
      <w:r>
        <w:tab/>
        <w:t>deleted]</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keepNext/>
      </w:pPr>
      <w:r>
        <w:lastRenderedPageBreak/>
        <w:tab/>
        <w:t>(5)</w:t>
      </w:r>
      <w:r>
        <w:tab/>
        <w:t>If the chief executive refuses to register a training contract, he or she must give the parties a written notice of the decision that includes the reasons for it.</w:t>
      </w:r>
    </w:p>
    <w:p>
      <w:pPr>
        <w:pStyle w:val="Footnotesection"/>
      </w:pPr>
      <w:r>
        <w:tab/>
        <w:t>[Regulation 42 amended: Gazette 5 Dec 2014 p. 4525</w:t>
      </w:r>
      <w:r>
        <w:noBreakHyphen/>
        <w:t>6; 27 Jan 2016 p. 222.]</w:t>
      </w:r>
    </w:p>
    <w:p>
      <w:pPr>
        <w:pStyle w:val="Heading5"/>
      </w:pPr>
      <w:bookmarkStart w:id="103" w:name="_Toc209016898"/>
      <w:r>
        <w:rPr>
          <w:rStyle w:val="CharSectno"/>
        </w:rPr>
        <w:t>43</w:t>
      </w:r>
      <w:r>
        <w:t>.</w:t>
      </w:r>
      <w:r>
        <w:tab/>
        <w:t>Training plans for training contracts</w:t>
      </w:r>
      <w:bookmarkEnd w:id="103"/>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 and</w:t>
      </w:r>
    </w:p>
    <w:p>
      <w:pPr>
        <w:pStyle w:val="Defpara"/>
      </w:pPr>
      <w:r>
        <w:tab/>
        <w:t>(f)</w:t>
      </w:r>
      <w:r>
        <w:tab/>
        <w:t>if the training contract relates to a school</w:t>
      </w:r>
      <w:r>
        <w:noBreakHyphen/>
        <w:t>based apprenticeship, has been endorsed by the school at which the apprentice is enrolled;</w:t>
      </w:r>
    </w:p>
    <w:p>
      <w:pPr>
        <w:pStyle w:val="Defstart"/>
      </w:pPr>
      <w:r>
        <w:tab/>
      </w:r>
      <w:r>
        <w:rPr>
          <w:rStyle w:val="CharDefText"/>
        </w:rPr>
        <w:t>school</w:t>
      </w:r>
      <w:r>
        <w:rPr>
          <w:rStyle w:val="CharDefText"/>
        </w:rPr>
        <w:noBreakHyphen/>
        <w:t>based apprenticeship</w:t>
      </w:r>
      <w:r>
        <w:t xml:space="preserve"> means an apprenticeship that is undertaken — </w:t>
      </w:r>
    </w:p>
    <w:p>
      <w:pPr>
        <w:pStyle w:val="Defpara"/>
      </w:pPr>
      <w:r>
        <w:tab/>
        <w:t>(a)</w:t>
      </w:r>
      <w:r>
        <w:tab/>
        <w:t>by an apprentice while they are enrolled full</w:t>
      </w:r>
      <w:r>
        <w:noBreakHyphen/>
        <w:t>time at a school; and</w:t>
      </w:r>
    </w:p>
    <w:p>
      <w:pPr>
        <w:pStyle w:val="Defpara"/>
      </w:pPr>
      <w:r>
        <w:tab/>
        <w:t>(b)</w:t>
      </w:r>
      <w:r>
        <w:tab/>
        <w:t>with the intention that the apprenticeship be recognised on the apprentice’s certificate of student achievement upon graduation from the school.</w:t>
      </w:r>
    </w:p>
    <w:p>
      <w:pPr>
        <w:pStyle w:val="Subsection"/>
      </w:pPr>
      <w:r>
        <w:lastRenderedPageBreak/>
        <w:tab/>
        <w:t>(1A)</w:t>
      </w:r>
      <w:r>
        <w:tab/>
        <w:t>Subregulation (2) applies to the employer and apprentice under a training contract, and the nominated training provider for that contract.</w:t>
      </w:r>
    </w:p>
    <w:p>
      <w:pPr>
        <w:pStyle w:val="Subsection"/>
      </w:pPr>
      <w:r>
        <w:tab/>
        <w:t>(2)</w:t>
      </w:r>
      <w:r>
        <w:tab/>
        <w:t>Each person to whom this subregulation applies must sign a complying training plan for the training contract within 6 weeks after the date on which the parties to the contract are given notice of the contract’s registration under regulation 42(3)(b).</w:t>
      </w:r>
    </w:p>
    <w:p>
      <w:pPr>
        <w:pStyle w:val="Penstart"/>
      </w:pPr>
      <w:r>
        <w:tab/>
        <w:t>Penalty for this subregulation: a fine of $5 000.</w:t>
      </w:r>
    </w:p>
    <w:p>
      <w:pPr>
        <w:pStyle w:val="Subsection"/>
      </w:pPr>
      <w:r>
        <w:tab/>
        <w:t>(3)</w:t>
      </w:r>
      <w:r>
        <w:tab/>
        <w:t>Subregulation (4) applies if a training contract is varied, under section 60E(4)(a) of the Act, to change the nominated training provider.</w:t>
      </w:r>
    </w:p>
    <w:p>
      <w:pPr>
        <w:pStyle w:val="Subsection"/>
      </w:pPr>
      <w:r>
        <w:tab/>
        <w:t>(4)</w:t>
      </w:r>
      <w:r>
        <w:tab/>
        <w:t>If this subregulation applies, the employer, apprentice and the nominated training provider under the varied training contract must each sign a new complying training plan for the training contract within 6 weeks after the date on which the parties to the contract are given written notice of the chief executive’s approval of the variation under regulation 46(5)(b).</w:t>
      </w:r>
    </w:p>
    <w:p>
      <w:pPr>
        <w:pStyle w:val="Penstart"/>
      </w:pPr>
      <w:r>
        <w:tab/>
        <w:t>Penalty for this subregulation: a fine of $5 000.</w:t>
      </w:r>
    </w:p>
    <w:p>
      <w:pPr>
        <w:pStyle w:val="Subsection"/>
      </w:pPr>
      <w:r>
        <w:tab/>
        <w:t>(5)</w:t>
      </w:r>
      <w:r>
        <w:tab/>
        <w:t>Subregulation (6) applies if a training contract is assigned, under section 60E(4)(c) of the Act, to another employer who employs the apprentice.</w:t>
      </w:r>
    </w:p>
    <w:p>
      <w:pPr>
        <w:pStyle w:val="Subsection"/>
      </w:pPr>
      <w:r>
        <w:tab/>
        <w:t>(6)</w:t>
      </w:r>
      <w:r>
        <w:tab/>
        <w:t>If this subregulation applies, the employer, apprentice and the nominated training provider under the assigned training contract must each sign a new complying training plan for the training contract within 6 weeks after the date on which the parties to the contract are given written notice of the chief executive’s approval of the assignment under regulation 47(2)(b).</w:t>
      </w:r>
    </w:p>
    <w:p>
      <w:pPr>
        <w:pStyle w:val="Penstart"/>
      </w:pPr>
      <w:r>
        <w:tab/>
        <w:t>Penalty for this subregulation: a fine of $5 000.</w:t>
      </w:r>
    </w:p>
    <w:p>
      <w:pPr>
        <w:pStyle w:val="Subsection"/>
      </w:pPr>
      <w:r>
        <w:tab/>
        <w:t>(7)</w:t>
      </w:r>
      <w:r>
        <w:tab/>
        <w:t xml:space="preserve">Within 30 days after the date on which a complying training plan is signed under this regulation by the employer, apprentice and the nominated training provider, the training provider must </w:t>
      </w:r>
      <w:r>
        <w:lastRenderedPageBreak/>
        <w:t>give written notice to the chief executive officer of the date on which the training plan was signed by the last party to sign it.</w:t>
      </w:r>
    </w:p>
    <w:p>
      <w:pPr>
        <w:pStyle w:val="Penstart"/>
      </w:pPr>
      <w:r>
        <w:tab/>
        <w:t>Penalty for this subregulation: a fine of $5 000.</w:t>
      </w:r>
    </w:p>
    <w:p>
      <w:pPr>
        <w:pStyle w:val="Footnotesection"/>
      </w:pPr>
      <w:r>
        <w:tab/>
        <w:t>[Regulation 43 amended: Gazette 29 Dec 2017 p. 6081</w:t>
      </w:r>
      <w:r>
        <w:noBreakHyphen/>
        <w:t>2.]</w:t>
      </w:r>
    </w:p>
    <w:p>
      <w:pPr>
        <w:pStyle w:val="Heading5"/>
      </w:pPr>
      <w:bookmarkStart w:id="104" w:name="_Toc209016899"/>
      <w:r>
        <w:rPr>
          <w:rStyle w:val="CharSectno"/>
        </w:rPr>
        <w:t>44</w:t>
      </w:r>
      <w:r>
        <w:t>.</w:t>
      </w:r>
      <w:r>
        <w:tab/>
        <w:t>Cancellation of registration by chief executive (Act s. 60F)</w:t>
      </w:r>
      <w:bookmarkEnd w:id="104"/>
    </w:p>
    <w:p>
      <w:pPr>
        <w:pStyle w:val="Subsection"/>
      </w:pPr>
      <w:r>
        <w:tab/>
      </w:r>
      <w:r>
        <w:tab/>
        <w:t>Under section 60F(5) of the Act the chief executive may cancel the registration of a training contract for any of these reasons —</w:t>
      </w:r>
    </w:p>
    <w:p>
      <w:pPr>
        <w:pStyle w:val="Indenta"/>
      </w:pPr>
      <w:r>
        <w:tab/>
        <w:t>(a)</w:t>
      </w:r>
      <w:r>
        <w:tab/>
        <w:t>the chief executive is satisfied that a complying training plan for the training contract has not been signed in accordance with regulation 43(2);</w:t>
      </w:r>
    </w:p>
    <w:p>
      <w:pPr>
        <w:pStyle w:val="Indenta"/>
      </w:pPr>
      <w:r>
        <w:tab/>
        <w:t>(aa)</w:t>
      </w:r>
      <w:r>
        <w:tab/>
        <w:t>the chief executive is satisfied that a new complying training plan for the training contract has not been signed in accordance with regulation 43(4) or (6) (as the case may be);</w:t>
      </w:r>
    </w:p>
    <w:p>
      <w:pPr>
        <w:pStyle w:val="Indenta"/>
      </w:pPr>
      <w:r>
        <w:tab/>
        <w:t>(ab)</w:t>
      </w:r>
      <w:r>
        <w:tab/>
        <w:t>the chief executive is satisfied that the training plan for the training contract is not, or has ceased to be, a complying training plan;</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(ca)</w:t>
      </w:r>
      <w:r>
        <w:tab/>
        <w:t>the chief executive is satisfied that the qualification set out in the contract is not appropriate for the intended occupation during the contract;</w:t>
      </w:r>
    </w:p>
    <w:p>
      <w:pPr>
        <w:pStyle w:val="Indenta"/>
      </w:pPr>
      <w:r>
        <w:tab/>
        <w:t>(cb)</w:t>
      </w:r>
      <w:r>
        <w:tab/>
        <w:t>the chief executive is satisfied that the continued registration of the contract would result in an effect or outcome that is contrary to the objects of the Act;</w:t>
      </w:r>
    </w:p>
    <w:p>
      <w:pPr>
        <w:pStyle w:val="Indenta"/>
      </w:pPr>
      <w:r>
        <w:tab/>
        <w:t>(cc)</w:t>
      </w:r>
      <w:r>
        <w:tab/>
        <w:t>the apprentice is not an Australian citizen, or does not hold an Australian visa that will support the employment and study arrangements specified in the contract;</w:t>
      </w:r>
    </w:p>
    <w:p>
      <w:pPr>
        <w:pStyle w:val="Indenta"/>
      </w:pPr>
      <w:r>
        <w:lastRenderedPageBreak/>
        <w:tab/>
        <w:t>(cd)</w:t>
      </w:r>
      <w:r>
        <w:tab/>
        <w:t>the chief executive is satisfied that one or both of the parties to the contract has not complied with the terms of that contract;</w:t>
      </w:r>
    </w:p>
    <w:p>
      <w:pPr>
        <w:pStyle w:val="Indenta"/>
      </w:pPr>
      <w:r>
        <w:tab/>
        <w:t>(d)</w:t>
      </w:r>
      <w:r>
        <w:tab/>
        <w:t>the contract has been terminated.</w:t>
      </w:r>
    </w:p>
    <w:p>
      <w:pPr>
        <w:pStyle w:val="Footnotesection"/>
      </w:pPr>
      <w:r>
        <w:tab/>
        <w:t>[Regulation 44 amended: Gazette 27 Jan 2016 p. 222</w:t>
      </w:r>
      <w:r>
        <w:noBreakHyphen/>
        <w:t>3; 29 Dec 2017 p. 6082.]</w:t>
      </w:r>
    </w:p>
    <w:p>
      <w:pPr>
        <w:pStyle w:val="Heading5"/>
      </w:pPr>
      <w:bookmarkStart w:id="105" w:name="_Toc209016900"/>
      <w:r>
        <w:rPr>
          <w:rStyle w:val="CharSectno"/>
        </w:rPr>
        <w:t>45</w:t>
      </w:r>
      <w:r>
        <w:t>.</w:t>
      </w:r>
      <w:r>
        <w:tab/>
        <w:t>Chief executive may require persons involved in training contracts to provide information</w:t>
      </w:r>
      <w:bookmarkEnd w:id="105"/>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for this subregulation: a fine of $5 000.</w:t>
      </w:r>
    </w:p>
    <w:p>
      <w:pPr>
        <w:pStyle w:val="Footnotesection"/>
      </w:pPr>
      <w:r>
        <w:tab/>
        <w:t>[Regulation 45 amended: Gazette 29 Dec 2017 p. 6083.]</w:t>
      </w:r>
    </w:p>
    <w:p>
      <w:pPr>
        <w:pStyle w:val="Heading5"/>
      </w:pPr>
      <w:bookmarkStart w:id="106" w:name="_Toc209016901"/>
      <w:r>
        <w:rPr>
          <w:rStyle w:val="CharSectno"/>
        </w:rPr>
        <w:t>46</w:t>
      </w:r>
      <w:r>
        <w:t>.</w:t>
      </w:r>
      <w:r>
        <w:tab/>
        <w:t>Variation of training contract by parties (Act s. 60E)</w:t>
      </w:r>
      <w:bookmarkEnd w:id="106"/>
    </w:p>
    <w:p>
      <w:pPr>
        <w:pStyle w:val="Subsection"/>
      </w:pPr>
      <w:r>
        <w:tab/>
        <w:t>(1)</w:t>
      </w:r>
      <w:r>
        <w:tab/>
        <w:t>This regulation operates for the purposes of section 60E(4)(a) of the Act.</w:t>
      </w:r>
    </w:p>
    <w:p>
      <w:pPr>
        <w:pStyle w:val="Subsection"/>
      </w:pPr>
      <w:r>
        <w:lastRenderedPageBreak/>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107" w:name="_Toc209016902"/>
      <w:r>
        <w:rPr>
          <w:rStyle w:val="CharSectno"/>
        </w:rPr>
        <w:lastRenderedPageBreak/>
        <w:t>47</w:t>
      </w:r>
      <w:r>
        <w:t>.</w:t>
      </w:r>
      <w:r>
        <w:tab/>
        <w:t>Assignment of training contract to another employer (Act s. 60E)</w:t>
      </w:r>
      <w:bookmarkEnd w:id="107"/>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for this subregulation: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Footnotesection"/>
      </w:pPr>
      <w:r>
        <w:tab/>
        <w:t>[Regulation 47 amended: Gazette 29 Dec 2017 p. 6083.]</w:t>
      </w:r>
    </w:p>
    <w:p>
      <w:pPr>
        <w:pStyle w:val="Heading5"/>
      </w:pPr>
      <w:bookmarkStart w:id="108" w:name="_Toc209016903"/>
      <w:r>
        <w:rPr>
          <w:rStyle w:val="CharSectno"/>
        </w:rPr>
        <w:lastRenderedPageBreak/>
        <w:t>48</w:t>
      </w:r>
      <w:r>
        <w:t>.</w:t>
      </w:r>
      <w:r>
        <w:tab/>
        <w:t>Suspension of training contract by parties (Act s. 60E)</w:t>
      </w:r>
      <w:bookmarkEnd w:id="108"/>
    </w:p>
    <w:p>
      <w:pPr>
        <w:pStyle w:val="Subsection"/>
        <w:keepNext/>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for this subregulation: a fine of $1 000.</w:t>
      </w:r>
    </w:p>
    <w:p>
      <w:pPr>
        <w:pStyle w:val="Footnotesection"/>
      </w:pPr>
      <w:r>
        <w:tab/>
        <w:t>[Regulation 48 amended: Gazette 29 Dec 2017 p. 6083.]</w:t>
      </w:r>
    </w:p>
    <w:p>
      <w:pPr>
        <w:pStyle w:val="Heading5"/>
      </w:pPr>
      <w:bookmarkStart w:id="109" w:name="_Toc209016904"/>
      <w:r>
        <w:rPr>
          <w:rStyle w:val="CharSectno"/>
        </w:rPr>
        <w:t>49</w:t>
      </w:r>
      <w:r>
        <w:t>.</w:t>
      </w:r>
      <w:r>
        <w:tab/>
        <w:t>Suspension by employer (Act s. 60E)</w:t>
      </w:r>
      <w:bookmarkEnd w:id="109"/>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keepNext/>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lastRenderedPageBreak/>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for this subregulation: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for this subregulation: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keepNext/>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for this subregulation: a fine of $5 000.</w:t>
      </w:r>
    </w:p>
    <w:p>
      <w:pPr>
        <w:pStyle w:val="Subsection"/>
      </w:pPr>
      <w:r>
        <w:lastRenderedPageBreak/>
        <w:tab/>
        <w:t>(11)</w:t>
      </w:r>
      <w:r>
        <w:tab/>
        <w:t>If an application made under subregulation (8) is refused, the suspension of the contract is taken to be cancelled on the day after the day on which the application is refused.</w:t>
      </w:r>
    </w:p>
    <w:p>
      <w:pPr>
        <w:pStyle w:val="Footnotesection"/>
      </w:pPr>
      <w:r>
        <w:tab/>
        <w:t>[Regulation 49 amended: Gazette 29 Dec 2017 p. 6083.]</w:t>
      </w:r>
    </w:p>
    <w:p>
      <w:pPr>
        <w:pStyle w:val="Heading5"/>
      </w:pPr>
      <w:bookmarkStart w:id="110" w:name="_Toc209016905"/>
      <w:r>
        <w:rPr>
          <w:rStyle w:val="CharSectno"/>
        </w:rPr>
        <w:t>50</w:t>
      </w:r>
      <w:r>
        <w:t>.</w:t>
      </w:r>
      <w:r>
        <w:tab/>
        <w:t>Termination of training contract by parties (Act s. 60G)</w:t>
      </w:r>
      <w:bookmarkEnd w:id="110"/>
    </w:p>
    <w:p>
      <w:pPr>
        <w:pStyle w:val="Subsection"/>
      </w:pPr>
      <w:r>
        <w:tab/>
      </w:r>
      <w:r>
        <w:tab/>
        <w:t>A party to a training contract may terminate the contract during the contract’s probation period without the approval of the chief executive.</w:t>
      </w:r>
    </w:p>
    <w:p>
      <w:pPr>
        <w:pStyle w:val="Heading5"/>
      </w:pPr>
      <w:bookmarkStart w:id="111" w:name="_Toc209016906"/>
      <w:r>
        <w:rPr>
          <w:rStyle w:val="CharSectno"/>
        </w:rPr>
        <w:t>51</w:t>
      </w:r>
      <w:r>
        <w:t>.</w:t>
      </w:r>
      <w:r>
        <w:tab/>
        <w:t>Approval of termination of training contract by chief executive (Act s. 60G)</w:t>
      </w:r>
      <w:bookmarkEnd w:id="111"/>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112" w:name="_Toc209016907"/>
      <w:r>
        <w:rPr>
          <w:rStyle w:val="CharSectno"/>
        </w:rPr>
        <w:t>52</w:t>
      </w:r>
      <w:r>
        <w:t>.</w:t>
      </w:r>
      <w:r>
        <w:tab/>
        <w:t>Completion of training contract</w:t>
      </w:r>
      <w:bookmarkEnd w:id="112"/>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for this subregulation: a fine of $5 000.</w:t>
      </w:r>
    </w:p>
    <w:p>
      <w:pPr>
        <w:pStyle w:val="Subsection"/>
      </w:pPr>
      <w:r>
        <w:tab/>
        <w:t>(2)</w:t>
      </w:r>
      <w:r>
        <w:tab/>
        <w:t xml:space="preserve">Within 21 days after the date on which a training contract, under its terms, is successfully completed, the nominated training provider under the contract must give the chief executive a </w:t>
      </w:r>
      <w:r>
        <w:lastRenderedPageBreak/>
        <w:t>written notice stating the date on which the contract was successfully completed.</w:t>
      </w:r>
    </w:p>
    <w:p>
      <w:pPr>
        <w:pStyle w:val="Penstart"/>
      </w:pPr>
      <w:r>
        <w:tab/>
        <w:t>Penalty for this subregulation: a fine of $5 000.</w:t>
      </w:r>
    </w:p>
    <w:p>
      <w:pPr>
        <w:pStyle w:val="Footnotesection"/>
      </w:pPr>
      <w:r>
        <w:tab/>
        <w:t>[Regulation 52 amended: Gazette 29 Dec 2017 p. 6083.]</w:t>
      </w:r>
    </w:p>
    <w:p>
      <w:pPr>
        <w:pStyle w:val="Heading5"/>
      </w:pPr>
      <w:bookmarkStart w:id="113" w:name="_Toc209016908"/>
      <w:r>
        <w:rPr>
          <w:rStyle w:val="CharSectno"/>
        </w:rPr>
        <w:t>52A</w:t>
      </w:r>
      <w:r>
        <w:t>.</w:t>
      </w:r>
      <w:r>
        <w:tab/>
        <w:t>Resolution of disputes by chief executive</w:t>
      </w:r>
      <w:bookmarkEnd w:id="113"/>
    </w:p>
    <w:p>
      <w:pPr>
        <w:pStyle w:val="Subsection"/>
      </w:pPr>
      <w:r>
        <w:tab/>
        <w:t>(1)</w:t>
      </w:r>
      <w:r>
        <w:tab/>
        <w:t xml:space="preserve">The chief executive may, on an application by a party to a training contract, or on the chief executive’s own initiative, determine a dispute between the parties relating to any of the following — </w:t>
      </w:r>
    </w:p>
    <w:p>
      <w:pPr>
        <w:pStyle w:val="Indenta"/>
      </w:pPr>
      <w:r>
        <w:tab/>
        <w:t>(a)</w:t>
      </w:r>
      <w:r>
        <w:tab/>
        <w:t>the terms of the contract, including any variations or suspensions;</w:t>
      </w:r>
    </w:p>
    <w:p>
      <w:pPr>
        <w:pStyle w:val="Indenta"/>
      </w:pPr>
      <w:r>
        <w:tab/>
        <w:t>(b)</w:t>
      </w:r>
      <w:r>
        <w:tab/>
        <w:t>the conduct of the parties in complying with the terms of the contract;</w:t>
      </w:r>
    </w:p>
    <w:p>
      <w:pPr>
        <w:pStyle w:val="Indenta"/>
      </w:pPr>
      <w:r>
        <w:tab/>
        <w:t>(c)</w:t>
      </w:r>
      <w:r>
        <w:tab/>
        <w:t>the termination of the contract.</w:t>
      </w:r>
    </w:p>
    <w:p>
      <w:pPr>
        <w:pStyle w:val="Subsection"/>
      </w:pPr>
      <w:r>
        <w:tab/>
        <w:t>(2)</w:t>
      </w:r>
      <w:r>
        <w:tab/>
        <w:t>The chief executive may determine the dispute unless the chief executive feels that it should be dealt with by another body, tribunal or court vested with jurisdiction to determine it.</w:t>
      </w:r>
    </w:p>
    <w:p>
      <w:pPr>
        <w:pStyle w:val="Footnotesection"/>
      </w:pPr>
      <w:r>
        <w:tab/>
        <w:t>[Regulation 52A inserted: Gazette 27 Jan 2016 p. 223.]</w:t>
      </w:r>
    </w:p>
    <w:p>
      <w:pPr>
        <w:pStyle w:val="Heading3"/>
      </w:pPr>
      <w:bookmarkStart w:id="114" w:name="_Toc208842439"/>
      <w:bookmarkStart w:id="115" w:name="_Toc208843861"/>
      <w:bookmarkStart w:id="116" w:name="_Toc208995318"/>
      <w:bookmarkStart w:id="117" w:name="_Toc209016909"/>
      <w:r>
        <w:rPr>
          <w:rStyle w:val="CharDivNo"/>
        </w:rPr>
        <w:t>Division 4</w:t>
      </w:r>
      <w:r>
        <w:t> — </w:t>
      </w:r>
      <w:r>
        <w:rPr>
          <w:rStyle w:val="CharDivText"/>
        </w:rPr>
        <w:t>Procedure and appeals</w:t>
      </w:r>
      <w:bookmarkEnd w:id="114"/>
      <w:bookmarkEnd w:id="115"/>
      <w:bookmarkEnd w:id="116"/>
      <w:bookmarkEnd w:id="117"/>
    </w:p>
    <w:p>
      <w:pPr>
        <w:pStyle w:val="Heading5"/>
      </w:pPr>
      <w:bookmarkStart w:id="118" w:name="_Toc209016910"/>
      <w:r>
        <w:rPr>
          <w:rStyle w:val="CharSectno"/>
        </w:rPr>
        <w:t>53</w:t>
      </w:r>
      <w:r>
        <w:t>.</w:t>
      </w:r>
      <w:r>
        <w:tab/>
        <w:t>Procedure on applications</w:t>
      </w:r>
      <w:bookmarkEnd w:id="118"/>
    </w:p>
    <w:p>
      <w:pPr>
        <w:pStyle w:val="Subsection"/>
      </w:pPr>
      <w:r>
        <w:tab/>
        <w:t>(1)</w:t>
      </w:r>
      <w:r>
        <w:tab/>
        <w:t>This regulation applies to and in relation to any application made to the chief executive under Part 7 Division 2 of the Act or under regulation 39, 40, 46, 47 or 48, or any determination made under regulation 52A.</w:t>
      </w:r>
    </w:p>
    <w:p>
      <w:pPr>
        <w:pStyle w:val="Subsection"/>
        <w:keepNext/>
      </w:pPr>
      <w:r>
        <w:tab/>
        <w:t>(2)</w:t>
      </w:r>
      <w:r>
        <w:tab/>
        <w:t>In relation to an application or determination, the chief executive —</w:t>
      </w:r>
    </w:p>
    <w:p>
      <w:pPr>
        <w:pStyle w:val="Indenta"/>
      </w:pPr>
      <w:r>
        <w:tab/>
        <w:t>(a)</w:t>
      </w:r>
      <w:r>
        <w:tab/>
        <w:t>may inform himself or herself in any way he or she thinks fit; and</w:t>
      </w:r>
    </w:p>
    <w:p>
      <w:pPr>
        <w:pStyle w:val="Indenta"/>
      </w:pPr>
      <w:r>
        <w:lastRenderedPageBreak/>
        <w:tab/>
        <w:t>(b)</w:t>
      </w:r>
      <w:r>
        <w:tab/>
        <w:t xml:space="preserve">must give a reasonable opportunity to provide evidence and make submissions relevant to the application or determination to — </w:t>
      </w:r>
    </w:p>
    <w:p>
      <w:pPr>
        <w:pStyle w:val="Indenti"/>
      </w:pPr>
      <w:r>
        <w:tab/>
        <w:t>(i)</w:t>
      </w:r>
      <w:r>
        <w:tab/>
        <w:t>each party to any training contract to which the application or determination relates; and</w:t>
      </w:r>
    </w:p>
    <w:p>
      <w:pPr>
        <w:pStyle w:val="Indenti"/>
      </w:pPr>
      <w:r>
        <w:tab/>
        <w:t>(ii)</w:t>
      </w:r>
      <w:r>
        <w:tab/>
        <w:t>any other person who may or will be affected by the outcome of the application or determination or who, in the chief executive’s opinion, has a sufficient interest in the application or determination;</w:t>
      </w:r>
    </w:p>
    <w:p>
      <w:pPr>
        <w:pStyle w:val="Indenta"/>
      </w:pPr>
      <w:r>
        <w:tab/>
      </w:r>
      <w:r>
        <w:tab/>
        <w:t>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or determination, the chief executive must give the parties to the application or determination written notice of the decision and the reasons for it.</w:t>
      </w:r>
    </w:p>
    <w:p>
      <w:pPr>
        <w:pStyle w:val="Footnotesection"/>
      </w:pPr>
      <w:r>
        <w:tab/>
        <w:t>[Regulation 53 amended: Gazette 27 Jan 2016 p. 223</w:t>
      </w:r>
      <w:r>
        <w:noBreakHyphen/>
        <w:t>4.]</w:t>
      </w:r>
    </w:p>
    <w:p>
      <w:pPr>
        <w:pStyle w:val="Heading5"/>
      </w:pPr>
      <w:bookmarkStart w:id="119" w:name="_Toc209016911"/>
      <w:r>
        <w:rPr>
          <w:rStyle w:val="CharSectno"/>
        </w:rPr>
        <w:t>54</w:t>
      </w:r>
      <w:r>
        <w:t>.</w:t>
      </w:r>
      <w:r>
        <w:tab/>
        <w:t>Appeals</w:t>
      </w:r>
      <w:bookmarkEnd w:id="119"/>
    </w:p>
    <w:p>
      <w:pPr>
        <w:pStyle w:val="Subsection"/>
      </w:pPr>
      <w:r>
        <w:tab/>
        <w:t>(1)</w:t>
      </w:r>
      <w:r>
        <w:tab/>
        <w:t>A party to a training contract who is dissatisfied by a decision made in relation to the contract by the chief executive under regulation 39, 46, 47, 48 or 52A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Footnotesection"/>
      </w:pPr>
      <w:r>
        <w:tab/>
        <w:t>[Regulation 54 amended: Gazette 27 Jan 2016 p. 224.]</w:t>
      </w:r>
    </w:p>
    <w:p>
      <w:pPr>
        <w:pStyle w:val="Heading2"/>
      </w:pPr>
      <w:bookmarkStart w:id="120" w:name="_Toc208842442"/>
      <w:bookmarkStart w:id="121" w:name="_Toc208843864"/>
      <w:bookmarkStart w:id="122" w:name="_Toc208995321"/>
      <w:bookmarkStart w:id="123" w:name="_Toc209016912"/>
      <w:r>
        <w:rPr>
          <w:rStyle w:val="CharPartNo"/>
        </w:rPr>
        <w:lastRenderedPageBreak/>
        <w:t>Part 5</w:t>
      </w:r>
      <w:r>
        <w:rPr>
          <w:rStyle w:val="CharDivNo"/>
        </w:rPr>
        <w:t> </w:t>
      </w:r>
      <w:r>
        <w:t>—</w:t>
      </w:r>
      <w:r>
        <w:rPr>
          <w:rStyle w:val="CharDivText"/>
        </w:rPr>
        <w:t> </w:t>
      </w:r>
      <w:r>
        <w:rPr>
          <w:rStyle w:val="CharPartText"/>
        </w:rPr>
        <w:t>Repeals and transitional matters</w:t>
      </w:r>
      <w:bookmarkEnd w:id="120"/>
      <w:bookmarkEnd w:id="121"/>
      <w:bookmarkEnd w:id="122"/>
      <w:bookmarkEnd w:id="123"/>
    </w:p>
    <w:p>
      <w:pPr>
        <w:pStyle w:val="Heading5"/>
      </w:pPr>
      <w:bookmarkStart w:id="124" w:name="_Toc209016913"/>
      <w:r>
        <w:rPr>
          <w:rStyle w:val="CharSectno"/>
        </w:rPr>
        <w:t>55</w:t>
      </w:r>
      <w:r>
        <w:t>.</w:t>
      </w:r>
      <w:r>
        <w:tab/>
        <w:t>Term used: commencement</w:t>
      </w:r>
      <w:bookmarkEnd w:id="124"/>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Ednotesection"/>
      </w:pPr>
      <w:r>
        <w:rPr>
          <w:rStyle w:val="CharSectno"/>
        </w:rPr>
        <w:t>[</w:t>
      </w:r>
      <w:r>
        <w:rPr>
          <w:rStyle w:val="CharSectno"/>
          <w:b/>
        </w:rPr>
        <w:t>56</w:t>
      </w:r>
      <w:r>
        <w:rPr>
          <w:b/>
        </w:rPr>
        <w:t>.</w:t>
      </w:r>
      <w:r>
        <w:tab/>
        <w:t xml:space="preserve">Omitted under the Reprints Act 1984 s. 7(4)(f).] </w:t>
      </w:r>
    </w:p>
    <w:p>
      <w:pPr>
        <w:pStyle w:val="Heading5"/>
      </w:pPr>
      <w:bookmarkStart w:id="125" w:name="_Toc209016914"/>
      <w:r>
        <w:rPr>
          <w:rStyle w:val="CharSectno"/>
        </w:rPr>
        <w:t>57</w:t>
      </w:r>
      <w:r>
        <w:t>.</w:t>
      </w:r>
      <w:r>
        <w:tab/>
        <w:t>Registered training providers</w:t>
      </w:r>
      <w:bookmarkEnd w:id="125"/>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126" w:name="_Toc209016915"/>
      <w:r>
        <w:rPr>
          <w:rStyle w:val="CharSectno"/>
        </w:rPr>
        <w:t>58</w:t>
      </w:r>
      <w:r>
        <w:t>.</w:t>
      </w:r>
      <w:r>
        <w:tab/>
        <w:t>Accredited courses</w:t>
      </w:r>
      <w:bookmarkEnd w:id="126"/>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127" w:name="_Toc209016916"/>
      <w:r>
        <w:rPr>
          <w:rStyle w:val="CharSectno"/>
        </w:rPr>
        <w:t>59</w:t>
      </w:r>
      <w:r>
        <w:t>.</w:t>
      </w:r>
      <w:r>
        <w:tab/>
        <w:t>Traineeship contracts</w:t>
      </w:r>
      <w:bookmarkEnd w:id="127"/>
    </w:p>
    <w:p>
      <w:pPr>
        <w:pStyle w:val="Subsection"/>
      </w:pPr>
      <w:r>
        <w:tab/>
      </w:r>
      <w:r>
        <w:tab/>
        <w:t>If —</w:t>
      </w:r>
    </w:p>
    <w:p>
      <w:pPr>
        <w:pStyle w:val="Indenta"/>
        <w:rPr>
          <w:iCs/>
        </w:rPr>
      </w:pPr>
      <w:r>
        <w:tab/>
        <w:t>(a)</w:t>
      </w:r>
      <w:r>
        <w:tab/>
        <w:t xml:space="preserve">immediately before commencement the Director of Industrial Training appointed under the </w:t>
      </w:r>
      <w:r>
        <w:rPr>
          <w:i/>
        </w:rPr>
        <w:t>Industrial Training Act 1975</w:t>
      </w:r>
      <w:r>
        <w:rPr>
          <w:vertAlign w:val="superscript"/>
        </w:rPr>
        <w:t> 6</w:t>
      </w:r>
      <w:r>
        <w:rPr>
          <w:i/>
        </w:rPr>
        <w:t xml:space="preserve">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lastRenderedPageBreak/>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128" w:name="_Toc209016917"/>
      <w:r>
        <w:rPr>
          <w:rStyle w:val="CharSectno"/>
        </w:rPr>
        <w:t>60</w:t>
      </w:r>
      <w:r>
        <w:t>.</w:t>
      </w:r>
      <w:r>
        <w:tab/>
        <w:t>Apprentices learning trades, transitional provisions for</w:t>
      </w:r>
      <w:bookmarkEnd w:id="128"/>
    </w:p>
    <w:p>
      <w:pPr>
        <w:pStyle w:val="Subsection"/>
      </w:pPr>
      <w:r>
        <w:tab/>
      </w:r>
      <w:r>
        <w:tab/>
        <w:t>Schedule 2 sets out transitional provisions.</w:t>
      </w:r>
    </w:p>
    <w:p>
      <w:pPr>
        <w:pStyle w:val="Heading2"/>
        <w:rPr>
          <w:i/>
        </w:rPr>
      </w:pPr>
      <w:bookmarkStart w:id="129" w:name="_Toc209016918"/>
      <w:bookmarkStart w:id="130" w:name="_Toc208842448"/>
      <w:bookmarkStart w:id="131" w:name="_Toc208843870"/>
      <w:bookmarkStart w:id="132" w:name="_Toc208995327"/>
      <w:r>
        <w:rPr>
          <w:rStyle w:val="CharPartNo"/>
        </w:rPr>
        <w:lastRenderedPageBreak/>
        <w:t>Part 6</w:t>
      </w:r>
      <w:r>
        <w:t> — </w:t>
      </w:r>
      <w:r>
        <w:rPr>
          <w:rStyle w:val="CharPartText"/>
        </w:rPr>
        <w:t>Transitional provisions</w:t>
      </w:r>
      <w:bookmarkEnd w:id="129"/>
      <w:r>
        <w:rPr>
          <w:rStyle w:val="CharPartText"/>
        </w:rPr>
        <w:t xml:space="preserve"> </w:t>
      </w:r>
      <w:bookmarkEnd w:id="130"/>
      <w:bookmarkEnd w:id="131"/>
      <w:bookmarkEnd w:id="132"/>
    </w:p>
    <w:p>
      <w:pPr>
        <w:pStyle w:val="Footnoteheading"/>
      </w:pPr>
      <w:r>
        <w:tab/>
        <w:t>[Heading inserted: Gazette 10 Mar 2015 p. 835; amended: SL 2025/165 r. 21.]</w:t>
      </w:r>
    </w:p>
    <w:p>
      <w:pPr>
        <w:pStyle w:val="Heading3"/>
      </w:pPr>
      <w:bookmarkStart w:id="133" w:name="_Toc208493875"/>
      <w:bookmarkStart w:id="134" w:name="_Toc208493969"/>
      <w:bookmarkStart w:id="135" w:name="_Toc208494074"/>
      <w:bookmarkStart w:id="136" w:name="_Toc208494221"/>
      <w:bookmarkStart w:id="137" w:name="_Toc208995328"/>
      <w:bookmarkStart w:id="138" w:name="_Toc209016919"/>
      <w:r>
        <w:rPr>
          <w:rStyle w:val="CharDivNo"/>
        </w:rPr>
        <w:t>Division 1</w:t>
      </w:r>
      <w:r>
        <w:t> — </w:t>
      </w:r>
      <w:r>
        <w:rPr>
          <w:rStyle w:val="CharDivText"/>
        </w:rPr>
        <w:t xml:space="preserve">Transitional provisions for </w:t>
      </w:r>
      <w:r>
        <w:rPr>
          <w:rStyle w:val="CharDivText"/>
          <w:i/>
          <w:iCs/>
        </w:rPr>
        <w:t>Vocational Education and Training (General) Amendment Regulations 2015</w:t>
      </w:r>
      <w:bookmarkEnd w:id="133"/>
      <w:bookmarkEnd w:id="134"/>
      <w:bookmarkEnd w:id="135"/>
      <w:bookmarkEnd w:id="136"/>
      <w:bookmarkEnd w:id="137"/>
      <w:bookmarkEnd w:id="138"/>
    </w:p>
    <w:p>
      <w:pPr>
        <w:pStyle w:val="Footnoteheading"/>
      </w:pPr>
      <w:r>
        <w:tab/>
        <w:t>[Heading inserted: SL 2025/165 r. 22.]</w:t>
      </w:r>
    </w:p>
    <w:p>
      <w:pPr>
        <w:pStyle w:val="Heading5"/>
      </w:pPr>
      <w:bookmarkStart w:id="139" w:name="_Toc209016920"/>
      <w:r>
        <w:rPr>
          <w:rStyle w:val="CharSectno"/>
        </w:rPr>
        <w:t>61</w:t>
      </w:r>
      <w:r>
        <w:t>.</w:t>
      </w:r>
      <w:r>
        <w:tab/>
        <w:t>Terms used</w:t>
      </w:r>
      <w:bookmarkEnd w:id="139"/>
    </w:p>
    <w:p>
      <w:pPr>
        <w:pStyle w:val="Subsection"/>
      </w:pPr>
      <w:r>
        <w:tab/>
      </w:r>
      <w:r>
        <w:tab/>
        <w:t xml:space="preserve">In this Division — </w:t>
      </w:r>
    </w:p>
    <w:p>
      <w:pPr>
        <w:pStyle w:val="Defstart"/>
      </w:pPr>
      <w:r>
        <w:tab/>
      </w:r>
      <w:r>
        <w:rPr>
          <w:rStyle w:val="CharDefText"/>
        </w:rPr>
        <w:t>amendment regulations</w:t>
      </w:r>
      <w:r>
        <w:t xml:space="preserve"> means the </w:t>
      </w:r>
      <w:r>
        <w:rPr>
          <w:i/>
        </w:rPr>
        <w:t>Vocational Education and Training (General) Amendment Regulations 2015</w:t>
      </w:r>
      <w:r>
        <w:t>;</w:t>
      </w:r>
    </w:p>
    <w:p>
      <w:pPr>
        <w:pStyle w:val="Defstart"/>
      </w:pPr>
      <w:r>
        <w:tab/>
      </w:r>
      <w:r>
        <w:rPr>
          <w:rStyle w:val="CharDefText"/>
        </w:rPr>
        <w:t>AQTF</w:t>
      </w:r>
      <w:r>
        <w:t xml:space="preserve"> means the Australian Quality Training Framework as defined in the </w:t>
      </w:r>
      <w:r>
        <w:rPr>
          <w:i/>
        </w:rPr>
        <w:t>Higher Education Support Act 2003</w:t>
      </w:r>
      <w:r>
        <w:t xml:space="preserve"> (Commonwealth) Schedule 1;</w:t>
      </w:r>
    </w:p>
    <w:p>
      <w:pPr>
        <w:pStyle w:val="Defstart"/>
      </w:pPr>
      <w:r>
        <w:tab/>
      </w:r>
      <w:r>
        <w:rPr>
          <w:rStyle w:val="CharDefText"/>
        </w:rPr>
        <w:t>commencement day</w:t>
      </w:r>
      <w:r>
        <w:t xml:space="preserve"> means the day on which regulation 3 of the amendment regulations came into operation;</w:t>
      </w:r>
    </w:p>
    <w:p>
      <w:pPr>
        <w:pStyle w:val="Defstart"/>
      </w:pPr>
      <w:r>
        <w:tab/>
      </w:r>
      <w:r>
        <w:rPr>
          <w:rStyle w:val="CharDefText"/>
        </w:rPr>
        <w:t>transitional period</w:t>
      </w:r>
      <w:r>
        <w:t xml:space="preserve"> means the period of 3 months beginning on the commencement day.</w:t>
      </w:r>
    </w:p>
    <w:p>
      <w:pPr>
        <w:pStyle w:val="Footnotesection"/>
      </w:pPr>
      <w:r>
        <w:tab/>
        <w:t>[Regulation 61 inserted: Gazette 10 Mar 2015 p. 835; amended: SL 2025/165 r. 23.]</w:t>
      </w:r>
    </w:p>
    <w:p>
      <w:pPr>
        <w:pStyle w:val="Heading5"/>
      </w:pPr>
      <w:bookmarkStart w:id="140" w:name="_Toc209016921"/>
      <w:r>
        <w:rPr>
          <w:rStyle w:val="CharSectno"/>
        </w:rPr>
        <w:t>62</w:t>
      </w:r>
      <w:r>
        <w:t>.</w:t>
      </w:r>
      <w:r>
        <w:tab/>
        <w:t>Mandatory conditions applicable to WA registered providers during transitional period</w:t>
      </w:r>
      <w:bookmarkEnd w:id="140"/>
    </w:p>
    <w:p>
      <w:pPr>
        <w:pStyle w:val="Subsection"/>
      </w:pPr>
      <w:r>
        <w:tab/>
      </w:r>
      <w:r>
        <w:tab/>
        <w:t xml:space="preserve">During the transitional period a WA registered provider registered before the commencement day may comply with either — </w:t>
      </w:r>
    </w:p>
    <w:p>
      <w:pPr>
        <w:pStyle w:val="Indenta"/>
      </w:pPr>
      <w:r>
        <w:tab/>
        <w:t>(a)</w:t>
      </w:r>
      <w:r>
        <w:tab/>
        <w:t>the mandatory condition referred to in regulation 13(2)(a); or</w:t>
      </w:r>
    </w:p>
    <w:p>
      <w:pPr>
        <w:pStyle w:val="Indenta"/>
        <w:keepNext/>
      </w:pPr>
      <w:r>
        <w:lastRenderedPageBreak/>
        <w:tab/>
        <w:t>(b)</w:t>
      </w:r>
      <w:r>
        <w:tab/>
        <w:t>the mandatory condition referred to in regulation 13(2)(a) as it was before the commencement day.</w:t>
      </w:r>
    </w:p>
    <w:p>
      <w:pPr>
        <w:pStyle w:val="Footnotesection"/>
      </w:pPr>
      <w:r>
        <w:tab/>
        <w:t>[Regulation 62 inserted: Gazette 10 Mar 2015 p. 835.]</w:t>
      </w:r>
    </w:p>
    <w:p>
      <w:pPr>
        <w:pStyle w:val="Heading5"/>
        <w:spacing w:before="240"/>
      </w:pPr>
      <w:bookmarkStart w:id="141" w:name="_Toc209016922"/>
      <w:r>
        <w:rPr>
          <w:rStyle w:val="CharSectno"/>
        </w:rPr>
        <w:t>63</w:t>
      </w:r>
      <w:r>
        <w:t>.</w:t>
      </w:r>
      <w:r>
        <w:tab/>
        <w:t>Applications before commencement day</w:t>
      </w:r>
      <w:bookmarkEnd w:id="141"/>
    </w:p>
    <w:p>
      <w:pPr>
        <w:pStyle w:val="Subsection"/>
      </w:pPr>
      <w:r>
        <w:tab/>
        <w:t>(1)</w:t>
      </w:r>
      <w:r>
        <w:tab/>
        <w:t xml:space="preserve">An application for registration, renewal of registration or variation of registration made, but not decided, before the commencement day is, on and after the commencement day, to be decided — </w:t>
      </w:r>
    </w:p>
    <w:p>
      <w:pPr>
        <w:pStyle w:val="Indenta"/>
      </w:pPr>
      <w:r>
        <w:tab/>
        <w:t>(a)</w:t>
      </w:r>
      <w:r>
        <w:tab/>
        <w:t>if the application was prepared addressing the AQTF, in accordance with the AQTF under the regulations as they were before the commencement day; and</w:t>
      </w:r>
    </w:p>
    <w:p>
      <w:pPr>
        <w:pStyle w:val="Indenta"/>
      </w:pPr>
      <w:r>
        <w:tab/>
        <w:t>(b)</w:t>
      </w:r>
      <w:r>
        <w:tab/>
        <w:t>if the application was prepared addressing the registration standards, in accordance with the registration standards.</w:t>
      </w:r>
    </w:p>
    <w:p>
      <w:pPr>
        <w:pStyle w:val="Subsection"/>
      </w:pPr>
      <w:r>
        <w:tab/>
        <w:t>(2)</w:t>
      </w:r>
      <w:r>
        <w:tab/>
        <w:t>An application decided under subregulation (1)(a) cannot be granted except on the condition that the provider is to comply with the registration standards after the transitional period.</w:t>
      </w:r>
    </w:p>
    <w:p>
      <w:pPr>
        <w:pStyle w:val="Footnotesection"/>
      </w:pPr>
      <w:r>
        <w:tab/>
        <w:t>[Regulation 63 inserted: Gazette 10 Mar 2015 p. 835</w:t>
      </w:r>
      <w:r>
        <w:noBreakHyphen/>
        <w:t>6.]</w:t>
      </w:r>
    </w:p>
    <w:p>
      <w:pPr>
        <w:pStyle w:val="Heading3"/>
      </w:pPr>
      <w:bookmarkStart w:id="142" w:name="_Toc208493878"/>
      <w:bookmarkStart w:id="143" w:name="_Toc208493972"/>
      <w:bookmarkStart w:id="144" w:name="_Toc208494077"/>
      <w:bookmarkStart w:id="145" w:name="_Toc208494224"/>
      <w:bookmarkStart w:id="146" w:name="_Toc208995332"/>
      <w:bookmarkStart w:id="147" w:name="_Toc209016923"/>
      <w:r>
        <w:rPr>
          <w:rStyle w:val="CharDivNo"/>
        </w:rPr>
        <w:t>Division 2</w:t>
      </w:r>
      <w:r>
        <w:t> — </w:t>
      </w:r>
      <w:r>
        <w:rPr>
          <w:rStyle w:val="CharDivText"/>
        </w:rPr>
        <w:t xml:space="preserve">Transitional provision for </w:t>
      </w:r>
      <w:r>
        <w:rPr>
          <w:rStyle w:val="CharDivText"/>
          <w:i/>
          <w:iCs/>
        </w:rPr>
        <w:t>Vocational Education and Training (General) Amendment Regulations (No. 2) 2025</w:t>
      </w:r>
      <w:bookmarkEnd w:id="142"/>
      <w:bookmarkEnd w:id="143"/>
      <w:bookmarkEnd w:id="144"/>
      <w:bookmarkEnd w:id="145"/>
      <w:bookmarkEnd w:id="146"/>
      <w:bookmarkEnd w:id="147"/>
    </w:p>
    <w:p>
      <w:pPr>
        <w:pStyle w:val="Footnoteheading"/>
      </w:pPr>
      <w:bookmarkStart w:id="148" w:name="_Toc208493879"/>
      <w:bookmarkStart w:id="149" w:name="_Toc208494225"/>
      <w:r>
        <w:tab/>
        <w:t>[Heading inserted: SL 2025/165 r. 24.]</w:t>
      </w:r>
    </w:p>
    <w:p>
      <w:pPr>
        <w:pStyle w:val="Heading5"/>
      </w:pPr>
      <w:bookmarkStart w:id="150" w:name="_Toc209016924"/>
      <w:r>
        <w:rPr>
          <w:rStyle w:val="CharSectno"/>
        </w:rPr>
        <w:t>64</w:t>
      </w:r>
      <w:r>
        <w:t>.</w:t>
      </w:r>
      <w:r>
        <w:tab/>
        <w:t>Pre</w:t>
      </w:r>
      <w:r>
        <w:noBreakHyphen/>
        <w:t>commencement regulations apply to particular matters during and after transitional period</w:t>
      </w:r>
      <w:bookmarkEnd w:id="148"/>
      <w:bookmarkEnd w:id="149"/>
      <w:bookmarkEnd w:id="150"/>
    </w:p>
    <w:p>
      <w:pPr>
        <w:pStyle w:val="Subsection"/>
      </w:pPr>
      <w:r>
        <w:tab/>
        <w:t>(1)</w:t>
      </w:r>
      <w:r>
        <w:tab/>
        <w:t xml:space="preserve">In this regulation — </w:t>
      </w:r>
    </w:p>
    <w:p>
      <w:pPr>
        <w:pStyle w:val="Defstart"/>
      </w:pPr>
      <w:r>
        <w:tab/>
      </w:r>
      <w:r>
        <w:rPr>
          <w:rStyle w:val="CharDefText"/>
        </w:rPr>
        <w:t>pre</w:t>
      </w:r>
      <w:r>
        <w:rPr>
          <w:rStyle w:val="CharDefText"/>
        </w:rPr>
        <w:noBreakHyphen/>
        <w:t>commencement regulations</w:t>
      </w:r>
      <w:r>
        <w:t xml:space="preserve"> means these regulations as in force immediately before 1 October 2025;</w:t>
      </w:r>
    </w:p>
    <w:p>
      <w:pPr>
        <w:pStyle w:val="Defstart"/>
      </w:pPr>
      <w:r>
        <w:tab/>
      </w:r>
      <w:r>
        <w:rPr>
          <w:rStyle w:val="CharDefText"/>
        </w:rPr>
        <w:t>transitional period</w:t>
      </w:r>
      <w:r>
        <w:rPr>
          <w:b/>
          <w:i/>
        </w:rPr>
        <w:t xml:space="preserve"> </w:t>
      </w:r>
      <w:r>
        <w:t>means the period beginning on 1 October 2025 and ending on 31 December 2025.</w:t>
      </w:r>
    </w:p>
    <w:p>
      <w:pPr>
        <w:pStyle w:val="Subsection"/>
      </w:pPr>
      <w:r>
        <w:lastRenderedPageBreak/>
        <w:tab/>
        <w:t>(2)</w:t>
      </w:r>
      <w:r>
        <w:tab/>
        <w:t xml:space="preserve">Despite the amendments made by the </w:t>
      </w:r>
      <w:r>
        <w:rPr>
          <w:i/>
          <w:iCs/>
        </w:rPr>
        <w:t>Vocational Education and Training (General) Amendment Regulations (No. 2) 2025</w:t>
      </w:r>
      <w:r>
        <w:t xml:space="preserve"> — </w:t>
      </w:r>
    </w:p>
    <w:p>
      <w:pPr>
        <w:pStyle w:val="Indenta"/>
      </w:pPr>
      <w:r>
        <w:tab/>
        <w:t>(a)</w:t>
      </w:r>
      <w:r>
        <w:tab/>
        <w:t>the pre</w:t>
      </w:r>
      <w:r>
        <w:noBreakHyphen/>
        <w:t>commencement regulations continue to apply during the transitional period; and</w:t>
      </w:r>
    </w:p>
    <w:p>
      <w:pPr>
        <w:pStyle w:val="Indenta"/>
      </w:pPr>
      <w:r>
        <w:tab/>
        <w:t>(b)</w:t>
      </w:r>
      <w:r>
        <w:tab/>
        <w:t>the pre</w:t>
      </w:r>
      <w:r>
        <w:noBreakHyphen/>
        <w:t xml:space="preserve">commencement regulations also continue to apply on and from 1 January 2026 in relation to the following — </w:t>
      </w:r>
    </w:p>
    <w:p>
      <w:pPr>
        <w:pStyle w:val="Indenti"/>
      </w:pPr>
      <w:r>
        <w:tab/>
        <w:t>(i)</w:t>
      </w:r>
      <w:r>
        <w:tab/>
        <w:t xml:space="preserve">a training provider application made, but not decided, before the end of the transitional period; </w:t>
      </w:r>
    </w:p>
    <w:p>
      <w:pPr>
        <w:pStyle w:val="Indenti"/>
      </w:pPr>
      <w:r>
        <w:tab/>
        <w:t>(ii)</w:t>
      </w:r>
      <w:r>
        <w:tab/>
        <w:t>an audit as defined in regulation 24 of the pre</w:t>
      </w:r>
      <w:r>
        <w:noBreakHyphen/>
        <w:t xml:space="preserve">commencement regulations commenced before the end of the transitional period; </w:t>
      </w:r>
    </w:p>
    <w:p>
      <w:pPr>
        <w:pStyle w:val="Indenti"/>
      </w:pPr>
      <w:r>
        <w:tab/>
        <w:t>(iii)</w:t>
      </w:r>
      <w:r>
        <w:tab/>
        <w:t>a compliance audit as defined in regulation 24 of the pre</w:t>
      </w:r>
      <w:r>
        <w:noBreakHyphen/>
        <w:t>commencement regulations commenced before the end of the transitional period;</w:t>
      </w:r>
    </w:p>
    <w:p>
      <w:pPr>
        <w:pStyle w:val="Indenti"/>
      </w:pPr>
      <w:r>
        <w:tab/>
        <w:t>(iv)</w:t>
      </w:r>
      <w:r>
        <w:tab/>
        <w:t>an investigation as defined in regulation 24 of the pre</w:t>
      </w:r>
      <w:r>
        <w:noBreakHyphen/>
        <w:t>commencement regulations commenced before the end of the transitional period.</w:t>
      </w:r>
    </w:p>
    <w:p>
      <w:pPr>
        <w:pStyle w:val="Footnoteheading"/>
      </w:pPr>
      <w:r>
        <w:tab/>
        <w:t>[Regulation 64 inserted: SL 2025/165 r. 24.]</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51" w:name="_Toc208842452"/>
      <w:bookmarkStart w:id="152" w:name="_Toc208843874"/>
      <w:bookmarkStart w:id="153" w:name="_Toc208995334"/>
      <w:bookmarkStart w:id="154" w:name="_Toc209016925"/>
      <w:r>
        <w:rPr>
          <w:rStyle w:val="CharSchNo"/>
        </w:rPr>
        <w:lastRenderedPageBreak/>
        <w:t>Schedule 1</w:t>
      </w:r>
      <w:r>
        <w:t> — </w:t>
      </w:r>
      <w:r>
        <w:rPr>
          <w:rStyle w:val="CharSchText"/>
        </w:rPr>
        <w:t>Training contract</w:t>
      </w:r>
      <w:bookmarkEnd w:id="151"/>
      <w:bookmarkEnd w:id="152"/>
      <w:bookmarkEnd w:id="153"/>
      <w:bookmarkEnd w:id="154"/>
    </w:p>
    <w:p>
      <w:pPr>
        <w:pStyle w:val="yShoulderClause"/>
      </w:pPr>
      <w:r>
        <w:t>[r. 38]</w:t>
      </w:r>
    </w:p>
    <w:p>
      <w:pPr>
        <w:pStyle w:val="yFootnoteheading"/>
      </w:pPr>
      <w:r>
        <w:tab/>
        <w:t>[Heading inserted: Gazette 5 Dec 2014 p. 4526.]</w:t>
      </w:r>
    </w:p>
    <w:p>
      <w:pPr>
        <w:pStyle w:val="yMiscellaneousBody"/>
        <w:keepNext/>
        <w:keepLines/>
        <w:ind w:firstLine="2410"/>
        <w:rPr>
          <w:rFonts w:ascii="Arial" w:hAnsi="Arial" w:cs="Arial"/>
        </w:rPr>
      </w:pPr>
      <w:r>
        <w:rPr>
          <w:rFonts w:ascii="Arial" w:hAnsi="Arial" w:cs="Arial"/>
        </w:rPr>
        <w:t>Apprenticeship/Traineeship</w:t>
      </w:r>
    </w:p>
    <w:p>
      <w:pPr>
        <w:pStyle w:val="yMiscellaneousBody"/>
        <w:keepNext/>
        <w:keepLines/>
        <w:spacing w:before="0"/>
        <w:ind w:firstLine="2410"/>
        <w:rPr>
          <w:rFonts w:ascii="Arial" w:hAnsi="Arial" w:cs="Arial"/>
          <w:b/>
          <w:bCs/>
        </w:rPr>
      </w:pPr>
      <w:r>
        <w:rPr>
          <w:rFonts w:ascii="Arial" w:hAnsi="Arial" w:cs="Arial"/>
          <w:b/>
          <w:bCs/>
          <w:sz w:val="24"/>
        </w:rPr>
        <w:t>Training Contract</w:t>
      </w:r>
    </w:p>
    <w:p>
      <w:pPr>
        <w:pStyle w:val="yMiscellaneousBody"/>
        <w:spacing w:before="0"/>
        <w:ind w:firstLine="2410"/>
        <w:rPr>
          <w:rFonts w:ascii="Arial" w:hAnsi="Arial" w:cs="Arial"/>
        </w:rPr>
      </w:pPr>
      <w:r>
        <w:rPr>
          <w:rFonts w:ascii="Arial" w:hAnsi="Arial" w:cs="Arial"/>
        </w:rPr>
        <w:t>Western Australia</w:t>
      </w:r>
    </w:p>
    <w:p>
      <w:pPr>
        <w:pStyle w:val="yMiscellaneousBody"/>
        <w:spacing w:before="0"/>
        <w:ind w:firstLine="2410"/>
        <w:rPr>
          <w:rFonts w:ascii="Arial" w:hAnsi="Arial" w:cs="Arial"/>
        </w:rPr>
      </w:pPr>
      <w:r>
        <w:rPr>
          <w:rFonts w:ascii="Arial" w:hAnsi="Arial" w:cs="Arial"/>
        </w:rPr>
        <w:t>including</w:t>
      </w:r>
    </w:p>
    <w:p>
      <w:pPr>
        <w:pStyle w:val="yMiscellaneousBody"/>
        <w:keepNext/>
        <w:keepLines/>
        <w:spacing w:before="0"/>
        <w:ind w:firstLine="2410"/>
        <w:rPr>
          <w:rFonts w:ascii="Arial" w:hAnsi="Arial" w:cs="Arial"/>
        </w:rPr>
      </w:pPr>
      <w:r>
        <w:rPr>
          <w:rFonts w:ascii="Arial" w:hAnsi="Arial" w:cs="Arial"/>
        </w:rPr>
        <w:t>Assessment for Australian Government</w:t>
      </w:r>
    </w:p>
    <w:p>
      <w:pPr>
        <w:pStyle w:val="yMiscellaneousBody"/>
        <w:spacing w:before="0"/>
        <w:ind w:firstLine="2410"/>
        <w:rPr>
          <w:rFonts w:ascii="Arial" w:hAnsi="Arial" w:cs="Arial"/>
        </w:rPr>
      </w:pPr>
      <w:r>
        <w:rPr>
          <w:rFonts w:ascii="Arial" w:hAnsi="Arial" w:cs="Arial"/>
        </w:rPr>
        <w:t>Australian Apprenticeships Incentives.</w:t>
      </w:r>
    </w:p>
    <w:p>
      <w:pPr>
        <w:pStyle w:val="yMiscellaneousBody"/>
        <w:tabs>
          <w:tab w:val="left" w:pos="2410"/>
        </w:tabs>
        <w:spacing w:before="0"/>
        <w:ind w:left="2410"/>
        <w:rPr>
          <w:rFonts w:ascii="Arial" w:hAnsi="Arial" w:cs="Arial"/>
        </w:rPr>
      </w:pPr>
      <w:r>
        <w:rPr>
          <w:rFonts w:ascii="Arial" w:hAnsi="Arial" w:cs="Arial"/>
        </w:rPr>
        <w:t>This contract must be completed with the assistance of an Australian Apprenticeships Centre.</w:t>
      </w:r>
    </w:p>
    <w:p>
      <w:pPr>
        <w:pStyle w:val="yMiscellaneousBody"/>
        <w:spacing w:before="0"/>
        <w:ind w:firstLine="2410"/>
        <w:rPr>
          <w:rFonts w:ascii="Arial" w:hAnsi="Arial" w:cs="Arial"/>
        </w:rPr>
      </w:pPr>
      <w:r>
        <w:rPr>
          <w:rFonts w:ascii="Arial" w:hAnsi="Arial" w:cs="Arial"/>
        </w:rPr>
        <w:t>This is a free service.</w:t>
      </w:r>
    </w:p>
    <w:p>
      <w:pPr>
        <w:pStyle w:val="yMiscellaneousBody"/>
        <w:spacing w:before="40"/>
        <w:ind w:left="284"/>
        <w:rPr>
          <w:rFonts w:ascii="Arial" w:hAnsi="Arial" w:cs="Arial"/>
        </w:rPr>
      </w:pPr>
      <w:r>
        <w:rPr>
          <w:rFonts w:ascii="Arial" w:hAnsi="Arial" w:cs="Arial"/>
        </w:rPr>
        <w:t>Please read this before completing the Training Contract.</w:t>
      </w:r>
    </w:p>
    <w:p>
      <w:pPr>
        <w:pStyle w:val="yMiscellaneousBody"/>
        <w:spacing w:before="40"/>
        <w:ind w:left="284"/>
        <w:rPr>
          <w:rFonts w:ascii="Arial" w:hAnsi="Arial" w:cs="Arial"/>
          <w:b/>
        </w:rPr>
      </w:pPr>
      <w:r>
        <w:rPr>
          <w:rFonts w:ascii="Arial" w:hAnsi="Arial" w:cs="Arial"/>
          <w:b/>
        </w:rPr>
        <w:t>This Training Contract must be completed with the assistance of your chosen Australian Apprenticeships Centre.</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rPr>
        <w:t>13 38 73</w:t>
      </w:r>
      <w:r>
        <w:rPr>
          <w:rFonts w:ascii="Arial" w:hAnsi="Arial" w:cs="Arial"/>
        </w:rPr>
        <w:t>; or</w:t>
      </w:r>
    </w:p>
    <w:p>
      <w:pPr>
        <w:pStyle w:val="yMiscellaneousBody"/>
        <w:spacing w:before="40"/>
        <w:ind w:left="709"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rPr>
        <w:t>www.australianapprenticeships.gov.au</w:t>
      </w:r>
    </w:p>
    <w:p>
      <w:pPr>
        <w:pStyle w:val="yMiscellaneousBody"/>
        <w:spacing w:before="120"/>
        <w:rPr>
          <w:rFonts w:ascii="Arial" w:hAnsi="Arial" w:cs="Arial"/>
        </w:rPr>
      </w:pPr>
      <w:r>
        <w:rPr>
          <w:rFonts w:ascii="Arial" w:hAnsi="Arial" w:cs="Arial"/>
        </w:rPr>
        <w:t>Australian Apprenticeships Centres are contracted by the Australian Government Department of Industry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12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120"/>
        <w:rPr>
          <w:rFonts w:ascii="Arial" w:hAnsi="Arial" w:cs="Arial"/>
          <w:b/>
          <w:bCs/>
          <w:szCs w:val="22"/>
        </w:rPr>
      </w:pPr>
      <w:r>
        <w:rPr>
          <w:rFonts w:ascii="Arial" w:hAnsi="Arial" w:cs="Arial"/>
          <w:b/>
          <w:bCs/>
          <w:szCs w:val="22"/>
        </w:rPr>
        <w:t>Before completing the Training Contract please read the following sections: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Information You Need to Know </w:t>
      </w:r>
      <w:r>
        <w:rPr>
          <w:rFonts w:ascii="Arial" w:hAnsi="Arial" w:cs="Arial"/>
          <w:szCs w:val="22"/>
        </w:rPr>
        <w:t xml:space="preserve">and </w:t>
      </w:r>
      <w:r>
        <w:rPr>
          <w:rFonts w:ascii="Arial" w:hAnsi="Arial" w:cs="Arial"/>
          <w:b/>
          <w:bCs/>
          <w:szCs w:val="22"/>
        </w:rPr>
        <w:t>Information to Help Complete the Training Contract</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
          <w:bCs/>
          <w:szCs w:val="22"/>
        </w:rPr>
        <w:t xml:space="preserve">Training Contract Declaration </w:t>
      </w:r>
      <w:r>
        <w:rPr>
          <w:rFonts w:ascii="Arial" w:hAnsi="Arial" w:cs="Arial"/>
          <w:szCs w:val="22"/>
        </w:rPr>
        <w:t xml:space="preserve">and </w:t>
      </w:r>
      <w:r>
        <w:rPr>
          <w:rFonts w:ascii="Arial" w:hAnsi="Arial" w:cs="Arial"/>
          <w:b/>
          <w:bCs/>
          <w:szCs w:val="22"/>
        </w:rPr>
        <w:t>Obligations</w:t>
      </w:r>
      <w:r>
        <w:rPr>
          <w:rFonts w:ascii="Arial" w:hAnsi="Arial" w:cs="Arial"/>
          <w:szCs w:val="22"/>
        </w:rPr>
        <w:t>.</w:t>
      </w:r>
    </w:p>
    <w:p>
      <w:pPr>
        <w:pStyle w:val="yMiscellaneousBody"/>
        <w:spacing w:before="120"/>
        <w:ind w:left="425" w:hanging="425"/>
        <w:rPr>
          <w:rFonts w:ascii="Arial" w:hAnsi="Arial" w:cs="Arial"/>
          <w:szCs w:val="22"/>
        </w:rPr>
      </w:pPr>
      <w:r>
        <w:rPr>
          <w:rFonts w:ascii="Arial" w:hAnsi="Arial" w:cs="Arial"/>
          <w:szCs w:val="22"/>
        </w:rPr>
        <w:lastRenderedPageBreak/>
        <w:t>•</w:t>
      </w:r>
      <w:r>
        <w:rPr>
          <w:rFonts w:ascii="Arial" w:hAnsi="Arial" w:cs="Arial"/>
          <w:szCs w:val="22"/>
        </w:rPr>
        <w:tab/>
      </w:r>
      <w:r>
        <w:rPr>
          <w:rFonts w:ascii="Arial" w:hAnsi="Arial" w:cs="Arial"/>
          <w:b/>
          <w:bCs/>
          <w:szCs w:val="22"/>
        </w:rPr>
        <w:t>Information on Australian Government Australian Apprenticeships Incentives</w:t>
      </w:r>
      <w:r>
        <w:rPr>
          <w:rFonts w:ascii="Arial" w:hAnsi="Arial" w:cs="Arial"/>
          <w:szCs w:val="22"/>
        </w:rPr>
        <w:t>.</w:t>
      </w:r>
    </w:p>
    <w:p>
      <w:pPr>
        <w:pStyle w:val="yMiscellaneousBody"/>
        <w:spacing w:before="120"/>
        <w:rPr>
          <w:rFonts w:ascii="Arial" w:hAnsi="Arial" w:cs="Arial"/>
          <w:szCs w:val="22"/>
        </w:rPr>
      </w:pPr>
      <w:r>
        <w:rPr>
          <w:rFonts w:ascii="Arial" w:hAnsi="Arial" w:cs="Arial"/>
          <w:szCs w:val="22"/>
        </w:rPr>
        <w:t xml:space="preserve">If </w:t>
      </w:r>
      <w:r>
        <w:rPr>
          <w:rFonts w:ascii="Arial" w:hAnsi="Arial" w:cs="Arial"/>
        </w:rPr>
        <w:t>filling</w:t>
      </w:r>
      <w:r>
        <w:rPr>
          <w:rFonts w:ascii="Arial" w:hAnsi="Arial" w:cs="Arial"/>
          <w:szCs w:val="22"/>
        </w:rPr>
        <w:t xml:space="preserve"> this </w:t>
      </w:r>
      <w:r>
        <w:rPr>
          <w:rFonts w:ascii="Arial" w:hAnsi="Arial" w:cs="Arial"/>
        </w:rPr>
        <w:t>Contract</w:t>
      </w:r>
      <w:r>
        <w:rPr>
          <w:rFonts w:ascii="Arial" w:hAnsi="Arial" w:cs="Arial"/>
          <w:szCs w:val="22"/>
        </w:rPr>
        <w:t xml:space="preserve"> out by hand, please write clearly, in BLOCK LETTERS, and push firmly with a ball point pen.  Do not use correction fluid. Cross out the error and write the correct information above it.</w:t>
      </w:r>
    </w:p>
    <w:p>
      <w:pPr>
        <w:pStyle w:val="yMiscellaneousBody"/>
        <w:spacing w:before="120"/>
        <w:rPr>
          <w:rFonts w:ascii="Arial" w:hAnsi="Arial" w:cs="Arial"/>
          <w:b/>
          <w:bCs/>
          <w:szCs w:val="22"/>
        </w:rPr>
      </w:pPr>
      <w:r>
        <w:rPr>
          <w:rFonts w:ascii="Arial" w:hAnsi="Arial" w:cs="Arial"/>
          <w:b/>
          <w:bCs/>
          <w:szCs w:val="22"/>
        </w:rPr>
        <w:t>ALL corrections must be initialled by all parties to the Contract.</w:t>
      </w:r>
    </w:p>
    <w:p>
      <w:pPr>
        <w:pStyle w:val="yMiscellaneousBody"/>
        <w:spacing w:before="120"/>
        <w:rPr>
          <w:rFonts w:ascii="Arial" w:hAnsi="Arial" w:cs="Arial"/>
          <w:b/>
          <w:bCs/>
          <w:szCs w:val="22"/>
        </w:rPr>
      </w:pPr>
      <w:r>
        <w:rPr>
          <w:rFonts w:ascii="Arial" w:hAnsi="Arial" w:cs="Arial"/>
          <w:b/>
          <w:bCs/>
          <w:szCs w:val="22"/>
        </w:rPr>
        <w:t>When the Training Contract is completed your Australian Apprenticeships Centre will lodge it for approval/registration with the relevant State/Territory Training Authority.</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r>
      <w:r>
        <w:rPr>
          <w:rFonts w:ascii="Arial" w:hAnsi="Arial" w:cs="Arial"/>
          <w:bCs/>
          <w:szCs w:val="22"/>
        </w:rPr>
        <w:t>You</w:t>
      </w:r>
      <w:r>
        <w:rPr>
          <w:rFonts w:ascii="Arial" w:hAnsi="Arial" w:cs="Arial"/>
          <w:szCs w:val="22"/>
        </w:rPr>
        <w:t xml:space="preserve"> should give the original Training Contract with original signatures to your Australian Apprenticeships Centre.</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keep a copy of the Training Contract for your records.</w:t>
      </w:r>
    </w:p>
    <w:p>
      <w:pPr>
        <w:pStyle w:val="yMiscellaneousBody"/>
        <w:spacing w:before="120"/>
        <w:ind w:left="425" w:hanging="425"/>
        <w:rPr>
          <w:rFonts w:ascii="Arial" w:hAnsi="Arial" w:cs="Arial"/>
          <w:szCs w:val="22"/>
        </w:rPr>
      </w:pPr>
      <w:r>
        <w:rPr>
          <w:rFonts w:ascii="Arial" w:hAnsi="Arial" w:cs="Arial"/>
          <w:szCs w:val="22"/>
        </w:rPr>
        <w:t>•</w:t>
      </w:r>
      <w:r>
        <w:rPr>
          <w:rFonts w:ascii="Arial" w:hAnsi="Arial" w:cs="Arial"/>
          <w:szCs w:val="22"/>
        </w:rPr>
        <w:tab/>
        <w:t>You should give your apprentice or trainee a copy of the Training Contract.</w:t>
      </w:r>
    </w:p>
    <w:p>
      <w:pPr>
        <w:pStyle w:val="yMiscellaneousBody"/>
        <w:spacing w:before="120"/>
        <w:rPr>
          <w:rFonts w:ascii="Arial" w:hAnsi="Arial" w:cs="Arial"/>
          <w:b/>
          <w:bCs/>
          <w:szCs w:val="22"/>
        </w:rPr>
      </w:pPr>
      <w:r>
        <w:rPr>
          <w:rFonts w:ascii="Arial" w:hAnsi="Arial" w:cs="Arial"/>
          <w:b/>
          <w:bCs/>
          <w:szCs w:val="22"/>
        </w:rPr>
        <w:t>An unsigned or incomplete Training Contract cannot be processed and will be returned for completion. Before you lodge it, make sure you have taken the steps in the following checklist: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Additional information and/or evidence required by questions 21, 22 and 24 is provided if necessary.</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The employer, the apprentice/trainee, and any guardian or parent as required, have all read, signed and dated the Training Contract.</w:t>
      </w:r>
    </w:p>
    <w:p>
      <w:pPr>
        <w:pStyle w:val="yMiscellaneousBody"/>
        <w:ind w:left="426" w:hanging="426"/>
        <w:rPr>
          <w:rFonts w:ascii="Arial" w:hAnsi="Arial" w:cs="Arial"/>
          <w:szCs w:val="22"/>
        </w:rPr>
      </w:pPr>
      <w:r>
        <w:rPr>
          <w:rFonts w:ascii="Arial" w:hAnsi="Arial" w:cs="Arial"/>
          <w:szCs w:val="22"/>
        </w:rPr>
        <w:sym w:font="Monotype Sorts" w:char="F070"/>
      </w:r>
      <w:r>
        <w:rPr>
          <w:rFonts w:ascii="Arial" w:hAnsi="Arial" w:cs="Arial"/>
          <w:szCs w:val="22"/>
        </w:rPr>
        <w:tab/>
        <w:t>Any alterations to any part of the document are initialled by all those who sign the Training Contract.</w:t>
      </w:r>
    </w:p>
    <w:p>
      <w:pPr>
        <w:pStyle w:val="yMiscellaneousBody"/>
        <w:spacing w:before="120"/>
        <w:rPr>
          <w:rFonts w:ascii="Arial" w:hAnsi="Arial" w:cs="Arial"/>
          <w:b/>
          <w:bCs/>
          <w:szCs w:val="22"/>
        </w:rPr>
      </w:pPr>
      <w:r>
        <w:rPr>
          <w:rFonts w:ascii="Arial" w:hAnsi="Arial" w:cs="Arial"/>
          <w:b/>
          <w:bCs/>
          <w:szCs w:val="22"/>
        </w:rPr>
        <w:t>Contacts for Further Information &amp; Assistance</w:t>
      </w:r>
    </w:p>
    <w:p>
      <w:pPr>
        <w:pStyle w:val="yMiscellaneousBody"/>
        <w:keepNext/>
        <w:spacing w:before="200"/>
        <w:rPr>
          <w:rFonts w:ascii="Arial" w:hAnsi="Arial" w:cs="Arial"/>
          <w:b/>
          <w:bCs/>
          <w:sz w:val="18"/>
          <w:szCs w:val="18"/>
        </w:rPr>
      </w:pPr>
      <w:r>
        <w:rPr>
          <w:rFonts w:ascii="Arial" w:hAnsi="Arial" w:cs="Arial"/>
          <w:b/>
          <w:bCs/>
          <w:sz w:val="18"/>
          <w:szCs w:val="18"/>
        </w:rPr>
        <w:t>Australian Apprenticeships Centres</w:t>
      </w:r>
    </w:p>
    <w:p>
      <w:pPr>
        <w:pStyle w:val="yMiscellaneousBody"/>
        <w:ind w:left="426" w:hanging="426"/>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administer Australian Government incentive payments to employers and allowances for apprentices/trainees;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provide information on Australian Apprenticeships options to employers and other interested people;</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market and promote Australian Apprenticeships;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work with the State/Territory government department or agency to provide an integrated service;</w:t>
      </w:r>
    </w:p>
    <w:p>
      <w:pPr>
        <w:pStyle w:val="yMiscellaneousBody"/>
        <w:ind w:left="426" w:hanging="426"/>
        <w:rPr>
          <w:rFonts w:ascii="Arial" w:hAnsi="Arial" w:cs="Arial"/>
          <w:sz w:val="18"/>
          <w:szCs w:val="22"/>
        </w:rPr>
      </w:pPr>
      <w:r>
        <w:rPr>
          <w:rFonts w:ascii="Arial" w:hAnsi="Arial" w:cs="Arial"/>
          <w:sz w:val="18"/>
          <w:szCs w:val="22"/>
        </w:rPr>
        <w:lastRenderedPageBreak/>
        <w:t>•</w:t>
      </w:r>
      <w:r>
        <w:rPr>
          <w:rFonts w:ascii="Arial" w:hAnsi="Arial" w:cs="Arial"/>
          <w:sz w:val="18"/>
          <w:szCs w:val="22"/>
        </w:rPr>
        <w:tab/>
        <w:t>work with training providers, schools and other organisations to support Australian Apprenticeships; and</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provide support to employers and Australian Apprentices throughout the Australian Apprenticeship to encourage successful completion.</w:t>
      </w:r>
    </w:p>
    <w:p>
      <w:pPr>
        <w:pStyle w:val="yMiscellaneousBody"/>
        <w:ind w:left="426" w:hanging="426"/>
        <w:rPr>
          <w:rFonts w:ascii="Arial" w:hAnsi="Arial" w:cs="Arial"/>
          <w:sz w:val="18"/>
          <w:szCs w:val="22"/>
        </w:rPr>
      </w:pPr>
      <w:r>
        <w:rPr>
          <w:rFonts w:ascii="Arial" w:hAnsi="Arial" w:cs="Arial"/>
          <w:sz w:val="18"/>
          <w:szCs w:val="22"/>
        </w:rPr>
        <w:t>Australian Apprenticeships Centres are located throughout each State and Territory.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Find an Australian Apprenticeships Centre in your region by calling 13 38 73; or</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Visit the Australian Apprenticeships website at www.australianapprenticeships.gov.au</w:t>
      </w:r>
    </w:p>
    <w:p>
      <w:pPr>
        <w:pStyle w:val="yMiscellaneousBody"/>
        <w:ind w:left="426" w:hanging="426"/>
        <w:rPr>
          <w:rFonts w:ascii="Arial" w:hAnsi="Arial" w:cs="Arial"/>
          <w:b/>
          <w:bCs/>
          <w:sz w:val="18"/>
          <w:szCs w:val="18"/>
        </w:rPr>
      </w:pPr>
      <w:r>
        <w:rPr>
          <w:rFonts w:ascii="Arial" w:hAnsi="Arial" w:cs="Arial"/>
          <w:b/>
          <w:sz w:val="18"/>
          <w:szCs w:val="22"/>
        </w:rPr>
        <w:t>Western</w:t>
      </w:r>
      <w:r>
        <w:rPr>
          <w:rFonts w:ascii="Arial" w:hAnsi="Arial" w:cs="Arial"/>
          <w:b/>
          <w:bCs/>
          <w:sz w:val="18"/>
          <w:szCs w:val="22"/>
        </w:rPr>
        <w:t xml:space="preserve"> Australia Government</w:t>
      </w:r>
    </w:p>
    <w:p>
      <w:pPr>
        <w:pStyle w:val="yMiscellaneousBody"/>
        <w:ind w:firstLine="567"/>
        <w:rPr>
          <w:rFonts w:ascii="Arial" w:hAnsi="Arial" w:cs="Arial"/>
          <w:b/>
          <w:bCs/>
          <w:sz w:val="18"/>
          <w:szCs w:val="22"/>
        </w:rPr>
      </w:pPr>
      <w:r>
        <w:rPr>
          <w:rFonts w:ascii="Arial" w:hAnsi="Arial" w:cs="Arial"/>
          <w:b/>
          <w:bCs/>
          <w:sz w:val="18"/>
          <w:szCs w:val="22"/>
        </w:rPr>
        <w:t>Further information can be obtained from:</w:t>
      </w:r>
    </w:p>
    <w:p>
      <w:pPr>
        <w:pStyle w:val="yMiscellaneousBody"/>
        <w:ind w:firstLine="567"/>
        <w:rPr>
          <w:rFonts w:ascii="Arial" w:hAnsi="Arial" w:cs="Arial"/>
          <w:sz w:val="18"/>
          <w:szCs w:val="22"/>
        </w:rPr>
      </w:pPr>
      <w:r>
        <w:rPr>
          <w:rFonts w:ascii="Arial" w:hAnsi="Arial" w:cs="Arial"/>
          <w:sz w:val="18"/>
          <w:szCs w:val="22"/>
        </w:rPr>
        <w:t>Department of Training and Workforce Development</w:t>
      </w:r>
    </w:p>
    <w:p>
      <w:pPr>
        <w:pStyle w:val="yMiscellaneousBody"/>
        <w:ind w:firstLine="567"/>
        <w:rPr>
          <w:rFonts w:ascii="Arial" w:hAnsi="Arial" w:cs="Arial"/>
          <w:sz w:val="18"/>
          <w:szCs w:val="22"/>
        </w:rPr>
      </w:pPr>
      <w:r>
        <w:rPr>
          <w:rFonts w:ascii="Arial" w:hAnsi="Arial" w:cs="Arial"/>
          <w:sz w:val="18"/>
          <w:szCs w:val="22"/>
        </w:rPr>
        <w:t>Locked Bag 16, Osborne Park DC  WA  6916</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13 19 54</w:t>
      </w:r>
    </w:p>
    <w:p>
      <w:pPr>
        <w:pStyle w:val="yMiscellaneousBody"/>
        <w:ind w:firstLine="567"/>
        <w:rPr>
          <w:rFonts w:ascii="Arial" w:hAnsi="Arial" w:cs="Arial"/>
          <w:sz w:val="18"/>
          <w:szCs w:val="22"/>
        </w:rPr>
      </w:pPr>
      <w:r>
        <w:rPr>
          <w:rFonts w:ascii="Arial" w:hAnsi="Arial" w:cs="Arial"/>
          <w:b/>
          <w:bCs/>
          <w:sz w:val="18"/>
          <w:szCs w:val="22"/>
        </w:rPr>
        <w:t>Ph:</w:t>
      </w:r>
      <w:r>
        <w:rPr>
          <w:rFonts w:ascii="Arial" w:hAnsi="Arial" w:cs="Arial"/>
          <w:sz w:val="18"/>
          <w:szCs w:val="22"/>
        </w:rPr>
        <w:t xml:space="preserve"> (08) 6551 5499</w:t>
      </w:r>
    </w:p>
    <w:p>
      <w:pPr>
        <w:pStyle w:val="yMiscellaneousBody"/>
        <w:ind w:firstLine="567"/>
        <w:rPr>
          <w:rFonts w:ascii="Arial" w:hAnsi="Arial" w:cs="Arial"/>
          <w:sz w:val="18"/>
          <w:szCs w:val="22"/>
        </w:rPr>
      </w:pPr>
      <w:r>
        <w:rPr>
          <w:rFonts w:ascii="Arial" w:hAnsi="Arial" w:cs="Arial"/>
          <w:b/>
          <w:bCs/>
          <w:sz w:val="18"/>
          <w:szCs w:val="22"/>
        </w:rPr>
        <w:t>Fax:</w:t>
      </w:r>
      <w:r>
        <w:rPr>
          <w:rFonts w:ascii="Arial" w:hAnsi="Arial" w:cs="Arial"/>
          <w:sz w:val="18"/>
          <w:szCs w:val="22"/>
        </w:rPr>
        <w:t xml:space="preserve"> (08) 6551 5307</w:t>
      </w:r>
    </w:p>
    <w:p>
      <w:pPr>
        <w:pStyle w:val="yMiscellaneousBody"/>
        <w:ind w:firstLine="567"/>
        <w:rPr>
          <w:rFonts w:ascii="Arial" w:hAnsi="Arial" w:cs="Arial"/>
          <w:sz w:val="18"/>
          <w:szCs w:val="18"/>
        </w:rPr>
      </w:pPr>
      <w:r>
        <w:rPr>
          <w:rFonts w:ascii="Arial" w:hAnsi="Arial" w:cs="Arial"/>
          <w:b/>
          <w:bCs/>
          <w:sz w:val="18"/>
          <w:szCs w:val="22"/>
        </w:rPr>
        <w:t>Web:</w:t>
      </w:r>
      <w:r>
        <w:rPr>
          <w:rFonts w:ascii="Arial" w:hAnsi="Arial" w:cs="Arial"/>
          <w:sz w:val="18"/>
          <w:szCs w:val="22"/>
        </w:rPr>
        <w:t xml:space="preserve"> www.apprenticentre.wa.gov.au</w:t>
      </w:r>
    </w:p>
    <w:p>
      <w:pPr>
        <w:pStyle w:val="yMiscellaneousBody"/>
        <w:spacing w:before="200"/>
        <w:rPr>
          <w:rFonts w:ascii="Arial" w:hAnsi="Arial" w:cs="Arial"/>
          <w:b/>
          <w:bCs/>
          <w:szCs w:val="22"/>
        </w:rPr>
      </w:pPr>
      <w:r>
        <w:rPr>
          <w:rFonts w:ascii="Arial" w:hAnsi="Arial" w:cs="Arial"/>
          <w:b/>
          <w:bCs/>
          <w:szCs w:val="22"/>
        </w:rPr>
        <w:t>Training Contract</w:t>
      </w:r>
    </w:p>
    <w:p>
      <w:pPr>
        <w:pStyle w:val="yMiscellaneousBody"/>
        <w:spacing w:before="200"/>
        <w:rPr>
          <w:rFonts w:ascii="Arial" w:hAnsi="Arial" w:cs="Arial"/>
          <w:szCs w:val="22"/>
        </w:rPr>
      </w:pPr>
      <w:r>
        <w:rPr>
          <w:rFonts w:ascii="Arial" w:hAnsi="Arial" w:cs="Arial"/>
          <w:szCs w:val="22"/>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00"/>
        <w:rPr>
          <w:rFonts w:ascii="Arial" w:hAnsi="Arial" w:cs="Arial"/>
          <w:b/>
          <w:bCs/>
          <w:szCs w:val="22"/>
        </w:rPr>
      </w:pPr>
      <w:r>
        <w:rPr>
          <w:rFonts w:ascii="Arial" w:hAnsi="Arial" w:cs="Arial"/>
          <w:b/>
          <w:bCs/>
          <w:szCs w:val="22"/>
        </w:rPr>
        <w:t>Training Contract Declaration</w:t>
      </w:r>
    </w:p>
    <w:p>
      <w:pPr>
        <w:pStyle w:val="yMiscellaneousBody"/>
        <w:spacing w:before="200"/>
        <w:rPr>
          <w:rFonts w:ascii="Arial" w:hAnsi="Arial" w:cs="Arial"/>
          <w:szCs w:val="22"/>
        </w:rPr>
      </w:pPr>
      <w:r>
        <w:rPr>
          <w:rFonts w:ascii="Arial" w:hAnsi="Arial" w:cs="Arial"/>
          <w:szCs w:val="22"/>
        </w:rPr>
        <w:t xml:space="preserve">We, the employer, apprentice/trainee and parent or guardian (where applicable) have read and understood the </w:t>
      </w:r>
      <w:r>
        <w:rPr>
          <w:rFonts w:ascii="Arial" w:hAnsi="Arial" w:cs="Arial"/>
          <w:b/>
          <w:szCs w:val="22"/>
        </w:rPr>
        <w:t>Training Contract Obligations</w:t>
      </w:r>
      <w:r>
        <w:rPr>
          <w:rFonts w:ascii="Arial" w:hAnsi="Arial" w:cs="Arial"/>
          <w:szCs w:val="22"/>
        </w:rPr>
        <w:t xml:space="preserve"> outlined below.</w:t>
      </w:r>
    </w:p>
    <w:p>
      <w:pPr>
        <w:pStyle w:val="yMiscellaneousBody"/>
        <w:spacing w:before="200"/>
        <w:rPr>
          <w:rFonts w:ascii="Arial" w:hAnsi="Arial" w:cs="Arial"/>
          <w:szCs w:val="22"/>
        </w:rPr>
      </w:pPr>
      <w:r>
        <w:rPr>
          <w:rFonts w:ascii="Arial" w:hAnsi="Arial" w:cs="Arial"/>
          <w:szCs w:val="22"/>
        </w:rPr>
        <w:t>We declare that to the best of our knowledge the details entered on this Training Contract are true and correct. We understand that the giving of false or misleading information is a serious offence.</w:t>
      </w:r>
    </w:p>
    <w:p>
      <w:pPr>
        <w:pStyle w:val="yMiscellaneousBody"/>
        <w:keepNext/>
        <w:spacing w:before="200"/>
        <w:rPr>
          <w:rFonts w:ascii="Arial" w:hAnsi="Arial" w:cs="Arial"/>
          <w:szCs w:val="22"/>
        </w:rPr>
      </w:pPr>
      <w:r>
        <w:rPr>
          <w:rFonts w:ascii="Arial" w:hAnsi="Arial" w:cs="Arial"/>
          <w:szCs w:val="22"/>
        </w:rPr>
        <w:lastRenderedPageBreak/>
        <w:t>We understand that the information provided in this Training Contract:</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is collected for the purposes of registration, preparing statistics, reporting, program administration, monitoring and evaluation, calculating incentives and allowances paid to employers and apprentices/trainees and preventing dual payments;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be disclosed to and used for these purposes by the Australian Government, including the Department of Industry and Centrelink, State/Territory government departments and agencies, employers, our Australian Apprenticeships Centre, Registered Training Organisation (RTO), non</w:t>
      </w:r>
      <w:r>
        <w:rPr>
          <w:rFonts w:ascii="Arial" w:hAnsi="Arial" w:cs="Arial"/>
          <w:szCs w:val="22"/>
        </w:rPr>
        <w:noBreakHyphen/>
        <w:t>government education authorities and the contractors or agents of any of these organisations, departments and agencies;</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also be exchanged between the Department of Industry and Centrelink (for Youth Allowance, Austudy and ABSTUDY administration) to provide confirmation that the apprentice/trainee who signed this declaration is an Australian Apprentice;</w:t>
      </w:r>
    </w:p>
    <w:p>
      <w:pPr>
        <w:pStyle w:val="yMiscellaneousBody"/>
        <w:ind w:left="426" w:hanging="426"/>
        <w:rPr>
          <w:rFonts w:ascii="Arial" w:hAnsi="Arial" w:cs="Arial"/>
          <w:szCs w:val="22"/>
        </w:rPr>
      </w:pPr>
      <w:r>
        <w:rPr>
          <w:rFonts w:ascii="Arial" w:hAnsi="Arial" w:cs="Arial"/>
          <w:szCs w:val="22"/>
        </w:rPr>
        <w:t>•</w:t>
      </w:r>
      <w:r>
        <w:rPr>
          <w:rFonts w:ascii="Arial" w:hAnsi="Arial" w:cs="Arial"/>
          <w:szCs w:val="22"/>
        </w:rPr>
        <w:tab/>
        <w:t>may otherwise be disclosed without consent where authorised or required by law.</w:t>
      </w:r>
    </w:p>
    <w:p>
      <w:pPr>
        <w:pStyle w:val="yMiscellaneousBody"/>
        <w:spacing w:before="200"/>
        <w:rPr>
          <w:rFonts w:ascii="Arial" w:hAnsi="Arial" w:cs="Arial"/>
          <w:szCs w:val="22"/>
        </w:rPr>
      </w:pPr>
      <w:r>
        <w:rPr>
          <w:rFonts w:ascii="Arial" w:hAnsi="Arial" w:cs="Arial"/>
          <w:szCs w:val="22"/>
        </w:rPr>
        <w:t xml:space="preserve">We understand that this Apprenticeship/Traineeship Contract is legally binding in accordance with the </w:t>
      </w:r>
      <w:r>
        <w:rPr>
          <w:rFonts w:ascii="Arial" w:hAnsi="Arial" w:cs="Arial"/>
          <w:b/>
          <w:szCs w:val="22"/>
        </w:rPr>
        <w:t>Training Contract Obligations</w:t>
      </w:r>
      <w:r>
        <w:rPr>
          <w:rFonts w:ascii="Arial" w:hAnsi="Arial" w:cs="Arial"/>
          <w:szCs w:val="22"/>
        </w:rPr>
        <w:t xml:space="preserve"> set out below and the legislation of the State or Territory in which this Training Contract is to be registered.</w:t>
      </w:r>
    </w:p>
    <w:p>
      <w:pPr>
        <w:pStyle w:val="yMiscellaneousBody"/>
        <w:spacing w:before="200"/>
        <w:rPr>
          <w:rFonts w:ascii="Arial" w:hAnsi="Arial" w:cs="Arial"/>
          <w:szCs w:val="22"/>
        </w:rPr>
      </w:pPr>
      <w:r>
        <w:rPr>
          <w:rFonts w:ascii="Arial" w:hAnsi="Arial" w:cs="Arial"/>
          <w:szCs w:val="22"/>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200" w:after="240"/>
        <w:rPr>
          <w:rFonts w:ascii="Arial" w:hAnsi="Arial" w:cs="Arial"/>
          <w:szCs w:val="22"/>
        </w:rPr>
      </w:pPr>
      <w:r>
        <w:rPr>
          <w:rFonts w:ascii="Arial" w:hAnsi="Arial" w:cs="Arial"/>
          <w:szCs w:val="22"/>
        </w:rPr>
        <w:t>We undertake to negotiate and sign a Training Plan with the chosen RTO as required by the relevant State/Territory Training Authority.</w:t>
      </w:r>
    </w:p>
    <w:tbl>
      <w:tblPr>
        <w:tblW w:w="701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402"/>
        <w:gridCol w:w="3611"/>
      </w:tblGrid>
      <w:tr>
        <w:trPr>
          <w:cantSplit/>
        </w:trPr>
        <w:tc>
          <w:tcPr>
            <w:tcW w:w="7013" w:type="dxa"/>
            <w:gridSpan w:val="2"/>
            <w:tcBorders>
              <w:bottom w:val="nil"/>
            </w:tcBorders>
          </w:tcPr>
          <w:p>
            <w:pPr>
              <w:pStyle w:val="yTableNAm"/>
              <w:keepNext/>
              <w:rPr>
                <w:rFonts w:ascii="Arial" w:hAnsi="Arial"/>
                <w:b/>
                <w:bCs/>
                <w:sz w:val="20"/>
              </w:rPr>
            </w:pPr>
            <w:r>
              <w:rPr>
                <w:rFonts w:ascii="Arial" w:hAnsi="Arial"/>
                <w:b/>
                <w:bCs/>
                <w:sz w:val="20"/>
              </w:rPr>
              <w:lastRenderedPageBreak/>
              <w:t xml:space="preserve">The employer representative </w:t>
            </w:r>
            <w:r>
              <w:rPr>
                <w:rFonts w:ascii="Arial" w:hAnsi="Arial"/>
                <w:bCs/>
                <w:sz w:val="20"/>
              </w:rPr>
              <w:t>(on behalf of the employer named in Question 28)</w:t>
            </w:r>
          </w:p>
        </w:tc>
      </w:tr>
      <w:tr>
        <w:trPr>
          <w:cantSplit/>
        </w:trPr>
        <w:tc>
          <w:tcPr>
            <w:tcW w:w="3402" w:type="dxa"/>
            <w:tcBorders>
              <w:top w:val="nil"/>
              <w:bottom w:val="nil"/>
              <w:right w:val="nil"/>
            </w:tcBorders>
          </w:tcPr>
          <w:p>
            <w:pPr>
              <w:pStyle w:val="yTableNAm"/>
              <w:keepNext/>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rPr>
                <w:rFonts w:ascii="Arial" w:hAnsi="Arial"/>
                <w:b/>
                <w:bCs/>
                <w:sz w:val="20"/>
              </w:rPr>
            </w:pPr>
          </w:p>
        </w:tc>
        <w:tc>
          <w:tcPr>
            <w:tcW w:w="3611" w:type="dxa"/>
            <w:tcBorders>
              <w:top w:val="nil"/>
              <w:left w:val="nil"/>
              <w:bottom w:val="nil"/>
            </w:tcBorders>
          </w:tcPr>
          <w:p>
            <w:pPr>
              <w:pStyle w:val="yTableNAm"/>
              <w:keepNext/>
              <w:rPr>
                <w:rFonts w:ascii="Arial" w:hAnsi="Arial"/>
                <w:b/>
                <w:bCs/>
                <w:sz w:val="20"/>
              </w:rPr>
            </w:pPr>
            <w:r>
              <w:rPr>
                <w:rFonts w:ascii="Arial" w:hAnsi="Arial"/>
                <w:b/>
                <w:bCs/>
                <w:sz w:val="20"/>
              </w:rPr>
              <w:t xml:space="preserve">Given names </w:t>
            </w:r>
            <w:r>
              <w:rPr>
                <w:rFonts w:ascii="Arial" w:hAnsi="Arial"/>
                <w:bCs/>
                <w:sz w:val="20"/>
              </w:rPr>
              <w:t>(in full)</w:t>
            </w:r>
          </w:p>
          <w:p>
            <w:pPr>
              <w:pStyle w:val="yTableNAm"/>
              <w:keepNext/>
              <w:rPr>
                <w:rFonts w:ascii="Arial" w:hAnsi="Arial"/>
                <w:b/>
                <w:bCs/>
                <w:sz w:val="20"/>
              </w:rPr>
            </w:pP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Signature of employer representative</w:t>
            </w:r>
          </w:p>
        </w:tc>
      </w:tr>
      <w:tr>
        <w:trPr>
          <w:cantSplit/>
        </w:trPr>
        <w:tc>
          <w:tcPr>
            <w:tcW w:w="7013" w:type="dxa"/>
            <w:gridSpan w:val="2"/>
            <w:tcBorders>
              <w:bottom w:val="nil"/>
            </w:tcBorders>
          </w:tcPr>
          <w:p>
            <w:pPr>
              <w:pStyle w:val="yTableNAm"/>
              <w:keepNext/>
              <w:keepLines/>
              <w:rPr>
                <w:rFonts w:ascii="Arial" w:hAnsi="Arial"/>
                <w:b/>
                <w:bCs/>
                <w:sz w:val="20"/>
              </w:rPr>
            </w:pPr>
            <w:r>
              <w:rPr>
                <w:rFonts w:ascii="Arial" w:hAnsi="Arial"/>
                <w:b/>
                <w:bCs/>
                <w:sz w:val="20"/>
              </w:rPr>
              <w:t>The apprentice/trainee</w:t>
            </w: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 xml:space="preserve">Surname </w:t>
            </w:r>
            <w:r>
              <w:rPr>
                <w:rFonts w:ascii="Arial" w:hAnsi="Arial"/>
                <w:bCs/>
                <w:sz w:val="20"/>
              </w:rPr>
              <w:t>(family name)</w:t>
            </w:r>
          </w:p>
          <w:p>
            <w:pPr>
              <w:pStyle w:val="yTableNAm"/>
              <w:keepNext/>
              <w:keepLines/>
              <w:rPr>
                <w:rFonts w:ascii="Arial" w:hAnsi="Arial"/>
                <w:b/>
                <w:bCs/>
                <w:sz w:val="20"/>
              </w:rPr>
            </w:pP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Given names (in full)</w:t>
            </w:r>
          </w:p>
          <w:p>
            <w:pPr>
              <w:pStyle w:val="yTableNAm"/>
              <w:keepNext/>
              <w:keepLines/>
              <w:rPr>
                <w:rFonts w:ascii="Arial" w:hAnsi="Arial"/>
                <w:b/>
                <w:bCs/>
                <w:sz w:val="20"/>
              </w:rPr>
            </w:pPr>
          </w:p>
        </w:tc>
      </w:tr>
      <w:tr>
        <w:trPr>
          <w:cantSplit/>
        </w:trPr>
        <w:tc>
          <w:tcPr>
            <w:tcW w:w="3402" w:type="dxa"/>
            <w:tcBorders>
              <w:top w:val="nil"/>
              <w:bottom w:val="nil"/>
              <w:right w:val="nil"/>
            </w:tcBorders>
          </w:tcPr>
          <w:p>
            <w:pPr>
              <w:pStyle w:val="yTableNAm"/>
              <w:keepNext/>
              <w:keepLines/>
              <w:rPr>
                <w:rFonts w:ascii="Arial" w:hAnsi="Arial"/>
                <w:b/>
                <w:bCs/>
                <w:sz w:val="20"/>
              </w:rPr>
            </w:pPr>
            <w:r>
              <w:rPr>
                <w:rFonts w:ascii="Arial" w:hAnsi="Arial"/>
                <w:b/>
                <w:bCs/>
                <w:sz w:val="20"/>
              </w:rPr>
              <w:t>Signed this day:</w:t>
            </w:r>
          </w:p>
          <w:p>
            <w:pPr>
              <w:pStyle w:val="yTableNAm"/>
              <w:keepNext/>
              <w:keepLines/>
              <w:rPr>
                <w:rFonts w:ascii="Arial" w:hAnsi="Arial"/>
                <w:bCs/>
                <w:sz w:val="20"/>
              </w:rPr>
            </w:pPr>
            <w:r>
              <w:rPr>
                <w:rFonts w:ascii="Arial" w:hAnsi="Arial"/>
                <w:bCs/>
                <w:sz w:val="20"/>
              </w:rPr>
              <w:t>Day    /Month    /Year</w:t>
            </w:r>
          </w:p>
        </w:tc>
        <w:tc>
          <w:tcPr>
            <w:tcW w:w="3611" w:type="dxa"/>
            <w:tcBorders>
              <w:top w:val="nil"/>
              <w:left w:val="nil"/>
              <w:bottom w:val="nil"/>
            </w:tcBorders>
          </w:tcPr>
          <w:p>
            <w:pPr>
              <w:pStyle w:val="yTableNAm"/>
              <w:keepNext/>
              <w:keepLines/>
              <w:rPr>
                <w:rFonts w:ascii="Arial" w:hAnsi="Arial"/>
                <w:b/>
                <w:bCs/>
                <w:sz w:val="20"/>
              </w:rPr>
            </w:pPr>
            <w:r>
              <w:rPr>
                <w:rFonts w:ascii="Arial" w:hAnsi="Arial"/>
                <w:b/>
                <w:bCs/>
                <w:sz w:val="20"/>
              </w:rPr>
              <w:t>Signature of apprentice/trainee</w:t>
            </w:r>
          </w:p>
        </w:tc>
      </w:tr>
      <w:tr>
        <w:trPr>
          <w:cantSplit/>
        </w:trPr>
        <w:tc>
          <w:tcPr>
            <w:tcW w:w="3402" w:type="dxa"/>
            <w:tcBorders>
              <w:top w:val="nil"/>
              <w:bottom w:val="single" w:sz="4" w:space="0" w:color="auto"/>
              <w:right w:val="nil"/>
            </w:tcBorders>
          </w:tcPr>
          <w:p>
            <w:pPr>
              <w:pStyle w:val="yTableNAm"/>
              <w:rPr>
                <w:rFonts w:ascii="Arial" w:hAnsi="Arial"/>
                <w:b/>
                <w:bCs/>
                <w:sz w:val="20"/>
              </w:rPr>
            </w:pPr>
            <w:r>
              <w:rPr>
                <w:rFonts w:ascii="Arial" w:hAnsi="Arial"/>
                <w:b/>
                <w:bCs/>
                <w:sz w:val="20"/>
              </w:rPr>
              <w:t>Signed this day:</w:t>
            </w:r>
          </w:p>
          <w:p>
            <w:pPr>
              <w:pStyle w:val="yTableNAm"/>
              <w:rPr>
                <w:rFonts w:ascii="Arial" w:hAnsi="Arial"/>
                <w:bCs/>
                <w:sz w:val="20"/>
              </w:rPr>
            </w:pPr>
            <w:r>
              <w:rPr>
                <w:rFonts w:ascii="Arial" w:hAnsi="Arial"/>
                <w:bCs/>
                <w:sz w:val="20"/>
              </w:rPr>
              <w:t>Day    /Month    /Year</w:t>
            </w:r>
          </w:p>
        </w:tc>
        <w:tc>
          <w:tcPr>
            <w:tcW w:w="3611" w:type="dxa"/>
            <w:tcBorders>
              <w:top w:val="nil"/>
              <w:left w:val="nil"/>
              <w:bottom w:val="single" w:sz="4" w:space="0" w:color="auto"/>
            </w:tcBorders>
          </w:tcPr>
          <w:p>
            <w:pPr>
              <w:pStyle w:val="yTableNAm"/>
              <w:rPr>
                <w:rFonts w:ascii="Arial" w:hAnsi="Arial"/>
                <w:b/>
                <w:bCs/>
                <w:sz w:val="20"/>
              </w:rPr>
            </w:pPr>
            <w:r>
              <w:rPr>
                <w:rFonts w:ascii="Arial" w:hAnsi="Arial"/>
                <w:b/>
                <w:bCs/>
                <w:sz w:val="20"/>
              </w:rPr>
              <w:t xml:space="preserve">Signature of parent/guardian </w:t>
            </w:r>
            <w:r>
              <w:rPr>
                <w:rFonts w:ascii="Arial" w:hAnsi="Arial"/>
                <w:bCs/>
                <w:sz w:val="20"/>
              </w:rPr>
              <w:t>(for apprentice/trainee under 18 years of age)</w:t>
            </w:r>
          </w:p>
          <w:p>
            <w:pPr>
              <w:pStyle w:val="yTableNAm"/>
              <w:rPr>
                <w:rFonts w:ascii="Arial" w:hAnsi="Arial"/>
                <w:b/>
                <w:bCs/>
                <w:sz w:val="20"/>
              </w:rPr>
            </w:pPr>
          </w:p>
        </w:tc>
      </w:tr>
      <w:tr>
        <w:trPr>
          <w:cantSplit/>
        </w:trPr>
        <w:tc>
          <w:tcPr>
            <w:tcW w:w="7013" w:type="dxa"/>
            <w:gridSpan w:val="2"/>
            <w:tcBorders>
              <w:bottom w:val="single" w:sz="4" w:space="0" w:color="auto"/>
            </w:tcBorders>
          </w:tcPr>
          <w:p>
            <w:pPr>
              <w:pStyle w:val="yTableNAm"/>
              <w:rPr>
                <w:rFonts w:ascii="Arial" w:hAnsi="Arial"/>
                <w:b/>
                <w:bCs/>
                <w:sz w:val="20"/>
              </w:rPr>
            </w:pPr>
            <w:r>
              <w:rPr>
                <w:rFonts w:ascii="Arial" w:hAnsi="Arial"/>
                <w:b/>
                <w:bCs/>
                <w:sz w:val="20"/>
              </w:rPr>
              <w:t xml:space="preserve">Name of Apprenticeship/Traineeship </w:t>
            </w:r>
            <w:r>
              <w:rPr>
                <w:rFonts w:ascii="Arial" w:hAnsi="Arial"/>
                <w:bCs/>
                <w:sz w:val="20"/>
              </w:rPr>
              <w:t>(as designated by legislation/regulation):</w:t>
            </w:r>
          </w:p>
          <w:p>
            <w:pPr>
              <w:pStyle w:val="yTableNAm"/>
              <w:rPr>
                <w:rFonts w:ascii="Arial" w:hAnsi="Arial"/>
                <w:b/>
                <w:bCs/>
                <w:sz w:val="20"/>
                <w:szCs w:val="22"/>
              </w:rPr>
            </w:pPr>
          </w:p>
        </w:tc>
      </w:tr>
    </w:tbl>
    <w:p>
      <w:pPr>
        <w:pStyle w:val="yMiscellaneousBody"/>
        <w:spacing w:before="200"/>
        <w:rPr>
          <w:rFonts w:ascii="Arial" w:hAnsi="Arial" w:cs="Arial"/>
          <w:b/>
          <w:bCs/>
          <w:szCs w:val="22"/>
        </w:rPr>
      </w:pPr>
      <w:r>
        <w:rPr>
          <w:rFonts w:ascii="Arial" w:hAnsi="Arial" w:cs="Arial"/>
          <w:b/>
          <w:bCs/>
          <w:szCs w:val="22"/>
        </w:rPr>
        <w:t>Training Contract Obligations</w:t>
      </w:r>
    </w:p>
    <w:p>
      <w:pPr>
        <w:pStyle w:val="yMiscellaneousBody"/>
        <w:keepNext/>
        <w:spacing w:before="200"/>
        <w:rPr>
          <w:rFonts w:ascii="Arial" w:hAnsi="Arial" w:cs="Arial"/>
          <w:b/>
          <w:bCs/>
          <w:szCs w:val="22"/>
        </w:rPr>
      </w:pPr>
      <w:r>
        <w:rPr>
          <w:rFonts w:ascii="Arial" w:hAnsi="Arial" w:cs="Arial"/>
          <w:b/>
          <w:bCs/>
          <w:sz w:val="20"/>
          <w:szCs w:val="22"/>
        </w:rPr>
        <w:t>For the employer, apprentice or trainee, and parent or guardian (where applicable). We agree that:</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the Contract commences from the date stated in question 3, provided that it has been registered or approved under the provisions of the relevant State/Territory legislation;</w:t>
      </w:r>
    </w:p>
    <w:p>
      <w:pPr>
        <w:pStyle w:val="yMiscellaneousBody"/>
        <w:ind w:left="284" w:hanging="284"/>
        <w:rPr>
          <w:rFonts w:ascii="Arial" w:hAnsi="Arial" w:cs="Arial"/>
          <w:sz w:val="20"/>
          <w:szCs w:val="22"/>
        </w:rPr>
      </w:pPr>
      <w:r>
        <w:rPr>
          <w:rFonts w:ascii="Arial" w:hAnsi="Arial" w:cs="Arial"/>
          <w:sz w:val="20"/>
          <w:szCs w:val="22"/>
        </w:rPr>
        <w:t>b)</w:t>
      </w:r>
      <w:r>
        <w:rPr>
          <w:rFonts w:ascii="Arial" w:hAnsi="Arial" w:cs="Arial"/>
          <w:sz w:val="20"/>
          <w:szCs w:val="22"/>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ind w:left="284" w:hanging="284"/>
        <w:rPr>
          <w:rFonts w:ascii="Arial" w:hAnsi="Arial" w:cs="Arial"/>
          <w:sz w:val="20"/>
          <w:szCs w:val="22"/>
        </w:rPr>
      </w:pPr>
      <w:r>
        <w:rPr>
          <w:rFonts w:ascii="Arial" w:hAnsi="Arial" w:cs="Arial"/>
          <w:sz w:val="20"/>
          <w:szCs w:val="22"/>
        </w:rPr>
        <w:lastRenderedPageBreak/>
        <w:t>c)</w:t>
      </w:r>
      <w:r>
        <w:rPr>
          <w:rFonts w:ascii="Arial" w:hAnsi="Arial" w:cs="Arial"/>
          <w:sz w:val="20"/>
          <w:szCs w:val="22"/>
        </w:rPr>
        <w:tab/>
        <w:t>the apprentice/trainee can see, and correct, any information about himself/herself in this Contract or held by the employer in relation to this Contract;</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the apprentice/trainee is not liable for any unintentional damage to material or property in the course of their work and training;</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we will try to resolve any dispute we have between us, and if we can’t, we will contact our State/Territory Training Authority to request assistance or to access the appropriate dispute resolution processes;</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the Contract can be audited by the relevant State/Territory Training Authority or Australian Government Department;</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this Contract expires if it reaches the expected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ind w:left="284" w:hanging="284"/>
        <w:rPr>
          <w:rFonts w:ascii="Arial" w:hAnsi="Arial" w:cs="Arial"/>
          <w:sz w:val="20"/>
        </w:rPr>
      </w:pPr>
      <w:r>
        <w:rPr>
          <w:rFonts w:ascii="Arial" w:hAnsi="Arial" w:cs="Arial"/>
          <w:sz w:val="20"/>
          <w:szCs w:val="22"/>
        </w:rPr>
        <w:t>i)</w:t>
      </w:r>
      <w:r>
        <w:rPr>
          <w:rFonts w:ascii="Arial" w:hAnsi="Arial" w:cs="Arial"/>
          <w:sz w:val="20"/>
          <w:szCs w:val="22"/>
        </w:rPr>
        <w:tab/>
        <w:t>this Contract may be terminated in accordance with State/Territory legislation;</w:t>
      </w:r>
    </w:p>
    <w:p>
      <w:pPr>
        <w:pStyle w:val="yMiscellaneousBody"/>
        <w:ind w:left="284" w:hanging="284"/>
      </w:pPr>
      <w:r>
        <w:rPr>
          <w:rFonts w:ascii="Arial" w:hAnsi="Arial" w:cs="Arial"/>
          <w:sz w:val="20"/>
        </w:rPr>
        <w:t>j)</w:t>
      </w:r>
      <w:r>
        <w:rPr>
          <w:rFonts w:ascii="Arial" w:hAnsi="Arial" w:cs="Arial"/>
          <w:sz w:val="20"/>
        </w:rPr>
        <w:tab/>
        <w:t>any competency based wage progression clause, in an award that this Contract is subject to, cannot be invoked using units gained institutionally**, until —</w:t>
      </w:r>
    </w:p>
    <w:p>
      <w:pPr>
        <w:pStyle w:val="yMiscellaneousBody"/>
        <w:tabs>
          <w:tab w:val="left" w:pos="851"/>
        </w:tabs>
        <w:ind w:left="851" w:hanging="284"/>
        <w:rPr>
          <w:rFonts w:ascii="Arial" w:hAnsi="Arial" w:cs="Arial"/>
          <w:sz w:val="20"/>
        </w:rPr>
      </w:pPr>
      <w:r>
        <w:rPr>
          <w:rFonts w:ascii="Arial" w:hAnsi="Arial" w:cs="Arial"/>
          <w:sz w:val="20"/>
        </w:rPr>
        <w:t>i)</w:t>
      </w:r>
      <w:r>
        <w:rPr>
          <w:rFonts w:ascii="Arial" w:hAnsi="Arial" w:cs="Arial"/>
          <w:sz w:val="20"/>
        </w:rPr>
        <w:tab/>
        <w:t>the apprentice has completed 9 months of employment in this Contract; or</w:t>
      </w:r>
    </w:p>
    <w:p>
      <w:pPr>
        <w:pStyle w:val="yMiscellaneousBody"/>
        <w:tabs>
          <w:tab w:val="left" w:pos="851"/>
        </w:tabs>
        <w:ind w:left="851" w:hanging="284"/>
        <w:rPr>
          <w:rFonts w:ascii="Arial" w:hAnsi="Arial" w:cs="Arial"/>
          <w:sz w:val="20"/>
        </w:rPr>
      </w:pPr>
      <w:r>
        <w:rPr>
          <w:rFonts w:ascii="Arial" w:hAnsi="Arial" w:cs="Arial"/>
          <w:sz w:val="20"/>
        </w:rPr>
        <w:t>ii)</w:t>
      </w:r>
      <w:r>
        <w:rPr>
          <w:rFonts w:ascii="Arial" w:hAnsi="Arial" w:cs="Arial"/>
          <w:sz w:val="20"/>
        </w:rPr>
        <w:tab/>
        <w:t>the apprentice has completed, in this Contract, a period of employment mutually agreed by parties to the Contract. The period may be shorter than the 9 month requirement.</w:t>
      </w:r>
    </w:p>
    <w:p>
      <w:pPr>
        <w:pStyle w:val="yMiscellaneousBody"/>
        <w:tabs>
          <w:tab w:val="left" w:pos="851"/>
        </w:tabs>
        <w:ind w:left="851" w:hanging="284"/>
        <w:rPr>
          <w:rFonts w:ascii="Arial" w:hAnsi="Arial" w:cs="Arial"/>
          <w:sz w:val="16"/>
          <w:szCs w:val="16"/>
        </w:rPr>
      </w:pPr>
      <w:r>
        <w:rPr>
          <w:rFonts w:ascii="Arial" w:hAnsi="Arial" w:cs="Arial"/>
          <w:sz w:val="16"/>
          <w:szCs w:val="16"/>
        </w:rPr>
        <w:t>**</w:t>
      </w:r>
      <w:r>
        <w:rPr>
          <w:rFonts w:ascii="Arial" w:hAnsi="Arial" w:cs="Arial"/>
          <w:sz w:val="16"/>
          <w:szCs w:val="16"/>
        </w:rPr>
        <w:tab/>
      </w:r>
      <w:r>
        <w:rPr>
          <w:rFonts w:ascii="Arial" w:hAnsi="Arial" w:cs="Arial"/>
          <w:b/>
          <w:i/>
          <w:sz w:val="16"/>
          <w:szCs w:val="16"/>
        </w:rPr>
        <w:t>units gained institutionally</w:t>
      </w:r>
      <w:r>
        <w:rPr>
          <w:rFonts w:ascii="Arial" w:hAnsi="Arial" w:cs="Arial"/>
          <w:sz w:val="16"/>
          <w:szCs w:val="16"/>
        </w:rPr>
        <w:t xml:space="preserve"> means units gained as part of a prior qualification such as a pre-apprenticeship, but does not include units attained by fulfilling the obligations of an apprentice under a training contract.</w:t>
      </w:r>
    </w:p>
    <w:p>
      <w:pPr>
        <w:pStyle w:val="yMiscellaneousBody"/>
        <w:keepNext/>
        <w:spacing w:before="200"/>
        <w:rPr>
          <w:rFonts w:ascii="Arial" w:hAnsi="Arial" w:cs="Arial"/>
          <w:b/>
          <w:bCs/>
          <w:szCs w:val="22"/>
        </w:rPr>
      </w:pPr>
      <w:r>
        <w:rPr>
          <w:rFonts w:ascii="Arial" w:hAnsi="Arial" w:cs="Arial"/>
          <w:b/>
          <w:bCs/>
          <w:sz w:val="20"/>
          <w:szCs w:val="22"/>
        </w:rPr>
        <w:t>For the employer. I agree that I will:</w:t>
      </w:r>
    </w:p>
    <w:p>
      <w:pPr>
        <w:pStyle w:val="yMiscellaneousBody"/>
        <w:ind w:left="284" w:hanging="284"/>
        <w:rPr>
          <w:rFonts w:ascii="Arial" w:hAnsi="Arial" w:cs="Arial"/>
          <w:sz w:val="20"/>
          <w:szCs w:val="22"/>
        </w:rPr>
      </w:pPr>
      <w:r>
        <w:rPr>
          <w:rFonts w:ascii="Arial" w:hAnsi="Arial" w:cs="Arial"/>
          <w:sz w:val="20"/>
          <w:szCs w:val="22"/>
        </w:rPr>
        <w:t>a)</w:t>
      </w:r>
      <w:r>
        <w:rPr>
          <w:rFonts w:ascii="Arial" w:hAnsi="Arial" w:cs="Arial"/>
          <w:sz w:val="20"/>
          <w:szCs w:val="22"/>
        </w:rPr>
        <w:tab/>
        <w:t>employ and train the apprentice/trainee as agreed in our Training Plan and ensure the apprentice/trainee understands the choices that he/she has regarding the training;</w:t>
      </w:r>
    </w:p>
    <w:p>
      <w:pPr>
        <w:pStyle w:val="yMiscellaneousBody"/>
        <w:ind w:left="284" w:hanging="284"/>
        <w:rPr>
          <w:rFonts w:ascii="Arial" w:hAnsi="Arial" w:cs="Arial"/>
          <w:sz w:val="20"/>
          <w:szCs w:val="22"/>
        </w:rPr>
      </w:pPr>
      <w:r>
        <w:rPr>
          <w:rFonts w:ascii="Arial" w:hAnsi="Arial" w:cs="Arial"/>
          <w:sz w:val="20"/>
          <w:szCs w:val="22"/>
        </w:rPr>
        <w:lastRenderedPageBreak/>
        <w:t>b)</w:t>
      </w:r>
      <w:r>
        <w:rPr>
          <w:rFonts w:ascii="Arial" w:hAnsi="Arial" w:cs="Arial"/>
          <w:sz w:val="20"/>
          <w:szCs w:val="22"/>
        </w:rPr>
        <w:tab/>
        <w:t>provide the appropriate facilities and experienced people to facilitate the training and supervise the apprentice/trainee while at work, in accordance with the Training Plan;</w:t>
      </w:r>
    </w:p>
    <w:p>
      <w:pPr>
        <w:pStyle w:val="yMiscellaneousBody"/>
        <w:ind w:left="284" w:hanging="284"/>
        <w:rPr>
          <w:rFonts w:ascii="Arial" w:hAnsi="Arial" w:cs="Arial"/>
          <w:sz w:val="20"/>
          <w:szCs w:val="22"/>
        </w:rPr>
      </w:pPr>
      <w:r>
        <w:rPr>
          <w:rFonts w:ascii="Arial" w:hAnsi="Arial" w:cs="Arial"/>
          <w:sz w:val="20"/>
          <w:szCs w:val="22"/>
        </w:rPr>
        <w:t>c)</w:t>
      </w:r>
      <w:r>
        <w:rPr>
          <w:rFonts w:ascii="Arial" w:hAnsi="Arial" w:cs="Arial"/>
          <w:sz w:val="20"/>
          <w:szCs w:val="22"/>
        </w:rPr>
        <w:tab/>
        <w:t>make sure the apprentice/trainee receives on</w:t>
      </w:r>
      <w:r>
        <w:rPr>
          <w:rFonts w:ascii="Arial" w:hAnsi="Arial" w:cs="Arial"/>
          <w:sz w:val="20"/>
          <w:szCs w:val="22"/>
        </w:rPr>
        <w:noBreakHyphen/>
        <w:t>the</w:t>
      </w:r>
      <w:r>
        <w:rPr>
          <w:rFonts w:ascii="Arial" w:hAnsi="Arial" w:cs="Arial"/>
          <w:sz w:val="20"/>
          <w:szCs w:val="22"/>
        </w:rPr>
        <w:noBreakHyphen/>
        <w:t>job training and assessment in accordance with our Training Plan;</w:t>
      </w:r>
    </w:p>
    <w:p>
      <w:pPr>
        <w:pStyle w:val="yMiscellaneousBody"/>
        <w:ind w:left="284" w:hanging="284"/>
        <w:rPr>
          <w:rFonts w:ascii="Arial" w:hAnsi="Arial" w:cs="Arial"/>
          <w:sz w:val="20"/>
          <w:szCs w:val="22"/>
        </w:rPr>
      </w:pPr>
      <w:r>
        <w:rPr>
          <w:rFonts w:ascii="Arial" w:hAnsi="Arial" w:cs="Arial"/>
          <w:sz w:val="20"/>
          <w:szCs w:val="22"/>
        </w:rPr>
        <w:t>d)</w:t>
      </w:r>
      <w:r>
        <w:rPr>
          <w:rFonts w:ascii="Arial" w:hAnsi="Arial" w:cs="Arial"/>
          <w:sz w:val="20"/>
          <w:szCs w:val="22"/>
        </w:rPr>
        <w:tab/>
        <w:t>provide work that is relevant and appropriate to the vocation and also to the achievement of the qualification referred to in this Contract;</w:t>
      </w:r>
    </w:p>
    <w:p>
      <w:pPr>
        <w:pStyle w:val="yMiscellaneousBody"/>
        <w:ind w:left="284" w:hanging="284"/>
        <w:rPr>
          <w:rFonts w:ascii="Arial" w:hAnsi="Arial" w:cs="Arial"/>
          <w:sz w:val="20"/>
          <w:szCs w:val="22"/>
        </w:rPr>
      </w:pPr>
      <w:r>
        <w:rPr>
          <w:rFonts w:ascii="Arial" w:hAnsi="Arial" w:cs="Arial"/>
          <w:sz w:val="20"/>
          <w:szCs w:val="22"/>
        </w:rPr>
        <w:t>e)</w:t>
      </w:r>
      <w:r>
        <w:rPr>
          <w:rFonts w:ascii="Arial" w:hAnsi="Arial" w:cs="Arial"/>
          <w:sz w:val="20"/>
          <w:szCs w:val="22"/>
        </w:rPr>
        <w:tab/>
        <w:t>release the apprentice/trainee from work to attend any training and assessment specified in our Training Plan;</w:t>
      </w:r>
    </w:p>
    <w:p>
      <w:pPr>
        <w:pStyle w:val="yMiscellaneousBody"/>
        <w:ind w:left="284" w:hanging="284"/>
        <w:rPr>
          <w:rFonts w:ascii="Arial" w:hAnsi="Arial" w:cs="Arial"/>
          <w:sz w:val="20"/>
          <w:szCs w:val="22"/>
        </w:rPr>
      </w:pPr>
      <w:r>
        <w:rPr>
          <w:rFonts w:ascii="Arial" w:hAnsi="Arial" w:cs="Arial"/>
          <w:sz w:val="20"/>
          <w:szCs w:val="22"/>
        </w:rPr>
        <w:t>f)</w:t>
      </w:r>
      <w:r>
        <w:rPr>
          <w:rFonts w:ascii="Arial" w:hAnsi="Arial" w:cs="Arial"/>
          <w:sz w:val="20"/>
          <w:szCs w:val="22"/>
        </w:rPr>
        <w:tab/>
        <w:t>pay the apprentice/trainee the appropriate wages to attend any training and assessment specified in the Training Plan noting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ind w:left="284" w:hanging="284"/>
        <w:rPr>
          <w:rFonts w:ascii="Arial" w:hAnsi="Arial" w:cs="Arial"/>
          <w:sz w:val="20"/>
          <w:szCs w:val="22"/>
        </w:rPr>
      </w:pPr>
      <w:r>
        <w:rPr>
          <w:rFonts w:ascii="Arial" w:hAnsi="Arial" w:cs="Arial"/>
          <w:sz w:val="20"/>
          <w:szCs w:val="22"/>
        </w:rPr>
        <w:t>g)</w:t>
      </w:r>
      <w:r>
        <w:rPr>
          <w:rFonts w:ascii="Arial" w:hAnsi="Arial" w:cs="Arial"/>
          <w:sz w:val="20"/>
          <w:szCs w:val="22"/>
        </w:rPr>
        <w:tab/>
        <w:t>meet all legal requirements regarding the apprentice/trainee, including but not limited to, occupational health and safety requirements and payment of wages and conditions under the relevant employment arrangements;</w:t>
      </w:r>
    </w:p>
    <w:p>
      <w:pPr>
        <w:pStyle w:val="yMiscellaneousBody"/>
        <w:ind w:left="284" w:hanging="284"/>
        <w:rPr>
          <w:rFonts w:ascii="Arial" w:hAnsi="Arial" w:cs="Arial"/>
          <w:sz w:val="20"/>
          <w:szCs w:val="22"/>
        </w:rPr>
      </w:pPr>
      <w:r>
        <w:rPr>
          <w:rFonts w:ascii="Arial" w:hAnsi="Arial" w:cs="Arial"/>
          <w:sz w:val="20"/>
          <w:szCs w:val="22"/>
        </w:rPr>
        <w:t>h)</w:t>
      </w:r>
      <w:r>
        <w:rPr>
          <w:rFonts w:ascii="Arial" w:hAnsi="Arial" w:cs="Arial"/>
          <w:sz w:val="20"/>
          <w:szCs w:val="22"/>
        </w:rPr>
        <w:tab/>
        <w:t>repay any payment I receive that I am not entitled to;</w:t>
      </w:r>
    </w:p>
    <w:p>
      <w:pPr>
        <w:pStyle w:val="yMiscellaneousBody"/>
        <w:ind w:left="284" w:hanging="284"/>
        <w:rPr>
          <w:rFonts w:ascii="Arial" w:hAnsi="Arial" w:cs="Arial"/>
          <w:sz w:val="20"/>
          <w:szCs w:val="22"/>
        </w:rPr>
      </w:pPr>
      <w:r>
        <w:rPr>
          <w:rFonts w:ascii="Arial" w:hAnsi="Arial" w:cs="Arial"/>
          <w:sz w:val="20"/>
          <w:szCs w:val="22"/>
        </w:rPr>
        <w:t>i)</w:t>
      </w:r>
      <w:r>
        <w:rPr>
          <w:rFonts w:ascii="Arial" w:hAnsi="Arial" w:cs="Arial"/>
          <w:sz w:val="20"/>
          <w:szCs w:val="22"/>
        </w:rPr>
        <w:tab/>
        <w:t>work with our RTO and the apprentice/trainee to make sure we follow our Training Plan, keep training records up</w:t>
      </w:r>
      <w:r>
        <w:rPr>
          <w:rFonts w:ascii="Arial" w:hAnsi="Arial" w:cs="Arial"/>
          <w:sz w:val="20"/>
          <w:szCs w:val="22"/>
        </w:rPr>
        <w:noBreakHyphen/>
        <w:t>to</w:t>
      </w:r>
      <w:r>
        <w:rPr>
          <w:rFonts w:ascii="Arial" w:hAnsi="Arial" w:cs="Arial"/>
          <w:sz w:val="20"/>
          <w:szCs w:val="22"/>
        </w:rPr>
        <w:noBreakHyphen/>
        <w:t>date, and monitor and support the apprentice/trainee’s progress; and</w:t>
      </w:r>
    </w:p>
    <w:p>
      <w:pPr>
        <w:pStyle w:val="yMiscellaneousBody"/>
        <w:ind w:left="284" w:hanging="284"/>
        <w:rPr>
          <w:rFonts w:ascii="Arial" w:hAnsi="Arial" w:cs="Arial"/>
          <w:sz w:val="20"/>
          <w:szCs w:val="22"/>
        </w:rPr>
      </w:pPr>
      <w:r>
        <w:rPr>
          <w:rFonts w:ascii="Arial" w:hAnsi="Arial" w:cs="Arial"/>
          <w:sz w:val="20"/>
          <w:szCs w:val="22"/>
        </w:rPr>
        <w:t>j)</w:t>
      </w:r>
      <w:r>
        <w:rPr>
          <w:rFonts w:ascii="Arial" w:hAnsi="Arial" w:cs="Arial"/>
          <w:sz w:val="20"/>
          <w:szCs w:val="22"/>
        </w:rPr>
        <w:tab/>
        <w:t>let the relevant State/Territory Training Authority and the RTO know within five working days (or when the local State/Territory legislation requires, if this is different) if our Training Contract has become jeopardised.</w:t>
      </w:r>
    </w:p>
    <w:p>
      <w:pPr>
        <w:pStyle w:val="yMiscellaneousBody"/>
        <w:keepNext/>
        <w:spacing w:before="200"/>
        <w:rPr>
          <w:rFonts w:ascii="Arial" w:hAnsi="Arial" w:cs="Arial"/>
          <w:sz w:val="20"/>
        </w:rPr>
      </w:pPr>
      <w:r>
        <w:rPr>
          <w:rFonts w:ascii="Arial" w:hAnsi="Arial" w:cs="Arial"/>
          <w:sz w:val="20"/>
          <w:szCs w:val="22"/>
        </w:rPr>
        <w:t>I acknowledge that it is an offence to use information in the Contract to discriminate against any person, including the apprentice/trainee.</w:t>
      </w:r>
    </w:p>
    <w:p>
      <w:pPr>
        <w:pStyle w:val="yMiscellaneousBody"/>
        <w:keepNext/>
        <w:spacing w:before="200"/>
        <w:rPr>
          <w:rFonts w:ascii="Arial" w:hAnsi="Arial" w:cs="Arial"/>
          <w:b/>
          <w:bCs/>
          <w:szCs w:val="22"/>
        </w:rPr>
      </w:pPr>
      <w:r>
        <w:rPr>
          <w:rFonts w:ascii="Arial" w:hAnsi="Arial" w:cs="Arial"/>
          <w:b/>
          <w:bCs/>
          <w:sz w:val="20"/>
          <w:szCs w:val="22"/>
        </w:rPr>
        <w:t>For the apprentice/trainee. I agree that I will:</w:t>
      </w:r>
    </w:p>
    <w:p>
      <w:pPr>
        <w:pStyle w:val="yMiscellaneousBody"/>
        <w:ind w:left="284" w:hanging="284"/>
        <w:rPr>
          <w:rFonts w:ascii="Arial" w:hAnsi="Arial" w:cs="Arial"/>
          <w:szCs w:val="22"/>
        </w:rPr>
      </w:pPr>
      <w:r>
        <w:rPr>
          <w:rFonts w:ascii="Arial" w:hAnsi="Arial" w:cs="Arial"/>
          <w:szCs w:val="22"/>
        </w:rPr>
        <w:t>a)</w:t>
      </w:r>
      <w:r>
        <w:rPr>
          <w:rFonts w:ascii="Arial" w:hAnsi="Arial" w:cs="Arial"/>
          <w:szCs w:val="22"/>
        </w:rPr>
        <w:tab/>
        <w:t>attend work, do my job, and follow my employer’s instructions, as long as they are lawful;</w:t>
      </w:r>
    </w:p>
    <w:p>
      <w:pPr>
        <w:pStyle w:val="yMiscellaneousBody"/>
        <w:ind w:left="284" w:hanging="284"/>
        <w:rPr>
          <w:rFonts w:ascii="Arial" w:hAnsi="Arial" w:cs="Arial"/>
          <w:szCs w:val="22"/>
        </w:rPr>
      </w:pPr>
      <w:r>
        <w:rPr>
          <w:rFonts w:ascii="Arial" w:hAnsi="Arial" w:cs="Arial"/>
          <w:szCs w:val="22"/>
        </w:rPr>
        <w:t>b)</w:t>
      </w:r>
      <w:r>
        <w:rPr>
          <w:rFonts w:ascii="Arial" w:hAnsi="Arial" w:cs="Arial"/>
          <w:szCs w:val="22"/>
        </w:rPr>
        <w:tab/>
        <w:t>work towards achieving the qualification stated in our Training Contract;</w:t>
      </w:r>
    </w:p>
    <w:p>
      <w:pPr>
        <w:pStyle w:val="yMiscellaneousBody"/>
        <w:ind w:left="284" w:hanging="284"/>
        <w:rPr>
          <w:rFonts w:ascii="Arial" w:hAnsi="Arial" w:cs="Arial"/>
          <w:szCs w:val="22"/>
        </w:rPr>
      </w:pPr>
      <w:r>
        <w:rPr>
          <w:rFonts w:ascii="Arial" w:hAnsi="Arial" w:cs="Arial"/>
          <w:szCs w:val="22"/>
        </w:rPr>
        <w:t>c)</w:t>
      </w:r>
      <w:r>
        <w:rPr>
          <w:rFonts w:ascii="Arial" w:hAnsi="Arial" w:cs="Arial"/>
          <w:szCs w:val="22"/>
        </w:rPr>
        <w:tab/>
        <w:t>undertake any training and assessment in our Training Plan.</w:t>
      </w:r>
    </w:p>
    <w:p>
      <w:pPr>
        <w:pStyle w:val="yMiscellaneousBody"/>
        <w:keepNext/>
        <w:spacing w:before="200"/>
        <w:ind w:left="284"/>
        <w:rPr>
          <w:rFonts w:ascii="Arial" w:hAnsi="Arial" w:cs="Arial"/>
          <w:b/>
          <w:bCs/>
          <w:szCs w:val="22"/>
        </w:rPr>
      </w:pPr>
      <w:r>
        <w:rPr>
          <w:rFonts w:ascii="Arial" w:hAnsi="Arial" w:cs="Arial"/>
          <w:b/>
          <w:bCs/>
          <w:sz w:val="20"/>
          <w:szCs w:val="22"/>
        </w:rPr>
        <w:lastRenderedPageBreak/>
        <w:t>For the parent or guardian.</w:t>
      </w:r>
    </w:p>
    <w:p>
      <w:pPr>
        <w:pStyle w:val="yMiscellaneousBody"/>
        <w:spacing w:before="200"/>
        <w:ind w:left="284"/>
        <w:rPr>
          <w:rFonts w:ascii="Arial" w:hAnsi="Arial" w:cs="Arial"/>
          <w:sz w:val="20"/>
        </w:rPr>
      </w:pPr>
      <w:r>
        <w:rPr>
          <w:rFonts w:ascii="Arial" w:hAnsi="Arial" w:cs="Arial"/>
          <w:sz w:val="20"/>
          <w:szCs w:val="22"/>
        </w:rPr>
        <w:t>I agree that I will uphold the responsibilities listed above for the apprentice/trainee until this person is 18 years of age.</w:t>
      </w:r>
    </w:p>
    <w:p>
      <w:pPr>
        <w:pStyle w:val="yMiscellaneousBody"/>
        <w:keepNext/>
        <w:spacing w:before="200" w:after="200"/>
        <w:rPr>
          <w:rFonts w:ascii="Arial" w:hAnsi="Arial" w:cs="Arial"/>
          <w:b/>
          <w:bCs/>
          <w:szCs w:val="22"/>
        </w:rPr>
      </w:pPr>
      <w:r>
        <w:rPr>
          <w:rFonts w:ascii="Arial" w:hAnsi="Arial" w:cs="Arial"/>
          <w:b/>
          <w:bCs/>
          <w:szCs w:val="22"/>
        </w:rPr>
        <w:t>Apprenticeship/Traineeship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keepNext/>
              <w:rPr>
                <w:rFonts w:ascii="Arial" w:hAnsi="Arial" w:cs="Arial"/>
                <w:sz w:val="20"/>
                <w:szCs w:val="22"/>
              </w:rPr>
            </w:pPr>
            <w:r>
              <w:rPr>
                <w:rFonts w:ascii="Arial" w:hAnsi="Arial" w:cs="Arial"/>
                <w:sz w:val="20"/>
              </w:rPr>
              <w:t>1</w:t>
            </w:r>
          </w:p>
        </w:tc>
        <w:tc>
          <w:tcPr>
            <w:tcW w:w="6521" w:type="dxa"/>
          </w:tcPr>
          <w:p>
            <w:pPr>
              <w:pStyle w:val="yTableNAm"/>
              <w:keepNext/>
              <w:rPr>
                <w:rFonts w:ascii="Arial" w:hAnsi="Arial" w:cs="Arial"/>
                <w:sz w:val="20"/>
                <w:szCs w:val="22"/>
              </w:rPr>
            </w:pPr>
            <w:r>
              <w:rPr>
                <w:rFonts w:ascii="Arial" w:hAnsi="Arial" w:cs="Arial"/>
                <w:sz w:val="20"/>
                <w:szCs w:val="22"/>
              </w:rPr>
              <w:t>Title and level of qualification</w:t>
            </w:r>
          </w:p>
          <w:p>
            <w:pPr>
              <w:pStyle w:val="yTableNAm"/>
              <w:keepNext/>
              <w:rPr>
                <w:rFonts w:ascii="Arial" w:hAnsi="Arial" w:cs="Arial"/>
                <w:sz w:val="20"/>
                <w:szCs w:val="22"/>
              </w:rPr>
            </w:pPr>
          </w:p>
        </w:tc>
      </w:tr>
      <w:tr>
        <w:tc>
          <w:tcPr>
            <w:tcW w:w="567" w:type="dxa"/>
          </w:tcPr>
          <w:p>
            <w:pPr>
              <w:pStyle w:val="yTableNAm"/>
              <w:keepNext/>
              <w:rPr>
                <w:rFonts w:ascii="Arial" w:hAnsi="Arial" w:cs="Arial"/>
                <w:sz w:val="20"/>
                <w:szCs w:val="22"/>
              </w:rPr>
            </w:pPr>
            <w:r>
              <w:rPr>
                <w:rFonts w:ascii="Arial" w:hAnsi="Arial" w:cs="Arial"/>
                <w:sz w:val="20"/>
                <w:szCs w:val="22"/>
              </w:rPr>
              <w:t>2</w:t>
            </w:r>
          </w:p>
        </w:tc>
        <w:tc>
          <w:tcPr>
            <w:tcW w:w="6521" w:type="dxa"/>
          </w:tcPr>
          <w:p>
            <w:pPr>
              <w:pStyle w:val="yTableNAm"/>
              <w:keepNext/>
              <w:rPr>
                <w:rFonts w:ascii="Arial" w:hAnsi="Arial" w:cs="Arial"/>
                <w:sz w:val="20"/>
                <w:szCs w:val="22"/>
              </w:rPr>
            </w:pPr>
            <w:r>
              <w:rPr>
                <w:rFonts w:ascii="Arial" w:hAnsi="Arial" w:cs="Arial"/>
                <w:sz w:val="20"/>
                <w:szCs w:val="22"/>
              </w:rPr>
              <w:t>National Qualification Code</w:t>
            </w:r>
          </w:p>
        </w:tc>
      </w:tr>
      <w:tr>
        <w:tc>
          <w:tcPr>
            <w:tcW w:w="567" w:type="dxa"/>
          </w:tcPr>
          <w:p>
            <w:pPr>
              <w:pStyle w:val="yTableNAm"/>
              <w:keepNext/>
              <w:rPr>
                <w:rFonts w:ascii="Arial" w:hAnsi="Arial" w:cs="Arial"/>
                <w:sz w:val="20"/>
                <w:szCs w:val="22"/>
              </w:rPr>
            </w:pPr>
            <w:r>
              <w:rPr>
                <w:rFonts w:ascii="Arial" w:hAnsi="Arial" w:cs="Arial"/>
                <w:sz w:val="20"/>
                <w:szCs w:val="22"/>
              </w:rPr>
              <w:t>3</w:t>
            </w:r>
          </w:p>
        </w:tc>
        <w:tc>
          <w:tcPr>
            <w:tcW w:w="6521" w:type="dxa"/>
          </w:tcPr>
          <w:p>
            <w:pPr>
              <w:pStyle w:val="yTableNAm"/>
              <w:rPr>
                <w:rFonts w:ascii="Arial" w:hAnsi="Arial"/>
                <w:sz w:val="20"/>
              </w:rPr>
            </w:pPr>
            <w:r>
              <w:rPr>
                <w:rFonts w:ascii="Arial" w:hAnsi="Arial"/>
                <w:sz w:val="20"/>
              </w:rPr>
              <w:t>Intended occupation during training contract</w:t>
            </w:r>
          </w:p>
          <w:p>
            <w:pPr>
              <w:pStyle w:val="yTableNAm"/>
            </w:pPr>
          </w:p>
          <w:p>
            <w:pPr>
              <w:pStyle w:val="yTableNAm"/>
            </w:pPr>
            <w:r>
              <w:t>Commencement date of employment</w:t>
            </w:r>
          </w:p>
          <w:p>
            <w:pPr>
              <w:pStyle w:val="yTableNAm"/>
              <w:keepNext/>
              <w:rPr>
                <w:rFonts w:ascii="Arial" w:hAnsi="Arial" w:cs="Arial"/>
                <w:sz w:val="20"/>
                <w:szCs w:val="22"/>
              </w:rPr>
            </w:pPr>
            <w:r>
              <w:t>for Apprenticeship/Traineeship</w:t>
            </w:r>
            <w:r>
              <w:tab/>
              <w:t>Day    /Month    /Year</w:t>
            </w:r>
          </w:p>
        </w:tc>
      </w:tr>
      <w:tr>
        <w:tc>
          <w:tcPr>
            <w:tcW w:w="567" w:type="dxa"/>
          </w:tcPr>
          <w:p>
            <w:pPr>
              <w:pStyle w:val="yTableNAm"/>
              <w:keepNext/>
              <w:keepLines/>
              <w:rPr>
                <w:rFonts w:ascii="Arial" w:hAnsi="Arial" w:cs="Arial"/>
                <w:sz w:val="20"/>
                <w:szCs w:val="22"/>
              </w:rPr>
            </w:pPr>
          </w:p>
        </w:tc>
        <w:tc>
          <w:tcPr>
            <w:tcW w:w="6521" w:type="dxa"/>
          </w:tcPr>
          <w:p>
            <w:pPr>
              <w:pStyle w:val="yTableNAm"/>
              <w:keepNext/>
              <w:keepLines/>
              <w:rPr>
                <w:rFonts w:ascii="Arial" w:hAnsi="Arial" w:cs="Arial"/>
                <w:sz w:val="20"/>
                <w:szCs w:val="22"/>
              </w:rPr>
            </w:pPr>
          </w:p>
        </w:tc>
      </w:tr>
      <w:tr>
        <w:tc>
          <w:tcPr>
            <w:tcW w:w="567" w:type="dxa"/>
          </w:tcPr>
          <w:p>
            <w:pPr>
              <w:pStyle w:val="yTableNAm"/>
              <w:rPr>
                <w:rFonts w:ascii="Arial" w:hAnsi="Arial" w:cs="Arial"/>
                <w:sz w:val="20"/>
                <w:szCs w:val="22"/>
              </w:rPr>
            </w:pPr>
            <w:r>
              <w:rPr>
                <w:rFonts w:ascii="Arial" w:hAnsi="Arial" w:cs="Arial"/>
                <w:sz w:val="20"/>
                <w:szCs w:val="22"/>
              </w:rPr>
              <w:t>4</w:t>
            </w:r>
          </w:p>
        </w:tc>
        <w:tc>
          <w:tcPr>
            <w:tcW w:w="6521" w:type="dxa"/>
          </w:tcPr>
          <w:p>
            <w:pPr>
              <w:pStyle w:val="yTableNAm"/>
              <w:rPr>
                <w:rFonts w:ascii="Arial" w:hAnsi="Arial" w:cs="Arial"/>
                <w:sz w:val="20"/>
                <w:szCs w:val="22"/>
              </w:rPr>
            </w:pPr>
            <w:r>
              <w:rPr>
                <w:rFonts w:ascii="Arial" w:hAnsi="Arial" w:cs="Arial"/>
                <w:sz w:val="20"/>
                <w:szCs w:val="22"/>
              </w:rPr>
              <w:t>Nominal term of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5</w:t>
            </w:r>
          </w:p>
        </w:tc>
        <w:tc>
          <w:tcPr>
            <w:tcW w:w="6521" w:type="dxa"/>
          </w:tcPr>
          <w:p>
            <w:pPr>
              <w:pStyle w:val="yTableNAm"/>
              <w:rPr>
                <w:rFonts w:ascii="Arial" w:hAnsi="Arial" w:cs="Arial"/>
                <w:sz w:val="20"/>
                <w:szCs w:val="22"/>
              </w:rPr>
            </w:pPr>
            <w:r>
              <w:rPr>
                <w:rFonts w:ascii="Arial" w:hAnsi="Arial" w:cs="Arial"/>
                <w:sz w:val="20"/>
                <w:szCs w:val="22"/>
              </w:rPr>
              <w:t>The period of probation for this Apprenticeship/Traineeship (months)</w:t>
            </w:r>
          </w:p>
        </w:tc>
      </w:tr>
      <w:tr>
        <w:tc>
          <w:tcPr>
            <w:tcW w:w="567" w:type="dxa"/>
          </w:tcPr>
          <w:p>
            <w:pPr>
              <w:pStyle w:val="yTableNAm"/>
              <w:rPr>
                <w:rFonts w:ascii="Arial" w:hAnsi="Arial" w:cs="Arial"/>
                <w:sz w:val="20"/>
                <w:szCs w:val="22"/>
              </w:rPr>
            </w:pPr>
            <w:r>
              <w:rPr>
                <w:rFonts w:ascii="Arial" w:hAnsi="Arial" w:cs="Arial"/>
                <w:sz w:val="20"/>
                <w:szCs w:val="22"/>
              </w:rPr>
              <w:t>6</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Type of Apprenticeship/Traineeship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Apprenticeship</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Traineeship</w:t>
            </w:r>
          </w:p>
        </w:tc>
      </w:tr>
      <w:tr>
        <w:tc>
          <w:tcPr>
            <w:tcW w:w="567" w:type="dxa"/>
          </w:tcPr>
          <w:p>
            <w:pPr>
              <w:pStyle w:val="yTableNAm"/>
              <w:rPr>
                <w:rFonts w:ascii="Arial" w:hAnsi="Arial" w:cs="Arial"/>
                <w:sz w:val="20"/>
                <w:szCs w:val="22"/>
              </w:rPr>
            </w:pPr>
            <w:r>
              <w:rPr>
                <w:rFonts w:ascii="Arial" w:hAnsi="Arial" w:cs="Arial"/>
                <w:sz w:val="20"/>
                <w:szCs w:val="22"/>
              </w:rPr>
              <w:t>7</w:t>
            </w:r>
          </w:p>
        </w:tc>
        <w:tc>
          <w:tcPr>
            <w:tcW w:w="6521" w:type="dxa"/>
          </w:tcPr>
          <w:p>
            <w:pPr>
              <w:pStyle w:val="yTableNAm"/>
              <w:tabs>
                <w:tab w:val="clear" w:pos="567"/>
                <w:tab w:val="left" w:pos="510"/>
              </w:tabs>
              <w:rPr>
                <w:rFonts w:ascii="Arial" w:hAnsi="Arial" w:cs="Arial"/>
                <w:sz w:val="20"/>
                <w:szCs w:val="22"/>
              </w:rPr>
            </w:pPr>
            <w:r>
              <w:rPr>
                <w:rFonts w:ascii="Arial" w:hAnsi="Arial" w:cs="Arial"/>
                <w:sz w:val="20"/>
                <w:szCs w:val="22"/>
              </w:rPr>
              <w:t>Is the apprentice/trainee an existing worker?</w:t>
            </w:r>
          </w:p>
          <w:p>
            <w:pPr>
              <w:pStyle w:val="yTableNAm"/>
              <w:tabs>
                <w:tab w:val="clear" w:pos="567"/>
                <w:tab w:val="left" w:pos="510"/>
              </w:tabs>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No</w:t>
            </w:r>
          </w:p>
          <w:p>
            <w:pPr>
              <w:pStyle w:val="yTableNAm"/>
              <w:tabs>
                <w:tab w:val="clear" w:pos="567"/>
                <w:tab w:val="left" w:pos="510"/>
              </w:tabs>
              <w:ind w:left="510" w:hanging="510"/>
              <w:rPr>
                <w:rFonts w:ascii="Arial" w:hAnsi="Arial" w:cs="Arial"/>
                <w:sz w:val="20"/>
                <w:szCs w:val="22"/>
              </w:rPr>
            </w:pPr>
            <w:r>
              <w:rPr>
                <w:rFonts w:ascii="Arial" w:hAnsi="Arial" w:cs="Arial"/>
                <w:sz w:val="20"/>
                <w:szCs w:val="22"/>
              </w:rPr>
              <w:sym w:font="Monotype Sorts" w:char="F070"/>
            </w:r>
            <w:r>
              <w:rPr>
                <w:rFonts w:ascii="Arial" w:hAnsi="Arial" w:cs="Arial"/>
                <w:sz w:val="20"/>
                <w:szCs w:val="22"/>
              </w:rPr>
              <w:tab/>
              <w:t xml:space="preserve">Yes (Refer to </w:t>
            </w:r>
            <w:r>
              <w:rPr>
                <w:rFonts w:ascii="Arial" w:hAnsi="Arial" w:cs="Arial"/>
                <w:b/>
                <w:bCs/>
                <w:sz w:val="20"/>
                <w:szCs w:val="22"/>
              </w:rPr>
              <w:t>Information to Help Complete the Training Contract</w:t>
            </w:r>
            <w:r>
              <w:rPr>
                <w:rFonts w:ascii="Arial" w:hAnsi="Arial" w:cs="Arial"/>
                <w:sz w:val="20"/>
                <w:szCs w:val="22"/>
              </w:rPr>
              <w:t>)</w:t>
            </w:r>
          </w:p>
        </w:tc>
      </w:tr>
    </w:tbl>
    <w:p>
      <w:pPr>
        <w:pStyle w:val="yMiscellaneousBody"/>
        <w:keepNext/>
        <w:spacing w:before="200" w:after="200"/>
        <w:rPr>
          <w:rFonts w:ascii="Arial" w:hAnsi="Arial" w:cs="Arial"/>
          <w:b/>
          <w:bCs/>
          <w:szCs w:val="22"/>
        </w:rPr>
      </w:pPr>
      <w:r>
        <w:rPr>
          <w:rFonts w:ascii="Arial" w:hAnsi="Arial" w:cs="Arial"/>
          <w:b/>
          <w:bCs/>
          <w:szCs w:val="22"/>
        </w:rPr>
        <w:t>Apprentice/Trainee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740"/>
        <w:gridCol w:w="2174"/>
        <w:gridCol w:w="48"/>
        <w:gridCol w:w="1559"/>
      </w:tblGrid>
      <w:tr>
        <w:tc>
          <w:tcPr>
            <w:tcW w:w="567" w:type="dxa"/>
            <w:tcBorders>
              <w:left w:val="single" w:sz="4" w:space="0" w:color="auto"/>
            </w:tcBorders>
          </w:tcPr>
          <w:p>
            <w:pPr>
              <w:pStyle w:val="yTableNAm"/>
              <w:rPr>
                <w:rFonts w:ascii="Arial" w:hAnsi="Arial" w:cs="Arial"/>
                <w:sz w:val="20"/>
              </w:rPr>
            </w:pPr>
            <w:r>
              <w:rPr>
                <w:rFonts w:ascii="Arial" w:hAnsi="Arial" w:cs="Arial"/>
                <w:sz w:val="20"/>
              </w:rPr>
              <w:t>8</w:t>
            </w:r>
          </w:p>
        </w:tc>
        <w:tc>
          <w:tcPr>
            <w:tcW w:w="6521" w:type="dxa"/>
            <w:gridSpan w:val="4"/>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lastRenderedPageBreak/>
              <w:t>9</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(residential)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Address (postal)</w:t>
            </w:r>
          </w:p>
          <w:p>
            <w:pPr>
              <w:pStyle w:val="yTableNAm"/>
              <w:tabs>
                <w:tab w:val="left" w:pos="3345"/>
                <w:tab w:val="left" w:pos="4479"/>
              </w:tabs>
              <w:rPr>
                <w:rFonts w:ascii="Arial" w:hAnsi="Arial" w:cs="Arial"/>
                <w:sz w:val="20"/>
              </w:rPr>
            </w:pPr>
          </w:p>
          <w:p>
            <w:pPr>
              <w:pStyle w:val="yTableNAm"/>
              <w:tabs>
                <w:tab w:val="clear" w:pos="567"/>
                <w:tab w:val="left" w:pos="3345"/>
                <w:tab w:val="left" w:pos="4479"/>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10</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Telephone number/s Home</w:t>
            </w:r>
            <w:r>
              <w:rPr>
                <w:rFonts w:ascii="Arial" w:hAnsi="Arial" w:cs="Arial"/>
                <w:sz w:val="20"/>
              </w:rPr>
              <w:tab/>
              <w:t>Mobile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11</w:t>
            </w:r>
          </w:p>
        </w:tc>
        <w:tc>
          <w:tcPr>
            <w:tcW w:w="6521" w:type="dxa"/>
            <w:gridSpan w:val="4"/>
          </w:tcPr>
          <w:p>
            <w:pPr>
              <w:pStyle w:val="yTableNAm"/>
              <w:tabs>
                <w:tab w:val="left" w:pos="3345"/>
                <w:tab w:val="left" w:pos="4479"/>
              </w:tabs>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345"/>
                <w:tab w:val="left" w:pos="4479"/>
              </w:tabs>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keepNext/>
              <w:keepLines/>
              <w:rPr>
                <w:rFonts w:ascii="Arial" w:hAnsi="Arial" w:cs="Arial"/>
                <w:sz w:val="20"/>
              </w:rPr>
            </w:pPr>
            <w:r>
              <w:rPr>
                <w:rFonts w:ascii="Arial" w:hAnsi="Arial" w:cs="Arial"/>
                <w:sz w:val="20"/>
              </w:rPr>
              <w:t>13</w:t>
            </w:r>
          </w:p>
        </w:tc>
        <w:tc>
          <w:tcPr>
            <w:tcW w:w="6521" w:type="dxa"/>
            <w:gridSpan w:val="4"/>
          </w:tcPr>
          <w:p>
            <w:pPr>
              <w:pStyle w:val="yTableNAm"/>
              <w:keepNext/>
              <w:keepLines/>
              <w:rPr>
                <w:rFonts w:ascii="Arial" w:hAnsi="Arial" w:cs="Arial"/>
                <w:sz w:val="20"/>
              </w:rPr>
            </w:pPr>
            <w:r>
              <w:rPr>
                <w:rFonts w:ascii="Arial" w:hAnsi="Arial" w:cs="Arial"/>
                <w:sz w:val="20"/>
              </w:rPr>
              <w:t>Citizenship (Tick applicable box)</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A New Zealand passport holder who has been resident in Australia for 6 months or more (Refer to Information to Help Complete the Training Contract)</w:t>
            </w:r>
          </w:p>
          <w:p>
            <w:pPr>
              <w:pStyle w:val="yTableNAm"/>
              <w:keepNext/>
              <w:keepLines/>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keepNext/>
              <w:keepLines/>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14*</w:t>
            </w:r>
          </w:p>
        </w:tc>
        <w:tc>
          <w:tcPr>
            <w:tcW w:w="6521" w:type="dxa"/>
            <w:gridSpan w:val="4"/>
          </w:tcPr>
          <w:p>
            <w:pPr>
              <w:pStyle w:val="yTableNAm"/>
              <w:tabs>
                <w:tab w:val="left" w:pos="1077"/>
                <w:tab w:val="left" w:pos="3223"/>
              </w:tabs>
              <w:rPr>
                <w:rFonts w:ascii="Arial" w:hAnsi="Arial" w:cs="Arial"/>
                <w:sz w:val="20"/>
              </w:rPr>
            </w:pPr>
            <w:r>
              <w:rPr>
                <w:rFonts w:ascii="Arial" w:hAnsi="Arial" w:cs="Arial"/>
                <w:sz w:val="20"/>
              </w:rPr>
              <w:t>Are you of Aboriginal or Torres Strait Islander origin?</w:t>
            </w:r>
          </w:p>
          <w:p>
            <w:pPr>
              <w:pStyle w:val="yTableNAm"/>
              <w:tabs>
                <w:tab w:val="left" w:pos="1077"/>
                <w:tab w:val="left" w:pos="3223"/>
              </w:tabs>
              <w:rPr>
                <w:rFonts w:ascii="Arial" w:hAnsi="Arial" w:cs="Arial"/>
                <w:sz w:val="20"/>
              </w:rPr>
            </w:pPr>
            <w:r>
              <w:rPr>
                <w:rFonts w:ascii="Arial" w:hAnsi="Arial" w:cs="Arial"/>
                <w:sz w:val="20"/>
              </w:rPr>
              <w:t>For persons of both Aboriginal AND Torres Strait Islander origin mark both ‘Yes’ boxes.</w:t>
            </w:r>
          </w:p>
          <w:p>
            <w:pPr>
              <w:pStyle w:val="yTableNAm"/>
              <w:tabs>
                <w:tab w:val="clear" w:pos="567"/>
                <w:tab w:val="left" w:pos="1077"/>
                <w:tab w:val="left" w:pos="1219"/>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Torres Strait Islander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15*</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In which country were you born?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Australia</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16*</w:t>
            </w:r>
          </w:p>
        </w:tc>
        <w:tc>
          <w:tcPr>
            <w:tcW w:w="6521" w:type="dxa"/>
            <w:gridSpan w:val="4"/>
          </w:tcPr>
          <w:p>
            <w:pPr>
              <w:pStyle w:val="yTableNAm"/>
              <w:tabs>
                <w:tab w:val="left" w:pos="1077"/>
                <w:tab w:val="left" w:pos="1503"/>
                <w:tab w:val="left" w:pos="3223"/>
                <w:tab w:val="left" w:pos="3646"/>
              </w:tabs>
              <w:rPr>
                <w:rFonts w:ascii="Arial" w:hAnsi="Arial" w:cs="Arial"/>
                <w:sz w:val="20"/>
              </w:rPr>
            </w:pPr>
            <w:r>
              <w:rPr>
                <w:rFonts w:ascii="Arial" w:hAnsi="Arial" w:cs="Arial"/>
                <w:sz w:val="20"/>
              </w:rPr>
              <w:t>Do you speak a language other than English at home? (If more than one language, indicate the one that is spoken most often.)</w:t>
            </w:r>
          </w:p>
          <w:p>
            <w:pPr>
              <w:pStyle w:val="yTableNAm"/>
              <w:tabs>
                <w:tab w:val="clear" w:pos="567"/>
                <w:tab w:val="left" w:pos="1077"/>
                <w:tab w:val="left" w:pos="3223"/>
                <w:tab w:val="left" w:pos="3345"/>
              </w:tabs>
              <w:rPr>
                <w:rFonts w:ascii="Arial" w:hAnsi="Arial" w:cs="Arial"/>
                <w:sz w:val="20"/>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sym w:font="Monotype Sorts" w:char="F070"/>
            </w:r>
            <w:r>
              <w:rPr>
                <w:rFonts w:ascii="Arial" w:hAnsi="Arial" w:cs="Arial"/>
                <w:sz w:val="20"/>
              </w:rPr>
              <w:t xml:space="preserve"> Other (please specify)</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lastRenderedPageBreak/>
              <w:t>17*</w:t>
            </w:r>
          </w:p>
        </w:tc>
        <w:tc>
          <w:tcPr>
            <w:tcW w:w="6521" w:type="dxa"/>
            <w:gridSpan w:val="4"/>
          </w:tcPr>
          <w:p>
            <w:pPr>
              <w:pStyle w:val="yTableNAm"/>
              <w:rPr>
                <w:rFonts w:ascii="Arial" w:hAnsi="Arial" w:cs="Arial"/>
                <w:sz w:val="20"/>
              </w:rPr>
            </w:pPr>
            <w:r>
              <w:rPr>
                <w:rFonts w:ascii="Arial" w:hAnsi="Arial" w:cs="Arial"/>
                <w:sz w:val="20"/>
              </w:rPr>
              <w:t>Do you consider yourself to have a disability, impairment or long</w:t>
            </w:r>
            <w:r>
              <w:rPr>
                <w:rFonts w:ascii="Arial" w:hAnsi="Arial" w:cs="Arial"/>
                <w:sz w:val="20"/>
              </w:rPr>
              <w:noBreakHyphen/>
              <w:t>term condition?</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652" w:hanging="652"/>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18</w:t>
            </w:r>
          </w:p>
        </w:tc>
        <w:tc>
          <w:tcPr>
            <w:tcW w:w="6521" w:type="dxa"/>
            <w:gridSpan w:val="4"/>
          </w:tcPr>
          <w:p>
            <w:pPr>
              <w:pStyle w:val="yTableNAm"/>
              <w:keepNext/>
              <w:rPr>
                <w:rFonts w:ascii="Arial" w:hAnsi="Arial" w:cs="Arial"/>
                <w:sz w:val="20"/>
              </w:rPr>
            </w:pPr>
            <w:r>
              <w:rPr>
                <w:rFonts w:ascii="Arial" w:hAnsi="Arial" w:cs="Arial"/>
                <w:sz w:val="20"/>
              </w:rPr>
              <w:t>Are you still attending secondary school?</w:t>
            </w:r>
          </w:p>
          <w:p>
            <w:pPr>
              <w:pStyle w:val="yTableNAm"/>
              <w:keepNext/>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keepNext/>
              <w:tabs>
                <w:tab w:val="clear" w:pos="567"/>
                <w:tab w:val="left" w:pos="936"/>
              </w:tabs>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20"/>
              </w:rPr>
              <w:br/>
            </w:r>
            <w:r>
              <w:rPr>
                <w:rFonts w:ascii="Arial" w:hAnsi="Arial" w:cs="Arial"/>
                <w:sz w:val="18"/>
              </w:rPr>
              <w:t>(e.g. Year 11)</w:t>
            </w:r>
          </w:p>
          <w:p>
            <w:pPr>
              <w:pStyle w:val="yTableNAm"/>
              <w:keepNext/>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19</w:t>
            </w:r>
          </w:p>
        </w:tc>
        <w:tc>
          <w:tcPr>
            <w:tcW w:w="6521" w:type="dxa"/>
            <w:gridSpan w:val="4"/>
          </w:tcPr>
          <w:p>
            <w:pPr>
              <w:pStyle w:val="yTableNAm"/>
              <w:rPr>
                <w:rFonts w:ascii="Arial" w:hAnsi="Arial" w:cs="Arial"/>
                <w:sz w:val="20"/>
              </w:rPr>
            </w:pPr>
            <w:r>
              <w:rPr>
                <w:rFonts w:ascii="Arial" w:hAnsi="Arial" w:cs="Arial"/>
                <w:sz w:val="20"/>
              </w:rPr>
              <w:t>Is this an approved Australian School</w:t>
            </w:r>
            <w:r>
              <w:rPr>
                <w:rFonts w:ascii="Arial" w:hAnsi="Arial" w:cs="Arial"/>
                <w:sz w:val="20"/>
              </w:rPr>
              <w:noBreakHyphen/>
              <w:t>based Apprenticeship/Traineeship?</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20</w:t>
            </w:r>
          </w:p>
        </w:tc>
        <w:tc>
          <w:tcPr>
            <w:tcW w:w="6521" w:type="dxa"/>
            <w:gridSpan w:val="4"/>
          </w:tcPr>
          <w:p>
            <w:pPr>
              <w:pStyle w:val="yTableNAm"/>
              <w:rPr>
                <w:rFonts w:ascii="Arial" w:hAnsi="Arial" w:cs="Arial"/>
                <w:sz w:val="20"/>
              </w:rPr>
            </w:pPr>
            <w:r>
              <w:rPr>
                <w:rFonts w:ascii="Arial" w:hAnsi="Arial" w:cs="Arial"/>
                <w:sz w:val="20"/>
              </w:rPr>
              <w:t>What is your highest COMPLETED school level?</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12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11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10 or equivalent</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Year 9 or equivalent</w:t>
            </w:r>
          </w:p>
          <w:p>
            <w:pPr>
              <w:pStyle w:val="yTableNAm"/>
              <w:rPr>
                <w:rFonts w:ascii="Arial" w:hAnsi="Arial" w:cs="Arial"/>
                <w:sz w:val="20"/>
              </w:rPr>
            </w:pPr>
            <w:r>
              <w:rPr>
                <w:rFonts w:ascii="Arial" w:hAnsi="Arial" w:cs="Arial"/>
                <w:sz w:val="18"/>
              </w:rPr>
              <w:sym w:font="Monotype Sorts" w:char="F070"/>
            </w:r>
            <w:r>
              <w:rPr>
                <w:rFonts w:ascii="Arial" w:hAnsi="Arial" w:cs="Arial"/>
                <w:sz w:val="20"/>
              </w:rPr>
              <w:t xml:space="preserve"> </w:t>
            </w:r>
            <w:r>
              <w:rPr>
                <w:rFonts w:ascii="Arial" w:hAnsi="Arial" w:cs="Arial"/>
                <w:sz w:val="18"/>
              </w:rPr>
              <w:t>Year 8 or below</w:t>
            </w:r>
            <w:r>
              <w:rPr>
                <w:rFonts w:ascii="Arial" w:hAnsi="Arial" w:cs="Arial"/>
                <w:sz w:val="20"/>
              </w:rPr>
              <w:tab/>
            </w:r>
            <w:r>
              <w:rPr>
                <w:rFonts w:ascii="Arial" w:hAnsi="Arial" w:cs="Arial"/>
                <w:sz w:val="18"/>
              </w:rPr>
              <w:sym w:font="Monotype Sorts" w:char="F070"/>
            </w:r>
            <w:r>
              <w:rPr>
                <w:rFonts w:ascii="Arial" w:hAnsi="Arial" w:cs="Arial"/>
                <w:sz w:val="20"/>
              </w:rPr>
              <w:t xml:space="preserve"> </w:t>
            </w:r>
            <w:r>
              <w:rPr>
                <w:rFonts w:ascii="Arial" w:hAnsi="Arial" w:cs="Arial"/>
                <w:sz w:val="18"/>
              </w:rPr>
              <w:t>Did not go to school</w:t>
            </w:r>
          </w:p>
          <w:p>
            <w:pPr>
              <w:pStyle w:val="yTableNAm"/>
              <w:tabs>
                <w:tab w:val="left" w:pos="4196"/>
              </w:tabs>
              <w:rPr>
                <w:rFonts w:ascii="Arial" w:hAnsi="Arial" w:cs="Arial"/>
                <w:sz w:val="20"/>
              </w:rPr>
            </w:pPr>
            <w:r>
              <w:rPr>
                <w:rFonts w:ascii="Arial" w:hAnsi="Arial" w:cs="Arial"/>
                <w:sz w:val="20"/>
              </w:rPr>
              <w:t>When did you complete that school level?</w:t>
            </w:r>
            <w:r>
              <w:rPr>
                <w:rFonts w:ascii="Arial" w:hAnsi="Arial" w:cs="Arial"/>
                <w:sz w:val="20"/>
              </w:rPr>
              <w:tab/>
              <w:t>Month    /Year</w:t>
            </w: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Have you successfully COMPLETED any of the following qualifications?</w:t>
            </w:r>
          </w:p>
          <w:p>
            <w:pPr>
              <w:pStyle w:val="yTableNAm"/>
              <w:tabs>
                <w:tab w:val="clear" w:pos="567"/>
                <w:tab w:val="left" w:pos="794"/>
              </w:tabs>
              <w:rPr>
                <w:rFonts w:ascii="Arial" w:hAnsi="Arial" w:cs="Arial"/>
                <w:b/>
                <w:bCs/>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→tick and complete any applicable boxes</w:t>
            </w:r>
          </w:p>
          <w:p>
            <w:pPr>
              <w:pStyle w:val="yTableNAm"/>
              <w:tabs>
                <w:tab w:val="left" w:pos="4621"/>
              </w:tabs>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077"/>
                <w:tab w:val="left" w:pos="4905"/>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077"/>
                <w:tab w:val="left" w:pos="4905"/>
              </w:tabs>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077"/>
                <w:tab w:val="left" w:pos="5188"/>
              </w:tabs>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w:t>
            </w:r>
            <w:r>
              <w:rPr>
                <w:rFonts w:ascii="Arial" w:hAnsi="Arial" w:cs="Arial"/>
                <w:sz w:val="16"/>
              </w:rPr>
              <w:noBreakHyphen/>
              <w:t>Apprenticeship/Pre</w:t>
            </w:r>
            <w:r>
              <w:rPr>
                <w:rFonts w:ascii="Arial" w:hAnsi="Arial" w:cs="Arial"/>
                <w:sz w:val="16"/>
              </w:rPr>
              <w:noBreakHyphen/>
              <w:t>Vocational</w:t>
            </w:r>
          </w:p>
          <w:p>
            <w:pPr>
              <w:pStyle w:val="yTableNAm"/>
              <w:tabs>
                <w:tab w:val="clear" w:pos="567"/>
                <w:tab w:val="left" w:pos="1077"/>
                <w:tab w:val="left" w:pos="4905"/>
              </w:tabs>
              <w:rPr>
                <w:rFonts w:ascii="Arial" w:hAnsi="Arial" w:cs="Arial"/>
                <w:sz w:val="16"/>
              </w:rPr>
            </w:pPr>
            <w:r>
              <w:rPr>
                <w:rFonts w:ascii="Arial" w:hAnsi="Arial" w:cs="Arial"/>
                <w:sz w:val="16"/>
              </w:rPr>
              <w:lastRenderedPageBreak/>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rPr>
                <w:rFonts w:ascii="Arial" w:hAnsi="Arial" w:cs="Arial"/>
                <w:sz w:val="20"/>
              </w:rPr>
            </w:pPr>
            <w:r>
              <w:rPr>
                <w:rFonts w:ascii="Arial" w:hAnsi="Arial" w:cs="Arial"/>
                <w:sz w:val="20"/>
              </w:rPr>
              <w:t>Title and level of qualification/s obtained (Attach list if necessary)</w:t>
            </w:r>
          </w:p>
          <w:p>
            <w:pPr>
              <w:pStyle w:val="yTableNAm"/>
              <w:rPr>
                <w:rFonts w:ascii="Arial" w:hAnsi="Arial" w:cs="Arial"/>
                <w:sz w:val="20"/>
              </w:rPr>
            </w:pPr>
          </w:p>
        </w:tc>
      </w:tr>
      <w:tr>
        <w:trPr>
          <w:cantSplit/>
        </w:trPr>
        <w:tc>
          <w:tcPr>
            <w:tcW w:w="567" w:type="dxa"/>
            <w:vMerge w:val="restart"/>
            <w:tcBorders>
              <w:left w:val="single" w:sz="4" w:space="0" w:color="auto"/>
            </w:tcBorders>
          </w:tcPr>
          <w:p>
            <w:pPr>
              <w:pStyle w:val="yTableNAm"/>
              <w:keepNext/>
              <w:rPr>
                <w:rFonts w:ascii="Arial" w:hAnsi="Arial" w:cs="Arial"/>
                <w:sz w:val="20"/>
              </w:rPr>
            </w:pPr>
            <w:r>
              <w:rPr>
                <w:rFonts w:ascii="Arial" w:hAnsi="Arial" w:cs="Arial"/>
                <w:sz w:val="20"/>
              </w:rPr>
              <w:lastRenderedPageBreak/>
              <w:t>22*</w:t>
            </w:r>
          </w:p>
        </w:tc>
        <w:tc>
          <w:tcPr>
            <w:tcW w:w="6521" w:type="dxa"/>
            <w:gridSpan w:val="4"/>
            <w:tcBorders>
              <w:bottom w:val="nil"/>
            </w:tcBorders>
          </w:tcPr>
          <w:p>
            <w:pPr>
              <w:pStyle w:val="yTableNAm"/>
              <w:keepNext/>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The qualification cannot be used because of an injury or disability</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an Intensive Support Customised Assistance Client</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r>
              <w:rPr>
                <w:rFonts w:ascii="Arial" w:hAnsi="Arial" w:cs="Arial"/>
                <w:sz w:val="20"/>
              </w:rPr>
              <w:t>You are unemployed and have been registered with Centrelink for 12 months or more</w:t>
            </w:r>
          </w:p>
        </w:tc>
        <w:tc>
          <w:tcPr>
            <w:tcW w:w="1559" w:type="dxa"/>
            <w:tcBorders>
              <w:top w:val="nil"/>
              <w:left w:val="nil"/>
              <w:bottom w:val="nil"/>
            </w:tcBorders>
          </w:tcPr>
          <w:p>
            <w:pPr>
              <w:pStyle w:val="yTableNAm"/>
              <w:tabs>
                <w:tab w:val="clear" w:pos="567"/>
                <w:tab w:val="left" w:pos="651"/>
              </w:tabs>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rPr>
                <w:rFonts w:ascii="Arial" w:hAnsi="Arial" w:cs="Arial"/>
                <w:sz w:val="20"/>
              </w:rPr>
            </w:pPr>
          </w:p>
        </w:tc>
        <w:tc>
          <w:tcPr>
            <w:tcW w:w="4962" w:type="dxa"/>
            <w:gridSpan w:val="3"/>
            <w:tcBorders>
              <w:top w:val="nil"/>
              <w:bottom w:val="nil"/>
              <w:right w:val="nil"/>
            </w:tcBorders>
          </w:tcPr>
          <w:p>
            <w:pPr>
              <w:pStyle w:val="yTableNAm"/>
              <w:rPr>
                <w:rFonts w:ascii="Arial" w:hAnsi="Arial" w:cs="Arial"/>
                <w:sz w:val="20"/>
              </w:rPr>
            </w:pPr>
          </w:p>
        </w:tc>
        <w:tc>
          <w:tcPr>
            <w:tcW w:w="1559" w:type="dxa"/>
            <w:tcBorders>
              <w:top w:val="nil"/>
              <w:left w:val="nil"/>
              <w:bottom w:val="nil"/>
            </w:tcBorders>
          </w:tcPr>
          <w:p>
            <w:pPr>
              <w:pStyle w:val="yTableNAm"/>
              <w:rPr>
                <w:rFonts w:ascii="Arial" w:hAnsi="Arial" w:cs="Arial"/>
                <w:sz w:val="20"/>
              </w:rPr>
            </w:pP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gridSpan w:val="4"/>
            <w:tcBorders>
              <w:top w:val="nil"/>
              <w:bottom w:val="single" w:sz="4" w:space="0" w:color="auto"/>
            </w:tcBorders>
          </w:tcPr>
          <w:p>
            <w:pPr>
              <w:pStyle w:val="yTableNAm"/>
              <w:rPr>
                <w:rFonts w:ascii="Arial" w:hAnsi="Arial" w:cs="Arial"/>
                <w:sz w:val="20"/>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23</w:t>
            </w:r>
          </w:p>
        </w:tc>
        <w:tc>
          <w:tcPr>
            <w:tcW w:w="6521" w:type="dxa"/>
            <w:gridSpan w:val="4"/>
            <w:tcBorders>
              <w:bottom w:val="nil"/>
            </w:tcBorders>
          </w:tcPr>
          <w:p>
            <w:pPr>
              <w:pStyle w:val="yTableNAm"/>
              <w:rPr>
                <w:rFonts w:ascii="Arial" w:hAnsi="Arial" w:cs="Arial"/>
                <w:sz w:val="20"/>
              </w:rPr>
            </w:pPr>
            <w:r>
              <w:rPr>
                <w:rFonts w:ascii="Arial" w:hAnsi="Arial" w:cs="Arial"/>
                <w:sz w:val="20"/>
              </w:rPr>
              <w:t>Have you previously worked as an apprentice or trainee?</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b/>
                <w:bCs/>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 If you are unsure of any of these details, ask your Australian Apprenticeships Centre for assistance.</w:t>
            </w:r>
          </w:p>
          <w:p>
            <w:pPr>
              <w:pStyle w:val="yTableNAm"/>
              <w:rPr>
                <w:rFonts w:ascii="Arial" w:hAnsi="Arial" w:cs="Arial"/>
                <w:sz w:val="20"/>
              </w:rPr>
            </w:pPr>
            <w:r>
              <w:rPr>
                <w:rFonts w:ascii="Arial" w:hAnsi="Arial" w:cs="Arial"/>
                <w:sz w:val="20"/>
              </w:rPr>
              <w:t>Name of company</w:t>
            </w:r>
          </w:p>
          <w:p>
            <w:pPr>
              <w:pStyle w:val="yTableNAm"/>
              <w:rPr>
                <w:rFonts w:ascii="Arial" w:hAnsi="Arial" w:cs="Arial"/>
                <w:sz w:val="20"/>
              </w:rPr>
            </w:pP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r>
        <w:trPr>
          <w:cantSplit/>
        </w:trPr>
        <w:tc>
          <w:tcPr>
            <w:tcW w:w="567" w:type="dxa"/>
            <w:vMerge/>
            <w:tcBorders>
              <w:left w:val="single" w:sz="4" w:space="0" w:color="auto"/>
              <w:bottom w:val="single" w:sz="4" w:space="0" w:color="auto"/>
            </w:tcBorders>
          </w:tcPr>
          <w:p>
            <w:pPr>
              <w:pStyle w:val="yTableNAm"/>
              <w:rPr>
                <w:rFonts w:ascii="Arial" w:hAnsi="Arial" w:cs="Arial"/>
                <w:sz w:val="20"/>
              </w:rPr>
            </w:pPr>
          </w:p>
        </w:tc>
        <w:tc>
          <w:tcPr>
            <w:tcW w:w="2740" w:type="dxa"/>
            <w:tcBorders>
              <w:top w:val="nil"/>
              <w:bottom w:val="single" w:sz="4" w:space="0" w:color="auto"/>
              <w:right w:val="nil"/>
            </w:tcBorders>
          </w:tcPr>
          <w:p>
            <w:pPr>
              <w:pStyle w:val="yTableNAm"/>
              <w:rPr>
                <w:rFonts w:ascii="Arial" w:hAnsi="Arial" w:cs="Arial"/>
                <w:sz w:val="20"/>
              </w:rPr>
            </w:pPr>
            <w:r>
              <w:rPr>
                <w:rFonts w:ascii="Arial" w:hAnsi="Arial" w:cs="Arial"/>
                <w:sz w:val="20"/>
              </w:rPr>
              <w:t>State/Territory/ Overseas</w:t>
            </w:r>
          </w:p>
          <w:p>
            <w:pPr>
              <w:pStyle w:val="yTableNAm"/>
              <w:rPr>
                <w:rFonts w:ascii="Arial" w:hAnsi="Arial" w:cs="Arial"/>
                <w:sz w:val="20"/>
              </w:rPr>
            </w:pPr>
          </w:p>
        </w:tc>
        <w:tc>
          <w:tcPr>
            <w:tcW w:w="2174" w:type="dxa"/>
            <w:tcBorders>
              <w:top w:val="nil"/>
              <w:left w:val="nil"/>
              <w:bottom w:val="single" w:sz="4" w:space="0" w:color="auto"/>
              <w:right w:val="nil"/>
            </w:tcBorders>
          </w:tcPr>
          <w:p>
            <w:pPr>
              <w:pStyle w:val="yTableNAm"/>
              <w:rPr>
                <w:rFonts w:ascii="Arial" w:hAnsi="Arial" w:cs="Arial"/>
                <w:sz w:val="20"/>
              </w:rPr>
            </w:pPr>
            <w:r>
              <w:rPr>
                <w:rFonts w:ascii="Arial" w:hAnsi="Arial" w:cs="Arial"/>
                <w:sz w:val="20"/>
              </w:rPr>
              <w:t>Year of commencement</w:t>
            </w:r>
          </w:p>
        </w:tc>
        <w:tc>
          <w:tcPr>
            <w:tcW w:w="1607" w:type="dxa"/>
            <w:gridSpan w:val="2"/>
            <w:tcBorders>
              <w:top w:val="nil"/>
              <w:left w:val="nil"/>
              <w:bottom w:val="single" w:sz="4" w:space="0" w:color="auto"/>
            </w:tcBorders>
          </w:tcPr>
          <w:p>
            <w:pPr>
              <w:pStyle w:val="yTableNAm"/>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lastRenderedPageBreak/>
              <w:t>24</w:t>
            </w:r>
          </w:p>
        </w:tc>
        <w:tc>
          <w:tcPr>
            <w:tcW w:w="6521" w:type="dxa"/>
            <w:gridSpan w:val="4"/>
          </w:tcPr>
          <w:p>
            <w:pPr>
              <w:pStyle w:val="yTableNAm"/>
              <w:rPr>
                <w:rFonts w:ascii="Arial" w:hAnsi="Arial" w:cs="Arial"/>
                <w:sz w:val="20"/>
              </w:rPr>
            </w:pPr>
            <w:r>
              <w:rPr>
                <w:rFonts w:ascii="Arial" w:hAnsi="Arial" w:cs="Arial"/>
                <w:sz w:val="20"/>
              </w:rPr>
              <w:t>Are you seeking credit to reduce the term of the Training Contract? (Refer to Information to Help Complete the Training Contract) (Evidence is required and must be attached.)</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rPr>
                <w:rFonts w:ascii="Arial" w:hAnsi="Arial" w:cs="Arial"/>
                <w:sz w:val="20"/>
              </w:rPr>
            </w:pPr>
            <w:r>
              <w:rPr>
                <w:rFonts w:ascii="Arial" w:hAnsi="Arial" w:cs="Arial"/>
                <w:sz w:val="20"/>
              </w:rPr>
              <w:t>Are you currently undertaking any other study?</w:t>
            </w:r>
          </w:p>
          <w:p>
            <w:pPr>
              <w:pStyle w:val="yTableNAm"/>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rPr>
                <w:rFonts w:ascii="Arial" w:hAnsi="Arial" w:cs="Arial"/>
                <w:sz w:val="20"/>
              </w:rPr>
            </w:pPr>
            <w:r>
              <w:rPr>
                <w:rFonts w:ascii="Arial" w:hAnsi="Arial" w:cs="Arial"/>
                <w:sz w:val="20"/>
              </w:rPr>
              <w:t>Title and level of qualification</w:t>
            </w:r>
          </w:p>
          <w:p>
            <w:pPr>
              <w:pStyle w:val="yTableNAm"/>
              <w:rPr>
                <w:rFonts w:ascii="Arial" w:hAnsi="Arial" w:cs="Arial"/>
                <w:sz w:val="20"/>
              </w:rPr>
            </w:pPr>
          </w:p>
        </w:tc>
      </w:tr>
    </w:tbl>
    <w:p>
      <w:pPr>
        <w:pStyle w:val="yMiscellaneousBody"/>
        <w:keepNext/>
        <w:spacing w:before="200" w:after="200"/>
        <w:rPr>
          <w:rFonts w:ascii="Arial" w:hAnsi="Arial" w:cs="Arial"/>
          <w:b/>
          <w:bCs/>
          <w:szCs w:val="22"/>
        </w:rPr>
      </w:pPr>
      <w:r>
        <w:rPr>
          <w:rFonts w:ascii="Arial" w:hAnsi="Arial" w:cs="Arial"/>
          <w:b/>
          <w:bCs/>
          <w:szCs w:val="22"/>
        </w:rPr>
        <w:t>Parent or Guardian details</w:t>
      </w:r>
    </w:p>
    <w:p>
      <w:pPr>
        <w:pStyle w:val="yMiscellaneousBody"/>
        <w:keepNext/>
        <w:spacing w:before="200" w:after="120"/>
        <w:rPr>
          <w:rFonts w:ascii="Arial" w:hAnsi="Arial" w:cs="Arial"/>
          <w:szCs w:val="22"/>
        </w:rPr>
      </w:pPr>
      <w:r>
        <w:rPr>
          <w:rFonts w:ascii="Arial" w:hAnsi="Arial" w:cs="Arial"/>
          <w:sz w:val="18"/>
          <w:szCs w:val="22"/>
        </w:rPr>
        <w:t xml:space="preserve">If under 18 years of age, go to </w:t>
      </w:r>
      <w:r>
        <w:rPr>
          <w:rFonts w:ascii="Arial" w:hAnsi="Arial" w:cs="Arial"/>
          <w:b/>
          <w:bCs/>
          <w:sz w:val="18"/>
          <w:szCs w:val="22"/>
        </w:rPr>
        <w:t>Question 26</w:t>
      </w:r>
      <w:r>
        <w:rPr>
          <w:rFonts w:ascii="Arial" w:hAnsi="Arial" w:cs="Arial"/>
          <w:sz w:val="18"/>
          <w:szCs w:val="22"/>
        </w:rPr>
        <w:t xml:space="preserve">. If 18 years or over, go to </w:t>
      </w:r>
      <w:r>
        <w:rPr>
          <w:rFonts w:ascii="Arial" w:hAnsi="Arial" w:cs="Arial"/>
          <w:b/>
          <w:bCs/>
          <w:sz w:val="18"/>
          <w:szCs w:val="22"/>
        </w:rPr>
        <w:t>Question 28</w:t>
      </w:r>
      <w:r>
        <w:rPr>
          <w:rFonts w:ascii="Arial" w:hAnsi="Arial" w:cs="Arial"/>
          <w:sz w:val="18"/>
          <w:szCs w:val="22"/>
        </w:rPr>
        <w:t>.</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26</w:t>
            </w:r>
          </w:p>
        </w:tc>
        <w:tc>
          <w:tcPr>
            <w:tcW w:w="6521" w:type="dxa"/>
          </w:tcPr>
          <w:p>
            <w:pPr>
              <w:pStyle w:val="yTableNAm"/>
              <w:rPr>
                <w:rFonts w:ascii="Arial" w:hAnsi="Arial" w:cs="Arial"/>
                <w:sz w:val="20"/>
              </w:rPr>
            </w:pPr>
            <w:r>
              <w:rPr>
                <w:rFonts w:ascii="Arial" w:hAnsi="Arial" w:cs="Arial"/>
                <w:sz w:val="20"/>
              </w:rPr>
              <w:t>Surname (family name)</w:t>
            </w:r>
          </w:p>
          <w:p>
            <w:pPr>
              <w:pStyle w:val="yTableNAm"/>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rPr>
                <w:rFonts w:ascii="Arial" w:hAnsi="Arial" w:cs="Arial"/>
                <w:sz w:val="20"/>
              </w:rPr>
            </w:pPr>
            <w:r>
              <w:rPr>
                <w:rFonts w:ascii="Arial" w:hAnsi="Arial" w:cs="Arial"/>
                <w:sz w:val="20"/>
              </w:rPr>
              <w:t>27</w:t>
            </w:r>
          </w:p>
        </w:tc>
        <w:tc>
          <w:tcPr>
            <w:tcW w:w="6521" w:type="dxa"/>
          </w:tcPr>
          <w:p>
            <w:pPr>
              <w:pStyle w:val="yTableNAm"/>
              <w:tabs>
                <w:tab w:val="left" w:pos="3487"/>
                <w:tab w:val="left" w:pos="4365"/>
              </w:tabs>
              <w:rPr>
                <w:rFonts w:ascii="Arial" w:hAnsi="Arial" w:cs="Arial"/>
                <w:sz w:val="20"/>
              </w:rPr>
            </w:pPr>
            <w:r>
              <w:rPr>
                <w:rFonts w:ascii="Arial" w:hAnsi="Arial" w:cs="Arial"/>
                <w:sz w:val="20"/>
              </w:rPr>
              <w:t>Address</w:t>
            </w:r>
          </w:p>
          <w:p>
            <w:pPr>
              <w:pStyle w:val="yTableNAm"/>
              <w:tabs>
                <w:tab w:val="left" w:pos="3487"/>
                <w:tab w:val="left" w:pos="4365"/>
              </w:tabs>
              <w:rPr>
                <w:rFonts w:ascii="Arial" w:hAnsi="Arial" w:cs="Arial"/>
                <w:sz w:val="20"/>
              </w:rPr>
            </w:pPr>
          </w:p>
          <w:p>
            <w:pPr>
              <w:pStyle w:val="yTableNAm"/>
              <w:tabs>
                <w:tab w:val="clear" w:pos="567"/>
                <w:tab w:val="left" w:pos="3487"/>
                <w:tab w:val="left" w:pos="4365"/>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rPr>
                <w:rFonts w:ascii="Arial" w:hAnsi="Arial" w:cs="Arial"/>
                <w:sz w:val="20"/>
              </w:rPr>
            </w:pPr>
          </w:p>
        </w:tc>
        <w:tc>
          <w:tcPr>
            <w:tcW w:w="6521" w:type="dxa"/>
          </w:tcPr>
          <w:p>
            <w:pPr>
              <w:pStyle w:val="yTableNAm"/>
              <w:tabs>
                <w:tab w:val="left" w:pos="3487"/>
                <w:tab w:val="left" w:pos="4365"/>
              </w:tabs>
              <w:rPr>
                <w:rFonts w:ascii="Arial" w:hAnsi="Arial" w:cs="Arial"/>
                <w:sz w:val="20"/>
              </w:rPr>
            </w:pPr>
            <w:r>
              <w:rPr>
                <w:rFonts w:ascii="Arial" w:hAnsi="Arial" w:cs="Arial"/>
                <w:sz w:val="20"/>
              </w:rPr>
              <w:t>Telephone number</w:t>
            </w:r>
          </w:p>
          <w:p>
            <w:pPr>
              <w:pStyle w:val="yTableNAm"/>
              <w:tabs>
                <w:tab w:val="left" w:pos="2211"/>
                <w:tab w:val="left" w:pos="4365"/>
                <w:tab w:val="left" w:pos="4621"/>
              </w:tabs>
              <w:rPr>
                <w:rFonts w:ascii="Arial" w:hAnsi="Arial" w:cs="Arial"/>
                <w:sz w:val="20"/>
              </w:rPr>
            </w:pPr>
            <w:r>
              <w:rPr>
                <w:rFonts w:ascii="Arial" w:hAnsi="Arial" w:cs="Arial"/>
                <w:sz w:val="20"/>
              </w:rPr>
              <w:t>Home (  )</w:t>
            </w:r>
            <w:r>
              <w:rPr>
                <w:rFonts w:ascii="Arial" w:hAnsi="Arial" w:cs="Arial"/>
                <w:sz w:val="20"/>
              </w:rPr>
              <w:tab/>
              <w:t>Mobile</w:t>
            </w:r>
            <w:r>
              <w:rPr>
                <w:rFonts w:ascii="Arial" w:hAnsi="Arial" w:cs="Arial"/>
                <w:sz w:val="20"/>
              </w:rPr>
              <w:tab/>
              <w:t>Work (  )</w:t>
            </w:r>
          </w:p>
        </w:tc>
      </w:tr>
    </w:tbl>
    <w:p>
      <w:pPr>
        <w:pStyle w:val="yMiscellaneousBody"/>
        <w:keepNext/>
        <w:spacing w:before="200" w:after="200"/>
        <w:rPr>
          <w:rFonts w:ascii="Arial" w:hAnsi="Arial" w:cs="Arial"/>
          <w:b/>
          <w:bCs/>
          <w:szCs w:val="22"/>
        </w:rPr>
      </w:pPr>
      <w:r>
        <w:rPr>
          <w:rFonts w:ascii="Arial" w:hAnsi="Arial" w:cs="Arial"/>
          <w:b/>
          <w:bCs/>
          <w:szCs w:val="22"/>
        </w:rPr>
        <w:t>Employer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rPr>
                <w:rFonts w:ascii="Arial" w:hAnsi="Arial" w:cs="Arial"/>
                <w:sz w:val="20"/>
              </w:rPr>
            </w:pPr>
            <w:r>
              <w:rPr>
                <w:rFonts w:ascii="Arial" w:hAnsi="Arial" w:cs="Arial"/>
                <w:sz w:val="20"/>
              </w:rPr>
              <w:t>28</w:t>
            </w:r>
          </w:p>
        </w:tc>
        <w:tc>
          <w:tcPr>
            <w:tcW w:w="6521" w:type="dxa"/>
          </w:tcPr>
          <w:p>
            <w:pPr>
              <w:pStyle w:val="yTableNAm"/>
              <w:rPr>
                <w:rFonts w:ascii="Arial" w:hAnsi="Arial" w:cs="Arial"/>
                <w:sz w:val="20"/>
              </w:rPr>
            </w:pPr>
            <w:r>
              <w:rPr>
                <w:rFonts w:ascii="Arial" w:hAnsi="Arial" w:cs="Arial"/>
                <w:sz w:val="20"/>
              </w:rPr>
              <w:t>Legal name of employer (Refer to Information to Help Complete the Training Contract)</w:t>
            </w:r>
          </w:p>
          <w:p>
            <w:pPr>
              <w:pStyle w:val="yTableNAm"/>
              <w:rPr>
                <w:rFonts w:ascii="Arial" w:hAnsi="Arial" w:cs="Arial"/>
                <w:sz w:val="20"/>
              </w:rPr>
            </w:pPr>
          </w:p>
        </w:tc>
      </w:tr>
      <w:tr>
        <w:tc>
          <w:tcPr>
            <w:tcW w:w="567" w:type="dxa"/>
            <w:tcBorders>
              <w:left w:val="single" w:sz="4" w:space="0" w:color="auto"/>
            </w:tcBorders>
          </w:tcPr>
          <w:p>
            <w:pPr>
              <w:pStyle w:val="yTableNAm"/>
              <w:rPr>
                <w:rFonts w:ascii="Arial" w:hAnsi="Arial" w:cs="Arial"/>
                <w:sz w:val="20"/>
              </w:rPr>
            </w:pPr>
            <w:r>
              <w:rPr>
                <w:rFonts w:ascii="Arial" w:hAnsi="Arial" w:cs="Arial"/>
                <w:sz w:val="20"/>
              </w:rPr>
              <w:t>29</w:t>
            </w:r>
          </w:p>
        </w:tc>
        <w:tc>
          <w:tcPr>
            <w:tcW w:w="6521" w:type="dxa"/>
          </w:tcPr>
          <w:p>
            <w:pPr>
              <w:pStyle w:val="yTableNAm"/>
              <w:rPr>
                <w:rFonts w:ascii="Arial" w:hAnsi="Arial" w:cs="Arial"/>
                <w:sz w:val="20"/>
              </w:rPr>
            </w:pPr>
            <w:r>
              <w:rPr>
                <w:rFonts w:ascii="Arial" w:hAnsi="Arial" w:cs="Arial"/>
                <w:sz w:val="20"/>
              </w:rPr>
              <w:t>Australian Business Number (ABN) of your legal entity</w:t>
            </w:r>
          </w:p>
          <w:p>
            <w:pPr>
              <w:pStyle w:val="yTableNAm"/>
              <w:rPr>
                <w:rFonts w:ascii="Arial" w:hAnsi="Arial" w:cs="Arial"/>
                <w:sz w:val="20"/>
              </w:rPr>
            </w:pPr>
          </w:p>
        </w:tc>
      </w:tr>
      <w:tr>
        <w:tc>
          <w:tcPr>
            <w:tcW w:w="567" w:type="dxa"/>
            <w:tcBorders>
              <w:left w:val="single" w:sz="4" w:space="0" w:color="auto"/>
            </w:tcBorders>
          </w:tcPr>
          <w:p>
            <w:pPr>
              <w:pStyle w:val="yTableNAm"/>
              <w:keepNext/>
              <w:rPr>
                <w:rFonts w:ascii="Arial" w:hAnsi="Arial" w:cs="Arial"/>
                <w:sz w:val="20"/>
              </w:rPr>
            </w:pPr>
            <w:r>
              <w:rPr>
                <w:rFonts w:ascii="Arial" w:hAnsi="Arial" w:cs="Arial"/>
                <w:sz w:val="20"/>
              </w:rPr>
              <w:lastRenderedPageBreak/>
              <w:t>30</w:t>
            </w:r>
          </w:p>
        </w:tc>
        <w:tc>
          <w:tcPr>
            <w:tcW w:w="6521" w:type="dxa"/>
          </w:tcPr>
          <w:p>
            <w:pPr>
              <w:pStyle w:val="yTableNAm"/>
              <w:keepNext/>
              <w:rPr>
                <w:rFonts w:ascii="Arial" w:hAnsi="Arial" w:cs="Arial"/>
                <w:sz w:val="20"/>
              </w:rPr>
            </w:pPr>
            <w:r>
              <w:rPr>
                <w:rFonts w:ascii="Arial" w:hAnsi="Arial" w:cs="Arial"/>
                <w:sz w:val="20"/>
              </w:rPr>
              <w:t>Trading name</w:t>
            </w:r>
          </w:p>
          <w:p>
            <w:pPr>
              <w:pStyle w:val="yTableNAm"/>
              <w:keepNext/>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31</w:t>
            </w:r>
          </w:p>
        </w:tc>
        <w:tc>
          <w:tcPr>
            <w:tcW w:w="6521" w:type="dxa"/>
          </w:tcPr>
          <w:p>
            <w:pPr>
              <w:pStyle w:val="yTableNAm"/>
              <w:rPr>
                <w:rFonts w:ascii="Arial" w:hAnsi="Arial" w:cs="Arial"/>
                <w:sz w:val="20"/>
              </w:rPr>
            </w:pPr>
            <w:r>
              <w:rPr>
                <w:rFonts w:ascii="Arial" w:hAnsi="Arial" w:cs="Arial"/>
                <w:sz w:val="20"/>
              </w:rPr>
              <w:t>Postal Address</w:t>
            </w:r>
          </w:p>
          <w:p>
            <w:pPr>
              <w:pStyle w:val="yTableNAm"/>
              <w:rPr>
                <w:rFonts w:ascii="Arial" w:hAnsi="Arial" w:cs="Arial"/>
                <w:sz w:val="20"/>
              </w:rPr>
            </w:pPr>
          </w:p>
          <w:p>
            <w:pPr>
              <w:pStyle w:val="yTableNAm"/>
              <w:tabs>
                <w:tab w:val="clear" w:pos="567"/>
                <w:tab w:val="left" w:pos="3487"/>
              </w:tabs>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32</w:t>
            </w:r>
          </w:p>
        </w:tc>
        <w:tc>
          <w:tcPr>
            <w:tcW w:w="6521" w:type="dxa"/>
          </w:tcPr>
          <w:p>
            <w:pPr>
              <w:pStyle w:val="yTableNAm"/>
              <w:rPr>
                <w:rFonts w:ascii="Arial" w:hAnsi="Arial" w:cs="Arial"/>
                <w:sz w:val="20"/>
              </w:rPr>
            </w:pPr>
            <w:r>
              <w:rPr>
                <w:rFonts w:ascii="Arial" w:hAnsi="Arial" w:cs="Arial"/>
                <w:sz w:val="20"/>
              </w:rPr>
              <w:t>Telephone number</w:t>
            </w:r>
          </w:p>
          <w:p>
            <w:pPr>
              <w:pStyle w:val="yTableNAm"/>
              <w:tabs>
                <w:tab w:val="left" w:pos="2070"/>
                <w:tab w:val="left" w:pos="4054"/>
              </w:tabs>
              <w:rPr>
                <w:rFonts w:ascii="Arial" w:hAnsi="Arial" w:cs="Arial"/>
                <w:sz w:val="20"/>
              </w:rPr>
            </w:pPr>
            <w:r>
              <w:rPr>
                <w:rFonts w:ascii="Arial" w:hAnsi="Arial" w:cs="Arial"/>
                <w:sz w:val="20"/>
              </w:rPr>
              <w:t>Business (  )</w:t>
            </w:r>
            <w:r>
              <w:rPr>
                <w:rFonts w:ascii="Arial" w:hAnsi="Arial" w:cs="Arial"/>
                <w:sz w:val="20"/>
              </w:rPr>
              <w:tab/>
              <w:t>Mobile</w:t>
            </w:r>
            <w:r>
              <w:rPr>
                <w:rFonts w:ascii="Arial" w:hAnsi="Arial" w:cs="Arial"/>
                <w:sz w:val="20"/>
              </w:rPr>
              <w:tab/>
              <w:t>Fax (  )</w:t>
            </w:r>
          </w:p>
          <w:p>
            <w:pPr>
              <w:pStyle w:val="yTableNAm"/>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33</w:t>
            </w:r>
          </w:p>
        </w:tc>
        <w:tc>
          <w:tcPr>
            <w:tcW w:w="6521" w:type="dxa"/>
          </w:tcPr>
          <w:p>
            <w:pPr>
              <w:pStyle w:val="yTableNAm"/>
              <w:rPr>
                <w:rFonts w:ascii="Arial" w:hAnsi="Arial" w:cs="Arial"/>
                <w:sz w:val="20"/>
              </w:rPr>
            </w:pPr>
            <w:r>
              <w:rPr>
                <w:rFonts w:ascii="Arial" w:hAnsi="Arial" w:cs="Arial"/>
                <w:sz w:val="20"/>
              </w:rPr>
              <w:t>What is the industry or principal activity of the business?</w:t>
            </w:r>
          </w:p>
          <w:p>
            <w:pPr>
              <w:pStyle w:val="yTableNAm"/>
              <w:rPr>
                <w:rFonts w:ascii="Arial" w:hAnsi="Arial" w:cs="Arial"/>
                <w:sz w:val="20"/>
              </w:rPr>
            </w:pPr>
          </w:p>
        </w:tc>
      </w:tr>
      <w:tr>
        <w:trPr>
          <w:cantSplit/>
        </w:trPr>
        <w:tc>
          <w:tcPr>
            <w:tcW w:w="567" w:type="dxa"/>
            <w:tcBorders>
              <w:left w:val="single" w:sz="4" w:space="0" w:color="auto"/>
            </w:tcBorders>
          </w:tcPr>
          <w:p>
            <w:pPr>
              <w:pStyle w:val="yTableNAm"/>
              <w:rPr>
                <w:rFonts w:ascii="Arial" w:hAnsi="Arial" w:cs="Arial"/>
                <w:sz w:val="20"/>
              </w:rPr>
            </w:pPr>
            <w:r>
              <w:rPr>
                <w:rFonts w:ascii="Arial" w:hAnsi="Arial" w:cs="Arial"/>
                <w:sz w:val="20"/>
              </w:rPr>
              <w:t>34</w:t>
            </w:r>
          </w:p>
        </w:tc>
        <w:tc>
          <w:tcPr>
            <w:tcW w:w="6521" w:type="dxa"/>
          </w:tcPr>
          <w:p>
            <w:pPr>
              <w:pStyle w:val="yTableNAm"/>
              <w:rPr>
                <w:rFonts w:ascii="Arial" w:hAnsi="Arial" w:cs="Arial"/>
                <w:sz w:val="20"/>
              </w:rPr>
            </w:pPr>
            <w:r>
              <w:rPr>
                <w:rFonts w:ascii="Arial" w:hAnsi="Arial" w:cs="Arial"/>
                <w:sz w:val="20"/>
              </w:rPr>
              <w:t>Type of employer</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left" w:pos="3204"/>
              </w:tabs>
              <w:rPr>
                <w:rFonts w:ascii="Arial" w:hAnsi="Arial" w:cs="Arial"/>
                <w:sz w:val="18"/>
              </w:rPr>
            </w:pPr>
            <w:r>
              <w:rPr>
                <w:rFonts w:ascii="Arial" w:hAnsi="Arial" w:cs="Arial"/>
                <w:sz w:val="18"/>
              </w:rPr>
              <w:sym w:font="Monotype Sorts" w:char="F070"/>
            </w:r>
            <w:r>
              <w:rPr>
                <w:rFonts w:ascii="Arial" w:hAnsi="Arial" w:cs="Arial"/>
                <w:sz w:val="18"/>
              </w:rPr>
              <w:t xml:space="preserve"> Government Business Enterprise</w:t>
            </w:r>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left" w:pos="3204"/>
              </w:tabs>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keepNext/>
        <w:spacing w:before="200" w:after="200"/>
        <w:rPr>
          <w:rFonts w:ascii="Arial" w:hAnsi="Arial" w:cs="Arial"/>
          <w:b/>
          <w:bCs/>
          <w:szCs w:val="22"/>
        </w:rPr>
      </w:pPr>
      <w:r>
        <w:rPr>
          <w:rFonts w:ascii="Arial" w:hAnsi="Arial" w:cs="Arial"/>
          <w:b/>
          <w:bCs/>
          <w:szCs w:val="22"/>
        </w:rPr>
        <w:t>Employment and Training details</w:t>
      </w:r>
    </w:p>
    <w:p>
      <w:pPr>
        <w:pStyle w:val="yMiscellaneousBody"/>
        <w:keepNext/>
        <w:spacing w:before="200" w:after="120"/>
        <w:rPr>
          <w:rFonts w:ascii="Arial" w:hAnsi="Arial" w:cs="Arial"/>
          <w:szCs w:val="22"/>
        </w:rPr>
      </w:pPr>
      <w:r>
        <w:rPr>
          <w:rFonts w:ascii="Arial" w:hAnsi="Arial" w:cs="Arial"/>
          <w:sz w:val="18"/>
          <w:szCs w:val="22"/>
        </w:rPr>
        <w:t>(For apprentices/trainees employed through Group Training Organisations provide the name and address of the first host employer.)</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977"/>
        <w:gridCol w:w="1701"/>
        <w:gridCol w:w="284"/>
        <w:gridCol w:w="1134"/>
        <w:gridCol w:w="425"/>
      </w:tblGrid>
      <w:tr>
        <w:tc>
          <w:tcPr>
            <w:tcW w:w="567" w:type="dxa"/>
            <w:tcBorders>
              <w:left w:val="single" w:sz="4" w:space="0" w:color="auto"/>
            </w:tcBorders>
          </w:tcPr>
          <w:p>
            <w:pPr>
              <w:pStyle w:val="yTableNAm"/>
              <w:rPr>
                <w:rFonts w:ascii="Arial" w:hAnsi="Arial"/>
                <w:sz w:val="20"/>
              </w:rPr>
            </w:pPr>
            <w:r>
              <w:rPr>
                <w:rFonts w:ascii="Arial" w:hAnsi="Arial"/>
                <w:sz w:val="20"/>
              </w:rPr>
              <w:t>35</w:t>
            </w:r>
          </w:p>
        </w:tc>
        <w:tc>
          <w:tcPr>
            <w:tcW w:w="6521" w:type="dxa"/>
            <w:gridSpan w:val="5"/>
          </w:tcPr>
          <w:p>
            <w:pPr>
              <w:pStyle w:val="yTableNAm"/>
              <w:rPr>
                <w:rFonts w:ascii="Arial" w:hAnsi="Arial"/>
                <w:sz w:val="20"/>
              </w:rPr>
            </w:pPr>
            <w:r>
              <w:rPr>
                <w:rFonts w:ascii="Arial" w:hAnsi="Arial"/>
                <w:sz w:val="20"/>
              </w:rPr>
              <w:t>Name of workplace where apprentice/trainee will be employed</w:t>
            </w:r>
          </w:p>
          <w:p>
            <w:pPr>
              <w:pStyle w:val="yTableNAm"/>
              <w:rPr>
                <w:rFonts w:ascii="Arial" w:hAnsi="Arial"/>
                <w:sz w:val="20"/>
              </w:rPr>
            </w:pPr>
          </w:p>
          <w:p>
            <w:pPr>
              <w:pStyle w:val="yTableNAm"/>
              <w:rPr>
                <w:rFonts w:ascii="Arial" w:hAnsi="Arial"/>
                <w:sz w:val="20"/>
              </w:rPr>
            </w:pPr>
            <w:r>
              <w:rPr>
                <w:rFonts w:ascii="Arial" w:hAnsi="Arial"/>
                <w:sz w:val="20"/>
              </w:rPr>
              <w:t>Address of workplace where apprentice/trainee will be employed</w:t>
            </w:r>
          </w:p>
          <w:p>
            <w:pPr>
              <w:pStyle w:val="yTableNAm"/>
              <w:rPr>
                <w:rFonts w:ascii="Arial" w:hAnsi="Arial"/>
                <w:sz w:val="20"/>
              </w:rPr>
            </w:pPr>
          </w:p>
          <w:p>
            <w:pPr>
              <w:pStyle w:val="yTableNAm"/>
              <w:tabs>
                <w:tab w:val="clear" w:pos="567"/>
                <w:tab w:val="left" w:pos="3487"/>
              </w:tabs>
              <w:rPr>
                <w:rFonts w:ascii="Arial" w:hAnsi="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36</w:t>
            </w:r>
          </w:p>
        </w:tc>
        <w:tc>
          <w:tcPr>
            <w:tcW w:w="6521" w:type="dxa"/>
            <w:gridSpan w:val="5"/>
          </w:tcPr>
          <w:p>
            <w:pPr>
              <w:pStyle w:val="yTableNAm"/>
              <w:rPr>
                <w:rFonts w:ascii="Arial" w:hAnsi="Arial"/>
                <w:sz w:val="20"/>
              </w:rPr>
            </w:pPr>
            <w:r>
              <w:rPr>
                <w:rFonts w:ascii="Arial" w:hAnsi="Arial"/>
                <w:sz w:val="20"/>
              </w:rPr>
              <w:t>Workplace details</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people employed by the firm</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Total number of apprentices/trainees in this workplace</w:t>
            </w:r>
          </w:p>
        </w:tc>
        <w:tc>
          <w:tcPr>
            <w:tcW w:w="425" w:type="dxa"/>
          </w:tcPr>
          <w:p>
            <w:pPr>
              <w:pStyle w:val="yTableNAm"/>
              <w:rPr>
                <w:rFonts w:ascii="Arial" w:hAnsi="Arial"/>
                <w:sz w:val="20"/>
              </w:rPr>
            </w:pP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18"/>
              </w:rPr>
            </w:pPr>
            <w:r>
              <w:rPr>
                <w:rFonts w:ascii="Arial" w:hAnsi="Arial"/>
                <w:sz w:val="18"/>
              </w:rPr>
              <w:t>Number of workers able to demonstrate the relevant competencies available to supervise or train the apprentices/trainees in this workplace</w:t>
            </w:r>
          </w:p>
        </w:tc>
        <w:tc>
          <w:tcPr>
            <w:tcW w:w="425" w:type="dxa"/>
          </w:tcPr>
          <w:p>
            <w:pPr>
              <w:pStyle w:val="yTableNAm"/>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37</w:t>
            </w:r>
          </w:p>
        </w:tc>
        <w:tc>
          <w:tcPr>
            <w:tcW w:w="6521" w:type="dxa"/>
            <w:gridSpan w:val="5"/>
          </w:tcPr>
          <w:p>
            <w:pPr>
              <w:pStyle w:val="yTableNAm"/>
              <w:rPr>
                <w:rFonts w:ascii="Arial" w:hAnsi="Arial"/>
                <w:sz w:val="20"/>
              </w:rPr>
            </w:pPr>
            <w:r>
              <w:rPr>
                <w:rFonts w:ascii="Arial" w:hAnsi="Arial"/>
                <w:sz w:val="20"/>
              </w:rPr>
              <w:t>Name of contact person for this workplace</w:t>
            </w:r>
          </w:p>
          <w:p>
            <w:pPr>
              <w:pStyle w:val="yTableNAm"/>
              <w:rPr>
                <w:rFonts w:ascii="Arial" w:hAnsi="Arial"/>
                <w:sz w:val="20"/>
              </w:rPr>
            </w:pPr>
          </w:p>
          <w:p>
            <w:pPr>
              <w:pStyle w:val="yTableNAm"/>
              <w:tabs>
                <w:tab w:val="clear" w:pos="567"/>
                <w:tab w:val="left" w:pos="3447"/>
              </w:tabs>
              <w:rPr>
                <w:rFonts w:ascii="Arial" w:hAnsi="Arial"/>
                <w:sz w:val="20"/>
              </w:rPr>
            </w:pPr>
            <w:r>
              <w:rPr>
                <w:rFonts w:ascii="Arial" w:hAnsi="Arial"/>
                <w:sz w:val="20"/>
              </w:rPr>
              <w:t>Telephone number (  )</w:t>
            </w:r>
            <w:r>
              <w:rPr>
                <w:rFonts w:ascii="Arial" w:hAnsi="Arial"/>
                <w:sz w:val="20"/>
              </w:rPr>
              <w:tab/>
              <w:t>Fax (  )</w:t>
            </w:r>
          </w:p>
          <w:p>
            <w:pPr>
              <w:pStyle w:val="yTableNAm"/>
              <w:rPr>
                <w:rFonts w:ascii="Arial" w:hAnsi="Arial"/>
                <w:sz w:val="20"/>
              </w:rPr>
            </w:pPr>
            <w:r>
              <w:rPr>
                <w:rFonts w:ascii="Arial" w:hAnsi="Arial"/>
                <w:sz w:val="20"/>
              </w:rPr>
              <w:t>Email</w:t>
            </w:r>
          </w:p>
        </w:tc>
      </w:tr>
      <w:tr>
        <w:trPr>
          <w:cantSplit/>
        </w:trPr>
        <w:tc>
          <w:tcPr>
            <w:tcW w:w="567" w:type="dxa"/>
            <w:tcBorders>
              <w:left w:val="single" w:sz="4" w:space="0" w:color="auto"/>
            </w:tcBorders>
          </w:tcPr>
          <w:p>
            <w:pPr>
              <w:pStyle w:val="yTableNAm"/>
              <w:rPr>
                <w:rFonts w:ascii="Arial" w:hAnsi="Arial"/>
                <w:sz w:val="20"/>
              </w:rPr>
            </w:pPr>
            <w:r>
              <w:rPr>
                <w:rFonts w:ascii="Arial" w:hAnsi="Arial"/>
                <w:sz w:val="20"/>
              </w:rPr>
              <w:t>38</w:t>
            </w:r>
          </w:p>
        </w:tc>
        <w:tc>
          <w:tcPr>
            <w:tcW w:w="6521" w:type="dxa"/>
            <w:gridSpan w:val="5"/>
          </w:tcPr>
          <w:p>
            <w:pPr>
              <w:pStyle w:val="yTableNAm"/>
              <w:rPr>
                <w:rFonts w:ascii="Arial" w:hAnsi="Arial"/>
                <w:sz w:val="20"/>
              </w:rPr>
            </w:pPr>
            <w:r>
              <w:rPr>
                <w:rFonts w:ascii="Arial" w:hAnsi="Arial"/>
                <w:sz w:val="20"/>
              </w:rPr>
              <w:t>Type of employment arrangement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Federal Award</w:t>
            </w:r>
            <w:r>
              <w:rPr>
                <w:rFonts w:ascii="Arial" w:hAnsi="Arial"/>
                <w:sz w:val="18"/>
              </w:rPr>
              <w:tab/>
            </w:r>
            <w:r>
              <w:rPr>
                <w:rFonts w:ascii="Arial" w:hAnsi="Arial"/>
                <w:sz w:val="18"/>
              </w:rPr>
              <w:sym w:font="Monotype Sorts" w:char="F070"/>
            </w:r>
            <w:r>
              <w:rPr>
                <w:rFonts w:ascii="Arial" w:hAnsi="Arial"/>
                <w:sz w:val="18"/>
              </w:rPr>
              <w:t xml:space="preserve"> Australian Workplace Agreement</w:t>
            </w:r>
          </w:p>
          <w:p>
            <w:pPr>
              <w:pStyle w:val="yTableNAm"/>
              <w:tabs>
                <w:tab w:val="left" w:pos="2495"/>
              </w:tabs>
              <w:rPr>
                <w:rFonts w:ascii="Arial" w:hAnsi="Arial"/>
                <w:sz w:val="18"/>
              </w:rPr>
            </w:pPr>
            <w:r>
              <w:rPr>
                <w:rFonts w:ascii="Arial" w:hAnsi="Arial"/>
                <w:sz w:val="18"/>
              </w:rPr>
              <w:sym w:font="Monotype Sorts" w:char="F070"/>
            </w:r>
            <w:r>
              <w:rPr>
                <w:rFonts w:ascii="Arial" w:hAnsi="Arial"/>
                <w:sz w:val="18"/>
              </w:rPr>
              <w:t xml:space="preserve"> Certified Agreement</w:t>
            </w:r>
            <w:r>
              <w:rPr>
                <w:rFonts w:ascii="Arial" w:hAnsi="Arial"/>
                <w:sz w:val="18"/>
              </w:rPr>
              <w:tab/>
            </w:r>
            <w:r>
              <w:rPr>
                <w:rFonts w:ascii="Arial" w:hAnsi="Arial"/>
                <w:sz w:val="18"/>
              </w:rPr>
              <w:sym w:font="Monotype Sorts" w:char="F070"/>
            </w:r>
            <w:r>
              <w:rPr>
                <w:rFonts w:ascii="Arial" w:hAnsi="Arial"/>
                <w:sz w:val="18"/>
              </w:rPr>
              <w:t xml:space="preserve"> State Workplace Agreement</w:t>
            </w:r>
          </w:p>
          <w:p>
            <w:pPr>
              <w:pStyle w:val="yTableNAm"/>
              <w:tabs>
                <w:tab w:val="left" w:pos="2495"/>
              </w:tabs>
              <w:rPr>
                <w:rFonts w:ascii="Arial" w:hAnsi="Arial"/>
                <w:sz w:val="20"/>
              </w:rPr>
            </w:pPr>
            <w:r>
              <w:rPr>
                <w:rFonts w:ascii="Arial" w:hAnsi="Arial"/>
                <w:sz w:val="18"/>
              </w:rPr>
              <w:sym w:font="Monotype Sorts" w:char="F070"/>
            </w:r>
            <w:r>
              <w:rPr>
                <w:rFonts w:ascii="Arial" w:hAnsi="Arial"/>
                <w:sz w:val="18"/>
              </w:rPr>
              <w:t xml:space="preserve"> State Award</w:t>
            </w:r>
            <w:r>
              <w:rPr>
                <w:rFonts w:ascii="Arial" w:hAnsi="Arial"/>
                <w:sz w:val="18"/>
              </w:rPr>
              <w:tab/>
            </w:r>
            <w:r>
              <w:rPr>
                <w:rFonts w:ascii="Arial" w:hAnsi="Arial"/>
                <w:sz w:val="18"/>
              </w:rPr>
              <w:sym w:font="Monotype Sorts" w:char="F070"/>
            </w:r>
            <w:r>
              <w:rPr>
                <w:rFonts w:ascii="Arial" w:hAnsi="Arial"/>
                <w:sz w:val="18"/>
              </w:rPr>
              <w:t xml:space="preserve"> Other</w:t>
            </w:r>
          </w:p>
          <w:p>
            <w:pPr>
              <w:pStyle w:val="yTableNAm"/>
              <w:tabs>
                <w:tab w:val="left" w:pos="2920"/>
              </w:tabs>
              <w:rPr>
                <w:rFonts w:ascii="Arial" w:hAnsi="Arial"/>
                <w:sz w:val="20"/>
              </w:rPr>
            </w:pPr>
            <w:r>
              <w:rPr>
                <w:rFonts w:ascii="Arial" w:hAnsi="Arial"/>
                <w:sz w:val="20"/>
              </w:rPr>
              <w:t>Name of Agreement/Award</w:t>
            </w:r>
          </w:p>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39</w:t>
            </w:r>
          </w:p>
        </w:tc>
        <w:tc>
          <w:tcPr>
            <w:tcW w:w="6521" w:type="dxa"/>
            <w:gridSpan w:val="5"/>
          </w:tcPr>
          <w:p>
            <w:pPr>
              <w:pStyle w:val="yTableNAm"/>
              <w:rPr>
                <w:rFonts w:ascii="Arial" w:hAnsi="Arial"/>
                <w:sz w:val="20"/>
              </w:rPr>
            </w:pPr>
            <w:r>
              <w:rPr>
                <w:rFonts w:ascii="Arial" w:hAnsi="Arial"/>
                <w:sz w:val="20"/>
              </w:rPr>
              <w:t>Please indicate the number of hours of employment and training per week and whether this Apprenticeship/Traineeship is full</w:t>
            </w:r>
            <w:r>
              <w:rPr>
                <w:rFonts w:ascii="Arial" w:hAnsi="Arial"/>
                <w:sz w:val="20"/>
              </w:rPr>
              <w:noBreakHyphen/>
              <w:t>time or part</w:t>
            </w:r>
            <w:r>
              <w:rPr>
                <w:rFonts w:ascii="Arial" w:hAnsi="Arial"/>
                <w:sz w:val="20"/>
              </w:rPr>
              <w:noBreakHyphen/>
              <w:t>time.</w:t>
            </w:r>
          </w:p>
        </w:tc>
      </w:tr>
      <w:tr>
        <w:trPr>
          <w:cantSplit/>
        </w:trPr>
        <w:tc>
          <w:tcPr>
            <w:tcW w:w="567" w:type="dxa"/>
            <w:vMerge/>
            <w:tcBorders>
              <w:left w:val="single" w:sz="4" w:space="0" w:color="auto"/>
            </w:tcBorders>
          </w:tcPr>
          <w:p>
            <w:pPr>
              <w:pStyle w:val="yTableNAm"/>
              <w:rPr>
                <w:rFonts w:ascii="Arial" w:hAnsi="Arial"/>
                <w:sz w:val="20"/>
              </w:rPr>
            </w:pPr>
          </w:p>
        </w:tc>
        <w:tc>
          <w:tcPr>
            <w:tcW w:w="6096" w:type="dxa"/>
            <w:gridSpan w:val="4"/>
          </w:tcPr>
          <w:p>
            <w:pPr>
              <w:pStyle w:val="yTableNAm"/>
              <w:rPr>
                <w:rFonts w:ascii="Arial" w:hAnsi="Arial"/>
                <w:sz w:val="20"/>
              </w:rPr>
            </w:pPr>
            <w:r>
              <w:rPr>
                <w:rFonts w:ascii="Arial" w:hAnsi="Arial"/>
                <w:sz w:val="20"/>
              </w:rPr>
              <w:t>Number of hours work and training per week</w:t>
            </w:r>
          </w:p>
          <w:p>
            <w:pPr>
              <w:pStyle w:val="yTableNAm"/>
              <w:tabs>
                <w:tab w:val="clear" w:pos="567"/>
                <w:tab w:val="left" w:pos="2495"/>
              </w:tabs>
              <w:rPr>
                <w:rFonts w:ascii="Arial" w:hAnsi="Arial"/>
                <w:sz w:val="20"/>
              </w:rPr>
            </w:pPr>
            <w:r>
              <w:rPr>
                <w:rFonts w:ascii="Arial" w:hAnsi="Arial"/>
                <w:sz w:val="20"/>
              </w:rPr>
              <w:sym w:font="Monotype Sorts" w:char="F070"/>
            </w:r>
            <w:r>
              <w:rPr>
                <w:rFonts w:ascii="Arial" w:hAnsi="Arial"/>
                <w:sz w:val="20"/>
              </w:rPr>
              <w:t xml:space="preserve"> Full</w:t>
            </w:r>
            <w:r>
              <w:rPr>
                <w:rFonts w:ascii="Arial" w:hAnsi="Arial"/>
                <w:sz w:val="20"/>
              </w:rPr>
              <w:noBreakHyphen/>
              <w:t>time</w:t>
            </w:r>
            <w:r>
              <w:rPr>
                <w:rFonts w:ascii="Arial" w:hAnsi="Arial"/>
                <w:sz w:val="20"/>
              </w:rPr>
              <w:tab/>
            </w:r>
            <w:r>
              <w:rPr>
                <w:rFonts w:ascii="Arial" w:hAnsi="Arial"/>
                <w:sz w:val="20"/>
              </w:rPr>
              <w:sym w:font="Monotype Sorts" w:char="F070"/>
            </w:r>
            <w:r>
              <w:rPr>
                <w:rFonts w:ascii="Arial" w:hAnsi="Arial"/>
                <w:sz w:val="20"/>
              </w:rPr>
              <w:t xml:space="preserve"> Part</w:t>
            </w:r>
            <w:r>
              <w:rPr>
                <w:rFonts w:ascii="Arial" w:hAnsi="Arial"/>
                <w:sz w:val="20"/>
              </w:rPr>
              <w:noBreakHyphen/>
              <w:t>time</w:t>
            </w:r>
          </w:p>
        </w:tc>
        <w:tc>
          <w:tcPr>
            <w:tcW w:w="425" w:type="dxa"/>
          </w:tcPr>
          <w:p>
            <w:pPr>
              <w:pStyle w:val="yTableNAm"/>
              <w:rPr>
                <w:rFonts w:ascii="Arial" w:hAnsi="Arial"/>
                <w:sz w:val="20"/>
              </w:rPr>
            </w:pPr>
          </w:p>
        </w:tc>
      </w:tr>
      <w:tr>
        <w:trPr>
          <w:cantSplit/>
        </w:trPr>
        <w:tc>
          <w:tcPr>
            <w:tcW w:w="567" w:type="dxa"/>
            <w:vMerge w:val="restart"/>
            <w:tcBorders>
              <w:left w:val="single" w:sz="4" w:space="0" w:color="auto"/>
            </w:tcBorders>
          </w:tcPr>
          <w:p>
            <w:pPr>
              <w:pStyle w:val="yTableNAm"/>
              <w:rPr>
                <w:rFonts w:ascii="Arial" w:hAnsi="Arial"/>
                <w:sz w:val="20"/>
              </w:rPr>
            </w:pPr>
            <w:r>
              <w:rPr>
                <w:rFonts w:ascii="Arial" w:hAnsi="Arial"/>
                <w:sz w:val="20"/>
              </w:rPr>
              <w:t>40</w:t>
            </w:r>
          </w:p>
        </w:tc>
        <w:tc>
          <w:tcPr>
            <w:tcW w:w="6521" w:type="dxa"/>
            <w:gridSpan w:val="5"/>
          </w:tcPr>
          <w:p>
            <w:pPr>
              <w:pStyle w:val="yTableNAm"/>
              <w:rPr>
                <w:rFonts w:ascii="Arial" w:hAnsi="Arial"/>
                <w:sz w:val="20"/>
              </w:rPr>
            </w:pPr>
            <w:r>
              <w:rPr>
                <w:rFonts w:ascii="Arial" w:hAnsi="Arial"/>
                <w:sz w:val="20"/>
              </w:rPr>
              <w:t>Prior to commencing THIS Apprenticeship/Traineeship, has the apprentice/trainee worked for, or been hosted by/to, the employer/host employer?</w:t>
            </w: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tabs>
                <w:tab w:val="clear" w:pos="567"/>
                <w:tab w:val="left" w:pos="936"/>
              </w:tabs>
              <w:ind w:left="936" w:hanging="936"/>
              <w:rPr>
                <w:rFonts w:ascii="Arial" w:hAnsi="Arial"/>
                <w:sz w:val="20"/>
              </w:rPr>
            </w:pPr>
            <w:r>
              <w:rPr>
                <w:rFonts w:ascii="Arial" w:hAnsi="Arial"/>
                <w:sz w:val="20"/>
              </w:rPr>
              <w:sym w:font="Monotype Sorts" w:char="F070"/>
            </w:r>
            <w:r>
              <w:rPr>
                <w:rFonts w:ascii="Arial" w:hAnsi="Arial"/>
                <w:sz w:val="20"/>
              </w:rPr>
              <w:t xml:space="preserve"> Yes →</w:t>
            </w:r>
            <w:r>
              <w:rPr>
                <w:rFonts w:ascii="Arial" w:hAnsi="Arial"/>
                <w:sz w:val="20"/>
              </w:rPr>
              <w:tab/>
            </w:r>
            <w:r>
              <w:rPr>
                <w:rFonts w:ascii="Arial" w:hAnsi="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full</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part</w:t>
            </w:r>
            <w:r>
              <w:rPr>
                <w:rFonts w:ascii="Arial" w:hAnsi="Arial"/>
                <w:sz w:val="18"/>
              </w:rPr>
              <w:noBreakHyphen/>
              <w:t>time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Part</w:t>
            </w:r>
            <w:r>
              <w:rPr>
                <w:rFonts w:ascii="Arial" w:hAnsi="Arial"/>
                <w:sz w:val="18"/>
              </w:rPr>
              <w:noBreakHyphen/>
              <w:t>time: Number of hours per week</w:t>
            </w:r>
          </w:p>
        </w:tc>
        <w:tc>
          <w:tcPr>
            <w:tcW w:w="1559" w:type="dxa"/>
            <w:gridSpan w:val="2"/>
          </w:tcPr>
          <w:p>
            <w:pPr>
              <w:pStyle w:val="yTableNAm"/>
              <w:rPr>
                <w:rFonts w:ascii="Arial" w:hAnsi="Arial"/>
                <w:sz w:val="18"/>
              </w:rPr>
            </w:pP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r>
              <w:rPr>
                <w:rFonts w:ascii="Arial" w:hAnsi="Arial"/>
                <w:sz w:val="18"/>
              </w:rPr>
              <w:t>Period of previous casual employment/hosting: from</w:t>
            </w:r>
          </w:p>
        </w:tc>
        <w:tc>
          <w:tcPr>
            <w:tcW w:w="1701" w:type="dxa"/>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c>
          <w:tcPr>
            <w:tcW w:w="284" w:type="dxa"/>
          </w:tcPr>
          <w:p>
            <w:pPr>
              <w:pStyle w:val="yTableNAm"/>
              <w:rPr>
                <w:rFonts w:ascii="Arial" w:hAnsi="Arial"/>
                <w:sz w:val="18"/>
              </w:rPr>
            </w:pPr>
          </w:p>
          <w:p>
            <w:pPr>
              <w:pStyle w:val="yTableNAm"/>
              <w:rPr>
                <w:rFonts w:ascii="Arial" w:hAnsi="Arial"/>
                <w:sz w:val="18"/>
              </w:rPr>
            </w:pPr>
            <w:r>
              <w:rPr>
                <w:rFonts w:ascii="Arial" w:hAnsi="Arial"/>
                <w:sz w:val="18"/>
              </w:rPr>
              <w:t>to</w:t>
            </w:r>
          </w:p>
        </w:tc>
        <w:tc>
          <w:tcPr>
            <w:tcW w:w="1559" w:type="dxa"/>
            <w:gridSpan w:val="2"/>
          </w:tcPr>
          <w:p>
            <w:pPr>
              <w:pStyle w:val="yTableNAm"/>
              <w:rPr>
                <w:rFonts w:ascii="Arial" w:hAnsi="Arial"/>
                <w:sz w:val="18"/>
              </w:rPr>
            </w:pPr>
            <w:r>
              <w:rPr>
                <w:rFonts w:ascii="Arial" w:hAnsi="Arial"/>
                <w:sz w:val="18"/>
              </w:rPr>
              <w:t>Day Month Year</w:t>
            </w:r>
          </w:p>
          <w:p>
            <w:pPr>
              <w:pStyle w:val="yTableNAm"/>
              <w:rPr>
                <w:rFonts w:ascii="Arial" w:hAnsi="Arial"/>
                <w:sz w:val="18"/>
              </w:rPr>
            </w:pPr>
            <w:r>
              <w:rPr>
                <w:rFonts w:ascii="Arial" w:hAnsi="Arial"/>
                <w:sz w:val="18"/>
              </w:rPr>
              <w:t xml:space="preserve">       /       /</w:t>
            </w:r>
          </w:p>
        </w:tc>
      </w:tr>
      <w:tr>
        <w:trPr>
          <w:cantSplit/>
        </w:trPr>
        <w:tc>
          <w:tcPr>
            <w:tcW w:w="567" w:type="dxa"/>
            <w:vMerge/>
            <w:tcBorders>
              <w:left w:val="single" w:sz="4" w:space="0" w:color="auto"/>
            </w:tcBorders>
          </w:tcPr>
          <w:p>
            <w:pPr>
              <w:pStyle w:val="yTableNAm"/>
              <w:rPr>
                <w:rFonts w:ascii="Arial" w:hAnsi="Arial"/>
                <w:sz w:val="20"/>
              </w:rPr>
            </w:pPr>
          </w:p>
        </w:tc>
        <w:tc>
          <w:tcPr>
            <w:tcW w:w="2977" w:type="dxa"/>
          </w:tcPr>
          <w:p>
            <w:pPr>
              <w:pStyle w:val="yTableNAm"/>
              <w:rPr>
                <w:rFonts w:ascii="Arial" w:hAnsi="Arial"/>
                <w:sz w:val="18"/>
              </w:rPr>
            </w:pPr>
          </w:p>
        </w:tc>
        <w:tc>
          <w:tcPr>
            <w:tcW w:w="1985" w:type="dxa"/>
            <w:gridSpan w:val="2"/>
          </w:tcPr>
          <w:p>
            <w:pPr>
              <w:pStyle w:val="yTableNAm"/>
              <w:rPr>
                <w:rFonts w:ascii="Arial" w:hAnsi="Arial"/>
                <w:sz w:val="18"/>
              </w:rPr>
            </w:pPr>
            <w:r>
              <w:rPr>
                <w:rFonts w:ascii="Arial" w:hAnsi="Arial"/>
                <w:sz w:val="18"/>
              </w:rPr>
              <w:t>Casual: Number of hours per week</w:t>
            </w:r>
          </w:p>
        </w:tc>
        <w:tc>
          <w:tcPr>
            <w:tcW w:w="1559" w:type="dxa"/>
            <w:gridSpan w:val="2"/>
          </w:tcPr>
          <w:p>
            <w:pPr>
              <w:pStyle w:val="yTableNAm"/>
              <w:rPr>
                <w:rFonts w:ascii="Arial" w:hAnsi="Arial"/>
                <w:sz w:val="18"/>
              </w:rPr>
            </w:pPr>
          </w:p>
        </w:tc>
      </w:tr>
      <w:tr>
        <w:tc>
          <w:tcPr>
            <w:tcW w:w="567" w:type="dxa"/>
            <w:tcBorders>
              <w:left w:val="single" w:sz="4" w:space="0" w:color="auto"/>
            </w:tcBorders>
          </w:tcPr>
          <w:p>
            <w:pPr>
              <w:pStyle w:val="yTableNAm"/>
              <w:keepNext/>
              <w:rPr>
                <w:rFonts w:ascii="Arial" w:hAnsi="Arial"/>
                <w:sz w:val="20"/>
              </w:rPr>
            </w:pPr>
            <w:r>
              <w:rPr>
                <w:rFonts w:ascii="Arial" w:hAnsi="Arial"/>
                <w:sz w:val="20"/>
              </w:rPr>
              <w:t>41</w:t>
            </w:r>
          </w:p>
        </w:tc>
        <w:tc>
          <w:tcPr>
            <w:tcW w:w="6521" w:type="dxa"/>
            <w:gridSpan w:val="5"/>
          </w:tcPr>
          <w:p>
            <w:pPr>
              <w:pStyle w:val="yTableNAm"/>
              <w:keepNext/>
              <w:rPr>
                <w:rFonts w:ascii="Arial" w:hAnsi="Arial"/>
                <w:sz w:val="20"/>
              </w:rPr>
            </w:pPr>
            <w:r>
              <w:rPr>
                <w:rFonts w:ascii="Arial" w:hAnsi="Arial"/>
                <w:sz w:val="20"/>
              </w:rPr>
              <w:t>Is the apprentice/trainee in a business relationship with this employer?</w:t>
            </w:r>
          </w:p>
          <w:p>
            <w:pPr>
              <w:pStyle w:val="yTableNAm"/>
              <w:keepNext/>
              <w:rPr>
                <w:rFonts w:ascii="Arial" w:hAnsi="Arial"/>
                <w:sz w:val="20"/>
              </w:rPr>
            </w:pPr>
            <w:r>
              <w:rPr>
                <w:rFonts w:ascii="Arial" w:hAnsi="Arial"/>
                <w:sz w:val="18"/>
              </w:rPr>
              <w:t>(Examples include partnership, director or franchise arrangement – family trusts excluded.) (Refer to Information to Help Complete the Training Contract)</w:t>
            </w:r>
          </w:p>
          <w:p>
            <w:pPr>
              <w:pStyle w:val="yTableNAm"/>
              <w:keepNext/>
              <w:rPr>
                <w:rFonts w:ascii="Arial" w:hAnsi="Arial"/>
                <w:sz w:val="20"/>
              </w:rPr>
            </w:pPr>
            <w:r>
              <w:rPr>
                <w:rFonts w:ascii="Arial" w:hAnsi="Arial"/>
                <w:sz w:val="20"/>
              </w:rPr>
              <w:sym w:font="Monotype Sorts" w:char="F070"/>
            </w:r>
            <w:r>
              <w:rPr>
                <w:rFonts w:ascii="Arial" w:hAnsi="Arial"/>
                <w:sz w:val="20"/>
              </w:rPr>
              <w:t xml:space="preserve"> No</w:t>
            </w:r>
          </w:p>
          <w:p>
            <w:pPr>
              <w:pStyle w:val="yTableNAm"/>
              <w:keepNext/>
              <w:rPr>
                <w:rFonts w:ascii="Arial" w:hAnsi="Arial"/>
                <w:sz w:val="20"/>
              </w:rPr>
            </w:pPr>
            <w:r>
              <w:rPr>
                <w:rFonts w:ascii="Arial" w:hAnsi="Arial"/>
                <w:sz w:val="20"/>
              </w:rPr>
              <w:sym w:font="Monotype Sorts" w:char="F070"/>
            </w:r>
            <w:r>
              <w:rPr>
                <w:rFonts w:ascii="Arial" w:hAnsi="Arial"/>
                <w:sz w:val="20"/>
              </w:rPr>
              <w:t xml:space="preserve"> Yes → Type of business relationship</w:t>
            </w:r>
          </w:p>
          <w:p>
            <w:pPr>
              <w:pStyle w:val="yTableNAm"/>
              <w:keepNext/>
              <w:rPr>
                <w:rFonts w:ascii="Arial" w:hAnsi="Arial"/>
                <w:sz w:val="20"/>
              </w:rPr>
            </w:pPr>
          </w:p>
        </w:tc>
      </w:tr>
      <w:tr>
        <w:tc>
          <w:tcPr>
            <w:tcW w:w="567" w:type="dxa"/>
            <w:tcBorders>
              <w:left w:val="single" w:sz="4" w:space="0" w:color="auto"/>
            </w:tcBorders>
          </w:tcPr>
          <w:p>
            <w:pPr>
              <w:pStyle w:val="yTableNAm"/>
              <w:rPr>
                <w:rFonts w:ascii="Arial" w:hAnsi="Arial"/>
                <w:sz w:val="20"/>
              </w:rPr>
            </w:pPr>
            <w:r>
              <w:rPr>
                <w:rFonts w:ascii="Arial" w:hAnsi="Arial"/>
                <w:sz w:val="20"/>
              </w:rPr>
              <w:t>42</w:t>
            </w:r>
          </w:p>
        </w:tc>
        <w:tc>
          <w:tcPr>
            <w:tcW w:w="6521" w:type="dxa"/>
            <w:gridSpan w:val="5"/>
          </w:tcPr>
          <w:p>
            <w:pPr>
              <w:pStyle w:val="yTableNAm"/>
              <w:rPr>
                <w:rFonts w:ascii="Arial" w:hAnsi="Arial"/>
                <w:sz w:val="20"/>
              </w:rPr>
            </w:pPr>
            <w:r>
              <w:rPr>
                <w:rFonts w:ascii="Arial" w:hAnsi="Arial"/>
                <w:sz w:val="20"/>
              </w:rPr>
              <w:t>Has the employer previously received Australian Government Incentives for this apprentice/trainee and/or has the employer received or applied to receive any other government assistance for this apprentice/trainee?</w:t>
            </w:r>
          </w:p>
          <w:p>
            <w:pPr>
              <w:pStyle w:val="yTableNAm"/>
              <w:rPr>
                <w:rFonts w:ascii="Arial" w:hAnsi="Arial"/>
                <w:sz w:val="20"/>
              </w:rPr>
            </w:pPr>
          </w:p>
          <w:p>
            <w:pPr>
              <w:pStyle w:val="yTableNAm"/>
              <w:rPr>
                <w:rFonts w:ascii="Arial" w:hAnsi="Arial"/>
                <w:sz w:val="20"/>
              </w:rPr>
            </w:pPr>
            <w:r>
              <w:rPr>
                <w:rFonts w:ascii="Arial" w:hAnsi="Arial"/>
                <w:sz w:val="20"/>
              </w:rPr>
              <w:sym w:font="Monotype Sorts" w:char="F070"/>
            </w:r>
            <w:r>
              <w:rPr>
                <w:rFonts w:ascii="Arial" w:hAnsi="Arial"/>
                <w:sz w:val="20"/>
              </w:rPr>
              <w:t xml:space="preserve"> No</w:t>
            </w:r>
          </w:p>
          <w:p>
            <w:pPr>
              <w:pStyle w:val="yTableNAm"/>
              <w:rPr>
                <w:rFonts w:ascii="Arial" w:hAnsi="Arial"/>
                <w:sz w:val="20"/>
              </w:rPr>
            </w:pPr>
            <w:r>
              <w:rPr>
                <w:rFonts w:ascii="Arial" w:hAnsi="Arial"/>
                <w:sz w:val="20"/>
              </w:rPr>
              <w:sym w:font="Monotype Sorts" w:char="F070"/>
            </w:r>
            <w:r>
              <w:rPr>
                <w:rFonts w:ascii="Arial" w:hAnsi="Arial"/>
                <w:sz w:val="20"/>
              </w:rPr>
              <w:t xml:space="preserve"> Yes → Please provide details below</w:t>
            </w:r>
          </w:p>
          <w:p>
            <w:pPr>
              <w:pStyle w:val="yTableNAm"/>
              <w:rPr>
                <w:rFonts w:ascii="Arial" w:hAnsi="Arial"/>
                <w:sz w:val="20"/>
              </w:rPr>
            </w:pPr>
          </w:p>
        </w:tc>
      </w:tr>
    </w:tbl>
    <w:p>
      <w:pPr>
        <w:pStyle w:val="yMiscellaneousBody"/>
        <w:keepNext/>
        <w:spacing w:before="200" w:after="200"/>
        <w:rPr>
          <w:rFonts w:ascii="Arial" w:hAnsi="Arial" w:cs="Arial"/>
          <w:b/>
          <w:bCs/>
          <w:szCs w:val="22"/>
        </w:rPr>
      </w:pPr>
      <w:r>
        <w:rPr>
          <w:rFonts w:ascii="Arial" w:hAnsi="Arial" w:cs="Arial"/>
          <w:b/>
          <w:bCs/>
          <w:szCs w:val="22"/>
        </w:rPr>
        <w:t>Registered Training Organisation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Name of Registered Training Organisation (RTO)</w:t>
            </w:r>
          </w:p>
          <w:p>
            <w:pPr>
              <w:pStyle w:val="yTableNAm"/>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bl>
    <w:p>
      <w:pPr>
        <w:pStyle w:val="yMiscellaneousBody"/>
        <w:keepNext/>
        <w:spacing w:before="200" w:after="200"/>
        <w:rPr>
          <w:rFonts w:ascii="Arial" w:hAnsi="Arial" w:cs="Arial"/>
          <w:b/>
          <w:bCs/>
          <w:szCs w:val="22"/>
        </w:rPr>
      </w:pPr>
      <w:r>
        <w:rPr>
          <w:rFonts w:ascii="Arial" w:hAnsi="Arial" w:cs="Arial"/>
          <w:b/>
          <w:bCs/>
          <w:szCs w:val="22"/>
        </w:rPr>
        <w:lastRenderedPageBreak/>
        <w:t>Australian Apprenticeships Centre details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686"/>
        <w:gridCol w:w="3402"/>
      </w:tblGrid>
      <w:tr>
        <w:trPr>
          <w:cantSplit/>
        </w:trPr>
        <w:tc>
          <w:tcPr>
            <w:tcW w:w="7088" w:type="dxa"/>
            <w:gridSpan w:val="2"/>
            <w:tcBorders>
              <w:left w:val="single" w:sz="4" w:space="0" w:color="auto"/>
            </w:tcBorders>
          </w:tcPr>
          <w:p>
            <w:pPr>
              <w:pStyle w:val="yTableNAm"/>
              <w:keepNext/>
              <w:rPr>
                <w:rFonts w:ascii="Arial" w:hAnsi="Arial" w:cs="Arial"/>
                <w:sz w:val="20"/>
              </w:rPr>
            </w:pPr>
            <w:r>
              <w:rPr>
                <w:rFonts w:ascii="Arial" w:hAnsi="Arial" w:cs="Arial"/>
                <w:sz w:val="20"/>
              </w:rPr>
              <w:t>Name of Australian Apprenticeships Centre</w:t>
            </w:r>
          </w:p>
          <w:p>
            <w:pPr>
              <w:pStyle w:val="yTableNAm"/>
              <w:keepNext/>
              <w:rPr>
                <w:rFonts w:ascii="Arial" w:hAnsi="Arial" w:cs="Arial"/>
                <w:sz w:val="20"/>
              </w:rPr>
            </w:pPr>
          </w:p>
        </w:tc>
      </w:tr>
      <w:tr>
        <w:trPr>
          <w:cantSplit/>
        </w:trPr>
        <w:tc>
          <w:tcPr>
            <w:tcW w:w="3686" w:type="dxa"/>
            <w:tcBorders>
              <w:left w:val="single" w:sz="4" w:space="0" w:color="auto"/>
            </w:tcBorders>
          </w:tcPr>
          <w:p>
            <w:pPr>
              <w:pStyle w:val="yTableNAm"/>
              <w:rPr>
                <w:rFonts w:ascii="Arial" w:hAnsi="Arial" w:cs="Arial"/>
                <w:sz w:val="20"/>
              </w:rPr>
            </w:pPr>
            <w:r>
              <w:rPr>
                <w:rFonts w:ascii="Arial" w:hAnsi="Arial" w:cs="Arial"/>
                <w:sz w:val="20"/>
              </w:rPr>
              <w:t>Telephone number</w:t>
            </w:r>
          </w:p>
          <w:p>
            <w:pPr>
              <w:pStyle w:val="yTableNAm"/>
              <w:rPr>
                <w:rFonts w:ascii="Arial" w:hAnsi="Arial" w:cs="Arial"/>
                <w:sz w:val="20"/>
              </w:rPr>
            </w:pPr>
            <w:r>
              <w:rPr>
                <w:rFonts w:ascii="Arial" w:hAnsi="Arial" w:cs="Arial"/>
                <w:sz w:val="20"/>
              </w:rPr>
              <w:t>(  )</w:t>
            </w:r>
          </w:p>
        </w:tc>
        <w:tc>
          <w:tcPr>
            <w:tcW w:w="3402" w:type="dxa"/>
            <w:tcBorders>
              <w:left w:val="single" w:sz="4" w:space="0" w:color="auto"/>
            </w:tcBorders>
          </w:tcPr>
          <w:p>
            <w:pPr>
              <w:pStyle w:val="yTableNAm"/>
              <w:rPr>
                <w:rFonts w:ascii="Arial" w:hAnsi="Arial" w:cs="Arial"/>
                <w:sz w:val="20"/>
              </w:rPr>
            </w:pPr>
            <w:r>
              <w:rPr>
                <w:rFonts w:ascii="Arial" w:hAnsi="Arial" w:cs="Arial"/>
                <w:sz w:val="20"/>
              </w:rPr>
              <w:t>Contact Officer</w:t>
            </w:r>
          </w:p>
        </w:tc>
      </w:tr>
      <w:tr>
        <w:trPr>
          <w:cantSplit/>
        </w:trPr>
        <w:tc>
          <w:tcPr>
            <w:tcW w:w="7088" w:type="dxa"/>
            <w:gridSpan w:val="2"/>
            <w:tcBorders>
              <w:left w:val="single" w:sz="4" w:space="0" w:color="auto"/>
            </w:tcBorders>
          </w:tcPr>
          <w:p>
            <w:pPr>
              <w:pStyle w:val="yTableNAm"/>
              <w:rPr>
                <w:rFonts w:ascii="Arial" w:hAnsi="Arial" w:cs="Arial"/>
                <w:sz w:val="20"/>
              </w:rPr>
            </w:pPr>
            <w:r>
              <w:rPr>
                <w:rFonts w:ascii="Arial" w:hAnsi="Arial" w:cs="Arial"/>
                <w:sz w:val="20"/>
              </w:rPr>
              <w:t>Office Use Only   Project Code</w:t>
            </w:r>
          </w:p>
        </w:tc>
      </w:tr>
    </w:tbl>
    <w:p>
      <w:pPr>
        <w:pStyle w:val="yMiscellaneousBody"/>
        <w:keepNext/>
        <w:widowControl w:val="0"/>
        <w:rPr>
          <w:rFonts w:ascii="Arial" w:hAnsi="Arial" w:cs="Arial"/>
          <w:b/>
          <w:bCs/>
          <w:szCs w:val="22"/>
        </w:rPr>
      </w:pPr>
      <w:r>
        <w:rPr>
          <w:rFonts w:ascii="Arial" w:hAnsi="Arial" w:cs="Arial"/>
          <w:b/>
          <w:bCs/>
          <w:szCs w:val="22"/>
        </w:rPr>
        <w:t>Information on Australian Government Australian Apprenticeships Incentives</w:t>
      </w:r>
    </w:p>
    <w:p>
      <w:pPr>
        <w:pStyle w:val="yMiscellaneousBody"/>
        <w:widowControl w:val="0"/>
        <w:rPr>
          <w:rFonts w:ascii="Arial" w:hAnsi="Arial" w:cs="Arial"/>
          <w:sz w:val="20"/>
          <w:szCs w:val="22"/>
        </w:rPr>
      </w:pPr>
      <w:r>
        <w:rPr>
          <w:rFonts w:ascii="Arial" w:hAnsi="Arial" w:cs="Arial"/>
          <w:sz w:val="20"/>
          <w:szCs w:val="22"/>
        </w:rPr>
        <w:t>Australian Apprenticeships encompass all apprenticeships and traineeships. They combine time at work with training and can be full</w:t>
      </w:r>
      <w:r>
        <w:rPr>
          <w:rFonts w:ascii="Arial" w:hAnsi="Arial" w:cs="Arial"/>
          <w:sz w:val="20"/>
          <w:szCs w:val="22"/>
        </w:rPr>
        <w:noBreakHyphen/>
        <w:t>time, part</w:t>
      </w:r>
      <w:r>
        <w:rPr>
          <w:rFonts w:ascii="Arial" w:hAnsi="Arial" w:cs="Arial"/>
          <w:sz w:val="20"/>
          <w:szCs w:val="22"/>
        </w:rPr>
        <w:noBreakHyphen/>
        <w:t>time or school</w:t>
      </w:r>
      <w:r>
        <w:rPr>
          <w:rFonts w:ascii="Arial" w:hAnsi="Arial" w:cs="Arial"/>
          <w:sz w:val="20"/>
          <w:szCs w:val="22"/>
        </w:rPr>
        <w:noBreakHyphen/>
        <w:t>based. Australian Apprenticeships are a stepping stone to ongoing employment or further education and training, and a great way to get a head start to a career.</w:t>
      </w:r>
    </w:p>
    <w:p>
      <w:pPr>
        <w:pStyle w:val="yMiscellaneousBody"/>
        <w:widowControl w:val="0"/>
        <w:rPr>
          <w:rFonts w:ascii="Arial" w:hAnsi="Arial" w:cs="Arial"/>
          <w:sz w:val="20"/>
          <w:szCs w:val="22"/>
        </w:rPr>
      </w:pPr>
      <w:r>
        <w:rPr>
          <w:rFonts w:ascii="Arial" w:hAnsi="Arial" w:cs="Arial"/>
          <w:sz w:val="20"/>
          <w:szCs w:val="22"/>
        </w:rPr>
        <w:t>The Australian Apprenticeships Incentives Program encourages employers to offer the kinds of employment</w:t>
      </w:r>
      <w:r>
        <w:rPr>
          <w:rFonts w:ascii="Arial" w:hAnsi="Arial" w:cs="Arial"/>
          <w:sz w:val="20"/>
          <w:szCs w:val="22"/>
        </w:rPr>
        <w:noBreakHyphen/>
        <w:t>related training opportunities that will encourage people to acquire and expand their working skills.</w:t>
      </w:r>
    </w:p>
    <w:p>
      <w:pPr>
        <w:pStyle w:val="yMiscellaneousBody"/>
        <w:widowControl w:val="0"/>
        <w:rPr>
          <w:rFonts w:ascii="Arial" w:hAnsi="Arial" w:cs="Arial"/>
          <w:sz w:val="20"/>
          <w:szCs w:val="22"/>
        </w:rPr>
      </w:pPr>
      <w:r>
        <w:rPr>
          <w:rFonts w:ascii="Arial" w:hAnsi="Arial" w:cs="Arial"/>
          <w:sz w:val="20"/>
          <w:szCs w:val="22"/>
        </w:rPr>
        <w:t>The criteria and funding of Australian Government Australian Apprenticeships Incentives payments may change during the term of this Training Contract in line with Government priorities. These changes will be notified by your Australian Apprenticeships Centre.</w:t>
      </w:r>
    </w:p>
    <w:p>
      <w:pPr>
        <w:pStyle w:val="yMiscellaneousBody"/>
        <w:widowControl w:val="0"/>
        <w:rPr>
          <w:rFonts w:ascii="Arial" w:hAnsi="Arial" w:cs="Arial"/>
          <w:sz w:val="20"/>
          <w:szCs w:val="22"/>
        </w:rPr>
      </w:pPr>
      <w:r>
        <w:rPr>
          <w:rFonts w:ascii="Arial" w:hAnsi="Arial" w:cs="Arial"/>
          <w:sz w:val="20"/>
          <w:szCs w:val="22"/>
        </w:rPr>
        <w:t>For further details about the incentives listed here, including application forms and advice about whether you may be eligible, contact your Australian Apprenticeships Centre.</w:t>
      </w:r>
    </w:p>
    <w:p>
      <w:pPr>
        <w:pStyle w:val="yMiscellaneousBody"/>
        <w:widowControl w:val="0"/>
        <w:rPr>
          <w:rFonts w:ascii="Arial" w:hAnsi="Arial" w:cs="Arial"/>
          <w:b/>
          <w:bCs/>
          <w:sz w:val="20"/>
        </w:rPr>
      </w:pPr>
      <w:r>
        <w:rPr>
          <w:rFonts w:ascii="Arial" w:hAnsi="Arial" w:cs="Arial"/>
          <w:b/>
          <w:bCs/>
          <w:sz w:val="20"/>
        </w:rPr>
        <w:t>Eligibility for Australian Government Incentives – Information for Employers</w:t>
      </w:r>
    </w:p>
    <w:p>
      <w:pPr>
        <w:pStyle w:val="yMiscellaneousBody"/>
        <w:widowControl w:val="0"/>
        <w:rPr>
          <w:rFonts w:ascii="Arial" w:hAnsi="Arial" w:cs="Arial"/>
          <w:sz w:val="18"/>
          <w:szCs w:val="22"/>
        </w:rPr>
      </w:pPr>
      <w:r>
        <w:rPr>
          <w:rFonts w:ascii="Arial" w:hAnsi="Arial" w:cs="Arial"/>
          <w:sz w:val="18"/>
          <w:szCs w:val="22"/>
        </w:rPr>
        <w:t>This Training Contract has been designed to assess your eligibility for Australian Government Australian Apprenticeships Incentives.</w:t>
      </w:r>
    </w:p>
    <w:p>
      <w:pPr>
        <w:pStyle w:val="yMiscellaneousBody"/>
        <w:widowControl w:val="0"/>
        <w:rPr>
          <w:rFonts w:ascii="Arial" w:hAnsi="Arial" w:cs="Arial"/>
          <w:sz w:val="18"/>
          <w:szCs w:val="22"/>
        </w:rPr>
      </w:pPr>
      <w:r>
        <w:rPr>
          <w:rFonts w:ascii="Arial" w:hAnsi="Arial" w:cs="Arial"/>
          <w:sz w:val="18"/>
          <w:szCs w:val="22"/>
        </w:rPr>
        <w:t>These Incentives can include Commencement, Recommencement, Completion and other special incentives.</w:t>
      </w:r>
    </w:p>
    <w:p>
      <w:pPr>
        <w:pStyle w:val="yMiscellaneousBody"/>
        <w:widowControl w:val="0"/>
        <w:rPr>
          <w:rFonts w:ascii="Arial" w:hAnsi="Arial" w:cs="Arial"/>
          <w:sz w:val="18"/>
          <w:szCs w:val="22"/>
        </w:rPr>
      </w:pPr>
      <w:r>
        <w:rPr>
          <w:rFonts w:ascii="Arial" w:hAnsi="Arial" w:cs="Arial"/>
          <w:sz w:val="18"/>
          <w:szCs w:val="22"/>
        </w:rPr>
        <w:t>Eligibility is assessed on a number of criteria, including but not limited to:</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date the Australian Apprentice commences or recommences with an employer;</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employment status of the Australian Apprentice at the date the incentive falls due;</w:t>
      </w:r>
    </w:p>
    <w:p>
      <w:pPr>
        <w:pStyle w:val="yMiscellaneousBody"/>
        <w:ind w:left="284" w:hanging="284"/>
        <w:rPr>
          <w:rFonts w:ascii="Arial" w:hAnsi="Arial" w:cs="Arial"/>
          <w:sz w:val="18"/>
          <w:szCs w:val="22"/>
        </w:rPr>
      </w:pPr>
      <w:r>
        <w:rPr>
          <w:rFonts w:ascii="Arial" w:hAnsi="Arial" w:cs="Arial"/>
          <w:sz w:val="18"/>
          <w:szCs w:val="22"/>
        </w:rPr>
        <w:lastRenderedPageBreak/>
        <w:t>•</w:t>
      </w:r>
      <w:r>
        <w:rPr>
          <w:rFonts w:ascii="Arial" w:hAnsi="Arial" w:cs="Arial"/>
          <w:sz w:val="18"/>
          <w:szCs w:val="22"/>
        </w:rPr>
        <w:tab/>
        <w:t>the location of the workplace;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accredited training program is in place;</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type of employment relationship;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the formal approval by the State or Territory Training Authority.</w:t>
      </w:r>
    </w:p>
    <w:p>
      <w:pPr>
        <w:pStyle w:val="yMiscellaneousBody"/>
        <w:widowControl w:val="0"/>
        <w:rPr>
          <w:rFonts w:ascii="Arial" w:hAnsi="Arial" w:cs="Arial"/>
          <w:szCs w:val="22"/>
        </w:rPr>
      </w:pPr>
      <w:r>
        <w:rPr>
          <w:rFonts w:ascii="Arial" w:hAnsi="Arial" w:cs="Arial"/>
          <w:sz w:val="18"/>
          <w:szCs w:val="22"/>
        </w:rPr>
        <w:t>If you are eligible for Australian Government Incentives, you will need to complete a separate Claim Form available from your Australian Apprenticeships Centre in order to be paid. This Claim Form should be lodged following:</w:t>
      </w:r>
    </w:p>
    <w:p>
      <w:pPr>
        <w:pStyle w:val="yMiscellaneousBody"/>
        <w:ind w:left="284" w:hanging="284"/>
        <w:rPr>
          <w:rFonts w:ascii="Arial" w:hAnsi="Arial" w:cs="Arial"/>
          <w:sz w:val="18"/>
          <w:szCs w:val="22"/>
        </w:rPr>
      </w:pPr>
      <w:r>
        <w:rPr>
          <w:rFonts w:ascii="Arial" w:hAnsi="Arial" w:cs="Arial"/>
          <w:szCs w:val="22"/>
        </w:rPr>
        <w:t>•</w:t>
      </w:r>
      <w:r>
        <w:rPr>
          <w:rFonts w:ascii="Arial" w:hAnsi="Arial" w:cs="Arial"/>
          <w:szCs w:val="22"/>
        </w:rPr>
        <w:tab/>
      </w:r>
      <w:r>
        <w:rPr>
          <w:rFonts w:ascii="Arial" w:hAnsi="Arial" w:cs="Arial"/>
          <w:sz w:val="18"/>
          <w:szCs w:val="22"/>
        </w:rPr>
        <w:t>approval of the Training Contract;</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apprentice/trainee has commenced training according to the approved Training Plan; and</w:t>
      </w:r>
    </w:p>
    <w:p>
      <w:pPr>
        <w:pStyle w:val="yMiscellaneousBody"/>
        <w:ind w:left="284" w:hanging="284"/>
        <w:rPr>
          <w:rFonts w:ascii="Arial" w:hAnsi="Arial" w:cs="Arial"/>
          <w:sz w:val="18"/>
          <w:szCs w:val="22"/>
        </w:rPr>
      </w:pPr>
      <w:r>
        <w:rPr>
          <w:rFonts w:ascii="Arial" w:hAnsi="Arial" w:cs="Arial"/>
          <w:sz w:val="18"/>
          <w:szCs w:val="22"/>
        </w:rPr>
        <w:t>•</w:t>
      </w:r>
      <w:r>
        <w:rPr>
          <w:rFonts w:ascii="Arial" w:hAnsi="Arial" w:cs="Arial"/>
          <w:sz w:val="18"/>
          <w:szCs w:val="22"/>
        </w:rPr>
        <w:tab/>
        <w:t>after the Australian Government waiting period has expired and the apprentice/trainee is still employed by your business and any State/Territory probation period has been completed.</w:t>
      </w:r>
    </w:p>
    <w:p>
      <w:pPr>
        <w:pStyle w:val="yMiscellaneousBody"/>
        <w:widowControl w:val="0"/>
        <w:rPr>
          <w:rFonts w:ascii="Arial" w:hAnsi="Arial" w:cs="Arial"/>
          <w:b/>
          <w:bCs/>
          <w:sz w:val="20"/>
        </w:rPr>
      </w:pPr>
      <w:r>
        <w:rPr>
          <w:rFonts w:ascii="Arial" w:hAnsi="Arial" w:cs="Arial"/>
          <w:b/>
          <w:bCs/>
          <w:sz w:val="20"/>
        </w:rPr>
        <w:t>Taxation</w:t>
      </w:r>
    </w:p>
    <w:p>
      <w:pPr>
        <w:pStyle w:val="yMiscellaneousBody"/>
        <w:widowControl w:val="0"/>
        <w:rPr>
          <w:rFonts w:ascii="Arial" w:hAnsi="Arial" w:cs="Arial"/>
          <w:szCs w:val="22"/>
        </w:rPr>
      </w:pPr>
      <w:r>
        <w:rPr>
          <w:rFonts w:ascii="Arial" w:hAnsi="Arial" w:cs="Arial"/>
          <w:sz w:val="18"/>
          <w:szCs w:val="22"/>
        </w:rPr>
        <w:t>If you are eligible for Australian Government Incentives you should be aware that if you do not provide your ABN when lodging a Claim Form, the Department of Industry will be obliged to withhold 46.5% of the incentive payment and remit it to the Australian Taxation Office.</w:t>
      </w:r>
    </w:p>
    <w:p>
      <w:pPr>
        <w:pStyle w:val="yMiscellaneousBody"/>
        <w:widowControl w:val="0"/>
        <w:rPr>
          <w:rFonts w:ascii="Arial" w:hAnsi="Arial" w:cs="Arial"/>
          <w:szCs w:val="22"/>
        </w:rPr>
      </w:pPr>
      <w:r>
        <w:rPr>
          <w:rFonts w:ascii="Arial" w:hAnsi="Arial" w:cs="Arial"/>
          <w:sz w:val="18"/>
          <w:szCs w:val="22"/>
        </w:rPr>
        <w:t>You should seek independent advice regarding your taxation position.</w:t>
      </w:r>
    </w:p>
    <w:p>
      <w:pPr>
        <w:pStyle w:val="yMiscellaneousBody"/>
        <w:widowControl w:val="0"/>
        <w:rPr>
          <w:rFonts w:ascii="Arial" w:hAnsi="Arial" w:cs="Arial"/>
          <w:b/>
          <w:bCs/>
          <w:szCs w:val="22"/>
        </w:rPr>
      </w:pPr>
      <w:r>
        <w:rPr>
          <w:rFonts w:ascii="Arial" w:hAnsi="Arial" w:cs="Arial"/>
          <w:b/>
          <w:bCs/>
          <w:szCs w:val="22"/>
        </w:rPr>
        <w:t>Other Australian Government Assistance</w:t>
      </w:r>
    </w:p>
    <w:p>
      <w:pPr>
        <w:pStyle w:val="yMiscellaneousBody"/>
        <w:widowControl w:val="0"/>
        <w:rPr>
          <w:rFonts w:ascii="Arial" w:hAnsi="Arial" w:cs="Arial"/>
          <w:b/>
          <w:bCs/>
          <w:szCs w:val="22"/>
        </w:rPr>
      </w:pPr>
      <w:r>
        <w:rPr>
          <w:rFonts w:ascii="Arial" w:hAnsi="Arial" w:cs="Arial"/>
          <w:b/>
          <w:bCs/>
          <w:sz w:val="20"/>
        </w:rPr>
        <w:t>Assistance</w:t>
      </w:r>
      <w:r>
        <w:rPr>
          <w:rFonts w:ascii="Arial" w:hAnsi="Arial" w:cs="Arial"/>
          <w:b/>
          <w:bCs/>
          <w:sz w:val="18"/>
          <w:szCs w:val="22"/>
        </w:rPr>
        <w:t xml:space="preserve"> for Apprentices/Trainees with a Disability</w:t>
      </w:r>
    </w:p>
    <w:p>
      <w:pPr>
        <w:pStyle w:val="yMiscellaneousBody"/>
        <w:widowControl w:val="0"/>
        <w:rPr>
          <w:rFonts w:ascii="Arial" w:hAnsi="Arial" w:cs="Arial"/>
          <w:sz w:val="18"/>
          <w:szCs w:val="22"/>
        </w:rPr>
      </w:pPr>
      <w:r>
        <w:rPr>
          <w:rFonts w:ascii="Arial" w:hAnsi="Arial" w:cs="Arial"/>
          <w:sz w:val="18"/>
          <w:szCs w:val="22"/>
        </w:rPr>
        <w:t>The Australian Government may provide assistance to employers of apprentices/trainees with a disability, including the Disabled Australian Apprenticeships Wage Support program,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widowControl w:val="0"/>
        <w:rPr>
          <w:rFonts w:ascii="Arial" w:hAnsi="Arial" w:cs="Arial"/>
          <w:b/>
          <w:bCs/>
          <w:sz w:val="20"/>
        </w:rPr>
      </w:pPr>
      <w:r>
        <w:rPr>
          <w:rFonts w:ascii="Arial" w:hAnsi="Arial" w:cs="Arial"/>
          <w:b/>
          <w:bCs/>
          <w:sz w:val="20"/>
        </w:rPr>
        <w:t>Living Away from Home Allowance</w:t>
      </w:r>
    </w:p>
    <w:p>
      <w:pPr>
        <w:pStyle w:val="yMiscellaneousBody"/>
        <w:widowControl w:val="0"/>
        <w:rPr>
          <w:rFonts w:ascii="Arial" w:hAnsi="Arial" w:cs="Arial"/>
          <w:sz w:val="18"/>
          <w:szCs w:val="22"/>
        </w:rPr>
      </w:pPr>
      <w:r>
        <w:rPr>
          <w:rFonts w:ascii="Arial" w:hAnsi="Arial" w:cs="Arial"/>
          <w:sz w:val="18"/>
          <w:szCs w:val="22"/>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widowControl w:val="0"/>
        <w:rPr>
          <w:rFonts w:ascii="Arial" w:hAnsi="Arial" w:cs="Arial"/>
          <w:b/>
          <w:bCs/>
          <w:szCs w:val="22"/>
        </w:rPr>
      </w:pPr>
      <w:r>
        <w:rPr>
          <w:rFonts w:ascii="Arial" w:hAnsi="Arial" w:cs="Arial"/>
          <w:b/>
          <w:bCs/>
          <w:szCs w:val="22"/>
        </w:rPr>
        <w:t>Information You Need to Know</w:t>
      </w:r>
    </w:p>
    <w:p>
      <w:pPr>
        <w:pStyle w:val="yMiscellaneousBody"/>
        <w:widowControl w:val="0"/>
        <w:rPr>
          <w:rFonts w:ascii="Arial" w:hAnsi="Arial" w:cs="Arial"/>
          <w:b/>
          <w:bCs/>
          <w:sz w:val="20"/>
        </w:rPr>
      </w:pPr>
      <w:r>
        <w:rPr>
          <w:rFonts w:ascii="Arial" w:hAnsi="Arial" w:cs="Arial"/>
          <w:b/>
          <w:bCs/>
          <w:sz w:val="20"/>
        </w:rPr>
        <w:t>National Code of Good Practice for Australian Apprenticeships</w:t>
      </w:r>
    </w:p>
    <w:p>
      <w:pPr>
        <w:pStyle w:val="yMiscellaneousBody"/>
        <w:widowControl w:val="0"/>
        <w:rPr>
          <w:rFonts w:ascii="Arial" w:hAnsi="Arial" w:cs="Arial"/>
          <w:sz w:val="18"/>
          <w:szCs w:val="22"/>
        </w:rPr>
      </w:pPr>
      <w:r>
        <w:rPr>
          <w:rFonts w:ascii="Arial" w:hAnsi="Arial" w:cs="Arial"/>
          <w:sz w:val="18"/>
          <w:szCs w:val="22"/>
        </w:rPr>
        <w:t xml:space="preserve">This code explains the rights and responsibilities of the people who sign this contract. </w:t>
      </w:r>
      <w:r>
        <w:rPr>
          <w:rFonts w:ascii="Arial" w:hAnsi="Arial" w:cs="Arial"/>
          <w:sz w:val="18"/>
          <w:szCs w:val="22"/>
        </w:rPr>
        <w:lastRenderedPageBreak/>
        <w:t>Free copies of the code are available from your Australian Apprenticeships Centre.</w:t>
      </w:r>
    </w:p>
    <w:p>
      <w:pPr>
        <w:pStyle w:val="yMiscellaneousBody"/>
        <w:widowControl w:val="0"/>
        <w:rPr>
          <w:rFonts w:ascii="Arial" w:hAnsi="Arial" w:cs="Arial"/>
          <w:b/>
          <w:bCs/>
          <w:sz w:val="20"/>
        </w:rPr>
      </w:pPr>
      <w:r>
        <w:rPr>
          <w:rFonts w:ascii="Arial" w:hAnsi="Arial" w:cs="Arial"/>
          <w:b/>
          <w:bCs/>
          <w:sz w:val="20"/>
        </w:rPr>
        <w:t>Making choices</w:t>
      </w:r>
    </w:p>
    <w:p>
      <w:pPr>
        <w:pStyle w:val="yMiscellaneousBody"/>
        <w:tabs>
          <w:tab w:val="left" w:pos="426"/>
        </w:tabs>
        <w:rPr>
          <w:rFonts w:ascii="Arial" w:hAnsi="Arial" w:cs="Arial"/>
          <w:b/>
          <w:bCs/>
          <w:szCs w:val="22"/>
        </w:rPr>
      </w:pPr>
      <w:r>
        <w:rPr>
          <w:rFonts w:ascii="Arial" w:hAnsi="Arial" w:cs="Arial"/>
          <w:b/>
          <w:bCs/>
          <w:sz w:val="18"/>
          <w:szCs w:val="22"/>
        </w:rPr>
        <w:t>a.</w:t>
      </w:r>
      <w:r>
        <w:rPr>
          <w:rFonts w:ascii="Arial" w:hAnsi="Arial" w:cs="Arial"/>
          <w:b/>
          <w:bCs/>
          <w:sz w:val="18"/>
          <w:szCs w:val="22"/>
        </w:rPr>
        <w:tab/>
        <w:t>Choosing a Registered Training Organisation (RTO)</w:t>
      </w:r>
    </w:p>
    <w:p>
      <w:pPr>
        <w:pStyle w:val="yMiscellaneousBody"/>
        <w:ind w:left="426"/>
        <w:rPr>
          <w:rFonts w:ascii="Arial" w:hAnsi="Arial" w:cs="Arial"/>
          <w:szCs w:val="22"/>
        </w:rPr>
      </w:pPr>
      <w:r>
        <w:rPr>
          <w:rFonts w:ascii="Arial" w:hAnsi="Arial" w:cs="Arial"/>
          <w:sz w:val="18"/>
          <w:szCs w:val="22"/>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szCs w:val="22"/>
        </w:rPr>
        <w:t>Contacts for Further Information and Assistance</w:t>
      </w:r>
      <w:r>
        <w:rPr>
          <w:rFonts w:ascii="Arial" w:hAnsi="Arial" w:cs="Arial"/>
          <w:sz w:val="18"/>
          <w:szCs w:val="22"/>
        </w:rPr>
        <w:t xml:space="preserve"> section of this document for contacts.)</w:t>
      </w:r>
    </w:p>
    <w:p>
      <w:pPr>
        <w:pStyle w:val="yMiscellaneousBody"/>
        <w:keepNext/>
        <w:ind w:left="426"/>
        <w:rPr>
          <w:rFonts w:ascii="Arial" w:hAnsi="Arial" w:cs="Arial"/>
          <w:sz w:val="18"/>
          <w:szCs w:val="22"/>
        </w:rPr>
      </w:pPr>
      <w:r>
        <w:rPr>
          <w:rFonts w:ascii="Arial" w:hAnsi="Arial" w:cs="Arial"/>
          <w:sz w:val="18"/>
          <w:szCs w:val="22"/>
        </w:rPr>
        <w:t>The employer and apprentice/trainee have a right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ask RTOs for accurate and timely information about training options they can offer you;</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identify and select the training outcomes from nationally endorsed Training Packages or accredited courses that are available in your State/Territory;</w:t>
      </w:r>
    </w:p>
    <w:p>
      <w:pPr>
        <w:pStyle w:val="yMiscellaneousBody"/>
        <w:ind w:left="851" w:hanging="426"/>
        <w:rPr>
          <w:rFonts w:ascii="Arial" w:hAnsi="Arial" w:cs="Arial"/>
          <w:szCs w:val="22"/>
        </w:rPr>
      </w:pPr>
      <w:r>
        <w:rPr>
          <w:rFonts w:ascii="Arial" w:hAnsi="Arial" w:cs="Arial"/>
          <w:sz w:val="18"/>
          <w:szCs w:val="22"/>
        </w:rPr>
        <w:t>•</w:t>
      </w:r>
      <w:r>
        <w:rPr>
          <w:rFonts w:ascii="Arial" w:hAnsi="Arial" w:cs="Arial"/>
          <w:sz w:val="18"/>
          <w:szCs w:val="22"/>
        </w:rPr>
        <w:tab/>
        <w:t>negotiate a Training Plan with the RTO according to the relevant State</w:t>
      </w:r>
      <w:r>
        <w:rPr>
          <w:rFonts w:ascii="Arial" w:hAnsi="Arial" w:cs="Arial"/>
          <w:sz w:val="18"/>
          <w:szCs w:val="18"/>
        </w:rPr>
        <w:t>/T</w:t>
      </w:r>
      <w:r>
        <w:rPr>
          <w:rFonts w:ascii="Arial" w:hAnsi="Arial" w:cs="Arial"/>
          <w:sz w:val="18"/>
          <w:szCs w:val="22"/>
        </w:rPr>
        <w:t>erritory Training Authority.</w:t>
      </w:r>
    </w:p>
    <w:p>
      <w:pPr>
        <w:pStyle w:val="yMiscellaneousBody"/>
        <w:tabs>
          <w:tab w:val="left" w:pos="426"/>
        </w:tabs>
        <w:rPr>
          <w:rFonts w:ascii="Arial" w:hAnsi="Arial" w:cs="Arial"/>
          <w:b/>
          <w:bCs/>
          <w:sz w:val="18"/>
          <w:szCs w:val="22"/>
        </w:rPr>
      </w:pPr>
      <w:r>
        <w:rPr>
          <w:rFonts w:ascii="Arial" w:hAnsi="Arial" w:cs="Arial"/>
          <w:b/>
          <w:bCs/>
          <w:sz w:val="18"/>
          <w:szCs w:val="22"/>
        </w:rPr>
        <w:t>b.</w:t>
      </w:r>
      <w:r>
        <w:rPr>
          <w:rFonts w:ascii="Arial" w:hAnsi="Arial" w:cs="Arial"/>
          <w:b/>
          <w:bCs/>
          <w:sz w:val="18"/>
          <w:szCs w:val="22"/>
        </w:rPr>
        <w:tab/>
        <w:t>Training Plans</w:t>
      </w:r>
    </w:p>
    <w:p>
      <w:pPr>
        <w:pStyle w:val="yMiscellaneousBody"/>
        <w:ind w:left="426"/>
        <w:rPr>
          <w:rFonts w:ascii="Arial" w:hAnsi="Arial" w:cs="Arial"/>
          <w:sz w:val="18"/>
          <w:szCs w:val="22"/>
        </w:rPr>
      </w:pPr>
      <w:r>
        <w:rPr>
          <w:rFonts w:ascii="Arial" w:hAnsi="Arial" w:cs="Arial"/>
          <w:sz w:val="18"/>
          <w:szCs w:val="22"/>
        </w:rPr>
        <w:t>A Training Plan sets out the training that an apprentice/trainee will do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 xml:space="preserve">job. It also sets out how the RTO will ensure the apprentice/trainee will receive quality training </w:t>
      </w:r>
      <w:r>
        <w:rPr>
          <w:rFonts w:ascii="Arial" w:hAnsi="Arial" w:cs="Arial"/>
          <w:sz w:val="18"/>
          <w:szCs w:val="22"/>
        </w:rPr>
        <w:noBreakHyphen/>
        <w:t xml:space="preserve"> both on</w:t>
      </w:r>
      <w:r>
        <w:rPr>
          <w:rFonts w:ascii="Arial" w:hAnsi="Arial" w:cs="Arial"/>
          <w:sz w:val="18"/>
          <w:szCs w:val="22"/>
        </w:rPr>
        <w:noBreakHyphen/>
        <w:t>the</w:t>
      </w:r>
      <w:r>
        <w:rPr>
          <w:rFonts w:ascii="Arial" w:hAnsi="Arial" w:cs="Arial"/>
          <w:sz w:val="18"/>
          <w:szCs w:val="22"/>
        </w:rPr>
        <w:noBreakHyphen/>
        <w:t>job and off</w:t>
      </w:r>
      <w:r>
        <w:rPr>
          <w:rFonts w:ascii="Arial" w:hAnsi="Arial" w:cs="Arial"/>
          <w:sz w:val="18"/>
          <w:szCs w:val="22"/>
        </w:rPr>
        <w:noBreakHyphen/>
        <w:t>the</w:t>
      </w:r>
      <w:r>
        <w:rPr>
          <w:rFonts w:ascii="Arial" w:hAnsi="Arial" w:cs="Arial"/>
          <w:sz w:val="18"/>
          <w:szCs w:val="22"/>
        </w:rPr>
        <w:noBreakHyphen/>
        <w:t>job.</w:t>
      </w:r>
    </w:p>
    <w:p>
      <w:pPr>
        <w:pStyle w:val="yMiscellaneousBody"/>
        <w:ind w:left="426"/>
        <w:rPr>
          <w:rFonts w:ascii="Arial" w:hAnsi="Arial" w:cs="Arial"/>
          <w:sz w:val="18"/>
          <w:szCs w:val="22"/>
        </w:rPr>
      </w:pPr>
      <w:r>
        <w:rPr>
          <w:rFonts w:ascii="Arial" w:hAnsi="Arial" w:cs="Arial"/>
          <w:sz w:val="18"/>
          <w:szCs w:val="22"/>
        </w:rPr>
        <w:t>It’s important that the employer and the apprentice/trainee know how the Plan will work and are well</w:t>
      </w:r>
      <w:r>
        <w:rPr>
          <w:rFonts w:ascii="Arial" w:hAnsi="Arial" w:cs="Arial"/>
          <w:sz w:val="18"/>
          <w:szCs w:val="22"/>
        </w:rPr>
        <w:noBreakHyphen/>
        <w:t>informed about it.</w:t>
      </w:r>
    </w:p>
    <w:p>
      <w:pPr>
        <w:pStyle w:val="yMiscellaneousBody"/>
        <w:ind w:left="426"/>
        <w:rPr>
          <w:rFonts w:ascii="Arial" w:hAnsi="Arial" w:cs="Arial"/>
          <w:sz w:val="18"/>
          <w:szCs w:val="22"/>
        </w:rPr>
      </w:pPr>
      <w:r>
        <w:rPr>
          <w:rFonts w:ascii="Arial" w:hAnsi="Arial" w:cs="Arial"/>
          <w:sz w:val="18"/>
          <w:szCs w:val="22"/>
        </w:rPr>
        <w:t>Training Plans reflect the choices made in relation to:</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the RTO that will provide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competency standards will be covered and in what order;</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when, where and how training is provided;</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which trainer/facilitator provides the training;</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who assesses the apprentice/trainee;</w:t>
      </w:r>
    </w:p>
    <w:p>
      <w:pPr>
        <w:pStyle w:val="yMiscellaneousBody"/>
        <w:ind w:left="851" w:hanging="426"/>
        <w:rPr>
          <w:rFonts w:ascii="Arial" w:hAnsi="Arial" w:cs="Arial"/>
          <w:sz w:val="18"/>
          <w:szCs w:val="22"/>
        </w:rPr>
      </w:pPr>
      <w:r>
        <w:rPr>
          <w:rFonts w:ascii="Arial" w:hAnsi="Arial" w:cs="Arial"/>
          <w:sz w:val="18"/>
          <w:szCs w:val="22"/>
        </w:rPr>
        <w:t>•</w:t>
      </w:r>
      <w:r>
        <w:rPr>
          <w:rFonts w:ascii="Arial" w:hAnsi="Arial" w:cs="Arial"/>
          <w:sz w:val="18"/>
          <w:szCs w:val="22"/>
        </w:rPr>
        <w:tab/>
        <w:t>how the training is evaluated.</w:t>
      </w:r>
    </w:p>
    <w:p>
      <w:pPr>
        <w:pStyle w:val="yMiscellaneousBody"/>
        <w:widowControl w:val="0"/>
        <w:rPr>
          <w:rFonts w:ascii="Arial" w:hAnsi="Arial" w:cs="Arial"/>
          <w:b/>
          <w:bCs/>
          <w:sz w:val="20"/>
        </w:rPr>
      </w:pPr>
      <w:r>
        <w:rPr>
          <w:rFonts w:ascii="Arial" w:hAnsi="Arial" w:cs="Arial"/>
          <w:b/>
          <w:bCs/>
          <w:sz w:val="20"/>
        </w:rPr>
        <w:t>Qualifications and records</w:t>
      </w:r>
    </w:p>
    <w:p>
      <w:pPr>
        <w:pStyle w:val="yMiscellaneousBody"/>
        <w:rPr>
          <w:rFonts w:ascii="Arial" w:hAnsi="Arial" w:cs="Arial"/>
          <w:sz w:val="18"/>
          <w:szCs w:val="22"/>
        </w:rPr>
      </w:pPr>
      <w:r>
        <w:rPr>
          <w:rFonts w:ascii="Arial" w:hAnsi="Arial" w:cs="Arial"/>
          <w:sz w:val="18"/>
          <w:szCs w:val="22"/>
        </w:rPr>
        <w:t>Once the apprentice/trainee successfully completes all assessment requirements of the Training Plan, the RTO must issue the qualification specified in the Plan. If the apprentice/trainee only completes some of the competency standards, the RTO must issue a Statement of Attainment. The RTO will keep the relevant records.</w:t>
      </w:r>
    </w:p>
    <w:p>
      <w:pPr>
        <w:pStyle w:val="yMiscellaneousBody"/>
        <w:keepNext/>
        <w:widowControl w:val="0"/>
        <w:rPr>
          <w:rFonts w:ascii="Arial" w:hAnsi="Arial" w:cs="Arial"/>
          <w:b/>
          <w:bCs/>
          <w:sz w:val="20"/>
        </w:rPr>
      </w:pPr>
      <w:r>
        <w:rPr>
          <w:rFonts w:ascii="Arial" w:hAnsi="Arial" w:cs="Arial"/>
          <w:b/>
          <w:bCs/>
          <w:sz w:val="20"/>
        </w:rPr>
        <w:lastRenderedPageBreak/>
        <w:t>Allowances and Incentives</w:t>
      </w:r>
    </w:p>
    <w:p>
      <w:pPr>
        <w:pStyle w:val="yMiscellaneousBody"/>
        <w:rPr>
          <w:rFonts w:ascii="Arial" w:hAnsi="Arial" w:cs="Arial"/>
          <w:sz w:val="18"/>
          <w:szCs w:val="22"/>
        </w:rPr>
      </w:pPr>
      <w:r>
        <w:rPr>
          <w:rFonts w:ascii="Arial" w:hAnsi="Arial" w:cs="Arial"/>
          <w:sz w:val="18"/>
          <w:szCs w:val="22"/>
        </w:rPr>
        <w:t xml:space="preserve">A range of Australian Government and State/Territory incentives and subsidies may be available from time to time. For more information, see the </w:t>
      </w:r>
      <w:r>
        <w:rPr>
          <w:rFonts w:ascii="Arial" w:hAnsi="Arial" w:cs="Arial"/>
          <w:b/>
          <w:bCs/>
          <w:sz w:val="18"/>
          <w:szCs w:val="22"/>
        </w:rPr>
        <w:t xml:space="preserve">Information on Australian Government Australian Apprenticeships Incentives </w:t>
      </w:r>
      <w:r>
        <w:rPr>
          <w:rFonts w:ascii="Arial" w:hAnsi="Arial" w:cs="Arial"/>
          <w:sz w:val="18"/>
          <w:szCs w:val="22"/>
        </w:rPr>
        <w:t>section of this document.</w:t>
      </w:r>
    </w:p>
    <w:p>
      <w:pPr>
        <w:pStyle w:val="yMiscellaneousBody"/>
        <w:rPr>
          <w:rFonts w:ascii="Arial" w:hAnsi="Arial" w:cs="Arial"/>
          <w:sz w:val="18"/>
          <w:szCs w:val="22"/>
        </w:rPr>
      </w:pPr>
      <w:r>
        <w:rPr>
          <w:rFonts w:ascii="Arial" w:hAnsi="Arial" w:cs="Arial"/>
          <w:sz w:val="18"/>
          <w:szCs w:val="22"/>
        </w:rPr>
        <w:t>State/Territory government allowances may also be available where the apprentice/trainee has to travel away from home to attend training.</w:t>
      </w:r>
    </w:p>
    <w:p>
      <w:pPr>
        <w:pStyle w:val="yMiscellaneousBody"/>
        <w:rPr>
          <w:rFonts w:ascii="Arial" w:hAnsi="Arial" w:cs="Arial"/>
          <w:sz w:val="18"/>
          <w:szCs w:val="22"/>
        </w:rPr>
      </w:pPr>
      <w:r>
        <w:rPr>
          <w:rFonts w:ascii="Arial" w:hAnsi="Arial" w:cs="Arial"/>
          <w:sz w:val="18"/>
          <w:szCs w:val="22"/>
        </w:rPr>
        <w:t>Check with an Australian Apprenticeships Centre in your region.</w:t>
      </w:r>
    </w:p>
    <w:p>
      <w:pPr>
        <w:pStyle w:val="yMiscellaneousBody"/>
        <w:rPr>
          <w:rFonts w:ascii="Arial" w:hAnsi="Arial" w:cs="Arial"/>
          <w:sz w:val="18"/>
          <w:szCs w:val="22"/>
        </w:rPr>
      </w:pPr>
      <w:r>
        <w:rPr>
          <w:rFonts w:ascii="Arial" w:hAnsi="Arial" w:cs="Arial"/>
          <w:sz w:val="18"/>
          <w:szCs w:val="22"/>
        </w:rPr>
        <w:t>Existing workers who become apprentices/trainees may not attract Australian Government or State/Territory subsidies and incentives.</w:t>
      </w:r>
    </w:p>
    <w:p>
      <w:pPr>
        <w:pStyle w:val="yMiscellaneousBody"/>
        <w:rPr>
          <w:rFonts w:ascii="Arial" w:hAnsi="Arial" w:cs="Arial"/>
          <w:b/>
          <w:bCs/>
          <w:szCs w:val="22"/>
        </w:rPr>
      </w:pPr>
      <w:r>
        <w:rPr>
          <w:rFonts w:ascii="Arial" w:hAnsi="Arial" w:cs="Arial"/>
          <w:b/>
          <w:bCs/>
          <w:szCs w:val="22"/>
        </w:rPr>
        <w:t>Information to Help Complete the Training Contract</w:t>
      </w:r>
    </w:p>
    <w:p>
      <w:pPr>
        <w:pStyle w:val="yMiscellaneousBody"/>
        <w:rPr>
          <w:rFonts w:ascii="Arial" w:hAnsi="Arial" w:cs="Arial"/>
          <w:szCs w:val="22"/>
        </w:rPr>
      </w:pPr>
      <w:r>
        <w:rPr>
          <w:rFonts w:ascii="Arial" w:hAnsi="Arial" w:cs="Arial"/>
          <w:b/>
          <w:bCs/>
          <w:sz w:val="18"/>
          <w:szCs w:val="22"/>
        </w:rPr>
        <w:t>Questions marked (*) 14, 15, 16, 17 and 22 are optional questions</w:t>
      </w:r>
    </w:p>
    <w:p>
      <w:pPr>
        <w:pStyle w:val="yMiscellaneousBody"/>
        <w:rPr>
          <w:rFonts w:ascii="Arial" w:hAnsi="Arial" w:cs="Arial"/>
          <w:szCs w:val="22"/>
        </w:rPr>
      </w:pPr>
      <w:r>
        <w:rPr>
          <w:rFonts w:ascii="Arial" w:hAnsi="Arial" w:cs="Arial"/>
          <w:szCs w:val="22"/>
        </w:rPr>
        <w:t>You are not required to complete these questions, however, if you answer question 22 it may assist in processing your claim for incentives.</w:t>
      </w:r>
    </w:p>
    <w:p>
      <w:pPr>
        <w:pStyle w:val="yMiscellaneousBody"/>
        <w:rPr>
          <w:rFonts w:ascii="Arial" w:hAnsi="Arial" w:cs="Arial"/>
          <w:szCs w:val="22"/>
        </w:rPr>
      </w:pPr>
      <w:r>
        <w:rPr>
          <w:rFonts w:ascii="Arial" w:hAnsi="Arial" w:cs="Arial"/>
          <w:b/>
          <w:bCs/>
          <w:sz w:val="18"/>
          <w:szCs w:val="22"/>
        </w:rPr>
        <w:t>Questions 1, 2, 21 and 25 – Title, Level and Code of Qualification</w:t>
      </w:r>
    </w:p>
    <w:p>
      <w:pPr>
        <w:pStyle w:val="yMiscellaneousBody"/>
        <w:rPr>
          <w:rFonts w:ascii="Arial" w:hAnsi="Arial" w:cs="Arial"/>
          <w:szCs w:val="22"/>
        </w:rPr>
      </w:pPr>
      <w:r>
        <w:rPr>
          <w:rFonts w:ascii="Arial" w:hAnsi="Arial" w:cs="Arial"/>
          <w:sz w:val="18"/>
          <w:szCs w:val="22"/>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Register, training.gov.au (</w:t>
      </w:r>
      <w:r>
        <w:rPr>
          <w:rFonts w:ascii="Arial" w:hAnsi="Arial" w:cs="Arial"/>
          <w:sz w:val="18"/>
          <w:szCs w:val="22"/>
          <w:u w:val="single"/>
        </w:rPr>
        <w:t>www.training.gov.au</w:t>
      </w:r>
      <w:r>
        <w:rPr>
          <w:rFonts w:ascii="Arial" w:hAnsi="Arial" w:cs="Arial"/>
          <w:sz w:val="18"/>
          <w:szCs w:val="22"/>
        </w:rPr>
        <w:t>).  Your Australian Apprenticeships Centre or RTO can also provide this information.</w:t>
      </w:r>
    </w:p>
    <w:p>
      <w:pPr>
        <w:pStyle w:val="yMiscellaneousBody"/>
        <w:rPr>
          <w:rFonts w:ascii="Arial" w:hAnsi="Arial" w:cs="Arial"/>
          <w:sz w:val="18"/>
          <w:szCs w:val="18"/>
        </w:rPr>
      </w:pPr>
      <w:r>
        <w:rPr>
          <w:rFonts w:ascii="Arial" w:hAnsi="Arial" w:cs="Arial"/>
          <w:b/>
          <w:bCs/>
          <w:sz w:val="18"/>
          <w:szCs w:val="18"/>
        </w:rPr>
        <w:t>Question 7 – Existing Worker</w:t>
      </w:r>
    </w:p>
    <w:p>
      <w:pPr>
        <w:pStyle w:val="yMiscellaneousBody"/>
        <w:rPr>
          <w:rFonts w:ascii="Arial" w:hAnsi="Arial" w:cs="Arial"/>
          <w:sz w:val="18"/>
          <w:szCs w:val="18"/>
        </w:rPr>
      </w:pPr>
      <w:r>
        <w:rPr>
          <w:rFonts w:ascii="Arial" w:hAnsi="Arial" w:cs="Arial"/>
          <w:sz w:val="18"/>
          <w:szCs w:val="18"/>
        </w:rPr>
        <w:t>An existing worker is defined as a person who has been employed by the applicant employer continuously for more than 3 months full</w:t>
      </w:r>
      <w:r>
        <w:rPr>
          <w:rFonts w:ascii="Arial" w:hAnsi="Arial" w:cs="Arial"/>
          <w:sz w:val="18"/>
          <w:szCs w:val="18"/>
        </w:rPr>
        <w:noBreakHyphen/>
        <w:t>time or 12 months casual or part</w:t>
      </w:r>
      <w:r>
        <w:rPr>
          <w:rFonts w:ascii="Arial" w:hAnsi="Arial" w:cs="Arial"/>
          <w:sz w:val="18"/>
          <w:szCs w:val="18"/>
        </w:rPr>
        <w:noBreakHyphen/>
        <w:t>time or a combination of both, immediately prior to the commencement date of the Training Contract as shown in question 3.</w:t>
      </w:r>
    </w:p>
    <w:p>
      <w:pPr>
        <w:pStyle w:val="yMiscellaneousBody"/>
        <w:rPr>
          <w:rFonts w:ascii="Arial" w:hAnsi="Arial" w:cs="Arial"/>
          <w:sz w:val="18"/>
          <w:szCs w:val="18"/>
        </w:rPr>
      </w:pPr>
      <w:r>
        <w:rPr>
          <w:rFonts w:ascii="Arial" w:hAnsi="Arial" w:cs="Arial"/>
          <w:sz w:val="18"/>
          <w:szCs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rPr>
          <w:rFonts w:ascii="Arial" w:hAnsi="Arial" w:cs="Arial"/>
          <w:b/>
          <w:bCs/>
          <w:sz w:val="18"/>
          <w:szCs w:val="18"/>
        </w:rPr>
      </w:pPr>
      <w:r>
        <w:rPr>
          <w:rFonts w:ascii="Arial" w:hAnsi="Arial" w:cs="Arial"/>
          <w:b/>
          <w:bCs/>
          <w:sz w:val="18"/>
          <w:szCs w:val="18"/>
        </w:rPr>
        <w:t>Question 13 – New Zealand Passport Holders</w:t>
      </w:r>
    </w:p>
    <w:p>
      <w:pPr>
        <w:pStyle w:val="yMiscellaneousBody"/>
        <w:rPr>
          <w:rFonts w:ascii="Arial" w:hAnsi="Arial" w:cs="Arial"/>
          <w:sz w:val="18"/>
          <w:szCs w:val="18"/>
        </w:rPr>
      </w:pPr>
      <w:r>
        <w:rPr>
          <w:rFonts w:ascii="Arial" w:hAnsi="Arial" w:cs="Arial"/>
          <w:sz w:val="18"/>
          <w:szCs w:val="18"/>
        </w:rPr>
        <w:t>Australian Government incentives are only available to New Zealand passport holders if the applicant has been resident in Australia for 6 months or more. However, a Training Contract with the New Zealand passport holder could still be registered. Contact your Australian Apprenticeships Centre or State/Territory Training Authority for more information.</w:t>
      </w:r>
    </w:p>
    <w:p>
      <w:pPr>
        <w:pStyle w:val="yMiscellaneousBody"/>
        <w:keepNext/>
        <w:rPr>
          <w:rFonts w:ascii="Arial" w:hAnsi="Arial" w:cs="Arial"/>
          <w:b/>
          <w:bCs/>
          <w:sz w:val="18"/>
          <w:szCs w:val="18"/>
        </w:rPr>
      </w:pPr>
      <w:r>
        <w:rPr>
          <w:rFonts w:ascii="Arial" w:hAnsi="Arial" w:cs="Arial"/>
          <w:b/>
          <w:bCs/>
          <w:sz w:val="18"/>
          <w:szCs w:val="18"/>
        </w:rPr>
        <w:lastRenderedPageBreak/>
        <w:t>Question 19 – Australian School</w:t>
      </w:r>
      <w:r>
        <w:rPr>
          <w:rFonts w:ascii="Arial" w:hAnsi="Arial" w:cs="Arial"/>
          <w:b/>
          <w:bCs/>
          <w:sz w:val="18"/>
          <w:szCs w:val="18"/>
        </w:rPr>
        <w:noBreakHyphen/>
        <w:t>based Apprenticeship</w:t>
      </w:r>
    </w:p>
    <w:p>
      <w:pPr>
        <w:pStyle w:val="yMiscellaneousBody"/>
        <w:rPr>
          <w:rFonts w:ascii="Arial" w:hAnsi="Arial" w:cs="Arial"/>
          <w:sz w:val="18"/>
          <w:szCs w:val="18"/>
        </w:rPr>
      </w:pPr>
      <w:r>
        <w:rPr>
          <w:rFonts w:ascii="Arial" w:hAnsi="Arial" w:cs="Arial"/>
          <w:sz w:val="18"/>
          <w:szCs w:val="18"/>
        </w:rPr>
        <w:t>Australian Apprenticeship training undertaken by a student will be an Australian School</w:t>
      </w:r>
      <w:r>
        <w:rPr>
          <w:rFonts w:ascii="Arial" w:hAnsi="Arial" w:cs="Arial"/>
          <w:sz w:val="18"/>
          <w:szCs w:val="18"/>
        </w:rPr>
        <w:noBreakHyphen/>
        <w:t>based Apprenticeship when all of the following apply:</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student is enrolled in a senior secondary certificate under the relevant Education 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the school or education provider at which the student is enrolled acknowledges and endorses the Training Plan required by the Apprenticeship/Traineeship Training Contract;</w:t>
      </w:r>
    </w:p>
    <w:p>
      <w:pPr>
        <w:pStyle w:val="yMiscellaneousBody"/>
        <w:ind w:left="426" w:hanging="426"/>
        <w:rPr>
          <w:rFonts w:ascii="Arial" w:hAnsi="Arial" w:cs="Arial"/>
          <w:sz w:val="18"/>
          <w:szCs w:val="18"/>
        </w:rPr>
      </w:pPr>
      <w:r>
        <w:rPr>
          <w:rFonts w:ascii="Arial" w:hAnsi="Arial" w:cs="Arial"/>
          <w:sz w:val="18"/>
          <w:szCs w:val="22"/>
        </w:rPr>
        <w:t>•</w:t>
      </w:r>
      <w:r>
        <w:rPr>
          <w:rFonts w:ascii="Arial" w:hAnsi="Arial" w:cs="Arial"/>
          <w:sz w:val="18"/>
          <w:szCs w:val="22"/>
        </w:rPr>
        <w:tab/>
        <w:t>the Australian School</w:t>
      </w:r>
      <w:r>
        <w:rPr>
          <w:rFonts w:ascii="Arial" w:hAnsi="Arial" w:cs="Arial"/>
          <w:sz w:val="18"/>
          <w:szCs w:val="22"/>
        </w:rPr>
        <w:noBreakHyphen/>
        <w:t xml:space="preserve">based Apprenticeship is recognised on the senior </w:t>
      </w:r>
      <w:r>
        <w:rPr>
          <w:rFonts w:ascii="Arial" w:hAnsi="Arial" w:cs="Arial"/>
          <w:sz w:val="18"/>
          <w:szCs w:val="18"/>
        </w:rPr>
        <w:t>secondary certificate.</w:t>
      </w:r>
    </w:p>
    <w:p>
      <w:pPr>
        <w:pStyle w:val="yMiscellaneousBody"/>
        <w:rPr>
          <w:rFonts w:ascii="Arial" w:hAnsi="Arial" w:cs="Arial"/>
          <w:sz w:val="18"/>
          <w:szCs w:val="18"/>
        </w:rPr>
      </w:pPr>
      <w:r>
        <w:rPr>
          <w:rFonts w:ascii="Arial" w:hAnsi="Arial" w:cs="Arial"/>
          <w:sz w:val="18"/>
          <w:szCs w:val="18"/>
        </w:rPr>
        <w:t>(Note: The term Australian Apprenticeships relates to apprenticeships and traineeships)</w:t>
      </w:r>
    </w:p>
    <w:p>
      <w:pPr>
        <w:pStyle w:val="yMiscellaneousBody"/>
        <w:rPr>
          <w:rFonts w:ascii="Arial" w:hAnsi="Arial" w:cs="Arial"/>
          <w:b/>
          <w:bCs/>
          <w:sz w:val="18"/>
          <w:szCs w:val="18"/>
        </w:rPr>
      </w:pPr>
      <w:r>
        <w:rPr>
          <w:rFonts w:ascii="Arial" w:hAnsi="Arial" w:cs="Arial"/>
          <w:b/>
          <w:bCs/>
          <w:sz w:val="18"/>
          <w:szCs w:val="18"/>
        </w:rPr>
        <w:t>Question 24 – Credit</w:t>
      </w:r>
    </w:p>
    <w:p>
      <w:pPr>
        <w:pStyle w:val="yMiscellaneousBody"/>
        <w:rPr>
          <w:rFonts w:ascii="Arial" w:hAnsi="Arial" w:cs="Arial"/>
          <w:sz w:val="18"/>
          <w:szCs w:val="18"/>
        </w:rPr>
      </w:pPr>
      <w:r>
        <w:rPr>
          <w:rFonts w:ascii="Arial" w:hAnsi="Arial" w:cs="Arial"/>
          <w:sz w:val="18"/>
          <w:szCs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rPr>
          <w:rFonts w:ascii="Arial" w:hAnsi="Arial" w:cs="Arial"/>
          <w:sz w:val="18"/>
          <w:szCs w:val="18"/>
        </w:rPr>
      </w:pPr>
      <w:r>
        <w:rPr>
          <w:rFonts w:ascii="Arial" w:hAnsi="Arial" w:cs="Arial"/>
          <w:sz w:val="18"/>
          <w:szCs w:val="18"/>
        </w:rPr>
        <w:t>Your RTO should discuss the issue of credit for prior learning with you during the negotiation of the Training Plan associated with this contract of training.</w:t>
      </w:r>
    </w:p>
    <w:p>
      <w:pPr>
        <w:pStyle w:val="yMiscellaneousBody"/>
        <w:rPr>
          <w:rFonts w:ascii="Arial" w:hAnsi="Arial" w:cs="Arial"/>
          <w:b/>
          <w:bCs/>
          <w:sz w:val="18"/>
          <w:szCs w:val="18"/>
        </w:rPr>
      </w:pPr>
      <w:r>
        <w:rPr>
          <w:rFonts w:ascii="Arial" w:hAnsi="Arial" w:cs="Arial"/>
          <w:b/>
          <w:bCs/>
          <w:sz w:val="18"/>
          <w:szCs w:val="18"/>
        </w:rPr>
        <w:t>Question 28 – Legal Name of Employer</w:t>
      </w:r>
    </w:p>
    <w:p>
      <w:pPr>
        <w:pStyle w:val="yMiscellaneousBody"/>
        <w:rPr>
          <w:rFonts w:ascii="Arial" w:hAnsi="Arial" w:cs="Arial"/>
          <w:sz w:val="18"/>
          <w:szCs w:val="18"/>
        </w:rPr>
      </w:pPr>
      <w:r>
        <w:rPr>
          <w:rFonts w:ascii="Arial" w:hAnsi="Arial" w:cs="Arial"/>
          <w:sz w:val="18"/>
          <w:szCs w:val="18"/>
        </w:rPr>
        <w:t>The employer must provide the name of the employer’s legal entity. This will be a person’s name, a company name, or the name of an incorporated association, NOT a trading name, business name, or name of a trust.</w:t>
      </w:r>
    </w:p>
    <w:p>
      <w:pPr>
        <w:pStyle w:val="yMiscellaneousBody"/>
        <w:rPr>
          <w:rFonts w:ascii="Arial" w:hAnsi="Arial" w:cs="Arial"/>
          <w:sz w:val="18"/>
          <w:szCs w:val="18"/>
        </w:rPr>
      </w:pPr>
      <w:r>
        <w:rPr>
          <w:rFonts w:ascii="Arial" w:hAnsi="Arial" w:cs="Arial"/>
          <w:b/>
          <w:bCs/>
          <w:sz w:val="18"/>
          <w:szCs w:val="18"/>
        </w:rPr>
        <w:t>Questions 34 and 35 – Group Training Organisation</w:t>
      </w:r>
    </w:p>
    <w:p>
      <w:pPr>
        <w:pStyle w:val="yMiscellaneousBody"/>
        <w:rPr>
          <w:rFonts w:ascii="Arial" w:hAnsi="Arial" w:cs="Arial"/>
          <w:sz w:val="18"/>
          <w:szCs w:val="18"/>
        </w:rPr>
      </w:pPr>
      <w:r>
        <w:rPr>
          <w:rFonts w:ascii="Arial" w:hAnsi="Arial" w:cs="Arial"/>
          <w:sz w:val="18"/>
          <w:szCs w:val="18"/>
        </w:rPr>
        <w:t>A group training organisation employs apprentices/trainees and places them with host employers. The host employer and the company providing the group training services must be separate legal entities.</w:t>
      </w:r>
    </w:p>
    <w:p>
      <w:pPr>
        <w:pStyle w:val="yMiscellaneousBody"/>
        <w:keepNext/>
        <w:rPr>
          <w:rFonts w:ascii="Arial" w:hAnsi="Arial" w:cs="Arial"/>
          <w:sz w:val="18"/>
          <w:szCs w:val="18"/>
        </w:rPr>
      </w:pPr>
      <w:r>
        <w:rPr>
          <w:rFonts w:ascii="Arial" w:hAnsi="Arial" w:cs="Arial"/>
          <w:b/>
          <w:bCs/>
          <w:sz w:val="18"/>
          <w:szCs w:val="18"/>
        </w:rPr>
        <w:t>Question 39 – Full</w:t>
      </w:r>
      <w:r>
        <w:rPr>
          <w:rFonts w:ascii="Arial" w:hAnsi="Arial" w:cs="Arial"/>
          <w:b/>
          <w:bCs/>
          <w:sz w:val="18"/>
          <w:szCs w:val="18"/>
        </w:rPr>
        <w:noBreakHyphen/>
        <w:t>time/Part</w:t>
      </w:r>
      <w:r>
        <w:rPr>
          <w:rFonts w:ascii="Arial" w:hAnsi="Arial" w:cs="Arial"/>
          <w:b/>
          <w:bCs/>
          <w:sz w:val="18"/>
          <w:szCs w:val="18"/>
        </w:rPr>
        <w:noBreakHyphen/>
        <w:t>time Apprentices and Trainees</w:t>
      </w:r>
    </w:p>
    <w:p>
      <w:pPr>
        <w:pStyle w:val="yMiscellaneousBody"/>
        <w:rPr>
          <w:rFonts w:ascii="Arial" w:hAnsi="Arial" w:cs="Arial"/>
          <w:sz w:val="18"/>
          <w:szCs w:val="18"/>
        </w:rPr>
      </w:pPr>
      <w:r>
        <w:rPr>
          <w:rFonts w:ascii="Arial" w:hAnsi="Arial" w:cs="Arial"/>
          <w:sz w:val="18"/>
          <w:szCs w:val="18"/>
        </w:rPr>
        <w:t>Apprenticeships/traineeships may be undertaken full</w:t>
      </w:r>
      <w:r>
        <w:rPr>
          <w:rFonts w:ascii="Arial" w:hAnsi="Arial" w:cs="Arial"/>
          <w:sz w:val="18"/>
          <w:szCs w:val="18"/>
        </w:rPr>
        <w:noBreakHyphen/>
        <w:t>time or part</w:t>
      </w:r>
      <w:r>
        <w:rPr>
          <w:rFonts w:ascii="Arial" w:hAnsi="Arial" w:cs="Arial"/>
          <w:sz w:val="18"/>
          <w:szCs w:val="18"/>
        </w:rPr>
        <w:noBreakHyphen/>
        <w:t>time. A full</w:t>
      </w:r>
      <w:r>
        <w:rPr>
          <w:rFonts w:ascii="Arial" w:hAnsi="Arial" w:cs="Arial"/>
          <w:sz w:val="18"/>
          <w:szCs w:val="18"/>
        </w:rPr>
        <w:noBreakHyphen/>
        <w:t>time apprentice/trainee is one whose ordinary hours of employment, including the training component, are not less than the usual hours of employment for a full</w:t>
      </w:r>
      <w:r>
        <w:rPr>
          <w:rFonts w:ascii="Arial" w:hAnsi="Arial" w:cs="Arial"/>
          <w:sz w:val="18"/>
          <w:szCs w:val="18"/>
        </w:rPr>
        <w:noBreakHyphen/>
        <w:t>time employee in that occupation.  Part</w:t>
      </w:r>
      <w:r>
        <w:rPr>
          <w:rFonts w:ascii="Arial" w:hAnsi="Arial" w:cs="Arial"/>
          <w:sz w:val="18"/>
          <w:szCs w:val="18"/>
        </w:rPr>
        <w:noBreakHyphen/>
        <w:t xml:space="preserve">time provisions vary across Australia and across occupations. For more information contact an Australian Apprenticeships Centre in your region or State/Territory Training Authority. See the </w:t>
      </w:r>
      <w:r>
        <w:rPr>
          <w:rFonts w:ascii="Arial" w:hAnsi="Arial" w:cs="Arial"/>
          <w:b/>
          <w:bCs/>
          <w:sz w:val="18"/>
          <w:szCs w:val="18"/>
        </w:rPr>
        <w:t xml:space="preserve">Contacts for Further Information and Assistance </w:t>
      </w:r>
      <w:r>
        <w:rPr>
          <w:rFonts w:ascii="Arial" w:hAnsi="Arial" w:cs="Arial"/>
          <w:sz w:val="18"/>
          <w:szCs w:val="18"/>
        </w:rPr>
        <w:t>section for further contact details.</w:t>
      </w:r>
    </w:p>
    <w:p>
      <w:pPr>
        <w:pStyle w:val="yMiscellaneousBody"/>
        <w:keepNext/>
        <w:rPr>
          <w:rFonts w:ascii="Arial" w:hAnsi="Arial" w:cs="Arial"/>
          <w:sz w:val="18"/>
          <w:szCs w:val="18"/>
        </w:rPr>
      </w:pPr>
      <w:r>
        <w:rPr>
          <w:rFonts w:ascii="Arial" w:hAnsi="Arial" w:cs="Arial"/>
          <w:b/>
          <w:bCs/>
          <w:sz w:val="18"/>
          <w:szCs w:val="18"/>
        </w:rPr>
        <w:lastRenderedPageBreak/>
        <w:t>Question</w:t>
      </w:r>
      <w:r>
        <w:rPr>
          <w:rFonts w:ascii="Arial" w:hAnsi="Arial" w:cs="Arial"/>
          <w:b/>
          <w:sz w:val="18"/>
          <w:szCs w:val="18"/>
        </w:rPr>
        <w:t xml:space="preserve"> 41 – Business Relationship</w:t>
      </w:r>
    </w:p>
    <w:p>
      <w:pPr>
        <w:pStyle w:val="yMiscellaneousBody"/>
        <w:rPr>
          <w:rFonts w:ascii="Arial" w:hAnsi="Arial" w:cs="Arial"/>
          <w:sz w:val="18"/>
          <w:szCs w:val="18"/>
        </w:rPr>
      </w:pPr>
      <w:r>
        <w:rPr>
          <w:rFonts w:ascii="Arial" w:hAnsi="Arial" w:cs="Arial"/>
          <w:sz w:val="18"/>
          <w:szCs w:val="18"/>
        </w:rPr>
        <w:t>A business relationship includes a pre</w:t>
      </w:r>
      <w:r>
        <w:rPr>
          <w:rFonts w:ascii="Arial" w:hAnsi="Arial" w:cs="Arial"/>
          <w:sz w:val="18"/>
          <w:szCs w:val="18"/>
        </w:rPr>
        <w:noBreakHyphen/>
        <w:t>existing or current business relationship between the employer and the apprentice/trainee; for example, when the apprentice/ trainee is a partner, a director of the company, a previous director or partner or involved in franchise arrangements.</w:t>
      </w:r>
    </w:p>
    <w:p>
      <w:pPr>
        <w:pStyle w:val="yMiscellaneousBody"/>
        <w:tabs>
          <w:tab w:val="right" w:pos="6946"/>
        </w:tabs>
        <w:ind w:right="-2"/>
        <w:rPr>
          <w:rFonts w:ascii="Arial" w:hAnsi="Arial" w:cs="Arial"/>
          <w:szCs w:val="22"/>
          <w:u w:val="single"/>
        </w:rPr>
      </w:pPr>
      <w:r>
        <w:rPr>
          <w:rFonts w:ascii="Arial" w:hAnsi="Arial" w:cs="Arial"/>
          <w:szCs w:val="22"/>
          <w:u w:val="single"/>
        </w:rPr>
        <w:tab/>
      </w:r>
    </w:p>
    <w:p>
      <w:pPr>
        <w:pStyle w:val="yMiscellaneousBody"/>
        <w:rPr>
          <w:rFonts w:ascii="Arial" w:hAnsi="Arial" w:cs="Arial"/>
          <w:szCs w:val="22"/>
        </w:rPr>
      </w:pPr>
      <w:r>
        <w:rPr>
          <w:rFonts w:ascii="Arial" w:hAnsi="Arial" w:cs="Arial"/>
          <w:b/>
          <w:sz w:val="18"/>
          <w:szCs w:val="22"/>
        </w:rPr>
        <w:t>FOR OFFICE USE ONLY</w:t>
      </w:r>
    </w:p>
    <w:p>
      <w:pPr>
        <w:pStyle w:val="yMiscellaneousBody"/>
        <w:keepNext/>
        <w:rPr>
          <w:rFonts w:ascii="Arial" w:hAnsi="Arial" w:cs="Arial"/>
          <w:b/>
          <w:bCs/>
          <w:sz w:val="18"/>
          <w:szCs w:val="18"/>
        </w:rPr>
      </w:pPr>
      <w:r>
        <w:rPr>
          <w:rFonts w:ascii="Arial" w:hAnsi="Arial" w:cs="Arial"/>
          <w:b/>
          <w:bCs/>
          <w:sz w:val="18"/>
          <w:szCs w:val="18"/>
        </w:rPr>
        <w:t>Australian Apprenticeships Centre Declaration</w:t>
      </w:r>
    </w:p>
    <w:p>
      <w:pPr>
        <w:pStyle w:val="yMiscellaneousBody"/>
        <w:rPr>
          <w:rFonts w:ascii="Arial" w:hAnsi="Arial" w:cs="Arial"/>
          <w:sz w:val="18"/>
          <w:szCs w:val="18"/>
        </w:rPr>
      </w:pPr>
      <w:r>
        <w:rPr>
          <w:rFonts w:ascii="Arial" w:hAnsi="Arial" w:cs="Arial"/>
          <w:sz w:val="18"/>
          <w:szCs w:val="18"/>
        </w:rPr>
        <w:t>This section is completed by the Australian Apprenticeships Centre</w:t>
      </w:r>
    </w:p>
    <w:p>
      <w:pPr>
        <w:pStyle w:val="yMiscellaneousBody"/>
        <w:rPr>
          <w:rFonts w:ascii="Arial" w:hAnsi="Arial" w:cs="Arial"/>
          <w:sz w:val="18"/>
          <w:szCs w:val="18"/>
        </w:rPr>
      </w:pPr>
      <w:r>
        <w:rPr>
          <w:rFonts w:ascii="Arial" w:hAnsi="Arial" w:cs="Arial"/>
          <w:sz w:val="18"/>
          <w:szCs w:val="18"/>
        </w:rPr>
        <w:t>I certify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details entered have been verified.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r>
      <w:r>
        <w:rPr>
          <w:rFonts w:ascii="Arial" w:hAnsi="Arial" w:cs="Arial"/>
          <w:sz w:val="18"/>
          <w:szCs w:val="18"/>
        </w:rPr>
        <w:t>the</w:t>
      </w:r>
      <w:r>
        <w:rPr>
          <w:rFonts w:ascii="Arial" w:hAnsi="Arial" w:cs="Arial"/>
          <w:sz w:val="18"/>
          <w:szCs w:val="22"/>
        </w:rPr>
        <w:t xml:space="preserve"> application meets/does not meet all initial assessment criteria for payment as specified in the </w:t>
      </w:r>
      <w:r>
        <w:rPr>
          <w:rFonts w:ascii="Arial" w:hAnsi="Arial" w:cs="Arial"/>
          <w:b/>
          <w:i/>
          <w:sz w:val="18"/>
          <w:szCs w:val="22"/>
        </w:rPr>
        <w:t>Australian Government Australian Apprenticeships Incentives Program Guidelines</w:t>
      </w:r>
      <w:r>
        <w:rPr>
          <w:rFonts w:ascii="Arial" w:hAnsi="Arial" w:cs="Arial"/>
          <w:sz w:val="18"/>
          <w:szCs w:val="22"/>
        </w:rPr>
        <w: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advised the employer and the apprentice/trainee of their obligations and responsibilities under the Training Contract.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informed the employer and the apprentice/trainee of their options under User Choice provisions.</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 </w:t>
      </w:r>
      <w:r>
        <w:rPr>
          <w:rFonts w:ascii="Arial" w:hAnsi="Arial" w:cs="Arial"/>
          <w:sz w:val="18"/>
          <w:szCs w:val="18"/>
        </w:rPr>
        <w:t>have</w:t>
      </w:r>
      <w:r>
        <w:rPr>
          <w:rFonts w:ascii="Arial" w:hAnsi="Arial" w:cs="Arial"/>
          <w:sz w:val="18"/>
          <w:szCs w:val="22"/>
        </w:rPr>
        <w:t xml:space="preserve"> provided relevant publications to the employer and the apprentice/trainee.</w:t>
      </w:r>
    </w:p>
    <w:p>
      <w:pPr>
        <w:pStyle w:val="yMiscellaneousBody"/>
        <w:rPr>
          <w:rFonts w:ascii="Arial" w:hAnsi="Arial" w:cs="Arial"/>
          <w:sz w:val="18"/>
          <w:szCs w:val="22"/>
        </w:rPr>
      </w:pPr>
      <w:r>
        <w:rPr>
          <w:rFonts w:ascii="Arial" w:hAnsi="Arial" w:cs="Arial"/>
          <w:sz w:val="18"/>
          <w:szCs w:val="22"/>
        </w:rPr>
        <w:t xml:space="preserve">I </w:t>
      </w:r>
      <w:r>
        <w:rPr>
          <w:rFonts w:ascii="Arial" w:hAnsi="Arial" w:cs="Arial"/>
          <w:sz w:val="18"/>
          <w:szCs w:val="18"/>
        </w:rPr>
        <w:t>understand</w:t>
      </w:r>
      <w:r>
        <w:rPr>
          <w:rFonts w:ascii="Arial" w:hAnsi="Arial" w:cs="Arial"/>
          <w:sz w:val="18"/>
          <w:szCs w:val="22"/>
        </w:rPr>
        <w:t xml:space="preserve"> that:</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it is a serious offence to make a false or misleading statement in connection </w:t>
      </w:r>
      <w:r>
        <w:rPr>
          <w:rFonts w:ascii="Arial" w:hAnsi="Arial" w:cs="Arial"/>
          <w:sz w:val="18"/>
          <w:szCs w:val="18"/>
        </w:rPr>
        <w:t>with</w:t>
      </w:r>
      <w:r>
        <w:rPr>
          <w:rFonts w:ascii="Arial" w:hAnsi="Arial" w:cs="Arial"/>
          <w:sz w:val="18"/>
          <w:szCs w:val="22"/>
        </w:rPr>
        <w:t xml:space="preserve"> an application for payment; and</w:t>
      </w:r>
    </w:p>
    <w:p>
      <w:pPr>
        <w:pStyle w:val="yMiscellaneousBody"/>
        <w:ind w:left="426" w:hanging="426"/>
        <w:rPr>
          <w:rFonts w:ascii="Arial" w:hAnsi="Arial" w:cs="Arial"/>
          <w:sz w:val="18"/>
          <w:szCs w:val="22"/>
        </w:rPr>
      </w:pPr>
      <w:r>
        <w:rPr>
          <w:rFonts w:ascii="Arial" w:hAnsi="Arial" w:cs="Arial"/>
          <w:sz w:val="18"/>
          <w:szCs w:val="22"/>
        </w:rPr>
        <w:t>•</w:t>
      </w:r>
      <w:r>
        <w:rPr>
          <w:rFonts w:ascii="Arial" w:hAnsi="Arial" w:cs="Arial"/>
          <w:sz w:val="18"/>
          <w:szCs w:val="22"/>
        </w:rPr>
        <w:tab/>
        <w:t xml:space="preserve">fees </w:t>
      </w:r>
      <w:r>
        <w:rPr>
          <w:rFonts w:ascii="Arial" w:hAnsi="Arial" w:cs="Arial"/>
          <w:sz w:val="18"/>
          <w:szCs w:val="18"/>
        </w:rPr>
        <w:t>paid</w:t>
      </w:r>
      <w:r>
        <w:rPr>
          <w:rFonts w:ascii="Arial" w:hAnsi="Arial" w:cs="Arial"/>
          <w:sz w:val="18"/>
          <w:szCs w:val="22"/>
        </w:rPr>
        <w:t xml:space="preserve"> to the Australian Apprenticeships Centre and any incentives paid to any employer in relation to the processing of the Contract may be recovered if this Contract has not been processed in accordance with the </w:t>
      </w:r>
      <w:r>
        <w:rPr>
          <w:rFonts w:ascii="Arial" w:hAnsi="Arial" w:cs="Arial"/>
          <w:b/>
          <w:sz w:val="18"/>
          <w:szCs w:val="22"/>
        </w:rPr>
        <w:t>Australian Government Australian Apprenticeships Support Services Contract</w:t>
      </w:r>
      <w:r>
        <w:rPr>
          <w:rFonts w:ascii="Arial" w:hAnsi="Arial" w:cs="Arial"/>
          <w:sz w:val="18"/>
          <w:szCs w:val="22"/>
        </w:rPr>
        <w:t>.</w:t>
      </w:r>
    </w:p>
    <w:p>
      <w:pPr>
        <w:pStyle w:val="yMiscellaneousBody"/>
        <w:tabs>
          <w:tab w:val="left" w:pos="4253"/>
        </w:tabs>
        <w:rPr>
          <w:rFonts w:ascii="Arial" w:hAnsi="Arial" w:cs="Arial"/>
          <w:sz w:val="18"/>
          <w:szCs w:val="22"/>
        </w:rPr>
      </w:pPr>
      <w:r>
        <w:rPr>
          <w:rFonts w:ascii="Arial" w:hAnsi="Arial" w:cs="Arial"/>
          <w:sz w:val="18"/>
          <w:szCs w:val="22"/>
        </w:rPr>
        <w:t>Name of Australian Apprenticeships Centre</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Printed name of person verifying details</w:t>
      </w:r>
      <w:r>
        <w:rPr>
          <w:rFonts w:ascii="Arial" w:hAnsi="Arial" w:cs="Arial"/>
          <w:sz w:val="18"/>
          <w:szCs w:val="22"/>
        </w:rPr>
        <w:tab/>
        <w:t>.............................................</w:t>
      </w:r>
    </w:p>
    <w:p>
      <w:pPr>
        <w:pStyle w:val="yMiscellaneousBody"/>
        <w:tabs>
          <w:tab w:val="left" w:pos="4253"/>
        </w:tabs>
        <w:rPr>
          <w:rFonts w:ascii="Arial" w:hAnsi="Arial" w:cs="Arial"/>
          <w:sz w:val="18"/>
          <w:szCs w:val="22"/>
        </w:rPr>
      </w:pPr>
      <w:r>
        <w:rPr>
          <w:rFonts w:ascii="Arial" w:hAnsi="Arial" w:cs="Arial"/>
          <w:sz w:val="18"/>
          <w:szCs w:val="22"/>
        </w:rPr>
        <w:t>Signature of person verifying details</w:t>
      </w:r>
      <w:r>
        <w:rPr>
          <w:rFonts w:ascii="Arial" w:hAnsi="Arial" w:cs="Arial"/>
          <w:sz w:val="18"/>
          <w:szCs w:val="22"/>
        </w:rPr>
        <w:tab/>
        <w:t>.............................................</w:t>
      </w:r>
    </w:p>
    <w:p>
      <w:pPr>
        <w:pStyle w:val="yMiscellaneousBody"/>
        <w:tabs>
          <w:tab w:val="left" w:pos="1701"/>
          <w:tab w:val="left" w:pos="4253"/>
        </w:tabs>
        <w:rPr>
          <w:rFonts w:ascii="Arial" w:hAnsi="Arial" w:cs="Arial"/>
          <w:i/>
          <w:sz w:val="18"/>
          <w:szCs w:val="22"/>
        </w:rPr>
      </w:pPr>
      <w:r>
        <w:rPr>
          <w:rFonts w:ascii="Arial" w:hAnsi="Arial" w:cs="Arial"/>
          <w:sz w:val="18"/>
          <w:szCs w:val="22"/>
        </w:rPr>
        <w:t xml:space="preserve">Date  </w:t>
      </w:r>
      <w:r>
        <w:rPr>
          <w:rFonts w:ascii="Arial" w:hAnsi="Arial" w:cs="Arial"/>
          <w:sz w:val="18"/>
          <w:szCs w:val="22"/>
        </w:rPr>
        <w:tab/>
      </w:r>
      <w:r>
        <w:rPr>
          <w:rFonts w:ascii="Arial" w:hAnsi="Arial" w:cs="Arial"/>
          <w:i/>
          <w:sz w:val="18"/>
          <w:szCs w:val="22"/>
        </w:rPr>
        <w:t>day</w:t>
      </w:r>
      <w:r>
        <w:rPr>
          <w:rFonts w:ascii="Arial" w:hAnsi="Arial" w:cs="Arial"/>
          <w:sz w:val="18"/>
          <w:szCs w:val="22"/>
        </w:rPr>
        <w:t>/</w:t>
      </w:r>
      <w:r>
        <w:rPr>
          <w:rFonts w:ascii="Arial" w:hAnsi="Arial" w:cs="Arial"/>
          <w:i/>
          <w:sz w:val="18"/>
          <w:szCs w:val="22"/>
        </w:rPr>
        <w:t>month</w:t>
      </w:r>
      <w:r>
        <w:rPr>
          <w:rFonts w:ascii="Arial" w:hAnsi="Arial" w:cs="Arial"/>
          <w:sz w:val="18"/>
          <w:szCs w:val="22"/>
        </w:rPr>
        <w:t>/</w:t>
      </w:r>
      <w:r>
        <w:rPr>
          <w:rFonts w:ascii="Arial" w:hAnsi="Arial" w:cs="Arial"/>
          <w:i/>
          <w:sz w:val="18"/>
          <w:szCs w:val="22"/>
        </w:rPr>
        <w:t>year</w:t>
      </w:r>
    </w:p>
    <w:p>
      <w:pPr>
        <w:pStyle w:val="yMiscellaneousBody"/>
        <w:tabs>
          <w:tab w:val="left" w:pos="1701"/>
          <w:tab w:val="left" w:pos="3119"/>
        </w:tabs>
        <w:rPr>
          <w:rFonts w:ascii="Arial" w:hAnsi="Arial" w:cs="Arial"/>
          <w:sz w:val="18"/>
          <w:szCs w:val="22"/>
        </w:rPr>
      </w:pPr>
      <w:r>
        <w:rPr>
          <w:rFonts w:ascii="Arial" w:hAnsi="Arial" w:cs="Arial"/>
          <w:sz w:val="18"/>
          <w:szCs w:val="22"/>
        </w:rPr>
        <w:t>TYIMS Registration ID</w:t>
      </w:r>
      <w:r>
        <w:rPr>
          <w:rFonts w:ascii="Arial" w:hAnsi="Arial" w:cs="Arial"/>
          <w:sz w:val="18"/>
          <w:szCs w:val="22"/>
        </w:rPr>
        <w:tab/>
        <w:t>.............................................</w:t>
      </w:r>
    </w:p>
    <w:p>
      <w:pPr>
        <w:pStyle w:val="yMiscellaneousBody"/>
        <w:tabs>
          <w:tab w:val="left" w:pos="1701"/>
          <w:tab w:val="left" w:pos="3119"/>
        </w:tabs>
        <w:rPr>
          <w:rFonts w:ascii="Arial" w:hAnsi="Arial" w:cs="Arial"/>
          <w:sz w:val="18"/>
          <w:szCs w:val="22"/>
        </w:rPr>
      </w:pPr>
      <w:r>
        <w:rPr>
          <w:rFonts w:ascii="Arial" w:hAnsi="Arial" w:cs="Arial"/>
          <w:sz w:val="18"/>
          <w:szCs w:val="22"/>
        </w:rPr>
        <w:t>Training Contract ID No.</w:t>
      </w:r>
      <w:r>
        <w:rPr>
          <w:rFonts w:ascii="Arial" w:hAnsi="Arial" w:cs="Arial"/>
          <w:sz w:val="18"/>
          <w:szCs w:val="22"/>
        </w:rPr>
        <w:tab/>
        <w:t>.............................................</w:t>
      </w:r>
    </w:p>
    <w:p>
      <w:pPr>
        <w:pStyle w:val="yMiscellaneousBody"/>
        <w:keepNext/>
        <w:tabs>
          <w:tab w:val="left" w:pos="567"/>
        </w:tabs>
        <w:rPr>
          <w:rFonts w:ascii="Arial" w:hAnsi="Arial" w:cs="Arial"/>
          <w:sz w:val="18"/>
          <w:szCs w:val="22"/>
        </w:rPr>
      </w:pPr>
      <w:r>
        <w:rPr>
          <w:rFonts w:ascii="Arial" w:hAnsi="Arial" w:cs="Arial"/>
          <w:sz w:val="18"/>
          <w:szCs w:val="22"/>
        </w:rPr>
        <w:lastRenderedPageBreak/>
        <w:sym w:font="Monotype Sorts" w:char="F070"/>
      </w:r>
      <w:r>
        <w:rPr>
          <w:rFonts w:ascii="Arial" w:hAnsi="Arial" w:cs="Arial"/>
          <w:sz w:val="18"/>
          <w:szCs w:val="22"/>
        </w:rPr>
        <w:tab/>
        <w:t>Eligible for incentives</w:t>
      </w:r>
    </w:p>
    <w:p>
      <w:pPr>
        <w:pStyle w:val="yMiscellaneousBody"/>
        <w:tabs>
          <w:tab w:val="left" w:pos="567"/>
        </w:tabs>
        <w:rPr>
          <w:rFonts w:ascii="Arial" w:hAnsi="Arial" w:cs="Arial"/>
          <w:sz w:val="18"/>
          <w:szCs w:val="22"/>
        </w:rPr>
      </w:pPr>
      <w:r>
        <w:rPr>
          <w:rFonts w:ascii="Arial" w:hAnsi="Arial" w:cs="Arial"/>
          <w:sz w:val="18"/>
          <w:szCs w:val="22"/>
        </w:rPr>
        <w:sym w:font="Monotype Sorts" w:char="F070"/>
      </w:r>
      <w:r>
        <w:rPr>
          <w:rFonts w:ascii="Arial" w:hAnsi="Arial" w:cs="Arial"/>
          <w:sz w:val="18"/>
          <w:szCs w:val="22"/>
        </w:rPr>
        <w:tab/>
        <w:t>Not eligible for incentives</w:t>
      </w:r>
    </w:p>
    <w:p>
      <w:pPr>
        <w:pStyle w:val="yMiscellaneousBody"/>
        <w:ind w:right="8"/>
        <w:rPr>
          <w:rFonts w:ascii="Arial" w:hAnsi="Arial" w:cs="Arial"/>
          <w:sz w:val="18"/>
          <w:szCs w:val="18"/>
        </w:rPr>
      </w:pPr>
      <w:r>
        <w:rPr>
          <w:rFonts w:ascii="Arial" w:hAnsi="Arial" w:cs="Arial"/>
          <w:sz w:val="18"/>
          <w:szCs w:val="18"/>
        </w:rPr>
        <w:t>Notes</w:t>
      </w:r>
      <w:r>
        <w:rPr>
          <w:rFonts w:ascii="Arial" w:hAnsi="Arial" w:cs="Arial"/>
          <w:sz w:val="18"/>
          <w:szCs w:val="18"/>
        </w:rPr>
        <w:br/>
        <w:t>.......................................................................................................................................................................................................................................................................................................................................................................................................................................</w:t>
      </w:r>
    </w:p>
    <w:p>
      <w:pPr>
        <w:pStyle w:val="yFootnotesection"/>
      </w:pPr>
      <w:r>
        <w:tab/>
        <w:t>[Schedule 1 inserted: Gazette 5 Dec 2014 p. 4526</w:t>
      </w:r>
      <w:r>
        <w:noBreakHyphen/>
        <w:t>41; amended: Gazette 12 Dec 2014 p. 4743; 27 Jan 2016 p. 224.]</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ageBreakBefore w:val="0"/>
      </w:pPr>
      <w:bookmarkStart w:id="156" w:name="_Toc208842453"/>
      <w:bookmarkStart w:id="157" w:name="_Toc208843875"/>
      <w:bookmarkStart w:id="158" w:name="_Toc208995335"/>
      <w:bookmarkStart w:id="159" w:name="_Toc209016926"/>
      <w:r>
        <w:rPr>
          <w:rStyle w:val="CharSchNo"/>
        </w:rPr>
        <w:lastRenderedPageBreak/>
        <w:t>Schedule 2</w:t>
      </w:r>
      <w:r>
        <w:rPr>
          <w:rStyle w:val="CharSDivNo"/>
        </w:rPr>
        <w:t> </w:t>
      </w:r>
      <w:r>
        <w:t>—</w:t>
      </w:r>
      <w:r>
        <w:rPr>
          <w:rStyle w:val="CharSDivText"/>
        </w:rPr>
        <w:t> </w:t>
      </w:r>
      <w:r>
        <w:rPr>
          <w:rStyle w:val="CharSchText"/>
        </w:rPr>
        <w:t>Provisions about old agreements and old training contracts</w:t>
      </w:r>
      <w:bookmarkEnd w:id="156"/>
      <w:bookmarkEnd w:id="157"/>
      <w:bookmarkEnd w:id="158"/>
      <w:bookmarkEnd w:id="159"/>
    </w:p>
    <w:p>
      <w:pPr>
        <w:pStyle w:val="yShoulderClause"/>
      </w:pPr>
      <w:r>
        <w:t>[r. 60]</w:t>
      </w:r>
    </w:p>
    <w:p>
      <w:pPr>
        <w:pStyle w:val="yHeading5"/>
      </w:pPr>
      <w:bookmarkStart w:id="160" w:name="_Toc209016927"/>
      <w:r>
        <w:rPr>
          <w:rStyle w:val="CharSClsNo"/>
        </w:rPr>
        <w:t>1</w:t>
      </w:r>
      <w:r>
        <w:t>.</w:t>
      </w:r>
      <w:r>
        <w:tab/>
        <w:t>Terms used</w:t>
      </w:r>
      <w:bookmarkEnd w:id="160"/>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r>
        <w:rPr>
          <w:vertAlign w:val="superscript"/>
        </w:rPr>
        <w:t> 5</w:t>
      </w:r>
      <w:r>
        <w:t>;</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w:t>
      </w:r>
      <w:r>
        <w:rPr>
          <w:vertAlign w:val="superscript"/>
        </w:rPr>
        <w:t> 7</w:t>
      </w:r>
      <w:r>
        <w:t xml:space="preserve">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vertAlign w:val="superscript"/>
        </w:rPr>
        <w:t> 6</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vertAlign w:val="superscript"/>
        </w:rPr>
        <w:t> 6</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rPr>
          <w:vertAlign w:val="superscript"/>
        </w:rPr>
        <w:t> 6</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rPr>
          <w:vertAlign w:val="superscript"/>
        </w:rPr>
        <w:t> 6</w:t>
      </w:r>
      <w:r>
        <w:t>, whether or not the contract also specifies the apprentice is being trained for a prescribed VET qualification.</w:t>
      </w:r>
    </w:p>
    <w:p>
      <w:pPr>
        <w:pStyle w:val="yHeading5"/>
      </w:pPr>
      <w:bookmarkStart w:id="161" w:name="_Toc209016928"/>
      <w:r>
        <w:rPr>
          <w:rStyle w:val="CharSClsNo"/>
        </w:rPr>
        <w:t>2</w:t>
      </w:r>
      <w:r>
        <w:t>.</w:t>
      </w:r>
      <w:r>
        <w:tab/>
        <w:t>Old agreements to be read with modifications</w:t>
      </w:r>
      <w:bookmarkEnd w:id="161"/>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rPr>
          <w:vertAlign w:val="superscript"/>
        </w:rPr>
        <w:t> 6</w:t>
      </w:r>
      <w:r>
        <w:t xml:space="preserve"> must be read as references to the </w:t>
      </w:r>
      <w:r>
        <w:rPr>
          <w:i/>
        </w:rPr>
        <w:t>Vocational Education and Training Act 1996</w:t>
      </w:r>
      <w:r>
        <w:rPr>
          <w:iCs/>
        </w:rPr>
        <w:t>;</w:t>
      </w:r>
    </w:p>
    <w:p>
      <w:pPr>
        <w:pStyle w:val="yIndenta"/>
      </w:pPr>
      <w:r>
        <w:lastRenderedPageBreak/>
        <w:tab/>
        <w:t>(b)</w:t>
      </w:r>
      <w:r>
        <w:tab/>
        <w:t xml:space="preserve">in clause 7 of the agreement, the reference to the technical instruction of the apprentice prescribed by or under the </w:t>
      </w:r>
      <w:r>
        <w:rPr>
          <w:i/>
        </w:rPr>
        <w:t>Industrial Training Act 1975</w:t>
      </w:r>
      <w:r>
        <w:rPr>
          <w:vertAlign w:val="superscript"/>
        </w:rPr>
        <w:t> 6</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vertAlign w:val="superscript"/>
        </w:rPr>
        <w:t> 6</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vertAlign w:val="superscript"/>
        </w:rPr>
        <w:t> 6</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vertAlign w:val="superscript"/>
        </w:rPr>
        <w:t> 6</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spacing w:after="600"/>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162" w:name="_Toc209016929"/>
      <w:r>
        <w:rPr>
          <w:rStyle w:val="CharSClsNo"/>
        </w:rPr>
        <w:lastRenderedPageBreak/>
        <w:t>3</w:t>
      </w:r>
      <w:r>
        <w:t>.</w:t>
      </w:r>
      <w:r>
        <w:tab/>
        <w:t>Old agreements and contracts not terminated by sale of business</w:t>
      </w:r>
      <w:bookmarkEnd w:id="162"/>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163" w:name="_Toc209016930"/>
      <w:r>
        <w:rPr>
          <w:rStyle w:val="CharSClsNo"/>
        </w:rPr>
        <w:t>4</w:t>
      </w:r>
      <w:r>
        <w:t>.</w:t>
      </w:r>
      <w:r>
        <w:tab/>
        <w:t>Technical instruction requirements for trade apprentices</w:t>
      </w:r>
      <w:bookmarkEnd w:id="163"/>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164" w:name="_Toc209016931"/>
      <w:r>
        <w:rPr>
          <w:rStyle w:val="CharSClsNo"/>
        </w:rPr>
        <w:t>5</w:t>
      </w:r>
      <w:r>
        <w:t>.</w:t>
      </w:r>
      <w:r>
        <w:tab/>
        <w:t>Final certificates for trade apprentices</w:t>
      </w:r>
      <w:bookmarkEnd w:id="164"/>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165" w:name="_Toc208842459"/>
      <w:bookmarkStart w:id="166" w:name="_Toc208843881"/>
      <w:bookmarkStart w:id="167" w:name="_Toc208995341"/>
      <w:bookmarkStart w:id="168" w:name="_Toc209016932"/>
      <w:r>
        <w:lastRenderedPageBreak/>
        <w:t>Notes</w:t>
      </w:r>
      <w:bookmarkEnd w:id="165"/>
      <w:bookmarkEnd w:id="166"/>
      <w:bookmarkEnd w:id="167"/>
      <w:bookmarkEnd w:id="168"/>
    </w:p>
    <w:p>
      <w:pPr>
        <w:pStyle w:val="nStatement"/>
      </w:pPr>
      <w:r>
        <w:t xml:space="preserve">This is a compilation of the </w:t>
      </w:r>
      <w:r>
        <w:rPr>
          <w:i/>
          <w:noProof/>
        </w:rPr>
        <w:t>Vocational Education and Training (General) Regulations 2009</w:t>
      </w:r>
      <w:r>
        <w:t xml:space="preserve"> and includes amendments made by other written laws. For provisions that have come into operation, and for information about any reprints, see the compilation table.</w:t>
      </w:r>
    </w:p>
    <w:p>
      <w:pPr>
        <w:pStyle w:val="nHeading3"/>
      </w:pPr>
      <w:bookmarkStart w:id="169" w:name="_Toc209016933"/>
      <w:r>
        <w:t>Compilation table</w:t>
      </w:r>
      <w:bookmarkEnd w:id="16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Vocational Education and Training (General) Regulations 2009</w:t>
            </w:r>
          </w:p>
        </w:tc>
        <w:tc>
          <w:tcPr>
            <w:tcW w:w="1276" w:type="dxa"/>
            <w:tcBorders>
              <w:top w:val="single" w:sz="8" w:space="0" w:color="auto"/>
              <w:bottom w:val="nil"/>
            </w:tcBorders>
          </w:tcPr>
          <w:p>
            <w:pPr>
              <w:pStyle w:val="nTable"/>
              <w:spacing w:after="40"/>
            </w:pPr>
            <w:r>
              <w:t>22 May 2009 p. 1731</w:t>
            </w:r>
            <w:r>
              <w:noBreakHyphen/>
              <w:t>97</w:t>
            </w:r>
          </w:p>
        </w:tc>
        <w:tc>
          <w:tcPr>
            <w:tcW w:w="2693" w:type="dxa"/>
            <w:tcBorders>
              <w:top w:val="single" w:sz="8" w:space="0" w:color="auto"/>
              <w:bottom w:val="nil"/>
            </w:tcBorders>
          </w:tcPr>
          <w:p>
            <w:pPr>
              <w:pStyle w:val="nTable"/>
              <w:spacing w:after="40"/>
            </w:pPr>
            <w:r>
              <w:t>r. 1 and 2: 22 May 2009 (see r. 2(a));</w:t>
            </w:r>
            <w:r>
              <w:br/>
              <w:t>Regulations other than r. 1 and 2: 10 Jun 2009 (see r. 2(b) and No. 44 of 2008 s. 2(2))</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2011</w:t>
            </w:r>
          </w:p>
        </w:tc>
        <w:tc>
          <w:tcPr>
            <w:tcW w:w="1276" w:type="dxa"/>
            <w:tcBorders>
              <w:top w:val="nil"/>
              <w:bottom w:val="nil"/>
            </w:tcBorders>
          </w:tcPr>
          <w:p>
            <w:pPr>
              <w:pStyle w:val="nTable"/>
              <w:spacing w:after="40"/>
            </w:pPr>
            <w:r>
              <w:t>25 Oct 2011 p. 4508-11</w:t>
            </w:r>
          </w:p>
        </w:tc>
        <w:tc>
          <w:tcPr>
            <w:tcW w:w="2693" w:type="dxa"/>
            <w:tcBorders>
              <w:top w:val="nil"/>
              <w:bottom w:val="nil"/>
            </w:tcBorders>
          </w:tcPr>
          <w:p>
            <w:pPr>
              <w:pStyle w:val="nTable"/>
              <w:spacing w:after="40"/>
            </w:pPr>
            <w:r>
              <w:t>r. 1 and 2: 25 Oct 2011 (see r. 2(a));</w:t>
            </w:r>
            <w:r>
              <w:br/>
              <w:t>Regulations other than r. 1 and 2: 26 Oct 2011 (see r. 2(b))</w:t>
            </w:r>
          </w:p>
        </w:tc>
      </w:tr>
      <w:tr>
        <w:tc>
          <w:tcPr>
            <w:tcW w:w="3118" w:type="dxa"/>
            <w:tcBorders>
              <w:top w:val="nil"/>
              <w:bottom w:val="nil"/>
            </w:tcBorders>
          </w:tcPr>
          <w:p>
            <w:pPr>
              <w:pStyle w:val="nTable"/>
              <w:spacing w:after="40"/>
              <w:rPr>
                <w:i/>
                <w:noProof/>
                <w:snapToGrid w:val="0"/>
              </w:rPr>
            </w:pPr>
            <w:r>
              <w:rPr>
                <w:i/>
                <w:noProof/>
                <w:snapToGrid w:val="0"/>
              </w:rPr>
              <w:t>Vocational Education and Training (General) Amendment Regulations (No. 2) 2011</w:t>
            </w:r>
          </w:p>
        </w:tc>
        <w:tc>
          <w:tcPr>
            <w:tcW w:w="1276" w:type="dxa"/>
            <w:tcBorders>
              <w:top w:val="nil"/>
              <w:bottom w:val="nil"/>
            </w:tcBorders>
          </w:tcPr>
          <w:p>
            <w:pPr>
              <w:pStyle w:val="nTable"/>
              <w:spacing w:after="40"/>
            </w:pPr>
            <w:r>
              <w:t>25 Oct 2011 p. 4511-12</w:t>
            </w:r>
          </w:p>
        </w:tc>
        <w:tc>
          <w:tcPr>
            <w:tcW w:w="2693" w:type="dxa"/>
            <w:tcBorders>
              <w:top w:val="nil"/>
              <w:bottom w:val="nil"/>
            </w:tcBorders>
          </w:tcPr>
          <w:p>
            <w:pPr>
              <w:pStyle w:val="nTable"/>
              <w:spacing w:after="40"/>
            </w:pPr>
            <w:r>
              <w:t>r. 1 and 2: 25 Oct 2011 (see r. 2(a));</w:t>
            </w:r>
            <w:r>
              <w:br/>
              <w:t>Regulations other than r. 1 and 2: 1 Jan 2012 (see r. 2(b))</w:t>
            </w:r>
          </w:p>
        </w:tc>
      </w:tr>
      <w:tr>
        <w:tc>
          <w:tcPr>
            <w:tcW w:w="3118" w:type="dxa"/>
            <w:tcBorders>
              <w:top w:val="nil"/>
              <w:bottom w:val="nil"/>
            </w:tcBorders>
          </w:tcPr>
          <w:p>
            <w:pPr>
              <w:pStyle w:val="nTable"/>
              <w:spacing w:after="40"/>
              <w:rPr>
                <w:i/>
                <w:noProof/>
                <w:snapToGrid w:val="0"/>
              </w:rPr>
            </w:pPr>
            <w:r>
              <w:rPr>
                <w:i/>
              </w:rPr>
              <w:t>Vocational Education and Training (General) Amendment Regulations 2012</w:t>
            </w:r>
          </w:p>
        </w:tc>
        <w:tc>
          <w:tcPr>
            <w:tcW w:w="1276" w:type="dxa"/>
            <w:tcBorders>
              <w:top w:val="nil"/>
              <w:bottom w:val="nil"/>
            </w:tcBorders>
          </w:tcPr>
          <w:p>
            <w:pPr>
              <w:pStyle w:val="nTable"/>
              <w:spacing w:after="40"/>
            </w:pPr>
            <w:r>
              <w:t>16 Mar 2012 p. 1247</w:t>
            </w:r>
            <w:r>
              <w:noBreakHyphen/>
              <w:t>8</w:t>
            </w:r>
          </w:p>
        </w:tc>
        <w:tc>
          <w:tcPr>
            <w:tcW w:w="2693" w:type="dxa"/>
            <w:tcBorders>
              <w:top w:val="nil"/>
              <w:bottom w:val="nil"/>
            </w:tcBorders>
          </w:tcPr>
          <w:p>
            <w:pPr>
              <w:pStyle w:val="nTable"/>
              <w:spacing w:after="40"/>
            </w:pPr>
            <w:r>
              <w:rPr>
                <w:snapToGrid w:val="0"/>
              </w:rPr>
              <w:t>r. 1 and 2: 16 Mar 2012 (see r. 2(a));</w:t>
            </w:r>
            <w:r>
              <w:rPr>
                <w:snapToGrid w:val="0"/>
              </w:rPr>
              <w:br/>
              <w:t>Regulations other than r. 1 and 2: 17 Mar 2012 (see r. 2(b))</w:t>
            </w:r>
          </w:p>
        </w:tc>
      </w:tr>
      <w:tr>
        <w:tc>
          <w:tcPr>
            <w:tcW w:w="3118" w:type="dxa"/>
            <w:tcBorders>
              <w:top w:val="nil"/>
              <w:bottom w:val="nil"/>
            </w:tcBorders>
          </w:tcPr>
          <w:p>
            <w:pPr>
              <w:pStyle w:val="nTable"/>
              <w:spacing w:after="40"/>
              <w:rPr>
                <w:i/>
              </w:rPr>
            </w:pPr>
            <w:r>
              <w:rPr>
                <w:i/>
              </w:rPr>
              <w:t>Vocational Education and Training (General) Amendment Regulations (No. 2) 2012</w:t>
            </w:r>
          </w:p>
        </w:tc>
        <w:tc>
          <w:tcPr>
            <w:tcW w:w="1276" w:type="dxa"/>
            <w:tcBorders>
              <w:top w:val="nil"/>
              <w:bottom w:val="nil"/>
            </w:tcBorders>
          </w:tcPr>
          <w:p>
            <w:pPr>
              <w:pStyle w:val="nTable"/>
              <w:spacing w:after="40"/>
            </w:pPr>
            <w:r>
              <w:t>21 Aug 2012 p. 3927</w:t>
            </w:r>
          </w:p>
        </w:tc>
        <w:tc>
          <w:tcPr>
            <w:tcW w:w="2693" w:type="dxa"/>
            <w:tcBorders>
              <w:top w:val="nil"/>
              <w:bottom w:val="nil"/>
            </w:tcBorders>
          </w:tcPr>
          <w:p>
            <w:pPr>
              <w:pStyle w:val="nTable"/>
              <w:spacing w:after="40"/>
              <w:rPr>
                <w:snapToGrid w:val="0"/>
              </w:rPr>
            </w:pPr>
            <w:r>
              <w:rPr>
                <w:snapToGrid w:val="0"/>
              </w:rPr>
              <w:t>r. 1 and 2: 21 Aug 2012 (see r. 2(a));</w:t>
            </w:r>
            <w:r>
              <w:rPr>
                <w:snapToGrid w:val="0"/>
              </w:rPr>
              <w:br/>
              <w:t>Regulations other than r. 1 and 2: 1 Sep 2012 (see r. 2(b))</w:t>
            </w:r>
          </w:p>
        </w:tc>
      </w:tr>
      <w:tr>
        <w:tc>
          <w:tcPr>
            <w:tcW w:w="3118" w:type="dxa"/>
            <w:tcBorders>
              <w:top w:val="nil"/>
              <w:bottom w:val="nil"/>
            </w:tcBorders>
          </w:tcPr>
          <w:p>
            <w:pPr>
              <w:pStyle w:val="nTable"/>
              <w:spacing w:after="40"/>
              <w:rPr>
                <w:i/>
              </w:rPr>
            </w:pPr>
            <w:r>
              <w:rPr>
                <w:i/>
              </w:rPr>
              <w:t>Vocational Education and Training (General) Amendment Regulations 2013</w:t>
            </w:r>
            <w:r>
              <w:t xml:space="preserve"> </w:t>
            </w:r>
          </w:p>
        </w:tc>
        <w:tc>
          <w:tcPr>
            <w:tcW w:w="1276" w:type="dxa"/>
            <w:tcBorders>
              <w:top w:val="nil"/>
              <w:bottom w:val="nil"/>
            </w:tcBorders>
          </w:tcPr>
          <w:p>
            <w:pPr>
              <w:pStyle w:val="nTable"/>
              <w:spacing w:after="40"/>
            </w:pPr>
            <w:r>
              <w:t>17 Dec 2013 p. 6218</w:t>
            </w:r>
            <w:r>
              <w:noBreakHyphen/>
              <w:t>30</w:t>
            </w:r>
          </w:p>
        </w:tc>
        <w:tc>
          <w:tcPr>
            <w:tcW w:w="2693" w:type="dxa"/>
            <w:tcBorders>
              <w:top w:val="nil"/>
              <w:bottom w:val="nil"/>
            </w:tcBorders>
          </w:tcPr>
          <w:p>
            <w:pPr>
              <w:pStyle w:val="nTable"/>
              <w:spacing w:after="40"/>
              <w:rPr>
                <w:snapToGrid w:val="0"/>
              </w:rPr>
            </w:pPr>
            <w:r>
              <w:rPr>
                <w:bCs/>
                <w:snapToGrid w:val="0"/>
              </w:rPr>
              <w:t>r. 1 and 2: 17 Dec 2013 (see r. 2(a));</w:t>
            </w:r>
            <w:r>
              <w:rPr>
                <w:bCs/>
                <w:snapToGrid w:val="0"/>
              </w:rPr>
              <w:br/>
              <w:t xml:space="preserve">Regulations other than r. 1 and 2: </w:t>
            </w:r>
            <w:r>
              <w:t>1 Jan 2014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1:  The </w:t>
            </w:r>
            <w:r>
              <w:rPr>
                <w:b/>
                <w:i/>
                <w:noProof/>
                <w:snapToGrid w:val="0"/>
              </w:rPr>
              <w:t xml:space="preserve">Vocational Education and Training (General) Regulations 2009 </w:t>
            </w:r>
            <w:r>
              <w:rPr>
                <w:b/>
                <w:bCs/>
                <w:snapToGrid w:val="0"/>
              </w:rPr>
              <w:t>as at 7 Mar 2014</w:t>
            </w:r>
            <w:r>
              <w:rPr>
                <w:bCs/>
                <w:snapToGrid w:val="0"/>
              </w:rPr>
              <w:t xml:space="preserve"> (includes amendments listed above) </w:t>
            </w:r>
          </w:p>
        </w:tc>
      </w:tr>
      <w:tr>
        <w:tc>
          <w:tcPr>
            <w:tcW w:w="3118" w:type="dxa"/>
            <w:tcBorders>
              <w:top w:val="nil"/>
              <w:bottom w:val="nil"/>
            </w:tcBorders>
          </w:tcPr>
          <w:p>
            <w:pPr>
              <w:pStyle w:val="nTable"/>
              <w:spacing w:after="40"/>
              <w:rPr>
                <w:i/>
              </w:rPr>
            </w:pPr>
            <w:r>
              <w:rPr>
                <w:i/>
              </w:rPr>
              <w:t>Vocational Education and Training (General) Amendment Regulations (No. 2) 2014</w:t>
            </w:r>
          </w:p>
        </w:tc>
        <w:tc>
          <w:tcPr>
            <w:tcW w:w="1276" w:type="dxa"/>
            <w:tcBorders>
              <w:top w:val="nil"/>
              <w:bottom w:val="nil"/>
            </w:tcBorders>
          </w:tcPr>
          <w:p>
            <w:pPr>
              <w:pStyle w:val="nTable"/>
              <w:spacing w:after="40"/>
            </w:pPr>
            <w:r>
              <w:t>15 Jul 2014 p. 2463</w:t>
            </w:r>
            <w:r>
              <w:noBreakHyphen/>
              <w:t>4</w:t>
            </w:r>
          </w:p>
        </w:tc>
        <w:tc>
          <w:tcPr>
            <w:tcW w:w="2693" w:type="dxa"/>
            <w:tcBorders>
              <w:top w:val="nil"/>
              <w:bottom w:val="nil"/>
            </w:tcBorders>
          </w:tcPr>
          <w:p>
            <w:pPr>
              <w:pStyle w:val="nTable"/>
              <w:spacing w:after="40"/>
              <w:rPr>
                <w:snapToGrid w:val="0"/>
              </w:rPr>
            </w:pPr>
            <w:r>
              <w:rPr>
                <w:bCs/>
                <w:snapToGrid w:val="0"/>
              </w:rPr>
              <w:t>r. 1 and 2: 15 Jul 2014 (see r. 2(a));</w:t>
            </w:r>
            <w:r>
              <w:rPr>
                <w:bCs/>
                <w:snapToGrid w:val="0"/>
              </w:rPr>
              <w:br/>
              <w:t xml:space="preserve">Regulations other than r. 1 and 2: </w:t>
            </w:r>
            <w:r>
              <w:t>1 Aug 2014 (see r. 2(b))</w:t>
            </w:r>
          </w:p>
        </w:tc>
      </w:tr>
      <w:tr>
        <w:tc>
          <w:tcPr>
            <w:tcW w:w="3118" w:type="dxa"/>
            <w:tcBorders>
              <w:top w:val="nil"/>
              <w:bottom w:val="nil"/>
            </w:tcBorders>
            <w:shd w:val="clear" w:color="auto" w:fill="auto"/>
          </w:tcPr>
          <w:p>
            <w:pPr>
              <w:pStyle w:val="nTable"/>
              <w:keepNext/>
              <w:spacing w:after="40"/>
              <w:rPr>
                <w:i/>
              </w:rPr>
            </w:pPr>
            <w:r>
              <w:rPr>
                <w:i/>
              </w:rPr>
              <w:lastRenderedPageBreak/>
              <w:t>Vocational Education and Training (General) Amendment Regulations 2014</w:t>
            </w:r>
          </w:p>
        </w:tc>
        <w:tc>
          <w:tcPr>
            <w:tcW w:w="1276" w:type="dxa"/>
            <w:tcBorders>
              <w:top w:val="nil"/>
              <w:bottom w:val="nil"/>
            </w:tcBorders>
            <w:shd w:val="clear" w:color="auto" w:fill="auto"/>
          </w:tcPr>
          <w:p>
            <w:pPr>
              <w:pStyle w:val="nTable"/>
              <w:keepNext/>
              <w:spacing w:after="40"/>
            </w:pPr>
            <w:r>
              <w:t>5 Dec 2014 p. 4525-41</w:t>
            </w:r>
          </w:p>
        </w:tc>
        <w:tc>
          <w:tcPr>
            <w:tcW w:w="2693" w:type="dxa"/>
            <w:tcBorders>
              <w:top w:val="nil"/>
              <w:bottom w:val="nil"/>
            </w:tcBorders>
            <w:shd w:val="clear" w:color="auto" w:fill="auto"/>
          </w:tcPr>
          <w:p>
            <w:pPr>
              <w:pStyle w:val="nTable"/>
              <w:keepNext/>
              <w:spacing w:after="40"/>
              <w:rPr>
                <w:bCs/>
                <w:snapToGrid w:val="0"/>
              </w:rPr>
            </w:pPr>
            <w:r>
              <w:rPr>
                <w:bCs/>
                <w:snapToGrid w:val="0"/>
                <w:spacing w:val="-2"/>
              </w:rPr>
              <w:t>r. 1 and 2: 5 Dec 2014 (see r. 2(a));</w:t>
            </w:r>
            <w:r>
              <w:rPr>
                <w:bCs/>
                <w:snapToGrid w:val="0"/>
                <w:spacing w:val="-2"/>
              </w:rPr>
              <w:br/>
              <w:t>Regulations other than r. 1 and 2: 6 Dec 2014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3) 2014</w:t>
            </w:r>
          </w:p>
        </w:tc>
        <w:tc>
          <w:tcPr>
            <w:tcW w:w="1276" w:type="dxa"/>
            <w:tcBorders>
              <w:top w:val="nil"/>
              <w:left w:val="nil"/>
              <w:bottom w:val="nil"/>
              <w:right w:val="nil"/>
            </w:tcBorders>
            <w:shd w:val="clear" w:color="auto" w:fill="auto"/>
          </w:tcPr>
          <w:p>
            <w:pPr>
              <w:pStyle w:val="nTable"/>
              <w:spacing w:after="40"/>
            </w:pPr>
            <w:r>
              <w:t>12 Dec 2014 p. 4742</w:t>
            </w:r>
            <w:r>
              <w:noBreakHyphen/>
              <w:t>3</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12 Dec 2014 (see r. 2(a));</w:t>
            </w:r>
            <w:r>
              <w:rPr>
                <w:bCs/>
                <w:snapToGrid w:val="0"/>
                <w:spacing w:val="-2"/>
              </w:rPr>
              <w:br/>
              <w:t>Regulations other than r. 1 and 2: 13 Dec 2014 (see r. 2(b))</w:t>
            </w:r>
          </w:p>
        </w:tc>
      </w:tr>
      <w:tr>
        <w:tc>
          <w:tcPr>
            <w:tcW w:w="3118" w:type="dxa"/>
            <w:tcBorders>
              <w:top w:val="nil"/>
              <w:bottom w:val="nil"/>
              <w:right w:val="nil"/>
            </w:tcBorders>
            <w:shd w:val="clear" w:color="auto" w:fill="auto"/>
          </w:tcPr>
          <w:p>
            <w:pPr>
              <w:pStyle w:val="nTable"/>
              <w:spacing w:after="40"/>
              <w:rPr>
                <w:i/>
              </w:rPr>
            </w:pPr>
            <w:r>
              <w:rPr>
                <w:i/>
                <w:noProof/>
              </w:rPr>
              <w:t>Vocational Education and Training (General) Amendment Regulations 2015</w:t>
            </w:r>
            <w:r>
              <w:rPr>
                <w:noProof/>
              </w:rPr>
              <w:t xml:space="preserve"> </w:t>
            </w:r>
          </w:p>
        </w:tc>
        <w:tc>
          <w:tcPr>
            <w:tcW w:w="1276" w:type="dxa"/>
            <w:tcBorders>
              <w:top w:val="nil"/>
              <w:left w:val="nil"/>
              <w:bottom w:val="nil"/>
              <w:right w:val="nil"/>
            </w:tcBorders>
            <w:shd w:val="clear" w:color="auto" w:fill="auto"/>
          </w:tcPr>
          <w:p>
            <w:pPr>
              <w:pStyle w:val="nTable"/>
              <w:spacing w:after="40"/>
            </w:pPr>
            <w:r>
              <w:t>10 Mar 2015 p. 827</w:t>
            </w:r>
            <w:r>
              <w:noBreakHyphen/>
              <w:t>36</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10 Mar 2015 (see r. 2(a));</w:t>
            </w:r>
            <w:r>
              <w:rPr>
                <w:bCs/>
                <w:snapToGrid w:val="0"/>
                <w:spacing w:val="-2"/>
              </w:rPr>
              <w:br/>
              <w:t xml:space="preserve">Regulations other than r. 1 and 2: </w:t>
            </w:r>
            <w:r>
              <w:t>6 Apr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(No. 2) 2015</w:t>
            </w:r>
          </w:p>
        </w:tc>
        <w:tc>
          <w:tcPr>
            <w:tcW w:w="1276" w:type="dxa"/>
            <w:tcBorders>
              <w:top w:val="nil"/>
              <w:left w:val="nil"/>
              <w:bottom w:val="nil"/>
              <w:right w:val="nil"/>
            </w:tcBorders>
            <w:shd w:val="clear" w:color="auto" w:fill="auto"/>
          </w:tcPr>
          <w:p>
            <w:pPr>
              <w:pStyle w:val="nTable"/>
              <w:spacing w:after="40"/>
            </w:pPr>
            <w:r>
              <w:t>28 Aug 2015 p. 3599</w:t>
            </w:r>
          </w:p>
        </w:tc>
        <w:tc>
          <w:tcPr>
            <w:tcW w:w="2693" w:type="dxa"/>
            <w:tcBorders>
              <w:top w:val="nil"/>
              <w:left w:val="nil"/>
              <w:bottom w:val="nil"/>
            </w:tcBorders>
            <w:shd w:val="clear" w:color="auto" w:fill="auto"/>
          </w:tcPr>
          <w:p>
            <w:pPr>
              <w:pStyle w:val="nTable"/>
              <w:spacing w:after="40"/>
              <w:rPr>
                <w:bCs/>
                <w:snapToGrid w:val="0"/>
                <w:spacing w:val="-2"/>
              </w:rPr>
            </w:pPr>
            <w:r>
              <w:rPr>
                <w:bCs/>
                <w:snapToGrid w:val="0"/>
                <w:spacing w:val="-2"/>
              </w:rPr>
              <w:t>r. 1 and 2: 28 Aug 2015 (see r. 2(a));</w:t>
            </w:r>
            <w:r>
              <w:rPr>
                <w:bCs/>
                <w:snapToGrid w:val="0"/>
                <w:spacing w:val="-2"/>
              </w:rPr>
              <w:br/>
              <w:t>Regulations other than r. 1 and 2: 29</w:t>
            </w:r>
            <w:r>
              <w:t> Aug 2015 (see r. 2(b))</w:t>
            </w:r>
          </w:p>
        </w:tc>
      </w:tr>
      <w:tr>
        <w:tc>
          <w:tcPr>
            <w:tcW w:w="3118" w:type="dxa"/>
            <w:tcBorders>
              <w:top w:val="nil"/>
              <w:bottom w:val="nil"/>
              <w:right w:val="nil"/>
            </w:tcBorders>
            <w:shd w:val="clear" w:color="auto" w:fill="auto"/>
          </w:tcPr>
          <w:p>
            <w:pPr>
              <w:pStyle w:val="nTable"/>
              <w:spacing w:after="40"/>
              <w:rPr>
                <w:i/>
                <w:noProof/>
              </w:rPr>
            </w:pPr>
            <w:r>
              <w:rPr>
                <w:i/>
                <w:noProof/>
              </w:rPr>
              <w:t>Vocational Education and Training (General) Amendment Regulations 2016</w:t>
            </w:r>
          </w:p>
        </w:tc>
        <w:tc>
          <w:tcPr>
            <w:tcW w:w="1276" w:type="dxa"/>
            <w:tcBorders>
              <w:top w:val="nil"/>
              <w:left w:val="nil"/>
              <w:bottom w:val="nil"/>
              <w:right w:val="nil"/>
            </w:tcBorders>
            <w:shd w:val="clear" w:color="auto" w:fill="auto"/>
          </w:tcPr>
          <w:p>
            <w:pPr>
              <w:pStyle w:val="nTable"/>
              <w:spacing w:after="40"/>
            </w:pPr>
            <w:r>
              <w:t>27 Jan 2016 p. 222</w:t>
            </w:r>
            <w:r>
              <w:noBreakHyphen/>
              <w:t>4</w:t>
            </w:r>
          </w:p>
        </w:tc>
        <w:tc>
          <w:tcPr>
            <w:tcW w:w="2693" w:type="dxa"/>
            <w:tcBorders>
              <w:top w:val="nil"/>
              <w:left w:val="nil"/>
              <w:bottom w:val="nil"/>
            </w:tcBorders>
            <w:shd w:val="clear" w:color="auto" w:fill="auto"/>
          </w:tcPr>
          <w:p>
            <w:pPr>
              <w:pStyle w:val="nTable"/>
              <w:spacing w:after="40"/>
              <w:rPr>
                <w:bCs/>
                <w:snapToGrid w:val="0"/>
                <w:spacing w:val="-2"/>
              </w:rPr>
            </w:pPr>
            <w:r>
              <w:rPr>
                <w:bCs/>
                <w:noProof/>
                <w:snapToGrid w:val="0"/>
                <w:spacing w:val="-2"/>
              </w:rPr>
              <w:t xml:space="preserve">r. 1 and 2: </w:t>
            </w:r>
            <w:r>
              <w:rPr>
                <w:bCs/>
                <w:snapToGrid w:val="0"/>
                <w:spacing w:val="-2"/>
              </w:rPr>
              <w:t>27 Jan 2016 (see r. 2(a));</w:t>
            </w:r>
            <w:r>
              <w:rPr>
                <w:bCs/>
                <w:snapToGrid w:val="0"/>
                <w:spacing w:val="-2"/>
              </w:rPr>
              <w:br/>
              <w:t>Regulations other than r. 1 and 2: 28 Jan 2016 (see r. 2(b))</w:t>
            </w:r>
          </w:p>
        </w:tc>
      </w:tr>
      <w:tr>
        <w:tc>
          <w:tcPr>
            <w:tcW w:w="3118" w:type="dxa"/>
            <w:tcBorders>
              <w:top w:val="nil"/>
              <w:bottom w:val="nil"/>
              <w:right w:val="nil"/>
            </w:tcBorders>
            <w:shd w:val="clear" w:color="auto" w:fill="auto"/>
          </w:tcPr>
          <w:p>
            <w:pPr>
              <w:pStyle w:val="nTable"/>
              <w:spacing w:after="40"/>
              <w:rPr>
                <w:i/>
                <w:noProof/>
              </w:rPr>
            </w:pPr>
            <w:r>
              <w:rPr>
                <w:i/>
              </w:rPr>
              <w:t>Vocational Education and Training (General) Amendment Regulations 2017</w:t>
            </w:r>
          </w:p>
        </w:tc>
        <w:tc>
          <w:tcPr>
            <w:tcW w:w="1276" w:type="dxa"/>
            <w:tcBorders>
              <w:top w:val="nil"/>
              <w:left w:val="nil"/>
              <w:bottom w:val="nil"/>
              <w:right w:val="nil"/>
            </w:tcBorders>
            <w:shd w:val="clear" w:color="auto" w:fill="auto"/>
          </w:tcPr>
          <w:p>
            <w:pPr>
              <w:pStyle w:val="nTable"/>
              <w:spacing w:after="40"/>
            </w:pPr>
            <w:r>
              <w:t>29 Dec 2017 p. 6080</w:t>
            </w:r>
            <w:r>
              <w:noBreakHyphen/>
              <w:t>3</w:t>
            </w:r>
          </w:p>
        </w:tc>
        <w:tc>
          <w:tcPr>
            <w:tcW w:w="2693" w:type="dxa"/>
            <w:tcBorders>
              <w:top w:val="nil"/>
              <w:left w:val="nil"/>
              <w:bottom w:val="nil"/>
            </w:tcBorders>
            <w:shd w:val="clear" w:color="auto" w:fill="auto"/>
          </w:tcPr>
          <w:p>
            <w:pPr>
              <w:pStyle w:val="nTable"/>
              <w:spacing w:after="40"/>
            </w:pPr>
            <w:r>
              <w:t>r. 1 and 2: 29 Dec 2017 (see r. 2(a));</w:t>
            </w:r>
          </w:p>
          <w:p>
            <w:pPr>
              <w:pStyle w:val="nTable"/>
              <w:spacing w:after="40"/>
              <w:rPr>
                <w:bCs/>
                <w:noProof/>
                <w:snapToGrid w:val="0"/>
                <w:spacing w:val="-2"/>
              </w:rPr>
            </w:pPr>
            <w:r>
              <w:t>Regulations other than r. 1 and 2: 9 Feb 2018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Vocational Education and Training (General) Regulations 2009</w:t>
            </w:r>
            <w:r>
              <w:rPr>
                <w:b/>
              </w:rPr>
              <w:t xml:space="preserve"> as at</w:t>
            </w:r>
            <w:r>
              <w:rPr>
                <w:b/>
              </w:rPr>
              <w:br/>
              <w:t>16 Nov 2018</w:t>
            </w:r>
            <w:r>
              <w:t xml:space="preserve"> (includes amendments listed above)</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2021</w:t>
            </w:r>
          </w:p>
        </w:tc>
        <w:tc>
          <w:tcPr>
            <w:tcW w:w="1276" w:type="dxa"/>
            <w:tcBorders>
              <w:top w:val="nil"/>
              <w:left w:val="nil"/>
              <w:bottom w:val="nil"/>
              <w:right w:val="nil"/>
            </w:tcBorders>
            <w:shd w:val="clear" w:color="auto" w:fill="auto"/>
          </w:tcPr>
          <w:p>
            <w:pPr>
              <w:pStyle w:val="nTable"/>
              <w:spacing w:after="40"/>
            </w:pPr>
            <w:r>
              <w:t>SL 2021/156 10 Sep 2021</w:t>
            </w:r>
          </w:p>
        </w:tc>
        <w:tc>
          <w:tcPr>
            <w:tcW w:w="2693" w:type="dxa"/>
            <w:tcBorders>
              <w:top w:val="nil"/>
              <w:left w:val="nil"/>
              <w:bottom w:val="nil"/>
            </w:tcBorders>
            <w:shd w:val="clear" w:color="auto" w:fill="auto"/>
          </w:tcPr>
          <w:p>
            <w:pPr>
              <w:pStyle w:val="nTable"/>
              <w:spacing w:after="40"/>
            </w:pPr>
            <w:r>
              <w:t>r. 1 and 2: 10 Sep 2021 (see r. 2(a));</w:t>
            </w:r>
          </w:p>
          <w:p>
            <w:pPr>
              <w:pStyle w:val="nTable"/>
              <w:spacing w:after="40"/>
            </w:pPr>
            <w:r>
              <w:t>Regulations other than r. 1 and 2: 11 Sep 2021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2024</w:t>
            </w:r>
          </w:p>
        </w:tc>
        <w:tc>
          <w:tcPr>
            <w:tcW w:w="1276" w:type="dxa"/>
            <w:tcBorders>
              <w:top w:val="nil"/>
              <w:left w:val="nil"/>
              <w:bottom w:val="nil"/>
              <w:right w:val="nil"/>
            </w:tcBorders>
            <w:shd w:val="clear" w:color="auto" w:fill="auto"/>
          </w:tcPr>
          <w:p>
            <w:pPr>
              <w:pStyle w:val="nTable"/>
              <w:spacing w:after="40"/>
            </w:pPr>
            <w:r>
              <w:t>SL 2024/147 10 Jul 2024</w:t>
            </w:r>
          </w:p>
        </w:tc>
        <w:tc>
          <w:tcPr>
            <w:tcW w:w="2693" w:type="dxa"/>
            <w:tcBorders>
              <w:top w:val="nil"/>
              <w:left w:val="nil"/>
              <w:bottom w:val="nil"/>
            </w:tcBorders>
            <w:shd w:val="clear" w:color="auto" w:fill="auto"/>
          </w:tcPr>
          <w:p>
            <w:pPr>
              <w:pStyle w:val="nTable"/>
              <w:spacing w:after="40"/>
            </w:pPr>
            <w:r>
              <w:t>r. 1 and 2: 10 Jul 2024 (see r. 2(a));</w:t>
            </w:r>
            <w:r>
              <w:br/>
              <w:t>Regulations other than r. 1 and 2: 11 Jul 2024 (see r. 2(b))</w:t>
            </w:r>
          </w:p>
        </w:tc>
      </w:tr>
      <w:tr>
        <w:tc>
          <w:tcPr>
            <w:tcW w:w="3118" w:type="dxa"/>
            <w:tcBorders>
              <w:top w:val="nil"/>
              <w:bottom w:val="nil"/>
              <w:right w:val="nil"/>
            </w:tcBorders>
            <w:shd w:val="clear" w:color="auto" w:fill="auto"/>
          </w:tcPr>
          <w:p>
            <w:pPr>
              <w:pStyle w:val="nTable"/>
              <w:spacing w:after="40"/>
              <w:rPr>
                <w:i/>
              </w:rPr>
            </w:pPr>
            <w:r>
              <w:rPr>
                <w:i/>
              </w:rPr>
              <w:t>Vocational Education and Training (General) Amendment Regulations (No. 2) 2024</w:t>
            </w:r>
          </w:p>
        </w:tc>
        <w:tc>
          <w:tcPr>
            <w:tcW w:w="1276" w:type="dxa"/>
            <w:tcBorders>
              <w:top w:val="nil"/>
              <w:left w:val="nil"/>
              <w:bottom w:val="nil"/>
              <w:right w:val="nil"/>
            </w:tcBorders>
            <w:shd w:val="clear" w:color="auto" w:fill="auto"/>
          </w:tcPr>
          <w:p>
            <w:pPr>
              <w:pStyle w:val="nTable"/>
              <w:spacing w:after="40"/>
            </w:pPr>
            <w:r>
              <w:t>SL 2024/229 13 Nov 2024</w:t>
            </w:r>
          </w:p>
        </w:tc>
        <w:tc>
          <w:tcPr>
            <w:tcW w:w="2693" w:type="dxa"/>
            <w:tcBorders>
              <w:top w:val="nil"/>
              <w:left w:val="nil"/>
              <w:bottom w:val="nil"/>
            </w:tcBorders>
            <w:shd w:val="clear" w:color="auto" w:fill="auto"/>
          </w:tcPr>
          <w:p>
            <w:pPr>
              <w:pStyle w:val="nTable"/>
              <w:spacing w:after="40"/>
            </w:pPr>
            <w:r>
              <w:t>r. 1 and 2: 13 Nov 2024 (see r. 2(a));</w:t>
            </w:r>
            <w:r>
              <w:br/>
              <w:t>Regulations other than r. 1 and 2: 14 Nov 2024 (see r. 2(b))</w:t>
            </w:r>
          </w:p>
        </w:tc>
      </w:tr>
      <w:tr>
        <w:tc>
          <w:tcPr>
            <w:tcW w:w="3118" w:type="dxa"/>
            <w:tcBorders>
              <w:top w:val="nil"/>
              <w:bottom w:val="nil"/>
              <w:right w:val="nil"/>
            </w:tcBorders>
            <w:shd w:val="clear" w:color="auto" w:fill="auto"/>
          </w:tcPr>
          <w:p>
            <w:pPr>
              <w:pStyle w:val="nTable"/>
              <w:keepNext/>
              <w:spacing w:after="40"/>
              <w:rPr>
                <w:i/>
              </w:rPr>
            </w:pPr>
            <w:r>
              <w:rPr>
                <w:i/>
              </w:rPr>
              <w:lastRenderedPageBreak/>
              <w:t>Vocational Education and Training (General) Amendment Regulations 2025</w:t>
            </w:r>
          </w:p>
        </w:tc>
        <w:tc>
          <w:tcPr>
            <w:tcW w:w="1276" w:type="dxa"/>
            <w:tcBorders>
              <w:top w:val="nil"/>
              <w:left w:val="nil"/>
              <w:bottom w:val="nil"/>
              <w:right w:val="nil"/>
            </w:tcBorders>
            <w:shd w:val="clear" w:color="auto" w:fill="auto"/>
          </w:tcPr>
          <w:p>
            <w:pPr>
              <w:pStyle w:val="nTable"/>
              <w:keepNext/>
              <w:spacing w:after="40"/>
            </w:pPr>
            <w:r>
              <w:t>SL 2025/71 14 May 2025</w:t>
            </w:r>
          </w:p>
        </w:tc>
        <w:tc>
          <w:tcPr>
            <w:tcW w:w="2693" w:type="dxa"/>
            <w:tcBorders>
              <w:top w:val="nil"/>
              <w:left w:val="nil"/>
              <w:bottom w:val="nil"/>
            </w:tcBorders>
            <w:shd w:val="clear" w:color="auto" w:fill="auto"/>
          </w:tcPr>
          <w:p>
            <w:pPr>
              <w:pStyle w:val="nTable"/>
              <w:keepNext/>
              <w:spacing w:after="40"/>
            </w:pPr>
            <w:r>
              <w:t>r. 1 and 2: 14 May 2025 (see r. 2(a));</w:t>
            </w:r>
            <w:r>
              <w:br/>
              <w:t>Regulations other than r. 1 and 2: 15 May 2025 (see r. 2(b))</w:t>
            </w:r>
          </w:p>
        </w:tc>
      </w:tr>
      <w:tr>
        <w:tc>
          <w:tcPr>
            <w:tcW w:w="3118" w:type="dxa"/>
            <w:tcBorders>
              <w:top w:val="nil"/>
              <w:bottom w:val="single" w:sz="4" w:space="0" w:color="auto"/>
              <w:right w:val="nil"/>
            </w:tcBorders>
            <w:shd w:val="clear" w:color="auto" w:fill="auto"/>
          </w:tcPr>
          <w:p>
            <w:pPr>
              <w:pStyle w:val="nTable"/>
              <w:spacing w:after="40"/>
              <w:rPr>
                <w:i/>
              </w:rPr>
            </w:pPr>
            <w:r>
              <w:rPr>
                <w:i/>
              </w:rPr>
              <w:t>Vocational Education and Training (General) Amendment Regulations (No. 2) 2025</w:t>
            </w:r>
          </w:p>
        </w:tc>
        <w:tc>
          <w:tcPr>
            <w:tcW w:w="1276" w:type="dxa"/>
            <w:tcBorders>
              <w:top w:val="nil"/>
              <w:left w:val="nil"/>
              <w:bottom w:val="single" w:sz="4" w:space="0" w:color="auto"/>
              <w:right w:val="nil"/>
            </w:tcBorders>
            <w:shd w:val="clear" w:color="auto" w:fill="auto"/>
          </w:tcPr>
          <w:p>
            <w:pPr>
              <w:pStyle w:val="nTable"/>
              <w:spacing w:after="40"/>
            </w:pPr>
            <w:r>
              <w:t>SL 2025/165 17 Sep 2025</w:t>
            </w:r>
          </w:p>
        </w:tc>
        <w:tc>
          <w:tcPr>
            <w:tcW w:w="2693" w:type="dxa"/>
            <w:tcBorders>
              <w:top w:val="nil"/>
              <w:left w:val="nil"/>
              <w:bottom w:val="single" w:sz="4" w:space="0" w:color="auto"/>
            </w:tcBorders>
            <w:shd w:val="clear" w:color="auto" w:fill="auto"/>
          </w:tcPr>
          <w:p>
            <w:pPr>
              <w:pStyle w:val="nTable"/>
              <w:spacing w:after="40"/>
            </w:pPr>
            <w:r>
              <w:t>r. 1 and 2: 17 Sep 2025 (see r. 2(a));</w:t>
            </w:r>
            <w:r>
              <w:br/>
              <w:t>Regulations other than r. 1 and 2: 1 Oct 2025 (see r. 2(b))</w:t>
            </w:r>
          </w:p>
        </w:tc>
      </w:tr>
    </w:tbl>
    <w:p>
      <w:pPr>
        <w:pStyle w:val="nHeading3"/>
      </w:pPr>
      <w:bookmarkStart w:id="170" w:name="_Toc209016934"/>
      <w:r>
        <w:t>Other notes</w:t>
      </w:r>
      <w:bookmarkEnd w:id="170"/>
    </w:p>
    <w:p>
      <w:pPr>
        <w:pStyle w:val="nNote"/>
      </w:pPr>
      <w:r>
        <w:rPr>
          <w:vertAlign w:val="superscript"/>
        </w:rPr>
        <w:t>1</w:t>
      </w:r>
      <w:r>
        <w:tab/>
        <w:t xml:space="preserve">Repealed by </w:t>
      </w:r>
      <w:r>
        <w:rPr>
          <w:color w:val="000000"/>
          <w:shd w:val="clear" w:color="auto" w:fill="FFFFFF"/>
        </w:rPr>
        <w:t xml:space="preserve">the </w:t>
      </w:r>
      <w:r>
        <w:rPr>
          <w:i/>
          <w:iCs/>
        </w:rPr>
        <w:t>Vocational Education and Training (Commonwealth Powers) Act 2010</w:t>
      </w:r>
      <w:r>
        <w:t xml:space="preserve"> Sch. 1 (NSW).</w:t>
      </w:r>
    </w:p>
    <w:p>
      <w:pPr>
        <w:pStyle w:val="nNote"/>
      </w:pPr>
      <w:r>
        <w:rPr>
          <w:vertAlign w:val="superscript"/>
        </w:rPr>
        <w:t>2</w:t>
      </w:r>
      <w:r>
        <w:tab/>
        <w:t xml:space="preserve">Repealed by the </w:t>
      </w:r>
      <w:r>
        <w:rPr>
          <w:i/>
        </w:rPr>
        <w:t>Training and Skills Development Act 2016</w:t>
      </w:r>
      <w:r>
        <w:t xml:space="preserve"> (NT).</w:t>
      </w:r>
    </w:p>
    <w:p>
      <w:pPr>
        <w:pStyle w:val="nNote"/>
      </w:pPr>
      <w:r>
        <w:rPr>
          <w:vertAlign w:val="superscript"/>
        </w:rPr>
        <w:t>3</w:t>
      </w:r>
      <w:r>
        <w:tab/>
        <w:t xml:space="preserve">Repealed by the </w:t>
      </w:r>
      <w:r>
        <w:rPr>
          <w:i/>
        </w:rPr>
        <w:t>Further Education and Training Act 2014</w:t>
      </w:r>
      <w:r>
        <w:t xml:space="preserve"> (Qld).</w:t>
      </w:r>
    </w:p>
    <w:p>
      <w:pPr>
        <w:pStyle w:val="nNote"/>
      </w:pPr>
      <w:r>
        <w:rPr>
          <w:vertAlign w:val="superscript"/>
        </w:rPr>
        <w:t>4</w:t>
      </w:r>
      <w:r>
        <w:tab/>
        <w:t xml:space="preserve">Repealed by the </w:t>
      </w:r>
      <w:r>
        <w:rPr>
          <w:i/>
        </w:rPr>
        <w:t>Training and Workforce Development (Repeals and Consequential Amendments Act 2013</w:t>
      </w:r>
      <w:r>
        <w:t xml:space="preserve"> (Tas).</w:t>
      </w:r>
    </w:p>
    <w:p>
      <w:pPr>
        <w:pStyle w:val="nNote"/>
      </w:pPr>
      <w:r>
        <w:rPr>
          <w:vertAlign w:val="superscript"/>
        </w:rPr>
        <w:t>5</w:t>
      </w:r>
      <w:r>
        <w:tab/>
        <w:t xml:space="preserve">The </w:t>
      </w:r>
      <w:r>
        <w:rPr>
          <w:i/>
        </w:rPr>
        <w:t>Training Legislation Amendment and Repeal Act 2008</w:t>
      </w:r>
      <w:r>
        <w:t xml:space="preserve"> (other than Part 1) commenced 10 Jun 2009.</w:t>
      </w:r>
    </w:p>
    <w:p>
      <w:pPr>
        <w:pStyle w:val="nNote"/>
      </w:pPr>
      <w:r>
        <w:rPr>
          <w:vertAlign w:val="superscript"/>
        </w:rPr>
        <w:t>6</w:t>
      </w:r>
      <w:r>
        <w:tab/>
        <w:t xml:space="preserve">The </w:t>
      </w:r>
      <w:r>
        <w:rPr>
          <w:i/>
        </w:rPr>
        <w:t>Industrial Training Act 1975</w:t>
      </w:r>
      <w:r>
        <w:t xml:space="preserve"> was repealed by the </w:t>
      </w:r>
      <w:r>
        <w:rPr>
          <w:i/>
        </w:rPr>
        <w:t>Training Legislation Amendment and Repeal Act 2008</w:t>
      </w:r>
      <w:r>
        <w:t>.</w:t>
      </w:r>
    </w:p>
    <w:p>
      <w:pPr>
        <w:pStyle w:val="nNote"/>
      </w:pPr>
      <w:r>
        <w:rPr>
          <w:vertAlign w:val="superscript"/>
        </w:rPr>
        <w:t>7</w:t>
      </w:r>
      <w:r>
        <w:tab/>
        <w:t xml:space="preserve">Repealed by the </w:t>
      </w:r>
      <w:r>
        <w:rPr>
          <w:i/>
        </w:rPr>
        <w:t>Vocational Education and Training (General) Regulations 2009</w:t>
      </w:r>
      <w:r>
        <w:t xml:space="preserve"> r. 56(2).</w:t>
      </w:r>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172" w:name="_Toc209016935"/>
      <w:r>
        <w:rPr>
          <w:sz w:val="28"/>
        </w:rPr>
        <w:lastRenderedPageBreak/>
        <w:t>Defined terms</w:t>
      </w:r>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 application</w:t>
      </w:r>
      <w:r>
        <w:tab/>
        <w:t>7</w:t>
      </w:r>
    </w:p>
    <w:p>
      <w:pPr>
        <w:pStyle w:val="DefinedTerms"/>
      </w:pPr>
      <w:r>
        <w:t>accreditation standards</w:t>
      </w:r>
      <w:r>
        <w:tab/>
        <w:t>7</w:t>
      </w:r>
    </w:p>
    <w:p>
      <w:pPr>
        <w:pStyle w:val="DefinedTerms"/>
      </w:pPr>
      <w:r>
        <w:t>Act</w:t>
      </w:r>
      <w:r>
        <w:tab/>
        <w:t>3</w:t>
      </w:r>
    </w:p>
    <w:p>
      <w:pPr>
        <w:pStyle w:val="DefinedTerms"/>
      </w:pPr>
      <w:r>
        <w:t>amendment regulations</w:t>
      </w:r>
      <w:r>
        <w:tab/>
        <w:t>61</w:t>
      </w:r>
    </w:p>
    <w:p>
      <w:pPr>
        <w:pStyle w:val="DefinedTerms"/>
      </w:pPr>
      <w:r>
        <w:t>AQF</w:t>
      </w:r>
      <w:r>
        <w:tab/>
        <w:t>3</w:t>
      </w:r>
    </w:p>
    <w:p>
      <w:pPr>
        <w:pStyle w:val="DefinedTerms"/>
      </w:pPr>
      <w:r>
        <w:t>AQTF</w:t>
      </w:r>
      <w:r>
        <w:tab/>
        <w:t>61</w:t>
      </w:r>
    </w:p>
    <w:p>
      <w:pPr>
        <w:pStyle w:val="DefinedTerms"/>
      </w:pPr>
      <w:r>
        <w:t>ASQA</w:t>
      </w:r>
      <w:r>
        <w:tab/>
        <w:t>3</w:t>
      </w:r>
    </w:p>
    <w:p>
      <w:pPr>
        <w:pStyle w:val="DefinedTerms"/>
      </w:pPr>
      <w:r>
        <w:t>associate</w:t>
      </w:r>
      <w:r>
        <w:tab/>
        <w:t>12(1)</w:t>
      </w:r>
    </w:p>
    <w:p>
      <w:pPr>
        <w:pStyle w:val="DefinedTerms"/>
      </w:pPr>
      <w:r>
        <w:t>audit</w:t>
      </w:r>
      <w:r>
        <w:tab/>
        <w:t>7</w:t>
      </w:r>
    </w:p>
    <w:p>
      <w:pPr>
        <w:pStyle w:val="DefinedTerms"/>
      </w:pPr>
      <w:r>
        <w:t>child</w:t>
      </w:r>
      <w:r>
        <w:tab/>
        <w:t>40(1)</w:t>
      </w:r>
    </w:p>
    <w:p>
      <w:pPr>
        <w:pStyle w:val="DefinedTerms"/>
      </w:pPr>
      <w:r>
        <w:t>commencement</w:t>
      </w:r>
      <w:r>
        <w:tab/>
        <w:t>55, Sch. 2 cl. 1</w:t>
      </w:r>
    </w:p>
    <w:p>
      <w:pPr>
        <w:pStyle w:val="DefinedTerms"/>
      </w:pPr>
      <w:r>
        <w:t>commencement day</w:t>
      </w:r>
      <w:r>
        <w:tab/>
        <w:t>61</w:t>
      </w:r>
    </w:p>
    <w:p>
      <w:pPr>
        <w:pStyle w:val="DefinedTerms"/>
      </w:pPr>
      <w:r>
        <w:t>Commonwealth Act</w:t>
      </w:r>
      <w:r>
        <w:tab/>
        <w:t>3</w:t>
      </w:r>
    </w:p>
    <w:p>
      <w:pPr>
        <w:pStyle w:val="DefinedTerms"/>
      </w:pPr>
      <w:r>
        <w:t>compliance audit</w:t>
      </w:r>
      <w:r>
        <w:tab/>
        <w:t>7</w:t>
      </w:r>
    </w:p>
    <w:p>
      <w:pPr>
        <w:pStyle w:val="DefinedTerms"/>
      </w:pPr>
      <w:r>
        <w:t>compliance standards</w:t>
      </w:r>
      <w:r>
        <w:tab/>
        <w:t>3</w:t>
      </w:r>
    </w:p>
    <w:p>
      <w:pPr>
        <w:pStyle w:val="DefinedTerms"/>
      </w:pPr>
      <w:r>
        <w:t>complying training plan</w:t>
      </w:r>
      <w:r>
        <w:tab/>
        <w:t>3, 43(1)</w:t>
      </w:r>
    </w:p>
    <w:p>
      <w:pPr>
        <w:pStyle w:val="DefinedTerms"/>
      </w:pPr>
      <w:r>
        <w:t>compulsory education period</w:t>
      </w:r>
      <w:r>
        <w:tab/>
        <w:t>40(1)</w:t>
      </w:r>
    </w:p>
    <w:p>
      <w:pPr>
        <w:pStyle w:val="DefinedTerms"/>
      </w:pPr>
      <w:r>
        <w:t>condition of registration</w:t>
      </w:r>
      <w:r>
        <w:tab/>
        <w:t>7</w:t>
      </w:r>
    </w:p>
    <w:p>
      <w:pPr>
        <w:pStyle w:val="DefinedTerms"/>
      </w:pPr>
      <w:r>
        <w:t>data provision requirements</w:t>
      </w:r>
      <w:r>
        <w:tab/>
        <w:t>3</w:t>
      </w:r>
    </w:p>
    <w:p>
      <w:pPr>
        <w:pStyle w:val="DefinedTerms"/>
      </w:pPr>
      <w:r>
        <w:t>fit and proper person requirements</w:t>
      </w:r>
      <w:r>
        <w:tab/>
        <w:t>3</w:t>
      </w:r>
    </w:p>
    <w:p>
      <w:pPr>
        <w:pStyle w:val="DefinedTerms"/>
      </w:pPr>
      <w:r>
        <w:t>governing person</w:t>
      </w:r>
      <w:r>
        <w:tab/>
        <w:t>7</w:t>
      </w:r>
    </w:p>
    <w:p>
      <w:pPr>
        <w:pStyle w:val="DefinedTerms"/>
      </w:pPr>
      <w:r>
        <w:t>investigation</w:t>
      </w:r>
      <w:r>
        <w:tab/>
        <w:t>7</w:t>
      </w:r>
    </w:p>
    <w:p>
      <w:pPr>
        <w:pStyle w:val="DefinedTerms"/>
      </w:pPr>
      <w:r>
        <w:t>involved person</w:t>
      </w:r>
      <w:r>
        <w:tab/>
        <w:t>45(1)</w:t>
      </w:r>
    </w:p>
    <w:p>
      <w:pPr>
        <w:pStyle w:val="DefinedTerms"/>
      </w:pPr>
      <w:r>
        <w:t>jurisdiction</w:t>
      </w:r>
      <w:r>
        <w:tab/>
        <w:t>3</w:t>
      </w:r>
    </w:p>
    <w:p>
      <w:pPr>
        <w:pStyle w:val="DefinedTerms"/>
      </w:pPr>
      <w:r>
        <w:t>listed</w:t>
      </w:r>
      <w:r>
        <w:tab/>
        <w:t>4(1)</w:t>
      </w:r>
    </w:p>
    <w:p>
      <w:pPr>
        <w:pStyle w:val="DefinedTerms"/>
      </w:pPr>
      <w:r>
        <w:t>national register</w:t>
      </w:r>
      <w:r>
        <w:tab/>
        <w:t>3</w:t>
      </w:r>
    </w:p>
    <w:p>
      <w:pPr>
        <w:pStyle w:val="DefinedTerms"/>
      </w:pPr>
      <w:r>
        <w:t>nominated training provider</w:t>
      </w:r>
      <w:r>
        <w:tab/>
        <w:t>34</w:t>
      </w:r>
    </w:p>
    <w:p>
      <w:pPr>
        <w:pStyle w:val="DefinedTerms"/>
      </w:pPr>
      <w:r>
        <w:t>non-referring State</w:t>
      </w:r>
      <w:r>
        <w:tab/>
        <w:t>3</w:t>
      </w:r>
    </w:p>
    <w:p>
      <w:pPr>
        <w:pStyle w:val="DefinedTerms"/>
      </w:pPr>
      <w:r>
        <w:t>official travel costs</w:t>
      </w:r>
      <w:r>
        <w:tab/>
        <w:t>24</w:t>
      </w:r>
    </w:p>
    <w:p>
      <w:pPr>
        <w:pStyle w:val="DefinedTerms"/>
      </w:pPr>
      <w:r>
        <w:t>old agreement</w:t>
      </w:r>
      <w:r>
        <w:tab/>
        <w:t>Sch. 2 cl. 1</w:t>
      </w:r>
    </w:p>
    <w:p>
      <w:pPr>
        <w:pStyle w:val="DefinedTerms"/>
      </w:pPr>
      <w:r>
        <w:t>old training contract</w:t>
      </w:r>
      <w:r>
        <w:tab/>
        <w:t>Sch. 2 cl. 1</w:t>
      </w:r>
    </w:p>
    <w:p>
      <w:pPr>
        <w:pStyle w:val="DefinedTerms"/>
      </w:pPr>
      <w:r>
        <w:t>outcome standards</w:t>
      </w:r>
      <w:r>
        <w:tab/>
        <w:t>3</w:t>
      </w:r>
    </w:p>
    <w:p>
      <w:pPr>
        <w:pStyle w:val="DefinedTerms"/>
      </w:pPr>
      <w:r>
        <w:t>owner</w:t>
      </w:r>
      <w:r>
        <w:tab/>
        <w:t>7</w:t>
      </w:r>
    </w:p>
    <w:p>
      <w:pPr>
        <w:pStyle w:val="DefinedTerms"/>
      </w:pPr>
      <w:r>
        <w:t>parent</w:t>
      </w:r>
      <w:r>
        <w:tab/>
        <w:t>40(1)</w:t>
      </w:r>
    </w:p>
    <w:p>
      <w:pPr>
        <w:pStyle w:val="DefinedTerms"/>
      </w:pPr>
      <w:r>
        <w:t>personal details</w:t>
      </w:r>
      <w:r>
        <w:tab/>
        <w:t>3</w:t>
      </w:r>
    </w:p>
    <w:p>
      <w:pPr>
        <w:pStyle w:val="DefinedTerms"/>
      </w:pPr>
      <w:r>
        <w:t>pre-commencement regulations</w:t>
      </w:r>
      <w:r>
        <w:tab/>
        <w:t>64(1)</w:t>
      </w:r>
    </w:p>
    <w:p>
      <w:pPr>
        <w:pStyle w:val="DefinedTerms"/>
      </w:pPr>
      <w:r>
        <w:t>register</w:t>
      </w:r>
      <w:r>
        <w:tab/>
        <w:t>7</w:t>
      </w:r>
    </w:p>
    <w:p>
      <w:pPr>
        <w:pStyle w:val="DefinedTerms"/>
      </w:pPr>
      <w:r>
        <w:t>registering body</w:t>
      </w:r>
      <w:r>
        <w:tab/>
        <w:t>7</w:t>
      </w:r>
    </w:p>
    <w:p>
      <w:pPr>
        <w:pStyle w:val="DefinedTerms"/>
      </w:pPr>
      <w:r>
        <w:t>registration application</w:t>
      </w:r>
      <w:r>
        <w:tab/>
        <w:t>3</w:t>
      </w:r>
    </w:p>
    <w:p>
      <w:pPr>
        <w:pStyle w:val="DefinedTerms"/>
      </w:pPr>
      <w:r>
        <w:lastRenderedPageBreak/>
        <w:t>registration document</w:t>
      </w:r>
      <w:r>
        <w:tab/>
        <w:t>6</w:t>
      </w:r>
    </w:p>
    <w:p>
      <w:pPr>
        <w:pStyle w:val="DefinedTerms"/>
      </w:pPr>
      <w:r>
        <w:t>registration standards 2025</w:t>
      </w:r>
      <w:r>
        <w:tab/>
        <w:t>3</w:t>
      </w:r>
    </w:p>
    <w:p>
      <w:pPr>
        <w:pStyle w:val="DefinedTerms"/>
      </w:pPr>
      <w:r>
        <w:t>school-based apprenticeship</w:t>
      </w:r>
      <w:r>
        <w:tab/>
        <w:t>3, 43(1)</w:t>
      </w:r>
    </w:p>
    <w:p>
      <w:pPr>
        <w:pStyle w:val="DefinedTerms"/>
      </w:pPr>
      <w:r>
        <w:t>scope of registration</w:t>
      </w:r>
      <w:r>
        <w:tab/>
        <w:t>7</w:t>
      </w:r>
    </w:p>
    <w:p>
      <w:pPr>
        <w:pStyle w:val="DefinedTerms"/>
      </w:pPr>
      <w:r>
        <w:t>Standards for VET Regulators</w:t>
      </w:r>
      <w:r>
        <w:tab/>
        <w:t>7</w:t>
      </w:r>
    </w:p>
    <w:p>
      <w:pPr>
        <w:pStyle w:val="DefinedTerms"/>
      </w:pPr>
      <w:r>
        <w:t>suspension notice</w:t>
      </w:r>
      <w:r>
        <w:tab/>
        <w:t>49(4)</w:t>
      </w:r>
    </w:p>
    <w:p>
      <w:pPr>
        <w:pStyle w:val="DefinedTerms"/>
      </w:pPr>
      <w:r>
        <w:t>trade apprentice</w:t>
      </w:r>
      <w:r>
        <w:tab/>
        <w:t>Sch. 2 cl. 1</w:t>
      </w:r>
    </w:p>
    <w:p>
      <w:pPr>
        <w:pStyle w:val="DefinedTerms"/>
      </w:pPr>
      <w:r>
        <w:t>training provider application</w:t>
      </w:r>
      <w:r>
        <w:tab/>
        <w:t>3</w:t>
      </w:r>
    </w:p>
    <w:p>
      <w:pPr>
        <w:pStyle w:val="DefinedTerms"/>
      </w:pPr>
      <w:r>
        <w:t>transitional period</w:t>
      </w:r>
      <w:r>
        <w:tab/>
        <w:t>61, 64(1)</w:t>
      </w:r>
    </w:p>
    <w:p>
      <w:pPr>
        <w:pStyle w:val="DefinedTerms"/>
      </w:pPr>
      <w:r>
        <w:t>units gained institutionally</w:t>
      </w:r>
      <w:r>
        <w:tab/>
        <w:t>38(3B)</w:t>
      </w:r>
    </w:p>
    <w:p>
      <w:pPr>
        <w:pStyle w:val="DefinedTerms"/>
      </w:pPr>
      <w:r>
        <w:t>VET course for a prescribed VET qualification</w:t>
      </w:r>
      <w:r>
        <w:tab/>
        <w:t>7</w:t>
      </w:r>
    </w:p>
    <w:p>
      <w:pPr>
        <w:pStyle w:val="DefinedTerms"/>
      </w:pPr>
      <w:r>
        <w:t>VET quality framework</w:t>
      </w:r>
      <w:r>
        <w:tab/>
        <w:t>3</w:t>
      </w:r>
    </w:p>
    <w:p>
      <w:pPr>
        <w:pStyle w:val="DefinedTerms"/>
      </w:pPr>
      <w:r>
        <w:t>WA</w:t>
      </w:r>
      <w:r>
        <w:tab/>
        <w:t>3</w:t>
      </w:r>
    </w:p>
    <w:p>
      <w:pPr>
        <w:pStyle w:val="DefinedTerms"/>
      </w:pPr>
      <w:r>
        <w:t>WA accredited course</w:t>
      </w:r>
      <w:r>
        <w:tab/>
        <w:t>7</w:t>
      </w:r>
    </w:p>
    <w:p>
      <w:pPr>
        <w:pStyle w:val="DefinedTerms"/>
      </w:pPr>
      <w:r>
        <w:t>WA registered provider</w:t>
      </w:r>
      <w:r>
        <w:tab/>
        <w:t>3</w:t>
      </w:r>
    </w:p>
    <w:p>
      <w:pPr>
        <w:pStyle w:val="DefinedTerms"/>
      </w:pPr>
      <w:r>
        <w:t>working day</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3DF6F1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EB1DC49" w14:textId="2CF1FDC6" w:rsidR="0020489F" w:rsidRDefault="00457A1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A4E40">
                        <w:rPr>
                          <w:sz w:val="16"/>
                        </w:rPr>
                        <w:t>2025</w:t>
                      </w:r>
                      <w:r>
                        <w:rPr>
                          <w:sz w:val="16"/>
                        </w:rPr>
                        <w:fldChar w:fldCharType="end"/>
                      </w:r>
                      <w:r>
                        <w:rPr>
                          <w:sz w:val="16"/>
                        </w:rPr>
                        <w:t>.</w:t>
                      </w:r>
                    </w:p>
                    <w:p w14:paraId="585CA533" w14:textId="77777777" w:rsidR="0020489F" w:rsidRDefault="00457A1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3A76B5" w14:textId="60C0E8D6" w:rsidR="0020489F" w:rsidRDefault="00457A1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A4E40">
                        <w:rPr>
                          <w:sz w:val="16"/>
                        </w:rPr>
                        <w:t>2025</w:t>
                      </w:r>
                      <w:r>
                        <w:rPr>
                          <w:sz w:val="16"/>
                        </w:rPr>
                        <w:fldChar w:fldCharType="end"/>
                      </w:r>
                      <w:r>
                        <w:rPr>
                          <w:sz w:val="16"/>
                        </w:rPr>
                        <w:t>.</w:t>
                      </w:r>
                    </w:p>
                    <w:p w14:paraId="5EE8EE25" w14:textId="77777777" w:rsidR="0020489F" w:rsidRDefault="00457A1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5" w:name="Schedule"/>
    <w:bookmarkEnd w:id="15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Training contract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(General)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Training contract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(General) Regulations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3" w:name="DefinedTerms"/>
    <w:bookmarkEnd w:id="17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57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15152128"/>
    <w:docVar w:name="WAFER_20131216112447" w:val="RemoveTocBookmarks,RemoveUnusedBookmarks,RemoveLanguageTags,UsedStyles,ResetPageSize,UpdateArrangement"/>
    <w:docVar w:name="WAFER_20131216112447_GUID" w:val="e47ff669-37e0-4ac7-976f-54ef316e87e3"/>
    <w:docVar w:name="WAFER_20131218143353" w:val="RemoveTocBookmarks,RemoveUnusedBookmarks,RemoveLanguageTags,UsedStyles,ResetPageSize"/>
    <w:docVar w:name="WAFER_20131218143353_GUID" w:val="ec6e4ef0-540e-4688-b37b-b6cd497ffee3"/>
    <w:docVar w:name="WAFER_20140113121747" w:val="RemoveTocBookmarks,RemoveUnusedBookmarks,RemoveLanguageTags,UsedStyles,ResetPageSize,UpdateArrangement"/>
    <w:docVar w:name="WAFER_20140113121747_GUID" w:val="34f20390-afb6-4889-8ae8-b716d8161730"/>
    <w:docVar w:name="WAFER_20140317150746" w:val="RemoveTocBookmarks,RemoveLanguageTags,RemoveTrackChanges,RunningHeaders"/>
    <w:docVar w:name="WAFER_20140317150746_GUID" w:val="16908452-d265-4bbd-905e-d43822dbb539"/>
    <w:docVar w:name="WAFER_20140327153156" w:val="RemoveTocBookmarks,RemoveUnusedBookmarks,RemoveLanguageTags,UsedStyles,ResetPageSize,UpdateArrangement"/>
    <w:docVar w:name="WAFER_20140327153156_GUID" w:val="71ae8611-a3b8-4136-90a5-55444848c029"/>
    <w:docVar w:name="WAFER_20140327153209" w:val="RemoveTocBookmarks,RunningHeaders"/>
    <w:docVar w:name="WAFER_20140327153209_GUID" w:val="ae97e8ec-935c-415a-81a6-b426150dc7a7"/>
    <w:docVar w:name="WAFER_20140804112203" w:val="RemoveTocBookmarks,RunningHeaders"/>
    <w:docVar w:name="WAFER_20140804112203_GUID" w:val="428215a0-7355-4008-8ca8-1fbb5ccd6a3b"/>
    <w:docVar w:name="WAFER_20150309105459" w:val="ResetPageSize,UpdateArrangement,UpdateNTable"/>
    <w:docVar w:name="WAFER_20150309105459_GUID" w:val="5f4df0af-5f1c-4a07-9b93-2e561a08ce6a"/>
    <w:docVar w:name="WAFER_20151112112147" w:val="UpdateStyles,UsedStyles"/>
    <w:docVar w:name="WAFER_20151112112147_GUID" w:val="da96a597-87ad-46e2-be0f-f68b5a9e4151"/>
    <w:docVar w:name="WAFER_20171229102150" w:val="RemoveTocBookmarks,RemoveUnusedBookmarks,RemoveLanguageTags,UsedStyles,ResetPageSize"/>
    <w:docVar w:name="WAFER_20171229102150_GUID" w:val="39a1d1bc-f02a-47c2-b50b-358a7e1a37c6"/>
    <w:docVar w:name="WAFER_20180419110741" w:val="RemoveTocBookmarks,RemoveUnusedBookmarks,RemoveLanguageTags,UsedStyles,ResetPageSize,RemoveCustomizations"/>
    <w:docVar w:name="WAFER_20180419110741_GUID" w:val="62053f0d-38a6-46b8-a4fe-47a29574fca3"/>
    <w:docVar w:name="WAFER_202109071309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30936_GUID" w:val="cde588fa-2d85-4bf7-9bf4-1e3fba3ca99c"/>
    <w:docVar w:name="WAFER_202407051258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705125835_GUID" w:val="7c8afd1c-0bd5-41d8-b653-9cdfd1ebe10d"/>
    <w:docVar w:name="WAFER_20241108101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1806_GUID" w:val="c0f30f40-2492-47b8-a15d-57577e82d9bf"/>
    <w:docVar w:name="WAFER_20250508134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08134149_GUID" w:val="0325ed7e-cc35-41ad-9e6d-710e37438433"/>
    <w:docVar w:name="WAFER_20250912102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12102319_GUID" w:val="ab2c5ac5-2d7f-4148-b4c9-64ea19c7d4ec"/>
    <w:docVar w:name="WAFER_202509121023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2102348_GUID" w:val="ec4b70c7-6d03-44bb-bd36-fa66a361b2ce"/>
    <w:docVar w:name="WAFER_20250915151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15151922_GUID" w:val="d737a12d-8424-4ef6-839e-309bb6f87fab"/>
    <w:docVar w:name="WAFER_2025091515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5152128_GUID" w:val="42f677a2-84f9-4355-8016-4803adb491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CACEB794-B2E1-4796-88E1-3C806070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36132C-75CB-4743-BBE9-173706755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20620</Words>
  <Characters>109083</Characters>
  <Application>Microsoft Office Word</Application>
  <DocSecurity>0</DocSecurity>
  <Lines>3030</Lines>
  <Paragraphs>1852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2009 - 02-g0-00</dc:title>
  <dc:subject/>
  <dc:creator/>
  <cp:keywords/>
  <dc:description/>
  <cp:lastModifiedBy>Master Repository Process</cp:lastModifiedBy>
  <cp:revision>4</cp:revision>
  <cp:lastPrinted>2018-05-28T07:24:00Z</cp:lastPrinted>
  <dcterms:created xsi:type="dcterms:W3CDTF">2025-09-30T00:26:00Z</dcterms:created>
  <dcterms:modified xsi:type="dcterms:W3CDTF">2025-09-30T00:26:00Z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OWLSUId">
    <vt:i4>858</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2</vt:lpwstr>
  </property>
  <property fmtid="{D5CDD505-2E9C-101B-9397-08002B2CF9AE}" pid="7" name="CommencementDate">
    <vt:lpwstr>20251001</vt:lpwstr>
  </property>
  <property fmtid="{D5CDD505-2E9C-101B-9397-08002B2CF9AE}" pid="8" name="CommencementAsAt">
    <vt:filetime>2025-09-30T16:00:00Z</vt:filetime>
  </property>
  <property fmtid="{D5CDD505-2E9C-101B-9397-08002B2CF9AE}" pid="9" name="CommencementYear">
    <vt:lpwstr>2025</vt:lpwstr>
  </property>
  <property fmtid="{D5CDD505-2E9C-101B-9397-08002B2CF9AE}" pid="10" name="AsAtDate">
    <vt:lpwstr>01 Oct 2025</vt:lpwstr>
  </property>
  <property fmtid="{D5CDD505-2E9C-101B-9397-08002B2CF9AE}" pid="11" name="Suffix">
    <vt:lpwstr>02-g0-00</vt:lpwstr>
  </property>
  <property fmtid="{D5CDD505-2E9C-101B-9397-08002B2CF9AE}" pid="12" name="Official">
    <vt:lpwstr/>
  </property>
</Properties>
</file>