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_Toc216772903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_Toc216772904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_Toc216772905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finding of guilt</w:t>
      </w:r>
      <w:r>
        <w:tab/>
      </w:r>
      <w:r>
        <w:fldChar w:fldCharType="begin"/>
      </w:r>
      <w:r>
        <w:instrText xml:space="preserve"> PAGEREF _Toc216772906 \h </w:instrText>
      </w:r>
      <w:r>
        <w:fldChar w:fldCharType="separate"/>
      </w:r>
      <w:r>
        <w:t>8</w:t>
      </w:r>
      <w:r>
        <w:fldChar w:fldCharType="end"/>
      </w:r>
    </w:p>
    <w:p>
      <w:pPr>
        <w:pStyle w:val="TOC8"/>
        <w:rPr>
          <w:rFonts w:asciiTheme="minorHAnsi" w:eastAsiaTheme="minorEastAsia" w:hAnsiTheme="minorHAnsi" w:cstheme="minorBidi"/>
          <w:szCs w:val="22"/>
        </w:rPr>
      </w:pPr>
      <w:r>
        <w:t>4A.</w:t>
      </w:r>
      <w:r>
        <w:tab/>
        <w:t>Meaning of reportable contact</w:t>
      </w:r>
      <w:r>
        <w:tab/>
      </w:r>
      <w:r>
        <w:fldChar w:fldCharType="begin"/>
      </w:r>
      <w:r>
        <w:instrText xml:space="preserve"> PAGEREF _Toc216772907 \h </w:instrText>
      </w:r>
      <w:r>
        <w:fldChar w:fldCharType="separate"/>
      </w:r>
      <w:r>
        <w:t>9</w:t>
      </w:r>
      <w:r>
        <w:fldChar w:fldCharType="end"/>
      </w:r>
    </w:p>
    <w:p>
      <w:pPr>
        <w:pStyle w:val="TOC8"/>
        <w:rPr>
          <w:rFonts w:asciiTheme="minorHAnsi" w:eastAsiaTheme="minorEastAsia" w:hAnsiTheme="minorHAnsi" w:cstheme="minorBidi"/>
          <w:szCs w:val="22"/>
        </w:rPr>
      </w:pPr>
      <w:r>
        <w:t>4B.</w:t>
      </w:r>
      <w:r>
        <w:tab/>
        <w:t>Meaning of reportable contact details</w:t>
      </w:r>
      <w:r>
        <w:tab/>
      </w:r>
      <w:r>
        <w:fldChar w:fldCharType="begin"/>
      </w:r>
      <w:r>
        <w:instrText xml:space="preserve"> PAGEREF _Toc216772908 \h </w:instrText>
      </w:r>
      <w:r>
        <w:fldChar w:fldCharType="separate"/>
      </w:r>
      <w:r>
        <w:t>10</w:t>
      </w:r>
      <w:r>
        <w:fldChar w:fldCharType="end"/>
      </w:r>
    </w:p>
    <w:p>
      <w:pPr>
        <w:pStyle w:val="TOC8"/>
        <w:rPr>
          <w:rFonts w:asciiTheme="minorHAnsi" w:eastAsiaTheme="minorEastAsia" w:hAnsiTheme="minorHAnsi" w:cstheme="minorBidi"/>
          <w:szCs w:val="22"/>
        </w:rPr>
      </w:pPr>
      <w:r>
        <w:t>5.</w:t>
      </w:r>
      <w:r>
        <w:tab/>
        <w:t>Other reference provisions</w:t>
      </w:r>
      <w:r>
        <w:tab/>
      </w:r>
      <w:r>
        <w:fldChar w:fldCharType="begin"/>
      </w:r>
      <w:r>
        <w:instrText xml:space="preserve"> PAGEREF _Toc216772909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Offenders to whom Act applies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Reportable offenders</w:t>
      </w:r>
      <w:r>
        <w:tab/>
      </w:r>
      <w:r>
        <w:fldChar w:fldCharType="begin"/>
      </w:r>
      <w:r>
        <w:instrText xml:space="preserve"> PAGEREF _Toc216772912 \h </w:instrText>
      </w:r>
      <w:r>
        <w:fldChar w:fldCharType="separate"/>
      </w:r>
      <w:r>
        <w:t>12</w:t>
      </w:r>
      <w:r>
        <w:fldChar w:fldCharType="end"/>
      </w:r>
    </w:p>
    <w:p>
      <w:pPr>
        <w:pStyle w:val="TOC8"/>
        <w:rPr>
          <w:rFonts w:asciiTheme="minorHAnsi" w:eastAsiaTheme="minorEastAsia" w:hAnsiTheme="minorHAnsi" w:cstheme="minorBidi"/>
          <w:szCs w:val="22"/>
        </w:rPr>
      </w:pPr>
      <w:r>
        <w:t>7.</w:t>
      </w:r>
      <w:r>
        <w:tab/>
        <w:t>Corresponding reportable offenders</w:t>
      </w:r>
      <w:r>
        <w:tab/>
      </w:r>
      <w:r>
        <w:fldChar w:fldCharType="begin"/>
      </w:r>
      <w:r>
        <w:instrText xml:space="preserve"> PAGEREF _Toc216772913 \h </w:instrText>
      </w:r>
      <w:r>
        <w:fldChar w:fldCharType="separate"/>
      </w:r>
      <w:r>
        <w:t>13</w:t>
      </w:r>
      <w:r>
        <w:fldChar w:fldCharType="end"/>
      </w:r>
    </w:p>
    <w:p>
      <w:pPr>
        <w:pStyle w:val="TOC8"/>
        <w:rPr>
          <w:rFonts w:asciiTheme="minorHAnsi" w:eastAsiaTheme="minorEastAsia" w:hAnsiTheme="minorHAnsi" w:cstheme="minorBidi"/>
          <w:szCs w:val="22"/>
        </w:rPr>
      </w:pPr>
      <w:r>
        <w:t>8.</w:t>
      </w:r>
      <w:r>
        <w:tab/>
        <w:t>New South Wales reportable offenders</w:t>
      </w:r>
      <w:r>
        <w:tab/>
      </w:r>
      <w:r>
        <w:fldChar w:fldCharType="begin"/>
      </w:r>
      <w:r>
        <w:instrText xml:space="preserve"> PAGEREF _Toc216772914 \h </w:instrText>
      </w:r>
      <w:r>
        <w:fldChar w:fldCharType="separate"/>
      </w:r>
      <w:r>
        <w:t>14</w:t>
      </w:r>
      <w:r>
        <w:fldChar w:fldCharType="end"/>
      </w:r>
    </w:p>
    <w:p>
      <w:pPr>
        <w:pStyle w:val="TOC8"/>
        <w:rPr>
          <w:rFonts w:asciiTheme="minorHAnsi" w:eastAsiaTheme="minorEastAsia" w:hAnsiTheme="minorHAnsi" w:cstheme="minorBidi"/>
          <w:szCs w:val="22"/>
        </w:rPr>
      </w:pPr>
      <w:r>
        <w:t>9.</w:t>
      </w:r>
      <w:r>
        <w:tab/>
        <w:t>Reportable offences</w:t>
      </w:r>
      <w:r>
        <w:tab/>
      </w:r>
      <w:r>
        <w:fldChar w:fldCharType="begin"/>
      </w:r>
      <w:r>
        <w:instrText xml:space="preserve"> PAGEREF _Toc216772915 \h </w:instrText>
      </w:r>
      <w:r>
        <w:fldChar w:fldCharType="separate"/>
      </w:r>
      <w:r>
        <w:t>14</w:t>
      </w:r>
      <w:r>
        <w:fldChar w:fldCharType="end"/>
      </w:r>
    </w:p>
    <w:p>
      <w:pPr>
        <w:pStyle w:val="TOC8"/>
        <w:rPr>
          <w:rFonts w:asciiTheme="minorHAnsi" w:eastAsiaTheme="minorEastAsia" w:hAnsiTheme="minorHAnsi" w:cstheme="minorBidi"/>
          <w:szCs w:val="22"/>
        </w:rPr>
      </w:pPr>
      <w:r>
        <w:t>10.</w:t>
      </w:r>
      <w:r>
        <w:tab/>
        <w:t>Class 1 offences</w:t>
      </w:r>
      <w:r>
        <w:tab/>
      </w:r>
      <w:r>
        <w:fldChar w:fldCharType="begin"/>
      </w:r>
      <w:r>
        <w:instrText xml:space="preserve"> PAGEREF _Toc216772916 \h </w:instrText>
      </w:r>
      <w:r>
        <w:fldChar w:fldCharType="separate"/>
      </w:r>
      <w:r>
        <w:t>14</w:t>
      </w:r>
      <w:r>
        <w:fldChar w:fldCharType="end"/>
      </w:r>
    </w:p>
    <w:p>
      <w:pPr>
        <w:pStyle w:val="TOC8"/>
        <w:rPr>
          <w:rFonts w:asciiTheme="minorHAnsi" w:eastAsiaTheme="minorEastAsia" w:hAnsiTheme="minorHAnsi" w:cstheme="minorBidi"/>
          <w:szCs w:val="22"/>
        </w:rPr>
      </w:pPr>
      <w:r>
        <w:t>11.</w:t>
      </w:r>
      <w:r>
        <w:tab/>
        <w:t>Class 2 offences</w:t>
      </w:r>
      <w:r>
        <w:tab/>
      </w:r>
      <w:r>
        <w:fldChar w:fldCharType="begin"/>
      </w:r>
      <w:r>
        <w:instrText xml:space="preserve"> PAGEREF _Toc216772917 \h </w:instrText>
      </w:r>
      <w:r>
        <w:fldChar w:fldCharType="separate"/>
      </w:r>
      <w:r>
        <w:t>15</w:t>
      </w:r>
      <w:r>
        <w:fldChar w:fldCharType="end"/>
      </w:r>
    </w:p>
    <w:p>
      <w:pPr>
        <w:pStyle w:val="TOC8"/>
        <w:rPr>
          <w:rFonts w:asciiTheme="minorHAnsi" w:eastAsiaTheme="minorEastAsia" w:hAnsiTheme="minorHAnsi" w:cstheme="minorBidi"/>
          <w:szCs w:val="22"/>
        </w:rPr>
      </w:pPr>
      <w:r>
        <w:t>13.</w:t>
      </w:r>
      <w:r>
        <w:tab/>
        <w:t>Offender reporting orders</w:t>
      </w:r>
      <w:r>
        <w:tab/>
      </w:r>
      <w:r>
        <w:fldChar w:fldCharType="begin"/>
      </w:r>
      <w:r>
        <w:instrText xml:space="preserve"> PAGEREF _Toc216772918 \h </w:instrText>
      </w:r>
      <w:r>
        <w:fldChar w:fldCharType="separate"/>
      </w:r>
      <w:r>
        <w:t>16</w:t>
      </w:r>
      <w:r>
        <w:fldChar w:fldCharType="end"/>
      </w:r>
    </w:p>
    <w:p>
      <w:pPr>
        <w:pStyle w:val="TOC8"/>
        <w:rPr>
          <w:rFonts w:asciiTheme="minorHAnsi" w:eastAsiaTheme="minorEastAsia" w:hAnsiTheme="minorHAnsi" w:cstheme="minorBidi"/>
          <w:szCs w:val="22"/>
        </w:rPr>
      </w:pPr>
      <w:r>
        <w:t>14A.</w:t>
      </w:r>
      <w:r>
        <w:tab/>
        <w:t>Consent orders</w:t>
      </w:r>
      <w:r>
        <w:tab/>
      </w:r>
      <w:r>
        <w:fldChar w:fldCharType="begin"/>
      </w:r>
      <w:r>
        <w:instrText xml:space="preserve"> PAGEREF _Toc216772919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Past offender reporting orders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_Toc216772921 \h </w:instrText>
      </w:r>
      <w:r>
        <w:fldChar w:fldCharType="separate"/>
      </w:r>
      <w:r>
        <w:t>18</w:t>
      </w:r>
      <w:r>
        <w:fldChar w:fldCharType="end"/>
      </w:r>
    </w:p>
    <w:p>
      <w:pPr>
        <w:pStyle w:val="TOC8"/>
        <w:rPr>
          <w:rFonts w:asciiTheme="minorHAnsi" w:eastAsiaTheme="minorEastAsia" w:hAnsiTheme="minorHAnsi" w:cstheme="minorBidi"/>
          <w:szCs w:val="22"/>
        </w:rPr>
      </w:pPr>
      <w:r>
        <w:t>15.</w:t>
      </w:r>
      <w:r>
        <w:tab/>
        <w:t>Commissioner may apply for reporting orders</w:t>
      </w:r>
      <w:r>
        <w:tab/>
      </w:r>
      <w:r>
        <w:fldChar w:fldCharType="begin"/>
      </w:r>
      <w:r>
        <w:instrText xml:space="preserve"> PAGEREF _Toc216772922 \h </w:instrText>
      </w:r>
      <w:r>
        <w:fldChar w:fldCharType="separate"/>
      </w:r>
      <w:r>
        <w:t>19</w:t>
      </w:r>
      <w:r>
        <w:fldChar w:fldCharType="end"/>
      </w:r>
    </w:p>
    <w:p>
      <w:pPr>
        <w:pStyle w:val="TOC8"/>
        <w:rPr>
          <w:rFonts w:asciiTheme="minorHAnsi" w:eastAsiaTheme="minorEastAsia" w:hAnsiTheme="minorHAnsi" w:cstheme="minorBidi"/>
          <w:szCs w:val="22"/>
        </w:rPr>
      </w:pPr>
      <w:r>
        <w:t>16.</w:t>
      </w:r>
      <w:r>
        <w:tab/>
        <w:t>Fixing a hearing</w:t>
      </w:r>
      <w:r>
        <w:tab/>
      </w:r>
      <w:r>
        <w:fldChar w:fldCharType="begin"/>
      </w:r>
      <w:r>
        <w:instrText xml:space="preserve"> PAGEREF _Toc216772923 \h </w:instrText>
      </w:r>
      <w:r>
        <w:fldChar w:fldCharType="separate"/>
      </w:r>
      <w:r>
        <w:t>19</w:t>
      </w:r>
      <w:r>
        <w:fldChar w:fldCharType="end"/>
      </w:r>
    </w:p>
    <w:p>
      <w:pPr>
        <w:pStyle w:val="TOC8"/>
        <w:rPr>
          <w:rFonts w:asciiTheme="minorHAnsi" w:eastAsiaTheme="minorEastAsia" w:hAnsiTheme="minorHAnsi" w:cstheme="minorBidi"/>
          <w:szCs w:val="22"/>
        </w:rPr>
      </w:pPr>
      <w:r>
        <w:t>17.</w:t>
      </w:r>
      <w:r>
        <w:tab/>
        <w:t>Evidence</w:t>
      </w:r>
      <w:r>
        <w:tab/>
      </w:r>
      <w:r>
        <w:fldChar w:fldCharType="begin"/>
      </w:r>
      <w:r>
        <w:instrText xml:space="preserve"> PAGEREF _Toc216772924 \h </w:instrText>
      </w:r>
      <w:r>
        <w:fldChar w:fldCharType="separate"/>
      </w:r>
      <w:r>
        <w:t>19</w:t>
      </w:r>
      <w:r>
        <w:fldChar w:fldCharType="end"/>
      </w:r>
    </w:p>
    <w:p>
      <w:pPr>
        <w:pStyle w:val="TOC8"/>
        <w:rPr>
          <w:rFonts w:asciiTheme="minorHAnsi" w:eastAsiaTheme="minorEastAsia" w:hAnsiTheme="minorHAnsi" w:cstheme="minorBidi"/>
          <w:szCs w:val="22"/>
        </w:rPr>
      </w:pPr>
      <w:r>
        <w:t>18.</w:t>
      </w:r>
      <w:r>
        <w:tab/>
        <w:t>How application to be disposed of</w:t>
      </w:r>
      <w:r>
        <w:tab/>
      </w:r>
      <w:r>
        <w:fldChar w:fldCharType="begin"/>
      </w:r>
      <w:r>
        <w:instrText xml:space="preserve"> PAGEREF _Toc216772925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19.</w:t>
      </w:r>
      <w:r>
        <w:tab/>
        <w:t>Court may make past offender reporting orders</w:t>
      </w:r>
      <w:r>
        <w:tab/>
      </w:r>
      <w:r>
        <w:fldChar w:fldCharType="begin"/>
      </w:r>
      <w:r>
        <w:instrText xml:space="preserve"> PAGEREF _Toc216772926 \h </w:instrText>
      </w:r>
      <w:r>
        <w:fldChar w:fldCharType="separate"/>
      </w:r>
      <w:r>
        <w:t>20</w:t>
      </w:r>
      <w:r>
        <w:fldChar w:fldCharType="end"/>
      </w:r>
    </w:p>
    <w:p>
      <w:pPr>
        <w:pStyle w:val="TOC8"/>
        <w:rPr>
          <w:rFonts w:asciiTheme="minorHAnsi" w:eastAsiaTheme="minorEastAsia" w:hAnsiTheme="minorHAnsi" w:cstheme="minorBidi"/>
          <w:szCs w:val="22"/>
        </w:rPr>
      </w:pPr>
      <w:r>
        <w:t>20A.</w:t>
      </w:r>
      <w:r>
        <w:tab/>
        <w:t>Consent orders</w:t>
      </w:r>
      <w:r>
        <w:tab/>
      </w:r>
      <w:r>
        <w:fldChar w:fldCharType="begin"/>
      </w:r>
      <w:r>
        <w:instrText xml:space="preserve"> PAGEREF _Toc216772927 \h </w:instrText>
      </w:r>
      <w:r>
        <w:fldChar w:fldCharType="separate"/>
      </w:r>
      <w:r>
        <w:t>21</w:t>
      </w:r>
      <w:r>
        <w:fldChar w:fldCharType="end"/>
      </w:r>
    </w:p>
    <w:p>
      <w:pPr>
        <w:pStyle w:val="TOC8"/>
        <w:rPr>
          <w:rFonts w:asciiTheme="minorHAnsi" w:eastAsiaTheme="minorEastAsia" w:hAnsiTheme="minorHAnsi" w:cstheme="minorBidi"/>
          <w:szCs w:val="22"/>
        </w:rPr>
      </w:pPr>
      <w:r>
        <w:t>20.</w:t>
      </w:r>
      <w:r>
        <w:tab/>
        <w:t>Attendance at hearings</w:t>
      </w:r>
      <w:r>
        <w:tab/>
      </w:r>
      <w:r>
        <w:fldChar w:fldCharType="begin"/>
      </w:r>
      <w:r>
        <w:instrText xml:space="preserve"> PAGEREF _Toc216772928 \h </w:instrText>
      </w:r>
      <w:r>
        <w:fldChar w:fldCharType="separate"/>
      </w:r>
      <w:r>
        <w:t>22</w:t>
      </w:r>
      <w:r>
        <w:fldChar w:fldCharType="end"/>
      </w:r>
    </w:p>
    <w:p>
      <w:pPr>
        <w:pStyle w:val="TOC8"/>
        <w:rPr>
          <w:rFonts w:asciiTheme="minorHAnsi" w:eastAsiaTheme="minorEastAsia" w:hAnsiTheme="minorHAnsi" w:cstheme="minorBidi"/>
          <w:szCs w:val="22"/>
        </w:rPr>
      </w:pPr>
      <w:r>
        <w:t>21.</w:t>
      </w:r>
      <w:r>
        <w:tab/>
        <w:t>Notification of orders made in absence of respondent</w:t>
      </w:r>
      <w:r>
        <w:tab/>
      </w:r>
      <w:r>
        <w:fldChar w:fldCharType="begin"/>
      </w:r>
      <w:r>
        <w:instrText xml:space="preserve"> PAGEREF _Toc216772929 \h </w:instrText>
      </w:r>
      <w:r>
        <w:fldChar w:fldCharType="separate"/>
      </w:r>
      <w:r>
        <w:t>22</w:t>
      </w:r>
      <w:r>
        <w:fldChar w:fldCharType="end"/>
      </w:r>
    </w:p>
    <w:p>
      <w:pPr>
        <w:pStyle w:val="TOC8"/>
        <w:rPr>
          <w:rFonts w:asciiTheme="minorHAnsi" w:eastAsiaTheme="minorEastAsia" w:hAnsiTheme="minorHAnsi" w:cstheme="minorBidi"/>
          <w:szCs w:val="22"/>
        </w:rPr>
      </w:pPr>
      <w:r>
        <w:t>22.</w:t>
      </w:r>
      <w:r>
        <w:tab/>
        <w:t>Appeals</w:t>
      </w:r>
      <w:r>
        <w:tab/>
      </w:r>
      <w:r>
        <w:fldChar w:fldCharType="begin"/>
      </w:r>
      <w:r>
        <w:instrText xml:space="preserve"> PAGEREF _Toc216772930 \h </w:instrText>
      </w:r>
      <w:r>
        <w:fldChar w:fldCharType="separate"/>
      </w:r>
      <w:r>
        <w:t>22</w:t>
      </w:r>
      <w:r>
        <w:fldChar w:fldCharType="end"/>
      </w:r>
    </w:p>
    <w:p>
      <w:pPr>
        <w:pStyle w:val="TOC8"/>
        <w:rPr>
          <w:rFonts w:asciiTheme="minorHAnsi" w:eastAsiaTheme="minorEastAsia" w:hAnsiTheme="minorHAnsi" w:cstheme="minorBidi"/>
          <w:szCs w:val="22"/>
        </w:rPr>
      </w:pPr>
      <w:r>
        <w:t>23.</w:t>
      </w:r>
      <w:r>
        <w:tab/>
        <w:t>Appeal does not stay order</w:t>
      </w:r>
      <w:r>
        <w:tab/>
      </w:r>
      <w:r>
        <w:fldChar w:fldCharType="begin"/>
      </w:r>
      <w:r>
        <w:instrText xml:space="preserve"> PAGEREF _Toc216772931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obligations</w:t>
      </w:r>
    </w:p>
    <w:p>
      <w:pPr>
        <w:pStyle w:val="TOC4"/>
        <w:tabs>
          <w:tab w:val="right" w:leader="dot" w:pos="7077"/>
        </w:tabs>
        <w:rPr>
          <w:rFonts w:asciiTheme="minorHAnsi" w:eastAsiaTheme="minorEastAsia" w:hAnsiTheme="minorHAnsi" w:cstheme="minorBidi"/>
          <w:b w:val="0"/>
          <w:szCs w:val="22"/>
        </w:rPr>
      </w:pPr>
      <w:r>
        <w:t>Division 1 — Initial report</w:t>
      </w:r>
    </w:p>
    <w:p>
      <w:pPr>
        <w:pStyle w:val="TOC8"/>
        <w:rPr>
          <w:rFonts w:asciiTheme="minorHAnsi" w:eastAsiaTheme="minorEastAsia" w:hAnsiTheme="minorHAnsi" w:cstheme="minorBidi"/>
          <w:szCs w:val="22"/>
        </w:rPr>
      </w:pPr>
      <w:r>
        <w:t>24.</w:t>
      </w:r>
      <w:r>
        <w:tab/>
        <w:t>When report must be made</w:t>
      </w:r>
      <w:r>
        <w:tab/>
      </w:r>
      <w:r>
        <w:fldChar w:fldCharType="begin"/>
      </w:r>
      <w:r>
        <w:instrText xml:space="preserve"> PAGEREF _Toc216772934 \h </w:instrText>
      </w:r>
      <w:r>
        <w:fldChar w:fldCharType="separate"/>
      </w:r>
      <w:r>
        <w:t>24</w:t>
      </w:r>
      <w:r>
        <w:fldChar w:fldCharType="end"/>
      </w:r>
    </w:p>
    <w:p>
      <w:pPr>
        <w:pStyle w:val="TOC8"/>
        <w:rPr>
          <w:rFonts w:asciiTheme="minorHAnsi" w:eastAsiaTheme="minorEastAsia" w:hAnsiTheme="minorHAnsi" w:cstheme="minorBidi"/>
          <w:szCs w:val="22"/>
        </w:rPr>
      </w:pPr>
      <w:r>
        <w:t>25.</w:t>
      </w:r>
      <w:r>
        <w:tab/>
        <w:t>When new initial report must be made by offender whose previous reporting obligations have ceased</w:t>
      </w:r>
      <w:r>
        <w:tab/>
      </w:r>
      <w:r>
        <w:fldChar w:fldCharType="begin"/>
      </w:r>
      <w:r>
        <w:instrText xml:space="preserve"> PAGEREF _Toc216772935 \h </w:instrText>
      </w:r>
      <w:r>
        <w:fldChar w:fldCharType="separate"/>
      </w:r>
      <w:r>
        <w:t>26</w:t>
      </w:r>
      <w:r>
        <w:fldChar w:fldCharType="end"/>
      </w:r>
    </w:p>
    <w:p>
      <w:pPr>
        <w:pStyle w:val="TOC8"/>
        <w:rPr>
          <w:rFonts w:asciiTheme="minorHAnsi" w:eastAsiaTheme="minorEastAsia" w:hAnsiTheme="minorHAnsi" w:cstheme="minorBidi"/>
          <w:szCs w:val="22"/>
        </w:rPr>
      </w:pPr>
      <w:r>
        <w:t>26.</w:t>
      </w:r>
      <w:r>
        <w:tab/>
        <w:t>Initial report by reportable offender of personal details</w:t>
      </w:r>
      <w:r>
        <w:tab/>
      </w:r>
      <w:r>
        <w:fldChar w:fldCharType="begin"/>
      </w:r>
      <w:r>
        <w:instrText xml:space="preserve"> PAGEREF _Toc216772936 \h </w:instrText>
      </w:r>
      <w:r>
        <w:fldChar w:fldCharType="separate"/>
      </w:r>
      <w:r>
        <w:t>28</w:t>
      </w:r>
      <w:r>
        <w:fldChar w:fldCharType="end"/>
      </w:r>
    </w:p>
    <w:p>
      <w:pPr>
        <w:pStyle w:val="TOC8"/>
        <w:rPr>
          <w:rFonts w:asciiTheme="minorHAnsi" w:eastAsiaTheme="minorEastAsia" w:hAnsiTheme="minorHAnsi" w:cstheme="minorBidi"/>
          <w:szCs w:val="22"/>
        </w:rPr>
      </w:pPr>
      <w:r>
        <w:t>27.</w:t>
      </w:r>
      <w:r>
        <w:tab/>
        <w:t>Persons required to report under corresponding Act</w:t>
      </w:r>
      <w:r>
        <w:tab/>
      </w:r>
      <w:r>
        <w:fldChar w:fldCharType="begin"/>
      </w:r>
      <w:r>
        <w:instrText xml:space="preserve"> PAGEREF _Toc216772937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Ongoing reporting obligations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28.</w:t>
      </w:r>
      <w:r>
        <w:tab/>
        <w:t>Reportable offender to report annually and as required by Commissioner</w:t>
      </w:r>
      <w:r>
        <w:tab/>
      </w:r>
      <w:r>
        <w:fldChar w:fldCharType="begin"/>
      </w:r>
      <w:r>
        <w:instrText xml:space="preserve"> PAGEREF _Toc216772940 \h </w:instrText>
      </w:r>
      <w:r>
        <w:fldChar w:fldCharType="separate"/>
      </w:r>
      <w:r>
        <w:t>35</w:t>
      </w:r>
      <w:r>
        <w:fldChar w:fldCharType="end"/>
      </w:r>
    </w:p>
    <w:p>
      <w:pPr>
        <w:pStyle w:val="TOC8"/>
        <w:rPr>
          <w:rFonts w:asciiTheme="minorHAnsi" w:eastAsiaTheme="minorEastAsia" w:hAnsiTheme="minorHAnsi" w:cstheme="minorBidi"/>
          <w:szCs w:val="22"/>
        </w:rPr>
      </w:pPr>
      <w:r>
        <w:t>29.</w:t>
      </w:r>
      <w:r>
        <w:tab/>
        <w:t>Reportable offender to report changes to relevant personal details</w:t>
      </w:r>
      <w:r>
        <w:tab/>
      </w:r>
      <w:r>
        <w:fldChar w:fldCharType="begin"/>
      </w:r>
      <w:r>
        <w:instrText xml:space="preserve"> PAGEREF _Toc216772941 \h </w:instrText>
      </w:r>
      <w:r>
        <w:fldChar w:fldCharType="separate"/>
      </w:r>
      <w:r>
        <w:t>36</w:t>
      </w:r>
      <w:r>
        <w:fldChar w:fldCharType="end"/>
      </w:r>
    </w:p>
    <w:p>
      <w:pPr>
        <w:pStyle w:val="TOC8"/>
        <w:rPr>
          <w:rFonts w:asciiTheme="minorHAnsi" w:eastAsiaTheme="minorEastAsia" w:hAnsiTheme="minorHAnsi" w:cstheme="minorBidi"/>
          <w:szCs w:val="22"/>
        </w:rPr>
      </w:pPr>
      <w:r>
        <w:t>29A.</w:t>
      </w:r>
      <w:r>
        <w:tab/>
        <w:t>Intended absence from place of residence to be reported</w:t>
      </w:r>
      <w:r>
        <w:tab/>
      </w:r>
      <w:r>
        <w:fldChar w:fldCharType="begin"/>
      </w:r>
      <w:r>
        <w:instrText xml:space="preserve"> PAGEREF _Toc216772942 \h </w:instrText>
      </w:r>
      <w:r>
        <w:fldChar w:fldCharType="separate"/>
      </w:r>
      <w:r>
        <w:t>37</w:t>
      </w:r>
      <w:r>
        <w:fldChar w:fldCharType="end"/>
      </w:r>
    </w:p>
    <w:p>
      <w:pPr>
        <w:pStyle w:val="TOC8"/>
        <w:rPr>
          <w:rFonts w:asciiTheme="minorHAnsi" w:eastAsiaTheme="minorEastAsia" w:hAnsiTheme="minorHAnsi" w:cstheme="minorBidi"/>
          <w:szCs w:val="22"/>
        </w:rPr>
      </w:pPr>
      <w:r>
        <w:t>30.</w:t>
      </w:r>
      <w:r>
        <w:tab/>
        <w:t>Intended absence from Western Australia to be reported</w:t>
      </w:r>
      <w:r>
        <w:tab/>
      </w:r>
      <w:r>
        <w:fldChar w:fldCharType="begin"/>
      </w:r>
      <w:r>
        <w:instrText xml:space="preserve"> PAGEREF _Toc216772943 \h </w:instrText>
      </w:r>
      <w:r>
        <w:fldChar w:fldCharType="separate"/>
      </w:r>
      <w:r>
        <w:t>39</w:t>
      </w:r>
      <w:r>
        <w:fldChar w:fldCharType="end"/>
      </w:r>
    </w:p>
    <w:p>
      <w:pPr>
        <w:pStyle w:val="TOC8"/>
        <w:rPr>
          <w:rFonts w:asciiTheme="minorHAnsi" w:eastAsiaTheme="minorEastAsia" w:hAnsiTheme="minorHAnsi" w:cstheme="minorBidi"/>
          <w:szCs w:val="22"/>
        </w:rPr>
      </w:pPr>
      <w:r>
        <w:t>31.</w:t>
      </w:r>
      <w:r>
        <w:tab/>
        <w:t>Change of travel plans while out of Western Australia to be reported</w:t>
      </w:r>
      <w:r>
        <w:tab/>
      </w:r>
      <w:r>
        <w:fldChar w:fldCharType="begin"/>
      </w:r>
      <w:r>
        <w:instrText xml:space="preserve"> PAGEREF _Toc216772944 \h </w:instrText>
      </w:r>
      <w:r>
        <w:fldChar w:fldCharType="separate"/>
      </w:r>
      <w:r>
        <w:t>40</w:t>
      </w:r>
      <w:r>
        <w:fldChar w:fldCharType="end"/>
      </w:r>
    </w:p>
    <w:p>
      <w:pPr>
        <w:pStyle w:val="TOC8"/>
        <w:rPr>
          <w:rFonts w:asciiTheme="minorHAnsi" w:eastAsiaTheme="minorEastAsia" w:hAnsiTheme="minorHAnsi" w:cstheme="minorBidi"/>
          <w:szCs w:val="22"/>
        </w:rPr>
      </w:pPr>
      <w:r>
        <w:t>32.</w:t>
      </w:r>
      <w:r>
        <w:tab/>
        <w:t>Reportable offender to report return to Western Australia or decision not to leave</w:t>
      </w:r>
      <w:r>
        <w:tab/>
      </w:r>
      <w:r>
        <w:fldChar w:fldCharType="begin"/>
      </w:r>
      <w:r>
        <w:instrText xml:space="preserve"> PAGEREF _Toc216772945 \h </w:instrText>
      </w:r>
      <w:r>
        <w:fldChar w:fldCharType="separate"/>
      </w:r>
      <w:r>
        <w:t>41</w:t>
      </w:r>
      <w:r>
        <w:fldChar w:fldCharType="end"/>
      </w:r>
    </w:p>
    <w:p>
      <w:pPr>
        <w:pStyle w:val="TOC8"/>
        <w:rPr>
          <w:rFonts w:asciiTheme="minorHAnsi" w:eastAsiaTheme="minorEastAsia" w:hAnsiTheme="minorHAnsi" w:cstheme="minorBidi"/>
          <w:szCs w:val="22"/>
        </w:rPr>
      </w:pPr>
      <w:r>
        <w:t>33.</w:t>
      </w:r>
      <w:r>
        <w:tab/>
        <w:t>Report of other absences from Western Australia</w:t>
      </w:r>
      <w:r>
        <w:tab/>
      </w:r>
      <w:r>
        <w:fldChar w:fldCharType="begin"/>
      </w:r>
      <w:r>
        <w:instrText xml:space="preserve"> PAGEREF _Toc216772946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Reportable contact with child</w:t>
      </w:r>
    </w:p>
    <w:p>
      <w:pPr>
        <w:pStyle w:val="TOC8"/>
        <w:rPr>
          <w:rFonts w:asciiTheme="minorHAnsi" w:eastAsiaTheme="minorEastAsia" w:hAnsiTheme="minorHAnsi" w:cstheme="minorBidi"/>
          <w:szCs w:val="22"/>
        </w:rPr>
      </w:pPr>
      <w:r>
        <w:t>33A.</w:t>
      </w:r>
      <w:r>
        <w:tab/>
        <w:t>Ongoing reporting of reportable contact with child</w:t>
      </w:r>
      <w:r>
        <w:tab/>
      </w:r>
      <w:r>
        <w:fldChar w:fldCharType="begin"/>
      </w:r>
      <w:r>
        <w:instrText xml:space="preserve"> PAGEREF _Toc216772948 \h </w:instrText>
      </w:r>
      <w:r>
        <w:fldChar w:fldCharType="separate"/>
      </w:r>
      <w:r>
        <w:t>42</w:t>
      </w:r>
      <w:r>
        <w:fldChar w:fldCharType="end"/>
      </w:r>
    </w:p>
    <w:p>
      <w:pPr>
        <w:pStyle w:val="TOC8"/>
        <w:rPr>
          <w:rFonts w:asciiTheme="minorHAnsi" w:eastAsiaTheme="minorEastAsia" w:hAnsiTheme="minorHAnsi" w:cstheme="minorBidi"/>
          <w:szCs w:val="22"/>
        </w:rPr>
      </w:pPr>
      <w:r>
        <w:t>33B.</w:t>
      </w:r>
      <w:r>
        <w:tab/>
        <w:t>Exemption from ongoing reporting of reportable contact with child</w:t>
      </w:r>
      <w:r>
        <w:tab/>
      </w:r>
      <w:r>
        <w:fldChar w:fldCharType="begin"/>
      </w:r>
      <w:r>
        <w:instrText xml:space="preserve"> PAGEREF _Toc216772949 \h </w:instrText>
      </w:r>
      <w:r>
        <w:fldChar w:fldCharType="separate"/>
      </w:r>
      <w:r>
        <w:t>42</w:t>
      </w:r>
      <w:r>
        <w:fldChar w:fldCharType="end"/>
      </w:r>
    </w:p>
    <w:p>
      <w:pPr>
        <w:pStyle w:val="TOC8"/>
        <w:rPr>
          <w:rFonts w:asciiTheme="minorHAnsi" w:eastAsiaTheme="minorEastAsia" w:hAnsiTheme="minorHAnsi" w:cstheme="minorBidi"/>
          <w:szCs w:val="22"/>
        </w:rPr>
      </w:pPr>
      <w:r>
        <w:t>33C.</w:t>
      </w:r>
      <w:r>
        <w:tab/>
        <w:t>When exemptions end</w:t>
      </w:r>
      <w:r>
        <w:tab/>
      </w:r>
      <w:r>
        <w:fldChar w:fldCharType="begin"/>
      </w:r>
      <w:r>
        <w:instrText xml:space="preserve"> PAGEREF _Toc216772950 \h </w:instrText>
      </w:r>
      <w:r>
        <w:fldChar w:fldCharType="separate"/>
      </w:r>
      <w:r>
        <w:t>43</w:t>
      </w:r>
      <w:r>
        <w:fldChar w:fldCharType="end"/>
      </w:r>
    </w:p>
    <w:p>
      <w:pPr>
        <w:pStyle w:val="TOC8"/>
        <w:rPr>
          <w:rFonts w:asciiTheme="minorHAnsi" w:eastAsiaTheme="minorEastAsia" w:hAnsiTheme="minorHAnsi" w:cstheme="minorBidi"/>
          <w:szCs w:val="22"/>
        </w:rPr>
      </w:pPr>
      <w:r>
        <w:t>33D.</w:t>
      </w:r>
      <w:r>
        <w:tab/>
        <w:t>Reporting of reportable contact with child ceasing for 60 days</w:t>
      </w:r>
      <w:r>
        <w:tab/>
      </w:r>
      <w:r>
        <w:fldChar w:fldCharType="begin"/>
      </w:r>
      <w:r>
        <w:instrText xml:space="preserve"> PAGEREF _Toc216772951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Provisions applying to all reporting obligations</w:t>
      </w:r>
    </w:p>
    <w:p>
      <w:pPr>
        <w:pStyle w:val="TOC8"/>
        <w:rPr>
          <w:rFonts w:asciiTheme="minorHAnsi" w:eastAsiaTheme="minorEastAsia" w:hAnsiTheme="minorHAnsi" w:cstheme="minorBidi"/>
          <w:szCs w:val="22"/>
        </w:rPr>
      </w:pPr>
      <w:r>
        <w:t>34.</w:t>
      </w:r>
      <w:r>
        <w:tab/>
        <w:t>Where reports must be made</w:t>
      </w:r>
      <w:r>
        <w:tab/>
      </w:r>
      <w:r>
        <w:fldChar w:fldCharType="begin"/>
      </w:r>
      <w:r>
        <w:instrText xml:space="preserve"> PAGEREF _Toc216772953 \h </w:instrText>
      </w:r>
      <w:r>
        <w:fldChar w:fldCharType="separate"/>
      </w:r>
      <w:r>
        <w:t>45</w:t>
      </w:r>
      <w:r>
        <w:fldChar w:fldCharType="end"/>
      </w:r>
    </w:p>
    <w:p>
      <w:pPr>
        <w:pStyle w:val="TOC8"/>
        <w:rPr>
          <w:rFonts w:asciiTheme="minorHAnsi" w:eastAsiaTheme="minorEastAsia" w:hAnsiTheme="minorHAnsi" w:cstheme="minorBidi"/>
          <w:szCs w:val="22"/>
        </w:rPr>
      </w:pPr>
      <w:r>
        <w:t>35.</w:t>
      </w:r>
      <w:r>
        <w:tab/>
        <w:t>How reports must be made</w:t>
      </w:r>
      <w:r>
        <w:tab/>
      </w:r>
      <w:r>
        <w:fldChar w:fldCharType="begin"/>
      </w:r>
      <w:r>
        <w:instrText xml:space="preserve"> PAGEREF _Toc216772954 \h </w:instrText>
      </w:r>
      <w:r>
        <w:fldChar w:fldCharType="separate"/>
      </w:r>
      <w:r>
        <w:t>46</w:t>
      </w:r>
      <w:r>
        <w:fldChar w:fldCharType="end"/>
      </w:r>
    </w:p>
    <w:p>
      <w:pPr>
        <w:pStyle w:val="TOC8"/>
        <w:rPr>
          <w:rFonts w:asciiTheme="minorHAnsi" w:eastAsiaTheme="minorEastAsia" w:hAnsiTheme="minorHAnsi" w:cstheme="minorBidi"/>
          <w:szCs w:val="22"/>
        </w:rPr>
      </w:pPr>
      <w:r>
        <w:t>36.</w:t>
      </w:r>
      <w:r>
        <w:tab/>
        <w:t>Right to privacy and support when reporting</w:t>
      </w:r>
      <w:r>
        <w:tab/>
      </w:r>
      <w:r>
        <w:fldChar w:fldCharType="begin"/>
      </w:r>
      <w:r>
        <w:instrText xml:space="preserve"> PAGEREF _Toc216772955 \h </w:instrText>
      </w:r>
      <w:r>
        <w:fldChar w:fldCharType="separate"/>
      </w:r>
      <w:r>
        <w:t>47</w:t>
      </w:r>
      <w:r>
        <w:fldChar w:fldCharType="end"/>
      </w:r>
    </w:p>
    <w:p>
      <w:pPr>
        <w:pStyle w:val="TOC8"/>
        <w:rPr>
          <w:rFonts w:asciiTheme="minorHAnsi" w:eastAsiaTheme="minorEastAsia" w:hAnsiTheme="minorHAnsi" w:cstheme="minorBidi"/>
          <w:szCs w:val="22"/>
        </w:rPr>
      </w:pPr>
      <w:r>
        <w:t>37.</w:t>
      </w:r>
      <w:r>
        <w:tab/>
        <w:t>Receipt of information to be acknowledged</w:t>
      </w:r>
      <w:r>
        <w:tab/>
      </w:r>
      <w:r>
        <w:fldChar w:fldCharType="begin"/>
      </w:r>
      <w:r>
        <w:instrText xml:space="preserve"> PAGEREF _Toc216772956 \h </w:instrText>
      </w:r>
      <w:r>
        <w:fldChar w:fldCharType="separate"/>
      </w:r>
      <w:r>
        <w:t>47</w:t>
      </w:r>
      <w:r>
        <w:fldChar w:fldCharType="end"/>
      </w:r>
    </w:p>
    <w:p>
      <w:pPr>
        <w:pStyle w:val="TOC8"/>
        <w:rPr>
          <w:rFonts w:asciiTheme="minorHAnsi" w:eastAsiaTheme="minorEastAsia" w:hAnsiTheme="minorHAnsi" w:cstheme="minorBidi"/>
          <w:szCs w:val="22"/>
        </w:rPr>
      </w:pPr>
      <w:r>
        <w:t>38.</w:t>
      </w:r>
      <w:r>
        <w:tab/>
        <w:t>Additional matters to be provided</w:t>
      </w:r>
      <w:r>
        <w:tab/>
      </w:r>
      <w:r>
        <w:fldChar w:fldCharType="begin"/>
      </w:r>
      <w:r>
        <w:instrText xml:space="preserve"> PAGEREF _Toc216772957 \h </w:instrText>
      </w:r>
      <w:r>
        <w:fldChar w:fldCharType="separate"/>
      </w:r>
      <w:r>
        <w:t>49</w:t>
      </w:r>
      <w:r>
        <w:fldChar w:fldCharType="end"/>
      </w:r>
    </w:p>
    <w:p>
      <w:pPr>
        <w:pStyle w:val="TOC8"/>
        <w:rPr>
          <w:rFonts w:asciiTheme="minorHAnsi" w:eastAsiaTheme="minorEastAsia" w:hAnsiTheme="minorHAnsi" w:cstheme="minorBidi"/>
          <w:szCs w:val="22"/>
        </w:rPr>
      </w:pPr>
      <w:r>
        <w:t>39.</w:t>
      </w:r>
      <w:r>
        <w:tab/>
        <w:t>Power to take fingerprints</w:t>
      </w:r>
      <w:r>
        <w:tab/>
      </w:r>
      <w:r>
        <w:fldChar w:fldCharType="begin"/>
      </w:r>
      <w:r>
        <w:instrText xml:space="preserve"> PAGEREF _Toc216772958 \h </w:instrText>
      </w:r>
      <w:r>
        <w:fldChar w:fldCharType="separate"/>
      </w:r>
      <w:r>
        <w:t>52</w:t>
      </w:r>
      <w:r>
        <w:fldChar w:fldCharType="end"/>
      </w:r>
    </w:p>
    <w:p>
      <w:pPr>
        <w:pStyle w:val="TOC8"/>
        <w:rPr>
          <w:rFonts w:asciiTheme="minorHAnsi" w:eastAsiaTheme="minorEastAsia" w:hAnsiTheme="minorHAnsi" w:cstheme="minorBidi"/>
          <w:szCs w:val="22"/>
        </w:rPr>
      </w:pPr>
      <w:r>
        <w:t>40.</w:t>
      </w:r>
      <w:r>
        <w:tab/>
        <w:t>Power to take photographs</w:t>
      </w:r>
      <w:r>
        <w:tab/>
      </w:r>
      <w:r>
        <w:fldChar w:fldCharType="begin"/>
      </w:r>
      <w:r>
        <w:instrText xml:space="preserve"> PAGEREF _Toc216772959 \h </w:instrText>
      </w:r>
      <w:r>
        <w:fldChar w:fldCharType="separate"/>
      </w:r>
      <w:r>
        <w:t>52</w:t>
      </w:r>
      <w:r>
        <w:fldChar w:fldCharType="end"/>
      </w:r>
    </w:p>
    <w:p>
      <w:pPr>
        <w:pStyle w:val="TOC8"/>
        <w:rPr>
          <w:rFonts w:asciiTheme="minorHAnsi" w:eastAsiaTheme="minorEastAsia" w:hAnsiTheme="minorHAnsi" w:cstheme="minorBidi"/>
          <w:szCs w:val="22"/>
        </w:rPr>
      </w:pPr>
      <w:r>
        <w:t>40A.</w:t>
      </w:r>
      <w:r>
        <w:tab/>
        <w:t>Power to obtain DNA profiles</w:t>
      </w:r>
      <w:r>
        <w:tab/>
      </w:r>
      <w:r>
        <w:fldChar w:fldCharType="begin"/>
      </w:r>
      <w:r>
        <w:instrText xml:space="preserve"> PAGEREF _Toc216772960 \h </w:instrText>
      </w:r>
      <w:r>
        <w:fldChar w:fldCharType="separate"/>
      </w:r>
      <w:r>
        <w:t>53</w:t>
      </w:r>
      <w:r>
        <w:fldChar w:fldCharType="end"/>
      </w:r>
    </w:p>
    <w:p>
      <w:pPr>
        <w:pStyle w:val="TOC8"/>
        <w:rPr>
          <w:rFonts w:asciiTheme="minorHAnsi" w:eastAsiaTheme="minorEastAsia" w:hAnsiTheme="minorHAnsi" w:cstheme="minorBidi"/>
          <w:szCs w:val="22"/>
        </w:rPr>
      </w:pPr>
      <w:r>
        <w:t>41.</w:t>
      </w:r>
      <w:r>
        <w:tab/>
        <w:t>Reasonable force may be used to obtain DNA profiles, fingerprints and photographs</w:t>
      </w:r>
      <w:r>
        <w:tab/>
      </w:r>
      <w:r>
        <w:fldChar w:fldCharType="begin"/>
      </w:r>
      <w:r>
        <w:instrText xml:space="preserve"> PAGEREF _Toc216772961 \h </w:instrText>
      </w:r>
      <w:r>
        <w:fldChar w:fldCharType="separate"/>
      </w:r>
      <w:r>
        <w:t>54</w:t>
      </w:r>
      <w:r>
        <w:fldChar w:fldCharType="end"/>
      </w:r>
    </w:p>
    <w:p>
      <w:pPr>
        <w:pStyle w:val="TOC8"/>
        <w:rPr>
          <w:rFonts w:asciiTheme="minorHAnsi" w:eastAsiaTheme="minorEastAsia" w:hAnsiTheme="minorHAnsi" w:cstheme="minorBidi"/>
          <w:szCs w:val="22"/>
        </w:rPr>
      </w:pPr>
      <w:r>
        <w:t>42.</w:t>
      </w:r>
      <w:r>
        <w:tab/>
        <w:t>Retention of material for certain purposes</w:t>
      </w:r>
      <w:r>
        <w:tab/>
      </w:r>
      <w:r>
        <w:fldChar w:fldCharType="begin"/>
      </w:r>
      <w:r>
        <w:instrText xml:space="preserve"> PAGEREF _Toc216772962 \h </w:instrText>
      </w:r>
      <w:r>
        <w:fldChar w:fldCharType="separate"/>
      </w:r>
      <w:r>
        <w:t>55</w:t>
      </w:r>
      <w:r>
        <w:fldChar w:fldCharType="end"/>
      </w:r>
    </w:p>
    <w:p>
      <w:pPr>
        <w:pStyle w:val="TOC8"/>
        <w:rPr>
          <w:rFonts w:asciiTheme="minorHAnsi" w:eastAsiaTheme="minorEastAsia" w:hAnsiTheme="minorHAnsi" w:cstheme="minorBidi"/>
          <w:szCs w:val="22"/>
        </w:rPr>
      </w:pPr>
      <w:r>
        <w:t>43.</w:t>
      </w:r>
      <w:r>
        <w:tab/>
        <w:t>Reporting by remote offenders</w:t>
      </w:r>
      <w:r>
        <w:tab/>
      </w:r>
      <w:r>
        <w:fldChar w:fldCharType="begin"/>
      </w:r>
      <w:r>
        <w:instrText xml:space="preserve"> PAGEREF _Toc216772963 \h </w:instrText>
      </w:r>
      <w:r>
        <w:fldChar w:fldCharType="separate"/>
      </w:r>
      <w:r>
        <w:t>56</w:t>
      </w:r>
      <w:r>
        <w:fldChar w:fldCharType="end"/>
      </w:r>
    </w:p>
    <w:p>
      <w:pPr>
        <w:pStyle w:val="TOC8"/>
        <w:rPr>
          <w:rFonts w:asciiTheme="minorHAnsi" w:eastAsiaTheme="minorEastAsia" w:hAnsiTheme="minorHAnsi" w:cstheme="minorBidi"/>
          <w:szCs w:val="22"/>
        </w:rPr>
      </w:pPr>
      <w:r>
        <w:t>43A.</w:t>
      </w:r>
      <w:r>
        <w:tab/>
        <w:t>Time for reporting</w:t>
      </w:r>
      <w:r>
        <w:tab/>
      </w:r>
      <w:r>
        <w:fldChar w:fldCharType="begin"/>
      </w:r>
      <w:r>
        <w:instrText xml:space="preserve"> PAGEREF _Toc216772964 \h </w:instrText>
      </w:r>
      <w:r>
        <w:fldChar w:fldCharType="separate"/>
      </w:r>
      <w:r>
        <w:t>57</w:t>
      </w:r>
      <w:r>
        <w:fldChar w:fldCharType="end"/>
      </w:r>
    </w:p>
    <w:p>
      <w:pPr>
        <w:pStyle w:val="TOC8"/>
        <w:rPr>
          <w:rFonts w:asciiTheme="minorHAnsi" w:eastAsiaTheme="minorEastAsia" w:hAnsiTheme="minorHAnsi" w:cstheme="minorBidi"/>
          <w:szCs w:val="22"/>
        </w:rPr>
      </w:pPr>
      <w:r>
        <w:t>43B.</w:t>
      </w:r>
      <w:r>
        <w:tab/>
        <w:t>Powers additional</w:t>
      </w:r>
      <w:r>
        <w:tab/>
      </w:r>
      <w:r>
        <w:fldChar w:fldCharType="begin"/>
      </w:r>
      <w:r>
        <w:instrText xml:space="preserve"> PAGEREF _Toc216772965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Suspension and extension of reporting obligations</w:t>
      </w:r>
    </w:p>
    <w:p>
      <w:pPr>
        <w:pStyle w:val="TOC8"/>
        <w:rPr>
          <w:rFonts w:asciiTheme="minorHAnsi" w:eastAsiaTheme="minorEastAsia" w:hAnsiTheme="minorHAnsi" w:cstheme="minorBidi"/>
          <w:szCs w:val="22"/>
        </w:rPr>
      </w:pPr>
      <w:r>
        <w:t>44.</w:t>
      </w:r>
      <w:r>
        <w:tab/>
        <w:t>Suspension and extension of reporting obligations</w:t>
      </w:r>
      <w:r>
        <w:tab/>
      </w:r>
      <w:r>
        <w:fldChar w:fldCharType="begin"/>
      </w:r>
      <w:r>
        <w:instrText xml:space="preserve"> PAGEREF _Toc216772967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 — Reporting period</w:t>
      </w:r>
    </w:p>
    <w:p>
      <w:pPr>
        <w:pStyle w:val="TOC8"/>
        <w:rPr>
          <w:rFonts w:asciiTheme="minorHAnsi" w:eastAsiaTheme="minorEastAsia" w:hAnsiTheme="minorHAnsi" w:cstheme="minorBidi"/>
          <w:szCs w:val="22"/>
        </w:rPr>
      </w:pPr>
      <w:r>
        <w:t>45.</w:t>
      </w:r>
      <w:r>
        <w:tab/>
        <w:t>When reporting obligations begin</w:t>
      </w:r>
      <w:r>
        <w:tab/>
      </w:r>
      <w:r>
        <w:fldChar w:fldCharType="begin"/>
      </w:r>
      <w:r>
        <w:instrText xml:space="preserve"> PAGEREF _Toc216772969 \h </w:instrText>
      </w:r>
      <w:r>
        <w:fldChar w:fldCharType="separate"/>
      </w:r>
      <w:r>
        <w:t>58</w:t>
      </w:r>
      <w:r>
        <w:fldChar w:fldCharType="end"/>
      </w:r>
    </w:p>
    <w:p>
      <w:pPr>
        <w:pStyle w:val="TOC8"/>
        <w:rPr>
          <w:rFonts w:asciiTheme="minorHAnsi" w:eastAsiaTheme="minorEastAsia" w:hAnsiTheme="minorHAnsi" w:cstheme="minorBidi"/>
          <w:szCs w:val="22"/>
        </w:rPr>
      </w:pPr>
      <w:r>
        <w:t>46.</w:t>
      </w:r>
      <w:r>
        <w:tab/>
        <w:t>Length of reporting period</w:t>
      </w:r>
      <w:r>
        <w:tab/>
      </w:r>
      <w:r>
        <w:fldChar w:fldCharType="begin"/>
      </w:r>
      <w:r>
        <w:instrText xml:space="preserve"> PAGEREF _Toc216772970 \h </w:instrText>
      </w:r>
      <w:r>
        <w:fldChar w:fldCharType="separate"/>
      </w:r>
      <w:r>
        <w:t>59</w:t>
      </w:r>
      <w:r>
        <w:fldChar w:fldCharType="end"/>
      </w:r>
    </w:p>
    <w:p>
      <w:pPr>
        <w:pStyle w:val="TOC8"/>
        <w:rPr>
          <w:rFonts w:asciiTheme="minorHAnsi" w:eastAsiaTheme="minorEastAsia" w:hAnsiTheme="minorHAnsi" w:cstheme="minorBidi"/>
          <w:szCs w:val="22"/>
        </w:rPr>
      </w:pPr>
      <w:r>
        <w:t>47.</w:t>
      </w:r>
      <w:r>
        <w:tab/>
        <w:t>Reduced period applies for young reportable offenders</w:t>
      </w:r>
      <w:r>
        <w:tab/>
      </w:r>
      <w:r>
        <w:fldChar w:fldCharType="begin"/>
      </w:r>
      <w:r>
        <w:instrText xml:space="preserve"> PAGEREF _Toc216772971 \h </w:instrText>
      </w:r>
      <w:r>
        <w:fldChar w:fldCharType="separate"/>
      </w:r>
      <w:r>
        <w:t>60</w:t>
      </w:r>
      <w:r>
        <w:fldChar w:fldCharType="end"/>
      </w:r>
    </w:p>
    <w:p>
      <w:pPr>
        <w:pStyle w:val="TOC8"/>
        <w:rPr>
          <w:rFonts w:asciiTheme="minorHAnsi" w:eastAsiaTheme="minorEastAsia" w:hAnsiTheme="minorHAnsi" w:cstheme="minorBidi"/>
          <w:szCs w:val="22"/>
        </w:rPr>
      </w:pPr>
      <w:r>
        <w:t>48.</w:t>
      </w:r>
      <w:r>
        <w:tab/>
        <w:t>Extended reporting period if reportable offender still on parole</w:t>
      </w:r>
      <w:r>
        <w:tab/>
      </w:r>
      <w:r>
        <w:fldChar w:fldCharType="begin"/>
      </w:r>
      <w:r>
        <w:instrText xml:space="preserve"> PAGEREF _Toc216772972 \h </w:instrText>
      </w:r>
      <w:r>
        <w:fldChar w:fldCharType="separate"/>
      </w:r>
      <w:r>
        <w:t>61</w:t>
      </w:r>
      <w:r>
        <w:fldChar w:fldCharType="end"/>
      </w:r>
    </w:p>
    <w:p>
      <w:pPr>
        <w:pStyle w:val="TOC8"/>
        <w:rPr>
          <w:rFonts w:asciiTheme="minorHAnsi" w:eastAsiaTheme="minorEastAsia" w:hAnsiTheme="minorHAnsi" w:cstheme="minorBidi"/>
          <w:szCs w:val="22"/>
        </w:rPr>
      </w:pPr>
      <w:r>
        <w:t>49.</w:t>
      </w:r>
      <w:r>
        <w:tab/>
        <w:t>Reporting period for corresponding reportable offenders</w:t>
      </w:r>
      <w:r>
        <w:tab/>
      </w:r>
      <w:r>
        <w:fldChar w:fldCharType="begin"/>
      </w:r>
      <w:r>
        <w:instrText xml:space="preserve"> PAGEREF _Toc216772973 \h </w:instrText>
      </w:r>
      <w:r>
        <w:fldChar w:fldCharType="separate"/>
      </w:r>
      <w:r>
        <w:t>61</w:t>
      </w:r>
      <w:r>
        <w:fldChar w:fldCharType="end"/>
      </w:r>
    </w:p>
    <w:p>
      <w:pPr>
        <w:pStyle w:val="TOC8"/>
        <w:rPr>
          <w:rFonts w:asciiTheme="minorHAnsi" w:eastAsiaTheme="minorEastAsia" w:hAnsiTheme="minorHAnsi" w:cstheme="minorBidi"/>
          <w:szCs w:val="22"/>
        </w:rPr>
      </w:pPr>
      <w:r>
        <w:t>50.</w:t>
      </w:r>
      <w:r>
        <w:tab/>
        <w:t>Reporting period for New South Wales reportable offenders</w:t>
      </w:r>
      <w:r>
        <w:tab/>
      </w:r>
      <w:r>
        <w:fldChar w:fldCharType="begin"/>
      </w:r>
      <w:r>
        <w:instrText xml:space="preserve"> PAGEREF _Toc216772974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6 — Exemption from reporting obligations</w:t>
      </w:r>
    </w:p>
    <w:p>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_Toc216772976 \h </w:instrText>
      </w:r>
      <w:r>
        <w:fldChar w:fldCharType="separate"/>
      </w:r>
      <w:r>
        <w:t>62</w:t>
      </w:r>
      <w:r>
        <w:fldChar w:fldCharType="end"/>
      </w:r>
    </w:p>
    <w:p>
      <w:pPr>
        <w:pStyle w:val="TOC8"/>
        <w:rPr>
          <w:rFonts w:asciiTheme="minorHAnsi" w:eastAsiaTheme="minorEastAsia" w:hAnsiTheme="minorHAnsi" w:cstheme="minorBidi"/>
          <w:szCs w:val="22"/>
        </w:rPr>
      </w:pPr>
      <w:r>
        <w:t>52.</w:t>
      </w:r>
      <w:r>
        <w:tab/>
        <w:t>District Court may exempt certain reportable offenders</w:t>
      </w:r>
      <w:r>
        <w:tab/>
      </w:r>
      <w:r>
        <w:fldChar w:fldCharType="begin"/>
      </w:r>
      <w:r>
        <w:instrText xml:space="preserve"> PAGEREF _Toc216772977 \h </w:instrText>
      </w:r>
      <w:r>
        <w:fldChar w:fldCharType="separate"/>
      </w:r>
      <w:r>
        <w:t>63</w:t>
      </w:r>
      <w:r>
        <w:fldChar w:fldCharType="end"/>
      </w:r>
    </w:p>
    <w:p>
      <w:pPr>
        <w:pStyle w:val="TOC8"/>
        <w:rPr>
          <w:rFonts w:asciiTheme="minorHAnsi" w:eastAsiaTheme="minorEastAsia" w:hAnsiTheme="minorHAnsi" w:cstheme="minorBidi"/>
          <w:szCs w:val="22"/>
        </w:rPr>
      </w:pPr>
      <w:r>
        <w:t>53.</w:t>
      </w:r>
      <w:r>
        <w:tab/>
        <w:t>Order for suspension</w:t>
      </w:r>
      <w:r>
        <w:tab/>
      </w:r>
      <w:r>
        <w:fldChar w:fldCharType="begin"/>
      </w:r>
      <w:r>
        <w:instrText xml:space="preserve"> PAGEREF _Toc216772978 \h </w:instrText>
      </w:r>
      <w:r>
        <w:fldChar w:fldCharType="separate"/>
      </w:r>
      <w:r>
        <w:t>63</w:t>
      </w:r>
      <w:r>
        <w:fldChar w:fldCharType="end"/>
      </w:r>
    </w:p>
    <w:p>
      <w:pPr>
        <w:pStyle w:val="TOC8"/>
        <w:rPr>
          <w:rFonts w:asciiTheme="minorHAnsi" w:eastAsiaTheme="minorEastAsia" w:hAnsiTheme="minorHAnsi" w:cstheme="minorBidi"/>
          <w:szCs w:val="22"/>
        </w:rPr>
      </w:pPr>
      <w:r>
        <w:t>54.</w:t>
      </w:r>
      <w:r>
        <w:tab/>
        <w:t>Commissioner and certain chief executive officers entitled to be parties to proceedings</w:t>
      </w:r>
      <w:r>
        <w:tab/>
      </w:r>
      <w:r>
        <w:fldChar w:fldCharType="begin"/>
      </w:r>
      <w:r>
        <w:instrText xml:space="preserve"> PAGEREF _Toc216772979 \h </w:instrText>
      </w:r>
      <w:r>
        <w:fldChar w:fldCharType="separate"/>
      </w:r>
      <w:r>
        <w:t>64</w:t>
      </w:r>
      <w:r>
        <w:fldChar w:fldCharType="end"/>
      </w:r>
    </w:p>
    <w:p>
      <w:pPr>
        <w:pStyle w:val="TOC8"/>
        <w:rPr>
          <w:rFonts w:asciiTheme="minorHAnsi" w:eastAsiaTheme="minorEastAsia" w:hAnsiTheme="minorHAnsi" w:cstheme="minorBidi"/>
          <w:szCs w:val="22"/>
        </w:rPr>
      </w:pPr>
      <w:r>
        <w:t>55.</w:t>
      </w:r>
      <w:r>
        <w:tab/>
        <w:t>Commissioner to be notified of order</w:t>
      </w:r>
      <w:r>
        <w:tab/>
      </w:r>
      <w:r>
        <w:fldChar w:fldCharType="begin"/>
      </w:r>
      <w:r>
        <w:instrText xml:space="preserve"> PAGEREF _Toc216772980 \h </w:instrText>
      </w:r>
      <w:r>
        <w:fldChar w:fldCharType="separate"/>
      </w:r>
      <w:r>
        <w:t>65</w:t>
      </w:r>
      <w:r>
        <w:fldChar w:fldCharType="end"/>
      </w:r>
    </w:p>
    <w:p>
      <w:pPr>
        <w:pStyle w:val="TOC8"/>
        <w:rPr>
          <w:rFonts w:asciiTheme="minorHAnsi" w:eastAsiaTheme="minorEastAsia" w:hAnsiTheme="minorHAnsi" w:cstheme="minorBidi"/>
          <w:szCs w:val="22"/>
        </w:rPr>
      </w:pPr>
      <w:r>
        <w:lastRenderedPageBreak/>
        <w:t>56.</w:t>
      </w:r>
      <w:r>
        <w:tab/>
        <w:t>No costs to be awarded</w:t>
      </w:r>
      <w:r>
        <w:tab/>
      </w:r>
      <w:r>
        <w:fldChar w:fldCharType="begin"/>
      </w:r>
      <w:r>
        <w:instrText xml:space="preserve"> PAGEREF _Toc216772981 \h </w:instrText>
      </w:r>
      <w:r>
        <w:fldChar w:fldCharType="separate"/>
      </w:r>
      <w:r>
        <w:t>65</w:t>
      </w:r>
      <w:r>
        <w:fldChar w:fldCharType="end"/>
      </w:r>
    </w:p>
    <w:p>
      <w:pPr>
        <w:pStyle w:val="TOC8"/>
        <w:rPr>
          <w:rFonts w:asciiTheme="minorHAnsi" w:eastAsiaTheme="minorEastAsia" w:hAnsiTheme="minorHAnsi" w:cstheme="minorBidi"/>
          <w:szCs w:val="22"/>
        </w:rPr>
      </w:pPr>
      <w:r>
        <w:t>57.</w:t>
      </w:r>
      <w:r>
        <w:tab/>
        <w:t>Applications not to be heard in public on application of party to proceedings</w:t>
      </w:r>
      <w:r>
        <w:tab/>
      </w:r>
      <w:r>
        <w:fldChar w:fldCharType="begin"/>
      </w:r>
      <w:r>
        <w:instrText xml:space="preserve"> PAGEREF _Toc216772982 \h </w:instrText>
      </w:r>
      <w:r>
        <w:fldChar w:fldCharType="separate"/>
      </w:r>
      <w:r>
        <w:t>65</w:t>
      </w:r>
      <w:r>
        <w:fldChar w:fldCharType="end"/>
      </w:r>
    </w:p>
    <w:p>
      <w:pPr>
        <w:pStyle w:val="TOC8"/>
        <w:rPr>
          <w:rFonts w:asciiTheme="minorHAnsi" w:eastAsiaTheme="minorEastAsia" w:hAnsiTheme="minorHAnsi" w:cstheme="minorBidi"/>
          <w:szCs w:val="22"/>
        </w:rPr>
      </w:pPr>
      <w:r>
        <w:t>58.</w:t>
      </w:r>
      <w:r>
        <w:tab/>
        <w:t>Restriction on right of unsuccessful applicant to re</w:t>
      </w:r>
      <w:r>
        <w:noBreakHyphen/>
        <w:t>apply for order</w:t>
      </w:r>
      <w:r>
        <w:tab/>
      </w:r>
      <w:r>
        <w:fldChar w:fldCharType="begin"/>
      </w:r>
      <w:r>
        <w:instrText xml:space="preserve"> PAGEREF _Toc216772983 \h </w:instrText>
      </w:r>
      <w:r>
        <w:fldChar w:fldCharType="separate"/>
      </w:r>
      <w:r>
        <w:t>66</w:t>
      </w:r>
      <w:r>
        <w:fldChar w:fldCharType="end"/>
      </w:r>
    </w:p>
    <w:p>
      <w:pPr>
        <w:pStyle w:val="TOC8"/>
        <w:rPr>
          <w:rFonts w:asciiTheme="minorHAnsi" w:eastAsiaTheme="minorEastAsia" w:hAnsiTheme="minorHAnsi" w:cstheme="minorBidi"/>
          <w:szCs w:val="22"/>
        </w:rPr>
      </w:pPr>
      <w:r>
        <w:t>59.</w:t>
      </w:r>
      <w:r>
        <w:tab/>
        <w:t>Cessation of order</w:t>
      </w:r>
      <w:r>
        <w:tab/>
      </w:r>
      <w:r>
        <w:fldChar w:fldCharType="begin"/>
      </w:r>
      <w:r>
        <w:instrText xml:space="preserve"> PAGEREF _Toc216772984 \h </w:instrText>
      </w:r>
      <w:r>
        <w:fldChar w:fldCharType="separate"/>
      </w:r>
      <w:r>
        <w:t>66</w:t>
      </w:r>
      <w:r>
        <w:fldChar w:fldCharType="end"/>
      </w:r>
    </w:p>
    <w:p>
      <w:pPr>
        <w:pStyle w:val="TOC8"/>
        <w:rPr>
          <w:rFonts w:asciiTheme="minorHAnsi" w:eastAsiaTheme="minorEastAsia" w:hAnsiTheme="minorHAnsi" w:cstheme="minorBidi"/>
          <w:szCs w:val="22"/>
        </w:rPr>
      </w:pPr>
      <w:r>
        <w:t>60.</w:t>
      </w:r>
      <w:r>
        <w:tab/>
        <w:t>Application for new order</w:t>
      </w:r>
      <w:r>
        <w:tab/>
      </w:r>
      <w:r>
        <w:fldChar w:fldCharType="begin"/>
      </w:r>
      <w:r>
        <w:instrText xml:space="preserve"> PAGEREF _Toc216772985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7 — Suspension of reporting obligations of certain reportable offenders</w:t>
      </w:r>
    </w:p>
    <w:p>
      <w:pPr>
        <w:pStyle w:val="TOC8"/>
        <w:rPr>
          <w:rFonts w:asciiTheme="minorHAnsi" w:eastAsiaTheme="minorEastAsia" w:hAnsiTheme="minorHAnsi" w:cstheme="minorBidi"/>
          <w:szCs w:val="22"/>
        </w:rPr>
      </w:pPr>
      <w:r>
        <w:t>61.</w:t>
      </w:r>
      <w:r>
        <w:tab/>
        <w:t>Commissioner may approve suspension of reporting obligations</w:t>
      </w:r>
      <w:r>
        <w:tab/>
      </w:r>
      <w:r>
        <w:fldChar w:fldCharType="begin"/>
      </w:r>
      <w:r>
        <w:instrText xml:space="preserve"> PAGEREF _Toc216772987 \h </w:instrText>
      </w:r>
      <w:r>
        <w:fldChar w:fldCharType="separate"/>
      </w:r>
      <w:r>
        <w:t>67</w:t>
      </w:r>
      <w:r>
        <w:fldChar w:fldCharType="end"/>
      </w:r>
    </w:p>
    <w:p>
      <w:pPr>
        <w:pStyle w:val="TOC8"/>
        <w:rPr>
          <w:rFonts w:asciiTheme="minorHAnsi" w:eastAsiaTheme="minorEastAsia" w:hAnsiTheme="minorHAnsi" w:cstheme="minorBidi"/>
          <w:szCs w:val="22"/>
        </w:rPr>
      </w:pPr>
      <w:r>
        <w:t>62.</w:t>
      </w:r>
      <w:r>
        <w:tab/>
        <w:t>Cessation of approval</w:t>
      </w:r>
      <w:r>
        <w:tab/>
      </w:r>
      <w:r>
        <w:fldChar w:fldCharType="begin"/>
      </w:r>
      <w:r>
        <w:instrText xml:space="preserve"> PAGEREF _Toc216772988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8 — Offences</w:t>
      </w:r>
    </w:p>
    <w:p>
      <w:pPr>
        <w:pStyle w:val="TOC8"/>
        <w:rPr>
          <w:rFonts w:asciiTheme="minorHAnsi" w:eastAsiaTheme="minorEastAsia" w:hAnsiTheme="minorHAnsi" w:cstheme="minorBidi"/>
          <w:szCs w:val="22"/>
        </w:rPr>
      </w:pPr>
      <w:r>
        <w:t>63.</w:t>
      </w:r>
      <w:r>
        <w:tab/>
        <w:t>Failure to comply with reporting obligations</w:t>
      </w:r>
      <w:r>
        <w:tab/>
      </w:r>
      <w:r>
        <w:fldChar w:fldCharType="begin"/>
      </w:r>
      <w:r>
        <w:instrText xml:space="preserve"> PAGEREF _Toc216772990 \h </w:instrText>
      </w:r>
      <w:r>
        <w:fldChar w:fldCharType="separate"/>
      </w:r>
      <w:r>
        <w:t>70</w:t>
      </w:r>
      <w:r>
        <w:fldChar w:fldCharType="end"/>
      </w:r>
    </w:p>
    <w:p>
      <w:pPr>
        <w:pStyle w:val="TOC8"/>
        <w:rPr>
          <w:rFonts w:asciiTheme="minorHAnsi" w:eastAsiaTheme="minorEastAsia" w:hAnsiTheme="minorHAnsi" w:cstheme="minorBidi"/>
          <w:szCs w:val="22"/>
        </w:rPr>
      </w:pPr>
      <w:r>
        <w:t>64.</w:t>
      </w:r>
      <w:r>
        <w:tab/>
        <w:t>Providing false or misleading information</w:t>
      </w:r>
      <w:r>
        <w:tab/>
      </w:r>
      <w:r>
        <w:fldChar w:fldCharType="begin"/>
      </w:r>
      <w:r>
        <w:instrText xml:space="preserve"> PAGEREF _Toc216772991 \h </w:instrText>
      </w:r>
      <w:r>
        <w:fldChar w:fldCharType="separate"/>
      </w:r>
      <w:r>
        <w:t>71</w:t>
      </w:r>
      <w:r>
        <w:fldChar w:fldCharType="end"/>
      </w:r>
    </w:p>
    <w:p>
      <w:pPr>
        <w:pStyle w:val="TOC8"/>
        <w:rPr>
          <w:rFonts w:asciiTheme="minorHAnsi" w:eastAsiaTheme="minorEastAsia" w:hAnsiTheme="minorHAnsi" w:cstheme="minorBidi"/>
          <w:szCs w:val="22"/>
        </w:rPr>
      </w:pPr>
      <w:r>
        <w:t>65.</w:t>
      </w:r>
      <w:r>
        <w:tab/>
        <w:t>No time limit for prosecutions</w:t>
      </w:r>
      <w:r>
        <w:tab/>
      </w:r>
      <w:r>
        <w:fldChar w:fldCharType="begin"/>
      </w:r>
      <w:r>
        <w:instrText xml:space="preserve"> PAGEREF _Toc216772992 \h </w:instrText>
      </w:r>
      <w:r>
        <w:fldChar w:fldCharType="separate"/>
      </w:r>
      <w:r>
        <w:t>71</w:t>
      </w:r>
      <w:r>
        <w:fldChar w:fldCharType="end"/>
      </w:r>
    </w:p>
    <w:p>
      <w:pPr>
        <w:pStyle w:val="TOC8"/>
        <w:rPr>
          <w:rFonts w:asciiTheme="minorHAnsi" w:eastAsiaTheme="minorEastAsia" w:hAnsiTheme="minorHAnsi" w:cstheme="minorBidi"/>
          <w:szCs w:val="22"/>
        </w:rPr>
      </w:pPr>
      <w:r>
        <w:t>66.</w:t>
      </w:r>
      <w:r>
        <w:tab/>
        <w:t>Bar to prosecution for failing to report leaving Western Australia</w:t>
      </w:r>
      <w:r>
        <w:tab/>
      </w:r>
      <w:r>
        <w:fldChar w:fldCharType="begin"/>
      </w:r>
      <w:r>
        <w:instrText xml:space="preserve"> PAGEREF _Toc216772993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9 — Notification of reporting obligations</w:t>
      </w:r>
    </w:p>
    <w:p>
      <w:pPr>
        <w:pStyle w:val="TOC8"/>
        <w:rPr>
          <w:rFonts w:asciiTheme="minorHAnsi" w:eastAsiaTheme="minorEastAsia" w:hAnsiTheme="minorHAnsi" w:cstheme="minorBidi"/>
          <w:szCs w:val="22"/>
        </w:rPr>
      </w:pPr>
      <w:r>
        <w:t>67.</w:t>
      </w:r>
      <w:r>
        <w:tab/>
        <w:t>Notice to be given to reportable offender</w:t>
      </w:r>
      <w:r>
        <w:tab/>
      </w:r>
      <w:r>
        <w:fldChar w:fldCharType="begin"/>
      </w:r>
      <w:r>
        <w:instrText xml:space="preserve"> PAGEREF _Toc216772995 \h </w:instrText>
      </w:r>
      <w:r>
        <w:fldChar w:fldCharType="separate"/>
      </w:r>
      <w:r>
        <w:t>71</w:t>
      </w:r>
      <w:r>
        <w:fldChar w:fldCharType="end"/>
      </w:r>
    </w:p>
    <w:p>
      <w:pPr>
        <w:pStyle w:val="TOC8"/>
        <w:rPr>
          <w:rFonts w:asciiTheme="minorHAnsi" w:eastAsiaTheme="minorEastAsia" w:hAnsiTheme="minorHAnsi" w:cstheme="minorBidi"/>
          <w:szCs w:val="22"/>
        </w:rPr>
      </w:pPr>
      <w:r>
        <w:t>68.</w:t>
      </w:r>
      <w:r>
        <w:tab/>
        <w:t>Courts to provide sentencing information to Commissioner</w:t>
      </w:r>
      <w:r>
        <w:tab/>
      </w:r>
      <w:r>
        <w:fldChar w:fldCharType="begin"/>
      </w:r>
      <w:r>
        <w:instrText xml:space="preserve"> PAGEREF _Toc216772996 \h </w:instrText>
      </w:r>
      <w:r>
        <w:fldChar w:fldCharType="separate"/>
      </w:r>
      <w:r>
        <w:t>73</w:t>
      </w:r>
      <w:r>
        <w:fldChar w:fldCharType="end"/>
      </w:r>
    </w:p>
    <w:p>
      <w:pPr>
        <w:pStyle w:val="TOC8"/>
        <w:rPr>
          <w:rFonts w:asciiTheme="minorHAnsi" w:eastAsiaTheme="minorEastAsia" w:hAnsiTheme="minorHAnsi" w:cstheme="minorBidi"/>
          <w:szCs w:val="22"/>
        </w:rPr>
      </w:pPr>
      <w:r>
        <w:t>69.</w:t>
      </w:r>
      <w:r>
        <w:tab/>
        <w:t>Notice to be given when reporting period changes</w:t>
      </w:r>
      <w:r>
        <w:tab/>
      </w:r>
      <w:r>
        <w:fldChar w:fldCharType="begin"/>
      </w:r>
      <w:r>
        <w:instrText xml:space="preserve"> PAGEREF _Toc216772997 \h </w:instrText>
      </w:r>
      <w:r>
        <w:fldChar w:fldCharType="separate"/>
      </w:r>
      <w:r>
        <w:t>73</w:t>
      </w:r>
      <w:r>
        <w:fldChar w:fldCharType="end"/>
      </w:r>
    </w:p>
    <w:p>
      <w:pPr>
        <w:pStyle w:val="TOC8"/>
        <w:rPr>
          <w:rFonts w:asciiTheme="minorHAnsi" w:eastAsiaTheme="minorEastAsia" w:hAnsiTheme="minorHAnsi" w:cstheme="minorBidi"/>
          <w:szCs w:val="22"/>
        </w:rPr>
      </w:pPr>
      <w:r>
        <w:t>70.</w:t>
      </w:r>
      <w:r>
        <w:tab/>
        <w:t>Supervising authority to notify Commissioner of certain events</w:t>
      </w:r>
      <w:r>
        <w:tab/>
      </w:r>
      <w:r>
        <w:fldChar w:fldCharType="begin"/>
      </w:r>
      <w:r>
        <w:instrText xml:space="preserve"> PAGEREF _Toc216772998 \h </w:instrText>
      </w:r>
      <w:r>
        <w:fldChar w:fldCharType="separate"/>
      </w:r>
      <w:r>
        <w:t>73</w:t>
      </w:r>
      <w:r>
        <w:fldChar w:fldCharType="end"/>
      </w:r>
    </w:p>
    <w:p>
      <w:pPr>
        <w:pStyle w:val="TOC8"/>
        <w:rPr>
          <w:rFonts w:asciiTheme="minorHAnsi" w:eastAsiaTheme="minorEastAsia" w:hAnsiTheme="minorHAnsi" w:cstheme="minorBidi"/>
          <w:szCs w:val="22"/>
        </w:rPr>
      </w:pPr>
      <w:r>
        <w:t>71.</w:t>
      </w:r>
      <w:r>
        <w:tab/>
        <w:t>Notices may be given by Commissioner</w:t>
      </w:r>
      <w:r>
        <w:tab/>
      </w:r>
      <w:r>
        <w:fldChar w:fldCharType="begin"/>
      </w:r>
      <w:r>
        <w:instrText xml:space="preserve"> PAGEREF _Toc216772999 \h </w:instrText>
      </w:r>
      <w:r>
        <w:fldChar w:fldCharType="separate"/>
      </w:r>
      <w:r>
        <w:t>74</w:t>
      </w:r>
      <w:r>
        <w:fldChar w:fldCharType="end"/>
      </w:r>
    </w:p>
    <w:p>
      <w:pPr>
        <w:pStyle w:val="TOC8"/>
        <w:rPr>
          <w:rFonts w:asciiTheme="minorHAnsi" w:eastAsiaTheme="minorEastAsia" w:hAnsiTheme="minorHAnsi" w:cstheme="minorBidi"/>
          <w:szCs w:val="22"/>
        </w:rPr>
      </w:pPr>
      <w:r>
        <w:t>72.</w:t>
      </w:r>
      <w:r>
        <w:tab/>
        <w:t>Power of detention to enable notice to be given</w:t>
      </w:r>
      <w:r>
        <w:tab/>
      </w:r>
      <w:r>
        <w:fldChar w:fldCharType="begin"/>
      </w:r>
      <w:r>
        <w:instrText xml:space="preserve"> PAGEREF _Toc216773000 \h </w:instrText>
      </w:r>
      <w:r>
        <w:fldChar w:fldCharType="separate"/>
      </w:r>
      <w:r>
        <w:t>75</w:t>
      </w:r>
      <w:r>
        <w:fldChar w:fldCharType="end"/>
      </w:r>
    </w:p>
    <w:p>
      <w:pPr>
        <w:pStyle w:val="TOC8"/>
        <w:rPr>
          <w:rFonts w:asciiTheme="minorHAnsi" w:eastAsiaTheme="minorEastAsia" w:hAnsiTheme="minorHAnsi" w:cstheme="minorBidi"/>
          <w:szCs w:val="22"/>
        </w:rPr>
      </w:pPr>
      <w:r>
        <w:t>73.</w:t>
      </w:r>
      <w:r>
        <w:tab/>
        <w:t>Failure to comply with procedural requirements does not affect reportable offender’s obligations</w:t>
      </w:r>
      <w:r>
        <w:tab/>
      </w:r>
      <w:r>
        <w:fldChar w:fldCharType="begin"/>
      </w:r>
      <w:r>
        <w:instrText xml:space="preserve"> PAGEREF _Toc216773001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10 — Modified reporting procedures for participants in witness protection programs</w:t>
      </w:r>
    </w:p>
    <w:p>
      <w:pPr>
        <w:pStyle w:val="TOC8"/>
        <w:rPr>
          <w:rFonts w:asciiTheme="minorHAnsi" w:eastAsiaTheme="minorEastAsia" w:hAnsiTheme="minorHAnsi" w:cstheme="minorBidi"/>
          <w:szCs w:val="22"/>
        </w:rPr>
      </w:pPr>
      <w:r>
        <w:t>74.</w:t>
      </w:r>
      <w:r>
        <w:tab/>
        <w:t>Term used: witness protection program</w:t>
      </w:r>
      <w:r>
        <w:tab/>
      </w:r>
      <w:r>
        <w:fldChar w:fldCharType="begin"/>
      </w:r>
      <w:r>
        <w:instrText xml:space="preserve"> PAGEREF _Toc216773003 \h </w:instrText>
      </w:r>
      <w:r>
        <w:fldChar w:fldCharType="separate"/>
      </w:r>
      <w:r>
        <w:t>76</w:t>
      </w:r>
      <w:r>
        <w:fldChar w:fldCharType="end"/>
      </w:r>
    </w:p>
    <w:p>
      <w:pPr>
        <w:pStyle w:val="TOC8"/>
        <w:rPr>
          <w:rFonts w:asciiTheme="minorHAnsi" w:eastAsiaTheme="minorEastAsia" w:hAnsiTheme="minorHAnsi" w:cstheme="minorBidi"/>
          <w:szCs w:val="22"/>
        </w:rPr>
      </w:pPr>
      <w:r>
        <w:t>75.</w:t>
      </w:r>
      <w:r>
        <w:tab/>
        <w:t>Application of this Division</w:t>
      </w:r>
      <w:r>
        <w:tab/>
      </w:r>
      <w:r>
        <w:fldChar w:fldCharType="begin"/>
      </w:r>
      <w:r>
        <w:instrText xml:space="preserve"> PAGEREF _Toc216773004 \h </w:instrText>
      </w:r>
      <w:r>
        <w:fldChar w:fldCharType="separate"/>
      </w:r>
      <w:r>
        <w:t>76</w:t>
      </w:r>
      <w:r>
        <w:fldChar w:fldCharType="end"/>
      </w:r>
    </w:p>
    <w:p>
      <w:pPr>
        <w:pStyle w:val="TOC8"/>
        <w:rPr>
          <w:rFonts w:asciiTheme="minorHAnsi" w:eastAsiaTheme="minorEastAsia" w:hAnsiTheme="minorHAnsi" w:cstheme="minorBidi"/>
          <w:szCs w:val="22"/>
        </w:rPr>
      </w:pPr>
      <w:r>
        <w:t>76.</w:t>
      </w:r>
      <w:r>
        <w:tab/>
        <w:t>Report need not be made in person</w:t>
      </w:r>
      <w:r>
        <w:tab/>
      </w:r>
      <w:r>
        <w:fldChar w:fldCharType="begin"/>
      </w:r>
      <w:r>
        <w:instrText xml:space="preserve"> PAGEREF _Toc216773005 \h </w:instrText>
      </w:r>
      <w:r>
        <w:fldChar w:fldCharType="separate"/>
      </w:r>
      <w:r>
        <w:t>77</w:t>
      </w:r>
      <w:r>
        <w:fldChar w:fldCharType="end"/>
      </w:r>
    </w:p>
    <w:p>
      <w:pPr>
        <w:pStyle w:val="TOC8"/>
        <w:rPr>
          <w:rFonts w:asciiTheme="minorHAnsi" w:eastAsiaTheme="minorEastAsia" w:hAnsiTheme="minorHAnsi" w:cstheme="minorBidi"/>
          <w:szCs w:val="22"/>
        </w:rPr>
      </w:pPr>
      <w:r>
        <w:t>77.</w:t>
      </w:r>
      <w:r>
        <w:tab/>
        <w:t>Determination as to whether this Division applies</w:t>
      </w:r>
      <w:r>
        <w:tab/>
      </w:r>
      <w:r>
        <w:fldChar w:fldCharType="begin"/>
      </w:r>
      <w:r>
        <w:instrText xml:space="preserve"> PAGEREF _Toc216773006 \h </w:instrText>
      </w:r>
      <w:r>
        <w:fldChar w:fldCharType="separate"/>
      </w:r>
      <w:r>
        <w:t>77</w:t>
      </w:r>
      <w:r>
        <w:fldChar w:fldCharType="end"/>
      </w:r>
    </w:p>
    <w:p>
      <w:pPr>
        <w:pStyle w:val="TOC8"/>
        <w:rPr>
          <w:rFonts w:asciiTheme="minorHAnsi" w:eastAsiaTheme="minorEastAsia" w:hAnsiTheme="minorHAnsi" w:cstheme="minorBidi"/>
          <w:szCs w:val="22"/>
        </w:rPr>
      </w:pPr>
      <w:r>
        <w:t>78.</w:t>
      </w:r>
      <w:r>
        <w:tab/>
        <w:t>When determination takes effect</w:t>
      </w:r>
      <w:r>
        <w:tab/>
      </w:r>
      <w:r>
        <w:fldChar w:fldCharType="begin"/>
      </w:r>
      <w:r>
        <w:instrText xml:space="preserve"> PAGEREF _Toc216773007 \h </w:instrText>
      </w:r>
      <w:r>
        <w:fldChar w:fldCharType="separate"/>
      </w:r>
      <w:r>
        <w:t>78</w:t>
      </w:r>
      <w:r>
        <w:fldChar w:fldCharType="end"/>
      </w:r>
    </w:p>
    <w:p>
      <w:pPr>
        <w:pStyle w:val="TOC8"/>
        <w:rPr>
          <w:rFonts w:asciiTheme="minorHAnsi" w:eastAsiaTheme="minorEastAsia" w:hAnsiTheme="minorHAnsi" w:cstheme="minorBidi"/>
          <w:szCs w:val="22"/>
        </w:rPr>
      </w:pPr>
      <w:r>
        <w:t>79.</w:t>
      </w:r>
      <w:r>
        <w:tab/>
        <w:t>Modification of reporting obligations</w:t>
      </w:r>
      <w:r>
        <w:tab/>
      </w:r>
      <w:r>
        <w:fldChar w:fldCharType="begin"/>
      </w:r>
      <w:r>
        <w:instrText xml:space="preserve"> PAGEREF _Toc216773008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4A </w:t>
      </w:r>
      <w:r>
        <w:rPr>
          <w:color w:val="000000"/>
        </w:rPr>
        <w:t>—</w:t>
      </w:r>
      <w:r>
        <w:t> Change of name</w:t>
      </w:r>
    </w:p>
    <w:p>
      <w:pPr>
        <w:pStyle w:val="TOC8"/>
        <w:rPr>
          <w:rFonts w:asciiTheme="minorHAnsi" w:eastAsiaTheme="minorEastAsia" w:hAnsiTheme="minorHAnsi" w:cstheme="minorBidi"/>
          <w:szCs w:val="22"/>
        </w:rPr>
      </w:pPr>
      <w:r>
        <w:t>80A.</w:t>
      </w:r>
      <w:r>
        <w:tab/>
        <w:t>Terms used</w:t>
      </w:r>
      <w:r>
        <w:tab/>
      </w:r>
      <w:r>
        <w:fldChar w:fldCharType="begin"/>
      </w:r>
      <w:r>
        <w:instrText xml:space="preserve"> PAGEREF _Toc216773010 \h </w:instrText>
      </w:r>
      <w:r>
        <w:fldChar w:fldCharType="separate"/>
      </w:r>
      <w:r>
        <w:t>80</w:t>
      </w:r>
      <w:r>
        <w:fldChar w:fldCharType="end"/>
      </w:r>
    </w:p>
    <w:p>
      <w:pPr>
        <w:pStyle w:val="TOC8"/>
        <w:rPr>
          <w:rFonts w:asciiTheme="minorHAnsi" w:eastAsiaTheme="minorEastAsia" w:hAnsiTheme="minorHAnsi" w:cstheme="minorBidi"/>
          <w:szCs w:val="22"/>
        </w:rPr>
      </w:pPr>
      <w:r>
        <w:t>80B.</w:t>
      </w:r>
      <w:r>
        <w:tab/>
        <w:t>Application</w:t>
      </w:r>
      <w:r>
        <w:tab/>
      </w:r>
      <w:r>
        <w:fldChar w:fldCharType="begin"/>
      </w:r>
      <w:r>
        <w:instrText xml:space="preserve"> PAGEREF _Toc216773011 \h </w:instrText>
      </w:r>
      <w:r>
        <w:fldChar w:fldCharType="separate"/>
      </w:r>
      <w:r>
        <w:t>80</w:t>
      </w:r>
      <w:r>
        <w:fldChar w:fldCharType="end"/>
      </w:r>
    </w:p>
    <w:p>
      <w:pPr>
        <w:pStyle w:val="TOC8"/>
        <w:rPr>
          <w:rFonts w:asciiTheme="minorHAnsi" w:eastAsiaTheme="minorEastAsia" w:hAnsiTheme="minorHAnsi" w:cstheme="minorBidi"/>
          <w:szCs w:val="22"/>
        </w:rPr>
      </w:pPr>
      <w:r>
        <w:t>80C.</w:t>
      </w:r>
      <w:r>
        <w:tab/>
        <w:t>Application for change of name by or in respect of reportable offender</w:t>
      </w:r>
      <w:r>
        <w:tab/>
      </w:r>
      <w:r>
        <w:fldChar w:fldCharType="begin"/>
      </w:r>
      <w:r>
        <w:instrText xml:space="preserve"> PAGEREF _Toc216773012 \h </w:instrText>
      </w:r>
      <w:r>
        <w:fldChar w:fldCharType="separate"/>
      </w:r>
      <w:r>
        <w:t>80</w:t>
      </w:r>
      <w:r>
        <w:fldChar w:fldCharType="end"/>
      </w:r>
    </w:p>
    <w:p>
      <w:pPr>
        <w:pStyle w:val="TOC8"/>
        <w:rPr>
          <w:rFonts w:asciiTheme="minorHAnsi" w:eastAsiaTheme="minorEastAsia" w:hAnsiTheme="minorHAnsi" w:cstheme="minorBidi"/>
          <w:szCs w:val="22"/>
        </w:rPr>
      </w:pPr>
      <w:r>
        <w:t>80D.</w:t>
      </w:r>
      <w:r>
        <w:tab/>
        <w:t>Approval by Commissioner</w:t>
      </w:r>
      <w:r>
        <w:tab/>
      </w:r>
      <w:r>
        <w:fldChar w:fldCharType="begin"/>
      </w:r>
      <w:r>
        <w:instrText xml:space="preserve"> PAGEREF _Toc216773013 \h </w:instrText>
      </w:r>
      <w:r>
        <w:fldChar w:fldCharType="separate"/>
      </w:r>
      <w:r>
        <w:t>81</w:t>
      </w:r>
      <w:r>
        <w:fldChar w:fldCharType="end"/>
      </w:r>
    </w:p>
    <w:p>
      <w:pPr>
        <w:pStyle w:val="TOC8"/>
        <w:rPr>
          <w:rFonts w:asciiTheme="minorHAnsi" w:eastAsiaTheme="minorEastAsia" w:hAnsiTheme="minorHAnsi" w:cstheme="minorBidi"/>
          <w:szCs w:val="22"/>
        </w:rPr>
      </w:pPr>
      <w:r>
        <w:t>80E.</w:t>
      </w:r>
      <w:r>
        <w:tab/>
        <w:t>Registration of change of name</w:t>
      </w:r>
      <w:r>
        <w:tab/>
      </w:r>
      <w:r>
        <w:fldChar w:fldCharType="begin"/>
      </w:r>
      <w:r>
        <w:instrText xml:space="preserve"> PAGEREF _Toc216773014 \h </w:instrText>
      </w:r>
      <w:r>
        <w:fldChar w:fldCharType="separate"/>
      </w:r>
      <w:r>
        <w:t>82</w:t>
      </w:r>
      <w:r>
        <w:fldChar w:fldCharType="end"/>
      </w:r>
    </w:p>
    <w:p>
      <w:pPr>
        <w:pStyle w:val="TOC8"/>
        <w:rPr>
          <w:rFonts w:asciiTheme="minorHAnsi" w:eastAsiaTheme="minorEastAsia" w:hAnsiTheme="minorHAnsi" w:cstheme="minorBidi"/>
          <w:szCs w:val="22"/>
        </w:rPr>
      </w:pPr>
      <w:r>
        <w:t>80F.</w:t>
      </w:r>
      <w:r>
        <w:tab/>
        <w:t>WA Registrar to correct Registration Act Register</w:t>
      </w:r>
      <w:r>
        <w:tab/>
      </w:r>
      <w:r>
        <w:fldChar w:fldCharType="begin"/>
      </w:r>
      <w:r>
        <w:instrText xml:space="preserve"> PAGEREF _Toc216773015 \h </w:instrText>
      </w:r>
      <w:r>
        <w:fldChar w:fldCharType="separate"/>
      </w:r>
      <w:r>
        <w:t>83</w:t>
      </w:r>
      <w:r>
        <w:fldChar w:fldCharType="end"/>
      </w:r>
    </w:p>
    <w:p>
      <w:pPr>
        <w:pStyle w:val="TOC8"/>
        <w:rPr>
          <w:rFonts w:asciiTheme="minorHAnsi" w:eastAsiaTheme="minorEastAsia" w:hAnsiTheme="minorHAnsi" w:cstheme="minorBidi"/>
          <w:szCs w:val="22"/>
        </w:rPr>
      </w:pPr>
      <w:r>
        <w:t>80G.</w:t>
      </w:r>
      <w:r>
        <w:tab/>
        <w:t>Exchange of information between Commissioner and WA Registrar</w:t>
      </w:r>
      <w:r>
        <w:tab/>
      </w:r>
      <w:r>
        <w:fldChar w:fldCharType="begin"/>
      </w:r>
      <w:r>
        <w:instrText xml:space="preserve"> PAGEREF _Toc216773016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4 — Community Protection Offender Register</w:t>
      </w:r>
    </w:p>
    <w:p>
      <w:pPr>
        <w:pStyle w:val="TOC8"/>
        <w:rPr>
          <w:rFonts w:asciiTheme="minorHAnsi" w:eastAsiaTheme="minorEastAsia" w:hAnsiTheme="minorHAnsi" w:cstheme="minorBidi"/>
          <w:szCs w:val="22"/>
        </w:rPr>
      </w:pPr>
      <w:r>
        <w:t>80.</w:t>
      </w:r>
      <w:r>
        <w:tab/>
        <w:t>Requirement to establish and maintain Community Protection Offender Register</w:t>
      </w:r>
      <w:r>
        <w:tab/>
      </w:r>
      <w:r>
        <w:fldChar w:fldCharType="begin"/>
      </w:r>
      <w:r>
        <w:instrText xml:space="preserve"> PAGEREF _Toc216773018 \h </w:instrText>
      </w:r>
      <w:r>
        <w:fldChar w:fldCharType="separate"/>
      </w:r>
      <w:r>
        <w:t>85</w:t>
      </w:r>
      <w:r>
        <w:fldChar w:fldCharType="end"/>
      </w:r>
    </w:p>
    <w:p>
      <w:pPr>
        <w:pStyle w:val="TOC8"/>
        <w:rPr>
          <w:rFonts w:asciiTheme="minorHAnsi" w:eastAsiaTheme="minorEastAsia" w:hAnsiTheme="minorHAnsi" w:cstheme="minorBidi"/>
          <w:szCs w:val="22"/>
        </w:rPr>
      </w:pPr>
      <w:r>
        <w:t>81.</w:t>
      </w:r>
      <w:r>
        <w:tab/>
        <w:t>Access to Register to be restricted</w:t>
      </w:r>
      <w:r>
        <w:tab/>
      </w:r>
      <w:r>
        <w:fldChar w:fldCharType="begin"/>
      </w:r>
      <w:r>
        <w:instrText xml:space="preserve"> PAGEREF _Toc216773019 \h </w:instrText>
      </w:r>
      <w:r>
        <w:fldChar w:fldCharType="separate"/>
      </w:r>
      <w:r>
        <w:t>86</w:t>
      </w:r>
      <w:r>
        <w:fldChar w:fldCharType="end"/>
      </w:r>
    </w:p>
    <w:p>
      <w:pPr>
        <w:pStyle w:val="TOC8"/>
        <w:rPr>
          <w:rFonts w:asciiTheme="minorHAnsi" w:eastAsiaTheme="minorEastAsia" w:hAnsiTheme="minorHAnsi" w:cstheme="minorBidi"/>
          <w:szCs w:val="22"/>
        </w:rPr>
      </w:pPr>
      <w:r>
        <w:t>82.</w:t>
      </w:r>
      <w:r>
        <w:tab/>
        <w:t>Confidentiality</w:t>
      </w:r>
      <w:r>
        <w:tab/>
      </w:r>
      <w:r>
        <w:fldChar w:fldCharType="begin"/>
      </w:r>
      <w:r>
        <w:instrText xml:space="preserve"> PAGEREF _Toc216773020 \h </w:instrText>
      </w:r>
      <w:r>
        <w:fldChar w:fldCharType="separate"/>
      </w:r>
      <w:r>
        <w:t>86</w:t>
      </w:r>
      <w:r>
        <w:fldChar w:fldCharType="end"/>
      </w:r>
    </w:p>
    <w:p>
      <w:pPr>
        <w:pStyle w:val="TOC8"/>
        <w:rPr>
          <w:rFonts w:asciiTheme="minorHAnsi" w:eastAsiaTheme="minorEastAsia" w:hAnsiTheme="minorHAnsi" w:cstheme="minorBidi"/>
          <w:szCs w:val="22"/>
        </w:rPr>
      </w:pPr>
      <w:r>
        <w:t>82A.</w:t>
      </w:r>
      <w:r>
        <w:tab/>
        <w:t>Delegation by Commissioner</w:t>
      </w:r>
      <w:r>
        <w:tab/>
      </w:r>
      <w:r>
        <w:fldChar w:fldCharType="begin"/>
      </w:r>
      <w:r>
        <w:instrText xml:space="preserve"> PAGEREF _Toc216773021 \h </w:instrText>
      </w:r>
      <w:r>
        <w:fldChar w:fldCharType="separate"/>
      </w:r>
      <w:r>
        <w:t>88</w:t>
      </w:r>
      <w:r>
        <w:fldChar w:fldCharType="end"/>
      </w:r>
    </w:p>
    <w:p>
      <w:pPr>
        <w:pStyle w:val="TOC8"/>
        <w:rPr>
          <w:rFonts w:asciiTheme="minorHAnsi" w:eastAsiaTheme="minorEastAsia" w:hAnsiTheme="minorHAnsi" w:cstheme="minorBidi"/>
          <w:szCs w:val="22"/>
        </w:rPr>
      </w:pPr>
      <w:r>
        <w:t>83.</w:t>
      </w:r>
      <w:r>
        <w:tab/>
        <w:t>Restriction on who may access personal information on protected witnesses</w:t>
      </w:r>
      <w:r>
        <w:tab/>
      </w:r>
      <w:r>
        <w:fldChar w:fldCharType="begin"/>
      </w:r>
      <w:r>
        <w:instrText xml:space="preserve"> PAGEREF _Toc216773022 \h </w:instrText>
      </w:r>
      <w:r>
        <w:fldChar w:fldCharType="separate"/>
      </w:r>
      <w:r>
        <w:t>89</w:t>
      </w:r>
      <w:r>
        <w:fldChar w:fldCharType="end"/>
      </w:r>
    </w:p>
    <w:p>
      <w:pPr>
        <w:pStyle w:val="TOC8"/>
        <w:rPr>
          <w:rFonts w:asciiTheme="minorHAnsi" w:eastAsiaTheme="minorEastAsia" w:hAnsiTheme="minorHAnsi" w:cstheme="minorBidi"/>
          <w:szCs w:val="22"/>
        </w:rPr>
      </w:pPr>
      <w:r>
        <w:t>84.</w:t>
      </w:r>
      <w:r>
        <w:tab/>
        <w:t>Reportable offender’s rights in relation to Register</w:t>
      </w:r>
      <w:r>
        <w:tab/>
      </w:r>
      <w:r>
        <w:fldChar w:fldCharType="begin"/>
      </w:r>
      <w:r>
        <w:instrText xml:space="preserve"> PAGEREF _Toc216773023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rPr>
          <w:color w:val="000000"/>
        </w:rPr>
        <w:t>—</w:t>
      </w:r>
      <w:r>
        <w:rPr>
          <w:b w:val="0"/>
        </w:rPr>
        <w:t> </w:t>
      </w:r>
      <w:r>
        <w:t>Publication of information about offenders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85A.</w:t>
      </w:r>
      <w:r>
        <w:tab/>
        <w:t>Terms used</w:t>
      </w:r>
      <w:r>
        <w:tab/>
      </w:r>
      <w:r>
        <w:fldChar w:fldCharType="begin"/>
      </w:r>
      <w:r>
        <w:instrText xml:space="preserve"> PAGEREF _Toc216773026 \h </w:instrText>
      </w:r>
      <w:r>
        <w:fldChar w:fldCharType="separate"/>
      </w:r>
      <w:r>
        <w:t>90</w:t>
      </w:r>
      <w:r>
        <w:fldChar w:fldCharType="end"/>
      </w:r>
    </w:p>
    <w:p>
      <w:pPr>
        <w:pStyle w:val="TOC8"/>
        <w:rPr>
          <w:rFonts w:asciiTheme="minorHAnsi" w:eastAsiaTheme="minorEastAsia" w:hAnsiTheme="minorHAnsi" w:cstheme="minorBidi"/>
          <w:szCs w:val="22"/>
        </w:rPr>
      </w:pPr>
      <w:r>
        <w:t>85B.</w:t>
      </w:r>
      <w:r>
        <w:tab/>
        <w:t>Delegation by Commissioner</w:t>
      </w:r>
      <w:r>
        <w:tab/>
      </w:r>
      <w:r>
        <w:fldChar w:fldCharType="begin"/>
      </w:r>
      <w:r>
        <w:instrText xml:space="preserve"> PAGEREF _Toc216773027 \h </w:instrText>
      </w:r>
      <w:r>
        <w:fldChar w:fldCharType="separate"/>
      </w:r>
      <w:r>
        <w:t>91</w:t>
      </w:r>
      <w:r>
        <w:fldChar w:fldCharType="end"/>
      </w:r>
    </w:p>
    <w:p>
      <w:pPr>
        <w:pStyle w:val="TOC8"/>
        <w:rPr>
          <w:rFonts w:asciiTheme="minorHAnsi" w:eastAsiaTheme="minorEastAsia" w:hAnsiTheme="minorHAnsi" w:cstheme="minorBidi"/>
          <w:szCs w:val="22"/>
        </w:rPr>
      </w:pPr>
      <w:r>
        <w:t>85C.</w:t>
      </w:r>
      <w:r>
        <w:tab/>
        <w:t>Commissioner not required to publish or provide information</w:t>
      </w:r>
      <w:r>
        <w:tab/>
      </w:r>
      <w:r>
        <w:fldChar w:fldCharType="begin"/>
      </w:r>
      <w:r>
        <w:instrText xml:space="preserve"> PAGEREF _Toc216773028 \h </w:instrText>
      </w:r>
      <w:r>
        <w:fldChar w:fldCharType="separate"/>
      </w:r>
      <w:r>
        <w:t>92</w:t>
      </w:r>
      <w:r>
        <w:fldChar w:fldCharType="end"/>
      </w:r>
    </w:p>
    <w:p>
      <w:pPr>
        <w:pStyle w:val="TOC8"/>
        <w:rPr>
          <w:rFonts w:asciiTheme="minorHAnsi" w:eastAsiaTheme="minorEastAsia" w:hAnsiTheme="minorHAnsi" w:cstheme="minorBidi"/>
          <w:szCs w:val="22"/>
        </w:rPr>
      </w:pPr>
      <w:r>
        <w:t>85D.</w:t>
      </w:r>
      <w:r>
        <w:tab/>
        <w:t>Restriction on information about protected witnesses</w:t>
      </w:r>
      <w:r>
        <w:tab/>
      </w:r>
      <w:r>
        <w:fldChar w:fldCharType="begin"/>
      </w:r>
      <w:r>
        <w:instrText xml:space="preserve"> PAGEREF _Toc216773029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Commissioner may publish information</w:t>
      </w:r>
    </w:p>
    <w:p>
      <w:pPr>
        <w:pStyle w:val="TOC8"/>
        <w:rPr>
          <w:rFonts w:asciiTheme="minorHAnsi" w:eastAsiaTheme="minorEastAsia" w:hAnsiTheme="minorHAnsi" w:cstheme="minorBidi"/>
          <w:szCs w:val="22"/>
        </w:rPr>
      </w:pPr>
      <w:r>
        <w:t>85E.</w:t>
      </w:r>
      <w:r>
        <w:tab/>
        <w:t>Application</w:t>
      </w:r>
      <w:r>
        <w:tab/>
      </w:r>
      <w:r>
        <w:fldChar w:fldCharType="begin"/>
      </w:r>
      <w:r>
        <w:instrText xml:space="preserve"> PAGEREF _Toc216773031 \h </w:instrText>
      </w:r>
      <w:r>
        <w:fldChar w:fldCharType="separate"/>
      </w:r>
      <w:r>
        <w:t>92</w:t>
      </w:r>
      <w:r>
        <w:fldChar w:fldCharType="end"/>
      </w:r>
    </w:p>
    <w:p>
      <w:pPr>
        <w:pStyle w:val="TOC8"/>
        <w:rPr>
          <w:rFonts w:asciiTheme="minorHAnsi" w:eastAsiaTheme="minorEastAsia" w:hAnsiTheme="minorHAnsi" w:cstheme="minorBidi"/>
          <w:szCs w:val="22"/>
        </w:rPr>
      </w:pPr>
      <w:r>
        <w:t>85F.</w:t>
      </w:r>
      <w:r>
        <w:tab/>
        <w:t>Commissioner may publish personal details of certain reportable offenders</w:t>
      </w:r>
      <w:r>
        <w:tab/>
      </w:r>
      <w:r>
        <w:fldChar w:fldCharType="begin"/>
      </w:r>
      <w:r>
        <w:instrText xml:space="preserve"> PAGEREF _Toc216773032 \h </w:instrText>
      </w:r>
      <w:r>
        <w:fldChar w:fldCharType="separate"/>
      </w:r>
      <w:r>
        <w:t>92</w:t>
      </w:r>
      <w:r>
        <w:fldChar w:fldCharType="end"/>
      </w:r>
    </w:p>
    <w:p>
      <w:pPr>
        <w:pStyle w:val="TOC8"/>
        <w:rPr>
          <w:rFonts w:asciiTheme="minorHAnsi" w:eastAsiaTheme="minorEastAsia" w:hAnsiTheme="minorHAnsi" w:cstheme="minorBidi"/>
          <w:szCs w:val="22"/>
        </w:rPr>
      </w:pPr>
      <w:r>
        <w:t>85G.</w:t>
      </w:r>
      <w:r>
        <w:tab/>
        <w:t>Commissioner may publish photograph and locality of certain persons</w:t>
      </w:r>
      <w:r>
        <w:tab/>
      </w:r>
      <w:r>
        <w:fldChar w:fldCharType="begin"/>
      </w:r>
      <w:r>
        <w:instrText xml:space="preserve"> PAGEREF _Toc216773033 \h </w:instrText>
      </w:r>
      <w:r>
        <w:fldChar w:fldCharType="separate"/>
      </w:r>
      <w:r>
        <w:t>94</w:t>
      </w:r>
      <w:r>
        <w:fldChar w:fldCharType="end"/>
      </w:r>
    </w:p>
    <w:p>
      <w:pPr>
        <w:pStyle w:val="TOC8"/>
        <w:rPr>
          <w:rFonts w:asciiTheme="minorHAnsi" w:eastAsiaTheme="minorEastAsia" w:hAnsiTheme="minorHAnsi" w:cstheme="minorBidi"/>
          <w:szCs w:val="22"/>
        </w:rPr>
      </w:pPr>
      <w:r>
        <w:lastRenderedPageBreak/>
        <w:t>85GA.</w:t>
      </w:r>
      <w:r>
        <w:tab/>
        <w:t>Notice to give address and photograph to Commissioner</w:t>
      </w:r>
      <w:r>
        <w:tab/>
      </w:r>
      <w:r>
        <w:fldChar w:fldCharType="begin"/>
      </w:r>
      <w:r>
        <w:instrText xml:space="preserve"> PAGEREF _Toc216773034 \h </w:instrText>
      </w:r>
      <w:r>
        <w:fldChar w:fldCharType="separate"/>
      </w:r>
      <w:r>
        <w:t>96</w:t>
      </w:r>
      <w:r>
        <w:fldChar w:fldCharType="end"/>
      </w:r>
    </w:p>
    <w:p>
      <w:pPr>
        <w:pStyle w:val="TOC8"/>
        <w:rPr>
          <w:rFonts w:asciiTheme="minorHAnsi" w:eastAsiaTheme="minorEastAsia" w:hAnsiTheme="minorHAnsi" w:cstheme="minorBidi"/>
          <w:szCs w:val="22"/>
        </w:rPr>
      </w:pPr>
      <w:r>
        <w:t>85GB.</w:t>
      </w:r>
      <w:r>
        <w:tab/>
        <w:t>Authorisation by Minister to publish photograph and locality in relation to certain offences</w:t>
      </w:r>
      <w:r>
        <w:tab/>
      </w:r>
      <w:r>
        <w:fldChar w:fldCharType="begin"/>
      </w:r>
      <w:r>
        <w:instrText xml:space="preserve"> PAGEREF _Toc216773035 \h </w:instrText>
      </w:r>
      <w:r>
        <w:fldChar w:fldCharType="separate"/>
      </w:r>
      <w:r>
        <w:t>97</w:t>
      </w:r>
      <w:r>
        <w:fldChar w:fldCharType="end"/>
      </w:r>
    </w:p>
    <w:p>
      <w:pPr>
        <w:pStyle w:val="TOC8"/>
        <w:rPr>
          <w:rFonts w:asciiTheme="minorHAnsi" w:eastAsiaTheme="minorEastAsia" w:hAnsiTheme="minorHAnsi" w:cstheme="minorBidi"/>
          <w:szCs w:val="22"/>
        </w:rPr>
      </w:pPr>
      <w:r>
        <w:t>85H.</w:t>
      </w:r>
      <w:r>
        <w:tab/>
        <w:t>Removal of photograph and locality from website</w:t>
      </w:r>
      <w:r>
        <w:tab/>
      </w:r>
      <w:r>
        <w:fldChar w:fldCharType="begin"/>
      </w:r>
      <w:r>
        <w:instrText xml:space="preserve"> PAGEREF _Toc216773036 \h </w:instrText>
      </w:r>
      <w:r>
        <w:fldChar w:fldCharType="separate"/>
      </w:r>
      <w:r>
        <w:t>98</w:t>
      </w:r>
      <w:r>
        <w:fldChar w:fldCharType="end"/>
      </w:r>
    </w:p>
    <w:p>
      <w:pPr>
        <w:pStyle w:val="TOC8"/>
        <w:rPr>
          <w:rFonts w:asciiTheme="minorHAnsi" w:eastAsiaTheme="minorEastAsia" w:hAnsiTheme="minorHAnsi" w:cstheme="minorBidi"/>
          <w:szCs w:val="22"/>
        </w:rPr>
      </w:pPr>
      <w:r>
        <w:t>85I.</w:t>
      </w:r>
      <w:r>
        <w:tab/>
        <w:t>Commissioner may take into account certain matters</w:t>
      </w:r>
      <w:r>
        <w:tab/>
      </w:r>
      <w:r>
        <w:fldChar w:fldCharType="begin"/>
      </w:r>
      <w:r>
        <w:instrText xml:space="preserve"> PAGEREF _Toc216773037 \h </w:instrText>
      </w:r>
      <w:r>
        <w:fldChar w:fldCharType="separate"/>
      </w:r>
      <w:r>
        <w:t>99</w:t>
      </w:r>
      <w:r>
        <w:fldChar w:fldCharType="end"/>
      </w:r>
    </w:p>
    <w:p>
      <w:pPr>
        <w:pStyle w:val="TOC8"/>
        <w:rPr>
          <w:rFonts w:asciiTheme="minorHAnsi" w:eastAsiaTheme="minorEastAsia" w:hAnsiTheme="minorHAnsi" w:cstheme="minorBidi"/>
          <w:szCs w:val="22"/>
        </w:rPr>
      </w:pPr>
      <w:r>
        <w:t>85J.</w:t>
      </w:r>
      <w:r>
        <w:tab/>
        <w:t>Commissioner may inform child’s parent or guardian whether specified person is reportable offender</w:t>
      </w:r>
      <w:r>
        <w:tab/>
      </w:r>
      <w:r>
        <w:fldChar w:fldCharType="begin"/>
      </w:r>
      <w:r>
        <w:instrText xml:space="preserve"> PAGEREF _Toc216773038 \h </w:instrText>
      </w:r>
      <w:r>
        <w:fldChar w:fldCharType="separate"/>
      </w:r>
      <w:r>
        <w:t>101</w:t>
      </w:r>
      <w:r>
        <w:fldChar w:fldCharType="end"/>
      </w:r>
    </w:p>
    <w:p>
      <w:pPr>
        <w:pStyle w:val="TOC8"/>
        <w:rPr>
          <w:rFonts w:asciiTheme="minorHAnsi" w:eastAsiaTheme="minorEastAsia" w:hAnsiTheme="minorHAnsi" w:cstheme="minorBidi"/>
          <w:szCs w:val="22"/>
        </w:rPr>
      </w:pPr>
      <w:r>
        <w:t>85K.</w:t>
      </w:r>
      <w:r>
        <w:tab/>
        <w:t>Protection as to publication and other provision of information</w:t>
      </w:r>
      <w:r>
        <w:tab/>
      </w:r>
      <w:r>
        <w:fldChar w:fldCharType="begin"/>
      </w:r>
      <w:r>
        <w:instrText xml:space="preserve"> PAGEREF _Toc216773039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85L.</w:t>
      </w:r>
      <w:r>
        <w:tab/>
        <w:t>Conduct intended to incite animosity towards or harassment of identified offenders</w:t>
      </w:r>
      <w:r>
        <w:tab/>
      </w:r>
      <w:r>
        <w:fldChar w:fldCharType="begin"/>
      </w:r>
      <w:r>
        <w:instrText xml:space="preserve"> PAGEREF _Toc216773041 \h </w:instrText>
      </w:r>
      <w:r>
        <w:fldChar w:fldCharType="separate"/>
      </w:r>
      <w:r>
        <w:t>103</w:t>
      </w:r>
      <w:r>
        <w:fldChar w:fldCharType="end"/>
      </w:r>
    </w:p>
    <w:p>
      <w:pPr>
        <w:pStyle w:val="TOC8"/>
        <w:rPr>
          <w:rFonts w:asciiTheme="minorHAnsi" w:eastAsiaTheme="minorEastAsia" w:hAnsiTheme="minorHAnsi" w:cstheme="minorBidi"/>
          <w:szCs w:val="22"/>
        </w:rPr>
      </w:pPr>
      <w:r>
        <w:t>85M.</w:t>
      </w:r>
      <w:r>
        <w:tab/>
        <w:t>Publication, display and distribution of identifying information</w:t>
      </w:r>
      <w:r>
        <w:tab/>
      </w:r>
      <w:r>
        <w:fldChar w:fldCharType="begin"/>
      </w:r>
      <w:r>
        <w:instrText xml:space="preserve"> PAGEREF _Toc216773042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_Toc216773045 \h </w:instrText>
      </w:r>
      <w:r>
        <w:fldChar w:fldCharType="separate"/>
      </w:r>
      <w:r>
        <w:t>106</w:t>
      </w:r>
      <w:r>
        <w:fldChar w:fldCharType="end"/>
      </w:r>
    </w:p>
    <w:p>
      <w:pPr>
        <w:pStyle w:val="TOC8"/>
        <w:rPr>
          <w:rFonts w:asciiTheme="minorHAnsi" w:eastAsiaTheme="minorEastAsia" w:hAnsiTheme="minorHAnsi" w:cstheme="minorBidi"/>
          <w:szCs w:val="22"/>
        </w:rPr>
      </w:pPr>
      <w:r>
        <w:t>86.</w:t>
      </w:r>
      <w:r>
        <w:tab/>
        <w:t>Evidence</w:t>
      </w:r>
      <w:r>
        <w:tab/>
      </w:r>
      <w:r>
        <w:fldChar w:fldCharType="begin"/>
      </w:r>
      <w:r>
        <w:instrText xml:space="preserve"> PAGEREF _Toc216773046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87.</w:t>
      </w:r>
      <w:r>
        <w:tab/>
        <w:t>Commissioner may apply for orders</w:t>
      </w:r>
      <w:r>
        <w:tab/>
      </w:r>
      <w:r>
        <w:fldChar w:fldCharType="begin"/>
      </w:r>
      <w:r>
        <w:instrText xml:space="preserve"> PAGEREF _Toc216773048 \h </w:instrText>
      </w:r>
      <w:r>
        <w:fldChar w:fldCharType="separate"/>
      </w:r>
      <w:r>
        <w:t>108</w:t>
      </w:r>
      <w:r>
        <w:fldChar w:fldCharType="end"/>
      </w:r>
    </w:p>
    <w:p>
      <w:pPr>
        <w:pStyle w:val="TOC8"/>
        <w:rPr>
          <w:rFonts w:asciiTheme="minorHAnsi" w:eastAsiaTheme="minorEastAsia" w:hAnsiTheme="minorHAnsi" w:cstheme="minorBidi"/>
          <w:szCs w:val="22"/>
        </w:rPr>
      </w:pPr>
      <w:r>
        <w:t>88.</w:t>
      </w:r>
      <w:r>
        <w:tab/>
        <w:t>Fixing a hearing</w:t>
      </w:r>
      <w:r>
        <w:tab/>
      </w:r>
      <w:r>
        <w:fldChar w:fldCharType="begin"/>
      </w:r>
      <w:r>
        <w:instrText xml:space="preserve"> PAGEREF _Toc216773049 \h </w:instrText>
      </w:r>
      <w:r>
        <w:fldChar w:fldCharType="separate"/>
      </w:r>
      <w:r>
        <w:t>108</w:t>
      </w:r>
      <w:r>
        <w:fldChar w:fldCharType="end"/>
      </w:r>
    </w:p>
    <w:p>
      <w:pPr>
        <w:pStyle w:val="TOC8"/>
        <w:rPr>
          <w:rFonts w:asciiTheme="minorHAnsi" w:eastAsiaTheme="minorEastAsia" w:hAnsiTheme="minorHAnsi" w:cstheme="minorBidi"/>
          <w:szCs w:val="22"/>
        </w:rPr>
      </w:pPr>
      <w:r>
        <w:t>89.</w:t>
      </w:r>
      <w:r>
        <w:tab/>
        <w:t>How application to be disposed of</w:t>
      </w:r>
      <w:r>
        <w:tab/>
      </w:r>
      <w:r>
        <w:fldChar w:fldCharType="begin"/>
      </w:r>
      <w:r>
        <w:instrText xml:space="preserve"> PAGEREF _Toc216773050 \h </w:instrText>
      </w:r>
      <w:r>
        <w:fldChar w:fldCharType="separate"/>
      </w:r>
      <w:r>
        <w:t>108</w:t>
      </w:r>
      <w:r>
        <w:fldChar w:fldCharType="end"/>
      </w:r>
    </w:p>
    <w:p>
      <w:pPr>
        <w:pStyle w:val="TOC8"/>
        <w:rPr>
          <w:rFonts w:asciiTheme="minorHAnsi" w:eastAsiaTheme="minorEastAsia" w:hAnsiTheme="minorHAnsi" w:cstheme="minorBidi"/>
          <w:szCs w:val="22"/>
        </w:rPr>
      </w:pPr>
      <w:r>
        <w:t>90.</w:t>
      </w:r>
      <w:r>
        <w:tab/>
        <w:t>Court may make child protection orders</w:t>
      </w:r>
      <w:r>
        <w:tab/>
      </w:r>
      <w:r>
        <w:fldChar w:fldCharType="begin"/>
      </w:r>
      <w:r>
        <w:instrText xml:space="preserve"> PAGEREF _Toc216773051 \h </w:instrText>
      </w:r>
      <w:r>
        <w:fldChar w:fldCharType="separate"/>
      </w:r>
      <w:r>
        <w:t>109</w:t>
      </w:r>
      <w:r>
        <w:fldChar w:fldCharType="end"/>
      </w:r>
    </w:p>
    <w:p>
      <w:pPr>
        <w:pStyle w:val="TOC8"/>
        <w:rPr>
          <w:rFonts w:asciiTheme="minorHAnsi" w:eastAsiaTheme="minorEastAsia" w:hAnsiTheme="minorHAnsi" w:cstheme="minorBidi"/>
          <w:szCs w:val="22"/>
        </w:rPr>
      </w:pPr>
      <w:r>
        <w:t>91.</w:t>
      </w:r>
      <w:r>
        <w:tab/>
        <w:t>Term of child protection orders</w:t>
      </w:r>
      <w:r>
        <w:tab/>
      </w:r>
      <w:r>
        <w:fldChar w:fldCharType="begin"/>
      </w:r>
      <w:r>
        <w:instrText xml:space="preserve"> PAGEREF _Toc216773052 \h </w:instrText>
      </w:r>
      <w:r>
        <w:fldChar w:fldCharType="separate"/>
      </w:r>
      <w:r>
        <w:t>110</w:t>
      </w:r>
      <w:r>
        <w:fldChar w:fldCharType="end"/>
      </w:r>
    </w:p>
    <w:p>
      <w:pPr>
        <w:pStyle w:val="TOC8"/>
        <w:rPr>
          <w:rFonts w:asciiTheme="minorHAnsi" w:eastAsiaTheme="minorEastAsia" w:hAnsiTheme="minorHAnsi" w:cstheme="minorBidi"/>
          <w:szCs w:val="22"/>
        </w:rPr>
      </w:pPr>
      <w:r>
        <w:t>92.</w:t>
      </w:r>
      <w:r>
        <w:tab/>
        <w:t>Interim child protection orders</w:t>
      </w:r>
      <w:r>
        <w:tab/>
      </w:r>
      <w:r>
        <w:fldChar w:fldCharType="begin"/>
      </w:r>
      <w:r>
        <w:instrText xml:space="preserve"> PAGEREF _Toc216773053 \h </w:instrText>
      </w:r>
      <w:r>
        <w:fldChar w:fldCharType="separate"/>
      </w:r>
      <w:r>
        <w:t>111</w:t>
      </w:r>
      <w:r>
        <w:fldChar w:fldCharType="end"/>
      </w:r>
    </w:p>
    <w:p>
      <w:pPr>
        <w:pStyle w:val="TOC8"/>
        <w:rPr>
          <w:rFonts w:asciiTheme="minorHAnsi" w:eastAsiaTheme="minorEastAsia" w:hAnsiTheme="minorHAnsi" w:cstheme="minorBidi"/>
          <w:szCs w:val="22"/>
        </w:rPr>
      </w:pPr>
      <w:r>
        <w:t>93.</w:t>
      </w:r>
      <w:r>
        <w:tab/>
        <w:t>Conduct that may be subject of orders</w:t>
      </w:r>
      <w:r>
        <w:tab/>
      </w:r>
      <w:r>
        <w:fldChar w:fldCharType="begin"/>
      </w:r>
      <w:r>
        <w:instrText xml:space="preserve"> PAGEREF _Toc216773054 \h </w:instrText>
      </w:r>
      <w:r>
        <w:fldChar w:fldCharType="separate"/>
      </w:r>
      <w:r>
        <w:t>112</w:t>
      </w:r>
      <w:r>
        <w:fldChar w:fldCharType="end"/>
      </w:r>
    </w:p>
    <w:p>
      <w:pPr>
        <w:pStyle w:val="TOC8"/>
        <w:rPr>
          <w:rFonts w:asciiTheme="minorHAnsi" w:eastAsiaTheme="minorEastAsia" w:hAnsiTheme="minorHAnsi" w:cstheme="minorBidi"/>
          <w:szCs w:val="22"/>
        </w:rPr>
      </w:pPr>
      <w:r>
        <w:t>94A.</w:t>
      </w:r>
      <w:r>
        <w:tab/>
        <w:t>Reportable offenders may be required to undergo assessment and treatment</w:t>
      </w:r>
      <w:r>
        <w:tab/>
      </w:r>
      <w:r>
        <w:fldChar w:fldCharType="begin"/>
      </w:r>
      <w:r>
        <w:instrText xml:space="preserve"> PAGEREF _Toc216773055 \h </w:instrText>
      </w:r>
      <w:r>
        <w:fldChar w:fldCharType="separate"/>
      </w:r>
      <w:r>
        <w:t>114</w:t>
      </w:r>
      <w:r>
        <w:fldChar w:fldCharType="end"/>
      </w:r>
    </w:p>
    <w:p>
      <w:pPr>
        <w:pStyle w:val="TOC8"/>
        <w:rPr>
          <w:rFonts w:asciiTheme="minorHAnsi" w:eastAsiaTheme="minorEastAsia" w:hAnsiTheme="minorHAnsi" w:cstheme="minorBidi"/>
          <w:szCs w:val="22"/>
        </w:rPr>
      </w:pPr>
      <w:r>
        <w:t>94B.</w:t>
      </w:r>
      <w:r>
        <w:tab/>
        <w:t>Reportable offenders may be required to submit to tests or give samples for analysis</w:t>
      </w:r>
      <w:r>
        <w:tab/>
      </w:r>
      <w:r>
        <w:fldChar w:fldCharType="begin"/>
      </w:r>
      <w:r>
        <w:instrText xml:space="preserve"> PAGEREF _Toc216773056 \h </w:instrText>
      </w:r>
      <w:r>
        <w:fldChar w:fldCharType="separate"/>
      </w:r>
      <w:r>
        <w:t>115</w:t>
      </w:r>
      <w:r>
        <w:fldChar w:fldCharType="end"/>
      </w:r>
    </w:p>
    <w:p>
      <w:pPr>
        <w:pStyle w:val="TOC8"/>
        <w:rPr>
          <w:rFonts w:asciiTheme="minorHAnsi" w:eastAsiaTheme="minorEastAsia" w:hAnsiTheme="minorHAnsi" w:cstheme="minorBidi"/>
          <w:szCs w:val="22"/>
        </w:rPr>
      </w:pPr>
      <w:r>
        <w:t>94C.</w:t>
      </w:r>
      <w:r>
        <w:tab/>
        <w:t>Authorised police officers may enter premises to inspect electronic devices</w:t>
      </w:r>
      <w:r>
        <w:tab/>
      </w:r>
      <w:r>
        <w:fldChar w:fldCharType="begin"/>
      </w:r>
      <w:r>
        <w:instrText xml:space="preserve"> PAGEREF _Toc216773057 \h </w:instrText>
      </w:r>
      <w:r>
        <w:fldChar w:fldCharType="separate"/>
      </w:r>
      <w:r>
        <w:t>118</w:t>
      </w:r>
      <w:r>
        <w:fldChar w:fldCharType="end"/>
      </w:r>
    </w:p>
    <w:p>
      <w:pPr>
        <w:pStyle w:val="TOC8"/>
        <w:rPr>
          <w:rFonts w:asciiTheme="minorHAnsi" w:eastAsiaTheme="minorEastAsia" w:hAnsiTheme="minorHAnsi" w:cstheme="minorBidi"/>
          <w:szCs w:val="22"/>
        </w:rPr>
      </w:pPr>
      <w:r>
        <w:t>94.</w:t>
      </w:r>
      <w:r>
        <w:tab/>
        <w:t>Explanation of orders</w:t>
      </w:r>
      <w:r>
        <w:tab/>
      </w:r>
      <w:r>
        <w:fldChar w:fldCharType="begin"/>
      </w:r>
      <w:r>
        <w:instrText xml:space="preserve"> PAGEREF _Toc216773058 \h </w:instrText>
      </w:r>
      <w:r>
        <w:fldChar w:fldCharType="separate"/>
      </w:r>
      <w:r>
        <w:t>119</w:t>
      </w:r>
      <w:r>
        <w:fldChar w:fldCharType="end"/>
      </w:r>
    </w:p>
    <w:p>
      <w:pPr>
        <w:pStyle w:val="TOC8"/>
        <w:rPr>
          <w:rFonts w:asciiTheme="minorHAnsi" w:eastAsiaTheme="minorEastAsia" w:hAnsiTheme="minorHAnsi" w:cstheme="minorBidi"/>
          <w:szCs w:val="22"/>
        </w:rPr>
      </w:pPr>
      <w:r>
        <w:t>95.</w:t>
      </w:r>
      <w:r>
        <w:tab/>
        <w:t>Consent orders</w:t>
      </w:r>
      <w:r>
        <w:tab/>
      </w:r>
      <w:r>
        <w:fldChar w:fldCharType="begin"/>
      </w:r>
      <w:r>
        <w:instrText xml:space="preserve"> PAGEREF _Toc216773059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Variation or revocation</w:t>
      </w:r>
    </w:p>
    <w:p>
      <w:pPr>
        <w:pStyle w:val="TOC8"/>
        <w:rPr>
          <w:rFonts w:asciiTheme="minorHAnsi" w:eastAsiaTheme="minorEastAsia" w:hAnsiTheme="minorHAnsi" w:cstheme="minorBidi"/>
          <w:szCs w:val="22"/>
        </w:rPr>
      </w:pPr>
      <w:r>
        <w:t>96.</w:t>
      </w:r>
      <w:r>
        <w:tab/>
        <w:t>Variation or revocation of child protection orders</w:t>
      </w:r>
      <w:r>
        <w:tab/>
      </w:r>
      <w:r>
        <w:fldChar w:fldCharType="begin"/>
      </w:r>
      <w:r>
        <w:instrText xml:space="preserve"> PAGEREF _Toc216773061 \h </w:instrText>
      </w:r>
      <w:r>
        <w:fldChar w:fldCharType="separate"/>
      </w:r>
      <w:r>
        <w:t>120</w:t>
      </w:r>
      <w:r>
        <w:fldChar w:fldCharType="end"/>
      </w:r>
    </w:p>
    <w:p>
      <w:pPr>
        <w:pStyle w:val="TOC8"/>
        <w:rPr>
          <w:rFonts w:asciiTheme="minorHAnsi" w:eastAsiaTheme="minorEastAsia" w:hAnsiTheme="minorHAnsi" w:cstheme="minorBidi"/>
          <w:szCs w:val="22"/>
        </w:rPr>
      </w:pPr>
      <w:r>
        <w:t>97.</w:t>
      </w:r>
      <w:r>
        <w:tab/>
        <w:t>Fixing a hearing</w:t>
      </w:r>
      <w:r>
        <w:tab/>
      </w:r>
      <w:r>
        <w:fldChar w:fldCharType="begin"/>
      </w:r>
      <w:r>
        <w:instrText xml:space="preserve"> PAGEREF _Toc216773062 \h </w:instrText>
      </w:r>
      <w:r>
        <w:fldChar w:fldCharType="separate"/>
      </w:r>
      <w:r>
        <w:t>121</w:t>
      </w:r>
      <w:r>
        <w:fldChar w:fldCharType="end"/>
      </w:r>
    </w:p>
    <w:p>
      <w:pPr>
        <w:pStyle w:val="TOC8"/>
        <w:rPr>
          <w:rFonts w:asciiTheme="minorHAnsi" w:eastAsiaTheme="minorEastAsia" w:hAnsiTheme="minorHAnsi" w:cstheme="minorBidi"/>
          <w:szCs w:val="22"/>
        </w:rPr>
      </w:pPr>
      <w:r>
        <w:t>98.</w:t>
      </w:r>
      <w:r>
        <w:tab/>
        <w:t>How application to be disposed of</w:t>
      </w:r>
      <w:r>
        <w:tab/>
      </w:r>
      <w:r>
        <w:fldChar w:fldCharType="begin"/>
      </w:r>
      <w:r>
        <w:instrText xml:space="preserve"> PAGEREF _Toc216773063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 — Attendance at hearings</w:t>
      </w:r>
    </w:p>
    <w:p>
      <w:pPr>
        <w:pStyle w:val="TOC8"/>
        <w:rPr>
          <w:rFonts w:asciiTheme="minorHAnsi" w:eastAsiaTheme="minorEastAsia" w:hAnsiTheme="minorHAnsi" w:cstheme="minorBidi"/>
          <w:szCs w:val="22"/>
        </w:rPr>
      </w:pPr>
      <w:r>
        <w:t>99.</w:t>
      </w:r>
      <w:r>
        <w:tab/>
        <w:t>Attendance at hearings</w:t>
      </w:r>
      <w:r>
        <w:tab/>
      </w:r>
      <w:r>
        <w:fldChar w:fldCharType="begin"/>
      </w:r>
      <w:r>
        <w:instrText xml:space="preserve"> PAGEREF _Toc216773065 \h </w:instrText>
      </w:r>
      <w:r>
        <w:fldChar w:fldCharType="separate"/>
      </w:r>
      <w:r>
        <w:t>122</w:t>
      </w:r>
      <w:r>
        <w:fldChar w:fldCharType="end"/>
      </w:r>
    </w:p>
    <w:p>
      <w:pPr>
        <w:pStyle w:val="TOC8"/>
        <w:rPr>
          <w:rFonts w:asciiTheme="minorHAnsi" w:eastAsiaTheme="minorEastAsia" w:hAnsiTheme="minorHAnsi" w:cstheme="minorBidi"/>
          <w:szCs w:val="22"/>
        </w:rPr>
      </w:pPr>
      <w:r>
        <w:t>100.</w:t>
      </w:r>
      <w:r>
        <w:tab/>
        <w:t>Notification of orders made in absence of respondent</w:t>
      </w:r>
      <w:r>
        <w:tab/>
      </w:r>
      <w:r>
        <w:fldChar w:fldCharType="begin"/>
      </w:r>
      <w:r>
        <w:instrText xml:space="preserve"> PAGEREF _Toc216773066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5 — Offence</w:t>
      </w:r>
    </w:p>
    <w:p>
      <w:pPr>
        <w:pStyle w:val="TOC8"/>
        <w:rPr>
          <w:rFonts w:asciiTheme="minorHAnsi" w:eastAsiaTheme="minorEastAsia" w:hAnsiTheme="minorHAnsi" w:cstheme="minorBidi"/>
          <w:szCs w:val="22"/>
        </w:rPr>
      </w:pPr>
      <w:r>
        <w:t>101.</w:t>
      </w:r>
      <w:r>
        <w:tab/>
        <w:t>Failure to comply with orders</w:t>
      </w:r>
      <w:r>
        <w:tab/>
      </w:r>
      <w:r>
        <w:fldChar w:fldCharType="begin"/>
      </w:r>
      <w:r>
        <w:instrText xml:space="preserve"> PAGEREF _Toc216773068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6 — Appeals</w:t>
      </w:r>
    </w:p>
    <w:p>
      <w:pPr>
        <w:pStyle w:val="TOC8"/>
        <w:rPr>
          <w:rFonts w:asciiTheme="minorHAnsi" w:eastAsiaTheme="minorEastAsia" w:hAnsiTheme="minorHAnsi" w:cstheme="minorBidi"/>
          <w:szCs w:val="22"/>
        </w:rPr>
      </w:pPr>
      <w:r>
        <w:t>102.</w:t>
      </w:r>
      <w:r>
        <w:tab/>
        <w:t>Appeals</w:t>
      </w:r>
      <w:r>
        <w:tab/>
      </w:r>
      <w:r>
        <w:fldChar w:fldCharType="begin"/>
      </w:r>
      <w:r>
        <w:instrText xml:space="preserve"> PAGEREF _Toc216773070 \h </w:instrText>
      </w:r>
      <w:r>
        <w:fldChar w:fldCharType="separate"/>
      </w:r>
      <w:r>
        <w:t>123</w:t>
      </w:r>
      <w:r>
        <w:fldChar w:fldCharType="end"/>
      </w:r>
    </w:p>
    <w:p>
      <w:pPr>
        <w:pStyle w:val="TOC8"/>
        <w:rPr>
          <w:rFonts w:asciiTheme="minorHAnsi" w:eastAsiaTheme="minorEastAsia" w:hAnsiTheme="minorHAnsi" w:cstheme="minorBidi"/>
          <w:szCs w:val="22"/>
        </w:rPr>
      </w:pPr>
      <w:r>
        <w:t>103.</w:t>
      </w:r>
      <w:r>
        <w:tab/>
        <w:t>Appeal does not stay order</w:t>
      </w:r>
      <w:r>
        <w:tab/>
      </w:r>
      <w:r>
        <w:fldChar w:fldCharType="begin"/>
      </w:r>
      <w:r>
        <w:instrText xml:space="preserve"> PAGEREF _Toc216773071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104.</w:t>
      </w:r>
      <w:r>
        <w:tab/>
        <w:t>Applications not to be heard in public</w:t>
      </w:r>
      <w:r>
        <w:tab/>
      </w:r>
      <w:r>
        <w:fldChar w:fldCharType="begin"/>
      </w:r>
      <w:r>
        <w:instrText xml:space="preserve"> PAGEREF _Toc216773073 \h </w:instrText>
      </w:r>
      <w:r>
        <w:fldChar w:fldCharType="separate"/>
      </w:r>
      <w:r>
        <w:t>124</w:t>
      </w:r>
      <w:r>
        <w:fldChar w:fldCharType="end"/>
      </w:r>
    </w:p>
    <w:p>
      <w:pPr>
        <w:pStyle w:val="TOC8"/>
        <w:rPr>
          <w:rFonts w:asciiTheme="minorHAnsi" w:eastAsiaTheme="minorEastAsia" w:hAnsiTheme="minorHAnsi" w:cstheme="minorBidi"/>
          <w:szCs w:val="22"/>
        </w:rPr>
      </w:pPr>
      <w:r>
        <w:t>106.</w:t>
      </w:r>
      <w:r>
        <w:tab/>
        <w:t>Restriction on publication of identity of reportable offenders and victims</w:t>
      </w:r>
      <w:r>
        <w:tab/>
      </w:r>
      <w:r>
        <w:fldChar w:fldCharType="begin"/>
      </w:r>
      <w:r>
        <w:instrText xml:space="preserve"> PAGEREF _Toc216773074 \h </w:instrText>
      </w:r>
      <w:r>
        <w:fldChar w:fldCharType="separate"/>
      </w:r>
      <w:r>
        <w:t>125</w:t>
      </w:r>
      <w:r>
        <w:fldChar w:fldCharType="end"/>
      </w:r>
    </w:p>
    <w:p>
      <w:pPr>
        <w:pStyle w:val="TOC8"/>
        <w:rPr>
          <w:rFonts w:asciiTheme="minorHAnsi" w:eastAsiaTheme="minorEastAsia" w:hAnsiTheme="minorHAnsi" w:cstheme="minorBidi"/>
          <w:szCs w:val="22"/>
        </w:rPr>
      </w:pPr>
      <w:r>
        <w:t>107.</w:t>
      </w:r>
      <w:r>
        <w:tab/>
        <w:t>Protection orders have no effect to extent of inconsistency with certain other orders</w:t>
      </w:r>
      <w:r>
        <w:tab/>
      </w:r>
      <w:r>
        <w:fldChar w:fldCharType="begin"/>
      </w:r>
      <w:r>
        <w:instrText xml:space="preserve"> PAGEREF _Toc216773075 \h </w:instrText>
      </w:r>
      <w:r>
        <w:fldChar w:fldCharType="separate"/>
      </w:r>
      <w:r>
        <w:t>126</w:t>
      </w:r>
      <w:r>
        <w:fldChar w:fldCharType="end"/>
      </w:r>
    </w:p>
    <w:p>
      <w:pPr>
        <w:pStyle w:val="TOC8"/>
        <w:rPr>
          <w:rFonts w:asciiTheme="minorHAnsi" w:eastAsiaTheme="minorEastAsia" w:hAnsiTheme="minorHAnsi" w:cstheme="minorBidi"/>
          <w:szCs w:val="22"/>
        </w:rPr>
      </w:pPr>
      <w:r>
        <w:t>108.</w:t>
      </w:r>
      <w:r>
        <w:tab/>
        <w:t>Recognition of protection orders made in other jurisdictions</w:t>
      </w:r>
      <w:r>
        <w:tab/>
      </w:r>
      <w:r>
        <w:fldChar w:fldCharType="begin"/>
      </w:r>
      <w:r>
        <w:instrText xml:space="preserve"> PAGEREF _Toc216773076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5B — Power to enter and search premises and vehicles in relation to serious reportable offenders</w:t>
      </w:r>
    </w:p>
    <w:p>
      <w:pPr>
        <w:pStyle w:val="TOC8"/>
        <w:rPr>
          <w:rFonts w:asciiTheme="minorHAnsi" w:eastAsiaTheme="minorEastAsia" w:hAnsiTheme="minorHAnsi" w:cstheme="minorBidi"/>
          <w:szCs w:val="22"/>
        </w:rPr>
      </w:pPr>
      <w:r>
        <w:t>108A.</w:t>
      </w:r>
      <w:r>
        <w:tab/>
        <w:t>Serious reportable offenders</w:t>
      </w:r>
      <w:r>
        <w:tab/>
      </w:r>
      <w:r>
        <w:fldChar w:fldCharType="begin"/>
      </w:r>
      <w:r>
        <w:instrText xml:space="preserve"> PAGEREF _Toc216773078 \h </w:instrText>
      </w:r>
      <w:r>
        <w:fldChar w:fldCharType="separate"/>
      </w:r>
      <w:r>
        <w:t>128</w:t>
      </w:r>
      <w:r>
        <w:fldChar w:fldCharType="end"/>
      </w:r>
    </w:p>
    <w:p>
      <w:pPr>
        <w:pStyle w:val="TOC8"/>
        <w:rPr>
          <w:rFonts w:asciiTheme="minorHAnsi" w:eastAsiaTheme="minorEastAsia" w:hAnsiTheme="minorHAnsi" w:cstheme="minorBidi"/>
          <w:szCs w:val="22"/>
        </w:rPr>
      </w:pPr>
      <w:r>
        <w:t>108B.</w:t>
      </w:r>
      <w:r>
        <w:tab/>
        <w:t>Restriction on exercise of powers under Part</w:t>
      </w:r>
      <w:r>
        <w:tab/>
      </w:r>
      <w:r>
        <w:fldChar w:fldCharType="begin"/>
      </w:r>
      <w:r>
        <w:instrText xml:space="preserve"> PAGEREF _Toc216773079 \h </w:instrText>
      </w:r>
      <w:r>
        <w:fldChar w:fldCharType="separate"/>
      </w:r>
      <w:r>
        <w:t>129</w:t>
      </w:r>
      <w:r>
        <w:fldChar w:fldCharType="end"/>
      </w:r>
    </w:p>
    <w:p>
      <w:pPr>
        <w:pStyle w:val="TOC8"/>
        <w:rPr>
          <w:rFonts w:asciiTheme="minorHAnsi" w:eastAsiaTheme="minorEastAsia" w:hAnsiTheme="minorHAnsi" w:cstheme="minorBidi"/>
          <w:szCs w:val="22"/>
        </w:rPr>
      </w:pPr>
      <w:r>
        <w:t>108C.</w:t>
      </w:r>
      <w:r>
        <w:tab/>
        <w:t>Additional police powers in relation to serious reportable offenders may be exercised without warrant</w:t>
      </w:r>
      <w:r>
        <w:tab/>
      </w:r>
      <w:r>
        <w:fldChar w:fldCharType="begin"/>
      </w:r>
      <w:r>
        <w:instrText xml:space="preserve"> PAGEREF _Toc216773080 \h </w:instrText>
      </w:r>
      <w:r>
        <w:fldChar w:fldCharType="separate"/>
      </w:r>
      <w:r>
        <w:t>129</w:t>
      </w:r>
      <w:r>
        <w:fldChar w:fldCharType="end"/>
      </w:r>
    </w:p>
    <w:p>
      <w:pPr>
        <w:pStyle w:val="TOC8"/>
        <w:rPr>
          <w:rFonts w:asciiTheme="minorHAnsi" w:eastAsiaTheme="minorEastAsia" w:hAnsiTheme="minorHAnsi" w:cstheme="minorBidi"/>
          <w:szCs w:val="22"/>
        </w:rPr>
      </w:pPr>
      <w:r>
        <w:t>108D.</w:t>
      </w:r>
      <w:r>
        <w:tab/>
        <w:t>Use of force when exercising powers under this Part</w:t>
      </w:r>
      <w:r>
        <w:tab/>
      </w:r>
      <w:r>
        <w:fldChar w:fldCharType="begin"/>
      </w:r>
      <w:r>
        <w:instrText xml:space="preserve"> PAGEREF _Toc216773081 \h </w:instrText>
      </w:r>
      <w:r>
        <w:fldChar w:fldCharType="separate"/>
      </w:r>
      <w:r>
        <w:t>129</w:t>
      </w:r>
      <w:r>
        <w:fldChar w:fldCharType="end"/>
      </w:r>
    </w:p>
    <w:p>
      <w:pPr>
        <w:pStyle w:val="TOC8"/>
        <w:rPr>
          <w:rFonts w:asciiTheme="minorHAnsi" w:eastAsiaTheme="minorEastAsia" w:hAnsiTheme="minorHAnsi" w:cstheme="minorBidi"/>
          <w:szCs w:val="22"/>
        </w:rPr>
      </w:pPr>
      <w:r>
        <w:t>108E.</w:t>
      </w:r>
      <w:r>
        <w:tab/>
        <w:t>Entry to and search of premises and vehicles in relation to serious reportable offenders</w:t>
      </w:r>
      <w:r>
        <w:tab/>
      </w:r>
      <w:r>
        <w:fldChar w:fldCharType="begin"/>
      </w:r>
      <w:r>
        <w:instrText xml:space="preserve"> PAGEREF _Toc216773082 \h </w:instrText>
      </w:r>
      <w:r>
        <w:fldChar w:fldCharType="separate"/>
      </w:r>
      <w:r>
        <w:t>130</w:t>
      </w:r>
      <w:r>
        <w:fldChar w:fldCharType="end"/>
      </w:r>
    </w:p>
    <w:p>
      <w:pPr>
        <w:pStyle w:val="TOC8"/>
        <w:rPr>
          <w:rFonts w:asciiTheme="minorHAnsi" w:eastAsiaTheme="minorEastAsia" w:hAnsiTheme="minorHAnsi" w:cstheme="minorBidi"/>
          <w:szCs w:val="22"/>
        </w:rPr>
      </w:pPr>
      <w:r>
        <w:t>108F.</w:t>
      </w:r>
      <w:r>
        <w:tab/>
        <w:t>Power to seize things relevant to offences</w:t>
      </w:r>
      <w:r>
        <w:tab/>
      </w:r>
      <w:r>
        <w:fldChar w:fldCharType="begin"/>
      </w:r>
      <w:r>
        <w:instrText xml:space="preserve"> PAGEREF _Toc216773083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109.</w:t>
      </w:r>
      <w:r>
        <w:tab/>
        <w:t>Protection from liability</w:t>
      </w:r>
      <w:r>
        <w:tab/>
      </w:r>
      <w:r>
        <w:fldChar w:fldCharType="begin"/>
      </w:r>
      <w:r>
        <w:instrText xml:space="preserve"> PAGEREF _Toc216773085 \h </w:instrText>
      </w:r>
      <w:r>
        <w:fldChar w:fldCharType="separate"/>
      </w:r>
      <w:r>
        <w:t>133</w:t>
      </w:r>
      <w:r>
        <w:fldChar w:fldCharType="end"/>
      </w:r>
    </w:p>
    <w:p>
      <w:pPr>
        <w:pStyle w:val="TOC8"/>
        <w:rPr>
          <w:rFonts w:asciiTheme="minorHAnsi" w:eastAsiaTheme="minorEastAsia" w:hAnsiTheme="minorHAnsi" w:cstheme="minorBidi"/>
          <w:szCs w:val="22"/>
        </w:rPr>
      </w:pPr>
      <w:r>
        <w:lastRenderedPageBreak/>
        <w:t>109A.</w:t>
      </w:r>
      <w:r>
        <w:tab/>
        <w:t>Assistance when exercising powers</w:t>
      </w:r>
      <w:r>
        <w:tab/>
      </w:r>
      <w:r>
        <w:fldChar w:fldCharType="begin"/>
      </w:r>
      <w:r>
        <w:instrText xml:space="preserve"> PAGEREF _Toc216773086 \h </w:instrText>
      </w:r>
      <w:r>
        <w:fldChar w:fldCharType="separate"/>
      </w:r>
      <w:r>
        <w:t>133</w:t>
      </w:r>
      <w:r>
        <w:fldChar w:fldCharType="end"/>
      </w:r>
    </w:p>
    <w:p>
      <w:pPr>
        <w:pStyle w:val="TOC8"/>
        <w:rPr>
          <w:rFonts w:asciiTheme="minorHAnsi" w:eastAsiaTheme="minorEastAsia" w:hAnsiTheme="minorHAnsi" w:cstheme="minorBidi"/>
          <w:szCs w:val="22"/>
        </w:rPr>
      </w:pPr>
      <w:r>
        <w:t>110A.</w:t>
      </w:r>
      <w:r>
        <w:tab/>
        <w:t>Public authorities to provide Commissioner with certain information</w:t>
      </w:r>
      <w:r>
        <w:tab/>
      </w:r>
      <w:r>
        <w:fldChar w:fldCharType="begin"/>
      </w:r>
      <w:r>
        <w:instrText xml:space="preserve"> PAGEREF _Toc216773087 \h </w:instrText>
      </w:r>
      <w:r>
        <w:fldChar w:fldCharType="separate"/>
      </w:r>
      <w:r>
        <w:t>133</w:t>
      </w:r>
      <w:r>
        <w:fldChar w:fldCharType="end"/>
      </w:r>
    </w:p>
    <w:p>
      <w:pPr>
        <w:pStyle w:val="TOC8"/>
        <w:rPr>
          <w:rFonts w:asciiTheme="minorHAnsi" w:eastAsiaTheme="minorEastAsia" w:hAnsiTheme="minorHAnsi" w:cstheme="minorBidi"/>
          <w:szCs w:val="22"/>
        </w:rPr>
      </w:pPr>
      <w:r>
        <w:t>110.</w:t>
      </w:r>
      <w:r>
        <w:tab/>
        <w:t>Delegation by Commissioner</w:t>
      </w:r>
      <w:r>
        <w:tab/>
      </w:r>
      <w:r>
        <w:fldChar w:fldCharType="begin"/>
      </w:r>
      <w:r>
        <w:instrText xml:space="preserve"> PAGEREF _Toc216773088 \h </w:instrText>
      </w:r>
      <w:r>
        <w:fldChar w:fldCharType="separate"/>
      </w:r>
      <w:r>
        <w:t>134</w:t>
      </w:r>
      <w:r>
        <w:fldChar w:fldCharType="end"/>
      </w:r>
    </w:p>
    <w:p>
      <w:pPr>
        <w:pStyle w:val="TOC8"/>
        <w:rPr>
          <w:rFonts w:asciiTheme="minorHAnsi" w:eastAsiaTheme="minorEastAsia" w:hAnsiTheme="minorHAnsi" w:cstheme="minorBidi"/>
          <w:szCs w:val="22"/>
        </w:rPr>
      </w:pPr>
      <w:r>
        <w:t>111.</w:t>
      </w:r>
      <w:r>
        <w:tab/>
        <w:t>Effect of spent convictions</w:t>
      </w:r>
      <w:r>
        <w:tab/>
      </w:r>
      <w:r>
        <w:fldChar w:fldCharType="begin"/>
      </w:r>
      <w:r>
        <w:instrText xml:space="preserve"> PAGEREF _Toc216773089 \h </w:instrText>
      </w:r>
      <w:r>
        <w:fldChar w:fldCharType="separate"/>
      </w:r>
      <w:r>
        <w:t>135</w:t>
      </w:r>
      <w:r>
        <w:fldChar w:fldCharType="end"/>
      </w:r>
    </w:p>
    <w:p>
      <w:pPr>
        <w:pStyle w:val="TOC8"/>
        <w:rPr>
          <w:rFonts w:asciiTheme="minorHAnsi" w:eastAsiaTheme="minorEastAsia" w:hAnsiTheme="minorHAnsi" w:cstheme="minorBidi"/>
          <w:szCs w:val="22"/>
        </w:rPr>
      </w:pPr>
      <w:r>
        <w:t>112.</w:t>
      </w:r>
      <w:r>
        <w:tab/>
        <w:t>Civil standard of proof</w:t>
      </w:r>
      <w:r>
        <w:tab/>
      </w:r>
      <w:r>
        <w:fldChar w:fldCharType="begin"/>
      </w:r>
      <w:r>
        <w:instrText xml:space="preserve"> PAGEREF _Toc216773090 \h </w:instrText>
      </w:r>
      <w:r>
        <w:fldChar w:fldCharType="separate"/>
      </w:r>
      <w:r>
        <w:t>136</w:t>
      </w:r>
      <w:r>
        <w:fldChar w:fldCharType="end"/>
      </w:r>
    </w:p>
    <w:p>
      <w:pPr>
        <w:pStyle w:val="TOC8"/>
        <w:rPr>
          <w:rFonts w:asciiTheme="minorHAnsi" w:eastAsiaTheme="minorEastAsia" w:hAnsiTheme="minorHAnsi" w:cstheme="minorBidi"/>
          <w:szCs w:val="22"/>
        </w:rPr>
      </w:pPr>
      <w:r>
        <w:t>113.</w:t>
      </w:r>
      <w:r>
        <w:tab/>
        <w:t>Certificate concerning evidence</w:t>
      </w:r>
      <w:r>
        <w:tab/>
      </w:r>
      <w:r>
        <w:fldChar w:fldCharType="begin"/>
      </w:r>
      <w:r>
        <w:instrText xml:space="preserve"> PAGEREF _Toc216773091 \h </w:instrText>
      </w:r>
      <w:r>
        <w:fldChar w:fldCharType="separate"/>
      </w:r>
      <w:r>
        <w:t>136</w:t>
      </w:r>
      <w:r>
        <w:fldChar w:fldCharType="end"/>
      </w:r>
    </w:p>
    <w:p>
      <w:pPr>
        <w:pStyle w:val="TOC8"/>
        <w:rPr>
          <w:rFonts w:asciiTheme="minorHAnsi" w:eastAsiaTheme="minorEastAsia" w:hAnsiTheme="minorHAnsi" w:cstheme="minorBidi"/>
          <w:szCs w:val="22"/>
        </w:rPr>
      </w:pPr>
      <w:r>
        <w:t>114.</w:t>
      </w:r>
      <w:r>
        <w:tab/>
        <w:t>Regulations</w:t>
      </w:r>
      <w:r>
        <w:tab/>
      </w:r>
      <w:r>
        <w:fldChar w:fldCharType="begin"/>
      </w:r>
      <w:r>
        <w:instrText xml:space="preserve"> PAGEREF _Toc216773092 \h </w:instrText>
      </w:r>
      <w:r>
        <w:fldChar w:fldCharType="separate"/>
      </w:r>
      <w:r>
        <w:t>137</w:t>
      </w:r>
      <w:r>
        <w:fldChar w:fldCharType="end"/>
      </w:r>
    </w:p>
    <w:p>
      <w:pPr>
        <w:pStyle w:val="TOC8"/>
        <w:rPr>
          <w:rFonts w:asciiTheme="minorHAnsi" w:eastAsiaTheme="minorEastAsia" w:hAnsiTheme="minorHAnsi" w:cstheme="minorBidi"/>
          <w:szCs w:val="22"/>
        </w:rPr>
      </w:pPr>
      <w:r>
        <w:t>115.</w:t>
      </w:r>
      <w:r>
        <w:tab/>
        <w:t>Minister to review and report on Act</w:t>
      </w:r>
      <w:r>
        <w:tab/>
      </w:r>
      <w:r>
        <w:fldChar w:fldCharType="begin"/>
      </w:r>
      <w:r>
        <w:instrText xml:space="preserve"> PAGEREF _Toc216773093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matters and consequential amendment</w:t>
      </w:r>
    </w:p>
    <w:p>
      <w:pPr>
        <w:pStyle w:val="TOC4"/>
        <w:tabs>
          <w:tab w:val="right" w:leader="dot" w:pos="7077"/>
        </w:tabs>
        <w:rPr>
          <w:rFonts w:asciiTheme="minorHAnsi" w:eastAsiaTheme="minorEastAsia" w:hAnsiTheme="minorHAnsi" w:cstheme="minorBidi"/>
          <w:b w:val="0"/>
          <w:szCs w:val="22"/>
        </w:rPr>
      </w:pPr>
      <w:r>
        <w:t xml:space="preserve">Division 1 — Transitional matters relating to </w:t>
      </w:r>
      <w:r>
        <w:rPr>
          <w:i/>
          <w:iCs/>
        </w:rPr>
        <w:t>Community Protection (Offender Reporting) Amendment Act 2008</w:t>
      </w:r>
    </w:p>
    <w:p>
      <w:pPr>
        <w:pStyle w:val="TOC8"/>
        <w:rPr>
          <w:rFonts w:asciiTheme="minorHAnsi" w:eastAsiaTheme="minorEastAsia" w:hAnsiTheme="minorHAnsi" w:cstheme="minorBidi"/>
          <w:szCs w:val="22"/>
        </w:rPr>
      </w:pPr>
      <w:r>
        <w:t>115A.</w:t>
      </w:r>
      <w:r>
        <w:tab/>
        <w:t>Transitional arrangements for certain offenders</w:t>
      </w:r>
      <w:r>
        <w:tab/>
      </w:r>
      <w:r>
        <w:fldChar w:fldCharType="begin"/>
      </w:r>
      <w:r>
        <w:instrText xml:space="preserve"> PAGEREF _Toc216773096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matters relating to </w:t>
      </w:r>
      <w:r>
        <w:rPr>
          <w:i/>
          <w:iCs/>
        </w:rPr>
        <w:t>Community Protection (Offender Reporting) Amendment Act (No. 2) 2012</w:t>
      </w:r>
      <w:r>
        <w:t xml:space="preserve"> and consequential amendment</w:t>
      </w:r>
    </w:p>
    <w:p>
      <w:pPr>
        <w:pStyle w:val="TOC8"/>
        <w:rPr>
          <w:rFonts w:asciiTheme="minorHAnsi" w:eastAsiaTheme="minorEastAsia" w:hAnsiTheme="minorHAnsi" w:cstheme="minorBidi"/>
          <w:szCs w:val="22"/>
        </w:rPr>
      </w:pPr>
      <w:r>
        <w:t>115B.</w:t>
      </w:r>
      <w:r>
        <w:tab/>
        <w:t>Further transitional arrangements for certain offenders sentenced for Class 2 offences</w:t>
      </w:r>
      <w:r>
        <w:tab/>
      </w:r>
      <w:r>
        <w:fldChar w:fldCharType="begin"/>
      </w:r>
      <w:r>
        <w:instrText xml:space="preserve"> PAGEREF _Toc216773098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matters relating to </w:t>
      </w:r>
      <w:r>
        <w:rPr>
          <w:i/>
          <w:iCs/>
        </w:rPr>
        <w:t>Community Protection (Offender Reporting) Amendment Act 2024</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117.</w:t>
      </w:r>
      <w:r>
        <w:tab/>
      </w:r>
      <w:r>
        <w:rPr>
          <w:i/>
        </w:rPr>
        <w:t>Interpretation Act 1984</w:t>
      </w:r>
      <w:r>
        <w:t xml:space="preserve"> not affected</w:t>
      </w:r>
      <w:r>
        <w:tab/>
      </w:r>
      <w:r>
        <w:fldChar w:fldCharType="begin"/>
      </w:r>
      <w:r>
        <w:instrText xml:space="preserve"> PAGEREF _Toc216773101 \h </w:instrText>
      </w:r>
      <w:r>
        <w:fldChar w:fldCharType="separate"/>
      </w:r>
      <w:r>
        <w:t>143</w:t>
      </w:r>
      <w:r>
        <w:fldChar w:fldCharType="end"/>
      </w:r>
    </w:p>
    <w:p>
      <w:pPr>
        <w:pStyle w:val="TOC8"/>
        <w:rPr>
          <w:rFonts w:asciiTheme="minorHAnsi" w:eastAsiaTheme="minorEastAsia" w:hAnsiTheme="minorHAnsi" w:cstheme="minorBidi"/>
          <w:szCs w:val="22"/>
        </w:rPr>
      </w:pPr>
      <w:r>
        <w:t>118.</w:t>
      </w:r>
      <w:r>
        <w:tab/>
        <w:t>Transitional regulations</w:t>
      </w:r>
      <w:r>
        <w:tab/>
      </w:r>
      <w:r>
        <w:fldChar w:fldCharType="begin"/>
      </w:r>
      <w:r>
        <w:instrText xml:space="preserve"> PAGEREF _Toc216773102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transitional provisions</w:t>
      </w:r>
    </w:p>
    <w:p>
      <w:pPr>
        <w:pStyle w:val="TOC8"/>
        <w:rPr>
          <w:rFonts w:asciiTheme="minorHAnsi" w:eastAsiaTheme="minorEastAsia" w:hAnsiTheme="minorHAnsi" w:cstheme="minorBidi"/>
          <w:szCs w:val="22"/>
        </w:rPr>
      </w:pPr>
      <w:r>
        <w:t>119.</w:t>
      </w:r>
      <w:r>
        <w:tab/>
        <w:t>Term used: commencement day</w:t>
      </w:r>
      <w:r>
        <w:tab/>
      </w:r>
      <w:r>
        <w:fldChar w:fldCharType="begin"/>
      </w:r>
      <w:r>
        <w:instrText xml:space="preserve"> PAGEREF _Toc216773104 \h </w:instrText>
      </w:r>
      <w:r>
        <w:fldChar w:fldCharType="separate"/>
      </w:r>
      <w:r>
        <w:t>145</w:t>
      </w:r>
      <w:r>
        <w:fldChar w:fldCharType="end"/>
      </w:r>
    </w:p>
    <w:p>
      <w:pPr>
        <w:pStyle w:val="TOC8"/>
        <w:rPr>
          <w:rFonts w:asciiTheme="minorHAnsi" w:eastAsiaTheme="minorEastAsia" w:hAnsiTheme="minorHAnsi" w:cstheme="minorBidi"/>
          <w:szCs w:val="22"/>
        </w:rPr>
      </w:pPr>
      <w:r>
        <w:t>120.</w:t>
      </w:r>
      <w:r>
        <w:tab/>
        <w:t>Notifying reporting obligations and reporting periods before commencement day</w:t>
      </w:r>
      <w:r>
        <w:tab/>
      </w:r>
      <w:r>
        <w:fldChar w:fldCharType="begin"/>
      </w:r>
      <w:r>
        <w:instrText xml:space="preserve"> PAGEREF _Toc216773105 \h </w:instrText>
      </w:r>
      <w:r>
        <w:fldChar w:fldCharType="separate"/>
      </w:r>
      <w:r>
        <w:t>145</w:t>
      </w:r>
      <w:r>
        <w:fldChar w:fldCharType="end"/>
      </w:r>
    </w:p>
    <w:p>
      <w:pPr>
        <w:pStyle w:val="TOC8"/>
        <w:rPr>
          <w:rFonts w:asciiTheme="minorHAnsi" w:eastAsiaTheme="minorEastAsia" w:hAnsiTheme="minorHAnsi" w:cstheme="minorBidi"/>
          <w:szCs w:val="22"/>
        </w:rPr>
      </w:pPr>
      <w:r>
        <w:t>121.</w:t>
      </w:r>
      <w:r>
        <w:tab/>
        <w:t>Reporting period and reporting obligations in relation to person who was reportable offender or committed offence before commencement day</w:t>
      </w:r>
      <w:r>
        <w:tab/>
      </w:r>
      <w:r>
        <w:fldChar w:fldCharType="begin"/>
      </w:r>
      <w:r>
        <w:instrText xml:space="preserve"> PAGEREF _Toc216773106 \h </w:instrText>
      </w:r>
      <w:r>
        <w:fldChar w:fldCharType="separate"/>
      </w:r>
      <w:r>
        <w:t>146</w:t>
      </w:r>
      <w:r>
        <w:fldChar w:fldCharType="end"/>
      </w:r>
    </w:p>
    <w:p>
      <w:pPr>
        <w:pStyle w:val="TOC8"/>
        <w:rPr>
          <w:rFonts w:asciiTheme="minorHAnsi" w:eastAsiaTheme="minorEastAsia" w:hAnsiTheme="minorHAnsi" w:cstheme="minorBidi"/>
          <w:szCs w:val="22"/>
        </w:rPr>
      </w:pPr>
      <w:r>
        <w:t>122.</w:t>
      </w:r>
      <w:r>
        <w:tab/>
        <w:t>Reporting period in relation to reportable offender in immigration detention before commencement day</w:t>
      </w:r>
      <w:r>
        <w:tab/>
      </w:r>
      <w:r>
        <w:fldChar w:fldCharType="begin"/>
      </w:r>
      <w:r>
        <w:instrText xml:space="preserve"> PAGEREF _Toc216773107 \h </w:instrText>
      </w:r>
      <w:r>
        <w:fldChar w:fldCharType="separate"/>
      </w:r>
      <w:r>
        <w:t>147</w:t>
      </w:r>
      <w:r>
        <w:fldChar w:fldCharType="end"/>
      </w:r>
    </w:p>
    <w:p>
      <w:pPr>
        <w:pStyle w:val="TOC8"/>
        <w:rPr>
          <w:rFonts w:asciiTheme="minorHAnsi" w:eastAsiaTheme="minorEastAsia" w:hAnsiTheme="minorHAnsi" w:cstheme="minorBidi"/>
          <w:szCs w:val="22"/>
        </w:rPr>
      </w:pPr>
      <w:r>
        <w:lastRenderedPageBreak/>
        <w:t>123.</w:t>
      </w:r>
      <w:r>
        <w:tab/>
        <w:t>References to personal details of reportable offenders before commencement day</w:t>
      </w:r>
      <w:r>
        <w:tab/>
      </w:r>
      <w:r>
        <w:fldChar w:fldCharType="begin"/>
      </w:r>
      <w:r>
        <w:instrText xml:space="preserve"> PAGEREF _Toc216773108 \h </w:instrText>
      </w:r>
      <w:r>
        <w:fldChar w:fldCharType="separate"/>
      </w:r>
      <w:r>
        <w:t>148</w:t>
      </w:r>
      <w:r>
        <w:fldChar w:fldCharType="end"/>
      </w:r>
    </w:p>
    <w:p>
      <w:pPr>
        <w:pStyle w:val="TOC8"/>
        <w:rPr>
          <w:rFonts w:asciiTheme="minorHAnsi" w:eastAsiaTheme="minorEastAsia" w:hAnsiTheme="minorHAnsi" w:cstheme="minorBidi"/>
          <w:szCs w:val="22"/>
        </w:rPr>
      </w:pPr>
      <w:r>
        <w:t>124.</w:t>
      </w:r>
      <w:r>
        <w:tab/>
        <w:t>Application to person not sentenced before commencement day</w:t>
      </w:r>
      <w:r>
        <w:tab/>
      </w:r>
      <w:r>
        <w:fldChar w:fldCharType="begin"/>
      </w:r>
      <w:r>
        <w:instrText xml:space="preserve"> PAGEREF _Toc216773109 \h </w:instrText>
      </w:r>
      <w:r>
        <w:fldChar w:fldCharType="separate"/>
      </w:r>
      <w:r>
        <w:t>149</w:t>
      </w:r>
      <w:r>
        <w:fldChar w:fldCharType="end"/>
      </w:r>
    </w:p>
    <w:p>
      <w:pPr>
        <w:pStyle w:val="TOC8"/>
        <w:rPr>
          <w:rFonts w:asciiTheme="minorHAnsi" w:eastAsiaTheme="minorEastAsia" w:hAnsiTheme="minorHAnsi" w:cstheme="minorBidi"/>
          <w:szCs w:val="22"/>
        </w:rPr>
      </w:pPr>
      <w:r>
        <w:t>125.</w:t>
      </w:r>
      <w:r>
        <w:tab/>
        <w:t>Application of powers in relation to person who was reportable offender, or in relation to offence committed, before commencement day</w:t>
      </w:r>
      <w:r>
        <w:tab/>
      </w:r>
      <w:r>
        <w:fldChar w:fldCharType="begin"/>
      </w:r>
      <w:r>
        <w:instrText xml:space="preserve"> PAGEREF _Toc216773110 \h </w:instrText>
      </w:r>
      <w:r>
        <w:fldChar w:fldCharType="separate"/>
      </w:r>
      <w:r>
        <w:t>149</w:t>
      </w:r>
      <w:r>
        <w:fldChar w:fldCharType="end"/>
      </w:r>
    </w:p>
    <w:p>
      <w:pPr>
        <w:pStyle w:val="TOC8"/>
        <w:rPr>
          <w:rFonts w:asciiTheme="minorHAnsi" w:eastAsiaTheme="minorEastAsia" w:hAnsiTheme="minorHAnsi" w:cstheme="minorBidi"/>
          <w:szCs w:val="22"/>
        </w:rPr>
      </w:pPr>
      <w:r>
        <w:t>126.</w:t>
      </w:r>
      <w:r>
        <w:tab/>
        <w:t>Minister may revoke authorisations to publish photograph and locality given before commencement day</w:t>
      </w:r>
      <w:r>
        <w:tab/>
      </w:r>
      <w:r>
        <w:fldChar w:fldCharType="begin"/>
      </w:r>
      <w:r>
        <w:instrText xml:space="preserve"> PAGEREF _Toc216773111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_Toc216773115 \h </w:instrText>
      </w:r>
      <w:r>
        <w:fldChar w:fldCharType="separate"/>
      </w:r>
      <w:r>
        <w:t>155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_Toc216773116 \h </w:instrText>
      </w:r>
      <w:r>
        <w:fldChar w:fldCharType="separate"/>
      </w:r>
      <w:r>
        <w:t>157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_Toc216773117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No. 1 of 2012 s. 4.]</w:t>
      </w:r>
    </w:p>
    <w:p>
      <w:pPr>
        <w:pStyle w:val="Heading2"/>
      </w:pPr>
      <w:bookmarkStart w:id="2" w:name="_Toc216772902"/>
      <w:r>
        <w:rPr>
          <w:rStyle w:val="CharPartNo"/>
        </w:rPr>
        <w:lastRenderedPageBreak/>
        <w:t>Part 1</w:t>
      </w:r>
      <w:r>
        <w:rPr>
          <w:rStyle w:val="CharDivNo"/>
        </w:rPr>
        <w:t> </w:t>
      </w:r>
      <w:r>
        <w:t>—</w:t>
      </w:r>
      <w:r>
        <w:rPr>
          <w:rStyle w:val="CharDivText"/>
        </w:rPr>
        <w:t> </w:t>
      </w:r>
      <w:r>
        <w:rPr>
          <w:rStyle w:val="CharPartText"/>
        </w:rPr>
        <w:t>Preliminary matters</w:t>
      </w:r>
      <w:bookmarkEnd w:id="2"/>
    </w:p>
    <w:p>
      <w:pPr>
        <w:pStyle w:val="Heading5"/>
      </w:pPr>
      <w:bookmarkStart w:id="3" w:name="_Toc216772903"/>
      <w:r>
        <w:rPr>
          <w:rStyle w:val="CharSectno"/>
        </w:rPr>
        <w:t>1</w:t>
      </w:r>
      <w:r>
        <w:t>.</w:t>
      </w:r>
      <w:r>
        <w:tab/>
        <w:t>Short title</w:t>
      </w:r>
      <w:bookmarkEnd w:id="3"/>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4" w:name="_Toc216772904"/>
      <w:r>
        <w:rPr>
          <w:rStyle w:val="CharSectno"/>
        </w:rPr>
        <w:t>2</w:t>
      </w:r>
      <w:r>
        <w:t>.</w:t>
      </w:r>
      <w:r>
        <w:tab/>
        <w:t>Commencement</w:t>
      </w:r>
      <w:bookmarkEnd w:id="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5" w:name="_Toc216772905"/>
      <w:r>
        <w:rPr>
          <w:rStyle w:val="CharSectno"/>
        </w:rPr>
        <w:t>3</w:t>
      </w:r>
      <w:r>
        <w:t>.</w:t>
      </w:r>
      <w:r>
        <w:tab/>
        <w:t>Terms used</w:t>
      </w:r>
      <w:bookmarkEnd w:id="5"/>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lastRenderedPageBreak/>
        <w:tab/>
        <w:t>(b)</w:t>
      </w:r>
      <w:r>
        <w:tab/>
        <w:t xml:space="preserve">a youth community based order or intensive youth supervision order made under the </w:t>
      </w:r>
      <w:r>
        <w:rPr>
          <w:i/>
        </w:rPr>
        <w:t>Young Offenders Act 1994</w:t>
      </w:r>
      <w:r>
        <w:t>; or</w:t>
      </w:r>
    </w:p>
    <w:p>
      <w:pPr>
        <w:pStyle w:val="Defpara"/>
      </w:pPr>
      <w:r>
        <w:tab/>
        <w:t>(c)</w:t>
      </w:r>
      <w:r>
        <w:tab/>
        <w:t xml:space="preserve">a community supervision order or an interim or extended community supervision order under the </w:t>
      </w:r>
      <w:r>
        <w:rPr>
          <w:i/>
        </w:rPr>
        <w:t>Criminal Law (Mental Impairment) Act 2023</w:t>
      </w:r>
      <w:r>
        <w:t>, or an interim disposition under section 205(1)(b) of that Act;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pPr>
      <w:r>
        <w:tab/>
      </w:r>
      <w:r>
        <w:rPr>
          <w:rStyle w:val="CharDefText"/>
        </w:rPr>
        <w:t>detainee under the CLMI Act</w:t>
      </w:r>
      <w:r>
        <w:t xml:space="preserve"> means a person subject to a custody order or an interim or extended custody order under the </w:t>
      </w:r>
      <w:r>
        <w:rPr>
          <w:i/>
        </w:rPr>
        <w:lastRenderedPageBreak/>
        <w:t>Criminal Law (Mental Impairment) Act 2023</w:t>
      </w:r>
      <w:r>
        <w:t>, or an interim disposition under section 205(1)(a) of that Act;</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electronic device</w:t>
      </w:r>
      <w:r>
        <w:t xml:space="preserve"> means any device capable of storing or accessing electronic data;</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keepNext/>
      </w:pPr>
      <w:r>
        <w:rPr>
          <w:b/>
        </w:rPr>
        <w:lastRenderedPageBreak/>
        <w:tab/>
      </w:r>
      <w:r>
        <w:rPr>
          <w:rStyle w:val="CharDefText"/>
        </w:rPr>
        <w:t>government custody</w:t>
      </w:r>
      <w:r>
        <w:t xml:space="preserve"> means — </w:t>
      </w:r>
    </w:p>
    <w:p>
      <w:pPr>
        <w:pStyle w:val="Defpara"/>
      </w:pPr>
      <w:r>
        <w:tab/>
        <w:t>(a)</w:t>
      </w:r>
      <w:r>
        <w:tab/>
        <w:t>custody as a prisoner, detainee or detainee under the CLMI Act; or</w:t>
      </w:r>
    </w:p>
    <w:p>
      <w:pPr>
        <w:pStyle w:val="Defpara"/>
        <w:spacing w:before="60"/>
      </w:pPr>
      <w:r>
        <w:tab/>
        <w:t>(b)</w:t>
      </w:r>
      <w:r>
        <w:tab/>
        <w:t>custody under a law of a foreign jurisdiction in the nature of custody referred to in paragraph (a); or</w:t>
      </w:r>
    </w:p>
    <w:p>
      <w:pPr>
        <w:pStyle w:val="Defpara"/>
      </w:pPr>
      <w:r>
        <w:tab/>
        <w:t>(c)</w:t>
      </w:r>
      <w:r>
        <w:tab/>
        <w:t>immigration detention under a law of a foreign jurisdiction;</w:t>
      </w:r>
    </w:p>
    <w:p>
      <w:pPr>
        <w:pStyle w:val="Defstart"/>
      </w:pPr>
      <w:r>
        <w:tab/>
      </w:r>
      <w:r>
        <w:rPr>
          <w:rStyle w:val="CharDefText"/>
        </w:rPr>
        <w:t>immigration detention</w:t>
      </w:r>
      <w:r>
        <w:t> —</w:t>
      </w:r>
    </w:p>
    <w:p>
      <w:pPr>
        <w:pStyle w:val="Defpara"/>
      </w:pPr>
      <w:r>
        <w:tab/>
        <w:t>(a)</w:t>
      </w:r>
      <w:r>
        <w:tab/>
        <w:t xml:space="preserve">includes immigration detention as defined in the </w:t>
      </w:r>
      <w:r>
        <w:rPr>
          <w:i/>
        </w:rPr>
        <w:t>Migration Act 1958</w:t>
      </w:r>
      <w:r>
        <w:t xml:space="preserve"> (Commonwealth) section 5(1); but </w:t>
      </w:r>
    </w:p>
    <w:p>
      <w:pPr>
        <w:pStyle w:val="Defpara"/>
      </w:pPr>
      <w:r>
        <w:tab/>
        <w:t>(b)</w:t>
      </w:r>
      <w:r>
        <w:tab/>
        <w:t xml:space="preserve">does not include detention during a period when a person undertakes the detention in the community; </w:t>
      </w:r>
    </w:p>
    <w:p>
      <w:pPr>
        <w:pStyle w:val="PermNoteHeading"/>
      </w:pPr>
      <w:r>
        <w:tab/>
        <w:t xml:space="preserve">Example for this definition: </w:t>
      </w:r>
    </w:p>
    <w:p>
      <w:pPr>
        <w:pStyle w:val="PermNoteText"/>
      </w:pPr>
      <w:r>
        <w:tab/>
      </w:r>
      <w:r>
        <w:tab/>
        <w:t xml:space="preserve">For the purposes of paragraph (b) — detention of a person subject to a residence determination under the </w:t>
      </w:r>
      <w:r>
        <w:rPr>
          <w:i/>
        </w:rPr>
        <w:t>Migration Act 1958</w:t>
      </w:r>
      <w:r>
        <w:t xml:space="preserve"> (Commonwealth) section 197AB(1).</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pPr>
      <w:r>
        <w:tab/>
      </w:r>
      <w:r>
        <w:rPr>
          <w:rStyle w:val="CharDefText"/>
        </w:rPr>
        <w:t>non</w:t>
      </w:r>
      <w:r>
        <w:rPr>
          <w:rStyle w:val="CharDefText"/>
        </w:rPr>
        <w:noBreakHyphen/>
        <w:t>intimate identifying procedure</w:t>
      </w:r>
      <w:r>
        <w:t xml:space="preserve"> has the meaning given in the </w:t>
      </w:r>
      <w:r>
        <w:rPr>
          <w:i/>
          <w:iCs/>
        </w:rPr>
        <w:t>Criminal Investigation (Identifying People) Act 2002</w:t>
      </w:r>
      <w:r>
        <w:t xml:space="preserve"> section 3(1);</w:t>
      </w:r>
    </w:p>
    <w:p>
      <w:pPr>
        <w:pStyle w:val="Defstart"/>
        <w:rPr>
          <w:b/>
          <w:i/>
        </w:rPr>
      </w:pPr>
      <w:r>
        <w:rPr>
          <w:b/>
        </w:rPr>
        <w:tab/>
      </w:r>
      <w:r>
        <w:rPr>
          <w:rStyle w:val="CharDefText"/>
        </w:rPr>
        <w:t>offender reporting order</w:t>
      </w:r>
      <w:r>
        <w:t xml:space="preserve"> means an order made under section 13 or 14A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lastRenderedPageBreak/>
        <w:tab/>
      </w:r>
      <w:r>
        <w:rPr>
          <w:rStyle w:val="CharDefText"/>
        </w:rPr>
        <w:t>personal information</w:t>
      </w:r>
      <w:r>
        <w:t xml:space="preserve"> means information about an individual whose identity is apparent or can reasonably be ascertained from the information;</w:t>
      </w:r>
    </w:p>
    <w:p>
      <w:pPr>
        <w:pStyle w:val="Defstart"/>
      </w:pPr>
      <w:r>
        <w:tab/>
      </w:r>
      <w:r>
        <w:rPr>
          <w:rStyle w:val="CharDefText"/>
        </w:rPr>
        <w:t>premises</w:t>
      </w:r>
      <w:r>
        <w:t xml:space="preserve"> includes part of premises;</w:t>
      </w:r>
    </w:p>
    <w:p>
      <w:pPr>
        <w:pStyle w:val="Defstart"/>
      </w:pPr>
      <w:r>
        <w:tab/>
      </w:r>
      <w:r>
        <w:rPr>
          <w:rStyle w:val="CharDefText"/>
        </w:rPr>
        <w:t>prescribed</w:t>
      </w:r>
      <w:r>
        <w:t xml:space="preserve"> means prescribed by regulations made under this Act;</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regional local government or regional subsidiary;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tab/>
      </w:r>
      <w:r>
        <w:rPr>
          <w:rStyle w:val="CharDefText"/>
        </w:rPr>
        <w:t>reportable contact</w:t>
      </w:r>
      <w:r>
        <w:t xml:space="preserve"> has the meaning given in section 4A;</w:t>
      </w:r>
    </w:p>
    <w:p>
      <w:pPr>
        <w:pStyle w:val="Defstart"/>
      </w:pPr>
      <w:r>
        <w:tab/>
      </w:r>
      <w:r>
        <w:rPr>
          <w:rStyle w:val="CharDefText"/>
        </w:rPr>
        <w:t>reportable contact details</w:t>
      </w:r>
      <w:r>
        <w:t xml:space="preserve"> has the meaning given in section 4B;</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the offender by Part 3;</w:t>
      </w:r>
    </w:p>
    <w:p>
      <w:pPr>
        <w:pStyle w:val="Defstart"/>
      </w:pPr>
      <w:r>
        <w:tab/>
      </w:r>
      <w:r>
        <w:rPr>
          <w:rStyle w:val="CharDefText"/>
        </w:rPr>
        <w:t>reporting order</w:t>
      </w:r>
      <w:r>
        <w:t xml:space="preserve"> means any of the following — </w:t>
      </w:r>
    </w:p>
    <w:p>
      <w:pPr>
        <w:pStyle w:val="Defpara"/>
      </w:pPr>
      <w:r>
        <w:tab/>
        <w:t>(a)</w:t>
      </w:r>
      <w:r>
        <w:tab/>
        <w:t xml:space="preserve">an offender reporting order; </w:t>
      </w:r>
    </w:p>
    <w:p>
      <w:pPr>
        <w:pStyle w:val="Defpara"/>
      </w:pPr>
      <w:r>
        <w:tab/>
        <w:t>(b)</w:t>
      </w:r>
      <w:r>
        <w:tab/>
        <w:t>a past offender reporting order;</w:t>
      </w:r>
    </w:p>
    <w:p>
      <w:pPr>
        <w:pStyle w:val="PermNoteHeading"/>
      </w:pPr>
      <w:r>
        <w:lastRenderedPageBreak/>
        <w:tab/>
        <w:t xml:space="preserve">Note for this definition: </w:t>
      </w:r>
    </w:p>
    <w:p>
      <w:pPr>
        <w:pStyle w:val="PermNoteText"/>
      </w:pPr>
      <w:r>
        <w:tab/>
      </w:r>
      <w:r>
        <w:tab/>
        <w:t>For the purposes of paragraph (a) — an offender reporting order includes a corresponding offender reporting order.</w:t>
      </w:r>
    </w:p>
    <w:p>
      <w:pPr>
        <w:pStyle w:val="Defstart"/>
      </w:pPr>
      <w:r>
        <w:rPr>
          <w:b/>
        </w:rPr>
        <w:tab/>
      </w:r>
      <w:r>
        <w:rPr>
          <w:rStyle w:val="CharDefText"/>
        </w:rPr>
        <w:t>reporting period</w:t>
      </w:r>
      <w:r>
        <w:t xml:space="preserve"> means the period, as determined under Part 3 Division 5, during which a reportable offender must comply with the offender’s reporting obligations;</w:t>
      </w:r>
    </w:p>
    <w:p>
      <w:pPr>
        <w:pStyle w:val="Defstart"/>
      </w:pPr>
      <w:r>
        <w:tab/>
      </w:r>
      <w:r>
        <w:rPr>
          <w:rStyle w:val="CharDefText"/>
        </w:rPr>
        <w:t>senior police officer</w:t>
      </w:r>
      <w:r>
        <w:t xml:space="preserve"> means a police officer of, or acting in, the rank of sergeant or a higher rank;</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or an interim or extended custody order under the </w:t>
      </w:r>
      <w:r>
        <w:rPr>
          <w:i/>
        </w:rPr>
        <w:t>Criminal Law (Mental Impairment) Act 2023</w:t>
      </w:r>
      <w:r>
        <w:t>, or an interim disposition under section 205(1)(a) of that Act;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to be a sentence for the purposes of this definition,</w:t>
      </w:r>
    </w:p>
    <w:p>
      <w:pPr>
        <w:pStyle w:val="Defstart"/>
      </w:pPr>
      <w:r>
        <w:tab/>
        <w:t>and any sentence or equivalent exercise of power or order under the laws of a foreign jurisdiction;</w:t>
      </w:r>
    </w:p>
    <w:p>
      <w:pPr>
        <w:pStyle w:val="Defstart"/>
        <w:keepNext/>
      </w:pPr>
      <w:r>
        <w:rPr>
          <w:b/>
        </w:rPr>
        <w:tab/>
      </w:r>
      <w:r>
        <w:rPr>
          <w:rStyle w:val="CharDefText"/>
        </w:rPr>
        <w:t>strict government custody</w:t>
      </w:r>
      <w:r>
        <w:t xml:space="preserve">, in relation to a reportable offender, means custody as a person in immigration detention, as a prisoner, detainee or detainee under the CLMI Act,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lastRenderedPageBreak/>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as the supervising authority of that class of reportable offenders;</w:t>
      </w:r>
    </w:p>
    <w:p>
      <w:pPr>
        <w:pStyle w:val="Defstart"/>
      </w:pPr>
      <w:r>
        <w:tab/>
      </w:r>
      <w:r>
        <w:rPr>
          <w:rStyle w:val="CharDefText"/>
        </w:rPr>
        <w:t>WA Police</w:t>
      </w:r>
      <w:r>
        <w:t xml:space="preserve"> has the meaning given in the </w:t>
      </w:r>
      <w:r>
        <w:rPr>
          <w:i/>
        </w:rPr>
        <w:t xml:space="preserve">Criminal Investigation (Identifying People) Act 2002 </w:t>
      </w:r>
      <w:r>
        <w:rPr>
          <w:iCs/>
        </w:rPr>
        <w:t>section 3(1)</w:t>
      </w:r>
      <w:r>
        <w:t>;</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No. 47 of 2011 s. 15; No. 54 of 2012 s. 4 and 39; No. 26 of 2016 s. 46; No. 10 of 2023 s. 285; No. 31 of 2024 s. 28; No. 35 of 2024 s. 4 and 59.]</w:t>
      </w:r>
    </w:p>
    <w:p>
      <w:pPr>
        <w:pStyle w:val="Heading5"/>
      </w:pPr>
      <w:bookmarkStart w:id="6" w:name="_Toc216772906"/>
      <w:r>
        <w:rPr>
          <w:rStyle w:val="CharSectno"/>
        </w:rPr>
        <w:t>4</w:t>
      </w:r>
      <w:r>
        <w:t>.</w:t>
      </w:r>
      <w:r>
        <w:tab/>
        <w:t>Meaning of finding of guilt</w:t>
      </w:r>
      <w:bookmarkEnd w:id="6"/>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(ca)</w:t>
      </w:r>
      <w:r>
        <w:tab/>
        <w:t xml:space="preserve">a finding under the </w:t>
      </w:r>
      <w:r>
        <w:rPr>
          <w:i/>
        </w:rPr>
        <w:t>Criminal Law (Mental Impairment) Act 2023</w:t>
      </w:r>
      <w:r>
        <w:t xml:space="preserve"> section 41(2)(c) or an equivalent finding under provisions of the laws of a foreign jurisdiction;</w:t>
      </w:r>
    </w:p>
    <w:p>
      <w:pPr>
        <w:pStyle w:val="Indenta"/>
      </w:pPr>
      <w:r>
        <w:tab/>
        <w:t>(d)</w:t>
      </w:r>
      <w:r>
        <w:tab/>
        <w:t xml:space="preserve">a finding under </w:t>
      </w:r>
      <w:r>
        <w:rPr>
          <w:i/>
        </w:rPr>
        <w:t xml:space="preserve">The Criminal Code </w:t>
      </w:r>
      <w:r>
        <w:t>section 27 that the person is not guilty of the offence on account of mental impairment or a finding under equivalent provisions of the laws of a foreign jurisdiction.</w:t>
      </w:r>
    </w:p>
    <w:p>
      <w:pPr>
        <w:pStyle w:val="Subsection"/>
      </w:pPr>
      <w:r>
        <w:lastRenderedPageBreak/>
        <w:tab/>
        <w:t>(2)</w:t>
      </w:r>
      <w:r>
        <w:tab/>
        <w:t>A reference to a finding of guilt in this Act does not include a finding of guilt that is subsequently quashed or set aside by a court.</w:t>
      </w:r>
    </w:p>
    <w:p>
      <w:pPr>
        <w:pStyle w:val="Footnotesection"/>
      </w:pPr>
      <w:r>
        <w:tab/>
        <w:t>[Section 4 amended: No. 10 of 2023 s. 286 and 412.]</w:t>
      </w:r>
    </w:p>
    <w:p>
      <w:pPr>
        <w:pStyle w:val="Heading5"/>
      </w:pPr>
      <w:bookmarkStart w:id="7" w:name="_Toc216772907"/>
      <w:r>
        <w:rPr>
          <w:rStyle w:val="CharSectno"/>
        </w:rPr>
        <w:t>4A</w:t>
      </w:r>
      <w:r>
        <w:t>.</w:t>
      </w:r>
      <w:r>
        <w:tab/>
        <w:t>Meaning of reportable contact</w:t>
      </w:r>
      <w:bookmarkEnd w:id="7"/>
    </w:p>
    <w:p>
      <w:pPr>
        <w:pStyle w:val="Subsection"/>
      </w:pPr>
      <w:r>
        <w:tab/>
        <w:t>(1)</w:t>
      </w:r>
      <w:r>
        <w:tab/>
        <w:t xml:space="preserve">A reportable offender has </w:t>
      </w:r>
      <w:r>
        <w:rPr>
          <w:rStyle w:val="CharDefText"/>
        </w:rPr>
        <w:t>reportable contact</w:t>
      </w:r>
      <w:r>
        <w:t xml:space="preserve"> with a child if the offender has contact with the child when the offender — </w:t>
      </w:r>
    </w:p>
    <w:p>
      <w:pPr>
        <w:pStyle w:val="Indenta"/>
      </w:pPr>
      <w:r>
        <w:tab/>
        <w:t>(a)</w:t>
      </w:r>
      <w:r>
        <w:tab/>
        <w:t>supervises or cares for the child; or</w:t>
      </w:r>
    </w:p>
    <w:p>
      <w:pPr>
        <w:pStyle w:val="Indenta"/>
      </w:pPr>
      <w:r>
        <w:tab/>
        <w:t>(b)</w:t>
      </w:r>
      <w:r>
        <w:tab/>
        <w:t>visits or stays at a household where the child is present; or</w:t>
      </w:r>
    </w:p>
    <w:p>
      <w:pPr>
        <w:pStyle w:val="Indenta"/>
      </w:pPr>
      <w:r>
        <w:tab/>
        <w:t>(c)</w:t>
      </w:r>
      <w:r>
        <w:tab/>
        <w:t>gives their contact details to the child or receives the child’s contact details; or</w:t>
      </w:r>
    </w:p>
    <w:p>
      <w:pPr>
        <w:pStyle w:val="Indenta"/>
      </w:pPr>
      <w:r>
        <w:tab/>
        <w:t>(d)</w:t>
      </w:r>
      <w:r>
        <w:tab/>
        <w:t>befriends or attempts to befriend the child.</w:t>
      </w:r>
    </w:p>
    <w:p>
      <w:pPr>
        <w:pStyle w:val="Subsection"/>
      </w:pPr>
      <w:r>
        <w:tab/>
        <w:t>(2)</w:t>
      </w:r>
      <w:r>
        <w:tab/>
        <w:t xml:space="preserve">For the purposes of this section, contact with a child by a reportable offender includes any of the following — </w:t>
      </w:r>
    </w:p>
    <w:p>
      <w:pPr>
        <w:pStyle w:val="Indenta"/>
      </w:pPr>
      <w:r>
        <w:tab/>
        <w:t>(a)</w:t>
      </w:r>
      <w:r>
        <w:tab/>
        <w:t xml:space="preserve">the offender having physical contact with the child; </w:t>
      </w:r>
    </w:p>
    <w:p>
      <w:pPr>
        <w:pStyle w:val="Indenta"/>
      </w:pPr>
      <w:r>
        <w:tab/>
        <w:t>(b)</w:t>
      </w:r>
      <w:r>
        <w:tab/>
        <w:t xml:space="preserve">the offender being in very close physical proximity to the child; </w:t>
      </w:r>
    </w:p>
    <w:p>
      <w:pPr>
        <w:pStyle w:val="Indenta"/>
      </w:pPr>
      <w:r>
        <w:tab/>
        <w:t>(c)</w:t>
      </w:r>
      <w:r>
        <w:tab/>
        <w:t>the offender communicating with the child (including oral or written communication or communication that takes place by mail, in person, by telephone or by electronic means).</w:t>
      </w:r>
    </w:p>
    <w:p>
      <w:pPr>
        <w:pStyle w:val="PermNoteHeading"/>
      </w:pPr>
      <w:r>
        <w:tab/>
        <w:t xml:space="preserve">Examples for this subsection: </w:t>
      </w:r>
    </w:p>
    <w:p>
      <w:pPr>
        <w:pStyle w:val="PermNoteText"/>
      </w:pPr>
      <w:r>
        <w:tab/>
      </w:r>
      <w:r>
        <w:tab/>
        <w:t>For the purposes of paragraph (c), electronic means includes internet, email, messaging service, chat room, social networking site, message board.</w:t>
      </w:r>
    </w:p>
    <w:p>
      <w:pPr>
        <w:pStyle w:val="Footnotesection"/>
      </w:pPr>
      <w:r>
        <w:tab/>
        <w:t>[Section 4A inserted: No. 35 of 2024 s. 5.]</w:t>
      </w:r>
    </w:p>
    <w:p>
      <w:pPr>
        <w:pStyle w:val="Heading5"/>
      </w:pPr>
      <w:bookmarkStart w:id="8" w:name="_Toc216772908"/>
      <w:r>
        <w:rPr>
          <w:rStyle w:val="CharSectno"/>
        </w:rPr>
        <w:lastRenderedPageBreak/>
        <w:t>4B</w:t>
      </w:r>
      <w:r>
        <w:t>.</w:t>
      </w:r>
      <w:r>
        <w:tab/>
        <w:t>Meaning of reportable contact details</w:t>
      </w:r>
      <w:bookmarkEnd w:id="8"/>
    </w:p>
    <w:p>
      <w:pPr>
        <w:pStyle w:val="Subsection"/>
        <w:keepNext/>
      </w:pPr>
      <w:r>
        <w:tab/>
        <w:t>(1)</w:t>
      </w:r>
      <w:r>
        <w:tab/>
        <w:t xml:space="preserve">For the purposes of this Act, </w:t>
      </w:r>
      <w:r>
        <w:rPr>
          <w:rStyle w:val="CharDefText"/>
        </w:rPr>
        <w:t>reportable contact details</w:t>
      </w:r>
      <w:r>
        <w:t xml:space="preserve">, in relation to a reportable offender’s reportable contact or likely reportable contact with a child, are — </w:t>
      </w:r>
    </w:p>
    <w:p>
      <w:pPr>
        <w:pStyle w:val="Indenta"/>
      </w:pPr>
      <w:r>
        <w:tab/>
        <w:t>(a)</w:t>
      </w:r>
      <w:r>
        <w:tab/>
        <w:t>the name, age and residential address (if known) and any other known contact details of each child with whom the offender has reportable contact or is likely to have reportable contact; and</w:t>
      </w:r>
    </w:p>
    <w:p>
      <w:pPr>
        <w:pStyle w:val="Indenta"/>
      </w:pPr>
      <w:r>
        <w:tab/>
        <w:t>(b)</w:t>
      </w:r>
      <w:r>
        <w:tab/>
        <w:t>the name and residential address (if known) and any other known contact details of each parent or guardian of each child referred to in paragraph (a); and</w:t>
      </w:r>
    </w:p>
    <w:p>
      <w:pPr>
        <w:pStyle w:val="Indenta"/>
      </w:pPr>
      <w:r>
        <w:tab/>
        <w:t>(c)</w:t>
      </w:r>
      <w:r>
        <w:tab/>
        <w:t>details related to the reportable contact or likely reportable contact with the child referred to in paragraph (a).</w:t>
      </w:r>
    </w:p>
    <w:p>
      <w:pPr>
        <w:pStyle w:val="Subsection"/>
      </w:pPr>
      <w:r>
        <w:tab/>
        <w:t>(2)</w:t>
      </w:r>
      <w:r>
        <w:tab/>
        <w:t>For the purposes of this section, details related to reportable contact or likely reportable contact with a child by a reportable offender are —</w:t>
      </w:r>
    </w:p>
    <w:p>
      <w:pPr>
        <w:pStyle w:val="Indenta"/>
      </w:pPr>
      <w:r>
        <w:tab/>
        <w:t>(a)</w:t>
      </w:r>
      <w:r>
        <w:tab/>
        <w:t>a description of the type of contact the offender has with the child or is likely to have with the child; and</w:t>
      </w:r>
    </w:p>
    <w:p>
      <w:pPr>
        <w:pStyle w:val="Indenta"/>
      </w:pPr>
      <w:r>
        <w:tab/>
        <w:t>(b)</w:t>
      </w:r>
      <w:r>
        <w:tab/>
        <w:t xml:space="preserve">whether the contact occurs or is likely to occur when the offender — </w:t>
      </w:r>
    </w:p>
    <w:p>
      <w:pPr>
        <w:pStyle w:val="Indenti"/>
      </w:pPr>
      <w:r>
        <w:tab/>
        <w:t>(i)</w:t>
      </w:r>
      <w:r>
        <w:tab/>
        <w:t>supervises or cares for the child; or</w:t>
      </w:r>
    </w:p>
    <w:p>
      <w:pPr>
        <w:pStyle w:val="Indenti"/>
      </w:pPr>
      <w:r>
        <w:tab/>
        <w:t>(ii)</w:t>
      </w:r>
      <w:r>
        <w:tab/>
        <w:t>visits or stays at a household where the child is present; or</w:t>
      </w:r>
    </w:p>
    <w:p>
      <w:pPr>
        <w:pStyle w:val="Indenti"/>
      </w:pPr>
      <w:r>
        <w:tab/>
        <w:t>(iii)</w:t>
      </w:r>
      <w:r>
        <w:tab/>
        <w:t>gives their contact details to the child or receives the child’s contact details; or</w:t>
      </w:r>
    </w:p>
    <w:p>
      <w:pPr>
        <w:pStyle w:val="Indenti"/>
      </w:pPr>
      <w:r>
        <w:tab/>
        <w:t>(iv)</w:t>
      </w:r>
      <w:r>
        <w:tab/>
        <w:t>befriends or attempts to befriend the child;</w:t>
      </w:r>
    </w:p>
    <w:p>
      <w:pPr>
        <w:pStyle w:val="Indenta"/>
      </w:pPr>
      <w:r>
        <w:tab/>
      </w:r>
      <w:r>
        <w:tab/>
        <w:t>and</w:t>
      </w:r>
    </w:p>
    <w:p>
      <w:pPr>
        <w:pStyle w:val="Indenta"/>
      </w:pPr>
      <w:r>
        <w:tab/>
        <w:t>(c)</w:t>
      </w:r>
      <w:r>
        <w:tab/>
        <w:t xml:space="preserve">any other prescribed details relating to the contact or likely contact. </w:t>
      </w:r>
    </w:p>
    <w:p>
      <w:pPr>
        <w:pStyle w:val="PermNoteHeading"/>
      </w:pPr>
      <w:r>
        <w:lastRenderedPageBreak/>
        <w:tab/>
        <w:t>Examples for this subsection:</w:t>
      </w:r>
    </w:p>
    <w:p>
      <w:pPr>
        <w:pStyle w:val="PermNoteText"/>
      </w:pPr>
      <w:r>
        <w:tab/>
      </w:r>
      <w:r>
        <w:tab/>
        <w:t>For the purposes of paragraph (a) — whether the contact involves or is likely to involve physical contact with the child, being in very close proximity to the child, or communication with the child (including communication by mail, in person, by telephone or by electronic means).</w:t>
      </w:r>
    </w:p>
    <w:p>
      <w:pPr>
        <w:pStyle w:val="PermNoteText"/>
      </w:pPr>
      <w:r>
        <w:tab/>
      </w:r>
      <w:r>
        <w:tab/>
        <w:t>For the purposes of paragraph (c) — frequency of contact.</w:t>
      </w:r>
    </w:p>
    <w:p>
      <w:pPr>
        <w:pStyle w:val="Footnotesection"/>
      </w:pPr>
      <w:r>
        <w:tab/>
        <w:t>[Section 4B inserted: No. 35 of 2024 s. 5.]</w:t>
      </w:r>
    </w:p>
    <w:p>
      <w:pPr>
        <w:pStyle w:val="Heading5"/>
      </w:pPr>
      <w:bookmarkStart w:id="9" w:name="_Toc216772909"/>
      <w:r>
        <w:rPr>
          <w:rStyle w:val="CharSectno"/>
        </w:rPr>
        <w:t>5</w:t>
      </w:r>
      <w:r>
        <w:t>.</w:t>
      </w:r>
      <w:r>
        <w:tab/>
        <w:t>Other reference provisions</w:t>
      </w:r>
      <w:bookmarkEnd w:id="9"/>
    </w:p>
    <w:p>
      <w:pPr>
        <w:pStyle w:val="Subsection"/>
      </w:pPr>
      <w:r>
        <w:tab/>
        <w:t>(1)</w:t>
      </w:r>
      <w:r>
        <w:tab/>
        <w:t>For the purposes of this Act, offences arise from the same incident only if they are committed within a single period of 24 hours and against the same person.</w:t>
      </w:r>
    </w:p>
    <w:p>
      <w:pPr>
        <w:pStyle w:val="Subsection"/>
        <w:keepNext/>
        <w:keepLines/>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0" w:name="_Toc216772910"/>
      <w:r>
        <w:rPr>
          <w:rStyle w:val="CharPartNo"/>
        </w:rPr>
        <w:lastRenderedPageBreak/>
        <w:t>Part 2</w:t>
      </w:r>
      <w:r>
        <w:t> — </w:t>
      </w:r>
      <w:r>
        <w:rPr>
          <w:rStyle w:val="CharPartText"/>
        </w:rPr>
        <w:t>Offenders to whom Act applies</w:t>
      </w:r>
      <w:bookmarkEnd w:id="10"/>
    </w:p>
    <w:p>
      <w:pPr>
        <w:pStyle w:val="Heading3"/>
      </w:pPr>
      <w:bookmarkStart w:id="11" w:name="_Toc216772911"/>
      <w:r>
        <w:rPr>
          <w:rStyle w:val="CharDivNo"/>
        </w:rPr>
        <w:t>Division 1</w:t>
      </w:r>
      <w:r>
        <w:t> — </w:t>
      </w:r>
      <w:r>
        <w:rPr>
          <w:rStyle w:val="CharDivText"/>
        </w:rPr>
        <w:t>General</w:t>
      </w:r>
      <w:bookmarkEnd w:id="11"/>
    </w:p>
    <w:p>
      <w:pPr>
        <w:pStyle w:val="Heading5"/>
      </w:pPr>
      <w:bookmarkStart w:id="12" w:name="_Toc216772912"/>
      <w:r>
        <w:rPr>
          <w:rStyle w:val="CharSectno"/>
        </w:rPr>
        <w:t>6</w:t>
      </w:r>
      <w:r>
        <w:t>.</w:t>
      </w:r>
      <w:r>
        <w:tab/>
        <w:t>Reportable offenders</w:t>
      </w:r>
      <w:bookmarkEnd w:id="12"/>
    </w:p>
    <w:p>
      <w:pPr>
        <w:pStyle w:val="Subsection"/>
      </w:pPr>
      <w:r>
        <w:tab/>
        <w:t>(1)</w:t>
      </w:r>
      <w:r>
        <w:tab/>
        <w:t>Subject to subsections (4), (5) and (5A),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a person is a reportable offender because of subsection (3), a person is not a reportable offender merely because the person as a child committed a single offence (including an offence under the laws of a foreign jurisdiction) that falls within a class of offences that are prescribed to be offences for the purposes of this subsection.</w:t>
      </w:r>
    </w:p>
    <w:p>
      <w:pPr>
        <w:pStyle w:val="Subsection"/>
      </w:pPr>
      <w:r>
        <w:tab/>
        <w:t>(5)</w:t>
      </w:r>
      <w:r>
        <w:tab/>
        <w:t xml:space="preserve">A person is also not a reportable offender if the person is receiving protection under a foreign witness protection law specified by the regulations for the purposes of this subsection, or who has the same status as such a person under an order </w:t>
      </w:r>
      <w:r>
        <w:lastRenderedPageBreak/>
        <w:t>made under a corresponding Act specified by the regulations for the purposes of this subsection.</w:t>
      </w:r>
    </w:p>
    <w:p>
      <w:pPr>
        <w:pStyle w:val="Subsection"/>
      </w:pPr>
      <w:r>
        <w:tab/>
        <w:t>(5A)</w:t>
      </w:r>
      <w:r>
        <w:tab/>
        <w:t>If a reporting order is made in relation to an offence committed by a person after the person is sentenced for the offence, the person is taken to be a reportable offender when the order is made rather than when the person is sentenced for the offence.</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the person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reporting order.</w:t>
      </w:r>
    </w:p>
    <w:p>
      <w:pPr>
        <w:pStyle w:val="Subsection"/>
      </w:pPr>
      <w:r>
        <w:tab/>
        <w:t>(8)</w:t>
      </w:r>
      <w:r>
        <w:tab/>
        <w:t>A reference to a single offence in subsection (4) includes a reference to more than one offence of the same kind arising from the same incident.</w:t>
      </w:r>
    </w:p>
    <w:p>
      <w:pPr>
        <w:pStyle w:val="Footnotesection"/>
      </w:pPr>
      <w:r>
        <w:tab/>
        <w:t>[Section 6 amended: No. 31 of 2024 s. 28; No. 35 of 2024 s. 6 and 59.]</w:t>
      </w:r>
    </w:p>
    <w:p>
      <w:pPr>
        <w:pStyle w:val="Heading5"/>
      </w:pPr>
      <w:bookmarkStart w:id="13" w:name="_Toc216772913"/>
      <w:r>
        <w:rPr>
          <w:rStyle w:val="CharSectno"/>
        </w:rPr>
        <w:t>7</w:t>
      </w:r>
      <w:r>
        <w:t>.</w:t>
      </w:r>
      <w:r>
        <w:tab/>
        <w:t>Corresponding reportable offenders</w:t>
      </w:r>
      <w:bookmarkEnd w:id="13"/>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 xml:space="preserve">would, if the person were currently in that foreign jurisdiction, be required to report to the </w:t>
      </w:r>
      <w:r>
        <w:lastRenderedPageBreak/>
        <w:t>corresponding registrar in that jurisdiction for a particular period; or</w:t>
      </w:r>
    </w:p>
    <w:p>
      <w:pPr>
        <w:pStyle w:val="Indenti"/>
      </w:pPr>
      <w:r>
        <w:tab/>
        <w:t>(ii)</w:t>
      </w:r>
      <w:r>
        <w:tab/>
        <w:t>falls within a class of persons who are prescribed to be corresponding reportable offenders for the purposes of this Act.</w:t>
      </w:r>
    </w:p>
    <w:p>
      <w:pPr>
        <w:pStyle w:val="Footnotesection"/>
      </w:pPr>
      <w:r>
        <w:tab/>
        <w:t>[Section 7 amended: No. 54 of 2012 s. 5; No. 31 of 2024 s. 28; No. 35 of 2024 s. 59.]</w:t>
      </w:r>
    </w:p>
    <w:p>
      <w:pPr>
        <w:pStyle w:val="Heading5"/>
      </w:pPr>
      <w:bookmarkStart w:id="14" w:name="_Toc216772914"/>
      <w:r>
        <w:rPr>
          <w:rStyle w:val="CharSectno"/>
        </w:rPr>
        <w:t>8</w:t>
      </w:r>
      <w:r>
        <w:t>.</w:t>
      </w:r>
      <w:r>
        <w:tab/>
        <w:t>New South Wales reportable offenders</w:t>
      </w:r>
      <w:bookmarkEnd w:id="14"/>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not to be a New South Wales reportable offender for the purposes of this Act.</w:t>
      </w:r>
    </w:p>
    <w:p>
      <w:pPr>
        <w:pStyle w:val="Footnotesection"/>
      </w:pPr>
      <w:r>
        <w:tab/>
        <w:t>[Section 8 amended: No. 35 of 2024 s. 59.]</w:t>
      </w:r>
    </w:p>
    <w:p>
      <w:pPr>
        <w:pStyle w:val="Heading5"/>
      </w:pPr>
      <w:bookmarkStart w:id="15" w:name="_Toc216772915"/>
      <w:r>
        <w:rPr>
          <w:rStyle w:val="CharSectno"/>
        </w:rPr>
        <w:t>9</w:t>
      </w:r>
      <w:r>
        <w:t>.</w:t>
      </w:r>
      <w:r>
        <w:tab/>
        <w:t>Reportable offences</w:t>
      </w:r>
      <w:bookmarkEnd w:id="15"/>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16" w:name="_Toc216772916"/>
      <w:r>
        <w:rPr>
          <w:rStyle w:val="CharSectno"/>
        </w:rPr>
        <w:t>10</w:t>
      </w:r>
      <w:r>
        <w:t>.</w:t>
      </w:r>
      <w:r>
        <w:tab/>
        <w:t>Class 1 offences</w:t>
      </w:r>
      <w:bookmarkEnd w:id="16"/>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 xml:space="preserve">an offence under a law of a foreign jurisdiction the elements of which, if they had occurred in Western </w:t>
      </w:r>
      <w:r>
        <w:lastRenderedPageBreak/>
        <w:t>Australia, would have constituted an offence of a kind referred to in this section; or</w:t>
      </w:r>
    </w:p>
    <w:p>
      <w:pPr>
        <w:pStyle w:val="Indenta"/>
      </w:pPr>
      <w:r>
        <w:tab/>
        <w:t>(c)</w:t>
      </w:r>
      <w:r>
        <w:tab/>
        <w:t>an offence under a law of a foreign jurisdiction that is prescribed to be a Class 1 offence; or</w:t>
      </w:r>
    </w:p>
    <w:p>
      <w:pPr>
        <w:pStyle w:val="Indenta"/>
      </w:pPr>
      <w:r>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Footnotesection"/>
      </w:pPr>
      <w:r>
        <w:tab/>
        <w:t>[Section 10 amended: No. 35 of 2024 s. 59.]</w:t>
      </w:r>
    </w:p>
    <w:p>
      <w:pPr>
        <w:pStyle w:val="Heading5"/>
      </w:pPr>
      <w:bookmarkStart w:id="17" w:name="_Toc216772917"/>
      <w:r>
        <w:rPr>
          <w:rStyle w:val="CharSectno"/>
        </w:rPr>
        <w:t>11</w:t>
      </w:r>
      <w:r>
        <w:t>.</w:t>
      </w:r>
      <w:r>
        <w:tab/>
        <w:t>Class 2 offences</w:t>
      </w:r>
      <w:bookmarkEnd w:id="17"/>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an offence under a law of a foreign jurisdiction the elements of which, if they had occurred in Western Australia, would have constituted an offence of a kind referred to in this section; or</w:t>
      </w:r>
    </w:p>
    <w:p>
      <w:pPr>
        <w:pStyle w:val="Indenta"/>
        <w:spacing w:before="70"/>
      </w:pPr>
      <w:r>
        <w:tab/>
        <w:t>(c)</w:t>
      </w:r>
      <w:r>
        <w:tab/>
        <w:t>an offence under a law of a foreign jurisdiction that is prescribed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keepNext/>
        <w:spacing w:before="70"/>
      </w:pPr>
      <w:r>
        <w:lastRenderedPageBreak/>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Footnotesection"/>
      </w:pPr>
      <w:r>
        <w:tab/>
        <w:t>[Section 11 amended: No. 35 of 2024 s. 59.]</w:t>
      </w:r>
    </w:p>
    <w:p>
      <w:pPr>
        <w:pStyle w:val="Ednotesection"/>
      </w:pPr>
      <w:r>
        <w:t>[</w:t>
      </w:r>
      <w:r>
        <w:rPr>
          <w:b/>
          <w:bCs/>
        </w:rPr>
        <w:t>12.</w:t>
      </w:r>
      <w:r>
        <w:tab/>
        <w:t>Has not come into operation.]</w:t>
      </w:r>
    </w:p>
    <w:p>
      <w:pPr>
        <w:pStyle w:val="Heading5"/>
      </w:pPr>
      <w:bookmarkStart w:id="18" w:name="_Toc216772918"/>
      <w:r>
        <w:rPr>
          <w:rStyle w:val="CharSectno"/>
        </w:rPr>
        <w:t>13</w:t>
      </w:r>
      <w:r>
        <w:t>.</w:t>
      </w:r>
      <w:r>
        <w:tab/>
        <w:t>Offender reporting orders</w:t>
      </w:r>
      <w:bookmarkEnd w:id="18"/>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lastRenderedPageBreak/>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lastRenderedPageBreak/>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keepNext/>
      </w:pPr>
      <w:r>
        <w:tab/>
        <w:t>(7)</w:t>
      </w:r>
      <w:r>
        <w:tab/>
        <w:t>For the purposes of Part 3 Division 5, a person subject to an order made under this section is taken to have been found guilty of a Class 2 offence.</w:t>
      </w:r>
    </w:p>
    <w:p>
      <w:pPr>
        <w:pStyle w:val="Footnotesection"/>
      </w:pPr>
      <w:r>
        <w:tab/>
        <w:t>[Section 13 amended: No. 54 of 2012 s. 6.]</w:t>
      </w:r>
    </w:p>
    <w:p>
      <w:pPr>
        <w:pStyle w:val="Heading5"/>
      </w:pPr>
      <w:bookmarkStart w:id="19" w:name="_Toc216772919"/>
      <w:r>
        <w:rPr>
          <w:rStyle w:val="CharSectno"/>
        </w:rPr>
        <w:t>14A</w:t>
      </w:r>
      <w:r>
        <w:t>.</w:t>
      </w:r>
      <w:r>
        <w:tab/>
        <w:t>Consent orders</w:t>
      </w:r>
      <w:bookmarkEnd w:id="19"/>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No. 54 of 2012 s. 7.]</w:t>
      </w:r>
    </w:p>
    <w:p>
      <w:pPr>
        <w:pStyle w:val="Heading3"/>
      </w:pPr>
      <w:bookmarkStart w:id="20" w:name="_Toc216772920"/>
      <w:r>
        <w:rPr>
          <w:rStyle w:val="CharDivNo"/>
        </w:rPr>
        <w:t>Division 2</w:t>
      </w:r>
      <w:r>
        <w:t> — </w:t>
      </w:r>
      <w:r>
        <w:rPr>
          <w:rStyle w:val="CharDivText"/>
        </w:rPr>
        <w:t>Past offender reporting orders</w:t>
      </w:r>
      <w:bookmarkEnd w:id="20"/>
    </w:p>
    <w:p>
      <w:pPr>
        <w:pStyle w:val="Heading5"/>
      </w:pPr>
      <w:bookmarkStart w:id="21" w:name="_Toc216772921"/>
      <w:r>
        <w:rPr>
          <w:rStyle w:val="CharSectno"/>
        </w:rPr>
        <w:t>14</w:t>
      </w:r>
      <w:r>
        <w:t>.</w:t>
      </w:r>
      <w:r>
        <w:tab/>
        <w:t>Terms used</w:t>
      </w:r>
      <w:bookmarkEnd w:id="21"/>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past offender reporting order is made;</w:t>
      </w:r>
    </w:p>
    <w:p>
      <w:pPr>
        <w:pStyle w:val="Defstart"/>
      </w:pPr>
      <w:r>
        <w:rPr>
          <w:b/>
        </w:rPr>
        <w:tab/>
      </w:r>
      <w:r>
        <w:rPr>
          <w:rStyle w:val="CharDefText"/>
        </w:rPr>
        <w:t>respondent</w:t>
      </w:r>
      <w:r>
        <w:t xml:space="preserve"> means the person who is subject to a past offender reporting order or in respect of whom a past offender reporting order is sought.</w:t>
      </w:r>
    </w:p>
    <w:p>
      <w:pPr>
        <w:pStyle w:val="Footnotesection"/>
      </w:pPr>
      <w:r>
        <w:tab/>
        <w:t>[Section 14 amended: No. 35 of 2024 s. 7.]</w:t>
      </w:r>
    </w:p>
    <w:p>
      <w:pPr>
        <w:pStyle w:val="Heading5"/>
      </w:pPr>
      <w:bookmarkStart w:id="22" w:name="_Toc216772922"/>
      <w:r>
        <w:rPr>
          <w:rStyle w:val="CharSectno"/>
        </w:rPr>
        <w:lastRenderedPageBreak/>
        <w:t>15</w:t>
      </w:r>
      <w:r>
        <w:t>.</w:t>
      </w:r>
      <w:r>
        <w:tab/>
        <w:t>Commissioner may apply for reporting orders</w:t>
      </w:r>
      <w:bookmarkEnd w:id="22"/>
    </w:p>
    <w:p>
      <w:pPr>
        <w:pStyle w:val="Subsection"/>
        <w:keepNext/>
      </w:pPr>
      <w:r>
        <w:tab/>
      </w:r>
      <w:r>
        <w:tab/>
        <w:t xml:space="preserve">If — </w:t>
      </w:r>
    </w:p>
    <w:p>
      <w:pPr>
        <w:pStyle w:val="Indenta"/>
      </w:pPr>
      <w:r>
        <w:tab/>
        <w:t>(a)</w:t>
      </w:r>
      <w:r>
        <w:tab/>
        <w:t>a person has been sentenced before the commencement day for an offence; and</w:t>
      </w:r>
    </w:p>
    <w:p>
      <w:pPr>
        <w:pStyle w:val="Indenta"/>
        <w:keepNext/>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23" w:name="_Toc216772923"/>
      <w:r>
        <w:rPr>
          <w:rStyle w:val="CharSectno"/>
        </w:rPr>
        <w:t>16</w:t>
      </w:r>
      <w:r>
        <w:t>.</w:t>
      </w:r>
      <w:r>
        <w:tab/>
        <w:t>Fixing a hearing</w:t>
      </w:r>
      <w:bookmarkEnd w:id="23"/>
    </w:p>
    <w:p>
      <w:pPr>
        <w:pStyle w:val="Subsection"/>
        <w:keepNext/>
        <w:keepLines/>
      </w:pPr>
      <w:r>
        <w:tab/>
      </w:r>
      <w:r>
        <w:tab/>
        <w:t xml:space="preserve">When an application for a past offender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Footnotesection"/>
      </w:pPr>
      <w:r>
        <w:tab/>
        <w:t>[Section 16 amended: No. 35 of 2024 s. 8.]</w:t>
      </w:r>
    </w:p>
    <w:p>
      <w:pPr>
        <w:pStyle w:val="Heading5"/>
      </w:pPr>
      <w:bookmarkStart w:id="24" w:name="_Toc216772924"/>
      <w:r>
        <w:rPr>
          <w:rStyle w:val="CharSectno"/>
        </w:rPr>
        <w:t>17</w:t>
      </w:r>
      <w:r>
        <w:t>.</w:t>
      </w:r>
      <w:r>
        <w:tab/>
        <w:t>Evidence</w:t>
      </w:r>
      <w:bookmarkEnd w:id="24"/>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keepNext/>
      </w:pPr>
      <w:r>
        <w:lastRenderedPageBreak/>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keepNext/>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No. 54 of 2012 s. 8.]</w:t>
      </w:r>
    </w:p>
    <w:p>
      <w:pPr>
        <w:pStyle w:val="Heading5"/>
      </w:pPr>
      <w:bookmarkStart w:id="25" w:name="_Toc216772925"/>
      <w:r>
        <w:rPr>
          <w:rStyle w:val="CharSectno"/>
        </w:rPr>
        <w:t>18</w:t>
      </w:r>
      <w:r>
        <w:t>.</w:t>
      </w:r>
      <w:r>
        <w:tab/>
        <w:t>How application to be disposed of</w:t>
      </w:r>
      <w:bookmarkEnd w:id="25"/>
    </w:p>
    <w:p>
      <w:pPr>
        <w:pStyle w:val="Subsection"/>
        <w:keepNext/>
      </w:pPr>
      <w:r>
        <w:tab/>
      </w:r>
      <w:r>
        <w:tab/>
        <w:t xml:space="preserve">The court may dispose of the application — </w:t>
      </w:r>
    </w:p>
    <w:p>
      <w:pPr>
        <w:pStyle w:val="Indenta"/>
      </w:pPr>
      <w:r>
        <w:tab/>
        <w:t>(a)</w:t>
      </w:r>
      <w:r>
        <w:tab/>
        <w:t>by making a past offender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18 amended: No. 35 of 2024 s. 9.]</w:t>
      </w:r>
    </w:p>
    <w:p>
      <w:pPr>
        <w:pStyle w:val="Heading5"/>
        <w:spacing w:before="180"/>
      </w:pPr>
      <w:bookmarkStart w:id="26" w:name="_Toc216772926"/>
      <w:r>
        <w:rPr>
          <w:rStyle w:val="CharSectno"/>
        </w:rPr>
        <w:t>19</w:t>
      </w:r>
      <w:r>
        <w:t>.</w:t>
      </w:r>
      <w:r>
        <w:tab/>
        <w:t>Court may make past offender reporting orders</w:t>
      </w:r>
      <w:bookmarkEnd w:id="26"/>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lastRenderedPageBreak/>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No. 54 of 2012 s. 9.]</w:t>
      </w:r>
    </w:p>
    <w:p>
      <w:pPr>
        <w:pStyle w:val="Heading5"/>
      </w:pPr>
      <w:bookmarkStart w:id="27" w:name="_Toc216772927"/>
      <w:r>
        <w:rPr>
          <w:rStyle w:val="CharSectno"/>
        </w:rPr>
        <w:t>20A</w:t>
      </w:r>
      <w:r>
        <w:t>.</w:t>
      </w:r>
      <w:r>
        <w:tab/>
        <w:t>Consent orders</w:t>
      </w:r>
      <w:bookmarkEnd w:id="27"/>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 xml:space="preserve">On an application under section 15, a court may make a </w:t>
      </w:r>
      <w:r>
        <w:t>past offender reporting order</w:t>
      </w:r>
      <w:r>
        <w:rPr>
          <w:color w:val="000000"/>
        </w:rPr>
        <w:t xml:space="preserve"> without being subject to section 19 if the applicant and the past offender consent to the making of the order.</w:t>
      </w:r>
    </w:p>
    <w:p>
      <w:pPr>
        <w:pStyle w:val="Footnotesection"/>
      </w:pPr>
      <w:r>
        <w:tab/>
        <w:t>[Section 20A inserted: No. 54 of 2012 s. 10; amended: No. 35 of 2024 s. 10.]</w:t>
      </w:r>
    </w:p>
    <w:p>
      <w:pPr>
        <w:pStyle w:val="Heading5"/>
        <w:spacing w:before="180"/>
      </w:pPr>
      <w:bookmarkStart w:id="28" w:name="_Toc216772928"/>
      <w:r>
        <w:rPr>
          <w:rStyle w:val="CharSectno"/>
        </w:rPr>
        <w:lastRenderedPageBreak/>
        <w:t>20</w:t>
      </w:r>
      <w:r>
        <w:t>.</w:t>
      </w:r>
      <w:r>
        <w:tab/>
        <w:t>Attendance at hearings</w:t>
      </w:r>
      <w:bookmarkEnd w:id="28"/>
    </w:p>
    <w:p>
      <w:pPr>
        <w:pStyle w:val="Subsection"/>
        <w:keepNext/>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keepNext/>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9" w:name="_Toc216772929"/>
      <w:r>
        <w:rPr>
          <w:rStyle w:val="CharSectno"/>
        </w:rPr>
        <w:t>21</w:t>
      </w:r>
      <w:r>
        <w:t>.</w:t>
      </w:r>
      <w:r>
        <w:tab/>
        <w:t>Notification of orders made in absence of respondent</w:t>
      </w:r>
      <w:bookmarkEnd w:id="29"/>
    </w:p>
    <w:p>
      <w:pPr>
        <w:pStyle w:val="Subsection"/>
      </w:pPr>
      <w:r>
        <w:tab/>
      </w:r>
      <w:r>
        <w:tab/>
        <w:t>The registrar of a court that makes a past offender reporting order in the absence of the respondent must cause a copy of the order to be served on the respondent.</w:t>
      </w:r>
    </w:p>
    <w:p>
      <w:pPr>
        <w:pStyle w:val="Footnotesection"/>
      </w:pPr>
      <w:r>
        <w:tab/>
        <w:t>[Section 21 amended: No. 35 of 2024 s. 11.]</w:t>
      </w:r>
    </w:p>
    <w:p>
      <w:pPr>
        <w:pStyle w:val="Heading5"/>
      </w:pPr>
      <w:bookmarkStart w:id="30" w:name="_Toc216772930"/>
      <w:r>
        <w:rPr>
          <w:rStyle w:val="CharSectno"/>
        </w:rPr>
        <w:t>22</w:t>
      </w:r>
      <w:r>
        <w:t>.</w:t>
      </w:r>
      <w:r>
        <w:tab/>
        <w:t>Appeals</w:t>
      </w:r>
      <w:bookmarkEnd w:id="30"/>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past offender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lastRenderedPageBreak/>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No. 5 of 2008 s. 127(2); No. 54 of 2012 s. 11; No. 35 of 2024 s. 12.]</w:t>
      </w:r>
    </w:p>
    <w:p>
      <w:pPr>
        <w:pStyle w:val="Heading5"/>
      </w:pPr>
      <w:bookmarkStart w:id="31" w:name="_Toc216772931"/>
      <w:r>
        <w:rPr>
          <w:rStyle w:val="CharSectno"/>
        </w:rPr>
        <w:t>23</w:t>
      </w:r>
      <w:r>
        <w:t>.</w:t>
      </w:r>
      <w:r>
        <w:tab/>
        <w:t>Appeal does not stay order</w:t>
      </w:r>
      <w:bookmarkEnd w:id="31"/>
    </w:p>
    <w:p>
      <w:pPr>
        <w:pStyle w:val="Subsection"/>
      </w:pPr>
      <w:r>
        <w:tab/>
      </w:r>
      <w:r>
        <w:tab/>
        <w:t>An appeal against an order made under this Part does not operate to stay the operation of the order unless the court to which the appeal is made so orders.</w:t>
      </w:r>
    </w:p>
    <w:p>
      <w:pPr>
        <w:pStyle w:val="Heading2"/>
      </w:pPr>
      <w:bookmarkStart w:id="32" w:name="_Toc216772932"/>
      <w:r>
        <w:rPr>
          <w:rStyle w:val="CharPartNo"/>
        </w:rPr>
        <w:lastRenderedPageBreak/>
        <w:t>Part 3</w:t>
      </w:r>
      <w:r>
        <w:t> — </w:t>
      </w:r>
      <w:r>
        <w:rPr>
          <w:rStyle w:val="CharPartText"/>
        </w:rPr>
        <w:t>Reporting obligations</w:t>
      </w:r>
      <w:bookmarkEnd w:id="32"/>
    </w:p>
    <w:p>
      <w:pPr>
        <w:pStyle w:val="Heading3"/>
      </w:pPr>
      <w:bookmarkStart w:id="33" w:name="_Toc216772933"/>
      <w:r>
        <w:rPr>
          <w:rStyle w:val="CharDivNo"/>
        </w:rPr>
        <w:t>Division 1</w:t>
      </w:r>
      <w:r>
        <w:t> — </w:t>
      </w:r>
      <w:r>
        <w:rPr>
          <w:rStyle w:val="CharDivText"/>
        </w:rPr>
        <w:t>Initial report</w:t>
      </w:r>
      <w:bookmarkEnd w:id="33"/>
    </w:p>
    <w:p>
      <w:pPr>
        <w:pStyle w:val="Heading5"/>
      </w:pPr>
      <w:bookmarkStart w:id="34" w:name="_Toc216772934"/>
      <w:r>
        <w:rPr>
          <w:rStyle w:val="CharSectno"/>
        </w:rPr>
        <w:t>24</w:t>
      </w:r>
      <w:r>
        <w:t>.</w:t>
      </w:r>
      <w:r>
        <w:tab/>
        <w:t>When report must be made</w:t>
      </w:r>
      <w:bookmarkEnd w:id="34"/>
    </w:p>
    <w:p>
      <w:pPr>
        <w:pStyle w:val="Subsection"/>
      </w:pPr>
      <w:r>
        <w:tab/>
        <w:t>(1)</w:t>
      </w:r>
      <w:r>
        <w:tab/>
        <w:t>Subject to subsection (2A), a reportable offender of a kind referred to in column 1 of the Table to this subsection must report the offender’s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the offender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the offender ceases to be in government custody, whichever is the later</w:t>
            </w:r>
          </w:p>
        </w:tc>
      </w:tr>
      <w:tr>
        <w:tc>
          <w:tcPr>
            <w:tcW w:w="2976" w:type="dxa"/>
          </w:tcPr>
          <w:p>
            <w:pPr>
              <w:pStyle w:val="Table"/>
              <w:keepNext/>
            </w:pPr>
            <w:r>
              <w:lastRenderedPageBreak/>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the offender is given written notice of the offender’s reporting obligations within 53 days after that day, within 7 days after the offender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the offender is sentenced</w:t>
            </w:r>
          </w:p>
        </w:tc>
      </w:tr>
      <w:tr>
        <w:tc>
          <w:tcPr>
            <w:tcW w:w="2976" w:type="dxa"/>
          </w:tcPr>
          <w:p>
            <w:pPr>
              <w:pStyle w:val="Table"/>
              <w:spacing w:before="120"/>
            </w:pPr>
            <w:r>
              <w:t>A reportable offender who enters Western Australia from a foreign jurisdiction and who has not previously been required under this section to report the offender’s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the offender’s personal details to the Commissioner and who is in Western Australia on the date on which the offender becomes a corresponding reportable offender</w:t>
            </w:r>
          </w:p>
        </w:tc>
        <w:tc>
          <w:tcPr>
            <w:tcW w:w="3545" w:type="dxa"/>
            <w:tcBorders>
              <w:bottom w:val="single" w:sz="4" w:space="0" w:color="auto"/>
            </w:tcBorders>
          </w:tcPr>
          <w:p>
            <w:pPr>
              <w:pStyle w:val="Table"/>
              <w:spacing w:before="120"/>
            </w:pPr>
            <w:r>
              <w:t>Within 7 days after the offender becomes a corresponding reportable offender or 7 days after the offender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w:t>
      </w:r>
      <w:r>
        <w:t>a reporting order</w:t>
      </w:r>
      <w:r>
        <w:rPr>
          <w:color w:val="000000"/>
        </w:rPr>
        <w:t xml:space="preserve"> must report </w:t>
      </w:r>
      <w:r>
        <w:t>the offender’s</w:t>
      </w:r>
      <w:r>
        <w:rPr>
          <w:color w:val="000000"/>
        </w:rPr>
        <w:t xml:space="preserve"> personal details to the Commissioner — </w:t>
      </w:r>
    </w:p>
    <w:p>
      <w:pPr>
        <w:pStyle w:val="Indenta"/>
      </w:pPr>
      <w:r>
        <w:tab/>
        <w:t>(a)</w:t>
      </w:r>
      <w:r>
        <w:tab/>
        <w:t>within 7 days after the order is made; or</w:t>
      </w:r>
    </w:p>
    <w:p>
      <w:pPr>
        <w:pStyle w:val="Indenta"/>
      </w:pPr>
      <w:r>
        <w:tab/>
        <w:t>(b)</w:t>
      </w:r>
      <w:r>
        <w:tab/>
        <w:t>if the offender is in government custody — within 7 days after ceasing to be in government custody.</w:t>
      </w:r>
    </w:p>
    <w:p>
      <w:pPr>
        <w:pStyle w:val="Subsection"/>
      </w:pPr>
      <w:r>
        <w:lastRenderedPageBreak/>
        <w:tab/>
        <w:t>(2)</w:t>
      </w:r>
      <w:r>
        <w:tab/>
        <w:t xml:space="preserve">Despite </w:t>
      </w:r>
      <w:r>
        <w:rPr>
          <w:color w:val="000000"/>
        </w:rPr>
        <w:t xml:space="preserve">subsections (1) and (2A), </w:t>
      </w:r>
      <w:r>
        <w:t>a reportable offender must report the offender’s personal details to the Commissioner before leaving Western Australia unless the offender entered Western Australia from a foreign jurisdiction and remained in Western Australia for less than 14 consecutive days, not counting any days spent in government custody.</w:t>
      </w:r>
    </w:p>
    <w:p>
      <w:pPr>
        <w:pStyle w:val="Footnotesection"/>
      </w:pPr>
      <w:r>
        <w:tab/>
        <w:t>[Section 24 amended: No. 54 of 2012 s. 12; No. 31 of 2024 s. 28; No. 35 of 2024 s. 13.]</w:t>
      </w:r>
    </w:p>
    <w:p>
      <w:pPr>
        <w:pStyle w:val="Heading5"/>
      </w:pPr>
      <w:bookmarkStart w:id="35" w:name="_Toc216772935"/>
      <w:r>
        <w:rPr>
          <w:rStyle w:val="CharSectno"/>
        </w:rPr>
        <w:t>25</w:t>
      </w:r>
      <w:r>
        <w:t>.</w:t>
      </w:r>
      <w:r>
        <w:tab/>
        <w:t>When new initial report must be made by offender whose previous reporting obligations have ceased</w:t>
      </w:r>
      <w:bookmarkEnd w:id="35"/>
    </w:p>
    <w:p>
      <w:pPr>
        <w:pStyle w:val="Subsection"/>
      </w:pPr>
      <w:r>
        <w:tab/>
        <w:t>(1)</w:t>
      </w:r>
      <w:r>
        <w:tab/>
        <w:t xml:space="preserve">If a reportable offender’s reporting period expires but the offender is then sentenced for a reportable offence, the offender must report the offender’s personal details to the Commissioner — </w:t>
      </w:r>
    </w:p>
    <w:p>
      <w:pPr>
        <w:pStyle w:val="Indenta"/>
      </w:pPr>
      <w:r>
        <w:tab/>
        <w:t>(a)</w:t>
      </w:r>
      <w:r>
        <w:tab/>
        <w:t>within 7 days after being sentenced for the reportable offence; or</w:t>
      </w:r>
    </w:p>
    <w:p>
      <w:pPr>
        <w:pStyle w:val="Indenta"/>
      </w:pPr>
      <w:r>
        <w:tab/>
        <w:t>(aa)</w:t>
      </w:r>
      <w:r>
        <w:tab/>
        <w:t>if the offence results in the making of a reporting order that is not made at the time of sentencing for the offence – within 7 days after the order is made; or</w:t>
      </w:r>
    </w:p>
    <w:p>
      <w:pPr>
        <w:pStyle w:val="Indenta"/>
      </w:pPr>
      <w:r>
        <w:tab/>
        <w:t>(b)</w:t>
      </w:r>
      <w:r>
        <w:tab/>
        <w:t>if the offender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the offender then becomes a corresponding reportable offender who must under section 49 continue to comply with the reporting obligations imposed by this Part for any period, the offender must report the offender’s personal details to the Commissioner — </w:t>
      </w:r>
    </w:p>
    <w:p>
      <w:pPr>
        <w:pStyle w:val="Indenta"/>
      </w:pPr>
      <w:r>
        <w:tab/>
        <w:t>(a)</w:t>
      </w:r>
      <w:r>
        <w:tab/>
        <w:t>within 7 days after becoming a corresponding reportable offender; or</w:t>
      </w:r>
    </w:p>
    <w:p>
      <w:pPr>
        <w:pStyle w:val="Indenta"/>
      </w:pPr>
      <w:r>
        <w:tab/>
        <w:t>(b)</w:t>
      </w:r>
      <w:r>
        <w:tab/>
        <w:t>if the offender is in government custody — within 7 days after ceasing to be in government custody,</w:t>
      </w:r>
    </w:p>
    <w:p>
      <w:pPr>
        <w:pStyle w:val="Subsection"/>
      </w:pPr>
      <w:r>
        <w:lastRenderedPageBreak/>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the offender’s personal details to the Commissioner — </w:t>
      </w:r>
    </w:p>
    <w:p>
      <w:pPr>
        <w:pStyle w:val="Indenta"/>
      </w:pPr>
      <w:r>
        <w:tab/>
        <w:t>(a)</w:t>
      </w:r>
      <w:r>
        <w:tab/>
        <w:t>within 7 days after the order ceases to have effect; or</w:t>
      </w:r>
    </w:p>
    <w:p>
      <w:pPr>
        <w:pStyle w:val="Indenta"/>
      </w:pPr>
      <w:r>
        <w:tab/>
        <w:t>(b)</w:t>
      </w:r>
      <w:r>
        <w:tab/>
        <w:t>if the offender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the offender’s personal details to the Commissioner — </w:t>
      </w:r>
    </w:p>
    <w:p>
      <w:pPr>
        <w:pStyle w:val="Indenta"/>
      </w:pPr>
      <w:r>
        <w:tab/>
        <w:t>(a)</w:t>
      </w:r>
      <w:r>
        <w:tab/>
        <w:t>within 7 days after the approval ceases to have effect; or</w:t>
      </w:r>
    </w:p>
    <w:p>
      <w:pPr>
        <w:pStyle w:val="Indenta"/>
      </w:pPr>
      <w:r>
        <w:tab/>
        <w:t>(b)</w:t>
      </w:r>
      <w:r>
        <w:tab/>
        <w:t>if the offender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the offender would be required under subsection (1), (2), (3) or (4) to report the offender’s personal details to the Commissioner, then the offender must report the offender’s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the person does not remain in Western Australia for 14 or more consecutive days, not counting any days spent in government custody.</w:t>
      </w:r>
    </w:p>
    <w:p>
      <w:pPr>
        <w:pStyle w:val="Subsection"/>
      </w:pPr>
      <w:r>
        <w:tab/>
        <w:t>(7)</w:t>
      </w:r>
      <w:r>
        <w:tab/>
        <w:t xml:space="preserve">Despite subsections (1), (2), (3) and (4), a reportable offender must report the offender’s personal details to the Commissioner </w:t>
      </w:r>
      <w:r>
        <w:lastRenderedPageBreak/>
        <w:t>before leaving Western Australia unless the offender entered Western Australia from a foreign jurisdiction and remained in Western Australia for less than 14 consecutive days, not counting any days spent in government custody.</w:t>
      </w:r>
    </w:p>
    <w:p>
      <w:pPr>
        <w:pStyle w:val="Footnotesection"/>
      </w:pPr>
      <w:r>
        <w:tab/>
        <w:t>[Section 25 amended: No. 31 of 2024 s. 28; No. 35 of 2024 s. 14.]</w:t>
      </w:r>
    </w:p>
    <w:p>
      <w:pPr>
        <w:pStyle w:val="Heading5"/>
      </w:pPr>
      <w:bookmarkStart w:id="36" w:name="_Toc216772936"/>
      <w:r>
        <w:rPr>
          <w:rStyle w:val="CharSectno"/>
        </w:rPr>
        <w:t>26</w:t>
      </w:r>
      <w:r>
        <w:t>.</w:t>
      </w:r>
      <w:r>
        <w:tab/>
        <w:t>Initial report by reportable offender of personal details</w:t>
      </w:r>
      <w:bookmarkEnd w:id="36"/>
    </w:p>
    <w:p>
      <w:pPr>
        <w:pStyle w:val="Subsection"/>
      </w:pPr>
      <w:r>
        <w:tab/>
        <w:t>(1)</w:t>
      </w:r>
      <w:r>
        <w:tab/>
        <w:t xml:space="preserve">The details the reportable offender must report are — </w:t>
      </w:r>
    </w:p>
    <w:p>
      <w:pPr>
        <w:pStyle w:val="Indenta"/>
        <w:spacing w:before="100"/>
      </w:pPr>
      <w:r>
        <w:tab/>
        <w:t>(a)</w:t>
      </w:r>
      <w:r>
        <w:tab/>
        <w:t>the offender’s name, together with any other name by which the offender is, or has previously been, known; and</w:t>
      </w:r>
    </w:p>
    <w:p>
      <w:pPr>
        <w:pStyle w:val="Indenta"/>
        <w:spacing w:before="100"/>
      </w:pPr>
      <w:r>
        <w:tab/>
        <w:t>(b)</w:t>
      </w:r>
      <w:r>
        <w:tab/>
        <w:t>in respect of each name other than the offender’s current name, the period during which the offender was known by that other name; and</w:t>
      </w:r>
    </w:p>
    <w:p>
      <w:pPr>
        <w:pStyle w:val="Indenta"/>
        <w:keepNext/>
        <w:spacing w:before="100"/>
      </w:pPr>
      <w:r>
        <w:tab/>
        <w:t>(c)</w:t>
      </w:r>
      <w:r>
        <w:tab/>
        <w:t>the offender’s date of birth; and</w:t>
      </w:r>
    </w:p>
    <w:p>
      <w:pPr>
        <w:pStyle w:val="Indenta"/>
      </w:pPr>
      <w:r>
        <w:tab/>
        <w:t>(ca)</w:t>
      </w:r>
      <w:r>
        <w:tab/>
        <w:t xml:space="preserve">the offender’s sex or gender — </w:t>
      </w:r>
    </w:p>
    <w:p>
      <w:pPr>
        <w:pStyle w:val="Indenti"/>
      </w:pPr>
      <w:r>
        <w:tab/>
        <w:t>(i)</w:t>
      </w:r>
      <w:r>
        <w:tab/>
        <w:t xml:space="preserve">as registered under the </w:t>
      </w:r>
      <w:r>
        <w:rPr>
          <w:i/>
        </w:rPr>
        <w:t>Births, Deaths and Marriages Registration Act 1998</w:t>
      </w:r>
      <w:r>
        <w:t xml:space="preserve"> or a corresponding law (as defined in section 4 of that Act); or</w:t>
      </w:r>
    </w:p>
    <w:p>
      <w:pPr>
        <w:pStyle w:val="Indenti"/>
        <w:rPr>
          <w:iCs/>
        </w:rPr>
      </w:pPr>
      <w:r>
        <w:tab/>
        <w:t>(ii)</w:t>
      </w:r>
      <w:r>
        <w:tab/>
        <w:t xml:space="preserve">as acknowledged in a document issued under the </w:t>
      </w:r>
      <w:r>
        <w:rPr>
          <w:i/>
        </w:rPr>
        <w:t xml:space="preserve">Births, Deaths and Marriages Registration Act 1998 </w:t>
      </w:r>
      <w:r>
        <w:rPr>
          <w:iCs/>
        </w:rPr>
        <w:t xml:space="preserve">section 36ZA, or </w:t>
      </w:r>
      <w:r>
        <w:t xml:space="preserve">a document issued under a corresponding law (as defined in </w:t>
      </w:r>
      <w:r>
        <w:rPr>
          <w:iCs/>
        </w:rPr>
        <w:t>section 4 of that Act), for the purpose of acknowledging a person’s sex or gender; or</w:t>
      </w:r>
    </w:p>
    <w:p>
      <w:pPr>
        <w:pStyle w:val="Indenti"/>
      </w:pPr>
      <w:r>
        <w:tab/>
        <w:t>(iii)</w:t>
      </w:r>
      <w:r>
        <w:tab/>
        <w:t xml:space="preserve">if neither subparagraph (i) nor (ii) apply in respect of the offender — being a sex or gender prescribed in regulations under the </w:t>
      </w:r>
      <w:r>
        <w:rPr>
          <w:i/>
        </w:rPr>
        <w:t>Births, Deaths and Marriages Registration Act 1998</w:t>
      </w:r>
      <w:r>
        <w:t xml:space="preserve"> and identified by the offender as the offender’s sex or gender;</w:t>
      </w:r>
    </w:p>
    <w:p>
      <w:pPr>
        <w:pStyle w:val="Indenta"/>
      </w:pPr>
      <w:r>
        <w:lastRenderedPageBreak/>
        <w:tab/>
      </w:r>
      <w:r>
        <w:tab/>
        <w:t>and</w:t>
      </w:r>
    </w:p>
    <w:p>
      <w:pPr>
        <w:pStyle w:val="Indenta"/>
      </w:pPr>
      <w:r>
        <w:tab/>
        <w:t>(cb)</w:t>
      </w:r>
      <w:r>
        <w:tab/>
        <w:t>details of each foreign citizenship that the offender holds (if any), including the name of the country for which it is held; and</w:t>
      </w:r>
    </w:p>
    <w:p>
      <w:pPr>
        <w:pStyle w:val="Indenta"/>
        <w:spacing w:before="100"/>
      </w:pPr>
      <w:r>
        <w:tab/>
        <w:t>(daa)</w:t>
      </w:r>
      <w:r>
        <w:tab/>
        <w:t>details of each passport that the offender holds (if any), including its number and expiry date and the name of the country that issued it; and</w:t>
      </w:r>
    </w:p>
    <w:p>
      <w:pPr>
        <w:pStyle w:val="Indenta"/>
      </w:pPr>
      <w:r>
        <w:tab/>
        <w:t>(d)</w:t>
      </w:r>
      <w:r>
        <w:tab/>
        <w:t xml:space="preserve">the address of each of the following — </w:t>
      </w:r>
    </w:p>
    <w:p>
      <w:pPr>
        <w:pStyle w:val="Indenti"/>
      </w:pPr>
      <w:r>
        <w:tab/>
        <w:t>(i)</w:t>
      </w:r>
      <w:r>
        <w:tab/>
        <w:t>each premises at which the offender generally resides or, if they do not generally reside at any particular premises, the name of each of the localities in which they can generally be found;</w:t>
      </w:r>
    </w:p>
    <w:p>
      <w:pPr>
        <w:pStyle w:val="Indenti"/>
      </w:pPr>
      <w:r>
        <w:tab/>
        <w:t>(ii)</w:t>
      </w:r>
      <w:r>
        <w:tab/>
        <w:t>each other premises (including a storage facility), if any, owned or rented by the offender or of which the offender has control or management;</w:t>
      </w:r>
    </w:p>
    <w:p>
      <w:pPr>
        <w:pStyle w:val="Indenta"/>
      </w:pPr>
      <w:r>
        <w:tab/>
      </w:r>
      <w:r>
        <w:tab/>
        <w:t>and</w:t>
      </w:r>
    </w:p>
    <w:p>
      <w:pPr>
        <w:pStyle w:val="Indenta"/>
        <w:spacing w:before="100"/>
      </w:pPr>
      <w:r>
        <w:tab/>
        <w:t>(da)</w:t>
      </w:r>
      <w:r>
        <w:tab/>
        <w:t>each telephone number that the offender has or that the offender regularly uses; and</w:t>
      </w:r>
    </w:p>
    <w:p>
      <w:pPr>
        <w:pStyle w:val="Indenta"/>
        <w:spacing w:before="100"/>
      </w:pPr>
      <w:r>
        <w:tab/>
        <w:t>(db)</w:t>
      </w:r>
      <w:r>
        <w:tab/>
        <w:t>each email address (if any) that the offender has or that the offender regularly uses; and</w:t>
      </w:r>
    </w:p>
    <w:p>
      <w:pPr>
        <w:pStyle w:val="Indenta"/>
        <w:spacing w:before="100"/>
      </w:pPr>
      <w:r>
        <w:tab/>
        <w:t>(dc)</w:t>
      </w:r>
      <w:r>
        <w:tab/>
        <w:t xml:space="preserve">the name of each Internet service provider whose Internet carriage service — </w:t>
      </w:r>
    </w:p>
    <w:p>
      <w:pPr>
        <w:pStyle w:val="Indenti"/>
        <w:spacing w:before="100"/>
      </w:pPr>
      <w:r>
        <w:tab/>
        <w:t>(i)</w:t>
      </w:r>
      <w:r>
        <w:tab/>
        <w:t>the offender is supplied with; or</w:t>
      </w:r>
    </w:p>
    <w:p>
      <w:pPr>
        <w:pStyle w:val="Indenti"/>
        <w:spacing w:before="100"/>
      </w:pPr>
      <w:r>
        <w:tab/>
        <w:t>(ii)</w:t>
      </w:r>
      <w:r>
        <w:tab/>
        <w:t>the offender regularly uses;</w:t>
      </w:r>
    </w:p>
    <w:p>
      <w:pPr>
        <w:pStyle w:val="Indenta"/>
        <w:spacing w:before="100"/>
      </w:pPr>
      <w:r>
        <w:tab/>
      </w:r>
      <w:r>
        <w:tab/>
        <w:t>and</w:t>
      </w:r>
    </w:p>
    <w:p>
      <w:pPr>
        <w:pStyle w:val="Indenta"/>
      </w:pPr>
      <w:r>
        <w:tab/>
        <w:t>(dd)</w:t>
      </w:r>
      <w:r>
        <w:tab/>
        <w:t xml:space="preserve">each name (other than a name reported under paragraph (a)), if any, that the offender uses, or by which the offender is known, when using each of the following (if any) — </w:t>
      </w:r>
    </w:p>
    <w:p>
      <w:pPr>
        <w:pStyle w:val="Indenti"/>
      </w:pPr>
      <w:r>
        <w:tab/>
        <w:t>(i)</w:t>
      </w:r>
      <w:r>
        <w:tab/>
        <w:t>the internet for the purposes of communication;</w:t>
      </w:r>
    </w:p>
    <w:p>
      <w:pPr>
        <w:pStyle w:val="Indenti"/>
      </w:pPr>
      <w:r>
        <w:tab/>
        <w:t>(ii)</w:t>
      </w:r>
      <w:r>
        <w:tab/>
        <w:t>an electronic communication service;</w:t>
      </w:r>
    </w:p>
    <w:p>
      <w:pPr>
        <w:pStyle w:val="Indenti"/>
      </w:pPr>
      <w:r>
        <w:lastRenderedPageBreak/>
        <w:tab/>
        <w:t>(iii)</w:t>
      </w:r>
      <w:r>
        <w:tab/>
        <w:t xml:space="preserve">an incidental communication application; </w:t>
      </w:r>
    </w:p>
    <w:p>
      <w:pPr>
        <w:pStyle w:val="Indenta"/>
      </w:pPr>
      <w:r>
        <w:tab/>
      </w:r>
      <w:r>
        <w:tab/>
        <w:t>and</w:t>
      </w:r>
    </w:p>
    <w:p>
      <w:pPr>
        <w:pStyle w:val="Indenta"/>
      </w:pPr>
      <w:r>
        <w:tab/>
        <w:t>(de)</w:t>
      </w:r>
      <w:r>
        <w:tab/>
        <w:t xml:space="preserve">the name or URL of each of the following (if any) in connection with which the offender uses a name referred to in paragraph (a) or (dd) or an email address referred to in paragraph (db) — </w:t>
      </w:r>
    </w:p>
    <w:p>
      <w:pPr>
        <w:pStyle w:val="Indenti"/>
      </w:pPr>
      <w:r>
        <w:tab/>
        <w:t>(i)</w:t>
      </w:r>
      <w:r>
        <w:tab/>
        <w:t xml:space="preserve">a website; </w:t>
      </w:r>
    </w:p>
    <w:p>
      <w:pPr>
        <w:pStyle w:val="Indenti"/>
      </w:pPr>
      <w:r>
        <w:tab/>
        <w:t>(ii)</w:t>
      </w:r>
      <w:r>
        <w:tab/>
        <w:t>an electronic communication service;</w:t>
      </w:r>
    </w:p>
    <w:p>
      <w:pPr>
        <w:pStyle w:val="Indenti"/>
      </w:pPr>
      <w:r>
        <w:tab/>
        <w:t>(iii)</w:t>
      </w:r>
      <w:r>
        <w:tab/>
        <w:t>an incidental communication application;</w:t>
      </w:r>
    </w:p>
    <w:p>
      <w:pPr>
        <w:pStyle w:val="Indenta"/>
      </w:pPr>
      <w:r>
        <w:tab/>
      </w:r>
      <w:r>
        <w:tab/>
        <w:t>and</w:t>
      </w:r>
    </w:p>
    <w:p>
      <w:pPr>
        <w:pStyle w:val="Indenta"/>
        <w:spacing w:before="64"/>
      </w:pPr>
      <w:r>
        <w:tab/>
        <w:t>(df)</w:t>
      </w:r>
      <w:r>
        <w:tab/>
        <w:t xml:space="preserve">each user name, code, password or other information (if any) that the offender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an electronic communication service referred to in paragraph (de); or</w:t>
      </w:r>
    </w:p>
    <w:p>
      <w:pPr>
        <w:pStyle w:val="Indenti"/>
      </w:pPr>
      <w:r>
        <w:tab/>
        <w:t>(iii)</w:t>
      </w:r>
      <w:r>
        <w:tab/>
        <w:t>an incidental communication application referred to in paragraph (de);</w:t>
      </w:r>
    </w:p>
    <w:p>
      <w:pPr>
        <w:pStyle w:val="Indenta"/>
        <w:spacing w:before="64"/>
      </w:pPr>
      <w:r>
        <w:tab/>
      </w:r>
      <w:r>
        <w:tab/>
        <w:t>and</w:t>
      </w:r>
    </w:p>
    <w:p>
      <w:pPr>
        <w:pStyle w:val="Indenta"/>
      </w:pPr>
      <w:r>
        <w:tab/>
        <w:t>(e)</w:t>
      </w:r>
      <w:r>
        <w:tab/>
        <w:t xml:space="preserve">reportable contact details of each reportable contact (if any) the offender — </w:t>
      </w:r>
    </w:p>
    <w:p>
      <w:pPr>
        <w:pStyle w:val="Indenti"/>
      </w:pPr>
      <w:r>
        <w:tab/>
        <w:t>(i)</w:t>
      </w:r>
      <w:r>
        <w:tab/>
        <w:t xml:space="preserve">has with a child; or </w:t>
      </w:r>
    </w:p>
    <w:p>
      <w:pPr>
        <w:pStyle w:val="Indenti"/>
      </w:pPr>
      <w:r>
        <w:tab/>
        <w:t>(ii)</w:t>
      </w:r>
      <w:r>
        <w:tab/>
        <w:t>is likely to have with a child within the period of 12 months after the day on which the report is made;</w:t>
      </w:r>
    </w:p>
    <w:p>
      <w:pPr>
        <w:pStyle w:val="Indenta"/>
      </w:pPr>
      <w:r>
        <w:tab/>
      </w:r>
      <w:r>
        <w:tab/>
        <w:t>and</w:t>
      </w:r>
    </w:p>
    <w:p>
      <w:pPr>
        <w:pStyle w:val="Ednotepara"/>
      </w:pPr>
      <w:r>
        <w:tab/>
        <w:t>[(fa)</w:t>
      </w:r>
      <w:r>
        <w:tab/>
        <w:t>deleted]</w:t>
      </w:r>
    </w:p>
    <w:p>
      <w:pPr>
        <w:pStyle w:val="Indenta"/>
        <w:spacing w:before="64"/>
      </w:pPr>
      <w:r>
        <w:lastRenderedPageBreak/>
        <w:tab/>
        <w:t>(f)</w:t>
      </w:r>
      <w:r>
        <w:tab/>
        <w:t xml:space="preserve">if the offender is employed — </w:t>
      </w:r>
    </w:p>
    <w:p>
      <w:pPr>
        <w:pStyle w:val="Indenti"/>
        <w:spacing w:before="64"/>
      </w:pPr>
      <w:r>
        <w:tab/>
        <w:t>(i)</w:t>
      </w:r>
      <w:r>
        <w:tab/>
        <w:t>the nature of the offender’s employment; and</w:t>
      </w:r>
    </w:p>
    <w:p>
      <w:pPr>
        <w:pStyle w:val="Indenti"/>
        <w:spacing w:before="64"/>
      </w:pPr>
      <w:r>
        <w:tab/>
        <w:t>(ii)</w:t>
      </w:r>
      <w:r>
        <w:tab/>
        <w:t>the name of the offender’s employer (if any); and</w:t>
      </w:r>
    </w:p>
    <w:p>
      <w:pPr>
        <w:pStyle w:val="Indenti"/>
        <w:spacing w:before="64"/>
      </w:pPr>
      <w:r>
        <w:tab/>
        <w:t>(iii)</w:t>
      </w:r>
      <w:r>
        <w:tab/>
        <w:t>the address of each of the premises at which the offender is generally employed or, if the offender is not generally employed at any particular premises, the name of each of the localities in which the offender is generally employed;</w:t>
      </w:r>
    </w:p>
    <w:p>
      <w:pPr>
        <w:pStyle w:val="Indenta"/>
        <w:spacing w:before="64"/>
      </w:pPr>
      <w:r>
        <w:tab/>
      </w:r>
      <w:r>
        <w:tab/>
        <w:t>and</w:t>
      </w:r>
    </w:p>
    <w:p>
      <w:pPr>
        <w:pStyle w:val="Indenta"/>
      </w:pPr>
      <w:r>
        <w:tab/>
        <w:t>(g)</w:t>
      </w:r>
      <w:r>
        <w:tab/>
        <w:t>details of the offender’s affiliation with each club or organisation (if any) that has members who are children or that conducts activities in which children participate; and</w:t>
      </w:r>
    </w:p>
    <w:p>
      <w:pPr>
        <w:pStyle w:val="Indenta"/>
      </w:pPr>
      <w:r>
        <w:tab/>
        <w:t>(h)</w:t>
      </w:r>
      <w:r>
        <w:tab/>
        <w:t>the make, model, colour and registration number of each motor vehicle (if any) owned by, or generally driven by, the offender; and</w:t>
      </w:r>
    </w:p>
    <w:p>
      <w:pPr>
        <w:pStyle w:val="Indenta"/>
      </w:pPr>
      <w:r>
        <w:tab/>
        <w:t>(i)</w:t>
      </w:r>
      <w:r>
        <w:tab/>
        <w:t>details of each tattoo or permanent distinguishing mark that the offender has (including details of each tattoo or mark that has been removed) if any; and</w:t>
      </w:r>
    </w:p>
    <w:p>
      <w:pPr>
        <w:pStyle w:val="Indenta"/>
      </w:pPr>
      <w:r>
        <w:tab/>
        <w:t>(j)</w:t>
      </w:r>
      <w:r>
        <w:tab/>
        <w:t>whether the offender has ever been found guilty in any foreign jurisdiction of a reportable offence or of an offence that required the offender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the offender has been in government custody since the offender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the offender leaves, or intends to leave, Western Australia to </w:t>
      </w:r>
      <w:r>
        <w:lastRenderedPageBreak/>
        <w:t xml:space="preserve">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Indenta"/>
      </w:pPr>
      <w:r>
        <w:tab/>
      </w:r>
      <w:r>
        <w:tab/>
        <w:t>and</w:t>
      </w:r>
    </w:p>
    <w:p>
      <w:pPr>
        <w:pStyle w:val="Indenta"/>
      </w:pPr>
      <w:r>
        <w:tab/>
        <w:t>(m)</w:t>
      </w:r>
      <w:r>
        <w:tab/>
        <w:t>the name of each authorised deposit</w:t>
      </w:r>
      <w:r>
        <w:noBreakHyphen/>
        <w:t xml:space="preserve">taking institution, as defined in the </w:t>
      </w:r>
      <w:r>
        <w:rPr>
          <w:i/>
        </w:rPr>
        <w:t>Banking Act 1959</w:t>
      </w:r>
      <w:r>
        <w:t xml:space="preserve"> (Commonwealth) section 5(1), or other prescribed financial service provider, with which the offender has an account or dealings; and</w:t>
      </w:r>
    </w:p>
    <w:p>
      <w:pPr>
        <w:pStyle w:val="Indenta"/>
      </w:pPr>
      <w:r>
        <w:tab/>
        <w:t>(n)</w:t>
      </w:r>
      <w:r>
        <w:tab/>
        <w:t>any other prescribed information.</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own, rent, control or manage any particular premises unless the offender (as the case requires) resides at, owns, rents, controls or manages those premises for at least 3 days (whether consecutive or not) in any period of 12 months; and</w:t>
      </w:r>
    </w:p>
    <w:p>
      <w:pPr>
        <w:pStyle w:val="Ednotepara"/>
      </w:pPr>
      <w:r>
        <w:tab/>
        <w:t>[(b)</w:t>
      </w:r>
      <w:r>
        <w:noBreakHyphen/>
        <w:t>(db)</w:t>
      </w:r>
      <w:r>
        <w:tab/>
        <w:t>deleted]</w:t>
      </w:r>
    </w:p>
    <w:p>
      <w:pPr>
        <w:pStyle w:val="Indenta"/>
        <w:spacing w:before="70"/>
      </w:pPr>
      <w:r>
        <w:lastRenderedPageBreak/>
        <w:tab/>
        <w:t>(d)</w:t>
      </w:r>
      <w:r>
        <w:tab/>
        <w:t>a reportable offender is not generally employed at any particular premises unless the offender is employed at those premises for at least 3 days (whether consecutive or not) in any period of 12 months; and</w:t>
      </w:r>
    </w:p>
    <w:p>
      <w:pPr>
        <w:pStyle w:val="Indenta"/>
        <w:spacing w:before="70"/>
      </w:pPr>
      <w:r>
        <w:tab/>
        <w:t>(e)</w:t>
      </w:r>
      <w:r>
        <w:tab/>
        <w:t>a reportable offender does not generally drive a particular motor vehicle unless the person drives that vehicle for at least 3 days (whether consecutive or not) in any period of 12 months.</w:t>
      </w:r>
    </w:p>
    <w:p>
      <w:pPr>
        <w:pStyle w:val="Subsection"/>
      </w:pPr>
      <w:r>
        <w:tab/>
        <w:t>(3)</w:t>
      </w:r>
      <w:r>
        <w:tab/>
        <w:t xml:space="preserve">For the purposes of this section, a person is taken to be employed if the person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Subsection"/>
      </w:pPr>
      <w:r>
        <w:tab/>
        <w:t>(5)</w:t>
      </w:r>
      <w:r>
        <w:tab/>
        <w:t xml:space="preserve">For the purposes of subsection (1)(dd), (de) or (df), an </w:t>
      </w:r>
      <w:r>
        <w:rPr>
          <w:rStyle w:val="CharDefText"/>
        </w:rPr>
        <w:t>incidental communication application</w:t>
      </w:r>
      <w:r>
        <w:t xml:space="preserve"> includes software, an application or an electronic device that may be used for communication or that has communication as an incidental function.</w:t>
      </w:r>
    </w:p>
    <w:p>
      <w:pPr>
        <w:pStyle w:val="PermNoteHeading"/>
      </w:pPr>
      <w:r>
        <w:tab/>
        <w:t>Example for this subsection:</w:t>
      </w:r>
    </w:p>
    <w:p>
      <w:pPr>
        <w:pStyle w:val="PermNoteText"/>
      </w:pPr>
      <w:r>
        <w:tab/>
      </w:r>
      <w:r>
        <w:tab/>
        <w:t>Computer games or consoles.</w:t>
      </w:r>
    </w:p>
    <w:p>
      <w:pPr>
        <w:pStyle w:val="Footnotesection"/>
      </w:pPr>
      <w:r>
        <w:lastRenderedPageBreak/>
        <w:tab/>
        <w:t>[Section 26 amended: No. 27 of 2008 s. 4; No. 54 of 2012 s. 13 and 42(2); No. 31 of 2024 s. 24 and 28; No. 35 of 2024 s. 15.]</w:t>
      </w:r>
    </w:p>
    <w:p>
      <w:pPr>
        <w:pStyle w:val="Heading5"/>
      </w:pPr>
      <w:bookmarkStart w:id="37" w:name="_Toc216772937"/>
      <w:r>
        <w:rPr>
          <w:rStyle w:val="CharSectno"/>
        </w:rPr>
        <w:t>27</w:t>
      </w:r>
      <w:r>
        <w:t>.</w:t>
      </w:r>
      <w:r>
        <w:tab/>
        <w:t>Persons required to report under corresponding Act</w:t>
      </w:r>
      <w:bookmarkEnd w:id="37"/>
    </w:p>
    <w:p>
      <w:pPr>
        <w:pStyle w:val="Subsection"/>
      </w:pPr>
      <w:r>
        <w:tab/>
        <w:t>(1)</w:t>
      </w:r>
      <w:r>
        <w:tab/>
        <w:t>This section applies to a person (other than a person to whom Division 10 applies) who has been required to report to a corresponding registrar, whether or not the person is a reportable offender for the purposes of this Act.</w:t>
      </w:r>
    </w:p>
    <w:p>
      <w:pPr>
        <w:pStyle w:val="Subsection"/>
      </w:pPr>
      <w:r>
        <w:tab/>
        <w:t>(2)</w:t>
      </w:r>
      <w:r>
        <w:tab/>
        <w:t>Unless the person has previously complied with the obligation imposed by this section, the person must, within 7 days after entering Western Australia, contact (by telephone or another means prescribed) an authorised person nominated by the Commissioner for the purposes of this section.</w:t>
      </w:r>
    </w:p>
    <w:p>
      <w:pPr>
        <w:pStyle w:val="Subsection"/>
        <w:spacing w:before="120"/>
      </w:pPr>
      <w:r>
        <w:tab/>
        <w:t>(3)</w:t>
      </w:r>
      <w:r>
        <w:tab/>
        <w:t>The contacted authorised person must advise the person whether the person is a reportable offender for the purposes of this Act and any reporting obligations that the person has under this Act.</w:t>
      </w:r>
    </w:p>
    <w:p>
      <w:pPr>
        <w:pStyle w:val="Subsection"/>
      </w:pPr>
      <w:r>
        <w:tab/>
        <w:t>(4)</w:t>
      </w:r>
      <w:r>
        <w:tab/>
        <w:t xml:space="preserve">A person does not commit an offence against section 63 because of a failure to comply with the reporting obligation imposed by subsection (2) if the person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Footnotesection"/>
      </w:pPr>
      <w:r>
        <w:tab/>
        <w:t>[Section 27 amended: No. 31 of 2024 s. 28; No. 35 of 2024 s. 59.]</w:t>
      </w:r>
    </w:p>
    <w:p>
      <w:pPr>
        <w:pStyle w:val="Heading3"/>
      </w:pPr>
      <w:bookmarkStart w:id="38" w:name="_Toc216772938"/>
      <w:r>
        <w:rPr>
          <w:rStyle w:val="CharDivNo"/>
        </w:rPr>
        <w:lastRenderedPageBreak/>
        <w:t>Division 2</w:t>
      </w:r>
      <w:r>
        <w:t> — </w:t>
      </w:r>
      <w:r>
        <w:rPr>
          <w:rStyle w:val="CharDivText"/>
        </w:rPr>
        <w:t>Ongoing reporting obligations</w:t>
      </w:r>
      <w:bookmarkEnd w:id="38"/>
    </w:p>
    <w:p>
      <w:pPr>
        <w:pStyle w:val="Heading4"/>
      </w:pPr>
      <w:bookmarkStart w:id="39" w:name="_Toc216772939"/>
      <w:r>
        <w:rPr>
          <w:rStyle w:val="CharSDivNo"/>
        </w:rPr>
        <w:t>Subdivision 1</w:t>
      </w:r>
      <w:r>
        <w:t> —</w:t>
      </w:r>
      <w:r>
        <w:rPr>
          <w:rStyle w:val="CharSDivText"/>
        </w:rPr>
        <w:t> General</w:t>
      </w:r>
      <w:bookmarkEnd w:id="39"/>
    </w:p>
    <w:p>
      <w:pPr>
        <w:pStyle w:val="Footnoteheading"/>
        <w:keepNext/>
      </w:pPr>
      <w:r>
        <w:tab/>
        <w:t>[Heading inserted: No. 35 of 2024 s. 16.]</w:t>
      </w:r>
    </w:p>
    <w:p>
      <w:pPr>
        <w:pStyle w:val="Heading5"/>
      </w:pPr>
      <w:bookmarkStart w:id="40" w:name="_Toc216772940"/>
      <w:r>
        <w:rPr>
          <w:rStyle w:val="CharSectno"/>
        </w:rPr>
        <w:t>28</w:t>
      </w:r>
      <w:r>
        <w:t>.</w:t>
      </w:r>
      <w:r>
        <w:tab/>
        <w:t>Reportable offender to report annually and as required by Commissioner</w:t>
      </w:r>
      <w:bookmarkEnd w:id="40"/>
    </w:p>
    <w:p>
      <w:pPr>
        <w:pStyle w:val="Subsection"/>
      </w:pPr>
      <w:r>
        <w:tab/>
        <w:t>(1)</w:t>
      </w:r>
      <w:r>
        <w:tab/>
        <w:t>A reportable offender must report the offender’s personal details to the Commissioner each year.</w:t>
      </w:r>
    </w:p>
    <w:p>
      <w:pPr>
        <w:pStyle w:val="Subsection"/>
      </w:pPr>
      <w:r>
        <w:tab/>
        <w:t>(2)</w:t>
      </w:r>
      <w:r>
        <w:tab/>
        <w:t>The reportable offender must make the report in each year during the calendar month in which the offender first reported in accordance with this Act or a corresponding Act.</w:t>
      </w:r>
    </w:p>
    <w:p>
      <w:pPr>
        <w:pStyle w:val="Subsection"/>
      </w:pPr>
      <w:r>
        <w:tab/>
        <w:t>(3)</w:t>
      </w:r>
      <w:r>
        <w:tab/>
        <w:t>The Commissioner may, at any time, cause written notice to be given to a reportable offender requiring the reportable offender to report the offender’s personal details to the Commissioner at the time or times stated in the notice.</w:t>
      </w:r>
    </w:p>
    <w:p>
      <w:pPr>
        <w:pStyle w:val="Subsection"/>
      </w:pPr>
      <w:r>
        <w:tab/>
        <w:t>(4)</w:t>
      </w:r>
      <w:r>
        <w:tab/>
        <w:t>A reportable offender must report the offender’s personal details to the Commissioner in accordance with a notice under subsection (3).</w:t>
      </w:r>
    </w:p>
    <w:p>
      <w:pPr>
        <w:pStyle w:val="Subsection"/>
      </w:pPr>
      <w:r>
        <w:tab/>
        <w:t>(5)</w:t>
      </w:r>
      <w:r>
        <w:tab/>
        <w:t>If the reportable offender has been in government custody for any period since the offender last reported the offender’s personal details under this section, the details the offender must report include details of when and where that custody occurred.</w:t>
      </w:r>
    </w:p>
    <w:p>
      <w:pPr>
        <w:pStyle w:val="Subsection"/>
      </w:pPr>
      <w:r>
        <w:tab/>
        <w:t>(6)</w:t>
      </w:r>
      <w:r>
        <w:tab/>
        <w:t>If a reportable offender’s reporting period expires but the offender is then required to report again under section 25, the reference in subsection (2) to the month during which the offender first reported is to be read as a reference to the month during which the offender first reported in respect of the current reporting period.</w:t>
      </w:r>
    </w:p>
    <w:p>
      <w:pPr>
        <w:pStyle w:val="Footnotesection"/>
      </w:pPr>
      <w:r>
        <w:tab/>
        <w:t>[Section 28 amended: No. 31 of 2024 s. 28.]</w:t>
      </w:r>
    </w:p>
    <w:p>
      <w:pPr>
        <w:pStyle w:val="Heading5"/>
      </w:pPr>
      <w:bookmarkStart w:id="41" w:name="_Toc216772941"/>
      <w:r>
        <w:rPr>
          <w:rStyle w:val="CharSectno"/>
        </w:rPr>
        <w:lastRenderedPageBreak/>
        <w:t>29</w:t>
      </w:r>
      <w:r>
        <w:t>.</w:t>
      </w:r>
      <w:r>
        <w:tab/>
        <w:t>Reportable offender to report changes to relevant personal details</w:t>
      </w:r>
      <w:bookmarkEnd w:id="41"/>
    </w:p>
    <w:p>
      <w:pPr>
        <w:pStyle w:val="Subsection"/>
      </w:pPr>
      <w:r>
        <w:rPr>
          <w:color w:val="000000"/>
        </w:rPr>
        <w:tab/>
        <w:t>(1)</w:t>
      </w:r>
      <w:r>
        <w:rPr>
          <w:color w:val="000000"/>
        </w:rPr>
        <w:tab/>
        <w:t xml:space="preserve">A reportable offender must report to the Commissioner any change in </w:t>
      </w:r>
      <w:r>
        <w:t>the offender’s</w:t>
      </w:r>
      <w:r>
        <w:rPr>
          <w:color w:val="000000"/>
        </w:rPr>
        <w:t xml:space="preserve"> personal details — </w:t>
      </w:r>
    </w:p>
    <w:p>
      <w:pPr>
        <w:pStyle w:val="Indenta"/>
      </w:pPr>
      <w:r>
        <w:tab/>
        <w:t>(a)</w:t>
      </w:r>
      <w:r>
        <w:tab/>
        <w:t xml:space="preserve">if the change relates to any of the details referred to in section 26(1)(d), within 24 hours after the change occurs; or </w:t>
      </w:r>
    </w:p>
    <w:p>
      <w:pPr>
        <w:pStyle w:val="Indenta"/>
      </w:pPr>
      <w:r>
        <w:tab/>
        <w:t>(b)</w:t>
      </w:r>
      <w:r>
        <w:tab/>
        <w:t>if the change relates to any of the details referred to in section 26(1)(f) or (h), within 3 days after the change occurs; or</w:t>
      </w:r>
    </w:p>
    <w:p>
      <w:pPr>
        <w:pStyle w:val="Indenta"/>
      </w:pPr>
      <w:r>
        <w:tab/>
        <w:t>(c)</w:t>
      </w:r>
      <w:r>
        <w:tab/>
        <w:t>otherwise, within 7 days after the change occurs.</w:t>
      </w:r>
    </w:p>
    <w:p>
      <w:pPr>
        <w:pStyle w:val="Subsection"/>
      </w:pPr>
      <w:r>
        <w:tab/>
        <w:t>(2)</w:t>
      </w:r>
      <w:r>
        <w:tab/>
        <w:t xml:space="preserve">For the purposes of subsection (1), a change occurs on the expiry of the 3 day period referred to in section 26(2)(a), (d) or (e) in relation to — </w:t>
      </w:r>
    </w:p>
    <w:p>
      <w:pPr>
        <w:pStyle w:val="Indenta"/>
      </w:pPr>
      <w:r>
        <w:tab/>
        <w:t>(a)</w:t>
      </w:r>
      <w:r>
        <w:tab/>
        <w:t xml:space="preserve">the premises that the reportable offender resides at, owns, rents, controls or manages; or </w:t>
      </w:r>
    </w:p>
    <w:p>
      <w:pPr>
        <w:pStyle w:val="Indenta"/>
      </w:pPr>
      <w:r>
        <w:tab/>
        <w:t>(b)</w:t>
      </w:r>
      <w:r>
        <w:tab/>
        <w:t>the premises where the reportable offender is generally employed; or</w:t>
      </w:r>
    </w:p>
    <w:p>
      <w:pPr>
        <w:pStyle w:val="Indenta"/>
      </w:pPr>
      <w:r>
        <w:tab/>
        <w:t>(c)</w:t>
      </w:r>
      <w:r>
        <w:tab/>
        <w:t>the motor vehicle that the reportable offender generally drives.</w:t>
      </w:r>
    </w:p>
    <w:p>
      <w:pPr>
        <w:pStyle w:val="Subsection"/>
      </w:pPr>
      <w:r>
        <w:tab/>
        <w:t>(2A)</w:t>
      </w:r>
      <w:r>
        <w:tab/>
        <w:t xml:space="preserve">For the purposes of subsection (1), a change occurs in a reportable offender’s personal details relating to sex or gender only if — </w:t>
      </w:r>
    </w:p>
    <w:p>
      <w:pPr>
        <w:pStyle w:val="Indenta"/>
      </w:pPr>
      <w:r>
        <w:tab/>
        <w:t>(a)</w:t>
      </w:r>
      <w:r>
        <w:tab/>
        <w:t xml:space="preserve">the registration of the offender’s sex or gender under the </w:t>
      </w:r>
      <w:r>
        <w:rPr>
          <w:i/>
        </w:rPr>
        <w:t>Births, Deaths and Marriages Registration Act 1998</w:t>
      </w:r>
      <w:r>
        <w:t xml:space="preserve"> or a corresponding law (as defined in section 4 of that Act) is changed; or</w:t>
      </w:r>
    </w:p>
    <w:p>
      <w:pPr>
        <w:pStyle w:val="Indenta"/>
        <w:rPr>
          <w:iCs/>
        </w:rPr>
      </w:pPr>
      <w:r>
        <w:tab/>
        <w:t>(b)</w:t>
      </w:r>
      <w:r>
        <w:tab/>
        <w:t xml:space="preserve">a document is issued under the </w:t>
      </w:r>
      <w:r>
        <w:rPr>
          <w:i/>
        </w:rPr>
        <w:t xml:space="preserve">Births, Deaths and Marriages Registration Act 1998 </w:t>
      </w:r>
      <w:r>
        <w:rPr>
          <w:iCs/>
        </w:rPr>
        <w:t xml:space="preserve">section 36ZA or </w:t>
      </w:r>
      <w:r>
        <w:t xml:space="preserve">a corresponding law (as defined in </w:t>
      </w:r>
      <w:r>
        <w:rPr>
          <w:iCs/>
        </w:rPr>
        <w:t>section 4 of that Act) for the purpose of acknowledging the offender’s sex or gender.</w:t>
      </w:r>
    </w:p>
    <w:p>
      <w:pPr>
        <w:pStyle w:val="Subsection"/>
      </w:pPr>
      <w:r>
        <w:lastRenderedPageBreak/>
        <w:tab/>
        <w:t>(3)</w:t>
      </w:r>
      <w:r>
        <w:tab/>
        <w:t>If the personal details of a reportable offender (other than one to whom Division 10 applies) change while the offender is not in Western Australia, the offender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the person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the offender’s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the offender leaves within that 7 day period.</w:t>
      </w:r>
    </w:p>
    <w:p>
      <w:pPr>
        <w:pStyle w:val="Subsection"/>
      </w:pPr>
      <w:r>
        <w:tab/>
        <w:t>(6)</w:t>
      </w:r>
      <w:r>
        <w:tab/>
        <w:t>Despite a reporting obligation in this section, a reportable offender is not required to report a change under this section that relates to reportable contact with a child referred to in section 26(1)(e).</w:t>
      </w:r>
    </w:p>
    <w:p>
      <w:pPr>
        <w:pStyle w:val="PermNoteHeading"/>
      </w:pPr>
      <w:r>
        <w:tab/>
        <w:t xml:space="preserve">Note for this subsection: </w:t>
      </w:r>
    </w:p>
    <w:p>
      <w:pPr>
        <w:pStyle w:val="PermNoteText"/>
      </w:pPr>
      <w:r>
        <w:tab/>
      </w:r>
      <w:r>
        <w:tab/>
        <w:t>A reportable offender’s ongoing obligations in relation to reportable contact with a child are provided under section 33A.</w:t>
      </w:r>
    </w:p>
    <w:p>
      <w:pPr>
        <w:pStyle w:val="Footnotesection"/>
      </w:pPr>
      <w:r>
        <w:tab/>
        <w:t>[Section 29 amended: No. 54 of 2012 s. 14; No. 31 of 2024 s. 25 and 28; No. 35 of 2024 s. 17.]</w:t>
      </w:r>
    </w:p>
    <w:p>
      <w:pPr>
        <w:pStyle w:val="Heading5"/>
        <w:spacing w:before="240"/>
      </w:pPr>
      <w:bookmarkStart w:id="42" w:name="_Toc216772942"/>
      <w:r>
        <w:rPr>
          <w:rStyle w:val="CharSectno"/>
        </w:rPr>
        <w:t>29A</w:t>
      </w:r>
      <w:r>
        <w:t>.</w:t>
      </w:r>
      <w:r>
        <w:tab/>
        <w:t>Intended absence from place of residence to be reported</w:t>
      </w:r>
      <w:bookmarkEnd w:id="42"/>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the offender generally resides, as determined in accordance with section 26(2)(a); or</w:t>
      </w:r>
    </w:p>
    <w:p>
      <w:pPr>
        <w:pStyle w:val="Indenta"/>
      </w:pPr>
      <w:r>
        <w:lastRenderedPageBreak/>
        <w:tab/>
        <w:t>(b)</w:t>
      </w:r>
      <w:r>
        <w:tab/>
        <w:t>if the offender does not generally reside at any particular premises, the localities in which the offender can generally be found.</w:t>
      </w:r>
    </w:p>
    <w:p>
      <w:pPr>
        <w:pStyle w:val="Subsection"/>
        <w:keepNext/>
      </w:pPr>
      <w:r>
        <w:tab/>
        <w:t>(2)</w:t>
      </w:r>
      <w:r>
        <w:tab/>
        <w:t xml:space="preserve">This section applies to a reportable offender who — </w:t>
      </w:r>
    </w:p>
    <w:p>
      <w:pPr>
        <w:pStyle w:val="Indenta"/>
      </w:pPr>
      <w:r>
        <w:tab/>
        <w:t>(a)</w:t>
      </w:r>
      <w:r>
        <w:tab/>
        <w:t>intends to leave the place where the offender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the offender generally resides, the reportable offender must report the intended absence to the Commissioner and must provide details of — </w:t>
      </w:r>
    </w:p>
    <w:p>
      <w:pPr>
        <w:pStyle w:val="Indenta"/>
      </w:pPr>
      <w:r>
        <w:tab/>
        <w:t>(a)</w:t>
      </w:r>
      <w:r>
        <w:tab/>
        <w:t>the dates, or approximate dates, of the period during which the offender intends to be absent from the place where the offender generally resides; and</w:t>
      </w:r>
    </w:p>
    <w:p>
      <w:pPr>
        <w:pStyle w:val="Indenta"/>
      </w:pPr>
      <w:r>
        <w:tab/>
        <w:t>(b)</w:t>
      </w:r>
      <w:r>
        <w:tab/>
        <w:t>each address or location within Western Australia at which the offender intends to reside (to the extent that they are known) and the dates, or approximate dates, of the periods during which the offender intends to reside at those addresses or locations.</w:t>
      </w:r>
    </w:p>
    <w:p>
      <w:pPr>
        <w:pStyle w:val="Subsection"/>
        <w:spacing w:before="150"/>
      </w:pPr>
      <w:r>
        <w:tab/>
        <w:t>(4)</w:t>
      </w:r>
      <w:r>
        <w:tab/>
        <w:t>If circumstances arise making it impracticable for a reportable offender to make the report at least 7 days before the offender leaves, it is sufficient compliance with subsection (3) if the reportable offender reports the required information to the Commissioner no later than 24 hours after leaving the place where the offender generally resides.</w:t>
      </w:r>
    </w:p>
    <w:p>
      <w:pPr>
        <w:pStyle w:val="Subsection"/>
        <w:spacing w:before="150"/>
      </w:pPr>
      <w:r>
        <w:tab/>
        <w:t>(5)</w:t>
      </w:r>
      <w:r>
        <w:tab/>
        <w:t>If the reportable offender decides not to leave the place where the offender generally resides, the offender must report the offender’s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the offender generally resides.</w:t>
      </w:r>
    </w:p>
    <w:p>
      <w:pPr>
        <w:pStyle w:val="Footnotesection"/>
        <w:spacing w:before="100"/>
      </w:pPr>
      <w:r>
        <w:lastRenderedPageBreak/>
        <w:tab/>
        <w:t>[Section 29A inserted: No. 27 of 2008 s. 5; amended: No. 31 of 2024 s. 28.]</w:t>
      </w:r>
    </w:p>
    <w:p>
      <w:pPr>
        <w:pStyle w:val="Heading5"/>
      </w:pPr>
      <w:bookmarkStart w:id="43" w:name="_Toc216772943"/>
      <w:r>
        <w:rPr>
          <w:rStyle w:val="CharSectno"/>
        </w:rPr>
        <w:t>30</w:t>
      </w:r>
      <w:r>
        <w:t>.</w:t>
      </w:r>
      <w:r>
        <w:tab/>
        <w:t>Intended absence from Western Australia to be reported</w:t>
      </w:r>
      <w:bookmarkEnd w:id="43"/>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spacing w:before="60"/>
      </w:pPr>
      <w:r>
        <w:tab/>
        <w:t>(a)</w:t>
      </w:r>
      <w:r>
        <w:tab/>
        <w:t>each State, Territory or country to which the offender intends to go while out of Western Australia; and</w:t>
      </w:r>
    </w:p>
    <w:p>
      <w:pPr>
        <w:pStyle w:val="Indenta"/>
        <w:spacing w:before="60"/>
      </w:pPr>
      <w:r>
        <w:tab/>
        <w:t>(b)</w:t>
      </w:r>
      <w:r>
        <w:tab/>
        <w:t>the approximate dates of the periods during which the offender intends to be in each of those States, Territories or countries; and</w:t>
      </w:r>
    </w:p>
    <w:p>
      <w:pPr>
        <w:pStyle w:val="Indenta"/>
        <w:spacing w:before="60"/>
      </w:pPr>
      <w:r>
        <w:tab/>
        <w:t>(c)</w:t>
      </w:r>
      <w:r>
        <w:tab/>
        <w:t>each address or location within each State, Territory or country at which the offender intends to reside (to the extent that they are known) and the approximate dates of the periods during which the offender intends to reside at those addresses or locations; and</w:t>
      </w:r>
    </w:p>
    <w:p>
      <w:pPr>
        <w:pStyle w:val="Indenta"/>
      </w:pPr>
      <w:r>
        <w:tab/>
        <w:t>(d)</w:t>
      </w:r>
      <w:r>
        <w:tab/>
        <w:t>if the offender intends to return to Western Australia, the approximate date on which the offender intends to return; and</w:t>
      </w:r>
    </w:p>
    <w:p>
      <w:pPr>
        <w:pStyle w:val="Indenta"/>
      </w:pPr>
      <w:r>
        <w:tab/>
        <w:t>(e)</w:t>
      </w:r>
      <w:r>
        <w:tab/>
        <w:t>if the offender does not intend to return to Western Australia, a statement of that intention.</w:t>
      </w:r>
    </w:p>
    <w:p>
      <w:pPr>
        <w:pStyle w:val="Subsection"/>
      </w:pPr>
      <w:r>
        <w:tab/>
        <w:t>(3)</w:t>
      </w:r>
      <w:r>
        <w:tab/>
        <w:t>If circumstances arise making it impracticable for a reportable offender to make the report at least 7 days before the offender leaves, it is sufficient compliance with subsection (2) if the reportable offender reports the required information to the Commissioner no later than 24 hours after leaving Western Australia.</w:t>
      </w:r>
    </w:p>
    <w:p>
      <w:pPr>
        <w:pStyle w:val="Subsection"/>
        <w:keepNext/>
      </w:pPr>
      <w:r>
        <w:lastRenderedPageBreak/>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No. 27 of 2008 s. 6; No. 31 of 2024 s. 28.]</w:t>
      </w:r>
    </w:p>
    <w:p>
      <w:pPr>
        <w:pStyle w:val="Heading5"/>
        <w:spacing w:before="180"/>
      </w:pPr>
      <w:bookmarkStart w:id="44" w:name="_Toc216772944"/>
      <w:r>
        <w:rPr>
          <w:rStyle w:val="CharSectno"/>
        </w:rPr>
        <w:t>31</w:t>
      </w:r>
      <w:r>
        <w:t>.</w:t>
      </w:r>
      <w:r>
        <w:tab/>
        <w:t>Change of travel plans while out of Western Australia to be reported</w:t>
      </w:r>
      <w:bookmarkEnd w:id="44"/>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the offender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No. 27 of 2008 s. 7; No. 31 of 2024 s. 28.]</w:t>
      </w:r>
    </w:p>
    <w:p>
      <w:pPr>
        <w:pStyle w:val="Heading5"/>
        <w:keepLines w:val="0"/>
      </w:pPr>
      <w:bookmarkStart w:id="45" w:name="_Toc216772945"/>
      <w:r>
        <w:rPr>
          <w:rStyle w:val="CharSectno"/>
        </w:rPr>
        <w:lastRenderedPageBreak/>
        <w:t>32</w:t>
      </w:r>
      <w:r>
        <w:t>.</w:t>
      </w:r>
      <w:r>
        <w:tab/>
        <w:t>Reportable offender to report return to Western Australia or decision not to leave</w:t>
      </w:r>
      <w:bookmarkEnd w:id="45"/>
    </w:p>
    <w:p>
      <w:pPr>
        <w:pStyle w:val="Subsection"/>
      </w:pPr>
      <w:r>
        <w:tab/>
        <w:t>(1)</w:t>
      </w:r>
      <w:r>
        <w:tab/>
        <w:t>This section applies to a reportable offender who was required to report under section 30 that the offender intended to leave Western Australia.</w:t>
      </w:r>
    </w:p>
    <w:p>
      <w:pPr>
        <w:pStyle w:val="Subsection"/>
      </w:pPr>
      <w:r>
        <w:tab/>
        <w:t>(2)</w:t>
      </w:r>
      <w:r>
        <w:tab/>
        <w:t>If the reportable offender left Western Australia, the offender must report the offender’s return to Western Australia to the Commissioner within 7 days after entering Western Australia.</w:t>
      </w:r>
    </w:p>
    <w:p>
      <w:pPr>
        <w:pStyle w:val="Subsection"/>
      </w:pPr>
      <w:r>
        <w:tab/>
        <w:t>(2a)</w:t>
      </w:r>
      <w:r>
        <w:tab/>
        <w:t xml:space="preserve">If the reportable offender left Western Australia to travel out of Australia, the offender must, in addition to reporting under subsection (2), produce to the Commissioner within 7 days after entering Western Australia — </w:t>
      </w:r>
    </w:p>
    <w:p>
      <w:pPr>
        <w:pStyle w:val="Indenta"/>
      </w:pPr>
      <w:r>
        <w:tab/>
        <w:t>(a)</w:t>
      </w:r>
      <w:r>
        <w:tab/>
        <w:t>the offender’s passport; and</w:t>
      </w:r>
    </w:p>
    <w:p>
      <w:pPr>
        <w:pStyle w:val="Indenta"/>
      </w:pPr>
      <w:r>
        <w:tab/>
        <w:t>(b)</w:t>
      </w:r>
      <w:r>
        <w:tab/>
        <w:t>any other document in the offender’s possession that contains information indicating where the offender travelled while out of Australia.</w:t>
      </w:r>
    </w:p>
    <w:p>
      <w:pPr>
        <w:pStyle w:val="Subsection"/>
      </w:pPr>
      <w:r>
        <w:tab/>
        <w:t>(3)</w:t>
      </w:r>
      <w:r>
        <w:tab/>
        <w:t>A person does not commit an offence against section 63 because of a failure to comply with the reporting obligation imposed by subsection (2) or (2a) if the person does not remain in Western Australia for 14 or more consecutive days, not counting any days spent in government custody.</w:t>
      </w:r>
    </w:p>
    <w:p>
      <w:pPr>
        <w:pStyle w:val="Subsection"/>
      </w:pPr>
      <w:r>
        <w:tab/>
        <w:t>(4)</w:t>
      </w:r>
      <w:r>
        <w:tab/>
        <w:t>If the reportable offender decides not to leave Western Australia, the offender must report the offender’s change of intention to the Commissioner within 7 days after deciding not to leave.</w:t>
      </w:r>
    </w:p>
    <w:p>
      <w:pPr>
        <w:pStyle w:val="Footnotesection"/>
      </w:pPr>
      <w:r>
        <w:tab/>
        <w:t>[Section 32 amended: No. 27 of 2008 s. 8; No. 31 of 2024 s. 28.]</w:t>
      </w:r>
    </w:p>
    <w:p>
      <w:pPr>
        <w:pStyle w:val="Heading5"/>
      </w:pPr>
      <w:bookmarkStart w:id="46" w:name="_Toc216772946"/>
      <w:r>
        <w:rPr>
          <w:rStyle w:val="CharSectno"/>
        </w:rPr>
        <w:t>33</w:t>
      </w:r>
      <w:r>
        <w:t>.</w:t>
      </w:r>
      <w:r>
        <w:tab/>
        <w:t>Report of other absences from Western Australia</w:t>
      </w:r>
      <w:bookmarkEnd w:id="46"/>
    </w:p>
    <w:p>
      <w:pPr>
        <w:pStyle w:val="Subsection"/>
        <w:spacing w:before="140"/>
      </w:pPr>
      <w:r>
        <w:tab/>
        <w:t>(1)</w:t>
      </w:r>
      <w:r>
        <w:tab/>
        <w:t xml:space="preserve">This section applies to a reportable offender who, at the time of making a report under this Division, leaves or intends to leave Western Australia to travel elsewhere in Australia on an average </w:t>
      </w:r>
      <w:r>
        <w:lastRenderedPageBreak/>
        <w:t>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4"/>
      </w:pPr>
      <w:bookmarkStart w:id="47" w:name="_Toc216772947"/>
      <w:r>
        <w:rPr>
          <w:rStyle w:val="CharSDivNo"/>
        </w:rPr>
        <w:t>Subdivision 2</w:t>
      </w:r>
      <w:r>
        <w:t> —</w:t>
      </w:r>
      <w:r>
        <w:rPr>
          <w:rStyle w:val="CharSDivText"/>
        </w:rPr>
        <w:t> Reportable contact with child</w:t>
      </w:r>
      <w:bookmarkEnd w:id="47"/>
    </w:p>
    <w:p>
      <w:pPr>
        <w:pStyle w:val="Footnoteheading"/>
      </w:pPr>
      <w:r>
        <w:tab/>
        <w:t>[Heading inserted: No. 35 of 2024 s. 18.]</w:t>
      </w:r>
    </w:p>
    <w:p>
      <w:pPr>
        <w:pStyle w:val="Heading5"/>
      </w:pPr>
      <w:bookmarkStart w:id="48" w:name="_Toc216772948"/>
      <w:r>
        <w:rPr>
          <w:rStyle w:val="CharSectno"/>
        </w:rPr>
        <w:t>33A</w:t>
      </w:r>
      <w:r>
        <w:t>.</w:t>
      </w:r>
      <w:r>
        <w:tab/>
        <w:t>Ongoing reporting of reportable contact with child</w:t>
      </w:r>
      <w:bookmarkEnd w:id="48"/>
      <w:r>
        <w:t xml:space="preserve"> </w:t>
      </w:r>
    </w:p>
    <w:p>
      <w:pPr>
        <w:pStyle w:val="Subsection"/>
      </w:pPr>
      <w:r>
        <w:tab/>
      </w:r>
      <w:r>
        <w:tab/>
        <w:t xml:space="preserve">If a reportable offender has reportable contact with a child, the reportable offender must report to the Commissioner the following details within 24 hours after each reportable contact with the child occurs unless the offender is exempt from reporting reportable contact with the child — </w:t>
      </w:r>
    </w:p>
    <w:p>
      <w:pPr>
        <w:pStyle w:val="Indenta"/>
      </w:pPr>
      <w:r>
        <w:tab/>
        <w:t>(a)</w:t>
      </w:r>
      <w:r>
        <w:tab/>
        <w:t>reportable contact details of the reportable contact;</w:t>
      </w:r>
    </w:p>
    <w:p>
      <w:pPr>
        <w:pStyle w:val="Indenta"/>
      </w:pPr>
      <w:r>
        <w:tab/>
        <w:t>(b)</w:t>
      </w:r>
      <w:r>
        <w:tab/>
        <w:t>reportable contact details of any likely reportable contact with the child within the period of 12 months after the day on which the report is given.</w:t>
      </w:r>
    </w:p>
    <w:p>
      <w:pPr>
        <w:pStyle w:val="Footnotesection"/>
      </w:pPr>
      <w:r>
        <w:tab/>
        <w:t>[Section 33A inserted: No. 35 of 2024 s. 18.]</w:t>
      </w:r>
    </w:p>
    <w:p>
      <w:pPr>
        <w:pStyle w:val="Heading5"/>
      </w:pPr>
      <w:bookmarkStart w:id="49" w:name="_Toc216772949"/>
      <w:r>
        <w:rPr>
          <w:rStyle w:val="CharSectno"/>
        </w:rPr>
        <w:t>33B</w:t>
      </w:r>
      <w:r>
        <w:t>.</w:t>
      </w:r>
      <w:r>
        <w:tab/>
        <w:t>Exemption from ongoing reporting of reportable contact with child</w:t>
      </w:r>
      <w:bookmarkEnd w:id="49"/>
      <w:r>
        <w:t xml:space="preserve"> </w:t>
      </w:r>
    </w:p>
    <w:p>
      <w:pPr>
        <w:pStyle w:val="Subsection"/>
      </w:pPr>
      <w:r>
        <w:rPr>
          <w:color w:val="000000"/>
        </w:rPr>
        <w:tab/>
        <w:t>(1)</w:t>
      </w:r>
      <w:r>
        <w:rPr>
          <w:color w:val="000000"/>
        </w:rPr>
        <w:tab/>
      </w:r>
      <w:r>
        <w:t xml:space="preserve">The Commissioner may, by written notice, exempt a reportable offender from the requirement to report reportable contact with a child under section 33A if the offender has given reportable contact details in relation to reportable contact and likely reportable contact with the child to the Commissioner. </w:t>
      </w:r>
    </w:p>
    <w:p>
      <w:pPr>
        <w:pStyle w:val="Subsection"/>
      </w:pPr>
      <w:r>
        <w:tab/>
        <w:t>(2)</w:t>
      </w:r>
      <w:r>
        <w:tab/>
        <w:t xml:space="preserve">In deciding whether to grant an exemption, the Commissioner must take into account the following — </w:t>
      </w:r>
    </w:p>
    <w:p>
      <w:pPr>
        <w:pStyle w:val="Indenta"/>
      </w:pPr>
      <w:r>
        <w:tab/>
        <w:t>(a)</w:t>
      </w:r>
      <w:r>
        <w:tab/>
        <w:t>whether the reportable offender normally lives with the child;</w:t>
      </w:r>
    </w:p>
    <w:p>
      <w:pPr>
        <w:pStyle w:val="Indenta"/>
      </w:pPr>
      <w:r>
        <w:lastRenderedPageBreak/>
        <w:tab/>
        <w:t>(b)</w:t>
      </w:r>
      <w:r>
        <w:tab/>
        <w:t>how frequently the reportable offender has reportable contact, or is likely to have reportable contact, with the child;</w:t>
      </w:r>
    </w:p>
    <w:p>
      <w:pPr>
        <w:pStyle w:val="Indenta"/>
      </w:pPr>
      <w:r>
        <w:tab/>
        <w:t>(c)</w:t>
      </w:r>
      <w:r>
        <w:tab/>
        <w:t>the nature of the reportable contact with the child;</w:t>
      </w:r>
    </w:p>
    <w:p>
      <w:pPr>
        <w:pStyle w:val="Indenta"/>
      </w:pPr>
      <w:r>
        <w:tab/>
        <w:t>(d)</w:t>
      </w:r>
      <w:r>
        <w:tab/>
        <w:t>any other matter the Commissioner considers relevant.</w:t>
      </w:r>
    </w:p>
    <w:p>
      <w:pPr>
        <w:pStyle w:val="Subsection"/>
      </w:pPr>
      <w:r>
        <w:tab/>
        <w:t>(3)</w:t>
      </w:r>
      <w:r>
        <w:tab/>
        <w:t>The exemption has effect from the time the notice under subsection (1) is given to the offender or from any later date specified in the notice.</w:t>
      </w:r>
    </w:p>
    <w:p>
      <w:pPr>
        <w:pStyle w:val="Subsection"/>
      </w:pPr>
      <w:r>
        <w:tab/>
        <w:t>(4)</w:t>
      </w:r>
      <w:r>
        <w:tab/>
        <w:t>The Commissioner may revoke a reportable offender’s exemption at any time by giving written notice to the offender.</w:t>
      </w:r>
    </w:p>
    <w:p>
      <w:pPr>
        <w:pStyle w:val="Subsection"/>
      </w:pPr>
      <w:r>
        <w:tab/>
        <w:t>(5)</w:t>
      </w:r>
      <w:r>
        <w:tab/>
        <w:t>The revocation has effect from the time the notice is given to the offender under subsection (4).</w:t>
      </w:r>
    </w:p>
    <w:p>
      <w:pPr>
        <w:pStyle w:val="Subsection"/>
      </w:pPr>
      <w:r>
        <w:tab/>
        <w:t>(6)</w:t>
      </w:r>
      <w:r>
        <w:tab/>
        <w:t>This section is in addition to, and does not limit, any other provision which provides for an exemption or suspension of a reporting obligation.</w:t>
      </w:r>
    </w:p>
    <w:p>
      <w:pPr>
        <w:pStyle w:val="Footnotesection"/>
      </w:pPr>
      <w:r>
        <w:tab/>
        <w:t>[Section 33B inserted: No. 35 of 2024 s. 18.]</w:t>
      </w:r>
    </w:p>
    <w:p>
      <w:pPr>
        <w:pStyle w:val="Heading5"/>
      </w:pPr>
      <w:bookmarkStart w:id="50" w:name="_Toc216772950"/>
      <w:r>
        <w:rPr>
          <w:rStyle w:val="CharSectno"/>
        </w:rPr>
        <w:t>33C</w:t>
      </w:r>
      <w:r>
        <w:t>.</w:t>
      </w:r>
      <w:r>
        <w:tab/>
        <w:t>When exemptions end</w:t>
      </w:r>
      <w:bookmarkEnd w:id="50"/>
    </w:p>
    <w:p>
      <w:pPr>
        <w:pStyle w:val="Subsection"/>
      </w:pPr>
      <w:r>
        <w:rPr>
          <w:color w:val="000000"/>
        </w:rPr>
        <w:tab/>
        <w:t>(1)</w:t>
      </w:r>
      <w:r>
        <w:rPr>
          <w:color w:val="000000"/>
        </w:rPr>
        <w:tab/>
        <w:t xml:space="preserve">A reportable offender’s exemption under section 33B ceases to have effect when — </w:t>
      </w:r>
    </w:p>
    <w:p>
      <w:pPr>
        <w:pStyle w:val="Indenta"/>
      </w:pPr>
      <w:r>
        <w:tab/>
        <w:t>(a)</w:t>
      </w:r>
      <w:r>
        <w:tab/>
        <w:t xml:space="preserve">at any time after the exemption is granted, the offender — </w:t>
      </w:r>
    </w:p>
    <w:p>
      <w:pPr>
        <w:pStyle w:val="Indenti"/>
      </w:pPr>
      <w:r>
        <w:tab/>
        <w:t>(i)</w:t>
      </w:r>
      <w:r>
        <w:tab/>
        <w:t>is made subject to a reporting order or a protection order; or</w:t>
      </w:r>
    </w:p>
    <w:p>
      <w:pPr>
        <w:pStyle w:val="Indenti"/>
      </w:pPr>
      <w:r>
        <w:tab/>
        <w:t>(ii)</w:t>
      </w:r>
      <w:r>
        <w:tab/>
        <w:t>is found guilty of a reportable offence; or</w:t>
      </w:r>
    </w:p>
    <w:p>
      <w:pPr>
        <w:pStyle w:val="Indenti"/>
      </w:pPr>
      <w:r>
        <w:tab/>
        <w:t>(iii)</w:t>
      </w:r>
      <w:r>
        <w:tab/>
        <w:t>becomes a corresponding reportable offender who must under section 49 continue to comply with the reporting obligations imposed by this Part for any period; or</w:t>
      </w:r>
    </w:p>
    <w:p>
      <w:pPr>
        <w:pStyle w:val="Indenti"/>
      </w:pPr>
      <w:r>
        <w:tab/>
        <w:t>(iv)</w:t>
      </w:r>
      <w:r>
        <w:tab/>
        <w:t>is given a notice under section 33B(4);</w:t>
      </w:r>
    </w:p>
    <w:p>
      <w:pPr>
        <w:pStyle w:val="Indenta"/>
      </w:pPr>
      <w:r>
        <w:tab/>
      </w:r>
      <w:r>
        <w:tab/>
        <w:t>or</w:t>
      </w:r>
    </w:p>
    <w:p>
      <w:pPr>
        <w:pStyle w:val="Indenta"/>
      </w:pPr>
      <w:r>
        <w:lastRenderedPageBreak/>
        <w:tab/>
        <w:t>(b)</w:t>
      </w:r>
      <w:r>
        <w:tab/>
        <w:t>the reportable contact details given by the offender to the Commissioner for the exemption have changed since they were given or are not accurate.</w:t>
      </w:r>
    </w:p>
    <w:p>
      <w:pPr>
        <w:pStyle w:val="Subsection"/>
      </w:pPr>
      <w:r>
        <w:tab/>
        <w:t>(2)</w:t>
      </w:r>
      <w:r>
        <w:tab/>
        <w:t xml:space="preserve">An exemption that ceases to have effect in accordance with subsection (1) is revived if — </w:t>
      </w:r>
    </w:p>
    <w:p>
      <w:pPr>
        <w:pStyle w:val="Indenta"/>
      </w:pPr>
      <w:r>
        <w:tab/>
        <w:t>(a)</w:t>
      </w:r>
      <w:r>
        <w:tab/>
        <w:t>the finding of guilt that caused the approval to cease to have effect is quashed or set aside by a court; or</w:t>
      </w:r>
    </w:p>
    <w:p>
      <w:pPr>
        <w:pStyle w:val="Indenta"/>
      </w:pPr>
      <w:r>
        <w:tab/>
        <w:t>(b)</w:t>
      </w:r>
      <w:r>
        <w:tab/>
        <w:t xml:space="preserve">the approval ceased to have effect in accordance with subsection (1)(a)(i) and — </w:t>
      </w:r>
    </w:p>
    <w:p>
      <w:pPr>
        <w:pStyle w:val="Indenti"/>
      </w:pPr>
      <w:r>
        <w:tab/>
        <w:t>(i)</w:t>
      </w:r>
      <w:r>
        <w:tab/>
        <w:t>the reporting order or protection order is quashed on appeal; or</w:t>
      </w:r>
    </w:p>
    <w:p>
      <w:pPr>
        <w:pStyle w:val="Indenti"/>
      </w:pPr>
      <w:r>
        <w:tab/>
        <w:t>(ii)</w:t>
      </w:r>
      <w:r>
        <w:tab/>
        <w:t>in the case of a reporting order — the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 reporting order or protection order.</w:t>
      </w:r>
    </w:p>
    <w:p>
      <w:pPr>
        <w:pStyle w:val="Footnotesection"/>
      </w:pPr>
      <w:r>
        <w:tab/>
        <w:t>[Section 33C inserted: No. 35 of 2024 s. 18.]</w:t>
      </w:r>
    </w:p>
    <w:p>
      <w:pPr>
        <w:pStyle w:val="Heading5"/>
      </w:pPr>
      <w:bookmarkStart w:id="51" w:name="_Toc216772951"/>
      <w:r>
        <w:rPr>
          <w:rStyle w:val="CharSectno"/>
        </w:rPr>
        <w:t>33D</w:t>
      </w:r>
      <w:r>
        <w:t>.</w:t>
      </w:r>
      <w:r>
        <w:tab/>
        <w:t>Reporting of reportable contact with child ceasing for 60 days</w:t>
      </w:r>
      <w:bookmarkEnd w:id="51"/>
    </w:p>
    <w:p>
      <w:pPr>
        <w:pStyle w:val="Subsection"/>
      </w:pPr>
      <w:r>
        <w:tab/>
        <w:t>(1)</w:t>
      </w:r>
      <w:r>
        <w:tab/>
        <w:t xml:space="preserve">This section applies if — </w:t>
      </w:r>
    </w:p>
    <w:p>
      <w:pPr>
        <w:pStyle w:val="Indenta"/>
      </w:pPr>
      <w:r>
        <w:tab/>
        <w:t>(a)</w:t>
      </w:r>
      <w:r>
        <w:tab/>
        <w:t>a reportable offender has an exemption under section 33B from reporting reportable contact with a child under section 33A; and</w:t>
      </w:r>
    </w:p>
    <w:p>
      <w:pPr>
        <w:pStyle w:val="Indenta"/>
      </w:pPr>
      <w:r>
        <w:tab/>
        <w:t>(b)</w:t>
      </w:r>
      <w:r>
        <w:tab/>
        <w:t xml:space="preserve">the offender does not have reportable contact with the child for a period (the </w:t>
      </w:r>
      <w:r>
        <w:rPr>
          <w:rStyle w:val="CharDefText"/>
        </w:rPr>
        <w:t>non</w:t>
      </w:r>
      <w:r>
        <w:rPr>
          <w:rStyle w:val="CharDefText"/>
        </w:rPr>
        <w:noBreakHyphen/>
        <w:t>contact period</w:t>
      </w:r>
      <w:r>
        <w:t xml:space="preserve">) of 60 consecutive days beginning on the day after the day on which the offender’s last reportable contact with the child occurred. </w:t>
      </w:r>
    </w:p>
    <w:p>
      <w:pPr>
        <w:pStyle w:val="Subsection"/>
      </w:pPr>
      <w:r>
        <w:rPr>
          <w:color w:val="000000"/>
        </w:rPr>
        <w:lastRenderedPageBreak/>
        <w:tab/>
      </w:r>
      <w:r>
        <w:t>(2)</w:t>
      </w:r>
      <w:r>
        <w:tab/>
        <w:t>The reportable offender must report the following to the Commissioner within 1 day after the end of the non</w:t>
      </w:r>
      <w:r>
        <w:noBreakHyphen/>
        <w:t xml:space="preserve">contact period — </w:t>
      </w:r>
    </w:p>
    <w:p>
      <w:pPr>
        <w:pStyle w:val="Indenta"/>
      </w:pPr>
      <w:r>
        <w:tab/>
        <w:t>(a)</w:t>
      </w:r>
      <w:r>
        <w:tab/>
        <w:t xml:space="preserve">the name of the child; </w:t>
      </w:r>
    </w:p>
    <w:p>
      <w:pPr>
        <w:pStyle w:val="Indenta"/>
        <w:keepNext/>
      </w:pPr>
      <w:r>
        <w:tab/>
        <w:t>(b)</w:t>
      </w:r>
      <w:r>
        <w:tab/>
        <w:t>details about why the reportable contact has stopped for the non</w:t>
      </w:r>
      <w:r>
        <w:noBreakHyphen/>
        <w:t xml:space="preserve">contact period. </w:t>
      </w:r>
    </w:p>
    <w:p>
      <w:pPr>
        <w:pStyle w:val="Footnotesection"/>
      </w:pPr>
      <w:r>
        <w:tab/>
        <w:t>[Section 33D inserted: No. 35 of 2024 s. 18.]</w:t>
      </w:r>
    </w:p>
    <w:p>
      <w:pPr>
        <w:pStyle w:val="Heading3"/>
        <w:spacing w:before="220"/>
      </w:pPr>
      <w:bookmarkStart w:id="52" w:name="_Toc216772952"/>
      <w:r>
        <w:rPr>
          <w:rStyle w:val="CharDivNo"/>
        </w:rPr>
        <w:t>Division 3</w:t>
      </w:r>
      <w:r>
        <w:t> — </w:t>
      </w:r>
      <w:r>
        <w:rPr>
          <w:rStyle w:val="CharDivText"/>
        </w:rPr>
        <w:t>Provisions applying to all reporting obligations</w:t>
      </w:r>
      <w:bookmarkEnd w:id="52"/>
    </w:p>
    <w:p>
      <w:pPr>
        <w:pStyle w:val="Heading5"/>
        <w:spacing w:before="200"/>
      </w:pPr>
      <w:bookmarkStart w:id="53" w:name="_Toc216772953"/>
      <w:r>
        <w:rPr>
          <w:rStyle w:val="CharSectno"/>
        </w:rPr>
        <w:t>34</w:t>
      </w:r>
      <w:r>
        <w:t>.</w:t>
      </w:r>
      <w:r>
        <w:tab/>
        <w:t>Where reports must be made</w:t>
      </w:r>
      <w:bookmarkEnd w:id="53"/>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or required to be made in a way that is inconsistent with this section.</w:t>
      </w:r>
    </w:p>
    <w:p>
      <w:pPr>
        <w:pStyle w:val="Footnotesection"/>
      </w:pPr>
      <w:r>
        <w:tab/>
        <w:t>[Section 34 amended: No. 35 of 2024 s. 19.]</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54" w:name="_Toc216772954"/>
      <w:r>
        <w:rPr>
          <w:rStyle w:val="CharSectno"/>
        </w:rPr>
        <w:lastRenderedPageBreak/>
        <w:t>35</w:t>
      </w:r>
      <w:r>
        <w:t>.</w:t>
      </w:r>
      <w:r>
        <w:tab/>
        <w:t>How reports must be made</w:t>
      </w:r>
      <w:bookmarkEnd w:id="54"/>
    </w:p>
    <w:p>
      <w:pPr>
        <w:pStyle w:val="Ednotesubsection"/>
        <w:keepNext/>
      </w:pPr>
      <w:r>
        <w:tab/>
        <w:t>[(1)</w:t>
      </w:r>
      <w:r>
        <w:tab/>
        <w:t>deleted]</w:t>
      </w:r>
    </w:p>
    <w:p>
      <w:pPr>
        <w:pStyle w:val="Subsection"/>
        <w:keepNext/>
      </w:pPr>
      <w:r>
        <w:tab/>
        <w:t>(2)</w:t>
      </w:r>
      <w:r>
        <w:tab/>
        <w:t xml:space="preserve">A reportable offender must make a report — </w:t>
      </w:r>
    </w:p>
    <w:p>
      <w:pPr>
        <w:pStyle w:val="Indenta"/>
      </w:pPr>
      <w:r>
        <w:tab/>
        <w:t>(a)</w:t>
      </w:r>
      <w:r>
        <w:tab/>
        <w:t>if the report is required under this Part to be made in a certain manner — in the manner required under this Part; or</w:t>
      </w:r>
    </w:p>
    <w:p>
      <w:pPr>
        <w:pStyle w:val="Indenta"/>
      </w:pPr>
      <w:r>
        <w:tab/>
        <w:t>(b)</w:t>
      </w:r>
      <w:r>
        <w:tab/>
        <w:t>if the report is not required under this Part to be made in a certain manner — in any of the following ways —</w:t>
      </w:r>
    </w:p>
    <w:p>
      <w:pPr>
        <w:pStyle w:val="Indenti"/>
      </w:pPr>
      <w:r>
        <w:tab/>
        <w:t>(i)</w:t>
      </w:r>
      <w:r>
        <w:tab/>
        <w:t>in person;</w:t>
      </w:r>
    </w:p>
    <w:p>
      <w:pPr>
        <w:pStyle w:val="Indenti"/>
      </w:pPr>
      <w:r>
        <w:tab/>
        <w:t>(ii)</w:t>
      </w:r>
      <w:r>
        <w:tab/>
        <w:t>in any way prescribed;</w:t>
      </w:r>
    </w:p>
    <w:p>
      <w:pPr>
        <w:pStyle w:val="Indenti"/>
      </w:pPr>
      <w:r>
        <w:tab/>
        <w:t>(iii)</w:t>
      </w:r>
      <w:r>
        <w:tab/>
        <w:t>in any way permitted by the Commissioner in a particular case, for a class of cases or for all cases.</w:t>
      </w:r>
    </w:p>
    <w:p>
      <w:pPr>
        <w:pStyle w:val="Subsection"/>
      </w:pPr>
      <w:r>
        <w:tab/>
        <w:t>(3)</w:t>
      </w:r>
      <w:r>
        <w:tab/>
        <w:t xml:space="preserve">Only an authorised person may receive a report made under this Part unless the report is made electronically — </w:t>
      </w:r>
    </w:p>
    <w:p>
      <w:pPr>
        <w:pStyle w:val="Indenta"/>
      </w:pPr>
      <w:r>
        <w:tab/>
        <w:t>(a)</w:t>
      </w:r>
      <w:r>
        <w:tab/>
        <w:t xml:space="preserve">in accordance with the regulations; or </w:t>
      </w:r>
    </w:p>
    <w:p>
      <w:pPr>
        <w:pStyle w:val="Indenta"/>
      </w:pPr>
      <w:r>
        <w:tab/>
        <w:t>(b)</w:t>
      </w:r>
      <w:r>
        <w:tab/>
        <w:t>in a way permitted by the Commissioner under subsection (2)(b)(iii).</w:t>
      </w:r>
    </w:p>
    <w:p>
      <w:pPr>
        <w:pStyle w:val="Subsection"/>
      </w:pPr>
      <w:r>
        <w:tab/>
        <w:t>(4)</w:t>
      </w:r>
      <w:r>
        <w:tab/>
        <w:t>If a reportable offender attending in person is a child, or has a disability that makes it impossible or impracticable for the offender to make a report, any parent, guardian, carer or other person nominated by the reportable offender who is accompanying the reportable offender may make the report on the reportable offender’s behalf.</w:t>
      </w:r>
    </w:p>
    <w:p>
      <w:pPr>
        <w:pStyle w:val="Subsection"/>
      </w:pPr>
      <w:r>
        <w:tab/>
        <w:t>(5)</w:t>
      </w:r>
      <w:r>
        <w:tab/>
        <w:t xml:space="preserve">If a reportable offender is permitted or required to make a report otherwise than in person in accordance with subsection (2), any of the following may make a report on the offender’s behalf — </w:t>
      </w:r>
    </w:p>
    <w:p>
      <w:pPr>
        <w:pStyle w:val="Indenta"/>
      </w:pPr>
      <w:r>
        <w:tab/>
        <w:t>(a)</w:t>
      </w:r>
      <w:r>
        <w:tab/>
        <w:t xml:space="preserve">if the offender has a disability that makes it impossible or impracticable for them to make the report — a parent, guardian, carer or other person nominated by the offender; </w:t>
      </w:r>
    </w:p>
    <w:p>
      <w:pPr>
        <w:pStyle w:val="Indenta"/>
      </w:pPr>
      <w:r>
        <w:lastRenderedPageBreak/>
        <w:tab/>
        <w:t>(b)</w:t>
      </w:r>
      <w:r>
        <w:tab/>
        <w:t xml:space="preserve">if the offender has a guardian under the </w:t>
      </w:r>
      <w:r>
        <w:rPr>
          <w:i/>
          <w:iCs/>
        </w:rPr>
        <w:t>Guardianship and Administration Act 1990</w:t>
      </w:r>
      <w:r>
        <w:t> — the guardian.</w:t>
      </w:r>
    </w:p>
    <w:p>
      <w:pPr>
        <w:pStyle w:val="Footnotesection"/>
      </w:pPr>
      <w:r>
        <w:tab/>
        <w:t>[Section 35 amended: No. 31 of 2024 s. 28; No</w:t>
      </w:r>
      <w:r>
        <w:rPr>
          <w:sz w:val="28"/>
          <w:szCs w:val="22"/>
        </w:rPr>
        <w:t>.</w:t>
      </w:r>
      <w:r>
        <w:rPr>
          <w:szCs w:val="24"/>
        </w:rPr>
        <w:t> 35 of 2024 s. 20</w:t>
      </w:r>
      <w:r>
        <w:t>.]</w:t>
      </w:r>
    </w:p>
    <w:p>
      <w:pPr>
        <w:pStyle w:val="Heading5"/>
      </w:pPr>
      <w:bookmarkStart w:id="55" w:name="_Toc216772955"/>
      <w:r>
        <w:rPr>
          <w:rStyle w:val="CharSectno"/>
        </w:rPr>
        <w:t>36</w:t>
      </w:r>
      <w:r>
        <w:t>.</w:t>
      </w:r>
      <w:r>
        <w:tab/>
        <w:t>Right to privacy and support when reporting</w:t>
      </w:r>
      <w:bookmarkEnd w:id="55"/>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the person’s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Footnotesection"/>
      </w:pPr>
      <w:r>
        <w:tab/>
        <w:t>[Section 36 amended: No. 31 of 2024 s. 28.]</w:t>
      </w:r>
    </w:p>
    <w:p>
      <w:pPr>
        <w:pStyle w:val="Heading5"/>
        <w:keepLines w:val="0"/>
      </w:pPr>
      <w:bookmarkStart w:id="56" w:name="_Toc216772956"/>
      <w:r>
        <w:rPr>
          <w:rStyle w:val="CharSectno"/>
        </w:rPr>
        <w:t>37</w:t>
      </w:r>
      <w:r>
        <w:t>.</w:t>
      </w:r>
      <w:r>
        <w:tab/>
        <w:t>Receipt of information to be acknowledged</w:t>
      </w:r>
      <w:bookmarkEnd w:id="56"/>
    </w:p>
    <w:p>
      <w:pPr>
        <w:pStyle w:val="Subsection"/>
      </w:pPr>
      <w:r>
        <w:tab/>
        <w:t>(1)</w:t>
      </w:r>
      <w:r>
        <w:tab/>
        <w:t>Subject to subsection (3C), as soon as is practicable after receiving a report under this Part, an authorised person must acknowledge the making of the report.</w:t>
      </w:r>
    </w:p>
    <w:p>
      <w:pPr>
        <w:pStyle w:val="Subsection"/>
        <w:keepNext/>
      </w:pPr>
      <w:r>
        <w:tab/>
        <w:t>(2)</w:t>
      </w:r>
      <w:r>
        <w:tab/>
        <w:t xml:space="preserve">If a report under this Part is made in person, 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lastRenderedPageBreak/>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Subject to subsection (3C), if a report under this Part is made otherwise than in person, an authorised person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(3A)</w:t>
      </w:r>
      <w:r>
        <w:tab/>
        <w:t>If a report under this Part is made electronically, any unique reference number or acknowledgment required to be given by this section may be given electronically.</w:t>
      </w:r>
    </w:p>
    <w:p>
      <w:pPr>
        <w:pStyle w:val="Subsection"/>
      </w:pPr>
      <w:r>
        <w:tab/>
        <w:t>(3B)</w:t>
      </w:r>
      <w:r>
        <w:tab/>
        <w:t>The regulations may prescribe the manner in which a unique reference number or acknowledgment may be given electronically under subsection (3A).</w:t>
      </w:r>
    </w:p>
    <w:p>
      <w:pPr>
        <w:pStyle w:val="Subsection"/>
      </w:pPr>
      <w:r>
        <w:tab/>
        <w:t>(3C)</w:t>
      </w:r>
      <w:r>
        <w:tab/>
        <w:t>If a report is made electronically by a person, it may be received by an automated system and an automated system may give an acknowledgement including a unique reference number to the person.</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lastRenderedPageBreak/>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No. 54 of 2012 s. 15; No. 35 of 2024 s. 21.]</w:t>
      </w:r>
    </w:p>
    <w:p>
      <w:pPr>
        <w:pStyle w:val="Heading5"/>
      </w:pPr>
      <w:bookmarkStart w:id="57" w:name="_Toc216772957"/>
      <w:r>
        <w:rPr>
          <w:rStyle w:val="CharSectno"/>
        </w:rPr>
        <w:t>38</w:t>
      </w:r>
      <w:r>
        <w:t>.</w:t>
      </w:r>
      <w:r>
        <w:tab/>
        <w:t>Additional matters to be provided</w:t>
      </w:r>
      <w:bookmarkEnd w:id="57"/>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lastRenderedPageBreak/>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lastRenderedPageBreak/>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the offender’s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the authorised person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lastRenderedPageBreak/>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No. 54 of 2012 s. 16; No. 31 of 2024 s. 28.]</w:t>
      </w:r>
    </w:p>
    <w:p>
      <w:pPr>
        <w:pStyle w:val="Heading5"/>
      </w:pPr>
      <w:bookmarkStart w:id="58" w:name="_Toc216772958"/>
      <w:r>
        <w:rPr>
          <w:rStyle w:val="CharSectno"/>
        </w:rPr>
        <w:t>39</w:t>
      </w:r>
      <w:r>
        <w:t>.</w:t>
      </w:r>
      <w:r>
        <w:tab/>
        <w:t>Power to take fingerprints</w:t>
      </w:r>
      <w:bookmarkEnd w:id="58"/>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the authorised person by, or on behalf of, the reportable offender.</w:t>
      </w:r>
    </w:p>
    <w:p>
      <w:pPr>
        <w:pStyle w:val="Subsection"/>
      </w:pPr>
      <w:r>
        <w:tab/>
        <w:t>(2)</w:t>
      </w:r>
      <w:r>
        <w:tab/>
        <w:t>The authorised person may take, or may cause to be taken by a person authorised by the authorised person, the fingerprints of the reportable offender.</w:t>
      </w:r>
    </w:p>
    <w:p>
      <w:pPr>
        <w:pStyle w:val="Footnotesection"/>
      </w:pPr>
      <w:r>
        <w:tab/>
        <w:t>[Section 39 amended: No. 31 of 2024 s. 28.]</w:t>
      </w:r>
    </w:p>
    <w:p>
      <w:pPr>
        <w:pStyle w:val="Heading5"/>
      </w:pPr>
      <w:bookmarkStart w:id="59" w:name="_Toc216772959"/>
      <w:r>
        <w:rPr>
          <w:rStyle w:val="CharSectno"/>
        </w:rPr>
        <w:t>40</w:t>
      </w:r>
      <w:r>
        <w:t>.</w:t>
      </w:r>
      <w:r>
        <w:tab/>
        <w:t>Power to take photographs</w:t>
      </w:r>
      <w:bookmarkEnd w:id="59"/>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lastRenderedPageBreak/>
        <w:tab/>
        <w:t>(b)</w:t>
      </w:r>
      <w:r>
        <w:tab/>
        <w:t>to expose any part of the reportable offender’s body to enable that part of the body to be photographed by the authorised person or a person authorised by the authorised person.</w:t>
      </w:r>
    </w:p>
    <w:p>
      <w:pPr>
        <w:pStyle w:val="Subsection"/>
      </w:pPr>
      <w:r>
        <w:tab/>
        <w:t>(2)</w:t>
      </w:r>
      <w:r>
        <w:tab/>
        <w:t xml:space="preserve">An authorised person cannot, under </w:t>
      </w:r>
      <w:r>
        <w:rPr>
          <w:color w:val="000000"/>
        </w:rPr>
        <w:t>subsection (1),</w:t>
      </w:r>
      <w:r>
        <w:t xml:space="preserve"> require a reportable offender to expose their genitals, the anal area of their buttocks or, in the case of females, or persons identifying as female,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No. 54 of 2012 s. 17; No. 31 of 2024 s. 26.]</w:t>
      </w:r>
    </w:p>
    <w:p>
      <w:pPr>
        <w:pStyle w:val="Heading5"/>
      </w:pPr>
      <w:bookmarkStart w:id="60" w:name="_Toc216772960"/>
      <w:r>
        <w:rPr>
          <w:rStyle w:val="CharSectno"/>
        </w:rPr>
        <w:t>40A</w:t>
      </w:r>
      <w:r>
        <w:t>.</w:t>
      </w:r>
      <w:r>
        <w:tab/>
        <w:t>Power to obtain DNA profiles</w:t>
      </w:r>
      <w:bookmarkEnd w:id="60"/>
    </w:p>
    <w:p>
      <w:pPr>
        <w:pStyle w:val="Subsection"/>
      </w:pPr>
      <w:r>
        <w:tab/>
        <w:t>(1)</w:t>
      </w:r>
      <w:r>
        <w:tab/>
        <w:t xml:space="preserve">In this section — </w:t>
      </w:r>
    </w:p>
    <w:p>
      <w:pPr>
        <w:pStyle w:val="Defstart"/>
      </w:pPr>
      <w:r>
        <w:tab/>
      </w:r>
      <w:r>
        <w:rPr>
          <w:rStyle w:val="CharDefText"/>
        </w:rPr>
        <w:t>forensic database</w:t>
      </w:r>
      <w:r>
        <w:t xml:space="preserve"> has the meaning given in the </w:t>
      </w:r>
      <w:r>
        <w:rPr>
          <w:i/>
        </w:rPr>
        <w:t>Criminal Investigation (Identifying People) Act 2002</w:t>
      </w:r>
      <w:r>
        <w:t xml:space="preserve"> section 61.</w:t>
      </w:r>
    </w:p>
    <w:p>
      <w:pPr>
        <w:pStyle w:val="Subsection"/>
      </w:pPr>
      <w:r>
        <w:tab/>
        <w:t>(2)</w:t>
      </w:r>
      <w:r>
        <w:tab/>
        <w:t>This section applies if an authorised person reasonably suspects a reportable offender’s DNA profile is not held, or may not be held, by the WA Police or in a forensic database.</w:t>
      </w:r>
    </w:p>
    <w:p>
      <w:pPr>
        <w:pStyle w:val="Subsection"/>
      </w:pPr>
      <w:r>
        <w:tab/>
        <w:t>(3)</w:t>
      </w:r>
      <w:r>
        <w:tab/>
        <w:t>An authorised person receiving a report made in person under this Part may require the reportable offender to submit to a non</w:t>
      </w:r>
      <w:r>
        <w:noBreakHyphen/>
        <w:t>intimate identifying procedure for the purpose of obtaining the offender’s DNA profile.</w:t>
      </w:r>
    </w:p>
    <w:p>
      <w:pPr>
        <w:pStyle w:val="Subsection"/>
      </w:pPr>
      <w:r>
        <w:tab/>
        <w:t>(4)</w:t>
      </w:r>
      <w:r>
        <w:tab/>
        <w:t>The non</w:t>
      </w:r>
      <w:r>
        <w:noBreakHyphen/>
        <w:t xml:space="preserve">intimate identifying procedure for the purpose of obtaining the reportable offender’s DNA profile must be done in accordance with the </w:t>
      </w:r>
      <w:r>
        <w:rPr>
          <w:i/>
          <w:iCs/>
        </w:rPr>
        <w:t>Criminal Investigation (Identifying People) Act 2002</w:t>
      </w:r>
      <w:r>
        <w:t xml:space="preserve"> Part 8 (other than section 54(1)).</w:t>
      </w:r>
    </w:p>
    <w:p>
      <w:pPr>
        <w:pStyle w:val="Subsection"/>
      </w:pPr>
      <w:r>
        <w:lastRenderedPageBreak/>
        <w:tab/>
        <w:t>(5)</w:t>
      </w:r>
      <w:r>
        <w:tab/>
        <w:t xml:space="preserve">This section applies despite the </w:t>
      </w:r>
      <w:r>
        <w:rPr>
          <w:i/>
          <w:iCs/>
        </w:rPr>
        <w:t>Criminal Investigation (Identifying People) Act 2002</w:t>
      </w:r>
      <w:r>
        <w:t xml:space="preserve"> section 11(3).</w:t>
      </w:r>
    </w:p>
    <w:p>
      <w:pPr>
        <w:pStyle w:val="Footnotesection"/>
      </w:pPr>
      <w:r>
        <w:tab/>
        <w:t>[Section 40A inserted: No. 35 of 2024 s. 22.]</w:t>
      </w:r>
    </w:p>
    <w:p>
      <w:pPr>
        <w:pStyle w:val="Heading5"/>
      </w:pPr>
      <w:bookmarkStart w:id="61" w:name="_Toc216772961"/>
      <w:r>
        <w:rPr>
          <w:rStyle w:val="CharSectno"/>
        </w:rPr>
        <w:t>41</w:t>
      </w:r>
      <w:r>
        <w:t>.</w:t>
      </w:r>
      <w:r>
        <w:tab/>
        <w:t>Reasonable force may be used to obtain DNA profiles, fingerprints and photographs</w:t>
      </w:r>
      <w:bookmarkEnd w:id="61"/>
    </w:p>
    <w:p>
      <w:pPr>
        <w:pStyle w:val="Subsection"/>
      </w:pPr>
      <w:r>
        <w:tab/>
        <w:t>(1)</w:t>
      </w:r>
      <w:r>
        <w:tab/>
        <w:t>Before attempting to exercise a power under section 39, 40 or 40A,</w:t>
      </w:r>
      <w:r>
        <w:rPr>
          <w:color w:val="000000"/>
        </w:rPr>
        <w:t xml:space="preserve"> </w:t>
      </w:r>
      <w:r>
        <w:t xml:space="preserve">the authorised person must inform the reportable offender in language likely to be understood by the offender — </w:t>
      </w:r>
    </w:p>
    <w:p>
      <w:pPr>
        <w:pStyle w:val="Indenta"/>
      </w:pPr>
      <w:r>
        <w:tab/>
        <w:t>(a)</w:t>
      </w:r>
      <w:r>
        <w:tab/>
        <w:t xml:space="preserve">of the purpose for which the power is to be exercised and — </w:t>
      </w:r>
    </w:p>
    <w:p>
      <w:pPr>
        <w:pStyle w:val="Indenti"/>
      </w:pPr>
      <w:r>
        <w:tab/>
        <w:t>(i)</w:t>
      </w:r>
      <w:r>
        <w:tab/>
        <w:t>in the case of section 39, why the authorised person is not satisfied as to the identity of the offender; or</w:t>
      </w:r>
    </w:p>
    <w:p>
      <w:pPr>
        <w:pStyle w:val="Indenti"/>
      </w:pPr>
      <w:r>
        <w:tab/>
        <w:t>(ii)</w:t>
      </w:r>
      <w:r>
        <w:tab/>
        <w:t>in the case of section 40A, why the authorised person reasonably suspects the offender’s DNA profile is not held, or may not be held, by the WA Police or in a forensic database;</w:t>
      </w:r>
    </w:p>
    <w:p>
      <w:pPr>
        <w:pStyle w:val="Indenta"/>
      </w:pPr>
      <w:r>
        <w:tab/>
      </w:r>
      <w:r>
        <w:tab/>
        <w:t>and</w:t>
      </w:r>
    </w:p>
    <w:p>
      <w:pPr>
        <w:pStyle w:val="Indenta"/>
        <w:spacing w:before="70"/>
      </w:pPr>
      <w:r>
        <w:tab/>
        <w:t>(b)</w:t>
      </w:r>
      <w:r>
        <w:tab/>
        <w:t>that reasonable force may be used if the reportable offender does not voluntarily give the offender’s fingerprints, expose part of the offender’s body or submit to a non</w:t>
      </w:r>
      <w:r>
        <w:noBreakHyphen/>
        <w:t>intimate identifying procedure being done on the offender (as the case may be); and</w:t>
      </w:r>
    </w:p>
    <w:p>
      <w:pPr>
        <w:pStyle w:val="Indenta"/>
        <w:spacing w:before="70"/>
      </w:pPr>
      <w:r>
        <w:tab/>
        <w:t>(c)</w:t>
      </w:r>
      <w:r>
        <w:tab/>
        <w:t>that the fingerprints or photographs will be retained by the Commissioner or the DNA profile will be retained in accordance with the law.</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senior police officer, a police officer may use reasonable force — </w:t>
      </w:r>
    </w:p>
    <w:p>
      <w:pPr>
        <w:pStyle w:val="Indenta"/>
      </w:pPr>
      <w:r>
        <w:tab/>
        <w:t>(a)</w:t>
      </w:r>
      <w:r>
        <w:tab/>
        <w:t>to take the fingerprints of the reportable offender; or</w:t>
      </w:r>
    </w:p>
    <w:p>
      <w:pPr>
        <w:pStyle w:val="Indenta"/>
      </w:pPr>
      <w:r>
        <w:lastRenderedPageBreak/>
        <w:tab/>
        <w:t>(b)</w:t>
      </w:r>
      <w:r>
        <w:tab/>
        <w:t>to expose a part of the body of the reportable offender that an authorised person is authorised under section 40(1) to require the reportable offender to expose to enable that part of the body to be photographed; or</w:t>
      </w:r>
    </w:p>
    <w:p>
      <w:pPr>
        <w:pStyle w:val="Indenta"/>
      </w:pPr>
      <w:r>
        <w:tab/>
        <w:t>(c)</w:t>
      </w:r>
      <w:r>
        <w:tab/>
        <w:t>to carry out a non</w:t>
      </w:r>
      <w:r>
        <w:noBreakHyphen/>
        <w:t>intimate identifying procedure on the reportable offender for the purpose of obtaining the offender’s DNA profile.</w:t>
      </w:r>
    </w:p>
    <w:p>
      <w:pPr>
        <w:pStyle w:val="Subsection"/>
      </w:pPr>
      <w:r>
        <w:tab/>
        <w:t>(3)</w:t>
      </w:r>
      <w:r>
        <w:tab/>
        <w:t>If reasonable force is to be used in relation to section 39, 40 or 40A, a person of the same sex as the reportable offender must, if practicable, be the person who uses the reasonable force.</w:t>
      </w:r>
    </w:p>
    <w:p>
      <w:pPr>
        <w:pStyle w:val="Subsection"/>
      </w:pPr>
      <w:r>
        <w:tab/>
        <w:t>(4)</w:t>
      </w:r>
      <w:r>
        <w:tab/>
        <w:t xml:space="preserve">This section applies despite the </w:t>
      </w:r>
      <w:r>
        <w:rPr>
          <w:i/>
          <w:iCs/>
        </w:rPr>
        <w:t>Criminal Investigation (Identifying People) Act 2002</w:t>
      </w:r>
      <w:r>
        <w:t xml:space="preserve"> section 11(3).</w:t>
      </w:r>
    </w:p>
    <w:p>
      <w:pPr>
        <w:pStyle w:val="PermNoteHeading"/>
      </w:pPr>
      <w:r>
        <w:tab/>
        <w:t>Note for this section</w:t>
      </w:r>
      <w:r>
        <w:tab/>
      </w:r>
    </w:p>
    <w:p>
      <w:pPr>
        <w:pStyle w:val="PermNoteText"/>
      </w:pPr>
      <w:r>
        <w:tab/>
      </w:r>
      <w:r>
        <w:tab/>
        <w:t>A police officer may authorise as many other persons to assist in the exercise of the police officer’s powers under this Act as are reasonably necessary in the circumstances (see section 109A).</w:t>
      </w:r>
    </w:p>
    <w:p>
      <w:pPr>
        <w:pStyle w:val="Footnotesection"/>
      </w:pPr>
      <w:r>
        <w:tab/>
        <w:t>[Section 41 amended: No. 54 of 2012 s. 18; No. 31 of 2024 s. 28; No. 35 of 2024 s. 23.]</w:t>
      </w:r>
    </w:p>
    <w:p>
      <w:pPr>
        <w:pStyle w:val="Heading5"/>
      </w:pPr>
      <w:bookmarkStart w:id="62" w:name="_Toc216772962"/>
      <w:r>
        <w:rPr>
          <w:rStyle w:val="CharSectno"/>
        </w:rPr>
        <w:t>42</w:t>
      </w:r>
      <w:r>
        <w:t>.</w:t>
      </w:r>
      <w:r>
        <w:tab/>
        <w:t>Retention of material for certain purposes</w:t>
      </w:r>
      <w:bookmarkEnd w:id="62"/>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PermNoteHeading"/>
      </w:pPr>
      <w:r>
        <w:tab/>
        <w:t xml:space="preserve">Note for this section: </w:t>
      </w:r>
    </w:p>
    <w:p>
      <w:pPr>
        <w:pStyle w:val="PermNoteText"/>
      </w:pPr>
      <w:r>
        <w:tab/>
      </w:r>
      <w:r>
        <w:tab/>
        <w:t xml:space="preserve">A reportable offender’s DNA profile obtained under this Division may be dealt with under the </w:t>
      </w:r>
      <w:r>
        <w:rPr>
          <w:i/>
          <w:iCs/>
        </w:rPr>
        <w:t>Criminal Investigation (Identifying People) Act 2002</w:t>
      </w:r>
      <w:r>
        <w:t xml:space="preserve"> section 68B.</w:t>
      </w:r>
    </w:p>
    <w:p>
      <w:pPr>
        <w:pStyle w:val="Footnotesection"/>
      </w:pPr>
      <w:r>
        <w:tab/>
        <w:t>[Section 42 amended: No. 35 of 2024 s. 24.]</w:t>
      </w:r>
    </w:p>
    <w:p>
      <w:pPr>
        <w:pStyle w:val="Heading5"/>
      </w:pPr>
      <w:bookmarkStart w:id="63" w:name="_Toc216772963"/>
      <w:r>
        <w:rPr>
          <w:rStyle w:val="CharSectno"/>
        </w:rPr>
        <w:lastRenderedPageBreak/>
        <w:t>43</w:t>
      </w:r>
      <w:r>
        <w:t>.</w:t>
      </w:r>
      <w:r>
        <w:tab/>
        <w:t>Reporting by remote offenders</w:t>
      </w:r>
      <w:bookmarkEnd w:id="63"/>
    </w:p>
    <w:p>
      <w:pPr>
        <w:pStyle w:val="Subsection"/>
        <w:spacing w:before="200"/>
      </w:pPr>
      <w:r>
        <w:tab/>
        <w:t>(1)</w:t>
      </w:r>
      <w:r>
        <w:tab/>
        <w:t>This section applies to a reportable offender who resides more than the distance prescribed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keepNext/>
        <w:spacing w:before="200"/>
      </w:pPr>
      <w:r>
        <w:tab/>
        <w:t>(3)</w:t>
      </w:r>
      <w:r>
        <w:tab/>
        <w:t xml:space="preserve">The reportable offender need not comply with a time limit concerning the making of a report in person under this Part if — </w:t>
      </w:r>
    </w:p>
    <w:p>
      <w:pPr>
        <w:pStyle w:val="Indenta"/>
      </w:pPr>
      <w:r>
        <w:tab/>
        <w:t>(a)</w:t>
      </w:r>
      <w:r>
        <w:tab/>
        <w:t>the offender, or a person entitled to make the report on the offender’s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the offender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lastRenderedPageBreak/>
        <w:tab/>
        <w:t>(6)</w:t>
      </w:r>
      <w:r>
        <w:tab/>
        <w:t>If an agreement is made under this section, the Commissioner must ensure that the reportable offender is provided with the reference number required by subsection (5)(a).</w:t>
      </w:r>
    </w:p>
    <w:p>
      <w:pPr>
        <w:pStyle w:val="Footnotesection"/>
      </w:pPr>
      <w:r>
        <w:tab/>
        <w:t>[Section 43 amended: No. 31 of 2024 s. 28; No. 35 of 2024 s. 59.]</w:t>
      </w:r>
    </w:p>
    <w:p>
      <w:pPr>
        <w:pStyle w:val="Heading5"/>
      </w:pPr>
      <w:bookmarkStart w:id="64" w:name="_Toc216772964"/>
      <w:r>
        <w:rPr>
          <w:rStyle w:val="CharSectno"/>
        </w:rPr>
        <w:t>43A</w:t>
      </w:r>
      <w:r>
        <w:t>.</w:t>
      </w:r>
      <w:r>
        <w:tab/>
        <w:t>Time for reporting</w:t>
      </w:r>
      <w:bookmarkEnd w:id="64"/>
      <w:r>
        <w:t xml:space="preserve"> </w:t>
      </w:r>
    </w:p>
    <w:p>
      <w:pPr>
        <w:pStyle w:val="Subsection"/>
      </w:pPr>
      <w:r>
        <w:tab/>
      </w:r>
      <w:r>
        <w:tab/>
        <w:t xml:space="preserve">If a reportable offender is required to report to the Commissioner under this Part, the </w:t>
      </w:r>
      <w:r>
        <w:rPr>
          <w:i/>
          <w:iCs/>
        </w:rPr>
        <w:t>Interpretation Act 1984</w:t>
      </w:r>
      <w:r>
        <w:t xml:space="preserve"> section 61(e) and (h) do not apply to extend the time by which the report must be made.</w:t>
      </w:r>
    </w:p>
    <w:p>
      <w:pPr>
        <w:pStyle w:val="Footnotesection"/>
      </w:pPr>
      <w:r>
        <w:tab/>
        <w:t>[Section 43A inserted: No. 35 of 2024 s. 25.]</w:t>
      </w:r>
    </w:p>
    <w:p>
      <w:pPr>
        <w:pStyle w:val="Heading5"/>
      </w:pPr>
      <w:bookmarkStart w:id="65" w:name="_Toc216772965"/>
      <w:r>
        <w:rPr>
          <w:rStyle w:val="CharSectno"/>
        </w:rPr>
        <w:t>43B</w:t>
      </w:r>
      <w:r>
        <w:t>.</w:t>
      </w:r>
      <w:r>
        <w:tab/>
        <w:t>Powers additional</w:t>
      </w:r>
      <w:bookmarkEnd w:id="65"/>
      <w:r>
        <w:t xml:space="preserve"> </w:t>
      </w:r>
    </w:p>
    <w:p>
      <w:pPr>
        <w:pStyle w:val="Subsection"/>
      </w:pPr>
      <w:r>
        <w:tab/>
      </w:r>
      <w:r>
        <w:tab/>
        <w:t>The powers that a police officer may exercise under this Division are in addition to, and do not limit, the powers that a police officer has under this Act or any other law.</w:t>
      </w:r>
    </w:p>
    <w:p>
      <w:pPr>
        <w:pStyle w:val="Footnotesection"/>
      </w:pPr>
      <w:r>
        <w:tab/>
        <w:t>[Section 43B inserted: No. 35 of 2024 s. 25.]</w:t>
      </w:r>
    </w:p>
    <w:p>
      <w:pPr>
        <w:pStyle w:val="Heading3"/>
      </w:pPr>
      <w:bookmarkStart w:id="66" w:name="_Toc216772966"/>
      <w:r>
        <w:rPr>
          <w:rStyle w:val="CharDivNo"/>
        </w:rPr>
        <w:t>Division 4</w:t>
      </w:r>
      <w:r>
        <w:t> — </w:t>
      </w:r>
      <w:r>
        <w:rPr>
          <w:rStyle w:val="CharDivText"/>
        </w:rPr>
        <w:t>Suspension and extension of reporting obligations</w:t>
      </w:r>
      <w:bookmarkEnd w:id="66"/>
    </w:p>
    <w:p>
      <w:pPr>
        <w:pStyle w:val="Heading5"/>
      </w:pPr>
      <w:bookmarkStart w:id="67" w:name="_Toc216772967"/>
      <w:r>
        <w:rPr>
          <w:rStyle w:val="CharSectno"/>
        </w:rPr>
        <w:t>44</w:t>
      </w:r>
      <w:r>
        <w:t>.</w:t>
      </w:r>
      <w:r>
        <w:tab/>
        <w:t>Suspension and extension of reporting obligations</w:t>
      </w:r>
      <w:bookmarkEnd w:id="67"/>
    </w:p>
    <w:p>
      <w:pPr>
        <w:pStyle w:val="Subsection"/>
      </w:pPr>
      <w:r>
        <w:tab/>
        <w:t>(1)</w:t>
      </w:r>
      <w:r>
        <w:tab/>
        <w:t xml:space="preserve">Any obligation imposed on a reportable offender by this Part is suspended for any period during which the offender — </w:t>
      </w:r>
    </w:p>
    <w:p>
      <w:pPr>
        <w:pStyle w:val="Indenta"/>
      </w:pPr>
      <w:r>
        <w:tab/>
        <w:t>(a)</w:t>
      </w:r>
      <w:r>
        <w:tab/>
        <w:t>is in government custody; or</w:t>
      </w:r>
    </w:p>
    <w:p>
      <w:pPr>
        <w:pStyle w:val="Indenta"/>
      </w:pPr>
      <w:r>
        <w:tab/>
        <w:t>(b)</w:t>
      </w:r>
      <w:r>
        <w:tab/>
        <w:t>is outside Western Australia, unless the offender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lastRenderedPageBreak/>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keepNext/>
      </w:pPr>
      <w:r>
        <w:tab/>
        <w:t>(b)</w:t>
      </w:r>
      <w:r>
        <w:tab/>
        <w:t>the reportable offender must continue to comply with the reporting obligations imposed by this Part until the expiry of the period during which the offender is subject to the order.</w:t>
      </w:r>
    </w:p>
    <w:p>
      <w:pPr>
        <w:pStyle w:val="Footnotesection"/>
      </w:pPr>
      <w:r>
        <w:tab/>
        <w:t>[Section 44 amended: No. 54 of 2012 s. 42(3); No. 31 of 2024 s. 28.]</w:t>
      </w:r>
    </w:p>
    <w:p>
      <w:pPr>
        <w:pStyle w:val="Heading3"/>
      </w:pPr>
      <w:bookmarkStart w:id="68" w:name="_Toc216772968"/>
      <w:r>
        <w:rPr>
          <w:rStyle w:val="CharDivNo"/>
        </w:rPr>
        <w:t>Division 5</w:t>
      </w:r>
      <w:r>
        <w:t> — </w:t>
      </w:r>
      <w:r>
        <w:rPr>
          <w:rStyle w:val="CharDivText"/>
        </w:rPr>
        <w:t>Reporting period</w:t>
      </w:r>
      <w:bookmarkEnd w:id="68"/>
    </w:p>
    <w:p>
      <w:pPr>
        <w:pStyle w:val="Heading5"/>
      </w:pPr>
      <w:bookmarkStart w:id="69" w:name="_Toc216772969"/>
      <w:r>
        <w:rPr>
          <w:rStyle w:val="CharSectno"/>
        </w:rPr>
        <w:t>45</w:t>
      </w:r>
      <w:r>
        <w:t>.</w:t>
      </w:r>
      <w:r>
        <w:tab/>
        <w:t>When reporting obligations begin</w:t>
      </w:r>
      <w:bookmarkEnd w:id="69"/>
    </w:p>
    <w:p>
      <w:pPr>
        <w:pStyle w:val="Subsection"/>
      </w:pPr>
      <w:r>
        <w:tab/>
      </w:r>
      <w:r>
        <w:tab/>
        <w:t>For the purposes of this Division, a reportable offender’s reporting obligations in respect of a reportable offence begin when the latest of the following occurs —</w:t>
      </w:r>
    </w:p>
    <w:p>
      <w:pPr>
        <w:pStyle w:val="Indenta"/>
      </w:pPr>
      <w:r>
        <w:tab/>
        <w:t>(a)</w:t>
      </w:r>
      <w:r>
        <w:tab/>
        <w:t xml:space="preserve">the reportable offender is sentenced for the offence; </w:t>
      </w:r>
    </w:p>
    <w:p>
      <w:pPr>
        <w:pStyle w:val="Indenta"/>
      </w:pPr>
      <w:r>
        <w:tab/>
        <w:t>(b)</w:t>
      </w:r>
      <w:r>
        <w:tab/>
        <w:t>the reportable offender ceases to be in government custody in respect of the offence;</w:t>
      </w:r>
    </w:p>
    <w:p>
      <w:pPr>
        <w:pStyle w:val="Indenta"/>
      </w:pPr>
      <w:r>
        <w:tab/>
        <w:t>(c)</w:t>
      </w:r>
      <w:r>
        <w:tab/>
        <w:t>a reporting order is made in respect of the offence.</w:t>
      </w:r>
    </w:p>
    <w:p>
      <w:pPr>
        <w:pStyle w:val="Footnotesection"/>
      </w:pPr>
      <w:r>
        <w:tab/>
        <w:t>[Section 45 amended: No. 35 of 2024 s. 26.]</w:t>
      </w:r>
    </w:p>
    <w:p>
      <w:pPr>
        <w:pStyle w:val="Heading5"/>
      </w:pPr>
      <w:bookmarkStart w:id="70" w:name="_Toc216772970"/>
      <w:r>
        <w:rPr>
          <w:rStyle w:val="CharSectno"/>
        </w:rPr>
        <w:lastRenderedPageBreak/>
        <w:t>46</w:t>
      </w:r>
      <w:r>
        <w:t>.</w:t>
      </w:r>
      <w:r>
        <w:tab/>
        <w:t>Length of reporting period</w:t>
      </w:r>
      <w:bookmarkEnd w:id="70"/>
    </w:p>
    <w:p>
      <w:pPr>
        <w:pStyle w:val="Subsection"/>
      </w:pPr>
      <w:r>
        <w:tab/>
        <w:t>(1)</w:t>
      </w:r>
      <w:r>
        <w:tab/>
        <w:t>A reportable offender must continue to comply with the reporting obligations imposed by this Part for 8 years, if the offender has only ever been found guilty of a single Class 2 offence.</w:t>
      </w:r>
    </w:p>
    <w:p>
      <w:pPr>
        <w:pStyle w:val="Subsection"/>
        <w:keepNext/>
      </w:pPr>
      <w:r>
        <w:tab/>
        <w:t>(2)</w:t>
      </w:r>
      <w:r>
        <w:tab/>
        <w:t xml:space="preserve">A reportable offender must continue to comply with the reporting obligations imposed by this Part for 15 years, if the offender — </w:t>
      </w:r>
    </w:p>
    <w:p>
      <w:pPr>
        <w:pStyle w:val="Indenta"/>
      </w:pPr>
      <w:r>
        <w:tab/>
        <w:t>(a)</w:t>
      </w:r>
      <w:r>
        <w:tab/>
        <w:t>has only ever been found guilty of a single Class 1 offence; or</w:t>
      </w:r>
    </w:p>
    <w:p>
      <w:pPr>
        <w:pStyle w:val="Indenta"/>
      </w:pPr>
      <w:r>
        <w:tab/>
        <w:t>(aa)</w:t>
      </w:r>
      <w:r>
        <w:tab/>
        <w:t>has only ever been found guilty of 2 Class 2 offences;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the offender’s life, if the offender is a reportable offender in respect of — </w:t>
      </w:r>
    </w:p>
    <w:p>
      <w:pPr>
        <w:pStyle w:val="Indenta"/>
      </w:pPr>
      <w:r>
        <w:tab/>
        <w:t>(a)</w:t>
      </w:r>
      <w:r>
        <w:tab/>
        <w:t>a Class 1 offence, and the offender then commits and is found guilty of a Class 1 offence, a Class 2 offence or a Class 3 offence; or</w:t>
      </w:r>
    </w:p>
    <w:p>
      <w:pPr>
        <w:pStyle w:val="Indenta"/>
      </w:pPr>
      <w:r>
        <w:tab/>
        <w:t>(b)</w:t>
      </w:r>
      <w:r>
        <w:tab/>
        <w:t>a Class 2 offence or a Class 3 offence, and the offender then commits and is found guilty of a Class 1 offence; or</w:t>
      </w:r>
    </w:p>
    <w:p>
      <w:pPr>
        <w:pStyle w:val="Indenta"/>
      </w:pPr>
      <w:r>
        <w:tab/>
        <w:t>(c)</w:t>
      </w:r>
      <w:r>
        <w:tab/>
        <w:t xml:space="preserve">a Class 2 offence, and the offender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the offender then commits and is found guilty of a Class 2 offence and has ever been found guilty of 3 or more Class 2 offences; or</w:t>
      </w:r>
    </w:p>
    <w:p>
      <w:pPr>
        <w:pStyle w:val="Indenta"/>
      </w:pPr>
      <w:r>
        <w:lastRenderedPageBreak/>
        <w:tab/>
        <w:t>(e)</w:t>
      </w:r>
      <w:r>
        <w:tab/>
        <w:t>a Class 3 offence, and the offender then commits and is found guilty of a Class 3 offence.</w:t>
      </w:r>
    </w:p>
    <w:p>
      <w:pPr>
        <w:pStyle w:val="Ednotesubsection"/>
      </w:pPr>
      <w:r>
        <w:tab/>
        <w:t>[(4)</w:t>
      </w:r>
      <w:r>
        <w:tab/>
        <w:t>deleted]</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Footnotesection"/>
      </w:pPr>
      <w:r>
        <w:tab/>
        <w:t>[Section 46 amended: No. 31 of 2024 s. 28; No. 35 of 2024 s. 27.]</w:t>
      </w:r>
    </w:p>
    <w:p>
      <w:pPr>
        <w:pStyle w:val="Heading5"/>
      </w:pPr>
      <w:bookmarkStart w:id="71" w:name="_Toc216772971"/>
      <w:r>
        <w:rPr>
          <w:rStyle w:val="CharSectno"/>
        </w:rPr>
        <w:t>47</w:t>
      </w:r>
      <w:r>
        <w:t>.</w:t>
      </w:r>
      <w:r>
        <w:tab/>
        <w:t>Reduced period applies for young reportable offenders</w:t>
      </w:r>
      <w:bookmarkEnd w:id="71"/>
    </w:p>
    <w:p>
      <w:pPr>
        <w:pStyle w:val="Subsection"/>
      </w:pPr>
      <w:r>
        <w:tab/>
        <w:t>(1)</w:t>
      </w:r>
      <w:r>
        <w:tab/>
        <w:t>The reporting periods specified in section 46 do not apply to a person who was a child at the time the person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the person .</w:t>
      </w:r>
    </w:p>
    <w:p>
      <w:pPr>
        <w:pStyle w:val="Footnotesection"/>
      </w:pPr>
      <w:r>
        <w:tab/>
        <w:t>[Section 47 amended: No. 31 of 2024 s. 28.]</w:t>
      </w:r>
    </w:p>
    <w:p>
      <w:pPr>
        <w:pStyle w:val="Heading5"/>
      </w:pPr>
      <w:bookmarkStart w:id="72" w:name="_Toc216772972"/>
      <w:r>
        <w:rPr>
          <w:rStyle w:val="CharSectno"/>
        </w:rPr>
        <w:lastRenderedPageBreak/>
        <w:t>48</w:t>
      </w:r>
      <w:r>
        <w:t>.</w:t>
      </w:r>
      <w:r>
        <w:tab/>
        <w:t>Extended reporting period if reportable offender still on parole</w:t>
      </w:r>
      <w:bookmarkEnd w:id="72"/>
    </w:p>
    <w:p>
      <w:pPr>
        <w:pStyle w:val="Subsection"/>
        <w:keepNext/>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73" w:name="_Toc216772973"/>
      <w:r>
        <w:rPr>
          <w:rStyle w:val="CharSectno"/>
        </w:rPr>
        <w:t>49</w:t>
      </w:r>
      <w:r>
        <w:t>.</w:t>
      </w:r>
      <w:r>
        <w:tab/>
        <w:t>Reporting period for corresponding reportable offenders</w:t>
      </w:r>
      <w:bookmarkEnd w:id="73"/>
    </w:p>
    <w:p>
      <w:pPr>
        <w:pStyle w:val="Subsection"/>
        <w:keepNext/>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the offender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the offender would be required to report to the corresponding registrar of a foreign jurisdiction.</w:t>
      </w:r>
    </w:p>
    <w:p>
      <w:pPr>
        <w:pStyle w:val="Footnotesection"/>
      </w:pPr>
      <w:r>
        <w:tab/>
        <w:t>[Section 49 amended: No. 54 of 2012 s. 19; No. 31 of 2024 s. 28.]</w:t>
      </w:r>
    </w:p>
    <w:p>
      <w:pPr>
        <w:pStyle w:val="Heading5"/>
      </w:pPr>
      <w:bookmarkStart w:id="74" w:name="_Toc216772974"/>
      <w:r>
        <w:rPr>
          <w:rStyle w:val="CharSectno"/>
        </w:rPr>
        <w:lastRenderedPageBreak/>
        <w:t>50</w:t>
      </w:r>
      <w:r>
        <w:t>.</w:t>
      </w:r>
      <w:r>
        <w:tab/>
        <w:t>Reporting period for New South Wales reportable offenders</w:t>
      </w:r>
      <w:bookmarkEnd w:id="74"/>
    </w:p>
    <w:p>
      <w:pPr>
        <w:pStyle w:val="Subsection"/>
      </w:pPr>
      <w:r>
        <w:tab/>
        <w:t>(1)</w:t>
      </w:r>
      <w:r>
        <w:tab/>
        <w:t>Subject to subsection (2), a New South Wales reportable offender must continue to comply with the reporting obligations imposed by this Part for the period the offender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keepNext/>
      </w:pPr>
      <w:r>
        <w:tab/>
        <w:t>(b)</w:t>
      </w:r>
      <w:r>
        <w:tab/>
        <w:t>the period that the offender is required to report in accordance with this Division (apart from this section),</w:t>
      </w:r>
    </w:p>
    <w:p>
      <w:pPr>
        <w:pStyle w:val="Subsection"/>
        <w:keepNext/>
      </w:pPr>
      <w:r>
        <w:tab/>
      </w:r>
      <w:r>
        <w:tab/>
        <w:t>whichever is longer.</w:t>
      </w:r>
    </w:p>
    <w:p>
      <w:pPr>
        <w:pStyle w:val="Footnotesection"/>
      </w:pPr>
      <w:r>
        <w:tab/>
        <w:t>[Section 50 amended: No. 31 of 2024 s. 28.]</w:t>
      </w:r>
    </w:p>
    <w:p>
      <w:pPr>
        <w:pStyle w:val="Heading3"/>
      </w:pPr>
      <w:bookmarkStart w:id="75" w:name="_Toc216772975"/>
      <w:r>
        <w:rPr>
          <w:rStyle w:val="CharDivNo"/>
        </w:rPr>
        <w:t>Division 6</w:t>
      </w:r>
      <w:r>
        <w:t> — </w:t>
      </w:r>
      <w:r>
        <w:rPr>
          <w:rStyle w:val="CharDivText"/>
        </w:rPr>
        <w:t>Exemption from reporting obligations</w:t>
      </w:r>
      <w:bookmarkEnd w:id="75"/>
    </w:p>
    <w:p>
      <w:pPr>
        <w:pStyle w:val="Heading5"/>
      </w:pPr>
      <w:bookmarkStart w:id="76" w:name="_Toc216772976"/>
      <w:r>
        <w:rPr>
          <w:rStyle w:val="CharSectno"/>
        </w:rPr>
        <w:t>51</w:t>
      </w:r>
      <w:r>
        <w:t>.</w:t>
      </w:r>
      <w:r>
        <w:tab/>
        <w:t>Application of Division</w:t>
      </w:r>
      <w:bookmarkEnd w:id="76"/>
    </w:p>
    <w:p>
      <w:pPr>
        <w:pStyle w:val="Subsection"/>
      </w:pPr>
      <w:r>
        <w:tab/>
        <w:t>(1)</w:t>
      </w:r>
      <w:r>
        <w:tab/>
        <w:t>Subject to subsection (2), this Division applies to a reportable offender who is required to continue to comply with the reporting obligations imposed by this Part for the remainder of the offender’s life.</w:t>
      </w:r>
    </w:p>
    <w:p>
      <w:pPr>
        <w:pStyle w:val="Subsection"/>
      </w:pPr>
      <w:r>
        <w:tab/>
        <w:t>(2)</w:t>
      </w:r>
      <w:r>
        <w:tab/>
        <w:t xml:space="preserve">This Division does not apply to a reportable offender who is required to comply with those obligations for the remainder of the offender’s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lastRenderedPageBreak/>
        <w:tab/>
        <w:t>(c)</w:t>
      </w:r>
      <w:r>
        <w:tab/>
        <w:t>an offence that, at the time it was committed, was an offence of the kind referred to in this subsection.</w:t>
      </w:r>
    </w:p>
    <w:p>
      <w:pPr>
        <w:pStyle w:val="Footnotesection"/>
      </w:pPr>
      <w:r>
        <w:tab/>
        <w:t>[Section 51 amended: No. 31 of 2024 s. 28.]</w:t>
      </w:r>
    </w:p>
    <w:p>
      <w:pPr>
        <w:pStyle w:val="Heading5"/>
      </w:pPr>
      <w:bookmarkStart w:id="77" w:name="_Toc216772977"/>
      <w:r>
        <w:rPr>
          <w:rStyle w:val="CharSectno"/>
        </w:rPr>
        <w:t>52</w:t>
      </w:r>
      <w:r>
        <w:t>.</w:t>
      </w:r>
      <w:r>
        <w:tab/>
        <w:t>District Court may exempt certain reportable offenders</w:t>
      </w:r>
      <w:bookmarkEnd w:id="77"/>
    </w:p>
    <w:p>
      <w:pPr>
        <w:pStyle w:val="Subsection"/>
      </w:pPr>
      <w:r>
        <w:tab/>
      </w:r>
      <w:r>
        <w:tab/>
        <w:t xml:space="preserve">If — </w:t>
      </w:r>
    </w:p>
    <w:p>
      <w:pPr>
        <w:pStyle w:val="Indenta"/>
      </w:pPr>
      <w:r>
        <w:tab/>
        <w:t>(a)</w:t>
      </w:r>
      <w:r>
        <w:tab/>
        <w:t>a period of 15 years has passed (ignoring any period during which the reportable offender was in government custody) since the offender was last sentenced or released from government custody in respect of a reportable offence or a corresponding reportable offence, whichever is later; and</w:t>
      </w:r>
    </w:p>
    <w:p>
      <w:pPr>
        <w:pStyle w:val="Indenta"/>
      </w:pPr>
      <w:r>
        <w:tab/>
        <w:t>(b)</w:t>
      </w:r>
      <w:r>
        <w:tab/>
        <w:t>the offender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the offender is not on parole in respect of a reportable offence,</w:t>
      </w:r>
    </w:p>
    <w:p>
      <w:pPr>
        <w:pStyle w:val="Subsection"/>
      </w:pPr>
      <w:r>
        <w:tab/>
      </w:r>
      <w:r>
        <w:tab/>
        <w:t>the reportable offender may apply to the District Court for an order suspending the offender’s reporting obligations.</w:t>
      </w:r>
    </w:p>
    <w:p>
      <w:pPr>
        <w:pStyle w:val="Footnotesection"/>
      </w:pPr>
      <w:r>
        <w:tab/>
        <w:t>[Section 52 amended: No. 31 of 2024 s. 28.]</w:t>
      </w:r>
    </w:p>
    <w:p>
      <w:pPr>
        <w:pStyle w:val="Heading5"/>
      </w:pPr>
      <w:bookmarkStart w:id="78" w:name="_Toc216772978"/>
      <w:r>
        <w:rPr>
          <w:rStyle w:val="CharSectno"/>
        </w:rPr>
        <w:t>53</w:t>
      </w:r>
      <w:r>
        <w:t>.</w:t>
      </w:r>
      <w:r>
        <w:tab/>
        <w:t>Order for suspension</w:t>
      </w:r>
      <w:bookmarkEnd w:id="78"/>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keepNext/>
      </w:pPr>
      <w:r>
        <w:lastRenderedPageBreak/>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79" w:name="_Toc216772979"/>
      <w:r>
        <w:rPr>
          <w:rStyle w:val="CharSectno"/>
        </w:rPr>
        <w:t>54</w:t>
      </w:r>
      <w:r>
        <w:t>.</w:t>
      </w:r>
      <w:r>
        <w:tab/>
        <w:t>Commissioner and certain chief executive officers entitled to be parties to proceedings</w:t>
      </w:r>
      <w:bookmarkEnd w:id="79"/>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lastRenderedPageBreak/>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80" w:name="_Toc216772980"/>
      <w:r>
        <w:rPr>
          <w:rStyle w:val="CharSectno"/>
        </w:rPr>
        <w:t>55</w:t>
      </w:r>
      <w:r>
        <w:t>.</w:t>
      </w:r>
      <w:r>
        <w:tab/>
        <w:t>Commissioner to be notified of order</w:t>
      </w:r>
      <w:bookmarkEnd w:id="80"/>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81" w:name="_Toc216772981"/>
      <w:r>
        <w:rPr>
          <w:rStyle w:val="CharSectno"/>
        </w:rPr>
        <w:t>56</w:t>
      </w:r>
      <w:r>
        <w:t>.</w:t>
      </w:r>
      <w:r>
        <w:tab/>
        <w:t>No costs to be awarded</w:t>
      </w:r>
      <w:bookmarkEnd w:id="81"/>
    </w:p>
    <w:p>
      <w:pPr>
        <w:pStyle w:val="Subsection"/>
        <w:spacing w:before="140"/>
      </w:pPr>
      <w:r>
        <w:tab/>
      </w:r>
      <w:r>
        <w:tab/>
        <w:t>The District Court must not award costs in respect of proceedings under this Division.</w:t>
      </w:r>
    </w:p>
    <w:p>
      <w:pPr>
        <w:pStyle w:val="Heading5"/>
      </w:pPr>
      <w:bookmarkStart w:id="82" w:name="_Toc216772982"/>
      <w:r>
        <w:rPr>
          <w:rStyle w:val="CharSectno"/>
        </w:rPr>
        <w:t>57</w:t>
      </w:r>
      <w:r>
        <w:t>.</w:t>
      </w:r>
      <w:r>
        <w:tab/>
        <w:t>Applications not to be heard in public on application of party to proceedings</w:t>
      </w:r>
      <w:bookmarkEnd w:id="82"/>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83" w:name="_Toc216772983"/>
      <w:r>
        <w:rPr>
          <w:rStyle w:val="CharSectno"/>
        </w:rPr>
        <w:lastRenderedPageBreak/>
        <w:t>58</w:t>
      </w:r>
      <w:r>
        <w:t>.</w:t>
      </w:r>
      <w:r>
        <w:tab/>
        <w:t>Restriction on right of unsuccessful applicant to re</w:t>
      </w:r>
      <w:r>
        <w:noBreakHyphen/>
        <w:t>apply for order</w:t>
      </w:r>
      <w:bookmarkEnd w:id="83"/>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84" w:name="_Toc216772984"/>
      <w:r>
        <w:rPr>
          <w:rStyle w:val="CharSectno"/>
        </w:rPr>
        <w:t>59</w:t>
      </w:r>
      <w:r>
        <w:t>.</w:t>
      </w:r>
      <w:r>
        <w:tab/>
        <w:t>Cessation of order</w:t>
      </w:r>
      <w:bookmarkEnd w:id="84"/>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lastRenderedPageBreak/>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No. 54 of 2012 s. 42(2).]</w:t>
      </w:r>
    </w:p>
    <w:p>
      <w:pPr>
        <w:pStyle w:val="Heading5"/>
      </w:pPr>
      <w:bookmarkStart w:id="85" w:name="_Toc216772985"/>
      <w:r>
        <w:rPr>
          <w:rStyle w:val="CharSectno"/>
        </w:rPr>
        <w:t>60</w:t>
      </w:r>
      <w:r>
        <w:t>.</w:t>
      </w:r>
      <w:r>
        <w:tab/>
        <w:t>Application for new order</w:t>
      </w:r>
      <w:bookmarkEnd w:id="85"/>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the offender last committed a reportable offence or a corresponding reportable offence.</w:t>
      </w:r>
    </w:p>
    <w:p>
      <w:pPr>
        <w:pStyle w:val="Footnotesection"/>
      </w:pPr>
      <w:r>
        <w:tab/>
        <w:t>[Section 60 amended: No. 31 of 2024 s. 28.]</w:t>
      </w:r>
    </w:p>
    <w:p>
      <w:pPr>
        <w:pStyle w:val="Heading3"/>
      </w:pPr>
      <w:bookmarkStart w:id="86" w:name="_Toc216772986"/>
      <w:r>
        <w:rPr>
          <w:rStyle w:val="CharDivNo"/>
        </w:rPr>
        <w:t>Division 7</w:t>
      </w:r>
      <w:r>
        <w:t> — </w:t>
      </w:r>
      <w:r>
        <w:rPr>
          <w:rStyle w:val="CharDivText"/>
        </w:rPr>
        <w:t>Suspension of reporting obligations of certain reportable offenders</w:t>
      </w:r>
      <w:bookmarkEnd w:id="86"/>
    </w:p>
    <w:p>
      <w:pPr>
        <w:pStyle w:val="Heading5"/>
      </w:pPr>
      <w:bookmarkStart w:id="87" w:name="_Toc216772987"/>
      <w:r>
        <w:rPr>
          <w:rStyle w:val="CharSectno"/>
        </w:rPr>
        <w:t>61</w:t>
      </w:r>
      <w:r>
        <w:t>.</w:t>
      </w:r>
      <w:r>
        <w:tab/>
        <w:t>Commissioner may approve suspension of reporting obligations</w:t>
      </w:r>
      <w:bookmarkEnd w:id="87"/>
    </w:p>
    <w:p>
      <w:pPr>
        <w:pStyle w:val="Ednotesubsection"/>
        <w:keepNext/>
      </w:pPr>
      <w:r>
        <w:tab/>
        <w:t>[(1)</w:t>
      </w:r>
      <w:r>
        <w:tab/>
        <w:t>deleted]</w:t>
      </w:r>
    </w:p>
    <w:p>
      <w:pPr>
        <w:pStyle w:val="Subsection"/>
      </w:pPr>
      <w:r>
        <w:tab/>
        <w:t>(2)</w:t>
      </w:r>
      <w:r>
        <w:tab/>
        <w:t>The Commissioner may approve a suspension of a reportable offender’s reporting obligations.</w:t>
      </w:r>
    </w:p>
    <w:p>
      <w:pPr>
        <w:pStyle w:val="Subsection"/>
      </w:pPr>
      <w:r>
        <w:tab/>
        <w:t>(2A)</w:t>
      </w:r>
      <w:r>
        <w:tab/>
        <w:t>The Commissioner may approve the suspension only if the Commissioner is satisfied that the reportable offender does not pose a risk to the lives or the sexual safety of 1 or more persons, or persons generally.</w:t>
      </w:r>
    </w:p>
    <w:p>
      <w:pPr>
        <w:pStyle w:val="Subsection"/>
      </w:pPr>
      <w:r>
        <w:lastRenderedPageBreak/>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the offender under subsection (4) or from any later date specified in the notice.</w:t>
      </w:r>
    </w:p>
    <w:p>
      <w:pPr>
        <w:pStyle w:val="Footnotesection"/>
      </w:pPr>
      <w:r>
        <w:tab/>
        <w:t>[Section 61 amended: No. 31 of 2024 s. 28; No. 35 of 2024 s. 28.]</w:t>
      </w:r>
    </w:p>
    <w:p>
      <w:pPr>
        <w:pStyle w:val="Heading5"/>
      </w:pPr>
      <w:bookmarkStart w:id="88" w:name="_Toc216772988"/>
      <w:r>
        <w:rPr>
          <w:rStyle w:val="CharSectno"/>
        </w:rPr>
        <w:t>62</w:t>
      </w:r>
      <w:r>
        <w:t>.</w:t>
      </w:r>
      <w:r>
        <w:tab/>
        <w:t>Cessation of approval</w:t>
      </w:r>
      <w:bookmarkEnd w:id="88"/>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 reporting order or a protection order; or</w:t>
      </w:r>
    </w:p>
    <w:p>
      <w:pPr>
        <w:pStyle w:val="Indenta"/>
      </w:pPr>
      <w:r>
        <w:tab/>
        <w:t>(b)</w:t>
      </w:r>
      <w:r>
        <w:tab/>
        <w:t>is found guilty of a reportable offence; or</w:t>
      </w:r>
    </w:p>
    <w:p>
      <w:pPr>
        <w:pStyle w:val="Indenta"/>
      </w:pPr>
      <w:r>
        <w:lastRenderedPageBreak/>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a reporting order or protection order is quashed on appeal; or</w:t>
      </w:r>
    </w:p>
    <w:p>
      <w:pPr>
        <w:pStyle w:val="Indenti"/>
      </w:pPr>
      <w:r>
        <w:tab/>
        <w:t>(ii)</w:t>
      </w:r>
      <w:r>
        <w:tab/>
        <w:t>in the case of a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 reporting order or </w:t>
      </w:r>
      <w:r>
        <w:rPr>
          <w:color w:val="000000"/>
        </w:rPr>
        <w:t>protection order</w:t>
      </w:r>
      <w:r>
        <w:t>.</w:t>
      </w:r>
    </w:p>
    <w:p>
      <w:pPr>
        <w:pStyle w:val="Footnotesection"/>
      </w:pPr>
      <w:r>
        <w:tab/>
        <w:t>[Section 62 amended: No. 54 of 2012 s. 20 and 42(2); No. 35 of 2024 s. 29.]</w:t>
      </w:r>
    </w:p>
    <w:p>
      <w:pPr>
        <w:pStyle w:val="Heading3"/>
      </w:pPr>
      <w:bookmarkStart w:id="89" w:name="_Toc216772989"/>
      <w:r>
        <w:rPr>
          <w:rStyle w:val="CharDivNo"/>
        </w:rPr>
        <w:lastRenderedPageBreak/>
        <w:t>Division 8</w:t>
      </w:r>
      <w:r>
        <w:t> — </w:t>
      </w:r>
      <w:r>
        <w:rPr>
          <w:rStyle w:val="CharDivText"/>
        </w:rPr>
        <w:t>Offences</w:t>
      </w:r>
      <w:bookmarkEnd w:id="89"/>
    </w:p>
    <w:p>
      <w:pPr>
        <w:pStyle w:val="Heading5"/>
      </w:pPr>
      <w:bookmarkStart w:id="90" w:name="_Toc216772990"/>
      <w:r>
        <w:rPr>
          <w:rStyle w:val="CharSectno"/>
        </w:rPr>
        <w:t>63</w:t>
      </w:r>
      <w:r>
        <w:t>.</w:t>
      </w:r>
      <w:r>
        <w:tab/>
        <w:t>Failure to comply with reporting obligations</w:t>
      </w:r>
      <w:bookmarkEnd w:id="90"/>
    </w:p>
    <w:p>
      <w:pPr>
        <w:pStyle w:val="Subsection"/>
      </w:pPr>
      <w:r>
        <w:tab/>
        <w:t>(1)</w:t>
      </w:r>
      <w:r>
        <w:tab/>
        <w:t xml:space="preserve">A reportable offender who, without reasonable excuse, fails to comply with any of the offender’s reporting obligations commits </w:t>
      </w:r>
      <w:r>
        <w:rPr>
          <w:color w:val="000000"/>
        </w:rPr>
        <w:t>a crime.</w:t>
      </w:r>
    </w:p>
    <w:p>
      <w:pPr>
        <w:pStyle w:val="Penstart"/>
      </w:pPr>
      <w:r>
        <w:tab/>
        <w:t>Penalty for this subsection: imprisonment for 5 years.</w:t>
      </w:r>
    </w:p>
    <w:p>
      <w:pPr>
        <w:pStyle w:val="Penstart"/>
      </w:pPr>
      <w:r>
        <w:tab/>
        <w:t>Summary conviction penalty for this subsection: imprisonment for 2 years and a fine of $24 000.</w:t>
      </w:r>
    </w:p>
    <w:p>
      <w:pPr>
        <w:pStyle w:val="Subsection"/>
      </w:pPr>
      <w:r>
        <w:tab/>
        <w:t>(2)</w:t>
      </w:r>
      <w:r>
        <w:tab/>
        <w:t xml:space="preserve">In determining whether a person had a reasonable excuse for failing to comply with the person’s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person as to the person’s obligations was adequate to inform the person of those obligations, having regard to the person’s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No. 54 of 2012 s. 21; No. 31 of 2024 s. 27 and 28; No. 35 of 2024 s. 30.]</w:t>
      </w:r>
    </w:p>
    <w:p>
      <w:pPr>
        <w:pStyle w:val="Heading5"/>
      </w:pPr>
      <w:bookmarkStart w:id="91" w:name="_Toc216772991"/>
      <w:r>
        <w:rPr>
          <w:rStyle w:val="CharSectno"/>
        </w:rPr>
        <w:lastRenderedPageBreak/>
        <w:t>64</w:t>
      </w:r>
      <w:r>
        <w:t>.</w:t>
      </w:r>
      <w:r>
        <w:tab/>
        <w:t>Providing false or misleading information</w:t>
      </w:r>
      <w:bookmarkEnd w:id="91"/>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 xml:space="preserve">Summary conviction penalty for this subsection: imprisonment for 2 years and a fine of $24 000. </w:t>
      </w:r>
    </w:p>
    <w:p>
      <w:pPr>
        <w:pStyle w:val="Footnotesection"/>
      </w:pPr>
      <w:r>
        <w:tab/>
        <w:t>[Section 64 amended: No. 54 of 2012 s. 22; No. 35 of 2024 s. 31.]</w:t>
      </w:r>
    </w:p>
    <w:p>
      <w:pPr>
        <w:pStyle w:val="Heading5"/>
      </w:pPr>
      <w:bookmarkStart w:id="92" w:name="_Toc216772992"/>
      <w:r>
        <w:rPr>
          <w:rStyle w:val="CharSectno"/>
        </w:rPr>
        <w:t>65</w:t>
      </w:r>
      <w:r>
        <w:t>.</w:t>
      </w:r>
      <w:r>
        <w:tab/>
        <w:t>No time limit for prosecutions</w:t>
      </w:r>
      <w:bookmarkEnd w:id="92"/>
    </w:p>
    <w:p>
      <w:pPr>
        <w:pStyle w:val="Subsection"/>
      </w:pPr>
      <w:r>
        <w:tab/>
      </w:r>
      <w:r>
        <w:tab/>
        <w:t>Proceedings for an offence against this Act may be commenced at any time.</w:t>
      </w:r>
    </w:p>
    <w:p>
      <w:pPr>
        <w:pStyle w:val="Heading5"/>
      </w:pPr>
      <w:bookmarkStart w:id="93" w:name="_Toc216772993"/>
      <w:r>
        <w:rPr>
          <w:rStyle w:val="CharSectno"/>
        </w:rPr>
        <w:t>66</w:t>
      </w:r>
      <w:r>
        <w:t>.</w:t>
      </w:r>
      <w:r>
        <w:tab/>
        <w:t>Bar to prosecution for failing to report leaving Western Australia</w:t>
      </w:r>
      <w:bookmarkEnd w:id="93"/>
    </w:p>
    <w:p>
      <w:pPr>
        <w:pStyle w:val="Subsection"/>
      </w:pPr>
      <w:r>
        <w:tab/>
        <w:t>(1)</w:t>
      </w:r>
      <w:r>
        <w:tab/>
        <w:t>This section applies if a reportable offender leaves Western Australia and is found guilty of failing to report the offender’s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Footnotesection"/>
      </w:pPr>
      <w:r>
        <w:tab/>
        <w:t>[Section 66 amended: No. 31 of 2024 s. 28.]</w:t>
      </w:r>
    </w:p>
    <w:p>
      <w:pPr>
        <w:pStyle w:val="Heading3"/>
      </w:pPr>
      <w:bookmarkStart w:id="94" w:name="_Toc216772994"/>
      <w:r>
        <w:rPr>
          <w:rStyle w:val="CharDivNo"/>
        </w:rPr>
        <w:t>Division 9</w:t>
      </w:r>
      <w:r>
        <w:t> — </w:t>
      </w:r>
      <w:r>
        <w:rPr>
          <w:rStyle w:val="CharDivText"/>
        </w:rPr>
        <w:t>Notification of reporting obligations</w:t>
      </w:r>
      <w:bookmarkEnd w:id="94"/>
    </w:p>
    <w:p>
      <w:pPr>
        <w:pStyle w:val="Heading5"/>
      </w:pPr>
      <w:bookmarkStart w:id="95" w:name="_Toc216772995"/>
      <w:r>
        <w:rPr>
          <w:rStyle w:val="CharSectno"/>
        </w:rPr>
        <w:t>67</w:t>
      </w:r>
      <w:r>
        <w:t>.</w:t>
      </w:r>
      <w:r>
        <w:tab/>
        <w:t>Notice to be given to reportable offender</w:t>
      </w:r>
      <w:bookmarkEnd w:id="95"/>
    </w:p>
    <w:p>
      <w:pPr>
        <w:pStyle w:val="Subsection"/>
      </w:pPr>
      <w:r>
        <w:tab/>
        <w:t>(1)</w:t>
      </w:r>
      <w:r>
        <w:tab/>
        <w:t xml:space="preserve">A reportable offender must be given written notice of — </w:t>
      </w:r>
    </w:p>
    <w:p>
      <w:pPr>
        <w:pStyle w:val="Indenta"/>
      </w:pPr>
      <w:r>
        <w:tab/>
        <w:t>(a)</w:t>
      </w:r>
      <w:r>
        <w:tab/>
        <w:t>the offender’s reporting obligations; and</w:t>
      </w:r>
    </w:p>
    <w:p>
      <w:pPr>
        <w:pStyle w:val="Indenta"/>
      </w:pPr>
      <w:r>
        <w:tab/>
        <w:t>(b)</w:t>
      </w:r>
      <w:r>
        <w:tab/>
        <w:t>the consequences that may arise if the offender fails to comply with those obligations.</w:t>
      </w:r>
    </w:p>
    <w:p>
      <w:pPr>
        <w:pStyle w:val="Subsection"/>
      </w:pPr>
      <w:r>
        <w:lastRenderedPageBreak/>
        <w:tab/>
        <w:t>(2)</w:t>
      </w:r>
      <w:r>
        <w:tab/>
        <w:t xml:space="preserve">A reportable offender must be given a notice under this section, as the case requires, as soon as is practicable after the offender — </w:t>
      </w:r>
    </w:p>
    <w:p>
      <w:pPr>
        <w:pStyle w:val="Indenta"/>
      </w:pPr>
      <w:r>
        <w:tab/>
        <w:t>(a)</w:t>
      </w:r>
      <w:r>
        <w:tab/>
        <w:t>is sentenced for a reportable offence or is made subject to a reporting order; or</w:t>
      </w:r>
    </w:p>
    <w:p>
      <w:pPr>
        <w:pStyle w:val="Indenta"/>
      </w:pPr>
      <w:r>
        <w:tab/>
        <w:t>(b)</w:t>
      </w:r>
      <w:r>
        <w:tab/>
        <w:t>is released from government custody (whether in government custody for a reportable offence or otherwise); or</w:t>
      </w:r>
    </w:p>
    <w:p>
      <w:pPr>
        <w:pStyle w:val="Indenta"/>
      </w:pPr>
      <w:r>
        <w:tab/>
        <w:t>(c)</w:t>
      </w:r>
      <w:r>
        <w:tab/>
        <w:t>enters Western Australia, if the offender has not previously been given notice of the offender’s reporting obligations in Western Australia; or</w:t>
      </w:r>
    </w:p>
    <w:p>
      <w:pPr>
        <w:pStyle w:val="Indenta"/>
      </w:pPr>
      <w:r>
        <w:tab/>
        <w:t>(d)</w:t>
      </w:r>
      <w:r>
        <w:tab/>
        <w:t>becomes a corresponding reportable offender, if the offender is in Western Australia at that time.</w:t>
      </w:r>
    </w:p>
    <w:p>
      <w:pPr>
        <w:pStyle w:val="Subsection"/>
      </w:pPr>
      <w:r>
        <w:tab/>
        <w:t>(3)</w:t>
      </w:r>
      <w:r>
        <w:tab/>
        <w:t>Subsection (2)(b) is taken to have been complied with if the reportable offender is given the notice within 7 days before the offender’s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the offender’s personal details to the Commissioner.</w:t>
      </w:r>
    </w:p>
    <w:p>
      <w:pPr>
        <w:pStyle w:val="Footnotesection"/>
      </w:pPr>
      <w:r>
        <w:tab/>
        <w:t>[Section 67 amended: No. 31 of 2024 s. 28; No. 35 of 2024 s. 32.]</w:t>
      </w:r>
    </w:p>
    <w:p>
      <w:pPr>
        <w:pStyle w:val="Heading5"/>
      </w:pPr>
      <w:bookmarkStart w:id="96" w:name="_Toc216772996"/>
      <w:r>
        <w:rPr>
          <w:rStyle w:val="CharSectno"/>
        </w:rPr>
        <w:lastRenderedPageBreak/>
        <w:t>68</w:t>
      </w:r>
      <w:r>
        <w:t>.</w:t>
      </w:r>
      <w:r>
        <w:tab/>
        <w:t>Courts to provide sentencing information to Commissioner</w:t>
      </w:r>
      <w:bookmarkEnd w:id="96"/>
    </w:p>
    <w:p>
      <w:pPr>
        <w:pStyle w:val="Subsection"/>
        <w:keepNext/>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97" w:name="_Toc216772997"/>
      <w:r>
        <w:rPr>
          <w:rStyle w:val="CharSectno"/>
        </w:rPr>
        <w:t>69</w:t>
      </w:r>
      <w:r>
        <w:t>.</w:t>
      </w:r>
      <w:r>
        <w:tab/>
        <w:t>Notice to be given when reporting period changes</w:t>
      </w:r>
      <w:bookmarkEnd w:id="97"/>
    </w:p>
    <w:p>
      <w:pPr>
        <w:pStyle w:val="Subsection"/>
        <w:spacing w:before="150"/>
      </w:pPr>
      <w:r>
        <w:tab/>
        <w:t>(1)</w:t>
      </w:r>
      <w:r>
        <w:tab/>
        <w:t>This section applies to a reportable offender whose reporting period has changed since the offender was last notified of the offender’s reporting period in Western Australia.</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Footnotesection"/>
      </w:pPr>
      <w:r>
        <w:tab/>
        <w:t>[Section 69 amended: No. 31 of 2024 s. 28.]</w:t>
      </w:r>
    </w:p>
    <w:p>
      <w:pPr>
        <w:pStyle w:val="Heading5"/>
      </w:pPr>
      <w:bookmarkStart w:id="98" w:name="_Toc216772998"/>
      <w:r>
        <w:rPr>
          <w:rStyle w:val="CharSectno"/>
        </w:rPr>
        <w:t>70</w:t>
      </w:r>
      <w:r>
        <w:t>.</w:t>
      </w:r>
      <w:r>
        <w:tab/>
        <w:t>Supervising authority to notify Commissioner of certain events</w:t>
      </w:r>
      <w:bookmarkEnd w:id="98"/>
    </w:p>
    <w:p>
      <w:pPr>
        <w:pStyle w:val="Subsection"/>
        <w:keepNext/>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pPr>
      <w:r>
        <w:lastRenderedPageBreak/>
        <w:tab/>
        <w:t>(c)</w:t>
      </w:r>
      <w:r>
        <w:tab/>
        <w:t xml:space="preserve">ceases to be subject to a custody order or an interim or extended custody order under the </w:t>
      </w:r>
      <w:r>
        <w:rPr>
          <w:i/>
        </w:rPr>
        <w:t>Criminal Law (Mental Impairment) Act 2023</w:t>
      </w:r>
      <w:r>
        <w:t>, or an interim disposition under section 205(1)(a) of that Act, and is not immediately made subject to another of those orders;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w:t>
      </w:r>
    </w:p>
    <w:p>
      <w:pPr>
        <w:pStyle w:val="Subsection"/>
      </w:pPr>
      <w:r>
        <w:tab/>
        <w:t>(4)</w:t>
      </w:r>
      <w:r>
        <w:tab/>
        <w:t>For the purposes of subsection (2), the Commissioner may inform a supervising authority whether or not a person is a reportable offender.</w:t>
      </w:r>
    </w:p>
    <w:p>
      <w:pPr>
        <w:pStyle w:val="Footnotesection"/>
      </w:pPr>
      <w:r>
        <w:tab/>
        <w:t>[Section 70 amended: No. 10 of 2023 s. 287; No. 35 of 2024 s. 59.]</w:t>
      </w:r>
    </w:p>
    <w:p>
      <w:pPr>
        <w:pStyle w:val="Heading5"/>
      </w:pPr>
      <w:bookmarkStart w:id="99" w:name="_Toc216772999"/>
      <w:r>
        <w:rPr>
          <w:rStyle w:val="CharSectno"/>
        </w:rPr>
        <w:t>71</w:t>
      </w:r>
      <w:r>
        <w:t>.</w:t>
      </w:r>
      <w:r>
        <w:tab/>
        <w:t>Notices may be given by Commissioner</w:t>
      </w:r>
      <w:bookmarkEnd w:id="99"/>
    </w:p>
    <w:p>
      <w:pPr>
        <w:pStyle w:val="Subsection"/>
      </w:pPr>
      <w:r>
        <w:tab/>
      </w:r>
      <w:r>
        <w:tab/>
        <w:t xml:space="preserve">The Commissioner may, at any time, cause written notice to be given to a reportable offender of — </w:t>
      </w:r>
    </w:p>
    <w:p>
      <w:pPr>
        <w:pStyle w:val="Indenta"/>
        <w:spacing w:before="60"/>
      </w:pPr>
      <w:r>
        <w:tab/>
        <w:t>(a)</w:t>
      </w:r>
      <w:r>
        <w:tab/>
        <w:t>the offender’s reporting obligations; and</w:t>
      </w:r>
    </w:p>
    <w:p>
      <w:pPr>
        <w:pStyle w:val="Indenta"/>
        <w:spacing w:before="60"/>
      </w:pPr>
      <w:r>
        <w:tab/>
        <w:t>(b)</w:t>
      </w:r>
      <w:r>
        <w:tab/>
        <w:t>the consequences that may arise if the offender fails to comply with those obligations.</w:t>
      </w:r>
    </w:p>
    <w:p>
      <w:pPr>
        <w:pStyle w:val="Footnotesection"/>
      </w:pPr>
      <w:r>
        <w:tab/>
        <w:t>[Section 71 amended: No. 31 of 2024 s. 28.]</w:t>
      </w:r>
    </w:p>
    <w:p>
      <w:pPr>
        <w:pStyle w:val="Heading5"/>
      </w:pPr>
      <w:bookmarkStart w:id="100" w:name="_Toc216773000"/>
      <w:r>
        <w:rPr>
          <w:rStyle w:val="CharSectno"/>
        </w:rPr>
        <w:lastRenderedPageBreak/>
        <w:t>72</w:t>
      </w:r>
      <w:r>
        <w:t>.</w:t>
      </w:r>
      <w:r>
        <w:tab/>
        <w:t>Power of detention to enable notice to be given</w:t>
      </w:r>
      <w:bookmarkEnd w:id="100"/>
    </w:p>
    <w:p>
      <w:pPr>
        <w:pStyle w:val="Subsection"/>
      </w:pPr>
      <w:r>
        <w:tab/>
        <w:t>(1)</w:t>
      </w:r>
      <w:r>
        <w:tab/>
        <w:t>This section applies if there are reasonable grounds to suspect that a person is a reportable offender and that the person has not been given notice, or is otherwise unaware, of the person’s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the person has been given notice, or is aware, of the person’s reporting obligations; and</w:t>
      </w:r>
    </w:p>
    <w:p>
      <w:pPr>
        <w:pStyle w:val="Indenta"/>
        <w:spacing w:before="60"/>
      </w:pPr>
      <w:r>
        <w:tab/>
        <w:t>(b)</w:t>
      </w:r>
      <w:r>
        <w:tab/>
        <w:t>to enable the person to be given notice of those obligations if the person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the person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the person has refused to sign an acknowledgment that the person has been given notice of the person’s reporting obligations; and</w:t>
      </w:r>
    </w:p>
    <w:p>
      <w:pPr>
        <w:pStyle w:val="Indenta"/>
        <w:spacing w:before="60"/>
      </w:pPr>
      <w:r>
        <w:tab/>
        <w:t>(c)</w:t>
      </w:r>
      <w:r>
        <w:tab/>
        <w:t>must be released immediately after the purpose of the detention is fulfilled.</w:t>
      </w:r>
    </w:p>
    <w:p>
      <w:pPr>
        <w:pStyle w:val="Footnotesection"/>
      </w:pPr>
      <w:r>
        <w:tab/>
        <w:t>[Section 72 amended: No. 31 of 2024 s. 28.]</w:t>
      </w:r>
    </w:p>
    <w:p>
      <w:pPr>
        <w:pStyle w:val="Heading5"/>
        <w:keepLines w:val="0"/>
      </w:pPr>
      <w:bookmarkStart w:id="101" w:name="_Toc216773001"/>
      <w:r>
        <w:rPr>
          <w:rStyle w:val="CharSectno"/>
        </w:rPr>
        <w:lastRenderedPageBreak/>
        <w:t>73</w:t>
      </w:r>
      <w:r>
        <w:t>.</w:t>
      </w:r>
      <w:r>
        <w:tab/>
        <w:t>Failure to comply with procedural requirements does not affect reportable offender’s obligations</w:t>
      </w:r>
      <w:bookmarkEnd w:id="101"/>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102" w:name="_Toc216773002"/>
      <w:r>
        <w:rPr>
          <w:rStyle w:val="CharDivNo"/>
        </w:rPr>
        <w:t>Division 10</w:t>
      </w:r>
      <w:r>
        <w:t> — </w:t>
      </w:r>
      <w:r>
        <w:rPr>
          <w:rStyle w:val="CharDivText"/>
        </w:rPr>
        <w:t>Modified reporting procedures for participants in witness protection programs</w:t>
      </w:r>
      <w:bookmarkEnd w:id="102"/>
    </w:p>
    <w:p>
      <w:pPr>
        <w:pStyle w:val="Heading5"/>
      </w:pPr>
      <w:bookmarkStart w:id="103" w:name="_Toc216773003"/>
      <w:r>
        <w:rPr>
          <w:rStyle w:val="CharSectno"/>
        </w:rPr>
        <w:t>74</w:t>
      </w:r>
      <w:r>
        <w:t>.</w:t>
      </w:r>
      <w:r>
        <w:tab/>
        <w:t>Term used: witness protection program</w:t>
      </w:r>
      <w:bookmarkEnd w:id="103"/>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pPr>
        <w:pStyle w:val="Heading5"/>
      </w:pPr>
      <w:bookmarkStart w:id="104" w:name="_Toc216773004"/>
      <w:r>
        <w:rPr>
          <w:rStyle w:val="CharSectno"/>
        </w:rPr>
        <w:t>75</w:t>
      </w:r>
      <w:r>
        <w:t>.</w:t>
      </w:r>
      <w:r>
        <w:tab/>
        <w:t>Application of this Division</w:t>
      </w:r>
      <w:bookmarkEnd w:id="104"/>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the offender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Footnotesection"/>
      </w:pPr>
      <w:r>
        <w:tab/>
        <w:t>[Section 75 amended: No. 31 of 2024 s. 28.]</w:t>
      </w:r>
    </w:p>
    <w:p>
      <w:pPr>
        <w:pStyle w:val="Heading5"/>
      </w:pPr>
      <w:bookmarkStart w:id="105" w:name="_Toc216773005"/>
      <w:r>
        <w:rPr>
          <w:rStyle w:val="CharSectno"/>
        </w:rPr>
        <w:lastRenderedPageBreak/>
        <w:t>76</w:t>
      </w:r>
      <w:r>
        <w:t>.</w:t>
      </w:r>
      <w:r>
        <w:tab/>
        <w:t>Report need not be made in person</w:t>
      </w:r>
      <w:bookmarkEnd w:id="105"/>
    </w:p>
    <w:p>
      <w:pPr>
        <w:pStyle w:val="Subsection"/>
        <w:keepNext/>
      </w:pPr>
      <w:r>
        <w:tab/>
      </w:r>
      <w:r>
        <w:tab/>
        <w:t xml:space="preserve">It is sufficient compliance with the requirements of this Part — </w:t>
      </w:r>
    </w:p>
    <w:p>
      <w:pPr>
        <w:pStyle w:val="Indenta"/>
        <w:spacing w:before="60"/>
      </w:pPr>
      <w:r>
        <w:tab/>
        <w:t>(a)</w:t>
      </w:r>
      <w:r>
        <w:tab/>
        <w:t xml:space="preserve">if a person to whom this Division applies reports the information the person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Footnotesection"/>
      </w:pPr>
      <w:r>
        <w:tab/>
        <w:t>[Section 76 amended: No. 31 of 2024 s. 28.]</w:t>
      </w:r>
    </w:p>
    <w:p>
      <w:pPr>
        <w:pStyle w:val="Heading5"/>
      </w:pPr>
      <w:bookmarkStart w:id="106" w:name="_Toc216773006"/>
      <w:r>
        <w:rPr>
          <w:rStyle w:val="CharSectno"/>
        </w:rPr>
        <w:t>77</w:t>
      </w:r>
      <w:r>
        <w:t>.</w:t>
      </w:r>
      <w:r>
        <w:tab/>
        <w:t>Determination as to whether this Division applies</w:t>
      </w:r>
      <w:bookmarkEnd w:id="106"/>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lastRenderedPageBreak/>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the applicant’s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Footnotesection"/>
      </w:pPr>
      <w:r>
        <w:tab/>
        <w:t>[Section 77 amended: No. 31 of 2024 s. 28.]</w:t>
      </w:r>
    </w:p>
    <w:p>
      <w:pPr>
        <w:pStyle w:val="Heading5"/>
      </w:pPr>
      <w:bookmarkStart w:id="107" w:name="_Toc216773007"/>
      <w:r>
        <w:rPr>
          <w:rStyle w:val="CharSectno"/>
        </w:rPr>
        <w:t>78</w:t>
      </w:r>
      <w:r>
        <w:t>.</w:t>
      </w:r>
      <w:r>
        <w:tab/>
        <w:t>When determination takes effect</w:t>
      </w:r>
      <w:bookmarkEnd w:id="107"/>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108" w:name="_Toc216773008"/>
      <w:r>
        <w:rPr>
          <w:rStyle w:val="CharSectno"/>
        </w:rPr>
        <w:t>79</w:t>
      </w:r>
      <w:r>
        <w:t>.</w:t>
      </w:r>
      <w:r>
        <w:tab/>
        <w:t>Modification of reporting obligations</w:t>
      </w:r>
      <w:bookmarkEnd w:id="108"/>
    </w:p>
    <w:p>
      <w:pPr>
        <w:pStyle w:val="Subsection"/>
      </w:pPr>
      <w:r>
        <w:tab/>
      </w:r>
      <w:r>
        <w:tab/>
        <w:t xml:space="preserve">Sections 26(1), 29A to 33 and 66 apply with respect to a person to whom this Division applies as if any reference in them to </w:t>
      </w:r>
      <w:r>
        <w:lastRenderedPageBreak/>
        <w:t>Western Australia were a reference to the jurisdiction in which the person generally resides.</w:t>
      </w:r>
    </w:p>
    <w:p>
      <w:pPr>
        <w:pStyle w:val="Footnotesection"/>
      </w:pPr>
      <w:r>
        <w:tab/>
        <w:t>[Section 79 amended: No. 27 of 2008 s. 9.]</w:t>
      </w:r>
    </w:p>
    <w:p>
      <w:pPr>
        <w:pStyle w:val="Heading2"/>
      </w:pPr>
      <w:bookmarkStart w:id="109" w:name="_Toc216773009"/>
      <w:r>
        <w:rPr>
          <w:rStyle w:val="CharPartNo"/>
        </w:rPr>
        <w:lastRenderedPageBreak/>
        <w:t>Part 4A</w:t>
      </w:r>
      <w:r>
        <w:rPr>
          <w:rStyle w:val="CharDivNo"/>
        </w:rPr>
        <w:t> </w:t>
      </w:r>
      <w:r>
        <w:rPr>
          <w:color w:val="000000"/>
        </w:rPr>
        <w:t>—</w:t>
      </w:r>
      <w:r>
        <w:rPr>
          <w:rStyle w:val="CharDivText"/>
        </w:rPr>
        <w:t> </w:t>
      </w:r>
      <w:r>
        <w:rPr>
          <w:rStyle w:val="CharPartText"/>
        </w:rPr>
        <w:t>Change of name</w:t>
      </w:r>
      <w:bookmarkEnd w:id="109"/>
    </w:p>
    <w:p>
      <w:pPr>
        <w:pStyle w:val="Footnoteheading"/>
      </w:pPr>
      <w:r>
        <w:tab/>
        <w:t>[Heading inserted: No. 54 of 2012 s. 23.]</w:t>
      </w:r>
    </w:p>
    <w:p>
      <w:pPr>
        <w:pStyle w:val="Heading5"/>
        <w:spacing w:before="260"/>
      </w:pPr>
      <w:bookmarkStart w:id="110" w:name="_Toc216773010"/>
      <w:r>
        <w:rPr>
          <w:rStyle w:val="CharSectno"/>
        </w:rPr>
        <w:t>80A</w:t>
      </w:r>
      <w:r>
        <w:t>.</w:t>
      </w:r>
      <w:r>
        <w:tab/>
        <w:t>Terms used</w:t>
      </w:r>
      <w:bookmarkEnd w:id="110"/>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No. 54 of 2012 s. 23.]</w:t>
      </w:r>
    </w:p>
    <w:p>
      <w:pPr>
        <w:pStyle w:val="Heading5"/>
        <w:spacing w:before="260"/>
      </w:pPr>
      <w:bookmarkStart w:id="111" w:name="_Toc216773011"/>
      <w:r>
        <w:rPr>
          <w:rStyle w:val="CharSectno"/>
        </w:rPr>
        <w:t>80B</w:t>
      </w:r>
      <w:r>
        <w:t>.</w:t>
      </w:r>
      <w:r>
        <w:tab/>
        <w:t>Application</w:t>
      </w:r>
      <w:bookmarkEnd w:id="111"/>
    </w:p>
    <w:p>
      <w:pPr>
        <w:pStyle w:val="Subsection"/>
      </w:pPr>
      <w:r>
        <w:rPr>
          <w:color w:val="000000"/>
        </w:rPr>
        <w:tab/>
      </w:r>
      <w:r>
        <w:rPr>
          <w:color w:val="000000"/>
        </w:rPr>
        <w:tab/>
        <w:t>This Part applies despite anything to the contrary in the Registration Act.</w:t>
      </w:r>
    </w:p>
    <w:p>
      <w:pPr>
        <w:pStyle w:val="Footnotesection"/>
      </w:pPr>
      <w:r>
        <w:tab/>
        <w:t>[Section 80B inserted: No. 54 of 2012 s. 23.]</w:t>
      </w:r>
    </w:p>
    <w:p>
      <w:pPr>
        <w:pStyle w:val="Heading5"/>
        <w:spacing w:before="260"/>
      </w:pPr>
      <w:bookmarkStart w:id="112" w:name="_Toc216773012"/>
      <w:r>
        <w:rPr>
          <w:rStyle w:val="CharSectno"/>
        </w:rPr>
        <w:t>80C</w:t>
      </w:r>
      <w:r>
        <w:t>.</w:t>
      </w:r>
      <w:r>
        <w:tab/>
        <w:t>Application for change of name by or in respect of reportable offender</w:t>
      </w:r>
      <w:bookmarkEnd w:id="112"/>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the offender’s name under the Registration Act; or</w:t>
      </w:r>
    </w:p>
    <w:p>
      <w:pPr>
        <w:pStyle w:val="Indenta"/>
        <w:keepNext/>
      </w:pPr>
      <w:r>
        <w:lastRenderedPageBreak/>
        <w:tab/>
        <w:t>(b)</w:t>
      </w:r>
      <w:r>
        <w:tab/>
        <w:t>apply to an interstate Registrar to register a change of the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for this subsection: imprisonment for 2 years and a fine of $24 000.</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for this subsection: imprisonment for 2 years and a fine of $24 000.</w:t>
      </w:r>
    </w:p>
    <w:p>
      <w:pPr>
        <w:pStyle w:val="Footnotesection"/>
      </w:pPr>
      <w:r>
        <w:tab/>
        <w:t>[Section 80C inserted: No. 54 of 2012 s. 23; amended: No. 31 of 2024 s. 28; No. 35 of 2024 s. 33.]</w:t>
      </w:r>
    </w:p>
    <w:p>
      <w:pPr>
        <w:pStyle w:val="Heading5"/>
      </w:pPr>
      <w:bookmarkStart w:id="113" w:name="_Toc216773013"/>
      <w:r>
        <w:rPr>
          <w:rStyle w:val="CharSectno"/>
        </w:rPr>
        <w:t>80D</w:t>
      </w:r>
      <w:r>
        <w:t>.</w:t>
      </w:r>
      <w:r>
        <w:tab/>
        <w:t>Approval by Commissioner</w:t>
      </w:r>
      <w:bookmarkEnd w:id="113"/>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keepNext/>
        <w:rPr>
          <w:color w:val="000000"/>
        </w:rPr>
      </w:pPr>
      <w:r>
        <w:rPr>
          <w:color w:val="000000"/>
        </w:rPr>
        <w:lastRenderedPageBreak/>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No. 54 of 2012 s. 23.]</w:t>
      </w:r>
    </w:p>
    <w:p>
      <w:pPr>
        <w:pStyle w:val="Heading5"/>
        <w:spacing w:before="260"/>
      </w:pPr>
      <w:bookmarkStart w:id="114" w:name="_Toc216773014"/>
      <w:r>
        <w:rPr>
          <w:rStyle w:val="CharSectno"/>
        </w:rPr>
        <w:t>80E</w:t>
      </w:r>
      <w:r>
        <w:t>.</w:t>
      </w:r>
      <w:r>
        <w:tab/>
        <w:t>Registration of change of name</w:t>
      </w:r>
      <w:bookmarkEnd w:id="114"/>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No. 54 of 2012 s. 23.]</w:t>
      </w:r>
    </w:p>
    <w:p>
      <w:pPr>
        <w:pStyle w:val="Heading5"/>
        <w:spacing w:before="260"/>
      </w:pPr>
      <w:bookmarkStart w:id="115" w:name="_Toc216773015"/>
      <w:r>
        <w:rPr>
          <w:rStyle w:val="CharSectno"/>
        </w:rPr>
        <w:lastRenderedPageBreak/>
        <w:t>80F</w:t>
      </w:r>
      <w:r>
        <w:t>.</w:t>
      </w:r>
      <w:r>
        <w:tab/>
        <w:t>WA Registrar to correct Registration Act Register</w:t>
      </w:r>
      <w:bookmarkEnd w:id="115"/>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No. 54 of 2012 s. 23.]</w:t>
      </w:r>
    </w:p>
    <w:p>
      <w:pPr>
        <w:pStyle w:val="Heading5"/>
      </w:pPr>
      <w:bookmarkStart w:id="116" w:name="_Toc216773016"/>
      <w:r>
        <w:rPr>
          <w:rStyle w:val="CharSectno"/>
        </w:rPr>
        <w:t>80G</w:t>
      </w:r>
      <w:r>
        <w:t>.</w:t>
      </w:r>
      <w:r>
        <w:tab/>
        <w:t>Exchange of information between Commissioner and WA Registrar</w:t>
      </w:r>
      <w:bookmarkEnd w:id="116"/>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keepNext/>
        <w:rPr>
          <w:color w:val="000000"/>
        </w:rPr>
      </w:pPr>
      <w:r>
        <w:rPr>
          <w:color w:val="000000"/>
        </w:rPr>
        <w:lastRenderedPageBreak/>
        <w:tab/>
        <w:t>(4)</w:t>
      </w:r>
      <w:r>
        <w:rPr>
          <w:color w:val="000000"/>
        </w:rPr>
        <w:tab/>
        <w:t>This section has effect despite any written or other law to the contrary.</w:t>
      </w:r>
    </w:p>
    <w:p>
      <w:pPr>
        <w:pStyle w:val="Footnotesection"/>
      </w:pPr>
      <w:r>
        <w:tab/>
        <w:t>[Section 80G inserted: No. 54 of 2012 s. 23.]</w:t>
      </w:r>
    </w:p>
    <w:p>
      <w:pPr>
        <w:pStyle w:val="Heading2"/>
      </w:pPr>
      <w:bookmarkStart w:id="117" w:name="_Toc216773017"/>
      <w:r>
        <w:rPr>
          <w:rStyle w:val="CharPartNo"/>
        </w:rPr>
        <w:lastRenderedPageBreak/>
        <w:t>Part 4</w:t>
      </w:r>
      <w:r>
        <w:rPr>
          <w:rStyle w:val="CharDivNo"/>
        </w:rPr>
        <w:t> </w:t>
      </w:r>
      <w:r>
        <w:t>—</w:t>
      </w:r>
      <w:r>
        <w:rPr>
          <w:rStyle w:val="CharDivText"/>
        </w:rPr>
        <w:t> </w:t>
      </w:r>
      <w:r>
        <w:rPr>
          <w:rStyle w:val="CharPartText"/>
        </w:rPr>
        <w:t>Community Protection Offender Register</w:t>
      </w:r>
      <w:bookmarkEnd w:id="117"/>
    </w:p>
    <w:p>
      <w:pPr>
        <w:pStyle w:val="Heading5"/>
      </w:pPr>
      <w:bookmarkStart w:id="118" w:name="_Toc216773018"/>
      <w:r>
        <w:rPr>
          <w:rStyle w:val="CharSectno"/>
        </w:rPr>
        <w:t>80</w:t>
      </w:r>
      <w:r>
        <w:t>.</w:t>
      </w:r>
      <w:r>
        <w:tab/>
        <w:t>Requirement to establish and maintain Community Protection Offender Register</w:t>
      </w:r>
      <w:bookmarkEnd w:id="118"/>
    </w:p>
    <w:p>
      <w:pPr>
        <w:pStyle w:val="Subsection"/>
      </w:pPr>
      <w:r>
        <w:tab/>
        <w:t>(1)</w:t>
      </w:r>
      <w:r>
        <w:tab/>
        <w:t>The Commissioner must establish and maintain a Community Protection Offender Register or arrange with another person for the establishment and maintenance of a Community Protection Offender Register on the Commissioner’s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the offender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High Risk Serious Offenders Act 2020</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the offender’s reporting period;</w:t>
      </w:r>
    </w:p>
    <w:p>
      <w:pPr>
        <w:pStyle w:val="Indenta"/>
        <w:spacing w:before="100"/>
      </w:pPr>
      <w:r>
        <w:tab/>
        <w:t>(g)</w:t>
      </w:r>
      <w:r>
        <w:tab/>
        <w:t>any information reported in respect of the reportable offender under Part 3;</w:t>
      </w:r>
    </w:p>
    <w:p>
      <w:pPr>
        <w:pStyle w:val="Indenta"/>
        <w:keepNext/>
      </w:pPr>
      <w:r>
        <w:lastRenderedPageBreak/>
        <w:tab/>
        <w:t>(h)</w:t>
      </w:r>
      <w:r>
        <w:tab/>
        <w:t>any other information that the Commissioner considers appropriate to include in the Register.</w:t>
      </w:r>
    </w:p>
    <w:p>
      <w:pPr>
        <w:pStyle w:val="Footnotesection"/>
      </w:pPr>
      <w:r>
        <w:tab/>
        <w:t>[Section 80 amended: No. 54 of 2012 s. 24; No. 29 of 2020 s. 121; No. 31 of 2024 s. 28.]</w:t>
      </w:r>
    </w:p>
    <w:p>
      <w:pPr>
        <w:pStyle w:val="Heading5"/>
      </w:pPr>
      <w:bookmarkStart w:id="119" w:name="_Toc216773019"/>
      <w:r>
        <w:rPr>
          <w:rStyle w:val="CharSectno"/>
        </w:rPr>
        <w:t>81</w:t>
      </w:r>
      <w:r>
        <w:t>.</w:t>
      </w:r>
      <w:r>
        <w:tab/>
        <w:t>Access to Register to be restricted</w:t>
      </w:r>
      <w:bookmarkEnd w:id="119"/>
    </w:p>
    <w:p>
      <w:pPr>
        <w:pStyle w:val="Subsection"/>
      </w:pPr>
      <w:r>
        <w:tab/>
        <w:t>(1)</w:t>
      </w:r>
      <w:r>
        <w:tab/>
        <w:t xml:space="preserve">The Commissioner may authorise a person or class of persons to access the Register, or any part of the Register, for the administration of this Act. </w:t>
      </w:r>
    </w:p>
    <w:p>
      <w:pPr>
        <w:pStyle w:val="Subsection"/>
      </w:pPr>
      <w:r>
        <w:tab/>
        <w:t>(2)</w:t>
      </w:r>
      <w:r>
        <w:tab/>
        <w:t xml:space="preserve">The Commissioner must ensure that the Register, or any part of the Register, is only accessed by a person who is authorised to access the Register under — </w:t>
      </w:r>
    </w:p>
    <w:p>
      <w:pPr>
        <w:pStyle w:val="Indenta"/>
      </w:pPr>
      <w:r>
        <w:tab/>
        <w:t>(a)</w:t>
      </w:r>
      <w:r>
        <w:tab/>
        <w:t>subsection (1); or</w:t>
      </w:r>
    </w:p>
    <w:p>
      <w:pPr>
        <w:pStyle w:val="Indenta"/>
      </w:pPr>
      <w:r>
        <w:tab/>
        <w:t>(b)</w:t>
      </w:r>
      <w:r>
        <w:tab/>
        <w:t>another enactment.</w:t>
      </w:r>
    </w:p>
    <w:p>
      <w:pPr>
        <w:pStyle w:val="Ednotesubsection"/>
        <w:keepNext/>
      </w:pPr>
      <w:r>
        <w:tab/>
        <w:t>[(3), (4)</w:t>
      </w:r>
      <w:r>
        <w:tab/>
        <w:t>deleted]</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Ednotesubsection"/>
        <w:keepNext/>
      </w:pPr>
      <w:r>
        <w:tab/>
        <w:t>[(6)</w:t>
      </w:r>
      <w:r>
        <w:tab/>
        <w:t>deleted]</w:t>
      </w:r>
    </w:p>
    <w:p>
      <w:pPr>
        <w:pStyle w:val="Footnotesection"/>
      </w:pPr>
      <w:r>
        <w:tab/>
        <w:t>[Section 81 amended: No. 35 of 2024 s. 34.]</w:t>
      </w:r>
    </w:p>
    <w:p>
      <w:pPr>
        <w:pStyle w:val="Heading5"/>
      </w:pPr>
      <w:bookmarkStart w:id="120" w:name="_Toc216773020"/>
      <w:r>
        <w:rPr>
          <w:rStyle w:val="CharSectno"/>
        </w:rPr>
        <w:t>82</w:t>
      </w:r>
      <w:r>
        <w:t>.</w:t>
      </w:r>
      <w:r>
        <w:tab/>
        <w:t>Confidentiality</w:t>
      </w:r>
      <w:bookmarkEnd w:id="120"/>
    </w:p>
    <w:p>
      <w:pPr>
        <w:pStyle w:val="Subsection"/>
      </w:pPr>
      <w:r>
        <w:t>(1A)</w:t>
      </w:r>
      <w:r>
        <w:tab/>
      </w:r>
      <w:r>
        <w:tab/>
        <w:t xml:space="preserve">In this section — </w:t>
      </w:r>
    </w:p>
    <w:p>
      <w:pPr>
        <w:pStyle w:val="Defstart"/>
      </w:pPr>
      <w:r>
        <w:tab/>
      </w:r>
      <w:r>
        <w:rPr>
          <w:rStyle w:val="CharDefText"/>
        </w:rPr>
        <w:t>agency official</w:t>
      </w:r>
      <w:r>
        <w:t xml:space="preserve"> means any of the following — </w:t>
      </w:r>
    </w:p>
    <w:p>
      <w:pPr>
        <w:pStyle w:val="Defpara"/>
      </w:pPr>
      <w:r>
        <w:tab/>
        <w:t>(a)</w:t>
      </w:r>
      <w:r>
        <w:tab/>
        <w:t>a person appointed or employed under a written law or a law of the Commonwealth, another State or a Territory;</w:t>
      </w:r>
    </w:p>
    <w:p>
      <w:pPr>
        <w:pStyle w:val="Defpara"/>
      </w:pPr>
      <w:r>
        <w:tab/>
        <w:t>(b)</w:t>
      </w:r>
      <w:r>
        <w:tab/>
        <w:t xml:space="preserve">the chief executive officer of an agency, as defined in the </w:t>
      </w:r>
      <w:r>
        <w:rPr>
          <w:i/>
          <w:iCs/>
        </w:rPr>
        <w:t>Public Sector Management Act 1994</w:t>
      </w:r>
      <w:r>
        <w:t xml:space="preserve"> section 3(1), or a person employed in that agency;</w:t>
      </w:r>
    </w:p>
    <w:p>
      <w:pPr>
        <w:pStyle w:val="Defpara"/>
      </w:pPr>
      <w:r>
        <w:lastRenderedPageBreak/>
        <w:tab/>
        <w:t>(c)</w:t>
      </w:r>
      <w:r>
        <w:tab/>
        <w:t xml:space="preserve">an Agency Head, as defined in the </w:t>
      </w:r>
      <w:r>
        <w:rPr>
          <w:i/>
          <w:iCs/>
        </w:rPr>
        <w:t>Public Service Act 1999</w:t>
      </w:r>
      <w:r>
        <w:t xml:space="preserve"> (Commonwealth) section 7, or an APS employee of the Agency Head’s Agency as defined in that section of that Act;</w:t>
      </w:r>
    </w:p>
    <w:p>
      <w:pPr>
        <w:pStyle w:val="Defpara"/>
      </w:pPr>
      <w:r>
        <w:tab/>
        <w:t>(d)</w:t>
      </w:r>
      <w:r>
        <w:tab/>
        <w:t>the chief executive officer, however designated, of a department of a Territory or another State or a person employed in that department;</w:t>
      </w:r>
    </w:p>
    <w:p>
      <w:pPr>
        <w:pStyle w:val="Defstart"/>
      </w:pPr>
      <w:r>
        <w:tab/>
      </w:r>
      <w:r>
        <w:rPr>
          <w:rStyle w:val="CharDefText"/>
        </w:rPr>
        <w:t>APS employee</w:t>
      </w:r>
      <w:r>
        <w:t xml:space="preserve"> has the meaning given in the </w:t>
      </w:r>
      <w:r>
        <w:rPr>
          <w:i/>
          <w:iCs/>
        </w:rPr>
        <w:t>Public Service Act 1999</w:t>
      </w:r>
      <w:r>
        <w:t xml:space="preserve"> (Commonwealth) section 7.</w:t>
      </w:r>
    </w:p>
    <w:p>
      <w:pPr>
        <w:pStyle w:val="Subsection"/>
      </w:pPr>
      <w:r>
        <w:tab/>
        <w:t>(1)</w:t>
      </w:r>
      <w:r>
        <w:tab/>
        <w:t>A person commits a crime if the person discloses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an investigation or proceedings for an offence under this Act or another written law; or</w:t>
      </w:r>
    </w:p>
    <w:p>
      <w:pPr>
        <w:pStyle w:val="Indenta"/>
      </w:pPr>
      <w:r>
        <w:tab/>
        <w:t>(ca)</w:t>
      </w:r>
      <w:r>
        <w:tab/>
        <w:t>in making a disclosure to a police officer for law enforcement purposes; or</w:t>
      </w:r>
    </w:p>
    <w:p>
      <w:pPr>
        <w:pStyle w:val="Indenta"/>
      </w:pPr>
      <w:r>
        <w:tab/>
        <w:t>(cb)</w:t>
      </w:r>
      <w:r>
        <w:tab/>
        <w:t xml:space="preserve">in making a disclosure to a prescribed agency official or class of agency official for any of the following purposes — </w:t>
      </w:r>
    </w:p>
    <w:p>
      <w:pPr>
        <w:pStyle w:val="Indenti"/>
      </w:pPr>
      <w:r>
        <w:tab/>
        <w:t>(i)</w:t>
      </w:r>
      <w:r>
        <w:tab/>
        <w:t>law enforcement;</w:t>
      </w:r>
    </w:p>
    <w:p>
      <w:pPr>
        <w:pStyle w:val="Indenti"/>
      </w:pPr>
      <w:r>
        <w:tab/>
        <w:t>(ii)</w:t>
      </w:r>
      <w:r>
        <w:tab/>
        <w:t>the protection and welfare of children;</w:t>
      </w:r>
    </w:p>
    <w:p>
      <w:pPr>
        <w:pStyle w:val="Indenti"/>
      </w:pPr>
      <w:r>
        <w:tab/>
        <w:t>(iii)</w:t>
      </w:r>
      <w:r>
        <w:tab/>
        <w:t>the assessment and management of reportable offenders;</w:t>
      </w:r>
    </w:p>
    <w:p>
      <w:pPr>
        <w:pStyle w:val="Indenta"/>
      </w:pPr>
      <w:r>
        <w:tab/>
      </w:r>
      <w:r>
        <w:tab/>
        <w:t>or</w:t>
      </w:r>
    </w:p>
    <w:p>
      <w:pPr>
        <w:pStyle w:val="Indenta"/>
      </w:pPr>
      <w:r>
        <w:tab/>
        <w:t>(cd)</w:t>
      </w:r>
      <w:r>
        <w:tab/>
        <w:t>if the disclosure is by the Commissioner and the Commissioner considers the disclosure is in the public interest; or</w:t>
      </w:r>
    </w:p>
    <w:p>
      <w:pPr>
        <w:pStyle w:val="Indenta"/>
      </w:pPr>
      <w:r>
        <w:tab/>
        <w:t>(da)</w:t>
      </w:r>
      <w:r>
        <w:tab/>
        <w:t>for the purpose of proceedings on an application for, or for the variation or revocation of, a protection order or reporting order; or</w:t>
      </w:r>
    </w:p>
    <w:p>
      <w:pPr>
        <w:pStyle w:val="Indenta"/>
      </w:pPr>
      <w:r>
        <w:lastRenderedPageBreak/>
        <w:tab/>
        <w:t>(d)</w:t>
      </w:r>
      <w:r>
        <w:tab/>
        <w:t>with the written authority of the Minister or the person to whom the information relates; or</w:t>
      </w:r>
    </w:p>
    <w:p>
      <w:pPr>
        <w:pStyle w:val="Indenta"/>
      </w:pPr>
      <w:r>
        <w:tab/>
        <w:t>(e)</w:t>
      </w:r>
      <w:r>
        <w:tab/>
        <w:t>in other circumstances prescribed.</w:t>
      </w:r>
    </w:p>
    <w:p>
      <w:pPr>
        <w:pStyle w:val="Penstart"/>
      </w:pPr>
      <w:r>
        <w:tab/>
        <w:t>Penalty for this subsection:</w:t>
      </w:r>
    </w:p>
    <w:p>
      <w:pPr>
        <w:pStyle w:val="Penpara"/>
      </w:pPr>
      <w:r>
        <w:tab/>
        <w:t>(a)</w:t>
      </w:r>
      <w:r>
        <w:tab/>
        <w:t>in the case where the person disclosing the information gained a benefit from the disclosure of the information, and the value of the benefit was more than $10 000 — imprisonment for 10 years and a fine of $120 000;</w:t>
      </w:r>
    </w:p>
    <w:p>
      <w:pPr>
        <w:pStyle w:val="Penpara"/>
      </w:pPr>
      <w:r>
        <w:tab/>
        <w:t>(b)</w:t>
      </w:r>
      <w:r>
        <w:tab/>
        <w:t>in the case where the person disclosing the information gained or intended to gain a benefit from the disclosure of the information, and paragraph (a) does not apply — imprisonment for 5 years and a fine of $60 000;</w:t>
      </w:r>
    </w:p>
    <w:p>
      <w:pPr>
        <w:pStyle w:val="Penpara"/>
      </w:pPr>
      <w:r>
        <w:tab/>
        <w:t>(c)</w:t>
      </w:r>
      <w:r>
        <w:tab/>
        <w:t xml:space="preserve">in any other case — </w:t>
      </w:r>
    </w:p>
    <w:p>
      <w:pPr>
        <w:pStyle w:val="Pensubpara"/>
      </w:pPr>
      <w:r>
        <w:tab/>
        <w:t>(i)</w:t>
      </w:r>
      <w:r>
        <w:tab/>
        <w:t>for a summary conviction — imprisonment for 2 years and a fine of $24 000;</w:t>
      </w:r>
    </w:p>
    <w:p>
      <w:pPr>
        <w:pStyle w:val="Pensubpara"/>
      </w:pPr>
      <w:r>
        <w:tab/>
        <w:t>(ii)</w:t>
      </w:r>
      <w:r>
        <w:tab/>
        <w:t>otherwise — imprisonment for 3 years and a fine of $36 000.</w:t>
      </w:r>
    </w:p>
    <w:p>
      <w:pPr>
        <w:pStyle w:val="Ednotesubsection"/>
        <w:keepNext/>
      </w:pPr>
      <w:r>
        <w:tab/>
        <w:t>[(2)</w:t>
      </w:r>
      <w:r>
        <w:tab/>
        <w:t>deleted]</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No. 54 of 2012 s. 25; No. 35 of 2024 s. 35 and 59.]</w:t>
      </w:r>
    </w:p>
    <w:p>
      <w:pPr>
        <w:pStyle w:val="Heading5"/>
      </w:pPr>
      <w:bookmarkStart w:id="121" w:name="_Toc216773021"/>
      <w:r>
        <w:rPr>
          <w:rStyle w:val="CharSectno"/>
        </w:rPr>
        <w:t>82A</w:t>
      </w:r>
      <w:r>
        <w:t>.</w:t>
      </w:r>
      <w:r>
        <w:tab/>
        <w:t>Delegation by Commissioner</w:t>
      </w:r>
      <w:bookmarkEnd w:id="121"/>
    </w:p>
    <w:p>
      <w:pPr>
        <w:pStyle w:val="Subsection"/>
      </w:pPr>
      <w:r>
        <w:tab/>
      </w:r>
      <w:r>
        <w:tab/>
        <w:t xml:space="preserve">The Commissioner may delegate under section 110 a power of the Commissioner under section 82(1)(cd) only to — </w:t>
      </w:r>
    </w:p>
    <w:p>
      <w:pPr>
        <w:pStyle w:val="Indenta"/>
      </w:pPr>
      <w:r>
        <w:tab/>
        <w:t>(a)</w:t>
      </w:r>
      <w:r>
        <w:tab/>
      </w:r>
      <w:r>
        <w:rPr>
          <w:color w:val="000000"/>
        </w:rPr>
        <w:t xml:space="preserve">a police officer </w:t>
      </w:r>
      <w:r>
        <w:t>of, or acting in, the rank of inspector or a higher rank; or</w:t>
      </w:r>
    </w:p>
    <w:p>
      <w:pPr>
        <w:pStyle w:val="Indenta"/>
      </w:pPr>
      <w:r>
        <w:lastRenderedPageBreak/>
        <w:tab/>
        <w:t>(b)</w:t>
      </w:r>
      <w:r>
        <w:tab/>
        <w:t>a person employed in a prescribed position in the department of the Public Service principally assisting the Minister in the administration of this Act.</w:t>
      </w:r>
    </w:p>
    <w:p>
      <w:pPr>
        <w:pStyle w:val="Footnotesection"/>
      </w:pPr>
      <w:r>
        <w:tab/>
        <w:t>[Section 82A inserted: No. 35 of 2024 s. 36.]</w:t>
      </w:r>
    </w:p>
    <w:p>
      <w:pPr>
        <w:pStyle w:val="Heading5"/>
        <w:keepLines w:val="0"/>
      </w:pPr>
      <w:bookmarkStart w:id="122" w:name="_Toc216773022"/>
      <w:r>
        <w:rPr>
          <w:rStyle w:val="CharSectno"/>
        </w:rPr>
        <w:t>83</w:t>
      </w:r>
      <w:r>
        <w:t>.</w:t>
      </w:r>
      <w:r>
        <w:tab/>
        <w:t>Restriction on who may access personal information on protected witnesses</w:t>
      </w:r>
      <w:bookmarkEnd w:id="122"/>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123" w:name="_Toc216773023"/>
      <w:r>
        <w:rPr>
          <w:rStyle w:val="CharSectno"/>
        </w:rPr>
        <w:t>84</w:t>
      </w:r>
      <w:r>
        <w:t>.</w:t>
      </w:r>
      <w:r>
        <w:tab/>
        <w:t>Reportable offender’s rights in relation to Register</w:t>
      </w:r>
      <w:bookmarkEnd w:id="123"/>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124" w:name="_Toc216773024"/>
      <w:r>
        <w:rPr>
          <w:rStyle w:val="CharPartNo"/>
        </w:rPr>
        <w:lastRenderedPageBreak/>
        <w:t>Part 5A</w:t>
      </w:r>
      <w:r>
        <w:rPr>
          <w:b w:val="0"/>
        </w:rPr>
        <w:t> </w:t>
      </w:r>
      <w:r>
        <w:rPr>
          <w:color w:val="000000"/>
        </w:rPr>
        <w:t>—</w:t>
      </w:r>
      <w:r>
        <w:rPr>
          <w:b w:val="0"/>
        </w:rPr>
        <w:t> </w:t>
      </w:r>
      <w:r>
        <w:rPr>
          <w:rStyle w:val="CharPartText"/>
        </w:rPr>
        <w:t>Publication of information about offenders</w:t>
      </w:r>
      <w:bookmarkEnd w:id="124"/>
    </w:p>
    <w:p>
      <w:pPr>
        <w:pStyle w:val="Footnoteheading"/>
      </w:pPr>
      <w:r>
        <w:tab/>
        <w:t>[Heading inserted: No. 1 of 2012 s. 5.]</w:t>
      </w:r>
    </w:p>
    <w:p>
      <w:pPr>
        <w:pStyle w:val="Heading3"/>
      </w:pPr>
      <w:bookmarkStart w:id="125" w:name="_Toc216773025"/>
      <w:r>
        <w:rPr>
          <w:rStyle w:val="CharDivNo"/>
        </w:rPr>
        <w:t>Division 1</w:t>
      </w:r>
      <w:r>
        <w:t> — </w:t>
      </w:r>
      <w:r>
        <w:rPr>
          <w:rStyle w:val="CharDivText"/>
        </w:rPr>
        <w:t>Preliminary</w:t>
      </w:r>
      <w:bookmarkEnd w:id="125"/>
    </w:p>
    <w:p>
      <w:pPr>
        <w:pStyle w:val="Footnoteheading"/>
      </w:pPr>
      <w:r>
        <w:tab/>
        <w:t>[Heading inserted: No. 1 of 2012 s. 5.]</w:t>
      </w:r>
    </w:p>
    <w:p>
      <w:pPr>
        <w:pStyle w:val="Heading5"/>
      </w:pPr>
      <w:bookmarkStart w:id="126" w:name="_Toc216773026"/>
      <w:r>
        <w:rPr>
          <w:rStyle w:val="CharSectno"/>
        </w:rPr>
        <w:t>85A</w:t>
      </w:r>
      <w:r>
        <w:t>.</w:t>
      </w:r>
      <w:r>
        <w:tab/>
        <w:t>Terms used</w:t>
      </w:r>
      <w:bookmarkEnd w:id="126"/>
    </w:p>
    <w:p>
      <w:pPr>
        <w:pStyle w:val="Subsection"/>
      </w:pPr>
      <w:r>
        <w:rPr>
          <w:color w:val="000000"/>
        </w:rPr>
        <w:tab/>
      </w:r>
      <w:r>
        <w:rPr>
          <w:color w:val="000000"/>
        </w:rPr>
        <w:tab/>
        <w:t xml:space="preserve">In this Part — </w:t>
      </w:r>
    </w:p>
    <w:p>
      <w:pPr>
        <w:pStyle w:val="Defstart"/>
      </w:pPr>
      <w:r>
        <w:tab/>
      </w:r>
      <w:r>
        <w:rPr>
          <w:rStyle w:val="CharDefText"/>
        </w:rPr>
        <w:t>HRO supervision order</w:t>
      </w:r>
      <w:r>
        <w:t xml:space="preserve"> means a supervision order under the </w:t>
      </w:r>
      <w:r>
        <w:rPr>
          <w:i/>
        </w:rPr>
        <w:t>High Risk Serious Offenders Act 2020</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rPr>
        <w:t>photograph</w:t>
      </w:r>
      <w:r>
        <w:t xml:space="preserve"> includes a digital image;</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Defstart"/>
      </w:pPr>
      <w:r>
        <w:tab/>
      </w:r>
      <w:r>
        <w:rPr>
          <w:rStyle w:val="CharDefText"/>
        </w:rPr>
        <w:t>serious sexual offence</w:t>
      </w:r>
      <w:r>
        <w:t xml:space="preserve"> means — </w:t>
      </w:r>
    </w:p>
    <w:p>
      <w:pPr>
        <w:pStyle w:val="Defpara"/>
      </w:pPr>
      <w:r>
        <w:tab/>
        <w:t>(a)</w:t>
      </w:r>
      <w:r>
        <w:tab/>
        <w:t xml:space="preserve">an offence specified in the </w:t>
      </w:r>
      <w:r>
        <w:rPr>
          <w:i/>
        </w:rPr>
        <w:t xml:space="preserve">High Risk Serious Offenders Act 2020 </w:t>
      </w:r>
      <w:r>
        <w:t xml:space="preserve">Schedule 1, other than an offence under — </w:t>
      </w:r>
    </w:p>
    <w:p>
      <w:pPr>
        <w:pStyle w:val="Defsubpara"/>
      </w:pPr>
      <w:r>
        <w:tab/>
        <w:t>(i)</w:t>
      </w:r>
      <w:r>
        <w:tab/>
        <w:t xml:space="preserve">the </w:t>
      </w:r>
      <w:r>
        <w:rPr>
          <w:i/>
        </w:rPr>
        <w:t>Bush Fires Act 1954</w:t>
      </w:r>
      <w:r>
        <w:t xml:space="preserve"> section 32; or</w:t>
      </w:r>
    </w:p>
    <w:p>
      <w:pPr>
        <w:pStyle w:val="Defsubpara"/>
      </w:pPr>
      <w:r>
        <w:tab/>
        <w:t>(ii)</w:t>
      </w:r>
      <w:r>
        <w:tab/>
        <w:t xml:space="preserve">the </w:t>
      </w:r>
      <w:r>
        <w:rPr>
          <w:i/>
        </w:rPr>
        <w:t>Road Traffic Act 1974</w:t>
      </w:r>
      <w:r>
        <w:t xml:space="preserve"> section 59; or</w:t>
      </w:r>
    </w:p>
    <w:p>
      <w:pPr>
        <w:pStyle w:val="Defsubpara"/>
      </w:pPr>
      <w:r>
        <w:tab/>
        <w:t>(iia)</w:t>
      </w:r>
      <w:r>
        <w:tab/>
        <w:t xml:space="preserve">the </w:t>
      </w:r>
      <w:r>
        <w:rPr>
          <w:i/>
        </w:rPr>
        <w:t>Western Australian Marine Act 1982</w:t>
      </w:r>
      <w:r>
        <w:t xml:space="preserve"> section 75B(1), 75B(2), 75BA(1) or 75BA(2); or</w:t>
      </w:r>
    </w:p>
    <w:p>
      <w:pPr>
        <w:pStyle w:val="Defsubpara"/>
      </w:pPr>
      <w:r>
        <w:tab/>
        <w:t>(iii)</w:t>
      </w:r>
      <w:r>
        <w:tab/>
      </w:r>
      <w:r>
        <w:rPr>
          <w:i/>
        </w:rPr>
        <w:t>The Criminal Code</w:t>
      </w:r>
      <w:r>
        <w:t xml:space="preserve"> section 279, 280, 281, 283, 294, 297, 304(2), 332, 333, 338E, 343 392, 393, 444 or 445A;</w:t>
      </w:r>
    </w:p>
    <w:p>
      <w:pPr>
        <w:pStyle w:val="Defpara"/>
      </w:pPr>
      <w:r>
        <w:tab/>
      </w:r>
      <w:r>
        <w:tab/>
        <w:t>or</w:t>
      </w:r>
    </w:p>
    <w:p>
      <w:pPr>
        <w:pStyle w:val="Defpara"/>
      </w:pPr>
      <w:r>
        <w:tab/>
        <w:t>(b)</w:t>
      </w:r>
      <w:r>
        <w:tab/>
        <w:t>an offence under a written law that has been repealed, if the offender’s acts or omissions that constituted the offence under the repealed provision would constitute a serious sexual offence under paragraph (a); or</w:t>
      </w:r>
    </w:p>
    <w:p>
      <w:pPr>
        <w:pStyle w:val="Defpara"/>
      </w:pPr>
      <w:r>
        <w:lastRenderedPageBreak/>
        <w:tab/>
        <w:t>(c)</w:t>
      </w:r>
      <w:r>
        <w:tab/>
        <w:t>an offence of conspiracy, attempt or incitement to commit an offence that is a serious sexual offence under paragraph (a) or (b); or</w:t>
      </w:r>
    </w:p>
    <w:p>
      <w:pPr>
        <w:pStyle w:val="Defpara"/>
      </w:pPr>
      <w:r>
        <w:tab/>
        <w:t>(d)</w:t>
      </w:r>
      <w:r>
        <w:tab/>
        <w:t>an offence against the law of the Commonwealth or of any place outside Western Australia, if the offender’s acts or omissions that constituted the offence under that law would constitute a serious sexual offence under paragraph (a) or (c); or</w:t>
      </w:r>
    </w:p>
    <w:p>
      <w:pPr>
        <w:pStyle w:val="Defpara"/>
      </w:pPr>
      <w:r>
        <w:tab/>
        <w:t>(e)</w:t>
      </w:r>
      <w:r>
        <w:tab/>
        <w:t xml:space="preserve">an offence against the law of the Commonwealth if — </w:t>
      </w:r>
    </w:p>
    <w:p>
      <w:pPr>
        <w:pStyle w:val="Defsubpara"/>
      </w:pPr>
      <w:r>
        <w:tab/>
        <w:t>(i)</w:t>
      </w:r>
      <w:r>
        <w:tab/>
        <w:t>the offence is of a sexual nature; and</w:t>
      </w:r>
    </w:p>
    <w:p>
      <w:pPr>
        <w:pStyle w:val="Defsubpara"/>
      </w:pPr>
      <w:r>
        <w:tab/>
        <w:t>(ii)</w:t>
      </w:r>
      <w:r>
        <w:tab/>
        <w:t xml:space="preserve">the penalty for the offence specified by the law of the Commonwealth is or includes imprisonment for 7 years or more; and </w:t>
      </w:r>
    </w:p>
    <w:p>
      <w:pPr>
        <w:pStyle w:val="Defsubpara"/>
      </w:pPr>
      <w:r>
        <w:tab/>
        <w:t>(iii)</w:t>
      </w:r>
      <w:r>
        <w:tab/>
        <w:t>the offence is prescribed to be a serious sexual offence.</w:t>
      </w:r>
    </w:p>
    <w:p>
      <w:pPr>
        <w:pStyle w:val="Footnotesection"/>
      </w:pPr>
      <w:r>
        <w:tab/>
        <w:t>[Section 85A inserted: No. 1 of 2012 s. 5; amended: No. 29 of 2020 s. 93; No. 31 of 2023 s. 29; No. 10 of 2023 s. 288; No. 35 of 2024 s. 37.]</w:t>
      </w:r>
    </w:p>
    <w:p>
      <w:pPr>
        <w:pStyle w:val="Heading5"/>
      </w:pPr>
      <w:bookmarkStart w:id="127" w:name="_Toc216773027"/>
      <w:r>
        <w:rPr>
          <w:rStyle w:val="CharSectno"/>
        </w:rPr>
        <w:t>85B</w:t>
      </w:r>
      <w:r>
        <w:t>.</w:t>
      </w:r>
      <w:r>
        <w:tab/>
        <w:t>Delegation by Commissioner</w:t>
      </w:r>
      <w:bookmarkEnd w:id="127"/>
    </w:p>
    <w:p>
      <w:pPr>
        <w:pStyle w:val="Subsection"/>
      </w:pPr>
      <w:r>
        <w:rPr>
          <w:color w:val="000000"/>
        </w:rPr>
        <w:tab/>
      </w:r>
      <w:r>
        <w:rPr>
          <w:color w:val="000000"/>
        </w:rPr>
        <w:tab/>
        <w:t xml:space="preserve">The Commissioner may delegate under section 110 a power of the </w:t>
      </w:r>
      <w:r>
        <w:t xml:space="preserve">Commissioner — </w:t>
      </w:r>
    </w:p>
    <w:p>
      <w:pPr>
        <w:pStyle w:val="Indenta"/>
      </w:pPr>
      <w:r>
        <w:tab/>
        <w:t>(a)</w:t>
      </w:r>
      <w:r>
        <w:tab/>
        <w:t>under section 85J only to a police officer of, or acting in, the rank of inspector or a higher rank; or</w:t>
      </w:r>
    </w:p>
    <w:p>
      <w:pPr>
        <w:pStyle w:val="Indenta"/>
      </w:pPr>
      <w:r>
        <w:tab/>
        <w:t>(b)</w:t>
      </w:r>
      <w:r>
        <w:tab/>
        <w:t>under Division 2 (other than section 85J) only to a police officer who holds or is acting in the office of Deputy Commissioner or Assistant Commissioner.</w:t>
      </w:r>
    </w:p>
    <w:p>
      <w:pPr>
        <w:pStyle w:val="Footnotesection"/>
      </w:pPr>
      <w:r>
        <w:tab/>
        <w:t>[Section 85B inserted: No. 1 of 2012 s. 5; amended: No. 35 of 2024 s. 38.]</w:t>
      </w:r>
    </w:p>
    <w:p>
      <w:pPr>
        <w:pStyle w:val="Heading5"/>
      </w:pPr>
      <w:bookmarkStart w:id="128" w:name="_Toc216773028"/>
      <w:r>
        <w:rPr>
          <w:rStyle w:val="CharSectno"/>
        </w:rPr>
        <w:lastRenderedPageBreak/>
        <w:t>85C</w:t>
      </w:r>
      <w:r>
        <w:t>.</w:t>
      </w:r>
      <w:r>
        <w:tab/>
        <w:t>Commissioner not required to publish or provide information</w:t>
      </w:r>
      <w:bookmarkEnd w:id="128"/>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No. 1 of 2012 s. 5.]</w:t>
      </w:r>
    </w:p>
    <w:p>
      <w:pPr>
        <w:pStyle w:val="Heading5"/>
      </w:pPr>
      <w:bookmarkStart w:id="129" w:name="_Toc216773029"/>
      <w:r>
        <w:rPr>
          <w:rStyle w:val="CharSectno"/>
        </w:rPr>
        <w:t>85D</w:t>
      </w:r>
      <w:r>
        <w:t>.</w:t>
      </w:r>
      <w:r>
        <w:tab/>
        <w:t>Restriction on information about protected witnesses</w:t>
      </w:r>
      <w:bookmarkEnd w:id="129"/>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No. 1 of 2012 s. 5.]</w:t>
      </w:r>
    </w:p>
    <w:p>
      <w:pPr>
        <w:pStyle w:val="Heading3"/>
      </w:pPr>
      <w:bookmarkStart w:id="130" w:name="_Toc216773030"/>
      <w:r>
        <w:rPr>
          <w:rStyle w:val="CharDivNo"/>
        </w:rPr>
        <w:t>Division 2</w:t>
      </w:r>
      <w:r>
        <w:t> — </w:t>
      </w:r>
      <w:r>
        <w:rPr>
          <w:rStyle w:val="CharDivText"/>
        </w:rPr>
        <w:t>Commissioner may publish information</w:t>
      </w:r>
      <w:bookmarkEnd w:id="130"/>
    </w:p>
    <w:p>
      <w:pPr>
        <w:pStyle w:val="Footnoteheading"/>
      </w:pPr>
      <w:r>
        <w:tab/>
        <w:t>[Heading inserted: No. 1 of 2012 s. 5.]</w:t>
      </w:r>
    </w:p>
    <w:p>
      <w:pPr>
        <w:pStyle w:val="Heading5"/>
      </w:pPr>
      <w:bookmarkStart w:id="131" w:name="_Toc216773031"/>
      <w:r>
        <w:rPr>
          <w:rStyle w:val="CharSectno"/>
        </w:rPr>
        <w:t>85E</w:t>
      </w:r>
      <w:r>
        <w:t>.</w:t>
      </w:r>
      <w:r>
        <w:tab/>
        <w:t>Application</w:t>
      </w:r>
      <w:bookmarkEnd w:id="131"/>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No. 1 of 2012 s. 5.]</w:t>
      </w:r>
    </w:p>
    <w:p>
      <w:pPr>
        <w:pStyle w:val="Heading5"/>
      </w:pPr>
      <w:bookmarkStart w:id="132" w:name="_Toc216773032"/>
      <w:r>
        <w:rPr>
          <w:rStyle w:val="CharSectno"/>
        </w:rPr>
        <w:t>85F</w:t>
      </w:r>
      <w:r>
        <w:t>.</w:t>
      </w:r>
      <w:r>
        <w:tab/>
        <w:t>Commissioner may publish personal details of certain reportable offenders</w:t>
      </w:r>
      <w:bookmarkEnd w:id="132"/>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lastRenderedPageBreak/>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the offender’s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the offender’s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No. 1 of 2012 s. 5; amended: No. 31 of 2024 s. 28.]</w:t>
      </w:r>
    </w:p>
    <w:p>
      <w:pPr>
        <w:pStyle w:val="Heading5"/>
      </w:pPr>
      <w:bookmarkStart w:id="133" w:name="_Toc216773033"/>
      <w:r>
        <w:rPr>
          <w:rStyle w:val="CharSectno"/>
        </w:rPr>
        <w:lastRenderedPageBreak/>
        <w:t>85G</w:t>
      </w:r>
      <w:r>
        <w:t>.</w:t>
      </w:r>
      <w:r>
        <w:tab/>
        <w:t>Commissioner may publish photograph and locality of certain persons</w:t>
      </w:r>
      <w:bookmarkEnd w:id="133"/>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 xml:space="preserve">if — </w:t>
      </w:r>
    </w:p>
    <w:p>
      <w:pPr>
        <w:pStyle w:val="Indenti"/>
      </w:pPr>
      <w:r>
        <w:tab/>
        <w:t>(i)</w:t>
      </w:r>
      <w:r>
        <w:tab/>
        <w:t>the person has been convicted of a serious sexual offence; and</w:t>
      </w:r>
    </w:p>
    <w:p>
      <w:pPr>
        <w:pStyle w:val="Indenti"/>
      </w:pPr>
      <w:r>
        <w:tab/>
        <w:t>(ii)</w:t>
      </w:r>
      <w:r>
        <w:tab/>
        <w:t>the person is subject to a HRO supervision order; and</w:t>
      </w:r>
    </w:p>
    <w:p>
      <w:pPr>
        <w:pStyle w:val="Indenti"/>
      </w:pPr>
      <w:r>
        <w:tab/>
        <w:t>(iii)</w:t>
      </w:r>
      <w:r>
        <w:tab/>
        <w:t>that order does not provide that the person’s photograph and locality are not to be published under this section;</w:t>
      </w:r>
    </w:p>
    <w:p>
      <w:pPr>
        <w:pStyle w:val="Indenta"/>
      </w:pPr>
      <w:r>
        <w:tab/>
      </w:r>
      <w:r>
        <w:tab/>
        <w:t>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keepNext/>
      </w:pPr>
      <w:r>
        <w:lastRenderedPageBreak/>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the publication is authorised by the Minister under section 85GB.</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the person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Ednotesubsection"/>
      </w:pPr>
      <w:r>
        <w:t>[(5)-(8)</w:t>
      </w:r>
      <w:r>
        <w:tab/>
        <w:t>deleted]</w:t>
      </w:r>
    </w:p>
    <w:p>
      <w:pPr>
        <w:pStyle w:val="Footnotesection"/>
      </w:pPr>
      <w:r>
        <w:tab/>
        <w:t>[Section 85G inserted: No. 1 of 2012 s. 5; amended: No. 29 of 2020 s. 94; No. 31 of 2024 s. 28; No. 35 of 2024 s. 39.]</w:t>
      </w:r>
    </w:p>
    <w:p>
      <w:pPr>
        <w:pStyle w:val="Heading5"/>
      </w:pPr>
      <w:bookmarkStart w:id="134" w:name="_Toc216773034"/>
      <w:r>
        <w:rPr>
          <w:rStyle w:val="CharSectno"/>
        </w:rPr>
        <w:lastRenderedPageBreak/>
        <w:t>85GA</w:t>
      </w:r>
      <w:r>
        <w:t>.</w:t>
      </w:r>
      <w:r>
        <w:tab/>
        <w:t>Notice to give address and photograph to Commissioner</w:t>
      </w:r>
      <w:bookmarkEnd w:id="134"/>
    </w:p>
    <w:p>
      <w:pPr>
        <w:pStyle w:val="Subsection"/>
        <w:keepNext/>
      </w:pPr>
      <w:r>
        <w:tab/>
        <w:t>(1)</w:t>
      </w:r>
      <w:r>
        <w:tab/>
        <w:t xml:space="preserve">This section applies if — </w:t>
      </w:r>
    </w:p>
    <w:p>
      <w:pPr>
        <w:pStyle w:val="Indenta"/>
      </w:pPr>
      <w:r>
        <w:tab/>
        <w:t>(a)</w:t>
      </w:r>
      <w:r>
        <w:tab/>
        <w:t>the Commissioner proposes to publish the photograph and locality of a person under section 85G(2) and the person is not a reportable offender; or</w:t>
      </w:r>
    </w:p>
    <w:p>
      <w:pPr>
        <w:pStyle w:val="Indenta"/>
      </w:pPr>
      <w:r>
        <w:tab/>
        <w:t>(b)</w:t>
      </w:r>
      <w:r>
        <w:tab/>
        <w:t xml:space="preserve">the Commissioner — </w:t>
      </w:r>
    </w:p>
    <w:p>
      <w:pPr>
        <w:pStyle w:val="Indenti"/>
      </w:pPr>
      <w:r>
        <w:tab/>
        <w:t>(i)</w:t>
      </w:r>
      <w:r>
        <w:tab/>
        <w:t>has published the photograph and locality of a person under section 85G(2) and the person is not a reportable offender; and</w:t>
      </w:r>
    </w:p>
    <w:p>
      <w:pPr>
        <w:pStyle w:val="Indenti"/>
      </w:pPr>
      <w:r>
        <w:tab/>
        <w:t>(ii)</w:t>
      </w:r>
      <w:r>
        <w:tab/>
        <w:t>reasonably believes the person’s appearance or address has changed since their photograph or address was last given to the Commissioner.</w:t>
      </w:r>
    </w:p>
    <w:p>
      <w:pPr>
        <w:pStyle w:val="Subsection"/>
      </w:pPr>
      <w:r>
        <w:tab/>
        <w:t>(2)</w:t>
      </w:r>
      <w:r>
        <w:tab/>
        <w:t xml:space="preserve">The Commissioner may, by written notice, require the person to give any of the following (the </w:t>
      </w:r>
      <w:r>
        <w:rPr>
          <w:rStyle w:val="CharDefText"/>
        </w:rPr>
        <w:t>information</w:t>
      </w:r>
      <w:r>
        <w:t xml:space="preserve">) to the Commissioner in accordance with the notice — </w:t>
      </w:r>
    </w:p>
    <w:p>
      <w:pPr>
        <w:pStyle w:val="Indenta"/>
      </w:pPr>
      <w:r>
        <w:tab/>
        <w:t>(a)</w:t>
      </w:r>
      <w:r>
        <w:tab/>
        <w:t xml:space="preserve">the address of each of the premises at which the person generally resides; </w:t>
      </w:r>
    </w:p>
    <w:p>
      <w:pPr>
        <w:pStyle w:val="Indenta"/>
      </w:pPr>
      <w:r>
        <w:tab/>
        <w:t>(b)</w:t>
      </w:r>
      <w:r>
        <w:tab/>
        <w:t>if a person does not generally reside at any particular premises, the name of each of the localities in which the person can generally be found;</w:t>
      </w:r>
    </w:p>
    <w:p>
      <w:pPr>
        <w:pStyle w:val="Indenta"/>
      </w:pPr>
      <w:r>
        <w:tab/>
        <w:t>(c)</w:t>
      </w:r>
      <w:r>
        <w:tab/>
        <w:t>a current photograph of the person’s head and face of a type suitable for use in an Australian passport.</w:t>
      </w:r>
    </w:p>
    <w:p>
      <w:pPr>
        <w:pStyle w:val="Subsection"/>
      </w:pPr>
      <w:r>
        <w:tab/>
        <w:t>(3)</w:t>
      </w:r>
      <w:r>
        <w:tab/>
        <w:t xml:space="preserve">A notice under subsection (2) may require a person to do 1 or more of the following — </w:t>
      </w:r>
    </w:p>
    <w:p>
      <w:pPr>
        <w:pStyle w:val="Indenta"/>
      </w:pPr>
      <w:r>
        <w:tab/>
        <w:t>(a)</w:t>
      </w:r>
      <w:r>
        <w:tab/>
        <w:t>to give their address and photograph by post, email or by other electronic means;</w:t>
      </w:r>
    </w:p>
    <w:p>
      <w:pPr>
        <w:pStyle w:val="Indenta"/>
      </w:pPr>
      <w:r>
        <w:tab/>
        <w:t>(b)</w:t>
      </w:r>
      <w:r>
        <w:tab/>
        <w:t>to attend in person at a certain time and place to give their address to, and have their photograph taken by, an authorised person.</w:t>
      </w:r>
    </w:p>
    <w:p>
      <w:pPr>
        <w:pStyle w:val="Subsection"/>
      </w:pPr>
      <w:r>
        <w:tab/>
        <w:t>(4)</w:t>
      </w:r>
      <w:r>
        <w:tab/>
        <w:t xml:space="preserve">A person given written notice under subsection (2) must comply with the requirement to give the information in accordance with the notice. </w:t>
      </w:r>
    </w:p>
    <w:p>
      <w:pPr>
        <w:pStyle w:val="Penstart"/>
      </w:pPr>
      <w:r>
        <w:lastRenderedPageBreak/>
        <w:tab/>
        <w:t>Penalty for this subsection: imprisonment for 2 years and a fine of $24 000.</w:t>
      </w:r>
    </w:p>
    <w:p>
      <w:pPr>
        <w:pStyle w:val="Footnotesection"/>
      </w:pPr>
      <w:r>
        <w:tab/>
        <w:t>[Section 85GA inserted: No. 35 of 2024 s. 40.]</w:t>
      </w:r>
    </w:p>
    <w:p>
      <w:pPr>
        <w:pStyle w:val="Heading5"/>
      </w:pPr>
      <w:bookmarkStart w:id="135" w:name="_Toc216773035"/>
      <w:r>
        <w:rPr>
          <w:rStyle w:val="CharSectno"/>
        </w:rPr>
        <w:t>85GB</w:t>
      </w:r>
      <w:r>
        <w:t>.</w:t>
      </w:r>
      <w:r>
        <w:tab/>
        <w:t>Authorisation by Minister to publish photograph and locality in relation to certain offences</w:t>
      </w:r>
      <w:bookmarkEnd w:id="135"/>
    </w:p>
    <w:p>
      <w:pPr>
        <w:pStyle w:val="Subsection"/>
      </w:pPr>
      <w:r>
        <w:tab/>
        <w:t>(1)</w:t>
      </w:r>
      <w:r>
        <w:tab/>
        <w:t>On application from the Commissioner, the Minister may authorise the publication under section 85G(2)(c)(ii) of a photograph and locality of a person referred to in section 85G(2)(c)(i) if satisfied that the person poses a risk to the lives or the sexual safety of 1 or more persons, or persons generally.</w:t>
      </w:r>
    </w:p>
    <w:p>
      <w:pPr>
        <w:pStyle w:val="Subsection"/>
      </w:pPr>
      <w:r>
        <w:tab/>
        <w:t>(2)</w:t>
      </w:r>
      <w:r>
        <w:tab/>
        <w:t>An authorisation cannot be for a period greater than 5 years.</w:t>
      </w:r>
    </w:p>
    <w:p>
      <w:pPr>
        <w:pStyle w:val="Subsection"/>
      </w:pPr>
      <w:r>
        <w:tab/>
        <w:t>(3)</w:t>
      </w:r>
      <w:r>
        <w:tab/>
        <w:t>For the purposes of subsection (1), it is not necessary that the Minister is able to identify a risk to a particular person or particular persons or a particular class of persons.</w:t>
      </w:r>
    </w:p>
    <w:p>
      <w:pPr>
        <w:pStyle w:val="Subsection"/>
      </w:pPr>
      <w:r>
        <w:tab/>
        <w:t>(4)</w:t>
      </w:r>
      <w:r>
        <w:tab/>
        <w:t xml:space="preserve">In determining whether to authorise publication under subsection (1),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as defined in section 85G(1),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the person’s total criminal record;</w:t>
      </w:r>
    </w:p>
    <w:p>
      <w:pPr>
        <w:pStyle w:val="Indenta"/>
      </w:pPr>
      <w:r>
        <w:tab/>
        <w:t>(e)</w:t>
      </w:r>
      <w:r>
        <w:tab/>
        <w:t>the person’s age and the age of any victims of any offences committed by the person at the time those offences were committed;</w:t>
      </w:r>
    </w:p>
    <w:p>
      <w:pPr>
        <w:pStyle w:val="Indenta"/>
      </w:pPr>
      <w:r>
        <w:lastRenderedPageBreak/>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(5)</w:t>
      </w:r>
      <w:r>
        <w:rPr>
          <w:color w:val="000000"/>
        </w:rPr>
        <w:tab/>
        <w:t xml:space="preserve">The Commissioner must provide with an application under </w:t>
      </w:r>
      <w:r>
        <w:t>subsection (1) any information available to the Commissioner that is relevant to the Minister’s determination whether to authorise publication.</w:t>
      </w:r>
    </w:p>
    <w:p>
      <w:pPr>
        <w:pStyle w:val="Subsection"/>
      </w:pPr>
      <w:r>
        <w:tab/>
        <w:t>(6)</w:t>
      </w:r>
      <w:r>
        <w:tab/>
        <w:t>The fact that an offence in respect of which a person has been found guilty becomes spent does not affect the consideration of the offence as part of the person’s total criminal record for the purposes of subsection (4)(d).</w:t>
      </w:r>
    </w:p>
    <w:p>
      <w:pPr>
        <w:pStyle w:val="Subsection"/>
      </w:pPr>
      <w:r>
        <w:tab/>
        <w:t>(7)</w:t>
      </w:r>
      <w:r>
        <w:tab/>
        <w:t xml:space="preserve">The Minister may — </w:t>
      </w:r>
    </w:p>
    <w:p>
      <w:pPr>
        <w:pStyle w:val="Indenta"/>
      </w:pPr>
      <w:r>
        <w:tab/>
        <w:t>(a)</w:t>
      </w:r>
      <w:r>
        <w:tab/>
        <w:t>revoke an authorisation; or</w:t>
      </w:r>
    </w:p>
    <w:p>
      <w:pPr>
        <w:pStyle w:val="Indenta"/>
      </w:pPr>
      <w:r>
        <w:tab/>
        <w:t>(b)</w:t>
      </w:r>
      <w:r>
        <w:tab/>
        <w:t>make further authorisations, each of no more than 5 years in duration, in respect of a person for whom an authorisation has previously been made.</w:t>
      </w:r>
    </w:p>
    <w:p>
      <w:pPr>
        <w:pStyle w:val="Footnotesection"/>
      </w:pPr>
      <w:r>
        <w:tab/>
        <w:t>[Section 85GB inserted: No. 35 of 2024 s. 40.]</w:t>
      </w:r>
    </w:p>
    <w:p>
      <w:pPr>
        <w:pStyle w:val="Heading5"/>
      </w:pPr>
      <w:bookmarkStart w:id="136" w:name="_Toc216773036"/>
      <w:r>
        <w:rPr>
          <w:rStyle w:val="CharSectno"/>
        </w:rPr>
        <w:t>85H</w:t>
      </w:r>
      <w:r>
        <w:t>.</w:t>
      </w:r>
      <w:r>
        <w:tab/>
        <w:t>Removal of photograph and locality from website</w:t>
      </w:r>
      <w:bookmarkEnd w:id="136"/>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HRO supervision order; and</w:t>
      </w:r>
    </w:p>
    <w:p>
      <w:pPr>
        <w:pStyle w:val="Indenta"/>
      </w:pPr>
      <w:r>
        <w:lastRenderedPageBreak/>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Subsection"/>
      </w:pPr>
      <w:r>
        <w:tab/>
        <w:t>(4)</w:t>
      </w:r>
      <w:r>
        <w:tab/>
        <w:t xml:space="preserve">The Commissioner must, as soon as is practicable, remove a photograph and locality of a person from the website on which they are published if — </w:t>
      </w:r>
    </w:p>
    <w:p>
      <w:pPr>
        <w:pStyle w:val="Indenta"/>
      </w:pPr>
      <w:r>
        <w:tab/>
        <w:t>(a)</w:t>
      </w:r>
      <w:r>
        <w:tab/>
        <w:t>the Commissioner has published the photograph and the locality of the person under section 85G(2)(c); and</w:t>
      </w:r>
    </w:p>
    <w:p>
      <w:pPr>
        <w:pStyle w:val="Indenta"/>
        <w:rPr>
          <w:color w:val="000000"/>
        </w:rPr>
      </w:pPr>
      <w:r>
        <w:tab/>
        <w:t>(b)</w:t>
      </w:r>
      <w:r>
        <w:tab/>
        <w:t>the authorisation in relation to the person is revoked under section 85GB(7)(a) or expires.</w:t>
      </w:r>
    </w:p>
    <w:p>
      <w:pPr>
        <w:pStyle w:val="Footnotesection"/>
      </w:pPr>
      <w:r>
        <w:tab/>
        <w:t>[Section 85H inserted: No. 1 of 2012 s. 5; amended: No. 29 of 2020 s. 95; No. 35 of 2024 s. 41.]</w:t>
      </w:r>
    </w:p>
    <w:p>
      <w:pPr>
        <w:pStyle w:val="Heading5"/>
      </w:pPr>
      <w:bookmarkStart w:id="137" w:name="_Toc216773037"/>
      <w:r>
        <w:rPr>
          <w:rStyle w:val="CharSectno"/>
        </w:rPr>
        <w:t>85I</w:t>
      </w:r>
      <w:r>
        <w:t>.</w:t>
      </w:r>
      <w:r>
        <w:tab/>
        <w:t>Commissioner may take into account certain matters</w:t>
      </w:r>
      <w:bookmarkEnd w:id="137"/>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lastRenderedPageBreak/>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keepNext/>
      </w:pPr>
      <w:r>
        <w:tab/>
        <w:t>(2)</w:t>
      </w:r>
      <w:r>
        <w:tab/>
        <w:t xml:space="preserve">This section applies to these matters — </w:t>
      </w:r>
    </w:p>
    <w:p>
      <w:pPr>
        <w:pStyle w:val="Indenta"/>
        <w:keepNext/>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HRO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lastRenderedPageBreak/>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No. 1 of 2012 s. 5; amended: No. 29 of 2020 s. 96.]</w:t>
      </w:r>
    </w:p>
    <w:p>
      <w:pPr>
        <w:pStyle w:val="Heading5"/>
      </w:pPr>
      <w:bookmarkStart w:id="138" w:name="_Toc216773038"/>
      <w:r>
        <w:rPr>
          <w:rStyle w:val="CharSectno"/>
        </w:rPr>
        <w:t>85J</w:t>
      </w:r>
      <w:r>
        <w:t>.</w:t>
      </w:r>
      <w:r>
        <w:tab/>
        <w:t>Commissioner may inform child’s parent or guardian whether specified person is reportable offender</w:t>
      </w:r>
      <w:bookmarkEnd w:id="138"/>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had reportable contact with a child of whom the applicant is a parent or guardian in the period of 12 months before the day on which the application is made.</w:t>
      </w:r>
    </w:p>
    <w:p>
      <w:pPr>
        <w:pStyle w:val="Ednotesubsection"/>
      </w:pPr>
      <w:r>
        <w:tab/>
        <w:t>[(4)</w:t>
      </w:r>
      <w:r>
        <w:tab/>
      </w:r>
      <w:r>
        <w:tab/>
        <w:t>deleted]</w:t>
      </w:r>
    </w:p>
    <w:p>
      <w:pPr>
        <w:pStyle w:val="Subsection"/>
      </w:pPr>
      <w:r>
        <w:tab/>
        <w:t>(5)</w:t>
      </w:r>
      <w:r>
        <w:tab/>
        <w:t>If the Commissioner is satisfied that the specified person has had reportable contact with a child of whom the applicant is a parent or guardian in the period of 12 months before the day on which the application is made, the Commissioner may inform the applicant whether or not the specified person is a reportable offender.</w:t>
      </w:r>
    </w:p>
    <w:p>
      <w:pPr>
        <w:pStyle w:val="Footnotesection"/>
      </w:pPr>
      <w:r>
        <w:tab/>
        <w:t>[Section 85J inserted: No. 1 of 2012 s. 5; amended: No. 31 of 2024 s. 28; No. 35 of 2024 s. 42.]</w:t>
      </w:r>
    </w:p>
    <w:p>
      <w:pPr>
        <w:pStyle w:val="Heading5"/>
      </w:pPr>
      <w:bookmarkStart w:id="139" w:name="_Toc216773039"/>
      <w:r>
        <w:rPr>
          <w:rStyle w:val="CharSectno"/>
        </w:rPr>
        <w:lastRenderedPageBreak/>
        <w:t>85K</w:t>
      </w:r>
      <w:r>
        <w:t>.</w:t>
      </w:r>
      <w:r>
        <w:tab/>
        <w:t>Protection as to publication and other provision of information</w:t>
      </w:r>
      <w:bookmarkEnd w:id="139"/>
    </w:p>
    <w:p>
      <w:pPr>
        <w:pStyle w:val="Subsection"/>
        <w:keepNext/>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w:t>
      </w:r>
      <w:r>
        <w:t>the Commissioner or a delegate under section 85B determines</w:t>
      </w:r>
      <w:r>
        <w:rPr>
          <w:color w:val="000000"/>
        </w:rPr>
        <w:t xml:space="preserve">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 xml:space="preserve">no civil or criminal </w:t>
      </w:r>
      <w:r>
        <w:t>liability attaches to the Commissioner, a delegate under section 85B, the Minister</w:t>
      </w:r>
      <w:r>
        <w:rPr>
          <w:color w:val="000000"/>
        </w:rPr>
        <w:t xml:space="preserve"> or the State by reason of publishing or providing that information or omitting to publish or provide that information.</w:t>
      </w:r>
    </w:p>
    <w:p>
      <w:pPr>
        <w:pStyle w:val="Subsection"/>
      </w:pPr>
      <w:r>
        <w:tab/>
        <w:t>(3)</w:t>
      </w:r>
      <w:r>
        <w:tab/>
        <w:t xml:space="preserve">If information is published or provided by the Commissioner or a delegate under section 85B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No. 1 of 2012 s. 5; amended: No. 35 of 2024 s. 43.]</w:t>
      </w:r>
    </w:p>
    <w:p>
      <w:pPr>
        <w:pStyle w:val="Heading3"/>
      </w:pPr>
      <w:bookmarkStart w:id="140" w:name="_Toc216773040"/>
      <w:r>
        <w:rPr>
          <w:rStyle w:val="CharDivNo"/>
        </w:rPr>
        <w:lastRenderedPageBreak/>
        <w:t>Division 3</w:t>
      </w:r>
      <w:r>
        <w:t> — </w:t>
      </w:r>
      <w:r>
        <w:rPr>
          <w:rStyle w:val="CharDivText"/>
        </w:rPr>
        <w:t>Offences</w:t>
      </w:r>
      <w:bookmarkEnd w:id="140"/>
    </w:p>
    <w:p>
      <w:pPr>
        <w:pStyle w:val="Footnoteheading"/>
        <w:keepNext/>
      </w:pPr>
      <w:r>
        <w:tab/>
        <w:t>[Heading inserted: No. 1 of 2012 s. 5.]</w:t>
      </w:r>
    </w:p>
    <w:p>
      <w:pPr>
        <w:pStyle w:val="Heading5"/>
      </w:pPr>
      <w:bookmarkStart w:id="141" w:name="_Toc216773041"/>
      <w:r>
        <w:rPr>
          <w:rStyle w:val="CharSectno"/>
        </w:rPr>
        <w:t>85L</w:t>
      </w:r>
      <w:r>
        <w:t>.</w:t>
      </w:r>
      <w:r>
        <w:tab/>
        <w:t>Conduct intended to incite animosity towards or harassment of identified offenders</w:t>
      </w:r>
      <w:bookmarkEnd w:id="141"/>
    </w:p>
    <w:p>
      <w:pPr>
        <w:pStyle w:val="Subsection"/>
        <w:keepNext/>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keepNex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lastRenderedPageBreak/>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keepNext/>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for this subsection: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for this subsection: imprisonment for 2 years.</w:t>
      </w:r>
    </w:p>
    <w:p>
      <w:pPr>
        <w:pStyle w:val="Footnotesection"/>
      </w:pPr>
      <w:r>
        <w:tab/>
        <w:t>[Section 85L inserted: No. 1 of 2012 s. 5; amended: No. 35 of 2024 s. 44.]</w:t>
      </w:r>
    </w:p>
    <w:p>
      <w:pPr>
        <w:pStyle w:val="Heading5"/>
      </w:pPr>
      <w:bookmarkStart w:id="142" w:name="_Toc216773042"/>
      <w:r>
        <w:rPr>
          <w:rStyle w:val="CharSectno"/>
        </w:rPr>
        <w:t>85M</w:t>
      </w:r>
      <w:r>
        <w:t>.</w:t>
      </w:r>
      <w:r>
        <w:tab/>
        <w:t>Publication, display and distribution of identifying information</w:t>
      </w:r>
      <w:bookmarkEnd w:id="142"/>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lastRenderedPageBreak/>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for this subsection: imprisonment for 2 years.</w:t>
      </w:r>
    </w:p>
    <w:p>
      <w:pPr>
        <w:pStyle w:val="Footnotesection"/>
      </w:pPr>
      <w:r>
        <w:tab/>
        <w:t>[Section 85M inserted: No. 1 of 2012 s. 5; amended: No. 35 of 2024 s. 45.]</w:t>
      </w:r>
    </w:p>
    <w:p>
      <w:pPr>
        <w:pStyle w:val="Heading2"/>
      </w:pPr>
      <w:bookmarkStart w:id="143" w:name="_Toc216773043"/>
      <w:r>
        <w:rPr>
          <w:rStyle w:val="CharPartNo"/>
        </w:rPr>
        <w:lastRenderedPageBreak/>
        <w:t>Part 5</w:t>
      </w:r>
      <w:r>
        <w:t> — </w:t>
      </w:r>
      <w:r>
        <w:rPr>
          <w:rStyle w:val="CharPartText"/>
        </w:rPr>
        <w:t>Protection orders</w:t>
      </w:r>
      <w:bookmarkEnd w:id="143"/>
    </w:p>
    <w:p>
      <w:pPr>
        <w:pStyle w:val="Footnoteheading"/>
      </w:pPr>
      <w:r>
        <w:tab/>
        <w:t>[Heading amended: No. 54 of 2012 s. 40.]</w:t>
      </w:r>
    </w:p>
    <w:p>
      <w:pPr>
        <w:pStyle w:val="Heading3"/>
      </w:pPr>
      <w:bookmarkStart w:id="144" w:name="_Toc216773044"/>
      <w:r>
        <w:rPr>
          <w:rStyle w:val="CharDivNo"/>
        </w:rPr>
        <w:t>Division 1</w:t>
      </w:r>
      <w:r>
        <w:t> — </w:t>
      </w:r>
      <w:r>
        <w:rPr>
          <w:rStyle w:val="CharDivText"/>
        </w:rPr>
        <w:t>Preliminary</w:t>
      </w:r>
      <w:bookmarkEnd w:id="144"/>
    </w:p>
    <w:p>
      <w:pPr>
        <w:pStyle w:val="Heading5"/>
      </w:pPr>
      <w:bookmarkStart w:id="145" w:name="_Toc216773045"/>
      <w:r>
        <w:rPr>
          <w:rStyle w:val="CharSectno"/>
        </w:rPr>
        <w:t>85</w:t>
      </w:r>
      <w:r>
        <w:t>.</w:t>
      </w:r>
      <w:r>
        <w:tab/>
        <w:t>Terms used</w:t>
      </w:r>
      <w:bookmarkEnd w:id="145"/>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keepNext/>
      </w:pPr>
      <w:r>
        <w:tab/>
        <w:t>(a)</w:t>
      </w:r>
      <w:r>
        <w:tab/>
        <w:t xml:space="preserve">in the case of an application by the Commissioner for a </w:t>
      </w:r>
      <w:r>
        <w:rPr>
          <w:color w:val="000000"/>
        </w:rPr>
        <w:t>protection</w:t>
      </w:r>
      <w:r>
        <w:t xml:space="preserve"> order to be made, varied or revoked — the </w:t>
      </w:r>
      <w:r>
        <w:lastRenderedPageBreak/>
        <w:t xml:space="preserve">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spacing w:before="100"/>
      </w:pPr>
      <w:r>
        <w:tab/>
        <w:t>[Section 85 amended: No. 54 of 2012 s. 26 and 41; No. 35 of 2024 s. 59.]</w:t>
      </w:r>
    </w:p>
    <w:p>
      <w:pPr>
        <w:pStyle w:val="Heading5"/>
      </w:pPr>
      <w:bookmarkStart w:id="146" w:name="_Toc216773046"/>
      <w:r>
        <w:rPr>
          <w:rStyle w:val="CharSectno"/>
        </w:rPr>
        <w:t>86</w:t>
      </w:r>
      <w:r>
        <w:t>.</w:t>
      </w:r>
      <w:r>
        <w:tab/>
        <w:t>Evidence</w:t>
      </w:r>
      <w:bookmarkEnd w:id="146"/>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No. 54 of 2012 s. 27.]</w:t>
      </w:r>
    </w:p>
    <w:p>
      <w:pPr>
        <w:pStyle w:val="Heading3"/>
      </w:pPr>
      <w:bookmarkStart w:id="147" w:name="_Toc216773047"/>
      <w:r>
        <w:rPr>
          <w:rStyle w:val="CharDivNo"/>
        </w:rPr>
        <w:lastRenderedPageBreak/>
        <w:t>Division 2</w:t>
      </w:r>
      <w:r>
        <w:t> — </w:t>
      </w:r>
      <w:r>
        <w:rPr>
          <w:rStyle w:val="CharDivText"/>
        </w:rPr>
        <w:t>Orders</w:t>
      </w:r>
      <w:bookmarkEnd w:id="147"/>
    </w:p>
    <w:p>
      <w:pPr>
        <w:pStyle w:val="Heading5"/>
      </w:pPr>
      <w:bookmarkStart w:id="148" w:name="_Toc216773048"/>
      <w:r>
        <w:rPr>
          <w:rStyle w:val="CharSectno"/>
        </w:rPr>
        <w:t>87</w:t>
      </w:r>
      <w:r>
        <w:t>.</w:t>
      </w:r>
      <w:r>
        <w:tab/>
        <w:t>Commissioner may apply for orders</w:t>
      </w:r>
      <w:bookmarkEnd w:id="148"/>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No. 54 of 2012 s. 28.]</w:t>
      </w:r>
    </w:p>
    <w:p>
      <w:pPr>
        <w:pStyle w:val="Heading5"/>
        <w:spacing w:before="260"/>
      </w:pPr>
      <w:bookmarkStart w:id="149" w:name="_Toc216773049"/>
      <w:r>
        <w:rPr>
          <w:rStyle w:val="CharSectno"/>
        </w:rPr>
        <w:t>88</w:t>
      </w:r>
      <w:r>
        <w:t>.</w:t>
      </w:r>
      <w:r>
        <w:tab/>
        <w:t>Fixing a hearing</w:t>
      </w:r>
      <w:bookmarkEnd w:id="149"/>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No. 54 of 2012 s. 42(2).]</w:t>
      </w:r>
    </w:p>
    <w:p>
      <w:pPr>
        <w:pStyle w:val="Heading5"/>
        <w:spacing w:before="260"/>
      </w:pPr>
      <w:bookmarkStart w:id="150" w:name="_Toc216773050"/>
      <w:r>
        <w:rPr>
          <w:rStyle w:val="CharSectno"/>
        </w:rPr>
        <w:t>89</w:t>
      </w:r>
      <w:r>
        <w:t>.</w:t>
      </w:r>
      <w:r>
        <w:tab/>
        <w:t>How application to be disposed of</w:t>
      </w:r>
      <w:bookmarkEnd w:id="150"/>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lastRenderedPageBreak/>
        <w:tab/>
        <w:t>(c)</w:t>
      </w:r>
      <w:r>
        <w:tab/>
        <w:t>at the request of the applicant — by discontinuing the application.</w:t>
      </w:r>
    </w:p>
    <w:p>
      <w:pPr>
        <w:pStyle w:val="Footnotesection"/>
      </w:pPr>
      <w:r>
        <w:tab/>
        <w:t>[Section 89 amended: No. 54 of 2012 s. 42(2).]</w:t>
      </w:r>
    </w:p>
    <w:p>
      <w:pPr>
        <w:pStyle w:val="Heading5"/>
      </w:pPr>
      <w:bookmarkStart w:id="151" w:name="_Toc216773051"/>
      <w:r>
        <w:rPr>
          <w:rStyle w:val="CharSectno"/>
        </w:rPr>
        <w:t>90</w:t>
      </w:r>
      <w:r>
        <w:t>.</w:t>
      </w:r>
      <w:r>
        <w:tab/>
        <w:t>Court may make child protection orders</w:t>
      </w:r>
      <w:bookmarkEnd w:id="151"/>
    </w:p>
    <w:p>
      <w:pPr>
        <w:pStyle w:val="Subsection"/>
        <w:keepNext/>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 xml:space="preserve">the effect of the order sought on the reportable offender in comparison with the level of the risk that a further </w:t>
      </w:r>
      <w:r>
        <w:lastRenderedPageBreak/>
        <w:t>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No. 54 of 2012 s. 29 and 42(2).]</w:t>
      </w:r>
    </w:p>
    <w:p>
      <w:pPr>
        <w:pStyle w:val="Heading5"/>
      </w:pPr>
      <w:bookmarkStart w:id="152" w:name="_Toc216773052"/>
      <w:r>
        <w:rPr>
          <w:rStyle w:val="CharSectno"/>
        </w:rPr>
        <w:t>91</w:t>
      </w:r>
      <w:r>
        <w:t>.</w:t>
      </w:r>
      <w:r>
        <w:tab/>
        <w:t>Term of child protection orders</w:t>
      </w:r>
      <w:bookmarkEnd w:id="152"/>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lastRenderedPageBreak/>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No. 54 of 2012 s. 30 and 42(3).]</w:t>
      </w:r>
    </w:p>
    <w:p>
      <w:pPr>
        <w:pStyle w:val="Heading5"/>
      </w:pPr>
      <w:bookmarkStart w:id="153" w:name="_Toc216773053"/>
      <w:r>
        <w:rPr>
          <w:rStyle w:val="CharSectno"/>
        </w:rPr>
        <w:t>92</w:t>
      </w:r>
      <w:r>
        <w:t>.</w:t>
      </w:r>
      <w:r>
        <w:tab/>
        <w:t>Interim child protection orders</w:t>
      </w:r>
      <w:bookmarkEnd w:id="153"/>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keepNext/>
      </w:pPr>
      <w:r>
        <w:lastRenderedPageBreak/>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No. 54 of 2012 s. 31 and 42(2).]</w:t>
      </w:r>
    </w:p>
    <w:p>
      <w:pPr>
        <w:pStyle w:val="Heading5"/>
      </w:pPr>
      <w:bookmarkStart w:id="154" w:name="_Toc216773054"/>
      <w:r>
        <w:rPr>
          <w:rStyle w:val="CharSectno"/>
        </w:rPr>
        <w:t>93</w:t>
      </w:r>
      <w:r>
        <w:t>.</w:t>
      </w:r>
      <w:r>
        <w:tab/>
        <w:t>Conduct that may be subject of orders</w:t>
      </w:r>
      <w:bookmarkEnd w:id="154"/>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lastRenderedPageBreak/>
        <w:tab/>
        <w:t>(cb)</w:t>
      </w:r>
      <w:r>
        <w:tab/>
        <w:t>a person changing the place where the person generally resides (as described in section 29A(1)) without first having obtained the permission of the Commissioner to do so;</w:t>
      </w:r>
    </w:p>
    <w:p>
      <w:pPr>
        <w:pStyle w:val="Indenta"/>
      </w:pPr>
      <w:r>
        <w:tab/>
        <w:t>(cc)</w:t>
      </w:r>
      <w:r>
        <w:tab/>
        <w:t>travelling out of Australia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the person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from a place specified in the order — </w:t>
      </w:r>
    </w:p>
    <w:p>
      <w:pPr>
        <w:pStyle w:val="Indenta"/>
      </w:pPr>
      <w:r>
        <w:tab/>
        <w:t>(a)</w:t>
      </w:r>
      <w:r>
        <w:tab/>
        <w:t>in the manner set out in the order; or</w:t>
      </w:r>
    </w:p>
    <w:p>
      <w:pPr>
        <w:pStyle w:val="Indenta"/>
      </w:pPr>
      <w:r>
        <w:tab/>
        <w:t>(b)</w:t>
      </w:r>
      <w:r>
        <w:tab/>
        <w:t>in accordance with procedures prescribed.</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lastRenderedPageBreak/>
        <w:tab/>
        <w:t>[Section 93 amended: No. 54 of 2012 s. 32 and 42(2); No. 31 of 2024 s. 28; No. 35 of 2024 s. 59.]</w:t>
      </w:r>
    </w:p>
    <w:p>
      <w:pPr>
        <w:pStyle w:val="Heading5"/>
      </w:pPr>
      <w:bookmarkStart w:id="155" w:name="_Toc216773055"/>
      <w:r>
        <w:rPr>
          <w:rStyle w:val="CharSectno"/>
        </w:rPr>
        <w:t>94A</w:t>
      </w:r>
      <w:r>
        <w:t>.</w:t>
      </w:r>
      <w:r>
        <w:tab/>
        <w:t>Reportable offenders may be required to undergo assessment and treatment</w:t>
      </w:r>
      <w:bookmarkEnd w:id="155"/>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keepNext/>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lastRenderedPageBreak/>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No. 54 of 2012 s. 33.]</w:t>
      </w:r>
    </w:p>
    <w:p>
      <w:pPr>
        <w:pStyle w:val="Heading5"/>
      </w:pPr>
      <w:bookmarkStart w:id="156" w:name="_Toc216773056"/>
      <w:r>
        <w:rPr>
          <w:rStyle w:val="CharSectno"/>
        </w:rPr>
        <w:t>94B</w:t>
      </w:r>
      <w:r>
        <w:t>.</w:t>
      </w:r>
      <w:r>
        <w:tab/>
        <w:t>Reportable offenders may be required to submit to tests or give samples for analysis</w:t>
      </w:r>
      <w:bookmarkEnd w:id="156"/>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keepNext/>
      </w:pPr>
      <w:r>
        <w:lastRenderedPageBreak/>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for this subsection: imprisonment for 2 years and a fine of $24 000.</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for this subsection: imprisonment for 12 months.</w:t>
      </w:r>
    </w:p>
    <w:p>
      <w:pPr>
        <w:pStyle w:val="Subsection"/>
        <w:keepNext/>
      </w:pPr>
      <w:r>
        <w:tab/>
        <w:t>(8)</w:t>
      </w:r>
      <w:r>
        <w:tab/>
        <w:t xml:space="preserve">The regulations may provide for the following matters — </w:t>
      </w:r>
    </w:p>
    <w:p>
      <w:pPr>
        <w:pStyle w:val="Indenta"/>
      </w:pPr>
      <w:r>
        <w:tab/>
        <w:t>(a)</w:t>
      </w:r>
      <w:r>
        <w:tab/>
        <w:t>the manner of making requirements under subsection (2);</w:t>
      </w:r>
    </w:p>
    <w:p>
      <w:pPr>
        <w:pStyle w:val="Indenta"/>
      </w:pPr>
      <w:r>
        <w:lastRenderedPageBreak/>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the person’s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No. 54 of 2012 s. 33; amended: No. 31 of 2024 s. 28; No. 35 of 2024 s. 46.]</w:t>
      </w:r>
    </w:p>
    <w:p>
      <w:pPr>
        <w:pStyle w:val="Heading5"/>
      </w:pPr>
      <w:bookmarkStart w:id="157" w:name="_Toc216773057"/>
      <w:r>
        <w:rPr>
          <w:rStyle w:val="CharSectno"/>
        </w:rPr>
        <w:lastRenderedPageBreak/>
        <w:t>94C</w:t>
      </w:r>
      <w:r>
        <w:t>.</w:t>
      </w:r>
      <w:r>
        <w:tab/>
        <w:t>Authorised police officers may enter premises to inspect electronic devices</w:t>
      </w:r>
      <w:bookmarkEnd w:id="157"/>
    </w:p>
    <w:p>
      <w:pPr>
        <w:pStyle w:val="Subsection"/>
        <w:keepNext/>
      </w:pPr>
      <w:r>
        <w:tab/>
        <w:t>(1)</w:t>
      </w:r>
      <w:r>
        <w:tab/>
        <w:t xml:space="preserve">In this section — </w:t>
      </w:r>
    </w:p>
    <w:p>
      <w:pPr>
        <w:pStyle w:val="Defstart"/>
      </w:pPr>
      <w:r>
        <w:tab/>
      </w:r>
      <w:r>
        <w:rPr>
          <w:rStyle w:val="CharDefText"/>
        </w:rPr>
        <w:t>generally resides</w:t>
      </w:r>
      <w:r>
        <w:t xml:space="preserve"> has the meaning given to that term in section 29A(1).</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electronic device that is at the premises; or</w:t>
      </w:r>
    </w:p>
    <w:p>
      <w:pPr>
        <w:pStyle w:val="Indenta"/>
      </w:pPr>
      <w:r>
        <w:tab/>
        <w:t>(b)</w:t>
      </w:r>
      <w:r>
        <w:tab/>
        <w:t>seize any electronic device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an electronic device; or</w:t>
      </w:r>
    </w:p>
    <w:p>
      <w:pPr>
        <w:pStyle w:val="Indenta"/>
        <w:spacing w:before="60"/>
      </w:pPr>
      <w:r>
        <w:tab/>
        <w:t>(b)</w:t>
      </w:r>
      <w:r>
        <w:tab/>
        <w:t>otherwise assist the officer to gain access to the electronic data stored in a or accessed through an electronic device.</w:t>
      </w:r>
    </w:p>
    <w:p>
      <w:pPr>
        <w:pStyle w:val="Penstart"/>
      </w:pPr>
      <w:r>
        <w:tab/>
        <w:t>Penalty for this subsection: imprisonment for 2 years and a fine of $24 000.</w:t>
      </w:r>
    </w:p>
    <w:p>
      <w:pPr>
        <w:pStyle w:val="Subsection"/>
      </w:pPr>
      <w:r>
        <w:tab/>
        <w:t>(5)</w:t>
      </w:r>
      <w:r>
        <w:tab/>
        <w:t xml:space="preserve">If a person is found guilty of an offence in relation to an electronic device under 1 or more of the following provisions, the electronic device is forfeited to the State — </w:t>
      </w:r>
    </w:p>
    <w:p>
      <w:pPr>
        <w:pStyle w:val="Indenta"/>
      </w:pPr>
      <w:r>
        <w:tab/>
        <w:t>(a)</w:t>
      </w:r>
      <w:r>
        <w:tab/>
        <w:t xml:space="preserve">under section 101(1) in relation to conduct of the kind referred to in subsection (2) of this section; </w:t>
      </w:r>
    </w:p>
    <w:p>
      <w:pPr>
        <w:pStyle w:val="Indenta"/>
      </w:pPr>
      <w:r>
        <w:tab/>
        <w:t>(b)</w:t>
      </w:r>
      <w:r>
        <w:tab/>
        <w:t>under subsection (4).</w:t>
      </w:r>
    </w:p>
    <w:p>
      <w:pPr>
        <w:pStyle w:val="Subsection"/>
        <w:spacing w:before="120"/>
      </w:pPr>
      <w:r>
        <w:lastRenderedPageBreak/>
        <w:tab/>
        <w:t>(6)</w:t>
      </w:r>
      <w:r>
        <w:tab/>
        <w:t xml:space="preserve">The </w:t>
      </w:r>
      <w:r>
        <w:rPr>
          <w:i/>
        </w:rPr>
        <w:t>Criminal and Found Property Disposal Act 2006</w:t>
      </w:r>
      <w:r>
        <w:t xml:space="preserve"> applies to and in relation to an electronic device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No. 54 of 2012 s. 33; amended: No. 35 of 2024 s. 47.]</w:t>
      </w:r>
    </w:p>
    <w:p>
      <w:pPr>
        <w:pStyle w:val="Heading5"/>
        <w:spacing w:before="200"/>
      </w:pPr>
      <w:bookmarkStart w:id="158" w:name="_Toc216773058"/>
      <w:r>
        <w:rPr>
          <w:rStyle w:val="CharSectno"/>
        </w:rPr>
        <w:t>94</w:t>
      </w:r>
      <w:r>
        <w:t>.</w:t>
      </w:r>
      <w:r>
        <w:tab/>
        <w:t>Explanation of orders</w:t>
      </w:r>
      <w:bookmarkEnd w:id="158"/>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the offender — </w:t>
      </w:r>
    </w:p>
    <w:p>
      <w:pPr>
        <w:pStyle w:val="Indenta"/>
        <w:spacing w:before="60"/>
      </w:pPr>
      <w:r>
        <w:tab/>
        <w:t>(a)</w:t>
      </w:r>
      <w:r>
        <w:tab/>
        <w:t>the offender’s obligations under the order; and</w:t>
      </w:r>
    </w:p>
    <w:p>
      <w:pPr>
        <w:pStyle w:val="Indenta"/>
      </w:pPr>
      <w:r>
        <w:tab/>
        <w:t>(b)</w:t>
      </w:r>
      <w:r>
        <w:tab/>
        <w:t>the consequences that may arise if the offender fails to comply with those obligations.</w:t>
      </w:r>
    </w:p>
    <w:p>
      <w:pPr>
        <w:pStyle w:val="Subsection"/>
      </w:pPr>
      <w:r>
        <w:tab/>
        <w:t>(2)</w:t>
      </w:r>
      <w:r>
        <w:tab/>
        <w:t>An order is not invalidated by a failure to comply with subsection (1).</w:t>
      </w:r>
    </w:p>
    <w:p>
      <w:pPr>
        <w:pStyle w:val="Footnotesection"/>
        <w:spacing w:before="100"/>
      </w:pPr>
      <w:r>
        <w:tab/>
        <w:t>[Section 94 amended: No. 54 of 2012 s. 42(2); No. 31 of 2024 s. 28.]</w:t>
      </w:r>
    </w:p>
    <w:p>
      <w:pPr>
        <w:pStyle w:val="Heading5"/>
      </w:pPr>
      <w:bookmarkStart w:id="159" w:name="_Toc216773059"/>
      <w:r>
        <w:rPr>
          <w:rStyle w:val="CharSectno"/>
        </w:rPr>
        <w:t>95</w:t>
      </w:r>
      <w:r>
        <w:t>.</w:t>
      </w:r>
      <w:r>
        <w:tab/>
        <w:t>Consent orders</w:t>
      </w:r>
      <w:bookmarkEnd w:id="159"/>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lastRenderedPageBreak/>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No. 54 of 2012 s. 42(2) and (3).]</w:t>
      </w:r>
    </w:p>
    <w:p>
      <w:pPr>
        <w:pStyle w:val="Heading3"/>
        <w:spacing w:before="200"/>
      </w:pPr>
      <w:bookmarkStart w:id="160" w:name="_Toc216773060"/>
      <w:r>
        <w:rPr>
          <w:rStyle w:val="CharDivNo"/>
        </w:rPr>
        <w:t>Division 3</w:t>
      </w:r>
      <w:r>
        <w:t> — </w:t>
      </w:r>
      <w:r>
        <w:rPr>
          <w:rStyle w:val="CharDivText"/>
        </w:rPr>
        <w:t>Variation or revocation</w:t>
      </w:r>
      <w:bookmarkEnd w:id="160"/>
    </w:p>
    <w:p>
      <w:pPr>
        <w:pStyle w:val="Heading5"/>
      </w:pPr>
      <w:bookmarkStart w:id="161" w:name="_Toc216773061"/>
      <w:r>
        <w:rPr>
          <w:rStyle w:val="CharSectno"/>
        </w:rPr>
        <w:t>96</w:t>
      </w:r>
      <w:r>
        <w:t>.</w:t>
      </w:r>
      <w:r>
        <w:tab/>
        <w:t>Variation or revocation of child protection orders</w:t>
      </w:r>
      <w:bookmarkEnd w:id="161"/>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lastRenderedPageBreak/>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No. 54 of 2012 s. 42(3).]</w:t>
      </w:r>
    </w:p>
    <w:p>
      <w:pPr>
        <w:pStyle w:val="Heading5"/>
      </w:pPr>
      <w:bookmarkStart w:id="162" w:name="_Toc216773062"/>
      <w:r>
        <w:rPr>
          <w:rStyle w:val="CharSectno"/>
        </w:rPr>
        <w:t>97</w:t>
      </w:r>
      <w:r>
        <w:t>.</w:t>
      </w:r>
      <w:r>
        <w:tab/>
        <w:t>Fixing a hearing</w:t>
      </w:r>
      <w:bookmarkEnd w:id="162"/>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No. 54 of 2012 s. 42(3).]</w:t>
      </w:r>
    </w:p>
    <w:p>
      <w:pPr>
        <w:pStyle w:val="Heading5"/>
        <w:rPr>
          <w:rFonts w:eastAsia="Arial Unicode MS"/>
        </w:rPr>
      </w:pPr>
      <w:bookmarkStart w:id="163" w:name="_Toc216773063"/>
      <w:r>
        <w:rPr>
          <w:rStyle w:val="CharSectno"/>
        </w:rPr>
        <w:t>98</w:t>
      </w:r>
      <w:r>
        <w:t>.</w:t>
      </w:r>
      <w:r>
        <w:tab/>
        <w:t>How application to be disposed of</w:t>
      </w:r>
      <w:bookmarkEnd w:id="163"/>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lastRenderedPageBreak/>
        <w:tab/>
        <w:t>(b)</w:t>
      </w:r>
      <w:r>
        <w:tab/>
        <w:t>by dismissing the application; or</w:t>
      </w:r>
    </w:p>
    <w:p>
      <w:pPr>
        <w:pStyle w:val="Indenta"/>
      </w:pPr>
      <w:r>
        <w:tab/>
        <w:t>(c)</w:t>
      </w:r>
      <w:r>
        <w:tab/>
        <w:t>at the request of the applicant — by discontinuing the application.</w:t>
      </w:r>
    </w:p>
    <w:p>
      <w:pPr>
        <w:pStyle w:val="Footnotesection"/>
      </w:pPr>
      <w:r>
        <w:tab/>
        <w:t>[Section 98 amended: No. 54 of 2012 s. 42(3).]</w:t>
      </w:r>
    </w:p>
    <w:p>
      <w:pPr>
        <w:pStyle w:val="Heading3"/>
      </w:pPr>
      <w:bookmarkStart w:id="164" w:name="_Toc216773064"/>
      <w:r>
        <w:rPr>
          <w:rStyle w:val="CharDivNo"/>
        </w:rPr>
        <w:t>Division 4</w:t>
      </w:r>
      <w:r>
        <w:t> — </w:t>
      </w:r>
      <w:r>
        <w:rPr>
          <w:rStyle w:val="CharDivText"/>
        </w:rPr>
        <w:t>Attendance at hearings</w:t>
      </w:r>
      <w:bookmarkEnd w:id="164"/>
    </w:p>
    <w:p>
      <w:pPr>
        <w:pStyle w:val="Heading5"/>
      </w:pPr>
      <w:bookmarkStart w:id="165" w:name="_Toc216773065"/>
      <w:r>
        <w:rPr>
          <w:rStyle w:val="CharSectno"/>
        </w:rPr>
        <w:t>99</w:t>
      </w:r>
      <w:r>
        <w:t>.</w:t>
      </w:r>
      <w:r>
        <w:tab/>
        <w:t>Attendance at hearings</w:t>
      </w:r>
      <w:bookmarkEnd w:id="165"/>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166" w:name="_Toc216773066"/>
      <w:r>
        <w:rPr>
          <w:rStyle w:val="CharSectno"/>
        </w:rPr>
        <w:t>100</w:t>
      </w:r>
      <w:r>
        <w:t>.</w:t>
      </w:r>
      <w:r>
        <w:tab/>
        <w:t>Notification of orders made in absence of respondent</w:t>
      </w:r>
      <w:bookmarkEnd w:id="166"/>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No. 54 of 2012 s. 42(2).]</w:t>
      </w:r>
    </w:p>
    <w:p>
      <w:pPr>
        <w:pStyle w:val="Heading3"/>
        <w:keepLines/>
      </w:pPr>
      <w:bookmarkStart w:id="167" w:name="_Toc216773067"/>
      <w:r>
        <w:rPr>
          <w:rStyle w:val="CharDivNo"/>
        </w:rPr>
        <w:lastRenderedPageBreak/>
        <w:t>Division 5</w:t>
      </w:r>
      <w:r>
        <w:t> — </w:t>
      </w:r>
      <w:r>
        <w:rPr>
          <w:rStyle w:val="CharDivText"/>
        </w:rPr>
        <w:t>Offence</w:t>
      </w:r>
      <w:bookmarkEnd w:id="167"/>
    </w:p>
    <w:p>
      <w:pPr>
        <w:pStyle w:val="Heading5"/>
      </w:pPr>
      <w:bookmarkStart w:id="168" w:name="_Toc216773068"/>
      <w:r>
        <w:rPr>
          <w:rStyle w:val="CharSectno"/>
        </w:rPr>
        <w:t>101</w:t>
      </w:r>
      <w:r>
        <w:t>.</w:t>
      </w:r>
      <w:r>
        <w:tab/>
        <w:t>Failure to comply with orders</w:t>
      </w:r>
      <w:bookmarkEnd w:id="168"/>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for this subsection: imprisonment for 5 years.</w:t>
      </w:r>
    </w:p>
    <w:p>
      <w:pPr>
        <w:pStyle w:val="Penstart"/>
      </w:pPr>
      <w:r>
        <w:tab/>
        <w:t>Summary conviction penalty for this subsection: imprisonment for 2 years and a fine of $24 000.</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No. 54 of 2012 s. 34 and 42(2); No. 35 of 2024 s. 48.]</w:t>
      </w:r>
    </w:p>
    <w:p>
      <w:pPr>
        <w:pStyle w:val="Heading3"/>
      </w:pPr>
      <w:bookmarkStart w:id="169" w:name="_Toc216773069"/>
      <w:r>
        <w:rPr>
          <w:rStyle w:val="CharDivNo"/>
        </w:rPr>
        <w:t>Division 6</w:t>
      </w:r>
      <w:r>
        <w:t> — </w:t>
      </w:r>
      <w:r>
        <w:rPr>
          <w:rStyle w:val="CharDivText"/>
        </w:rPr>
        <w:t>Appeals</w:t>
      </w:r>
      <w:bookmarkEnd w:id="169"/>
    </w:p>
    <w:p>
      <w:pPr>
        <w:pStyle w:val="Heading5"/>
      </w:pPr>
      <w:bookmarkStart w:id="170" w:name="_Toc216773070"/>
      <w:r>
        <w:rPr>
          <w:rStyle w:val="CharSectno"/>
        </w:rPr>
        <w:t>102</w:t>
      </w:r>
      <w:r>
        <w:t>.</w:t>
      </w:r>
      <w:r>
        <w:tab/>
        <w:t>Appeals</w:t>
      </w:r>
      <w:bookmarkEnd w:id="170"/>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keepLines/>
        <w:spacing w:before="120"/>
      </w:pPr>
      <w:r>
        <w:lastRenderedPageBreak/>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No. 5 of 2008 s. 127(3); No. 54 of 2012 s. 42(2).]</w:t>
      </w:r>
    </w:p>
    <w:p>
      <w:pPr>
        <w:pStyle w:val="Heading5"/>
      </w:pPr>
      <w:bookmarkStart w:id="171" w:name="_Toc216773071"/>
      <w:r>
        <w:rPr>
          <w:rStyle w:val="CharSectno"/>
        </w:rPr>
        <w:t>103</w:t>
      </w:r>
      <w:r>
        <w:t>.</w:t>
      </w:r>
      <w:r>
        <w:tab/>
        <w:t>Appeal does not stay order</w:t>
      </w:r>
      <w:bookmarkEnd w:id="171"/>
    </w:p>
    <w:p>
      <w:pPr>
        <w:pStyle w:val="Subsection"/>
      </w:pPr>
      <w:r>
        <w:tab/>
      </w:r>
      <w:r>
        <w:tab/>
        <w:t>An appeal against an order made under this Part does not operate to stay the operation of the order unless the court to which the appeal is made so orders.</w:t>
      </w:r>
    </w:p>
    <w:p>
      <w:pPr>
        <w:pStyle w:val="Heading3"/>
      </w:pPr>
      <w:bookmarkStart w:id="172" w:name="_Toc216773072"/>
      <w:r>
        <w:rPr>
          <w:rStyle w:val="CharDivNo"/>
        </w:rPr>
        <w:t>Division 7 </w:t>
      </w:r>
      <w:r>
        <w:t>—</w:t>
      </w:r>
      <w:r>
        <w:rPr>
          <w:rStyle w:val="CharDivText"/>
        </w:rPr>
        <w:t> Miscellaneous</w:t>
      </w:r>
      <w:bookmarkEnd w:id="172"/>
    </w:p>
    <w:p>
      <w:pPr>
        <w:pStyle w:val="Heading5"/>
      </w:pPr>
      <w:bookmarkStart w:id="173" w:name="_Toc216773073"/>
      <w:r>
        <w:rPr>
          <w:rStyle w:val="CharSectno"/>
        </w:rPr>
        <w:t>104</w:t>
      </w:r>
      <w:r>
        <w:t>.</w:t>
      </w:r>
      <w:r>
        <w:tab/>
        <w:t>Applications not to be heard in public</w:t>
      </w:r>
      <w:bookmarkEnd w:id="173"/>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No. 54 of 2012 s. 35.]</w:t>
      </w:r>
    </w:p>
    <w:p>
      <w:pPr>
        <w:pStyle w:val="Heading5"/>
      </w:pPr>
      <w:bookmarkStart w:id="174" w:name="_Toc216773074"/>
      <w:r>
        <w:rPr>
          <w:rStyle w:val="CharSectno"/>
        </w:rPr>
        <w:lastRenderedPageBreak/>
        <w:t>106</w:t>
      </w:r>
      <w:r>
        <w:t>.</w:t>
      </w:r>
      <w:r>
        <w:tab/>
        <w:t>Restriction on publication of identity of reportable offenders and victims</w:t>
      </w:r>
      <w:bookmarkEnd w:id="174"/>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for this subsection: imprisonment for 2 years and a fine of $24 000.</w:t>
      </w:r>
    </w:p>
    <w:p>
      <w:pPr>
        <w:pStyle w:val="Subsection"/>
      </w:pPr>
      <w:r>
        <w:tab/>
        <w:t>(2)</w:t>
      </w:r>
      <w:r>
        <w:tab/>
        <w:t>Subsection (1) does not apply in relation to the publication of any matter with the authority of the court to which the application was made or any publication by a person of the person’s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lastRenderedPageBreak/>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No. 54 of 2012 s. 42(2); No. 31 of 2024 s. 28; No. 35 of 2024 s. 49.]</w:t>
      </w:r>
    </w:p>
    <w:p>
      <w:pPr>
        <w:pStyle w:val="Heading5"/>
      </w:pPr>
      <w:bookmarkStart w:id="175" w:name="_Toc216773075"/>
      <w:r>
        <w:rPr>
          <w:rStyle w:val="CharSectno"/>
        </w:rPr>
        <w:t>107</w:t>
      </w:r>
      <w:r>
        <w:t>.</w:t>
      </w:r>
      <w:r>
        <w:tab/>
        <w:t>Protection orders have no effect to extent of inconsistency with certain other orders</w:t>
      </w:r>
      <w:bookmarkEnd w:id="175"/>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keepNext/>
      </w:pPr>
      <w:r>
        <w:tab/>
      </w:r>
      <w:r>
        <w:rPr>
          <w:rStyle w:val="CharDefText"/>
        </w:rPr>
        <w:t>restraining order</w:t>
      </w:r>
      <w:r>
        <w:t xml:space="preserve"> means — </w:t>
      </w:r>
    </w:p>
    <w:p>
      <w:pPr>
        <w:pStyle w:val="Defpara"/>
      </w:pPr>
      <w:r>
        <w:tab/>
        <w:t>(a)</w:t>
      </w:r>
      <w:r>
        <w:tab/>
        <w:t xml:space="preserve">a restraining order as defined in the </w:t>
      </w:r>
      <w:r>
        <w:rPr>
          <w:i/>
        </w:rPr>
        <w:t>Restraining Orders Act 1997</w:t>
      </w:r>
      <w:r>
        <w:t xml:space="preserve"> section 3(1); or</w:t>
      </w:r>
    </w:p>
    <w:p>
      <w:pPr>
        <w:pStyle w:val="Defpara"/>
      </w:pPr>
      <w:r>
        <w:tab/>
        <w:t>(b)</w:t>
      </w:r>
      <w:r>
        <w:tab/>
        <w:t xml:space="preserve">a police order as defined in the </w:t>
      </w:r>
      <w:r>
        <w:rPr>
          <w:i/>
        </w:rPr>
        <w:t>Restraining Orders Act 1997</w:t>
      </w:r>
      <w:r>
        <w:t xml:space="preserve"> section 3(1).</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No. 54 of 2012 s. 42(2); No. 49 of 2016 s. 96.]</w:t>
      </w:r>
    </w:p>
    <w:p>
      <w:pPr>
        <w:pStyle w:val="Heading5"/>
      </w:pPr>
      <w:bookmarkStart w:id="176" w:name="_Toc216773076"/>
      <w:r>
        <w:rPr>
          <w:rStyle w:val="CharSectno"/>
        </w:rPr>
        <w:lastRenderedPageBreak/>
        <w:t>108</w:t>
      </w:r>
      <w:r>
        <w:t>.</w:t>
      </w:r>
      <w:r>
        <w:tab/>
        <w:t>Recognition of protection orders made in other jurisdictions</w:t>
      </w:r>
      <w:bookmarkEnd w:id="176"/>
    </w:p>
    <w:p>
      <w:pPr>
        <w:pStyle w:val="Subsection"/>
      </w:pPr>
      <w:r>
        <w:tab/>
        <w:t>(1)</w:t>
      </w:r>
      <w:r>
        <w:tab/>
        <w:t>The regulations may provide for the recognition in Western Australia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protection orders;</w:t>
      </w:r>
    </w:p>
    <w:p>
      <w:pPr>
        <w:pStyle w:val="Indenta"/>
      </w:pPr>
      <w:r>
        <w:tab/>
        <w:t>(b)</w:t>
      </w:r>
      <w:r>
        <w:tab/>
        <w:t>the conferral on courts of jurisdiction with respect to the recognition in Western Australia of corresponding protection orders;</w:t>
      </w:r>
    </w:p>
    <w:p>
      <w:pPr>
        <w:pStyle w:val="Indenta"/>
      </w:pPr>
      <w:r>
        <w:tab/>
        <w:t>(c)</w:t>
      </w:r>
      <w:r>
        <w:tab/>
        <w:t>the modification of corresponding protection orders for the purposes of their recognition in Western Australia;</w:t>
      </w:r>
    </w:p>
    <w:p>
      <w:pPr>
        <w:pStyle w:val="Indenta"/>
      </w:pPr>
      <w:r>
        <w:tab/>
        <w:t>(d)</w:t>
      </w:r>
      <w:r>
        <w:tab/>
        <w:t>the effect of the recognition in Western Australia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No. 54 of 2012 s. 42(1).]</w:t>
      </w:r>
    </w:p>
    <w:p>
      <w:pPr>
        <w:pStyle w:val="Heading2"/>
      </w:pPr>
      <w:bookmarkStart w:id="177" w:name="_Toc216773077"/>
      <w:r>
        <w:rPr>
          <w:rStyle w:val="CharPartNo"/>
        </w:rPr>
        <w:lastRenderedPageBreak/>
        <w:t>Part 5B</w:t>
      </w:r>
      <w:r>
        <w:rPr>
          <w:rStyle w:val="CharDivNo"/>
        </w:rPr>
        <w:t> </w:t>
      </w:r>
      <w:r>
        <w:t>—</w:t>
      </w:r>
      <w:r>
        <w:rPr>
          <w:rStyle w:val="CharDivText"/>
        </w:rPr>
        <w:t> </w:t>
      </w:r>
      <w:r>
        <w:rPr>
          <w:rStyle w:val="CharPartText"/>
        </w:rPr>
        <w:t>Power to enter and search premises and vehicles in relation to serious reportable offenders</w:t>
      </w:r>
      <w:bookmarkEnd w:id="177"/>
    </w:p>
    <w:p>
      <w:pPr>
        <w:pStyle w:val="Footnoteheading"/>
      </w:pPr>
      <w:r>
        <w:tab/>
        <w:t>[Heading inserted: No. 35 of 2024 s. 50.]</w:t>
      </w:r>
    </w:p>
    <w:p>
      <w:pPr>
        <w:pStyle w:val="Heading5"/>
      </w:pPr>
      <w:bookmarkStart w:id="178" w:name="_Toc216773078"/>
      <w:r>
        <w:rPr>
          <w:rStyle w:val="CharSectno"/>
        </w:rPr>
        <w:t>108A</w:t>
      </w:r>
      <w:r>
        <w:t>.</w:t>
      </w:r>
      <w:r>
        <w:tab/>
        <w:t>Serious reportable offenders</w:t>
      </w:r>
      <w:bookmarkEnd w:id="178"/>
    </w:p>
    <w:p>
      <w:pPr>
        <w:pStyle w:val="Subsection"/>
      </w:pPr>
      <w:r>
        <w:tab/>
        <w:t>(1)</w:t>
      </w:r>
      <w:r>
        <w:tab/>
        <w:t xml:space="preserve">For the purposes of this Part, a reportable offender is a </w:t>
      </w:r>
      <w:r>
        <w:rPr>
          <w:rStyle w:val="CharDefText"/>
        </w:rPr>
        <w:t>serious reportable offender</w:t>
      </w:r>
      <w:r>
        <w:t xml:space="preserve"> if —</w:t>
      </w:r>
    </w:p>
    <w:p>
      <w:pPr>
        <w:pStyle w:val="Indenta"/>
      </w:pPr>
      <w:r>
        <w:tab/>
        <w:t>(a)</w:t>
      </w:r>
      <w:r>
        <w:tab/>
        <w:t>the offender’s reporting period has not ended; and</w:t>
      </w:r>
    </w:p>
    <w:p>
      <w:pPr>
        <w:pStyle w:val="Indenta"/>
      </w:pPr>
      <w:r>
        <w:tab/>
        <w:t>(b)</w:t>
      </w:r>
      <w:r>
        <w:tab/>
        <w:t xml:space="preserve">the offender’s reporting obligations are not suspended under section 44, 53 or 61; and </w:t>
      </w:r>
    </w:p>
    <w:p>
      <w:pPr>
        <w:pStyle w:val="Indenta"/>
      </w:pPr>
      <w:r>
        <w:tab/>
        <w:t>(c)</w:t>
      </w:r>
      <w:r>
        <w:tab/>
        <w:t xml:space="preserve">the offender has been sentenced for any of the following — </w:t>
      </w:r>
    </w:p>
    <w:p>
      <w:pPr>
        <w:pStyle w:val="Indenti"/>
      </w:pPr>
      <w:r>
        <w:tab/>
        <w:t>(i)</w:t>
      </w:r>
      <w:r>
        <w:tab/>
        <w:t>a single Class 1 offence;</w:t>
      </w:r>
    </w:p>
    <w:p>
      <w:pPr>
        <w:pStyle w:val="Indenti"/>
        <w:rPr>
          <w:bCs/>
          <w:iCs/>
        </w:rPr>
      </w:pPr>
      <w:r>
        <w:tab/>
        <w:t>(ii)</w:t>
      </w:r>
      <w:r>
        <w:tab/>
        <w:t xml:space="preserve">a single Class 2 offence against </w:t>
      </w:r>
      <w:r>
        <w:rPr>
          <w:i/>
          <w:iCs/>
        </w:rPr>
        <w:t>The Criminal Code</w:t>
      </w:r>
      <w:r>
        <w:t xml:space="preserve"> section 204A, 204B(2), 204B(3), 217, 218, 219, 220, 320(6), 321(6) or 322(6);</w:t>
      </w:r>
      <w:r>
        <w:rPr>
          <w:bCs/>
          <w:iCs/>
        </w:rPr>
        <w:t xml:space="preserve"> </w:t>
      </w:r>
    </w:p>
    <w:p>
      <w:pPr>
        <w:pStyle w:val="Indenti"/>
      </w:pPr>
      <w:r>
        <w:tab/>
        <w:t>(iii)</w:t>
      </w:r>
      <w:r>
        <w:tab/>
        <w:t xml:space="preserve">a single offence under a law of a foreign jurisdiction, the elements of which, if they had occurred in Western Australia, would have constituted an offence of a kind referred to in subparagraph (ii); </w:t>
      </w:r>
    </w:p>
    <w:p>
      <w:pPr>
        <w:pStyle w:val="Indenti"/>
      </w:pPr>
      <w:r>
        <w:tab/>
        <w:t>(iv)</w:t>
      </w:r>
      <w:r>
        <w:tab/>
        <w:t>a single prescribed offence under a law of a foreign jurisdiction, the elements of which are similar to an offence of a kind referred to in subparagraph (ii);</w:t>
      </w:r>
    </w:p>
    <w:p>
      <w:pPr>
        <w:pStyle w:val="Indenti"/>
      </w:pPr>
      <w:r>
        <w:tab/>
        <w:t>(v)</w:t>
      </w:r>
      <w:r>
        <w:tab/>
        <w:t>2 or more reportable offences.</w:t>
      </w:r>
    </w:p>
    <w:p>
      <w:pPr>
        <w:pStyle w:val="Subsection"/>
      </w:pPr>
      <w:r>
        <w:tab/>
        <w:t>(2)</w:t>
      </w:r>
      <w:r>
        <w:tab/>
        <w:t>For the purposes of subsection (1)(c)(v), 2 or more offences arising from the same incident are to be treated as a single offence.</w:t>
      </w:r>
    </w:p>
    <w:p>
      <w:pPr>
        <w:pStyle w:val="Footnotesection"/>
      </w:pPr>
      <w:r>
        <w:tab/>
        <w:t>[Section 108A inserted: No. 35 of 2024 s. 50.]</w:t>
      </w:r>
    </w:p>
    <w:p>
      <w:pPr>
        <w:pStyle w:val="Heading5"/>
      </w:pPr>
      <w:bookmarkStart w:id="179" w:name="_Toc216773079"/>
      <w:r>
        <w:rPr>
          <w:rStyle w:val="CharSectno"/>
        </w:rPr>
        <w:lastRenderedPageBreak/>
        <w:t>108B</w:t>
      </w:r>
      <w:r>
        <w:t>.</w:t>
      </w:r>
      <w:r>
        <w:tab/>
        <w:t>Restriction on exercise of powers under Part</w:t>
      </w:r>
      <w:bookmarkEnd w:id="179"/>
    </w:p>
    <w:p>
      <w:pPr>
        <w:pStyle w:val="Subsection"/>
      </w:pPr>
      <w:r>
        <w:tab/>
      </w:r>
      <w:r>
        <w:tab/>
        <w:t xml:space="preserve">A power under this Part must not be exercised unless it is exercised — </w:t>
      </w:r>
    </w:p>
    <w:p>
      <w:pPr>
        <w:pStyle w:val="Indenta"/>
      </w:pPr>
      <w:r>
        <w:tab/>
        <w:t>(a)</w:t>
      </w:r>
      <w:r>
        <w:tab/>
        <w:t xml:space="preserve">for the purpose of monitoring a serious reportable offender’s compliance with this Act; and </w:t>
      </w:r>
    </w:p>
    <w:p>
      <w:pPr>
        <w:pStyle w:val="Indenta"/>
      </w:pPr>
      <w:r>
        <w:tab/>
        <w:t>(b)</w:t>
      </w:r>
      <w:r>
        <w:tab/>
        <w:t xml:space="preserve">with the written approval of a police officer of, or acting in, the rank of an inspector or a higher rank. </w:t>
      </w:r>
    </w:p>
    <w:p>
      <w:pPr>
        <w:pStyle w:val="Footnotesection"/>
      </w:pPr>
      <w:r>
        <w:tab/>
        <w:t>[Section 108B inserted: No. 35 of 2024 s. 50.]</w:t>
      </w:r>
    </w:p>
    <w:p>
      <w:pPr>
        <w:pStyle w:val="Heading5"/>
      </w:pPr>
      <w:bookmarkStart w:id="180" w:name="_Toc216773080"/>
      <w:r>
        <w:rPr>
          <w:rStyle w:val="CharSectno"/>
        </w:rPr>
        <w:t>108C</w:t>
      </w:r>
      <w:r>
        <w:t>.</w:t>
      </w:r>
      <w:r>
        <w:tab/>
        <w:t>Additional police powers in relation to serious reportable offenders may be exercised without warrant</w:t>
      </w:r>
      <w:bookmarkEnd w:id="180"/>
    </w:p>
    <w:p>
      <w:pPr>
        <w:pStyle w:val="Subsection"/>
      </w:pPr>
      <w:r>
        <w:tab/>
      </w:r>
      <w:r>
        <w:tab/>
        <w:t xml:space="preserve">The powers that a police officer may exercise under this Part — </w:t>
      </w:r>
    </w:p>
    <w:p>
      <w:pPr>
        <w:pStyle w:val="Indenta"/>
      </w:pPr>
      <w:r>
        <w:tab/>
        <w:t>(a)</w:t>
      </w:r>
      <w:r>
        <w:tab/>
        <w:t>are in addition to, and do not limit, the powers that a police officer has under this Act or any other law; and</w:t>
      </w:r>
    </w:p>
    <w:p>
      <w:pPr>
        <w:pStyle w:val="Indenta"/>
      </w:pPr>
      <w:r>
        <w:tab/>
        <w:t>(b)</w:t>
      </w:r>
      <w:r>
        <w:tab/>
        <w:t>may be exercised by a police officer without a warrant.</w:t>
      </w:r>
    </w:p>
    <w:p>
      <w:pPr>
        <w:pStyle w:val="Footnotesection"/>
      </w:pPr>
      <w:r>
        <w:tab/>
        <w:t>[Section 108C inserted: No. 35 of 2024 s. 50.]</w:t>
      </w:r>
    </w:p>
    <w:p>
      <w:pPr>
        <w:pStyle w:val="Heading5"/>
      </w:pPr>
      <w:bookmarkStart w:id="181" w:name="_Toc216773081"/>
      <w:r>
        <w:rPr>
          <w:rStyle w:val="CharSectno"/>
        </w:rPr>
        <w:t>108D</w:t>
      </w:r>
      <w:r>
        <w:t>.</w:t>
      </w:r>
      <w:r>
        <w:tab/>
        <w:t>Use of force when exercising powers under this Part</w:t>
      </w:r>
      <w:bookmarkEnd w:id="181"/>
    </w:p>
    <w:p>
      <w:pPr>
        <w:pStyle w:val="Subsection"/>
      </w:pPr>
      <w:r>
        <w:tab/>
        <w:t>(1)</w:t>
      </w:r>
      <w:r>
        <w:tab/>
        <w:t xml:space="preserve">When exercising a power under this Part, a police officer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suspects on reasonable grounds will be offered, by any person.</w:t>
      </w:r>
    </w:p>
    <w:p>
      <w:pPr>
        <w:pStyle w:val="Subsection"/>
      </w:pPr>
      <w:r>
        <w:tab/>
        <w:t>(2)</w:t>
      </w:r>
      <w:r>
        <w:tab/>
        <w:t>If under subsection (1) a police officer uses force, the force may be of a kind that causes damage to the property of another person.</w:t>
      </w:r>
    </w:p>
    <w:p>
      <w:pPr>
        <w:pStyle w:val="Subsection"/>
      </w:pPr>
      <w:r>
        <w:tab/>
        <w:t>(3)</w:t>
      </w:r>
      <w:r>
        <w:tab/>
        <w:t xml:space="preserve">Any use of force under subsection (1) against a person is subject to </w:t>
      </w:r>
      <w:r>
        <w:rPr>
          <w:i/>
          <w:iCs/>
        </w:rPr>
        <w:t xml:space="preserve">The Criminal Code </w:t>
      </w:r>
      <w:r>
        <w:t>Chapter XXVI.</w:t>
      </w:r>
    </w:p>
    <w:p>
      <w:pPr>
        <w:pStyle w:val="Footnotesection"/>
      </w:pPr>
      <w:r>
        <w:lastRenderedPageBreak/>
        <w:tab/>
        <w:t>[Section 108D inserted: No. 35 of 2024 s. 50.]</w:t>
      </w:r>
    </w:p>
    <w:p>
      <w:pPr>
        <w:pStyle w:val="Heading5"/>
      </w:pPr>
      <w:bookmarkStart w:id="182" w:name="_Toc216773082"/>
      <w:r>
        <w:rPr>
          <w:rStyle w:val="CharSectno"/>
        </w:rPr>
        <w:t>108E</w:t>
      </w:r>
      <w:r>
        <w:t>.</w:t>
      </w:r>
      <w:r>
        <w:tab/>
        <w:t>Entry to and search of premises and vehicles in relation to serious reportable offenders</w:t>
      </w:r>
      <w:bookmarkEnd w:id="182"/>
      <w:r>
        <w:t xml:space="preserve"> </w:t>
      </w:r>
    </w:p>
    <w:p>
      <w:pPr>
        <w:pStyle w:val="Subsection"/>
      </w:pPr>
      <w:r>
        <w:tab/>
        <w:t>(1)</w:t>
      </w:r>
      <w:r>
        <w:tab/>
        <w:t xml:space="preserve">A police officer may exercise 1 or more of the following powers if the officer reasonably suspects premises are occupied by, or under the management or control of, a serious reportable offender — </w:t>
      </w:r>
    </w:p>
    <w:p>
      <w:pPr>
        <w:pStyle w:val="Indenta"/>
      </w:pPr>
      <w:r>
        <w:tab/>
        <w:t>(a)</w:t>
      </w:r>
      <w:r>
        <w:tab/>
        <w:t>enter and search the premises, including entering and searching a vehicle at the premises;</w:t>
      </w:r>
    </w:p>
    <w:p>
      <w:pPr>
        <w:pStyle w:val="Indenta"/>
      </w:pPr>
      <w:r>
        <w:tab/>
        <w:t>(b)</w:t>
      </w:r>
      <w:r>
        <w:tab/>
        <w:t>enter and search a vehicle occupied by, or under the management or control of, a serious reportable offender if the vehicle is parked in the neighbourhood where the premises are located.</w:t>
      </w:r>
    </w:p>
    <w:p>
      <w:pPr>
        <w:pStyle w:val="Subsection"/>
      </w:pPr>
      <w:r>
        <w:tab/>
        <w:t>(2)</w:t>
      </w:r>
      <w:r>
        <w:tab/>
        <w:t xml:space="preserve">A police officer who enters or searches the premises or the vehicle may do 1 or more of the following — </w:t>
      </w:r>
    </w:p>
    <w:p>
      <w:pPr>
        <w:pStyle w:val="Indenta"/>
      </w:pPr>
      <w:r>
        <w:tab/>
        <w:t>(a)</w:t>
      </w:r>
      <w:r>
        <w:tab/>
        <w:t xml:space="preserve">inspect any electronic device that is at the premises or in the vehicle; </w:t>
      </w:r>
    </w:p>
    <w:p>
      <w:pPr>
        <w:pStyle w:val="Indenta"/>
      </w:pPr>
      <w:r>
        <w:tab/>
        <w:t>(b)</w:t>
      </w:r>
      <w:r>
        <w:tab/>
        <w:t>seize any electronic device at the premises or in the vehicle and remove it from the premises or vehicle for the purpose of inspecting it;</w:t>
      </w:r>
    </w:p>
    <w:p>
      <w:pPr>
        <w:pStyle w:val="Indenta"/>
      </w:pPr>
      <w:r>
        <w:tab/>
        <w:t>(c)</w:t>
      </w:r>
      <w:r>
        <w:tab/>
        <w:t>require that the serious reportable offender must remain at the premises or near the vehicle for the duration of the entry and search of the premises or vehicle.</w:t>
      </w:r>
    </w:p>
    <w:p>
      <w:pPr>
        <w:pStyle w:val="Subsection"/>
      </w:pPr>
      <w:r>
        <w:tab/>
        <w:t>(3)</w:t>
      </w:r>
      <w:r>
        <w:tab/>
        <w:t>If a requirement is made under subsection (2)(c) to a serious reportable offender, the offender must remain at the premises or near the vehicle for the duration of the entry and search of the premises or vehicle.</w:t>
      </w:r>
    </w:p>
    <w:p>
      <w:pPr>
        <w:pStyle w:val="Penstart"/>
      </w:pPr>
      <w:r>
        <w:tab/>
        <w:t>Penalty for this subsection: imprisonment for 2 years and a fine of $24 000.</w:t>
      </w:r>
    </w:p>
    <w:p>
      <w:pPr>
        <w:pStyle w:val="Subsection"/>
        <w:keepNext/>
      </w:pPr>
      <w:r>
        <w:lastRenderedPageBreak/>
        <w:tab/>
        <w:t>(4)</w:t>
      </w:r>
      <w:r>
        <w:tab/>
        <w:t xml:space="preserve">The power given to search premises or a vehicle includes the power to break open — </w:t>
      </w:r>
    </w:p>
    <w:p>
      <w:pPr>
        <w:pStyle w:val="Indenta"/>
      </w:pPr>
      <w:r>
        <w:tab/>
        <w:t>(a)</w:t>
      </w:r>
      <w:r>
        <w:tab/>
        <w:t xml:space="preserve">any part of the premises or vehicle; or </w:t>
      </w:r>
    </w:p>
    <w:p>
      <w:pPr>
        <w:pStyle w:val="Indenta"/>
      </w:pPr>
      <w:r>
        <w:tab/>
        <w:t>(b)</w:t>
      </w:r>
      <w:r>
        <w:tab/>
        <w:t>any thing at the premises or in the vehicle.</w:t>
      </w:r>
    </w:p>
    <w:p>
      <w:pPr>
        <w:pStyle w:val="Subsection"/>
      </w:pPr>
      <w:r>
        <w:tab/>
        <w:t>(5)</w:t>
      </w:r>
      <w:r>
        <w:tab/>
        <w:t xml:space="preserve">If required by a police officer inspecting or seizing an electronic device under subsection (2), a serious reportable offender must do 1 or more of the following as required by the police officer — </w:t>
      </w:r>
    </w:p>
    <w:p>
      <w:pPr>
        <w:pStyle w:val="Indenta"/>
      </w:pPr>
      <w:r>
        <w:tab/>
        <w:t>(a)</w:t>
      </w:r>
      <w:r>
        <w:tab/>
        <w:t xml:space="preserve">provide the officer with any user name, code, password or other information known to the offender that is needed to gain access to the electronic data — </w:t>
      </w:r>
    </w:p>
    <w:p>
      <w:pPr>
        <w:pStyle w:val="Indenti"/>
      </w:pPr>
      <w:r>
        <w:tab/>
        <w:t>(i)</w:t>
      </w:r>
      <w:r>
        <w:tab/>
        <w:t xml:space="preserve">that is stored in the electronic device; or </w:t>
      </w:r>
    </w:p>
    <w:p>
      <w:pPr>
        <w:pStyle w:val="Indenti"/>
      </w:pPr>
      <w:r>
        <w:tab/>
        <w:t>(ii)</w:t>
      </w:r>
      <w:r>
        <w:tab/>
        <w:t xml:space="preserve">that is accessed through the electronic device; </w:t>
      </w:r>
    </w:p>
    <w:p>
      <w:pPr>
        <w:pStyle w:val="Indenta"/>
      </w:pPr>
      <w:r>
        <w:tab/>
        <w:t>(b)</w:t>
      </w:r>
      <w:r>
        <w:tab/>
        <w:t>otherwise assist the officer to gain access to the electronic data referred to in paragraph (a).</w:t>
      </w:r>
    </w:p>
    <w:p>
      <w:pPr>
        <w:pStyle w:val="Penstart"/>
      </w:pPr>
      <w:r>
        <w:tab/>
        <w:t>Penalty for this subsection: imprisonment for 2 years and a fine of $24 000.</w:t>
      </w:r>
    </w:p>
    <w:p>
      <w:pPr>
        <w:pStyle w:val="PermNoteHeading"/>
      </w:pPr>
      <w:r>
        <w:tab/>
        <w:t>Example for this subsection:</w:t>
      </w:r>
    </w:p>
    <w:p>
      <w:pPr>
        <w:pStyle w:val="PermNoteText"/>
      </w:pPr>
      <w:r>
        <w:tab/>
      </w:r>
      <w:r>
        <w:tab/>
        <w:t>For the purposes of paragraph (a)(ii) — electronic data stored on cloud storage.</w:t>
      </w:r>
    </w:p>
    <w:p>
      <w:pPr>
        <w:pStyle w:val="Subsection"/>
      </w:pPr>
      <w:r>
        <w:tab/>
        <w:t>(6)</w:t>
      </w:r>
      <w:r>
        <w:tab/>
        <w:t>A police officer is authorised to use for the purposes of this Part any user name, code, password or other information provided under subsection (5) or reported under Part 3 by a serious reportable offender.</w:t>
      </w:r>
    </w:p>
    <w:p>
      <w:pPr>
        <w:pStyle w:val="Subsection"/>
      </w:pPr>
      <w:r>
        <w:tab/>
        <w:t>(7)</w:t>
      </w:r>
      <w:r>
        <w:tab/>
        <w:t>If a person is found guilty of an offence under subsection (5) in relation to an electronic device, the electronic device is forfeited to the State.</w:t>
      </w:r>
    </w:p>
    <w:p>
      <w:pPr>
        <w:pStyle w:val="Footnotesection"/>
      </w:pPr>
      <w:r>
        <w:tab/>
        <w:t>[Section 108E inserted: No. 35 of 2024 s. 50.]</w:t>
      </w:r>
    </w:p>
    <w:p>
      <w:pPr>
        <w:pStyle w:val="Heading5"/>
      </w:pPr>
      <w:bookmarkStart w:id="183" w:name="_Toc216773083"/>
      <w:r>
        <w:rPr>
          <w:rStyle w:val="CharSectno"/>
        </w:rPr>
        <w:lastRenderedPageBreak/>
        <w:t>108F</w:t>
      </w:r>
      <w:r>
        <w:t>.</w:t>
      </w:r>
      <w:r>
        <w:tab/>
        <w:t>Power to seize things relevant to offences</w:t>
      </w:r>
      <w:bookmarkEnd w:id="183"/>
    </w:p>
    <w:p>
      <w:pPr>
        <w:pStyle w:val="Subsection"/>
        <w:keepNext/>
      </w:pPr>
      <w:r>
        <w:tab/>
        <w:t>(1)</w:t>
      </w:r>
      <w:r>
        <w:tab/>
        <w:t xml:space="preserve">In this section — </w:t>
      </w:r>
    </w:p>
    <w:p>
      <w:pPr>
        <w:pStyle w:val="Defstart"/>
      </w:pPr>
      <w:r>
        <w:tab/>
      </w:r>
      <w:r>
        <w:rPr>
          <w:rStyle w:val="CharDefText"/>
        </w:rPr>
        <w:t>thing relevant to an offence</w:t>
      </w:r>
      <w:r>
        <w:t xml:space="preserve"> has the meaning given in the </w:t>
      </w:r>
      <w:r>
        <w:rPr>
          <w:i/>
          <w:iCs/>
        </w:rPr>
        <w:t>Criminal Investigation Act 2006</w:t>
      </w:r>
      <w:r>
        <w:t> section 5.</w:t>
      </w:r>
    </w:p>
    <w:p>
      <w:pPr>
        <w:pStyle w:val="Subsection"/>
      </w:pPr>
      <w:r>
        <w:tab/>
        <w:t>(2)</w:t>
      </w:r>
      <w:r>
        <w:tab/>
        <w:t xml:space="preserve">If a police officer doing a search under this Part finds a thing relevant to an offence, the police officer may seize it if the police officer has 1 or more of the reasonable suspicions set out in the </w:t>
      </w:r>
      <w:r>
        <w:rPr>
          <w:i/>
          <w:iCs/>
        </w:rPr>
        <w:t>Criminal Investigation Act 2006</w:t>
      </w:r>
      <w:r>
        <w:t xml:space="preserve"> section 146. </w:t>
      </w:r>
    </w:p>
    <w:p>
      <w:pPr>
        <w:pStyle w:val="Subsection"/>
      </w:pPr>
      <w:r>
        <w:tab/>
        <w:t>(3)</w:t>
      </w:r>
      <w:r>
        <w:tab/>
        <w:t>The </w:t>
      </w:r>
      <w:r>
        <w:rPr>
          <w:i/>
          <w:iCs/>
        </w:rPr>
        <w:t>Criminal Investigation Act 2006</w:t>
      </w:r>
      <w:r>
        <w:t> sections 147 to 152 apply to and in respect of the seizing of a thing under this Part as if it were the seizing under that Act of a thing relevant to an offence.</w:t>
      </w:r>
    </w:p>
    <w:p>
      <w:pPr>
        <w:pStyle w:val="Footnotesection"/>
      </w:pPr>
      <w:r>
        <w:tab/>
        <w:t>[Section 108F inserted: No. 35 of 2024 s. 50.]</w:t>
      </w:r>
    </w:p>
    <w:p>
      <w:pPr>
        <w:pStyle w:val="Heading2"/>
      </w:pPr>
      <w:bookmarkStart w:id="184" w:name="_Toc216773084"/>
      <w:r>
        <w:rPr>
          <w:rStyle w:val="CharPartNo"/>
        </w:rPr>
        <w:lastRenderedPageBreak/>
        <w:t>Part 6</w:t>
      </w:r>
      <w:r>
        <w:rPr>
          <w:rStyle w:val="CharDivNo"/>
        </w:rPr>
        <w:t> </w:t>
      </w:r>
      <w:r>
        <w:t>—</w:t>
      </w:r>
      <w:r>
        <w:rPr>
          <w:rStyle w:val="CharDivText"/>
        </w:rPr>
        <w:t> </w:t>
      </w:r>
      <w:r>
        <w:rPr>
          <w:rStyle w:val="CharPartText"/>
        </w:rPr>
        <w:t>Other matters</w:t>
      </w:r>
      <w:bookmarkEnd w:id="184"/>
    </w:p>
    <w:p>
      <w:pPr>
        <w:pStyle w:val="Heading5"/>
        <w:spacing w:before="260"/>
      </w:pPr>
      <w:bookmarkStart w:id="185" w:name="_Toc216773085"/>
      <w:r>
        <w:rPr>
          <w:rStyle w:val="CharSectno"/>
        </w:rPr>
        <w:t>109</w:t>
      </w:r>
      <w:r>
        <w:t>.</w:t>
      </w:r>
      <w:r>
        <w:tab/>
        <w:t>Protection from liability</w:t>
      </w:r>
      <w:bookmarkEnd w:id="185"/>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pPr>
      <w:bookmarkStart w:id="186" w:name="_Toc216773086"/>
      <w:r>
        <w:rPr>
          <w:rStyle w:val="CharSectno"/>
        </w:rPr>
        <w:t>109A</w:t>
      </w:r>
      <w:r>
        <w:t>.</w:t>
      </w:r>
      <w:r>
        <w:tab/>
        <w:t>Assistance when exercising powers</w:t>
      </w:r>
      <w:bookmarkEnd w:id="186"/>
    </w:p>
    <w:p>
      <w:pPr>
        <w:pStyle w:val="Subsection"/>
      </w:pPr>
      <w:r>
        <w:tab/>
        <w:t>(1)</w:t>
      </w:r>
      <w:r>
        <w:tab/>
        <w:t>A police officer or authorised person may authorise as many other persons to assist in the exercise of their powers under this Act as are reasonably necessary in the circumstances.</w:t>
      </w:r>
    </w:p>
    <w:p>
      <w:pPr>
        <w:pStyle w:val="Subsection"/>
      </w:pPr>
      <w:r>
        <w:tab/>
        <w:t>(2)</w:t>
      </w:r>
      <w:r>
        <w:tab/>
        <w:t>A person authorised under subsection (1) may assist the police officer or the authorised person, as the case requires, to exercise the powers.</w:t>
      </w:r>
    </w:p>
    <w:p>
      <w:pPr>
        <w:pStyle w:val="Footnotesection"/>
      </w:pPr>
      <w:r>
        <w:tab/>
        <w:t>[Section 109A inserted: No. 35 of 2024 s. 51.]</w:t>
      </w:r>
    </w:p>
    <w:p>
      <w:pPr>
        <w:pStyle w:val="Heading5"/>
        <w:spacing w:before="260"/>
      </w:pPr>
      <w:bookmarkStart w:id="187" w:name="_Toc216773087"/>
      <w:r>
        <w:rPr>
          <w:rStyle w:val="CharSectno"/>
        </w:rPr>
        <w:t>110A</w:t>
      </w:r>
      <w:r>
        <w:t>.</w:t>
      </w:r>
      <w:r>
        <w:tab/>
        <w:t>Public authorities to provide Commissioner with certain information</w:t>
      </w:r>
      <w:bookmarkEnd w:id="187"/>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lastRenderedPageBreak/>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keepNext/>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No. 54 of 2012 s. 36.]</w:t>
      </w:r>
    </w:p>
    <w:p>
      <w:pPr>
        <w:pStyle w:val="Heading5"/>
      </w:pPr>
      <w:bookmarkStart w:id="188" w:name="_Toc216773088"/>
      <w:r>
        <w:rPr>
          <w:rStyle w:val="CharSectno"/>
        </w:rPr>
        <w:t>110</w:t>
      </w:r>
      <w:r>
        <w:t>.</w:t>
      </w:r>
      <w:r>
        <w:tab/>
        <w:t>Delegation by Commissioner</w:t>
      </w:r>
      <w:bookmarkEnd w:id="188"/>
    </w:p>
    <w:p>
      <w:pPr>
        <w:pStyle w:val="Subsection"/>
      </w:pPr>
      <w:r>
        <w:tab/>
        <w:t>(1)</w:t>
      </w:r>
      <w:r>
        <w:tab/>
        <w:t xml:space="preserve">The Commissioner may delegate any power or duty of the Commissioner under another provision of this Act to — </w:t>
      </w:r>
    </w:p>
    <w:p>
      <w:pPr>
        <w:pStyle w:val="Indenta"/>
      </w:pPr>
      <w:r>
        <w:tab/>
        <w:t>(a)</w:t>
      </w:r>
      <w:r>
        <w:tab/>
        <w:t>in relation to a power or duty under section 82(1)(cd) — a person as set out in section 82A; or</w:t>
      </w:r>
    </w:p>
    <w:p>
      <w:pPr>
        <w:pStyle w:val="Indenta"/>
      </w:pPr>
      <w:r>
        <w:tab/>
        <w:t>(b)</w:t>
      </w:r>
      <w:r>
        <w:tab/>
        <w:t>in relation to a power or duty under Part 5A Division 2 — a person as set out in section 85B; or</w:t>
      </w:r>
    </w:p>
    <w:p>
      <w:pPr>
        <w:pStyle w:val="Indenta"/>
        <w:keepNext/>
      </w:pPr>
      <w:r>
        <w:lastRenderedPageBreak/>
        <w:tab/>
        <w:t>(c)</w:t>
      </w:r>
      <w:r>
        <w:tab/>
        <w:t xml:space="preserve">in any other case — </w:t>
      </w:r>
    </w:p>
    <w:p>
      <w:pPr>
        <w:pStyle w:val="Indenti"/>
      </w:pPr>
      <w:r>
        <w:tab/>
        <w:t>(i)</w:t>
      </w:r>
      <w:r>
        <w:tab/>
        <w:t>a police officer who is specified, or of a class specified, in the delegation; or</w:t>
      </w:r>
    </w:p>
    <w:p>
      <w:pPr>
        <w:pStyle w:val="Indenti"/>
      </w:pPr>
      <w:r>
        <w:tab/>
        <w:t>(ii)</w:t>
      </w:r>
      <w:r>
        <w:tab/>
        <w:t xml:space="preserve">a person employed under the </w:t>
      </w:r>
      <w:r>
        <w:rPr>
          <w:i/>
          <w:iCs/>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Footnotesection"/>
      </w:pPr>
      <w:r>
        <w:tab/>
        <w:t>[Section 110 inserted: No. 35 of 2024 s. 52.]</w:t>
      </w:r>
    </w:p>
    <w:p>
      <w:pPr>
        <w:pStyle w:val="Heading5"/>
      </w:pPr>
      <w:bookmarkStart w:id="189" w:name="_Toc216773089"/>
      <w:r>
        <w:rPr>
          <w:rStyle w:val="CharSectno"/>
        </w:rPr>
        <w:t>111</w:t>
      </w:r>
      <w:r>
        <w:t>.</w:t>
      </w:r>
      <w:r>
        <w:tab/>
        <w:t>Effect of spent convictions</w:t>
      </w:r>
      <w:bookmarkEnd w:id="189"/>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lastRenderedPageBreak/>
        <w:tab/>
        <w:t>(2)</w:t>
      </w:r>
      <w:r>
        <w:tab/>
        <w:t>For the purposes of this section, an offence becomes spent if, under a law in any jurisdiction, the reportable offender is permitted not to disclose the fact that the offender was convicted or found guilty of the offence.</w:t>
      </w:r>
    </w:p>
    <w:p>
      <w:pPr>
        <w:pStyle w:val="Footnotesection"/>
      </w:pPr>
      <w:r>
        <w:tab/>
        <w:t>[Section 111 amended: No. 54 of 2012 s. 42(2); No. 31 of 2024 s. 28.]</w:t>
      </w:r>
    </w:p>
    <w:p>
      <w:pPr>
        <w:pStyle w:val="Heading5"/>
      </w:pPr>
      <w:bookmarkStart w:id="190" w:name="_Toc216773090"/>
      <w:r>
        <w:rPr>
          <w:rStyle w:val="CharSectno"/>
        </w:rPr>
        <w:t>112</w:t>
      </w:r>
      <w:r>
        <w:t>.</w:t>
      </w:r>
      <w:r>
        <w:tab/>
        <w:t>Civil standard of proof</w:t>
      </w:r>
      <w:bookmarkEnd w:id="190"/>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191" w:name="_Toc216773091"/>
      <w:r>
        <w:rPr>
          <w:rStyle w:val="CharSectno"/>
        </w:rPr>
        <w:t>113</w:t>
      </w:r>
      <w:r>
        <w:t>.</w:t>
      </w:r>
      <w:r>
        <w:tab/>
        <w:t>Certificate concerning evidence</w:t>
      </w:r>
      <w:bookmarkEnd w:id="191"/>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or another written law,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Footnotesection"/>
      </w:pPr>
      <w:r>
        <w:tab/>
        <w:t>[Section 113 amended: No. 35 of 2024 s. 53.]</w:t>
      </w:r>
    </w:p>
    <w:p>
      <w:pPr>
        <w:pStyle w:val="Heading5"/>
      </w:pPr>
      <w:bookmarkStart w:id="192" w:name="_Toc216773092"/>
      <w:r>
        <w:rPr>
          <w:rStyle w:val="CharSectno"/>
        </w:rPr>
        <w:lastRenderedPageBreak/>
        <w:t>114</w:t>
      </w:r>
      <w:r>
        <w:t>.</w:t>
      </w:r>
      <w:r>
        <w:tab/>
        <w:t>Regulations</w:t>
      </w:r>
      <w:bookmarkEnd w:id="192"/>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lastRenderedPageBreak/>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the offender’s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lastRenderedPageBreak/>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Footnotesection"/>
      </w:pPr>
      <w:r>
        <w:tab/>
        <w:t>[Section 114 amended: No. 31 of 2024 s. 28.]</w:t>
      </w:r>
    </w:p>
    <w:p>
      <w:pPr>
        <w:pStyle w:val="Heading5"/>
      </w:pPr>
      <w:bookmarkStart w:id="193" w:name="_Toc216773093"/>
      <w:r>
        <w:rPr>
          <w:rStyle w:val="CharSectno"/>
        </w:rPr>
        <w:t>115</w:t>
      </w:r>
      <w:r>
        <w:t>.</w:t>
      </w:r>
      <w:r>
        <w:tab/>
        <w:t>Minister to review and report on Act</w:t>
      </w:r>
      <w:bookmarkEnd w:id="193"/>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lastRenderedPageBreak/>
        <w:tab/>
        <w:t>(2)</w:t>
      </w:r>
      <w:r>
        <w:tab/>
        <w:t>The Minister must prepare a report based on each review and, as soon as is practicable after the report is prepared, must cause it to be laid before each House of Parliament.</w:t>
      </w:r>
    </w:p>
    <w:p>
      <w:pPr>
        <w:pStyle w:val="Footnotesection"/>
      </w:pPr>
      <w:r>
        <w:tab/>
        <w:t>[Section 115 amended: No. 1 of 2012 s. 6.]</w:t>
      </w:r>
    </w:p>
    <w:p>
      <w:pPr>
        <w:pStyle w:val="Heading2"/>
      </w:pPr>
      <w:bookmarkStart w:id="194" w:name="_Toc216773094"/>
      <w:r>
        <w:rPr>
          <w:rStyle w:val="CharPartNo"/>
        </w:rPr>
        <w:lastRenderedPageBreak/>
        <w:t>Part 7</w:t>
      </w:r>
      <w:r>
        <w:t> —</w:t>
      </w:r>
      <w:r>
        <w:rPr>
          <w:rStyle w:val="CharPartText"/>
        </w:rPr>
        <w:t> Transitional matters and consequential amendment</w:t>
      </w:r>
      <w:bookmarkEnd w:id="194"/>
    </w:p>
    <w:p>
      <w:pPr>
        <w:pStyle w:val="Footnoteheading"/>
      </w:pPr>
      <w:r>
        <w:tab/>
        <w:t>[Heading inserted: No. 35 of 2024 s. 54.]</w:t>
      </w:r>
    </w:p>
    <w:p>
      <w:pPr>
        <w:pStyle w:val="Heading3"/>
      </w:pPr>
      <w:bookmarkStart w:id="195" w:name="_Toc216773095"/>
      <w:r>
        <w:rPr>
          <w:rStyle w:val="CharDivNo"/>
        </w:rPr>
        <w:t>Division 1</w:t>
      </w:r>
      <w:r>
        <w:t> —</w:t>
      </w:r>
      <w:r>
        <w:rPr>
          <w:rStyle w:val="CharDivText"/>
        </w:rPr>
        <w:t xml:space="preserve"> Transitional matters relating to </w:t>
      </w:r>
      <w:r>
        <w:rPr>
          <w:rStyle w:val="CharDivText"/>
          <w:i/>
          <w:iCs/>
        </w:rPr>
        <w:t>Community Protection (Offender Reporting) Amendment Act 2008</w:t>
      </w:r>
      <w:bookmarkEnd w:id="195"/>
    </w:p>
    <w:p>
      <w:pPr>
        <w:pStyle w:val="Footnoteheading"/>
      </w:pPr>
      <w:r>
        <w:tab/>
        <w:t>[Heading inserted: No. 35 of 2024 s. 54.]</w:t>
      </w:r>
    </w:p>
    <w:p>
      <w:pPr>
        <w:pStyle w:val="Heading5"/>
      </w:pPr>
      <w:bookmarkStart w:id="196" w:name="_Toc216773096"/>
      <w:r>
        <w:rPr>
          <w:rStyle w:val="CharSectno"/>
        </w:rPr>
        <w:t>115A</w:t>
      </w:r>
      <w:r>
        <w:t>.</w:t>
      </w:r>
      <w:r>
        <w:tab/>
        <w:t>Transitional arrangements for certain offenders</w:t>
      </w:r>
      <w:bookmarkEnd w:id="196"/>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No. 27 of 2008 s. 10.]</w:t>
      </w:r>
    </w:p>
    <w:p>
      <w:pPr>
        <w:pStyle w:val="Heading3"/>
      </w:pPr>
      <w:bookmarkStart w:id="197" w:name="_Toc216773097"/>
      <w:r>
        <w:rPr>
          <w:rStyle w:val="CharDivNo"/>
        </w:rPr>
        <w:lastRenderedPageBreak/>
        <w:t>Division 2</w:t>
      </w:r>
      <w:r>
        <w:t> —</w:t>
      </w:r>
      <w:r>
        <w:rPr>
          <w:rStyle w:val="CharDivText"/>
        </w:rPr>
        <w:t xml:space="preserve"> Transitional matters relating to </w:t>
      </w:r>
      <w:r>
        <w:rPr>
          <w:rStyle w:val="CharDivText"/>
          <w:i/>
          <w:iCs/>
        </w:rPr>
        <w:t>Community Protection (Offender Reporting) Amendment Act (No. 2) 2012</w:t>
      </w:r>
      <w:r>
        <w:rPr>
          <w:rStyle w:val="CharDivText"/>
        </w:rPr>
        <w:t xml:space="preserve"> and consequential amendment</w:t>
      </w:r>
      <w:bookmarkEnd w:id="197"/>
    </w:p>
    <w:p>
      <w:pPr>
        <w:pStyle w:val="Footnoteheading"/>
        <w:keepNext/>
      </w:pPr>
      <w:r>
        <w:tab/>
        <w:t>[Heading inserted: No. 35 of 2024 s. 55.]</w:t>
      </w:r>
    </w:p>
    <w:p>
      <w:pPr>
        <w:pStyle w:val="Heading5"/>
      </w:pPr>
      <w:bookmarkStart w:id="198" w:name="_Toc216773098"/>
      <w:r>
        <w:rPr>
          <w:rStyle w:val="CharSectno"/>
        </w:rPr>
        <w:t>115B</w:t>
      </w:r>
      <w:r>
        <w:t>.</w:t>
      </w:r>
      <w:r>
        <w:tab/>
        <w:t>Further transitional arrangements for certain offenders sentenced for Class 2 offences</w:t>
      </w:r>
      <w:bookmarkEnd w:id="198"/>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keepNext/>
      </w:pPr>
      <w:r>
        <w:lastRenderedPageBreak/>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No. 54 of 2012 s. 37.]</w:t>
      </w:r>
    </w:p>
    <w:p>
      <w:pPr>
        <w:pStyle w:val="Ednotesection"/>
      </w:pPr>
      <w:r>
        <w:t>[</w:t>
      </w:r>
      <w:r>
        <w:rPr>
          <w:b/>
          <w:bCs/>
        </w:rPr>
        <w:t>116.</w:t>
      </w:r>
      <w:r>
        <w:t xml:space="preserve"> </w:t>
      </w:r>
      <w:r>
        <w:tab/>
        <w:t>Omitted under the Reprints Act 1984 s. 7(4)(e).]</w:t>
      </w:r>
    </w:p>
    <w:p>
      <w:pPr>
        <w:pStyle w:val="Heading3"/>
      </w:pPr>
      <w:bookmarkStart w:id="199" w:name="_Toc216773099"/>
      <w:r>
        <w:rPr>
          <w:rStyle w:val="CharDivNo"/>
        </w:rPr>
        <w:t>Division 3</w:t>
      </w:r>
      <w:r>
        <w:t> —</w:t>
      </w:r>
      <w:r>
        <w:rPr>
          <w:rStyle w:val="CharDivText"/>
        </w:rPr>
        <w:t xml:space="preserve"> Transitional matters relating to </w:t>
      </w:r>
      <w:r>
        <w:rPr>
          <w:rStyle w:val="CharDivText"/>
          <w:i/>
          <w:iCs/>
        </w:rPr>
        <w:t>Community Protection (Offender Reporting) Amendment Act 2024</w:t>
      </w:r>
      <w:bookmarkEnd w:id="199"/>
    </w:p>
    <w:p>
      <w:pPr>
        <w:pStyle w:val="Footnoteheading"/>
      </w:pPr>
      <w:r>
        <w:tab/>
        <w:t>[Heading inserted: No. 35 of 2024 s. 56.]</w:t>
      </w:r>
    </w:p>
    <w:p>
      <w:pPr>
        <w:pStyle w:val="Heading4"/>
      </w:pPr>
      <w:bookmarkStart w:id="200" w:name="_Toc216773100"/>
      <w:r>
        <w:rPr>
          <w:rStyle w:val="CharSDivNo"/>
        </w:rPr>
        <w:t>Subdivision 1</w:t>
      </w:r>
      <w:r>
        <w:t> —</w:t>
      </w:r>
      <w:r>
        <w:rPr>
          <w:rStyle w:val="CharSDivText"/>
        </w:rPr>
        <w:t> General</w:t>
      </w:r>
      <w:bookmarkEnd w:id="200"/>
    </w:p>
    <w:p>
      <w:pPr>
        <w:pStyle w:val="Footnoteheading"/>
      </w:pPr>
      <w:r>
        <w:tab/>
        <w:t>[Heading inserted: No. 35 of 2024 s. 56.]</w:t>
      </w:r>
    </w:p>
    <w:p>
      <w:pPr>
        <w:pStyle w:val="Heading5"/>
      </w:pPr>
      <w:bookmarkStart w:id="201" w:name="_Toc216773101"/>
      <w:r>
        <w:rPr>
          <w:rStyle w:val="CharSectno"/>
        </w:rPr>
        <w:t>117</w:t>
      </w:r>
      <w:r>
        <w:t>.</w:t>
      </w:r>
      <w:r>
        <w:tab/>
      </w:r>
      <w:r>
        <w:rPr>
          <w:i/>
        </w:rPr>
        <w:t>Interpretation Act 1984</w:t>
      </w:r>
      <w:r>
        <w:t xml:space="preserve"> not affected</w:t>
      </w:r>
      <w:bookmarkEnd w:id="201"/>
    </w:p>
    <w:p>
      <w:pPr>
        <w:pStyle w:val="Subsection"/>
      </w:pPr>
      <w:r>
        <w:tab/>
      </w:r>
      <w:r>
        <w:tab/>
        <w:t xml:space="preserve">This Part is in addition to the provisions of the </w:t>
      </w:r>
      <w:r>
        <w:rPr>
          <w:i/>
        </w:rPr>
        <w:t>Interpretation Act 1984</w:t>
      </w:r>
      <w:r>
        <w:t xml:space="preserve"> and does not limit or otherwise affect the operation of those provisions.</w:t>
      </w:r>
    </w:p>
    <w:p>
      <w:pPr>
        <w:pStyle w:val="Footnoteheading"/>
      </w:pPr>
      <w:r>
        <w:tab/>
        <w:t>[Section 117 inserted: No. 35 of 2024 s. 56.]</w:t>
      </w:r>
    </w:p>
    <w:p>
      <w:pPr>
        <w:pStyle w:val="Heading5"/>
      </w:pPr>
      <w:bookmarkStart w:id="202" w:name="_Toc216773102"/>
      <w:r>
        <w:rPr>
          <w:rStyle w:val="CharSectno"/>
        </w:rPr>
        <w:t>118</w:t>
      </w:r>
      <w:r>
        <w:t>.</w:t>
      </w:r>
      <w:r>
        <w:tab/>
        <w:t>Transitional regulations</w:t>
      </w:r>
      <w:bookmarkEnd w:id="202"/>
    </w:p>
    <w:p>
      <w:pPr>
        <w:pStyle w:val="Subsection"/>
      </w:pPr>
      <w:r>
        <w:tab/>
        <w:t>(1)</w:t>
      </w:r>
      <w:r>
        <w:tab/>
        <w:t xml:space="preserve">In this section — </w:t>
      </w:r>
    </w:p>
    <w:p>
      <w:pPr>
        <w:pStyle w:val="Defstart"/>
      </w:pPr>
      <w:r>
        <w:tab/>
      </w:r>
      <w:r>
        <w:rPr>
          <w:rStyle w:val="CharDefText"/>
        </w:rPr>
        <w:t>publication day</w:t>
      </w:r>
      <w:r>
        <w:t>, for regulations made under subsection (2), means the day on which those regulations are published on the WA legislation website;</w:t>
      </w:r>
    </w:p>
    <w:p>
      <w:pPr>
        <w:pStyle w:val="Defstart"/>
      </w:pPr>
      <w:r>
        <w:tab/>
      </w:r>
      <w:r>
        <w:rPr>
          <w:rStyle w:val="CharDefText"/>
        </w:rPr>
        <w:t>specified</w:t>
      </w:r>
      <w:r>
        <w:t xml:space="preserve"> means specified or described in regulations made under subsection (2);</w:t>
      </w:r>
    </w:p>
    <w:p>
      <w:pPr>
        <w:pStyle w:val="Defstart"/>
      </w:pPr>
      <w:r>
        <w:lastRenderedPageBreak/>
        <w:tab/>
      </w:r>
      <w:r>
        <w:rPr>
          <w:rStyle w:val="CharDefText"/>
        </w:rPr>
        <w:t>transitional matter</w:t>
      </w:r>
      <w:r>
        <w:t xml:space="preserve"> — </w:t>
      </w:r>
    </w:p>
    <w:p>
      <w:pPr>
        <w:pStyle w:val="Defpara"/>
      </w:pPr>
      <w:r>
        <w:tab/>
        <w:t>(a)</w:t>
      </w:r>
      <w:r>
        <w:tab/>
        <w:t xml:space="preserve">means a matter that needs to be dealt with for the purpose of effecting the transition required because of the enactment of the </w:t>
      </w:r>
      <w:r>
        <w:rPr>
          <w:i/>
        </w:rPr>
        <w:t>Community Protection (Offender Reporting) Amendment Act 2024</w:t>
      </w:r>
      <w:r>
        <w:t>; and</w:t>
      </w:r>
    </w:p>
    <w:p>
      <w:pPr>
        <w:pStyle w:val="Defpara"/>
      </w:pPr>
      <w:r>
        <w:tab/>
        <w:t>(b)</w:t>
      </w:r>
      <w:r>
        <w:tab/>
        <w:t>includes a saving or application matter.</w:t>
      </w:r>
    </w:p>
    <w:p>
      <w:pPr>
        <w:pStyle w:val="Subsection"/>
      </w:pPr>
      <w:r>
        <w:tab/>
        <w:t>(2)</w:t>
      </w:r>
      <w:r>
        <w:tab/>
        <w:t>If there is no sufficient provision in this Division for dealing with a transitional matter, the Governor may make regulations prescribing matters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the </w:t>
      </w:r>
      <w:r>
        <w:rPr>
          <w:i/>
        </w:rPr>
        <w:t>Community Protection (Offender Reporting) Amendment Act 2024 </w:t>
      </w:r>
      <w:r>
        <w:t>—</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 xml:space="preserve">If regulations made under subsection (2) provide that a specified state of affairs is taken to have existed, or not to have existed, on and after a day that is earlier than publication day for those regulations but not earlier than the day on which the relevant provision of </w:t>
      </w:r>
      <w:r>
        <w:rPr>
          <w:i/>
        </w:rPr>
        <w:t xml:space="preserve">Community Protection (Offender Reporting) Amendment Act 2024 </w:t>
      </w:r>
      <w:r>
        <w:t>came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to — </w:t>
      </w:r>
    </w:p>
    <w:p>
      <w:pPr>
        <w:pStyle w:val="Indenta"/>
      </w:pPr>
      <w:r>
        <w:tab/>
        <w:t>(a)</w:t>
      </w:r>
      <w:r>
        <w:tab/>
        <w:t xml:space="preserve">affect in a manner prejudicial to a person (other than the State or an authority of the State) the rights of that </w:t>
      </w:r>
      <w:r>
        <w:lastRenderedPageBreak/>
        <w:t>person existing before publication day for those regulations; or</w:t>
      </w:r>
    </w:p>
    <w:p>
      <w:pPr>
        <w:pStyle w:val="Indenta"/>
      </w:pPr>
      <w:r>
        <w:tab/>
        <w:t>(b)</w:t>
      </w:r>
      <w:r>
        <w:tab/>
        <w:t>impose liabilities on a person (other than the State or an authority of the State) in respect of an act done or omission made before publication day for those regulations.</w:t>
      </w:r>
    </w:p>
    <w:p>
      <w:pPr>
        <w:pStyle w:val="Footnoteheading"/>
      </w:pPr>
      <w:r>
        <w:tab/>
        <w:t>[Section 118 inserted: No. 35 of 2024 s. 56.]</w:t>
      </w:r>
    </w:p>
    <w:p>
      <w:pPr>
        <w:pStyle w:val="Heading4"/>
      </w:pPr>
      <w:bookmarkStart w:id="203" w:name="_Toc216773103"/>
      <w:r>
        <w:rPr>
          <w:rStyle w:val="CharSDivNo"/>
        </w:rPr>
        <w:t>Subdivision 2 </w:t>
      </w:r>
      <w:r>
        <w:t>—</w:t>
      </w:r>
      <w:r>
        <w:rPr>
          <w:rStyle w:val="CharSDivText"/>
        </w:rPr>
        <w:t> Stage 1 transitional provisions</w:t>
      </w:r>
      <w:bookmarkEnd w:id="203"/>
    </w:p>
    <w:p>
      <w:pPr>
        <w:pStyle w:val="Footnoteheading"/>
      </w:pPr>
      <w:r>
        <w:tab/>
        <w:t>[Heading inserted: No. 35 of 2024 s. 56.]</w:t>
      </w:r>
    </w:p>
    <w:p>
      <w:pPr>
        <w:pStyle w:val="Heading5"/>
      </w:pPr>
      <w:bookmarkStart w:id="204" w:name="_Toc216773104"/>
      <w:r>
        <w:rPr>
          <w:rStyle w:val="CharSectno"/>
        </w:rPr>
        <w:t>119</w:t>
      </w:r>
      <w:r>
        <w:t>.</w:t>
      </w:r>
      <w:r>
        <w:tab/>
        <w:t>Term used: commencement day</w:t>
      </w:r>
      <w:bookmarkEnd w:id="204"/>
    </w:p>
    <w:p>
      <w:pPr>
        <w:pStyle w:val="Subsection"/>
      </w:pPr>
      <w:r>
        <w:tab/>
      </w:r>
      <w:r>
        <w:tab/>
        <w:t xml:space="preserve">In this Subdivision — </w:t>
      </w:r>
    </w:p>
    <w:p>
      <w:pPr>
        <w:pStyle w:val="Defstart"/>
      </w:pPr>
      <w:r>
        <w:tab/>
      </w:r>
      <w:r>
        <w:rPr>
          <w:rStyle w:val="CharDefText"/>
        </w:rPr>
        <w:t>commencement day</w:t>
      </w:r>
      <w:r>
        <w:t xml:space="preserve"> means the day on which the </w:t>
      </w:r>
      <w:r>
        <w:rPr>
          <w:i/>
        </w:rPr>
        <w:t xml:space="preserve">Community Protection (Offender Reporting) Amendment Act 2024 </w:t>
      </w:r>
      <w:r>
        <w:rPr>
          <w:iCs/>
        </w:rPr>
        <w:t>section 3 comes into operation.</w:t>
      </w:r>
    </w:p>
    <w:p>
      <w:pPr>
        <w:pStyle w:val="Footnoteheading"/>
      </w:pPr>
      <w:r>
        <w:tab/>
        <w:t>[Section 119 inserted: No. 35 of 2024 s. 56.]</w:t>
      </w:r>
    </w:p>
    <w:p>
      <w:pPr>
        <w:pStyle w:val="Heading5"/>
      </w:pPr>
      <w:bookmarkStart w:id="205" w:name="_Toc216773105"/>
      <w:r>
        <w:rPr>
          <w:rStyle w:val="CharSectno"/>
        </w:rPr>
        <w:t>120</w:t>
      </w:r>
      <w:r>
        <w:t>.</w:t>
      </w:r>
      <w:r>
        <w:tab/>
        <w:t>Notifying reporting obligations and reporting periods before commencement day</w:t>
      </w:r>
      <w:bookmarkEnd w:id="205"/>
      <w:r>
        <w:t xml:space="preserve"> </w:t>
      </w:r>
    </w:p>
    <w:p>
      <w:pPr>
        <w:pStyle w:val="Subsection"/>
      </w:pPr>
      <w:r>
        <w:tab/>
        <w:t>(1)</w:t>
      </w:r>
      <w:r>
        <w:tab/>
        <w:t xml:space="preserve">Section 67 does not apply in relation to a reportable offender if the Commissioner gives the offender written notice of the following before commencement day — </w:t>
      </w:r>
    </w:p>
    <w:p>
      <w:pPr>
        <w:pStyle w:val="Indenta"/>
      </w:pPr>
      <w:r>
        <w:tab/>
        <w:t>(a)</w:t>
      </w:r>
      <w:r>
        <w:tab/>
        <w:t>the reporting obligations the offender will have under this Act as in force on commencement day; and</w:t>
      </w:r>
    </w:p>
    <w:p>
      <w:pPr>
        <w:pStyle w:val="Indenta"/>
      </w:pPr>
      <w:r>
        <w:tab/>
        <w:t>(b)</w:t>
      </w:r>
      <w:r>
        <w:tab/>
        <w:t>the reporting period the offender will have under this Act as in force on commencement day; and</w:t>
      </w:r>
    </w:p>
    <w:p>
      <w:pPr>
        <w:pStyle w:val="Indenta"/>
      </w:pPr>
      <w:r>
        <w:tab/>
        <w:t>(c)</w:t>
      </w:r>
      <w:r>
        <w:tab/>
        <w:t>the consequences that may arise if the offender fails to comply with those obligations under this Act as in force on commencement day.</w:t>
      </w:r>
    </w:p>
    <w:p>
      <w:pPr>
        <w:pStyle w:val="Subsection"/>
      </w:pPr>
      <w:r>
        <w:tab/>
        <w:t>(2)</w:t>
      </w:r>
      <w:r>
        <w:tab/>
        <w:t xml:space="preserve">However, section 67 applies in relation to a reportable offender who has been given notice under subsection (1) if any of the following occurs on or after commencement day — </w:t>
      </w:r>
    </w:p>
    <w:p>
      <w:pPr>
        <w:pStyle w:val="Indenta"/>
      </w:pPr>
      <w:r>
        <w:lastRenderedPageBreak/>
        <w:tab/>
        <w:t>(a)</w:t>
      </w:r>
      <w:r>
        <w:tab/>
        <w:t xml:space="preserve">the offender is sentenced for a reportable offence or is made subject to a reporting order; </w:t>
      </w:r>
    </w:p>
    <w:p>
      <w:pPr>
        <w:pStyle w:val="Indenta"/>
      </w:pPr>
      <w:r>
        <w:tab/>
        <w:t>(b)</w:t>
      </w:r>
      <w:r>
        <w:tab/>
        <w:t xml:space="preserve">the offender is released from government custody (whether or not the offender was in government custody for a reportable offence); </w:t>
      </w:r>
    </w:p>
    <w:p>
      <w:pPr>
        <w:pStyle w:val="Indenta"/>
      </w:pPr>
      <w:r>
        <w:tab/>
        <w:t>(c)</w:t>
      </w:r>
      <w:r>
        <w:tab/>
        <w:t xml:space="preserve">the offender enters Western Australia, if the offender has not previously been given notice of the offender’s reporting obligations in Western Australia; </w:t>
      </w:r>
    </w:p>
    <w:p>
      <w:pPr>
        <w:pStyle w:val="Indenta"/>
      </w:pPr>
      <w:r>
        <w:tab/>
        <w:t>(d)</w:t>
      </w:r>
      <w:r>
        <w:tab/>
        <w:t>the offender becomes a corresponding reportable offender, if the offender is in Western Australia at that time.</w:t>
      </w:r>
    </w:p>
    <w:p>
      <w:pPr>
        <w:pStyle w:val="Subsection"/>
      </w:pPr>
      <w:r>
        <w:tab/>
        <w:t>(3)</w:t>
      </w:r>
      <w:r>
        <w:tab/>
        <w:t>Section 69 does not apply in relation to changes to a reportable offender’s reporting period on commencement day if the Commissioner gives the offender written notice before commencement day of the changed reporting period that the offender will have under this Act as in force on commencement day.</w:t>
      </w:r>
    </w:p>
    <w:p>
      <w:pPr>
        <w:pStyle w:val="Footnoteheading"/>
      </w:pPr>
      <w:r>
        <w:tab/>
        <w:t>[Section 120 inserted: No. 35 of 2024 s. 56.]</w:t>
      </w:r>
    </w:p>
    <w:p>
      <w:pPr>
        <w:pStyle w:val="Heading5"/>
      </w:pPr>
      <w:bookmarkStart w:id="206" w:name="_Toc216773106"/>
      <w:r>
        <w:rPr>
          <w:rStyle w:val="CharSectno"/>
        </w:rPr>
        <w:t>121</w:t>
      </w:r>
      <w:r>
        <w:t>.</w:t>
      </w:r>
      <w:r>
        <w:tab/>
        <w:t>Reporting period and reporting obligations in relation to person who was reportable offender or committed offence before commencement day</w:t>
      </w:r>
      <w:bookmarkEnd w:id="206"/>
    </w:p>
    <w:p>
      <w:pPr>
        <w:pStyle w:val="Subsection"/>
      </w:pPr>
      <w:r>
        <w:tab/>
        <w:t>(1)</w:t>
      </w:r>
      <w:r>
        <w:tab/>
        <w:t>A reporting period under this Act applies in relation to a person who is a reportable offender even if the person was a reportable offender before commencement day.</w:t>
      </w:r>
    </w:p>
    <w:p>
      <w:pPr>
        <w:pStyle w:val="Subsection"/>
      </w:pPr>
      <w:r>
        <w:tab/>
        <w:t>(2)</w:t>
      </w:r>
      <w:r>
        <w:tab/>
        <w:t xml:space="preserve">A reference in section 46 to an offence includes a reference to an offence committed before commencement day. </w:t>
      </w:r>
    </w:p>
    <w:p>
      <w:pPr>
        <w:pStyle w:val="Subsection"/>
      </w:pPr>
      <w:r>
        <w:tab/>
        <w:t>(3)</w:t>
      </w:r>
      <w:r>
        <w:tab/>
        <w:t xml:space="preserve">A reporting obligation under this Act applies in relation to a person who is a reportable offender for the remainder of the person’s reporting period even if the person was a reportable offender before commencement day. </w:t>
      </w:r>
    </w:p>
    <w:p>
      <w:pPr>
        <w:pStyle w:val="Subsection"/>
      </w:pPr>
      <w:r>
        <w:tab/>
        <w:t>(4)</w:t>
      </w:r>
      <w:r>
        <w:tab/>
        <w:t xml:space="preserve">Section 29 (including any references in that section to section 26) of this Act as in force immediately before </w:t>
      </w:r>
      <w:r>
        <w:lastRenderedPageBreak/>
        <w:t xml:space="preserve">commencement day continues to apply to a reportable offender until the offender makes a report (an </w:t>
      </w:r>
      <w:r>
        <w:rPr>
          <w:rStyle w:val="CharDefText"/>
        </w:rPr>
        <w:t>updated report</w:t>
      </w:r>
      <w:r>
        <w:t>) under any of the following provisions of the details listed in section 26(1) as in force on commencement day —</w:t>
      </w:r>
    </w:p>
    <w:p>
      <w:pPr>
        <w:pStyle w:val="Indenta"/>
      </w:pPr>
      <w:r>
        <w:tab/>
        <w:t>(a)</w:t>
      </w:r>
      <w:r>
        <w:tab/>
        <w:t>section 24;</w:t>
      </w:r>
    </w:p>
    <w:p>
      <w:pPr>
        <w:pStyle w:val="Indenta"/>
      </w:pPr>
      <w:r>
        <w:tab/>
        <w:t>(b)</w:t>
      </w:r>
      <w:r>
        <w:tab/>
        <w:t>section 25;</w:t>
      </w:r>
    </w:p>
    <w:p>
      <w:pPr>
        <w:pStyle w:val="Indenta"/>
      </w:pPr>
      <w:r>
        <w:tab/>
        <w:t>(c)</w:t>
      </w:r>
      <w:r>
        <w:tab/>
        <w:t>section 28.</w:t>
      </w:r>
    </w:p>
    <w:p>
      <w:pPr>
        <w:pStyle w:val="Subsection"/>
      </w:pPr>
      <w:r>
        <w:tab/>
        <w:t>(5)</w:t>
      </w:r>
      <w:r>
        <w:tab/>
        <w:t>Reporting obligations under sections 29 and 33A do not apply to a reportable offender until the offender makes an updated report.</w:t>
      </w:r>
    </w:p>
    <w:p>
      <w:pPr>
        <w:pStyle w:val="Subsection"/>
      </w:pPr>
      <w:r>
        <w:tab/>
        <w:t>(6)</w:t>
      </w:r>
      <w:r>
        <w:tab/>
        <w:t xml:space="preserve">Despite </w:t>
      </w:r>
      <w:r>
        <w:rPr>
          <w:i/>
          <w:iCs/>
        </w:rPr>
        <w:t>The Criminal Code</w:t>
      </w:r>
      <w:r>
        <w:t xml:space="preserve"> section 11, a person may be prosecuted and punished for an offence committed against section 63 in relation to a failure to comply with a reporting obligation under this Act as in force immediately before commencement day. </w:t>
      </w:r>
    </w:p>
    <w:p>
      <w:pPr>
        <w:pStyle w:val="Subsection"/>
      </w:pPr>
      <w:r>
        <w:tab/>
        <w:t>(7)</w:t>
      </w:r>
      <w:r>
        <w:tab/>
        <w:t xml:space="preserve">Despite </w:t>
      </w:r>
      <w:r>
        <w:rPr>
          <w:i/>
          <w:iCs/>
        </w:rPr>
        <w:t>The Criminal Code</w:t>
      </w:r>
      <w:r>
        <w:t xml:space="preserve"> section 11, a person may be prosecuted and punished for an offence committed against section 64 in relation to purported compliance with Part 3 under this Act as in force immediately before commencement day. </w:t>
      </w:r>
    </w:p>
    <w:p>
      <w:pPr>
        <w:pStyle w:val="Footnoteheading"/>
      </w:pPr>
      <w:r>
        <w:tab/>
        <w:t>[Section 121 inserted: No. 35 of 2024 s. 56.]</w:t>
      </w:r>
    </w:p>
    <w:p>
      <w:pPr>
        <w:pStyle w:val="Heading5"/>
      </w:pPr>
      <w:bookmarkStart w:id="207" w:name="_Toc216773107"/>
      <w:r>
        <w:rPr>
          <w:rStyle w:val="CharSectno"/>
        </w:rPr>
        <w:t>122</w:t>
      </w:r>
      <w:r>
        <w:t>.</w:t>
      </w:r>
      <w:r>
        <w:tab/>
        <w:t>Reporting period in relation to reportable offender in immigration detention before commencement day</w:t>
      </w:r>
      <w:bookmarkEnd w:id="207"/>
    </w:p>
    <w:p>
      <w:pPr>
        <w:pStyle w:val="Subsection"/>
      </w:pPr>
      <w:r>
        <w:tab/>
        <w:t>(1)</w:t>
      </w:r>
      <w:r>
        <w:tab/>
        <w:t>This section applies to a reportable offender who was in immigration detention for a period beginning before commencement day.</w:t>
      </w:r>
    </w:p>
    <w:p>
      <w:pPr>
        <w:pStyle w:val="Subsection"/>
      </w:pPr>
      <w:r>
        <w:tab/>
        <w:t>(2)</w:t>
      </w:r>
      <w:r>
        <w:tab/>
        <w:t xml:space="preserve">Any period for which the offender was in immigration detention before commencement day while they were a reportable offender must not be taken to extend the offender’s reporting period under section 44(2) as if that period of immigration detention were a period in which the offender was in government custody. </w:t>
      </w:r>
    </w:p>
    <w:p>
      <w:pPr>
        <w:pStyle w:val="Subsection"/>
      </w:pPr>
      <w:r>
        <w:lastRenderedPageBreak/>
        <w:tab/>
        <w:t>(3)</w:t>
      </w:r>
      <w:r>
        <w:tab/>
        <w:t>Part 3 Division 1 does not apply to the offender in relation to the offender ceasing to be in that immigration detention on or after commencement day if the offender has made an initial report under Part 3 Division 1 before commencement day.</w:t>
      </w:r>
    </w:p>
    <w:p>
      <w:pPr>
        <w:pStyle w:val="Subsection"/>
      </w:pPr>
      <w:r>
        <w:tab/>
        <w:t>(4)</w:t>
      </w:r>
      <w:r>
        <w:tab/>
        <w:t>Section 45(b) does not apply to the offender if the offender is released from the immigration detention on or after commencement day.</w:t>
      </w:r>
    </w:p>
    <w:p>
      <w:pPr>
        <w:pStyle w:val="Subsection"/>
      </w:pPr>
      <w:r>
        <w:tab/>
        <w:t>(5)</w:t>
      </w:r>
      <w:r>
        <w:tab/>
        <w:t>A reference to government custody in Part 3 Division 6 in relation to the offender is taken to include a reference to any period for which the offender was in immigration detention before commencement day while they were a reportable offender.</w:t>
      </w:r>
    </w:p>
    <w:p>
      <w:pPr>
        <w:pStyle w:val="Subsection"/>
      </w:pPr>
      <w:r>
        <w:tab/>
        <w:t>(6)</w:t>
      </w:r>
      <w:r>
        <w:tab/>
        <w:t xml:space="preserve">Despite </w:t>
      </w:r>
      <w:r>
        <w:rPr>
          <w:i/>
          <w:iCs/>
        </w:rPr>
        <w:t>The Criminal Code</w:t>
      </w:r>
      <w:r>
        <w:t xml:space="preserve"> section 11, a person may be prosecuted and punished for an offence committed against section 63 in relation to a failure to comply with a reporting obligation under this Act as in force immediately before commencement day during a period while the person was in the immigration detention before commencement day.</w:t>
      </w:r>
    </w:p>
    <w:p>
      <w:pPr>
        <w:pStyle w:val="Subsection"/>
      </w:pPr>
      <w:r>
        <w:tab/>
        <w:t>(7)</w:t>
      </w:r>
      <w:r>
        <w:tab/>
        <w:t xml:space="preserve">Despite </w:t>
      </w:r>
      <w:r>
        <w:rPr>
          <w:i/>
          <w:iCs/>
        </w:rPr>
        <w:t>The Criminal Code</w:t>
      </w:r>
      <w:r>
        <w:t xml:space="preserve"> section 11, a person may be prosecuted and punished for an offence committed against section 64 in relation to purported compliance with Part 3 under this Act as in force immediately before commencement day during a period while the person was in the immigration detention before commencement day.</w:t>
      </w:r>
    </w:p>
    <w:p>
      <w:pPr>
        <w:pStyle w:val="Footnoteheading"/>
      </w:pPr>
      <w:r>
        <w:tab/>
        <w:t>[Section 122 inserted: No. 35 of 2024 s. 56.]</w:t>
      </w:r>
    </w:p>
    <w:p>
      <w:pPr>
        <w:pStyle w:val="Heading5"/>
      </w:pPr>
      <w:bookmarkStart w:id="208" w:name="_Toc216773108"/>
      <w:r>
        <w:rPr>
          <w:rStyle w:val="CharSectno"/>
        </w:rPr>
        <w:t>123</w:t>
      </w:r>
      <w:r>
        <w:t>.</w:t>
      </w:r>
      <w:r>
        <w:tab/>
        <w:t>References to personal details of reportable offenders before commencement day</w:t>
      </w:r>
      <w:bookmarkEnd w:id="208"/>
    </w:p>
    <w:p>
      <w:pPr>
        <w:pStyle w:val="Subsection"/>
      </w:pPr>
      <w:r>
        <w:tab/>
        <w:t>(1)</w:t>
      </w:r>
      <w:r>
        <w:tab/>
        <w:t>In section 85F a reference to section 26(1) or 26(1)(e) is taken to include a reference to that provision under this Act as in force immediately before commencement day in relation to a person who was a reportable offender before commencement day.</w:t>
      </w:r>
    </w:p>
    <w:p>
      <w:pPr>
        <w:pStyle w:val="Subsection"/>
      </w:pPr>
      <w:r>
        <w:lastRenderedPageBreak/>
        <w:tab/>
        <w:t>(2)</w:t>
      </w:r>
      <w:r>
        <w:tab/>
        <w:t>In sections 85F, 85I, 85L and 85M a reference to personal details is taken to include a reference to personal details under this Act as in force immediately before commencement day in relation to a person who was a reportable offender before commencement day.</w:t>
      </w:r>
    </w:p>
    <w:p>
      <w:pPr>
        <w:pStyle w:val="Footnoteheading"/>
      </w:pPr>
      <w:r>
        <w:tab/>
        <w:t>[Section 123 inserted: No. 35 of 2024 s. 56.]</w:t>
      </w:r>
    </w:p>
    <w:p>
      <w:pPr>
        <w:pStyle w:val="Heading5"/>
      </w:pPr>
      <w:bookmarkStart w:id="209" w:name="_Toc216773109"/>
      <w:r>
        <w:rPr>
          <w:rStyle w:val="CharSectno"/>
        </w:rPr>
        <w:t>124</w:t>
      </w:r>
      <w:r>
        <w:t>.</w:t>
      </w:r>
      <w:r>
        <w:tab/>
        <w:t>Application to person not sentenced before commencement day</w:t>
      </w:r>
      <w:bookmarkEnd w:id="209"/>
      <w:r>
        <w:t xml:space="preserve"> </w:t>
      </w:r>
    </w:p>
    <w:p>
      <w:pPr>
        <w:pStyle w:val="Subsection"/>
      </w:pPr>
      <w:r>
        <w:tab/>
      </w:r>
      <w:r>
        <w:tab/>
        <w:t>This Act applies to an offender including in relation to an offender sentenced on or after commencement day even if the offender committed or was found guilty of an offence before commencement day.</w:t>
      </w:r>
    </w:p>
    <w:p>
      <w:pPr>
        <w:pStyle w:val="Footnoteheading"/>
      </w:pPr>
      <w:r>
        <w:tab/>
        <w:t>[Section 124 inserted: No. 35 of 2024 s. 56.]</w:t>
      </w:r>
    </w:p>
    <w:p>
      <w:pPr>
        <w:pStyle w:val="Heading5"/>
      </w:pPr>
      <w:bookmarkStart w:id="210" w:name="_Toc216773110"/>
      <w:r>
        <w:rPr>
          <w:rStyle w:val="CharSectno"/>
        </w:rPr>
        <w:t>125</w:t>
      </w:r>
      <w:r>
        <w:t>.</w:t>
      </w:r>
      <w:r>
        <w:tab/>
        <w:t>Application of powers in relation to person who was reportable offender, or in relation to offence committed, before commencement day</w:t>
      </w:r>
      <w:bookmarkEnd w:id="210"/>
    </w:p>
    <w:p>
      <w:pPr>
        <w:pStyle w:val="Subsection"/>
      </w:pPr>
      <w:r>
        <w:tab/>
        <w:t>(1)</w:t>
      </w:r>
      <w:r>
        <w:tab/>
        <w:t>A power under this Act that may be exercised in relation to a reportable offender may be exercised in relation to that offender even if they were a reportable offender before commencement day.</w:t>
      </w:r>
    </w:p>
    <w:p>
      <w:pPr>
        <w:pStyle w:val="Subsection"/>
      </w:pPr>
      <w:r>
        <w:tab/>
        <w:t>(2)</w:t>
      </w:r>
      <w:r>
        <w:tab/>
        <w:t xml:space="preserve">A reference in Part 5A and 5B to an offence includes a reference to an offence committed before commencement day. </w:t>
      </w:r>
    </w:p>
    <w:p>
      <w:pPr>
        <w:pStyle w:val="Footnoteheading"/>
      </w:pPr>
      <w:r>
        <w:tab/>
        <w:t>[Section 125 inserted: No. 35 of 2024 s. 56.]</w:t>
      </w:r>
    </w:p>
    <w:p>
      <w:pPr>
        <w:pStyle w:val="Heading5"/>
      </w:pPr>
      <w:bookmarkStart w:id="211" w:name="_Toc216773111"/>
      <w:r>
        <w:rPr>
          <w:rStyle w:val="CharSectno"/>
        </w:rPr>
        <w:t>126</w:t>
      </w:r>
      <w:r>
        <w:t>.</w:t>
      </w:r>
      <w:r>
        <w:tab/>
        <w:t>Minister may revoke authorisations to publish photograph and locality given before commencement day</w:t>
      </w:r>
      <w:bookmarkEnd w:id="211"/>
      <w:r>
        <w:t xml:space="preserve"> </w:t>
      </w:r>
    </w:p>
    <w:p>
      <w:pPr>
        <w:pStyle w:val="Subsection"/>
      </w:pPr>
      <w:r>
        <w:tab/>
        <w:t>(1)</w:t>
      </w:r>
      <w:r>
        <w:tab/>
        <w:t>This section applies if the Minister authorised the publication of a photograph and locality of a person under section 85G(2)(c) of this Act as in force immediately before commencement day.</w:t>
      </w:r>
    </w:p>
    <w:p>
      <w:pPr>
        <w:pStyle w:val="Subsection"/>
      </w:pPr>
      <w:r>
        <w:tab/>
        <w:t>(2)</w:t>
      </w:r>
      <w:r>
        <w:tab/>
        <w:t>Subject to subsection (3), the authorisation continues in force on and after commencement day.</w:t>
      </w:r>
    </w:p>
    <w:p>
      <w:pPr>
        <w:pStyle w:val="Subsection"/>
      </w:pPr>
      <w:r>
        <w:lastRenderedPageBreak/>
        <w:tab/>
        <w:t>(3)</w:t>
      </w:r>
      <w:r>
        <w:tab/>
        <w:t>The Minister may revoke the authorisation.</w:t>
      </w:r>
    </w:p>
    <w:p>
      <w:pPr>
        <w:pStyle w:val="Subsection"/>
      </w:pPr>
      <w:r>
        <w:tab/>
        <w:t>(4)</w:t>
      </w:r>
      <w:r>
        <w:tab/>
        <w:t>A revocation under subsection (3) is taken to be a revocation under section 85GB(7)(a).</w:t>
      </w:r>
    </w:p>
    <w:p>
      <w:pPr>
        <w:pStyle w:val="Footnoteheading"/>
      </w:pPr>
      <w:r>
        <w:tab/>
        <w:t>[Section 126 inserted: No. 35 of 2024 s. 56.]</w:t>
      </w:r>
    </w:p>
    <w:p>
      <w:pPr>
        <w:pStyle w:val="Ednotesection"/>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12" w:name="_Toc216773112"/>
      <w:r>
        <w:rPr>
          <w:rStyle w:val="CharSchNo"/>
        </w:rPr>
        <w:lastRenderedPageBreak/>
        <w:t>Schedule 1</w:t>
      </w:r>
      <w:r>
        <w:rPr>
          <w:rStyle w:val="CharSDivNo"/>
        </w:rPr>
        <w:t> </w:t>
      </w:r>
      <w:r>
        <w:t>—</w:t>
      </w:r>
      <w:r>
        <w:rPr>
          <w:rStyle w:val="CharSDivText"/>
        </w:rPr>
        <w:t> </w:t>
      </w:r>
      <w:r>
        <w:rPr>
          <w:rStyle w:val="CharSchText"/>
        </w:rPr>
        <w:t>Class 1 offences</w:t>
      </w:r>
      <w:bookmarkEnd w:id="212"/>
    </w:p>
    <w:p>
      <w:pPr>
        <w:pStyle w:val="yShoulderClause"/>
        <w:spacing w:after="60"/>
      </w:pPr>
      <w:r>
        <w:t>[s. 10]</w:t>
      </w:r>
    </w:p>
    <w:tbl>
      <w:tblPr>
        <w:tblW w:w="7088"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NAm"/>
              <w:rPr>
                <w:b/>
                <w:bCs/>
              </w:rPr>
            </w:pPr>
            <w:r>
              <w:rPr>
                <w:b/>
                <w:bCs/>
              </w:rPr>
              <w:t>Enactment</w:t>
            </w:r>
          </w:p>
        </w:tc>
        <w:tc>
          <w:tcPr>
            <w:tcW w:w="4394"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694" w:type="dxa"/>
            <w:tcBorders>
              <w:top w:val="nil"/>
            </w:tcBorders>
          </w:tcPr>
          <w:p>
            <w:pPr>
              <w:pStyle w:val="yTableNAm"/>
            </w:pPr>
            <w:r>
              <w:rPr>
                <w:i/>
              </w:rPr>
              <w:t>The Criminal Code</w:t>
            </w:r>
          </w:p>
        </w:tc>
        <w:tc>
          <w:tcPr>
            <w:tcW w:w="4394" w:type="dxa"/>
            <w:tcBorders>
              <w:top w:val="nil"/>
            </w:tcBorders>
          </w:tcPr>
          <w:p>
            <w:pPr>
              <w:pStyle w:val="yTableNAm"/>
            </w:pPr>
          </w:p>
        </w:tc>
      </w:tr>
      <w:tr>
        <w:tblPrEx>
          <w:tblBorders>
            <w:top w:val="none" w:sz="0" w:space="0" w:color="auto"/>
            <w:bottom w:val="none" w:sz="0" w:space="0" w:color="auto"/>
          </w:tblBorders>
        </w:tblPrEx>
        <w:trPr>
          <w:trHeight w:val="360"/>
        </w:trPr>
        <w:tc>
          <w:tcPr>
            <w:tcW w:w="2694" w:type="dxa"/>
          </w:tcPr>
          <w:p>
            <w:pPr>
              <w:pStyle w:val="yTableNAm"/>
            </w:pPr>
            <w:r>
              <w:t>s. 187</w:t>
            </w:r>
          </w:p>
        </w:tc>
        <w:tc>
          <w:tcPr>
            <w:tcW w:w="4394" w:type="dxa"/>
          </w:tcPr>
          <w:p>
            <w:pPr>
              <w:pStyle w:val="yTableNAm"/>
            </w:pPr>
            <w:r>
              <w:t>Facilitating sexual offences against children outside Western Australia</w:t>
            </w:r>
          </w:p>
        </w:tc>
      </w:tr>
      <w:tr>
        <w:tblPrEx>
          <w:tblBorders>
            <w:top w:val="none" w:sz="0" w:space="0" w:color="auto"/>
            <w:bottom w:val="none" w:sz="0" w:space="0" w:color="auto"/>
          </w:tblBorders>
        </w:tblPrEx>
        <w:trPr>
          <w:trHeight w:val="360"/>
        </w:trPr>
        <w:tc>
          <w:tcPr>
            <w:tcW w:w="2694" w:type="dxa"/>
          </w:tcPr>
          <w:p>
            <w:pPr>
              <w:pStyle w:val="yTableNAm"/>
            </w:pPr>
            <w:r>
              <w:t>s. 279</w:t>
            </w:r>
          </w:p>
        </w:tc>
        <w:tc>
          <w:tcPr>
            <w:tcW w:w="4394" w:type="dxa"/>
          </w:tcPr>
          <w:p>
            <w:pPr>
              <w:pStyle w:val="yTableNAm"/>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NAm"/>
            </w:pPr>
            <w:r>
              <w:t>s. 320 (except s. 320(6))</w:t>
            </w:r>
          </w:p>
        </w:tc>
        <w:tc>
          <w:tcPr>
            <w:tcW w:w="4394" w:type="dxa"/>
          </w:tcPr>
          <w:p>
            <w:pPr>
              <w:pStyle w:val="yTableNAm"/>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NAm"/>
            </w:pPr>
            <w:r>
              <w:t>s. 321 (except s. 321(6))</w:t>
            </w:r>
          </w:p>
        </w:tc>
        <w:tc>
          <w:tcPr>
            <w:tcW w:w="4394" w:type="dxa"/>
          </w:tcPr>
          <w:p>
            <w:pPr>
              <w:pStyle w:val="yTableNAm"/>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NAm"/>
            </w:pPr>
            <w:r>
              <w:t>s. 321A</w:t>
            </w:r>
          </w:p>
        </w:tc>
        <w:tc>
          <w:tcPr>
            <w:tcW w:w="4394" w:type="dxa"/>
          </w:tcPr>
          <w:p>
            <w:pPr>
              <w:pStyle w:val="yTableNAm"/>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NAm"/>
            </w:pPr>
            <w:r>
              <w:t>s. 322 (except s. 322(6))</w:t>
            </w:r>
          </w:p>
        </w:tc>
        <w:tc>
          <w:tcPr>
            <w:tcW w:w="4394" w:type="dxa"/>
          </w:tcPr>
          <w:p>
            <w:pPr>
              <w:pStyle w:val="yTableNAm"/>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NAm"/>
            </w:pPr>
            <w:r>
              <w:t>s. 325</w:t>
            </w:r>
          </w:p>
        </w:tc>
        <w:tc>
          <w:tcPr>
            <w:tcW w:w="4394" w:type="dxa"/>
          </w:tcPr>
          <w:p>
            <w:pPr>
              <w:pStyle w:val="yTableNAm"/>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NAm"/>
            </w:pPr>
            <w:r>
              <w:t>s. 326</w:t>
            </w:r>
          </w:p>
        </w:tc>
        <w:tc>
          <w:tcPr>
            <w:tcW w:w="4394" w:type="dxa"/>
          </w:tcPr>
          <w:p>
            <w:pPr>
              <w:pStyle w:val="yTableNAm"/>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NAm"/>
            </w:pPr>
            <w:r>
              <w:t>s. 327</w:t>
            </w:r>
          </w:p>
        </w:tc>
        <w:tc>
          <w:tcPr>
            <w:tcW w:w="4394" w:type="dxa"/>
          </w:tcPr>
          <w:p>
            <w:pPr>
              <w:pStyle w:val="yTableNAm"/>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NAm"/>
            </w:pPr>
            <w:r>
              <w:t>s. 328</w:t>
            </w:r>
          </w:p>
        </w:tc>
        <w:tc>
          <w:tcPr>
            <w:tcW w:w="4394" w:type="dxa"/>
          </w:tcPr>
          <w:p>
            <w:pPr>
              <w:pStyle w:val="yTableNAm"/>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NAm"/>
            </w:pPr>
            <w:r>
              <w:t>s. 329 (except s. 329(8))</w:t>
            </w:r>
          </w:p>
        </w:tc>
        <w:tc>
          <w:tcPr>
            <w:tcW w:w="4394" w:type="dxa"/>
          </w:tcPr>
          <w:p>
            <w:pPr>
              <w:pStyle w:val="yTableNAm"/>
            </w:pPr>
            <w:r>
              <w:t>Sexual offences by relatives and the like</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NAm"/>
            </w:pPr>
            <w:r>
              <w:t>s. 330</w:t>
            </w:r>
          </w:p>
        </w:tc>
        <w:tc>
          <w:tcPr>
            <w:tcW w:w="4394" w:type="dxa"/>
            <w:tcBorders>
              <w:bottom w:val="single" w:sz="4" w:space="0" w:color="auto"/>
            </w:tcBorders>
          </w:tcPr>
          <w:p>
            <w:pPr>
              <w:pStyle w:val="yTableNAm"/>
            </w:pPr>
            <w:r>
              <w:t>Sexual offences against incapable person</w:t>
            </w:r>
          </w:p>
        </w:tc>
      </w:tr>
    </w:tbl>
    <w:p>
      <w:pPr>
        <w:pStyle w:val="yFootnotesection"/>
      </w:pPr>
      <w:r>
        <w:tab/>
        <w:t>[Schedule 1 amended: No. 2 of 2008 s. 58; No. 27 of 2008 s. 11; No. 29 of 2008 s. 25(2) and (3); No. 35 of 2024 s. 57.]</w:t>
      </w:r>
    </w:p>
    <w:p>
      <w:pPr>
        <w:pStyle w:val="yScheduleHeading"/>
      </w:pPr>
      <w:bookmarkStart w:id="213" w:name="_Toc216773113"/>
      <w:r>
        <w:rPr>
          <w:rStyle w:val="CharSchNo"/>
        </w:rPr>
        <w:lastRenderedPageBreak/>
        <w:t>Schedule 2</w:t>
      </w:r>
      <w:r>
        <w:t> — </w:t>
      </w:r>
      <w:r>
        <w:rPr>
          <w:rStyle w:val="CharSchText"/>
        </w:rPr>
        <w:t>Class 2 offences</w:t>
      </w:r>
      <w:bookmarkEnd w:id="213"/>
    </w:p>
    <w:p>
      <w:pPr>
        <w:pStyle w:val="yShoulderClause"/>
        <w:spacing w:before="80" w:after="60"/>
      </w:pPr>
      <w:r>
        <w:t>[s. 11]</w:t>
      </w:r>
    </w:p>
    <w:tbl>
      <w:tblPr>
        <w:tblW w:w="7080"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lastRenderedPageBreak/>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Criminal Law (Unlawful Consorting and Prohibited Insignia) Act 2021</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rPr>
                <w:i/>
              </w:rPr>
            </w:pPr>
            <w:r>
              <w:t>s. 17(1)</w:t>
            </w:r>
          </w:p>
        </w:tc>
        <w:tc>
          <w:tcPr>
            <w:tcW w:w="4245" w:type="dxa"/>
          </w:tcPr>
          <w:p>
            <w:pPr>
              <w:pStyle w:val="yTableNAm"/>
            </w:pPr>
            <w:r>
              <w:t xml:space="preserve">Unlawful consorting (if the offender has a conviction for a child sex offence (as defined in the </w:t>
            </w:r>
            <w:r>
              <w:rPr>
                <w:i/>
              </w:rPr>
              <w:t>Criminal Law (Unlawful Consorting and Prohibited Insignia) Act 2021</w:t>
            </w:r>
            <w:r>
              <w:t xml:space="preserve"> section 7) and has consorted with another person who has a conviction for a child sex offence in the course of committing the offence)</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keepNext/>
              <w:rPr>
                <w:i/>
              </w:rPr>
            </w:pPr>
            <w:r>
              <w:rPr>
                <w:i/>
              </w:rPr>
              <w:lastRenderedPageBreak/>
              <w:t>Classification (Publications, Films and Computer Games) Enforcement Act 1996</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keepNext/>
            </w:pPr>
            <w:r>
              <w:t>the deleted s. 60</w:t>
            </w:r>
          </w:p>
        </w:tc>
        <w:tc>
          <w:tcPr>
            <w:tcW w:w="4245" w:type="dxa"/>
          </w:tcPr>
          <w:p>
            <w:pPr>
              <w:pStyle w:val="yTableNAm"/>
              <w:keepNext/>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192</w:t>
            </w:r>
          </w:p>
        </w:tc>
        <w:tc>
          <w:tcPr>
            <w:tcW w:w="4245" w:type="dxa"/>
            <w:tcBorders>
              <w:bottom w:val="single" w:sz="4" w:space="0" w:color="auto"/>
            </w:tcBorders>
          </w:tcPr>
          <w:p>
            <w:pPr>
              <w:pStyle w:val="yTableNAm"/>
            </w:pPr>
            <w:r>
              <w:t>Employment of child to perform in indecent manner</w:t>
            </w:r>
          </w:p>
        </w:tc>
      </w:tr>
    </w:tbl>
    <w:p>
      <w:pPr>
        <w:pStyle w:val="yFootnotesection"/>
      </w:pPr>
      <w:r>
        <w:tab/>
        <w:t>[Schedule 2 amended: No. 27 of 2008 s. 12; No. 21 of 2010 s. 13; No. 54 of 2012 s. 38; No. 25 of 2021 s. 64; No. 35 of 2024 s. 58.]</w:t>
      </w:r>
    </w:p>
    <w:p>
      <w:pPr>
        <w:pStyle w:val="yEdnotesection"/>
      </w:pPr>
      <w:r>
        <w:t>[Schedule 3 has not come into operation</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215" w:name="_Toc216773114"/>
      <w:r>
        <w:lastRenderedPageBreak/>
        <w:t>Notes</w:t>
      </w:r>
      <w:bookmarkEnd w:id="215"/>
    </w:p>
    <w:p>
      <w:pPr>
        <w:pStyle w:val="nStatement"/>
      </w:pPr>
      <w:r>
        <w:t xml:space="preserve">This is a compilation of the </w:t>
      </w:r>
      <w:r>
        <w:rPr>
          <w:i/>
          <w:noProof/>
        </w:rPr>
        <w:t>Community Protection (Offender Reporting) Act 2004</w:t>
      </w:r>
      <w:r>
        <w:t xml:space="preserve"> and includes amendments made by other written laws</w:t>
      </w:r>
      <w:r>
        <w:rPr>
          <w:i/>
          <w:noProof/>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16" w:name="_Toc216773115"/>
      <w:r>
        <w:t>Compilation table</w:t>
      </w:r>
      <w:bookmarkEnd w:id="216"/>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rPr>
          <w:cantSplit/>
        </w:trP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rPr>
          <w:cantSplit/>
        </w:trP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rPr>
          <w:cantSplit/>
        </w:trP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rPr>
          <w:cantSplit/>
        </w:trP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rPr>
          <w:cantSplit/>
        </w:trPr>
        <w:tc>
          <w:tcPr>
            <w:tcW w:w="2268" w:type="dxa"/>
          </w:tcPr>
          <w:p>
            <w:pPr>
              <w:pStyle w:val="nTable"/>
              <w:spacing w:after="40"/>
              <w:rPr>
                <w:i/>
                <w:iCs/>
                <w:snapToGrid w:val="0"/>
              </w:rPr>
            </w:pPr>
            <w:r>
              <w:rPr>
                <w:i/>
                <w:iCs/>
                <w:snapToGrid w:val="0"/>
              </w:rPr>
              <w:lastRenderedPageBreak/>
              <w:t xml:space="preserve">Community Protection (Offender Reporting) Amendment Act 2012 </w:t>
            </w:r>
            <w:r>
              <w:rPr>
                <w:iCs/>
                <w:snapToGrid w:val="0"/>
              </w:rPr>
              <w:t>Pt. 2 </w:t>
            </w:r>
          </w:p>
        </w:tc>
        <w:tc>
          <w:tcPr>
            <w:tcW w:w="1134" w:type="dxa"/>
          </w:tcPr>
          <w:p>
            <w:pPr>
              <w:pStyle w:val="nTable"/>
              <w:spacing w:after="40"/>
              <w:rPr>
                <w:snapToGrid w:val="0"/>
              </w:rPr>
            </w:pPr>
            <w:r>
              <w:rPr>
                <w:snapToGrid w:val="0"/>
              </w:rPr>
              <w:t>1 of 2012</w:t>
            </w:r>
          </w:p>
        </w:tc>
        <w:tc>
          <w:tcPr>
            <w:tcW w:w="1134" w:type="dxa"/>
          </w:tcPr>
          <w:p>
            <w:pPr>
              <w:pStyle w:val="nTable"/>
              <w:spacing w:after="40"/>
              <w:rPr>
                <w:snapToGrid w:val="0"/>
              </w:rPr>
            </w:pPr>
            <w:r>
              <w:rPr>
                <w:snapToGrid w:val="0"/>
              </w:rPr>
              <w:t>15 Mar 2012</w:t>
            </w:r>
          </w:p>
        </w:tc>
        <w:tc>
          <w:tcPr>
            <w:tcW w:w="2552" w:type="dxa"/>
          </w:tcPr>
          <w:p>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rPr>
          <w:cantSplit/>
        </w:trPr>
        <w:tc>
          <w:tcPr>
            <w:tcW w:w="2268" w:type="dxa"/>
            <w:shd w:val="clear" w:color="auto" w:fill="auto"/>
          </w:tcPr>
          <w:p>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spacing w:after="40"/>
              <w:rPr>
                <w:snapToGrid w:val="0"/>
              </w:rPr>
            </w:pPr>
            <w:r>
              <w:t>54 of 2012</w:t>
            </w:r>
          </w:p>
        </w:tc>
        <w:tc>
          <w:tcPr>
            <w:tcW w:w="1134" w:type="dxa"/>
            <w:shd w:val="clear" w:color="auto" w:fill="auto"/>
          </w:tcPr>
          <w:p>
            <w:pPr>
              <w:pStyle w:val="nTable"/>
              <w:spacing w:after="40"/>
              <w:rPr>
                <w:snapToGrid w:val="0"/>
              </w:rPr>
            </w:pPr>
            <w:r>
              <w:t>3 Dec 2012</w:t>
            </w:r>
          </w:p>
        </w:tc>
        <w:tc>
          <w:tcPr>
            <w:tcW w:w="2552" w:type="dxa"/>
            <w:shd w:val="clear" w:color="auto" w:fill="auto"/>
          </w:tcPr>
          <w:p>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trPr>
          <w:cantSplit/>
        </w:trPr>
        <w:tc>
          <w:tcPr>
            <w:tcW w:w="2268" w:type="dxa"/>
            <w:shd w:val="clear" w:color="auto" w:fill="auto"/>
          </w:tcPr>
          <w:p>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pPr>
              <w:pStyle w:val="nTable"/>
              <w:spacing w:after="40"/>
              <w:rPr>
                <w:b/>
                <w:bCs/>
                <w:snapToGrid w:val="0"/>
              </w:rPr>
            </w:pPr>
            <w:r>
              <w:t>26 of 2016</w:t>
            </w:r>
          </w:p>
        </w:tc>
        <w:tc>
          <w:tcPr>
            <w:tcW w:w="1134" w:type="dxa"/>
            <w:shd w:val="clear" w:color="auto" w:fill="auto"/>
          </w:tcPr>
          <w:p>
            <w:pPr>
              <w:pStyle w:val="nTable"/>
              <w:spacing w:after="40"/>
              <w:rPr>
                <w:b/>
                <w:bCs/>
                <w:snapToGrid w:val="0"/>
              </w:rPr>
            </w:pPr>
            <w:r>
              <w:t>21 Sep 2016</w:t>
            </w:r>
          </w:p>
        </w:tc>
        <w:tc>
          <w:tcPr>
            <w:tcW w:w="2552" w:type="dxa"/>
            <w:shd w:val="clear" w:color="auto" w:fill="auto"/>
          </w:tcPr>
          <w:p>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3</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rPr>
          <w:cantSplit/>
        </w:trPr>
        <w:tc>
          <w:tcPr>
            <w:tcW w:w="2268" w:type="dxa"/>
            <w:shd w:val="clear" w:color="auto" w:fill="auto"/>
          </w:tcPr>
          <w:p>
            <w:pPr>
              <w:pStyle w:val="nTable"/>
              <w:spacing w:after="40"/>
              <w:rPr>
                <w:i/>
                <w:snapToGrid w:val="0"/>
              </w:rPr>
            </w:pPr>
            <w:r>
              <w:rPr>
                <w:i/>
                <w:snapToGrid w:val="0"/>
              </w:rPr>
              <w:t>High Risk Serious Offenders Act 2020</w:t>
            </w:r>
            <w:r>
              <w:rPr>
                <w:snapToGrid w:val="0"/>
              </w:rPr>
              <w:t xml:space="preserve"> Pt. 9 Div. 1 and s. 121</w:t>
            </w:r>
          </w:p>
        </w:tc>
        <w:tc>
          <w:tcPr>
            <w:tcW w:w="1134" w:type="dxa"/>
            <w:shd w:val="clear" w:color="auto" w:fill="auto"/>
          </w:tcPr>
          <w:p>
            <w:pPr>
              <w:pStyle w:val="nTable"/>
              <w:spacing w:after="40"/>
            </w:pPr>
            <w:r>
              <w:t>29 of 2020</w:t>
            </w:r>
          </w:p>
        </w:tc>
        <w:tc>
          <w:tcPr>
            <w:tcW w:w="1134" w:type="dxa"/>
            <w:shd w:val="clear" w:color="auto" w:fill="auto"/>
          </w:tcPr>
          <w:p>
            <w:pPr>
              <w:pStyle w:val="nTable"/>
              <w:spacing w:after="40"/>
            </w:pPr>
            <w:r>
              <w:t>9 Jul 2020</w:t>
            </w:r>
          </w:p>
        </w:tc>
        <w:tc>
          <w:tcPr>
            <w:tcW w:w="2552" w:type="dxa"/>
            <w:shd w:val="clear" w:color="auto" w:fill="auto"/>
          </w:tcPr>
          <w:p>
            <w:pPr>
              <w:pStyle w:val="nTable"/>
              <w:spacing w:after="40"/>
              <w:rPr>
                <w:snapToGrid w:val="0"/>
              </w:rPr>
            </w:pPr>
            <w:r>
              <w:rPr>
                <w:snapToGrid w:val="0"/>
              </w:rPr>
              <w:t>26 Aug 2020 (see s. 2(1)(c) and SL 2020/131 cl. 2)</w:t>
            </w:r>
          </w:p>
        </w:tc>
      </w:tr>
      <w:tr>
        <w:trPr>
          <w:cantSplit/>
        </w:trPr>
        <w:tc>
          <w:tcPr>
            <w:tcW w:w="2268" w:type="dxa"/>
            <w:shd w:val="clear" w:color="auto" w:fill="auto"/>
          </w:tcPr>
          <w:p>
            <w:pPr>
              <w:pStyle w:val="nTable"/>
              <w:spacing w:after="40"/>
              <w:rPr>
                <w:i/>
                <w:snapToGrid w:val="0"/>
              </w:rPr>
            </w:pPr>
            <w:r>
              <w:rPr>
                <w:i/>
                <w:noProof/>
              </w:rPr>
              <w:t xml:space="preserve">Criminal Law (Unlawful Consorting and Prohibited Insignia) Act 2021 </w:t>
            </w:r>
            <w:r>
              <w:rPr>
                <w:noProof/>
              </w:rPr>
              <w:t>Pt. 6 Div. 1</w:t>
            </w:r>
          </w:p>
        </w:tc>
        <w:tc>
          <w:tcPr>
            <w:tcW w:w="1134" w:type="dxa"/>
            <w:shd w:val="clear" w:color="auto" w:fill="auto"/>
          </w:tcPr>
          <w:p>
            <w:pPr>
              <w:pStyle w:val="nTable"/>
              <w:spacing w:after="40"/>
            </w:pPr>
            <w:r>
              <w:t>25 of 2021</w:t>
            </w:r>
          </w:p>
        </w:tc>
        <w:tc>
          <w:tcPr>
            <w:tcW w:w="1134" w:type="dxa"/>
            <w:shd w:val="clear" w:color="auto" w:fill="auto"/>
          </w:tcPr>
          <w:p>
            <w:pPr>
              <w:pStyle w:val="nTable"/>
              <w:spacing w:after="40"/>
            </w:pPr>
            <w:r>
              <w:t>13 Dec 2021</w:t>
            </w:r>
          </w:p>
        </w:tc>
        <w:tc>
          <w:tcPr>
            <w:tcW w:w="2552" w:type="dxa"/>
            <w:shd w:val="clear" w:color="auto" w:fill="auto"/>
          </w:tcPr>
          <w:p>
            <w:pPr>
              <w:pStyle w:val="nTable"/>
              <w:spacing w:after="40"/>
              <w:rPr>
                <w:snapToGrid w:val="0"/>
              </w:rPr>
            </w:pPr>
            <w:r>
              <w:t>24 Dec 2021 (see s. 2(b) and SL 2021/219 cl. 2)</w:t>
            </w:r>
          </w:p>
        </w:tc>
      </w:tr>
      <w:tr>
        <w:trPr>
          <w:cantSplit/>
        </w:trPr>
        <w:tc>
          <w:tcPr>
            <w:tcW w:w="2268" w:type="dxa"/>
            <w:shd w:val="clear" w:color="auto" w:fill="auto"/>
          </w:tcPr>
          <w:p>
            <w:pPr>
              <w:pStyle w:val="nTable"/>
              <w:spacing w:after="40"/>
              <w:rPr>
                <w:i/>
                <w:snapToGrid w:val="0"/>
              </w:rPr>
            </w:pPr>
            <w:r>
              <w:rPr>
                <w:i/>
                <w:snapToGrid w:val="0"/>
              </w:rPr>
              <w:t>Criminal Law (Mental Impairment) Act 2023</w:t>
            </w:r>
            <w:r>
              <w:rPr>
                <w:snapToGrid w:val="0"/>
              </w:rPr>
              <w:t xml:space="preserve"> Pt. 15 Div. 3 and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Pr>
        <w:tc>
          <w:tcPr>
            <w:tcW w:w="2268" w:type="dxa"/>
            <w:shd w:val="clear" w:color="auto" w:fill="auto"/>
          </w:tcPr>
          <w:p>
            <w:pPr>
              <w:pStyle w:val="nTable"/>
              <w:spacing w:after="40"/>
              <w:rPr>
                <w:i/>
                <w:noProof/>
              </w:rPr>
            </w:pPr>
            <w:r>
              <w:rPr>
                <w:i/>
                <w:snapToGrid w:val="0"/>
              </w:rPr>
              <w:t>Western Australian Marine Amendment Act 2023</w:t>
            </w:r>
            <w:r>
              <w:rPr>
                <w:iCs/>
                <w:snapToGrid w:val="0"/>
              </w:rPr>
              <w:t xml:space="preserve"> s. 29</w:t>
            </w:r>
          </w:p>
        </w:tc>
        <w:tc>
          <w:tcPr>
            <w:tcW w:w="1134" w:type="dxa"/>
            <w:shd w:val="clear" w:color="auto" w:fill="auto"/>
          </w:tcPr>
          <w:p>
            <w:pPr>
              <w:pStyle w:val="nTable"/>
              <w:spacing w:after="40"/>
            </w:pPr>
            <w:r>
              <w:t>31 of 2023</w:t>
            </w:r>
          </w:p>
        </w:tc>
        <w:tc>
          <w:tcPr>
            <w:tcW w:w="1134" w:type="dxa"/>
            <w:shd w:val="clear" w:color="auto" w:fill="auto"/>
          </w:tcPr>
          <w:p>
            <w:pPr>
              <w:pStyle w:val="nTable"/>
              <w:spacing w:after="40"/>
            </w:pPr>
            <w:r>
              <w:t>11 Dec 2023</w:t>
            </w:r>
          </w:p>
        </w:tc>
        <w:tc>
          <w:tcPr>
            <w:tcW w:w="2552" w:type="dxa"/>
            <w:shd w:val="clear" w:color="auto" w:fill="auto"/>
          </w:tcPr>
          <w:p>
            <w:pPr>
              <w:pStyle w:val="nTable"/>
              <w:spacing w:after="40"/>
            </w:pPr>
            <w:r>
              <w:t>21 Dec 2023 (see s. 2(c) and SL 2023/202 cl. 2(a))</w:t>
            </w:r>
          </w:p>
        </w:tc>
      </w:tr>
      <w:tr>
        <w:trPr>
          <w:cantSplit/>
        </w:trPr>
        <w:tc>
          <w:tcPr>
            <w:tcW w:w="2268" w:type="dxa"/>
            <w:shd w:val="clear" w:color="auto" w:fill="auto"/>
          </w:tcPr>
          <w:p>
            <w:pPr>
              <w:pStyle w:val="nTable"/>
              <w:spacing w:after="40"/>
              <w:rPr>
                <w:i/>
                <w:snapToGrid w:val="0"/>
              </w:rPr>
            </w:pPr>
            <w:r>
              <w:rPr>
                <w:i/>
                <w:snapToGrid w:val="0"/>
              </w:rPr>
              <w:t xml:space="preserve">Births, Deaths and Marriages Registration Amendment (Sex or Gender Changes) Act 2024 </w:t>
            </w:r>
            <w:r>
              <w:rPr>
                <w:iCs/>
                <w:snapToGrid w:val="0"/>
              </w:rPr>
              <w:t>Pt. 4 Div. 2</w:t>
            </w:r>
          </w:p>
        </w:tc>
        <w:tc>
          <w:tcPr>
            <w:tcW w:w="1134" w:type="dxa"/>
            <w:shd w:val="clear" w:color="auto" w:fill="auto"/>
          </w:tcPr>
          <w:p>
            <w:pPr>
              <w:pStyle w:val="nTable"/>
              <w:spacing w:after="40"/>
            </w:pPr>
            <w:r>
              <w:t>31 of 2024</w:t>
            </w:r>
          </w:p>
        </w:tc>
        <w:tc>
          <w:tcPr>
            <w:tcW w:w="1134" w:type="dxa"/>
            <w:shd w:val="clear" w:color="auto" w:fill="auto"/>
          </w:tcPr>
          <w:p>
            <w:pPr>
              <w:pStyle w:val="nTable"/>
              <w:spacing w:after="40"/>
            </w:pPr>
            <w:r>
              <w:t>26 Sep 2024</w:t>
            </w:r>
          </w:p>
        </w:tc>
        <w:tc>
          <w:tcPr>
            <w:tcW w:w="2552" w:type="dxa"/>
            <w:shd w:val="clear" w:color="auto" w:fill="auto"/>
          </w:tcPr>
          <w:p>
            <w:pPr>
              <w:pStyle w:val="nTable"/>
              <w:spacing w:after="40"/>
            </w:pPr>
            <w:r>
              <w:rPr>
                <w:snapToGrid w:val="0"/>
              </w:rPr>
              <w:t>30 May 2025 (see s. 2(b) and SL 2025/80 cl. 2)</w:t>
            </w:r>
          </w:p>
        </w:tc>
      </w:tr>
      <w:tr>
        <w:trPr>
          <w:cantSplit/>
        </w:trPr>
        <w:tc>
          <w:tcPr>
            <w:tcW w:w="2268" w:type="dxa"/>
            <w:tcBorders>
              <w:bottom w:val="single" w:sz="4" w:space="0" w:color="auto"/>
            </w:tcBorders>
            <w:shd w:val="clear" w:color="auto" w:fill="auto"/>
          </w:tcPr>
          <w:p>
            <w:pPr>
              <w:pStyle w:val="nTable"/>
              <w:spacing w:after="40"/>
              <w:rPr>
                <w:i/>
                <w:snapToGrid w:val="0"/>
              </w:rPr>
            </w:pPr>
            <w:r>
              <w:rPr>
                <w:i/>
                <w:snapToGrid w:val="0"/>
              </w:rPr>
              <w:lastRenderedPageBreak/>
              <w:t>Community Protection (Offender Reporting) Amendment Act 2024</w:t>
            </w:r>
            <w:r>
              <w:rPr>
                <w:iCs/>
                <w:snapToGrid w:val="0"/>
              </w:rPr>
              <w:t xml:space="preserve"> Pt. 2 Div. 1</w:t>
            </w:r>
          </w:p>
        </w:tc>
        <w:tc>
          <w:tcPr>
            <w:tcW w:w="1134" w:type="dxa"/>
            <w:tcBorders>
              <w:bottom w:val="single" w:sz="4" w:space="0" w:color="auto"/>
            </w:tcBorders>
            <w:shd w:val="clear" w:color="auto" w:fill="auto"/>
          </w:tcPr>
          <w:p>
            <w:pPr>
              <w:pStyle w:val="nTable"/>
              <w:spacing w:after="40"/>
            </w:pPr>
            <w:r>
              <w:t>35 of 2024</w:t>
            </w:r>
          </w:p>
        </w:tc>
        <w:tc>
          <w:tcPr>
            <w:tcW w:w="1134" w:type="dxa"/>
            <w:tcBorders>
              <w:bottom w:val="single" w:sz="4" w:space="0" w:color="auto"/>
            </w:tcBorders>
            <w:shd w:val="clear" w:color="auto" w:fill="auto"/>
          </w:tcPr>
          <w:p>
            <w:pPr>
              <w:pStyle w:val="nTable"/>
              <w:spacing w:after="40"/>
            </w:pPr>
            <w:r>
              <w:t>22 Oct 2024</w:t>
            </w:r>
          </w:p>
        </w:tc>
        <w:tc>
          <w:tcPr>
            <w:tcW w:w="2552" w:type="dxa"/>
            <w:tcBorders>
              <w:bottom w:val="single" w:sz="4" w:space="0" w:color="auto"/>
            </w:tcBorders>
            <w:shd w:val="clear" w:color="auto" w:fill="auto"/>
          </w:tcPr>
          <w:p>
            <w:pPr>
              <w:pStyle w:val="nTable"/>
              <w:spacing w:after="40"/>
              <w:rPr>
                <w:snapToGrid w:val="0"/>
              </w:rPr>
            </w:pPr>
            <w:r>
              <w:rPr>
                <w:snapToGrid w:val="0"/>
              </w:rPr>
              <w:t>28 Jul 2025 (see s. 2(b) and SL 2025/137 cl. 2)</w:t>
            </w:r>
          </w:p>
        </w:tc>
      </w:tr>
    </w:tbl>
    <w:p>
      <w:pPr>
        <w:pStyle w:val="nHeading3"/>
      </w:pPr>
      <w:bookmarkStart w:id="217" w:name="_Toc216773116"/>
      <w:r>
        <w:t>Uncommenced provisions table</w:t>
      </w:r>
      <w:bookmarkEnd w:id="217"/>
    </w:p>
    <w:p>
      <w:pPr>
        <w:pStyle w:val="nStatement"/>
        <w:keepNext/>
        <w:spacing w:after="240"/>
      </w:pPr>
      <w:r>
        <w:t xml:space="preserve">To view the text of the uncommenced provisions see </w:t>
      </w:r>
      <w:r>
        <w:rPr>
          <w:i/>
        </w:rPr>
        <w:t>Acts as passed</w:t>
      </w:r>
      <w:r>
        <w:t xml:space="preserve"> on the WA legislation website.</w:t>
      </w:r>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single" w:sz="8" w:space="0" w:color="auto"/>
              <w:bottom w:val="nil"/>
            </w:tcBorders>
          </w:tcPr>
          <w:p>
            <w:pPr>
              <w:pStyle w:val="nTable"/>
              <w:spacing w:after="40"/>
              <w:rPr>
                <w:vertAlign w:val="superscript"/>
              </w:rPr>
            </w:pPr>
            <w:r>
              <w:rPr>
                <w:i/>
                <w:noProof/>
                <w:snapToGrid w:val="0"/>
              </w:rPr>
              <w:t>Community Protection (Offender Reporting) Act 2004</w:t>
            </w:r>
            <w:r>
              <w:rPr>
                <w:noProof/>
                <w:snapToGrid w:val="0"/>
              </w:rPr>
              <w:t xml:space="preserve"> s. 12 and Sch. 3</w:t>
            </w:r>
          </w:p>
        </w:tc>
        <w:tc>
          <w:tcPr>
            <w:tcW w:w="1133" w:type="dxa"/>
            <w:tcBorders>
              <w:top w:val="single" w:sz="8" w:space="0" w:color="auto"/>
              <w:bottom w:val="nil"/>
            </w:tcBorders>
          </w:tcPr>
          <w:p>
            <w:pPr>
              <w:pStyle w:val="nTable"/>
              <w:spacing w:after="40"/>
            </w:pPr>
            <w:r>
              <w:t>72 of 2004 (as amended by No. 29 of 2008 s. 25(4))</w:t>
            </w:r>
          </w:p>
        </w:tc>
        <w:tc>
          <w:tcPr>
            <w:tcW w:w="1133" w:type="dxa"/>
            <w:tcBorders>
              <w:top w:val="single" w:sz="8" w:space="0" w:color="auto"/>
              <w:bottom w:val="nil"/>
            </w:tcBorders>
          </w:tcPr>
          <w:p>
            <w:pPr>
              <w:pStyle w:val="nTable"/>
              <w:spacing w:after="40"/>
            </w:pPr>
            <w:r>
              <w:t>8 Dec 2004</w:t>
            </w:r>
          </w:p>
        </w:tc>
        <w:tc>
          <w:tcPr>
            <w:tcW w:w="2550" w:type="dxa"/>
            <w:tcBorders>
              <w:top w:val="single" w:sz="8" w:space="0" w:color="auto"/>
              <w:bottom w:val="nil"/>
            </w:tcBorders>
          </w:tcPr>
          <w:p>
            <w:pPr>
              <w:pStyle w:val="nTable"/>
              <w:spacing w:after="40"/>
              <w:rPr>
                <w:snapToGrid w:val="0"/>
              </w:rPr>
            </w:pPr>
            <w:r>
              <w:rPr>
                <w:snapToGrid w:val="0"/>
              </w:rPr>
              <w:t>To be proclaimed (see s. 2)</w:t>
            </w:r>
          </w:p>
        </w:tc>
      </w:tr>
      <w:tr>
        <w:trPr>
          <w:cantSplit/>
        </w:trPr>
        <w:tc>
          <w:tcPr>
            <w:tcW w:w="2266" w:type="dxa"/>
            <w:tcBorders>
              <w:top w:val="nil"/>
              <w:bottom w:val="nil"/>
            </w:tcBorders>
            <w:shd w:val="clear" w:color="auto" w:fill="auto"/>
          </w:tcPr>
          <w:p>
            <w:pPr>
              <w:pStyle w:val="nTable"/>
              <w:spacing w:after="40"/>
              <w:rPr>
                <w:i/>
                <w:snapToGrid w:val="0"/>
              </w:rPr>
            </w:pPr>
            <w:r>
              <w:rPr>
                <w:i/>
                <w:snapToGrid w:val="0"/>
              </w:rPr>
              <w:t>Prostitution Amendment Act 2008</w:t>
            </w:r>
            <w:r>
              <w:rPr>
                <w:iCs/>
                <w:snapToGrid w:val="0"/>
              </w:rPr>
              <w:t xml:space="preserve"> s. 29</w:t>
            </w:r>
          </w:p>
        </w:tc>
        <w:tc>
          <w:tcPr>
            <w:tcW w:w="1133" w:type="dxa"/>
            <w:tcBorders>
              <w:top w:val="nil"/>
              <w:bottom w:val="nil"/>
            </w:tcBorders>
            <w:shd w:val="clear" w:color="auto" w:fill="auto"/>
          </w:tcPr>
          <w:p>
            <w:pPr>
              <w:pStyle w:val="nTable"/>
              <w:spacing w:after="40"/>
            </w:pPr>
            <w:r>
              <w:t>13 of 2008</w:t>
            </w:r>
          </w:p>
        </w:tc>
        <w:tc>
          <w:tcPr>
            <w:tcW w:w="1133" w:type="dxa"/>
            <w:tcBorders>
              <w:top w:val="nil"/>
              <w:bottom w:val="nil"/>
            </w:tcBorders>
            <w:shd w:val="clear" w:color="auto" w:fill="auto"/>
          </w:tcPr>
          <w:p>
            <w:pPr>
              <w:pStyle w:val="nTable"/>
              <w:spacing w:after="40"/>
            </w:pPr>
            <w:r>
              <w:t>14 Apr 2008</w:t>
            </w:r>
          </w:p>
        </w:tc>
        <w:tc>
          <w:tcPr>
            <w:tcW w:w="2550" w:type="dxa"/>
            <w:tcBorders>
              <w:top w:val="nil"/>
              <w:bottom w:val="nil"/>
            </w:tcBorders>
            <w:shd w:val="clear" w:color="auto" w:fill="auto"/>
          </w:tcPr>
          <w:p>
            <w:pPr>
              <w:pStyle w:val="nTable"/>
              <w:spacing w:after="40"/>
              <w:rPr>
                <w:snapToGrid w:val="0"/>
              </w:rPr>
            </w:pPr>
            <w:r>
              <w:rPr>
                <w:snapToGrid w:val="0"/>
              </w:rPr>
              <w:t>To be proclaimed (see s. 2(b))</w:t>
            </w:r>
          </w:p>
        </w:tc>
      </w:tr>
      <w:tr>
        <w:trPr>
          <w:cantSplit/>
        </w:trPr>
        <w:tc>
          <w:tcPr>
            <w:tcW w:w="2266" w:type="dxa"/>
            <w:tcBorders>
              <w:top w:val="nil"/>
              <w:bottom w:val="nil"/>
            </w:tcBorders>
            <w:shd w:val="clear" w:color="auto" w:fill="auto"/>
          </w:tcPr>
          <w:p>
            <w:pPr>
              <w:pStyle w:val="nTable"/>
              <w:spacing w:after="40"/>
              <w:rPr>
                <w:iCs/>
                <w:snapToGrid w:val="0"/>
              </w:rPr>
            </w:pPr>
            <w:r>
              <w:rPr>
                <w:i/>
                <w:snapToGrid w:val="0"/>
              </w:rPr>
              <w:t>Community Protection (Offender Reporting) Amendment Act 2024</w:t>
            </w:r>
            <w:r>
              <w:rPr>
                <w:iCs/>
                <w:snapToGrid w:val="0"/>
              </w:rPr>
              <w:t xml:space="preserve"> Pt. 3 Div. 1 and Pt. 4</w:t>
            </w:r>
          </w:p>
        </w:tc>
        <w:tc>
          <w:tcPr>
            <w:tcW w:w="1133" w:type="dxa"/>
            <w:tcBorders>
              <w:top w:val="nil"/>
              <w:bottom w:val="nil"/>
            </w:tcBorders>
            <w:shd w:val="clear" w:color="auto" w:fill="auto"/>
          </w:tcPr>
          <w:p>
            <w:pPr>
              <w:pStyle w:val="nTable"/>
              <w:spacing w:after="40"/>
            </w:pPr>
            <w:r>
              <w:t>35 of 2024</w:t>
            </w:r>
          </w:p>
        </w:tc>
        <w:tc>
          <w:tcPr>
            <w:tcW w:w="1133" w:type="dxa"/>
            <w:tcBorders>
              <w:top w:val="nil"/>
              <w:bottom w:val="nil"/>
            </w:tcBorders>
            <w:shd w:val="clear" w:color="auto" w:fill="auto"/>
          </w:tcPr>
          <w:p>
            <w:pPr>
              <w:pStyle w:val="nTable"/>
              <w:spacing w:after="40"/>
            </w:pPr>
            <w:r>
              <w:t>22 Oct 2024</w:t>
            </w:r>
          </w:p>
        </w:tc>
        <w:tc>
          <w:tcPr>
            <w:tcW w:w="2550" w:type="dxa"/>
            <w:tcBorders>
              <w:top w:val="nil"/>
              <w:bottom w:val="nil"/>
            </w:tcBorders>
            <w:shd w:val="clear" w:color="auto" w:fill="auto"/>
          </w:tcPr>
          <w:p>
            <w:pPr>
              <w:pStyle w:val="nTable"/>
              <w:spacing w:after="40"/>
              <w:rPr>
                <w:snapToGrid w:val="0"/>
              </w:rPr>
            </w:pPr>
            <w:r>
              <w:rPr>
                <w:snapToGrid w:val="0"/>
              </w:rPr>
              <w:t>Pt. 3 Div. 1: 31 Dec 2025 (see s. 2(b)</w:t>
            </w:r>
            <w:r>
              <w:t xml:space="preserve"> and SL 2025/201 cl. 2</w:t>
            </w:r>
            <w:r>
              <w:rPr>
                <w:snapToGrid w:val="0"/>
              </w:rPr>
              <w:t>);</w:t>
            </w:r>
            <w:r>
              <w:rPr>
                <w:snapToGrid w:val="0"/>
              </w:rPr>
              <w:br/>
              <w:t>Pt. 4: to be proclaimed (see s. 2(b))</w:t>
            </w:r>
          </w:p>
        </w:tc>
      </w:tr>
      <w:tr>
        <w:trPr>
          <w:cantSplit/>
        </w:trPr>
        <w:tc>
          <w:tcPr>
            <w:tcW w:w="2266" w:type="dxa"/>
            <w:tcBorders>
              <w:top w:val="nil"/>
              <w:bottom w:val="single" w:sz="4" w:space="0" w:color="auto"/>
            </w:tcBorders>
            <w:shd w:val="clear" w:color="auto" w:fill="auto"/>
          </w:tcPr>
          <w:p>
            <w:pPr>
              <w:pStyle w:val="nTable"/>
              <w:spacing w:after="40"/>
              <w:rPr>
                <w:i/>
                <w:snapToGrid w:val="0"/>
              </w:rPr>
            </w:pPr>
            <w:r>
              <w:rPr>
                <w:i/>
                <w:snapToGrid w:val="0"/>
              </w:rPr>
              <w:t xml:space="preserve">Evidence Act 2025 </w:t>
            </w:r>
            <w:r>
              <w:rPr>
                <w:iCs/>
                <w:snapToGrid w:val="0"/>
              </w:rPr>
              <w:t>s. 492(2)</w:t>
            </w:r>
          </w:p>
        </w:tc>
        <w:tc>
          <w:tcPr>
            <w:tcW w:w="1133" w:type="dxa"/>
            <w:tcBorders>
              <w:top w:val="nil"/>
              <w:bottom w:val="single" w:sz="4" w:space="0" w:color="auto"/>
            </w:tcBorders>
            <w:shd w:val="clear" w:color="auto" w:fill="auto"/>
          </w:tcPr>
          <w:p>
            <w:pPr>
              <w:pStyle w:val="nTable"/>
              <w:spacing w:after="40"/>
            </w:pPr>
            <w:r>
              <w:t>15 of 2025</w:t>
            </w:r>
          </w:p>
        </w:tc>
        <w:tc>
          <w:tcPr>
            <w:tcW w:w="1133" w:type="dxa"/>
            <w:tcBorders>
              <w:top w:val="nil"/>
              <w:bottom w:val="single" w:sz="4" w:space="0" w:color="auto"/>
            </w:tcBorders>
            <w:shd w:val="clear" w:color="auto" w:fill="auto"/>
          </w:tcPr>
          <w:p>
            <w:pPr>
              <w:pStyle w:val="nTable"/>
              <w:spacing w:after="40"/>
            </w:pPr>
            <w:r>
              <w:t>25 Sep 2025</w:t>
            </w:r>
          </w:p>
        </w:tc>
        <w:tc>
          <w:tcPr>
            <w:tcW w:w="2550" w:type="dxa"/>
            <w:tcBorders>
              <w:top w:val="nil"/>
              <w:bottom w:val="single" w:sz="4" w:space="0" w:color="auto"/>
            </w:tcBorders>
            <w:shd w:val="clear" w:color="auto" w:fill="auto"/>
          </w:tcPr>
          <w:p>
            <w:pPr>
              <w:pStyle w:val="nTable"/>
              <w:spacing w:after="40"/>
              <w:rPr>
                <w:snapToGrid w:val="0"/>
              </w:rPr>
            </w:pPr>
            <w:r>
              <w:rPr>
                <w:snapToGrid w:val="0"/>
              </w:rPr>
              <w:t>To be proclaimed (see s. 2(e))</w:t>
            </w:r>
          </w:p>
        </w:tc>
      </w:tr>
    </w:tbl>
    <w:p>
      <w:pPr>
        <w:pStyle w:val="nHeading3"/>
      </w:pPr>
      <w:bookmarkStart w:id="218" w:name="_Toc216773117"/>
      <w:r>
        <w:t>Other notes</w:t>
      </w:r>
      <w:bookmarkEnd w:id="218"/>
    </w:p>
    <w:p>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20" w:name="_Toc216773118"/>
      <w:r>
        <w:rPr>
          <w:sz w:val="28"/>
        </w:rPr>
        <w:lastRenderedPageBreak/>
        <w:t>Defined terms</w:t>
      </w:r>
      <w:bookmarkEnd w:id="2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 official</w:t>
      </w:r>
      <w:r>
        <w:tab/>
        <w:t>82(1A)</w:t>
      </w:r>
    </w:p>
    <w:p>
      <w:pPr>
        <w:pStyle w:val="DefinedTerms"/>
      </w:pPr>
      <w:r>
        <w:t>animosity towards</w:t>
      </w:r>
      <w:r>
        <w:tab/>
        <w:t>85L(1)</w:t>
      </w:r>
    </w:p>
    <w:p>
      <w:pPr>
        <w:pStyle w:val="DefinedTerms"/>
      </w:pPr>
      <w:r>
        <w:t>application</w:t>
      </w:r>
      <w:r>
        <w:tab/>
        <w:t>110A(1)</w:t>
      </w:r>
    </w:p>
    <w:p>
      <w:pPr>
        <w:pStyle w:val="DefinedTerms"/>
      </w:pPr>
      <w:r>
        <w:t>approved place</w:t>
      </w:r>
      <w:r>
        <w:tab/>
        <w:t>3</w:t>
      </w:r>
    </w:p>
    <w:p>
      <w:pPr>
        <w:pStyle w:val="DefinedTerms"/>
      </w:pPr>
      <w:r>
        <w:t>APS employee</w:t>
      </w:r>
      <w:r>
        <w:tab/>
        <w:t>82(1A)</w:t>
      </w:r>
    </w:p>
    <w:p>
      <w:pPr>
        <w:pStyle w:val="DefinedTerms"/>
      </w:pPr>
      <w:r>
        <w:t>authorised person</w:t>
      </w:r>
      <w:r>
        <w:tab/>
        <w:t>3</w:t>
      </w:r>
    </w:p>
    <w:p>
      <w:pPr>
        <w:pStyle w:val="DefinedTerms"/>
      </w:pPr>
      <w:r>
        <w:t>authorised police officer</w:t>
      </w:r>
      <w:r>
        <w:tab/>
        <w:t>85</w:t>
      </w:r>
    </w:p>
    <w:p>
      <w:pPr>
        <w:pStyle w:val="DefinedTerms"/>
      </w:pPr>
      <w:r>
        <w:t>change of name application</w:t>
      </w:r>
      <w:r>
        <w:tab/>
        <w:t>80A</w:t>
      </w:r>
    </w:p>
    <w:p>
      <w:pPr>
        <w:pStyle w:val="DefinedTerms"/>
      </w:pPr>
      <w:r>
        <w:t>child</w:t>
      </w:r>
      <w:r>
        <w:tab/>
        <w:t>3</w:t>
      </w:r>
    </w:p>
    <w:p>
      <w:pPr>
        <w:pStyle w:val="DefinedTerms"/>
      </w:pPr>
      <w:r>
        <w:t>child protection order</w:t>
      </w:r>
      <w:r>
        <w:tab/>
        <w:t>85</w:t>
      </w:r>
    </w:p>
    <w:p>
      <w:pPr>
        <w:pStyle w:val="DefinedTerms"/>
      </w:pPr>
      <w:r>
        <w:t>Class 1 offence</w:t>
      </w:r>
      <w:r>
        <w:tab/>
        <w:t>3</w:t>
      </w:r>
    </w:p>
    <w:p>
      <w:pPr>
        <w:pStyle w:val="DefinedTerms"/>
      </w:pPr>
      <w:r>
        <w:t>Class 2 offence</w:t>
      </w:r>
      <w:r>
        <w:tab/>
        <w:t>3</w:t>
      </w:r>
    </w:p>
    <w:p>
      <w:pPr>
        <w:pStyle w:val="DefinedTerms"/>
      </w:pPr>
      <w:r>
        <w:t>Class 3 offence</w:t>
      </w:r>
      <w:r>
        <w:tab/>
        <w:t>3</w:t>
      </w:r>
    </w:p>
    <w:p>
      <w:pPr>
        <w:pStyle w:val="DefinedTerms"/>
      </w:pPr>
      <w:r>
        <w:t>commencement day</w:t>
      </w:r>
      <w:r>
        <w:tab/>
        <w:t>3, 119</w:t>
      </w:r>
    </w:p>
    <w:p>
      <w:pPr>
        <w:pStyle w:val="DefinedTerms"/>
      </w:pPr>
      <w:r>
        <w:t>Commissioner</w:t>
      </w:r>
      <w:r>
        <w:tab/>
        <w:t>3</w:t>
      </w:r>
    </w:p>
    <w:p>
      <w:pPr>
        <w:pStyle w:val="DefinedTerms"/>
      </w:pPr>
      <w:r>
        <w:t>community order</w:t>
      </w:r>
      <w:r>
        <w:tab/>
        <w:t>3</w:t>
      </w:r>
    </w:p>
    <w:p>
      <w:pPr>
        <w:pStyle w:val="DefinedTerms"/>
      </w:pPr>
      <w:r>
        <w:t>conduct</w:t>
      </w:r>
      <w:r>
        <w:tab/>
        <w:t>85</w:t>
      </w:r>
    </w:p>
    <w:p>
      <w:pPr>
        <w:pStyle w:val="DefinedTerms"/>
      </w:pPr>
      <w:r>
        <w:t>corresponding Act</w:t>
      </w:r>
      <w:r>
        <w:tab/>
        <w:t>3</w:t>
      </w:r>
    </w:p>
    <w:p>
      <w:pPr>
        <w:pStyle w:val="DefinedTerms"/>
      </w:pPr>
      <w:r>
        <w:t>corresponding offender reporting order</w:t>
      </w:r>
      <w:r>
        <w:tab/>
        <w:t>3</w:t>
      </w:r>
    </w:p>
    <w:p>
      <w:pPr>
        <w:pStyle w:val="DefinedTerms"/>
      </w:pPr>
      <w:r>
        <w:t>corresponding protection order</w:t>
      </w:r>
      <w:r>
        <w:tab/>
        <w:t>85</w:t>
      </w:r>
    </w:p>
    <w:p>
      <w:pPr>
        <w:pStyle w:val="DefinedTerms"/>
      </w:pPr>
      <w:r>
        <w:t>corresponding registrar</w:t>
      </w:r>
      <w:r>
        <w:tab/>
        <w:t>2(2)</w:t>
      </w:r>
    </w:p>
    <w:p>
      <w:pPr>
        <w:pStyle w:val="DefinedTerms"/>
      </w:pPr>
      <w:r>
        <w:t>corresponding reportable offence</w:t>
      </w:r>
      <w:r>
        <w:tab/>
        <w:t>2(2)</w:t>
      </w:r>
    </w:p>
    <w:p>
      <w:pPr>
        <w:pStyle w:val="DefinedTerms"/>
      </w:pPr>
      <w:r>
        <w:t>corresponding reportable offender</w:t>
      </w:r>
      <w:r>
        <w:tab/>
        <w:t>3</w:t>
      </w:r>
    </w:p>
    <w:p>
      <w:pPr>
        <w:pStyle w:val="DefinedTerms"/>
      </w:pPr>
      <w:r>
        <w:t>court</w:t>
      </w:r>
      <w:r>
        <w:tab/>
        <w:t>3, 14, 68(1), 85</w:t>
      </w:r>
    </w:p>
    <w:p>
      <w:pPr>
        <w:pStyle w:val="DefinedTerms"/>
      </w:pPr>
      <w:r>
        <w:t>court record</w:t>
      </w:r>
      <w:r>
        <w:tab/>
        <w:t>17(4), 86(4)</w:t>
      </w:r>
    </w:p>
    <w:p>
      <w:pPr>
        <w:pStyle w:val="DefinedTerms"/>
      </w:pPr>
      <w:r>
        <w:t>Department of Corrective Services</w:t>
      </w:r>
      <w:r>
        <w:tab/>
        <w:t>85G(1)</w:t>
      </w:r>
    </w:p>
    <w:p>
      <w:pPr>
        <w:pStyle w:val="DefinedTerms"/>
      </w:pPr>
      <w:r>
        <w:t>detainee</w:t>
      </w:r>
      <w:r>
        <w:tab/>
        <w:t>3</w:t>
      </w:r>
    </w:p>
    <w:p>
      <w:pPr>
        <w:pStyle w:val="DefinedTerms"/>
      </w:pPr>
      <w:r>
        <w:t>detainee under the CLMI Act</w:t>
      </w:r>
      <w:r>
        <w:tab/>
        <w:t>3</w:t>
      </w:r>
    </w:p>
    <w:p>
      <w:pPr>
        <w:pStyle w:val="DefinedTerms"/>
      </w:pPr>
      <w:r>
        <w:t>disability</w:t>
      </w:r>
      <w:r>
        <w:tab/>
        <w:t>3</w:t>
      </w:r>
    </w:p>
    <w:p>
      <w:pPr>
        <w:pStyle w:val="DefinedTerms"/>
      </w:pPr>
      <w:r>
        <w:t>display</w:t>
      </w:r>
      <w:r>
        <w:tab/>
        <w:t>85M(1)</w:t>
      </w:r>
    </w:p>
    <w:p>
      <w:pPr>
        <w:pStyle w:val="DefinedTerms"/>
      </w:pPr>
      <w:r>
        <w:t>distribute</w:t>
      </w:r>
      <w:r>
        <w:tab/>
        <w:t>85M(1)</w:t>
      </w:r>
    </w:p>
    <w:p>
      <w:pPr>
        <w:pStyle w:val="DefinedTerms"/>
      </w:pPr>
      <w:r>
        <w:t>electronic device</w:t>
      </w:r>
      <w:r>
        <w:tab/>
        <w:t>3</w:t>
      </w:r>
    </w:p>
    <w:p>
      <w:pPr>
        <w:pStyle w:val="DefinedTerms"/>
      </w:pPr>
      <w:r>
        <w:t>existing controlled reportable offender</w:t>
      </w:r>
      <w:r>
        <w:tab/>
        <w:t>3</w:t>
      </w:r>
    </w:p>
    <w:p>
      <w:pPr>
        <w:pStyle w:val="DefinedTerms"/>
      </w:pPr>
      <w:r>
        <w:t>existing licensee</w:t>
      </w:r>
      <w:r>
        <w:tab/>
        <w:t>3</w:t>
      </w:r>
    </w:p>
    <w:p>
      <w:pPr>
        <w:pStyle w:val="DefinedTerms"/>
      </w:pPr>
      <w:r>
        <w:t>existing order</w:t>
      </w:r>
      <w:r>
        <w:tab/>
        <w:t>90(4)</w:t>
      </w:r>
    </w:p>
    <w:p>
      <w:pPr>
        <w:pStyle w:val="DefinedTerms"/>
      </w:pPr>
      <w:r>
        <w:t>family order</w:t>
      </w:r>
      <w:r>
        <w:tab/>
        <w:t>107(1)</w:t>
      </w:r>
    </w:p>
    <w:p>
      <w:pPr>
        <w:pStyle w:val="DefinedTerms"/>
      </w:pPr>
      <w:r>
        <w:t>finding of guilt</w:t>
      </w:r>
      <w:r>
        <w:tab/>
        <w:t>3</w:t>
      </w:r>
    </w:p>
    <w:p>
      <w:pPr>
        <w:pStyle w:val="DefinedTerms"/>
      </w:pPr>
      <w:r>
        <w:t>foreign jurisdiction</w:t>
      </w:r>
      <w:r>
        <w:tab/>
        <w:t>3</w:t>
      </w:r>
    </w:p>
    <w:p>
      <w:pPr>
        <w:pStyle w:val="DefinedTerms"/>
      </w:pPr>
      <w:r>
        <w:t>foreign witness protection law</w:t>
      </w:r>
      <w:r>
        <w:tab/>
        <w:t>3</w:t>
      </w:r>
    </w:p>
    <w:p>
      <w:pPr>
        <w:pStyle w:val="DefinedTerms"/>
      </w:pPr>
      <w:r>
        <w:lastRenderedPageBreak/>
        <w:t>forensic database</w:t>
      </w:r>
      <w:r>
        <w:tab/>
        <w:t>40A(1)</w:t>
      </w:r>
    </w:p>
    <w:p>
      <w:pPr>
        <w:pStyle w:val="DefinedTerms"/>
      </w:pPr>
      <w:r>
        <w:t>generally resides</w:t>
      </w:r>
      <w:r>
        <w:tab/>
        <w:t>94C(1)</w:t>
      </w:r>
    </w:p>
    <w:p>
      <w:pPr>
        <w:pStyle w:val="DefinedTerms"/>
      </w:pPr>
      <w:r>
        <w:t>government custody</w:t>
      </w:r>
      <w:r>
        <w:tab/>
        <w:t>3</w:t>
      </w:r>
    </w:p>
    <w:p>
      <w:pPr>
        <w:pStyle w:val="DefinedTerms"/>
      </w:pPr>
      <w:r>
        <w:t>harassment</w:t>
      </w:r>
      <w:r>
        <w:tab/>
        <w:t>85L(1)</w:t>
      </w:r>
    </w:p>
    <w:p>
      <w:pPr>
        <w:pStyle w:val="DefinedTerms"/>
      </w:pPr>
      <w:r>
        <w:t>HRO supervision order</w:t>
      </w:r>
      <w:r>
        <w:tab/>
        <w:t>85A</w:t>
      </w:r>
    </w:p>
    <w:p>
      <w:pPr>
        <w:pStyle w:val="DefinedTerms"/>
      </w:pPr>
      <w:r>
        <w:t>identified offender</w:t>
      </w:r>
      <w:r>
        <w:tab/>
        <w:t>85L(1)</w:t>
      </w:r>
    </w:p>
    <w:p>
      <w:pPr>
        <w:pStyle w:val="DefinedTerms"/>
      </w:pPr>
      <w:r>
        <w:t>identifying information</w:t>
      </w:r>
      <w:r>
        <w:tab/>
        <w:t>85I(1), 85M(1)</w:t>
      </w:r>
    </w:p>
    <w:p>
      <w:pPr>
        <w:pStyle w:val="DefinedTerms"/>
      </w:pPr>
      <w:r>
        <w:t>immigration detention</w:t>
      </w:r>
      <w:r>
        <w:tab/>
        <w:t>3</w:t>
      </w:r>
    </w:p>
    <w:p>
      <w:pPr>
        <w:pStyle w:val="DefinedTerms"/>
      </w:pPr>
      <w:r>
        <w:t>incidental communication application</w:t>
      </w:r>
      <w:r>
        <w:tab/>
        <w:t>26(5)</w:t>
      </w:r>
    </w:p>
    <w:p>
      <w:pPr>
        <w:pStyle w:val="DefinedTerms"/>
      </w:pPr>
      <w:r>
        <w:t>information</w:t>
      </w:r>
      <w:r>
        <w:tab/>
        <w:t>85GA(2), 85K(1)</w:t>
      </w:r>
    </w:p>
    <w:p>
      <w:pPr>
        <w:pStyle w:val="DefinedTerms"/>
      </w:pPr>
      <w:r>
        <w:t>in person</w:t>
      </w:r>
      <w:r>
        <w:tab/>
        <w:t>5(2)</w:t>
      </w:r>
    </w:p>
    <w:p>
      <w:pPr>
        <w:pStyle w:val="DefinedTerms"/>
      </w:pPr>
      <w:r>
        <w:t>interim protection order</w:t>
      </w:r>
      <w:r>
        <w:tab/>
        <w:t>85M(2)</w:t>
      </w:r>
    </w:p>
    <w:p>
      <w:pPr>
        <w:pStyle w:val="DefinedTerms"/>
      </w:pPr>
      <w:r>
        <w:t>Internet carriage service</w:t>
      </w:r>
      <w:r>
        <w:tab/>
        <w:t>26(1a)</w:t>
      </w:r>
    </w:p>
    <w:p>
      <w:pPr>
        <w:pStyle w:val="DefinedTerms"/>
      </w:pPr>
      <w:r>
        <w:t>Internet service provider</w:t>
      </w:r>
      <w:r>
        <w:tab/>
        <w:t>26(1a)</w:t>
      </w:r>
    </w:p>
    <w:p>
      <w:pPr>
        <w:pStyle w:val="DefinedTerms"/>
      </w:pPr>
      <w:r>
        <w:t>interstate Registrar</w:t>
      </w:r>
      <w:r>
        <w:tab/>
        <w:t>80A</w:t>
      </w:r>
    </w:p>
    <w:p>
      <w:pPr>
        <w:pStyle w:val="DefinedTerms"/>
      </w:pPr>
      <w:r>
        <w:t>locality</w:t>
      </w:r>
      <w:r>
        <w:tab/>
        <w:t>85A</w:t>
      </w:r>
    </w:p>
    <w:p>
      <w:pPr>
        <w:pStyle w:val="DefinedTerms"/>
      </w:pPr>
      <w:r>
        <w:t>management</w:t>
      </w:r>
      <w:r>
        <w:tab/>
        <w:t>110A(1)</w:t>
      </w:r>
    </w:p>
    <w:p>
      <w:pPr>
        <w:pStyle w:val="DefinedTerms"/>
      </w:pPr>
      <w:r>
        <w:t>new order</w:t>
      </w:r>
      <w:r>
        <w:tab/>
        <w:t>90(4)</w:t>
      </w:r>
    </w:p>
    <w:p>
      <w:pPr>
        <w:pStyle w:val="DefinedTerms"/>
      </w:pPr>
      <w:r>
        <w:t>New South Wales Act</w:t>
      </w:r>
      <w:r>
        <w:tab/>
        <w:t>3</w:t>
      </w:r>
    </w:p>
    <w:p>
      <w:pPr>
        <w:pStyle w:val="DefinedTerms"/>
      </w:pPr>
      <w:r>
        <w:t>New South Wales reportable offender</w:t>
      </w:r>
      <w:r>
        <w:tab/>
        <w:t>3</w:t>
      </w:r>
    </w:p>
    <w:p>
      <w:pPr>
        <w:pStyle w:val="DefinedTerms"/>
      </w:pPr>
      <w:r>
        <w:t>non-contact period</w:t>
      </w:r>
      <w:r>
        <w:tab/>
        <w:t>33D(1)</w:t>
      </w:r>
    </w:p>
    <w:p>
      <w:pPr>
        <w:pStyle w:val="DefinedTerms"/>
      </w:pPr>
      <w:r>
        <w:t>non-intimate identifying procedure</w:t>
      </w:r>
      <w:r>
        <w:tab/>
        <w:t>3</w:t>
      </w:r>
    </w:p>
    <w:p>
      <w:pPr>
        <w:pStyle w:val="DefinedTerms"/>
      </w:pPr>
      <w:r>
        <w:t>offender reporting order</w:t>
      </w:r>
      <w:r>
        <w:tab/>
        <w:t>3</w:t>
      </w:r>
    </w:p>
    <w:p>
      <w:pPr>
        <w:pStyle w:val="DefinedTerms"/>
      </w:pPr>
      <w:r>
        <w:t>parole</w:t>
      </w:r>
      <w:r>
        <w:tab/>
        <w:t>3</w:t>
      </w:r>
    </w:p>
    <w:p>
      <w:pPr>
        <w:pStyle w:val="DefinedTerms"/>
      </w:pPr>
      <w:r>
        <w:t>past offender</w:t>
      </w:r>
      <w:r>
        <w:tab/>
        <w:t>19(1), 20A(1)</w:t>
      </w:r>
    </w:p>
    <w:p>
      <w:pPr>
        <w:pStyle w:val="DefinedTerms"/>
      </w:pPr>
      <w:r>
        <w:t>past offender reporting order</w:t>
      </w:r>
      <w:r>
        <w:tab/>
        <w:t>3</w:t>
      </w:r>
    </w:p>
    <w:p>
      <w:pPr>
        <w:pStyle w:val="DefinedTerms"/>
      </w:pPr>
      <w:r>
        <w:t>personal details</w:t>
      </w:r>
      <w:r>
        <w:tab/>
        <w:t>3, 85F(1)</w:t>
      </w:r>
    </w:p>
    <w:p>
      <w:pPr>
        <w:pStyle w:val="DefinedTerms"/>
      </w:pPr>
      <w:r>
        <w:t>personal information</w:t>
      </w:r>
      <w:r>
        <w:tab/>
        <w:t>3</w:t>
      </w:r>
    </w:p>
    <w:p>
      <w:pPr>
        <w:pStyle w:val="DefinedTerms"/>
      </w:pPr>
      <w:r>
        <w:t>photograph</w:t>
      </w:r>
      <w:r>
        <w:tab/>
        <w:t>85A</w:t>
      </w:r>
    </w:p>
    <w:p>
      <w:pPr>
        <w:pStyle w:val="DefinedTerms"/>
      </w:pPr>
      <w:r>
        <w:t>premises</w:t>
      </w:r>
      <w:r>
        <w:tab/>
        <w:t>3</w:t>
      </w:r>
    </w:p>
    <w:p>
      <w:pPr>
        <w:pStyle w:val="DefinedTerms"/>
      </w:pPr>
      <w:r>
        <w:t>prescribed</w:t>
      </w:r>
      <w:r>
        <w:tab/>
        <w:t>3</w:t>
      </w:r>
    </w:p>
    <w:p>
      <w:pPr>
        <w:pStyle w:val="DefinedTerms"/>
      </w:pPr>
      <w:r>
        <w:t>prescribed offence</w:t>
      </w:r>
      <w:r>
        <w:tab/>
        <w:t>85G(1)</w:t>
      </w:r>
    </w:p>
    <w:p>
      <w:pPr>
        <w:pStyle w:val="DefinedTerms"/>
      </w:pPr>
      <w:r>
        <w:t>prisoner</w:t>
      </w:r>
      <w:r>
        <w:tab/>
        <w:t>3</w:t>
      </w:r>
    </w:p>
    <w:p>
      <w:pPr>
        <w:pStyle w:val="DefinedTerms"/>
      </w:pPr>
      <w:r>
        <w:t>protection order</w:t>
      </w:r>
      <w:r>
        <w:tab/>
        <w:t>3, 85</w:t>
      </w:r>
    </w:p>
    <w:p>
      <w:pPr>
        <w:pStyle w:val="DefinedTerms"/>
      </w:pPr>
      <w:r>
        <w:t>publication day</w:t>
      </w:r>
      <w:r>
        <w:tab/>
        <w:t>118(1)</w:t>
      </w:r>
    </w:p>
    <w:p>
      <w:pPr>
        <w:pStyle w:val="DefinedTerms"/>
      </w:pPr>
      <w:r>
        <w:t>public authority</w:t>
      </w:r>
      <w:r>
        <w:tab/>
        <w:t>3</w:t>
      </w:r>
    </w:p>
    <w:p>
      <w:pPr>
        <w:pStyle w:val="DefinedTerms"/>
      </w:pPr>
      <w:r>
        <w:t>public place</w:t>
      </w:r>
      <w:r>
        <w:tab/>
        <w:t>85L(1)</w:t>
      </w:r>
    </w:p>
    <w:p>
      <w:pPr>
        <w:pStyle w:val="DefinedTerms"/>
      </w:pPr>
      <w:r>
        <w:t>publish</w:t>
      </w:r>
      <w:r>
        <w:tab/>
        <w:t>85A, 85M(1)</w:t>
      </w:r>
    </w:p>
    <w:p>
      <w:pPr>
        <w:pStyle w:val="DefinedTerms"/>
      </w:pPr>
      <w:r>
        <w:t>recognised foreign reporting period</w:t>
      </w:r>
      <w:r>
        <w:tab/>
        <w:t>49(1)</w:t>
      </w:r>
    </w:p>
    <w:p>
      <w:pPr>
        <w:pStyle w:val="DefinedTerms"/>
      </w:pPr>
      <w:r>
        <w:t>Register</w:t>
      </w:r>
      <w:r>
        <w:tab/>
        <w:t>3</w:t>
      </w:r>
    </w:p>
    <w:p>
      <w:pPr>
        <w:pStyle w:val="DefinedTerms"/>
      </w:pPr>
      <w:r>
        <w:t>registrar</w:t>
      </w:r>
      <w:r>
        <w:tab/>
        <w:t>14, 85</w:t>
      </w:r>
    </w:p>
    <w:p>
      <w:pPr>
        <w:pStyle w:val="DefinedTerms"/>
      </w:pPr>
      <w:r>
        <w:t>Registration Act</w:t>
      </w:r>
      <w:r>
        <w:tab/>
        <w:t>80A</w:t>
      </w:r>
    </w:p>
    <w:p>
      <w:pPr>
        <w:pStyle w:val="DefinedTerms"/>
      </w:pPr>
      <w:r>
        <w:t>Registration Act Register</w:t>
      </w:r>
      <w:r>
        <w:tab/>
        <w:t>80F(1)</w:t>
      </w:r>
    </w:p>
    <w:p>
      <w:pPr>
        <w:pStyle w:val="DefinedTerms"/>
      </w:pPr>
      <w:r>
        <w:t>relevant authority</w:t>
      </w:r>
      <w:r>
        <w:tab/>
        <w:t>54(1)</w:t>
      </w:r>
    </w:p>
    <w:p>
      <w:pPr>
        <w:pStyle w:val="DefinedTerms"/>
      </w:pPr>
      <w:r>
        <w:lastRenderedPageBreak/>
        <w:t>relevant day</w:t>
      </w:r>
      <w:r>
        <w:tab/>
        <w:t>115A(1), 115B(1)</w:t>
      </w:r>
    </w:p>
    <w:p>
      <w:pPr>
        <w:pStyle w:val="DefinedTerms"/>
      </w:pPr>
      <w:r>
        <w:t>relevant offence</w:t>
      </w:r>
      <w:r>
        <w:tab/>
        <w:t>115A(1), 115B(1)</w:t>
      </w:r>
    </w:p>
    <w:p>
      <w:pPr>
        <w:pStyle w:val="DefinedTerms"/>
      </w:pPr>
      <w:r>
        <w:t>reportable contact</w:t>
      </w:r>
      <w:r>
        <w:tab/>
        <w:t>3, 4A(1)</w:t>
      </w:r>
    </w:p>
    <w:p>
      <w:pPr>
        <w:pStyle w:val="DefinedTerms"/>
      </w:pPr>
      <w:r>
        <w:t>reportable contact details</w:t>
      </w:r>
      <w:r>
        <w:tab/>
        <w:t>3, 4B(1)</w:t>
      </w:r>
    </w:p>
    <w:p>
      <w:pPr>
        <w:pStyle w:val="DefinedTerms"/>
      </w:pPr>
      <w:r>
        <w:t>reportable information</w:t>
      </w:r>
      <w:r>
        <w:tab/>
        <w:t>84(1)</w:t>
      </w:r>
    </w:p>
    <w:p>
      <w:pPr>
        <w:pStyle w:val="DefinedTerms"/>
      </w:pPr>
      <w:r>
        <w:t>reportable offence</w:t>
      </w:r>
      <w:r>
        <w:tab/>
        <w:t>3</w:t>
      </w:r>
    </w:p>
    <w:p>
      <w:pPr>
        <w:pStyle w:val="DefinedTerms"/>
      </w:pPr>
      <w:r>
        <w:t>reportable offender</w:t>
      </w:r>
      <w:r>
        <w:tab/>
        <w:t>3</w:t>
      </w:r>
    </w:p>
    <w:p>
      <w:pPr>
        <w:pStyle w:val="DefinedTerms"/>
      </w:pPr>
      <w:r>
        <w:t>reporting obligations</w:t>
      </w:r>
      <w:r>
        <w:tab/>
        <w:t>3</w:t>
      </w:r>
    </w:p>
    <w:p>
      <w:pPr>
        <w:pStyle w:val="DefinedTerms"/>
      </w:pPr>
      <w:r>
        <w:t>reporting order</w:t>
      </w:r>
      <w:r>
        <w:tab/>
        <w:t>3</w:t>
      </w:r>
    </w:p>
    <w:p>
      <w:pPr>
        <w:pStyle w:val="DefinedTerms"/>
      </w:pPr>
      <w:r>
        <w:t>reporting period</w:t>
      </w:r>
      <w:r>
        <w:tab/>
        <w:t>3</w:t>
      </w:r>
    </w:p>
    <w:p>
      <w:pPr>
        <w:pStyle w:val="DefinedTerms"/>
      </w:pPr>
      <w:r>
        <w:t>respondent</w:t>
      </w:r>
      <w:r>
        <w:tab/>
        <w:t>14A, 85</w:t>
      </w:r>
    </w:p>
    <w:p>
      <w:pPr>
        <w:pStyle w:val="DefinedTerms"/>
      </w:pPr>
      <w:r>
        <w:t>restraining order</w:t>
      </w:r>
      <w:r>
        <w:tab/>
        <w:t>107(1)</w:t>
      </w:r>
    </w:p>
    <w:p>
      <w:pPr>
        <w:pStyle w:val="DefinedTerms"/>
      </w:pPr>
      <w:r>
        <w:t>senior police officer</w:t>
      </w:r>
      <w:r>
        <w:tab/>
        <w:t>3</w:t>
      </w:r>
    </w:p>
    <w:p>
      <w:pPr>
        <w:pStyle w:val="DefinedTerms"/>
      </w:pPr>
      <w:r>
        <w:t>sentence</w:t>
      </w:r>
      <w:r>
        <w:tab/>
        <w:t>3</w:t>
      </w:r>
    </w:p>
    <w:p>
      <w:pPr>
        <w:pStyle w:val="DefinedTerms"/>
      </w:pPr>
      <w:r>
        <w:t>serious reportable offender</w:t>
      </w:r>
      <w:r>
        <w:tab/>
        <w:t>108A(1)</w:t>
      </w:r>
    </w:p>
    <w:p>
      <w:pPr>
        <w:pStyle w:val="DefinedTerms"/>
      </w:pPr>
      <w:r>
        <w:t>serious sexual offence</w:t>
      </w:r>
      <w:r>
        <w:tab/>
        <w:t>85A</w:t>
      </w:r>
    </w:p>
    <w:p>
      <w:pPr>
        <w:pStyle w:val="DefinedTerms"/>
      </w:pPr>
      <w:r>
        <w:t>specified</w:t>
      </w:r>
      <w:r>
        <w:tab/>
        <w:t>113(1), 118(1)</w:t>
      </w:r>
    </w:p>
    <w:p>
      <w:pPr>
        <w:pStyle w:val="DefinedTerms"/>
      </w:pPr>
      <w:r>
        <w:t>specified person</w:t>
      </w:r>
      <w:r>
        <w:tab/>
        <w:t>85J(1)</w:t>
      </w:r>
    </w:p>
    <w:p>
      <w:pPr>
        <w:pStyle w:val="DefinedTerms"/>
      </w:pPr>
      <w:r>
        <w:t>strict government custody</w:t>
      </w:r>
      <w:r>
        <w:tab/>
        <w:t>3</w:t>
      </w:r>
    </w:p>
    <w:p>
      <w:pPr>
        <w:pStyle w:val="DefinedTerms"/>
      </w:pPr>
      <w:r>
        <w:t>supervising authority</w:t>
      </w:r>
      <w:r>
        <w:tab/>
        <w:t>3</w:t>
      </w:r>
    </w:p>
    <w:p>
      <w:pPr>
        <w:pStyle w:val="DefinedTerms"/>
      </w:pPr>
      <w:r>
        <w:t>thing relevant to an offence</w:t>
      </w:r>
      <w:r>
        <w:tab/>
        <w:t>108F(1)</w:t>
      </w:r>
    </w:p>
    <w:p>
      <w:pPr>
        <w:pStyle w:val="DefinedTerms"/>
      </w:pPr>
      <w:r>
        <w:t>transitional matter</w:t>
      </w:r>
      <w:r>
        <w:tab/>
        <w:t>118(1)</w:t>
      </w:r>
    </w:p>
    <w:p>
      <w:pPr>
        <w:pStyle w:val="DefinedTerms"/>
      </w:pPr>
      <w:r>
        <w:t>updated report</w:t>
      </w:r>
      <w:r>
        <w:tab/>
        <w:t>121(4)</w:t>
      </w:r>
    </w:p>
    <w:p>
      <w:pPr>
        <w:pStyle w:val="DefinedTerms"/>
      </w:pPr>
      <w:r>
        <w:t>WA Police</w:t>
      </w:r>
      <w:r>
        <w:tab/>
        <w:t>3</w:t>
      </w:r>
    </w:p>
    <w:p>
      <w:pPr>
        <w:pStyle w:val="DefinedTerms"/>
      </w:pPr>
      <w:r>
        <w:t>WA Registrar</w:t>
      </w:r>
      <w:r>
        <w:tab/>
        <w:t>80A</w:t>
      </w:r>
    </w:p>
    <w:p>
      <w:pPr>
        <w:pStyle w:val="DefinedTerms"/>
      </w:pPr>
      <w:r>
        <w:t>witness protection program</w:t>
      </w:r>
      <w:r>
        <w:tab/>
        <w:t>74</w:t>
      </w:r>
    </w:p>
    <w:p>
      <w:pPr>
        <w:pStyle w:val="DefinedTerms"/>
      </w:pPr>
      <w:r>
        <w:t>young reportable offender</w:t>
      </w:r>
      <w:r>
        <w:tab/>
        <w:t>3</w:t>
      </w:r>
    </w:p>
    <w:p/>
    <w:p>
      <w:pPr>
        <w:sectPr>
          <w:headerReference w:type="even" r:id="rId30"/>
          <w:headerReference w:type="default" r:id="rId31"/>
          <w:pgSz w:w="11907" w:h="16840" w:code="9"/>
          <w:pgMar w:top="2381" w:right="2410" w:bottom="3544" w:left="2410"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B68467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1708639" w14:textId="43E82B36" w:rsidR="00C63ED6" w:rsidRDefault="00F72E2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91187">
                        <w:rPr>
                          <w:sz w:val="16"/>
                        </w:rPr>
                        <w:t>2025</w:t>
                      </w:r>
                      <w:r>
                        <w:rPr>
                          <w:sz w:val="16"/>
                        </w:rPr>
                        <w:fldChar w:fldCharType="end"/>
                      </w:r>
                      <w:r>
                        <w:rPr>
                          <w:sz w:val="16"/>
                        </w:rPr>
                        <w:t>.</w:t>
                      </w:r>
                    </w:p>
                    <w:p w14:paraId="14DA030A" w14:textId="77777777" w:rsidR="00C63ED6" w:rsidRDefault="00F72E2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AB3514E" w14:textId="02DCB4B6" w:rsidR="00C63ED6" w:rsidRDefault="00F72E2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91187">
                        <w:rPr>
                          <w:sz w:val="16"/>
                        </w:rPr>
                        <w:t>2025</w:t>
                      </w:r>
                      <w:r>
                        <w:rPr>
                          <w:sz w:val="16"/>
                        </w:rPr>
                        <w:fldChar w:fldCharType="end"/>
                      </w:r>
                      <w:r>
                        <w:rPr>
                          <w:sz w:val="16"/>
                        </w:rPr>
                        <w:t>.</w:t>
                      </w:r>
                    </w:p>
                    <w:p w14:paraId="1C42D96E" w14:textId="7F33A94D" w:rsidR="00C63ED6" w:rsidRDefault="00F72E2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02-r0-01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02-r0-01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02-r0-01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02-r0-01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02-r0-01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02-r0-01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Stage 1 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Stage 1 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4" w:name="Schedule"/>
    <w:bookmarkEnd w:id="2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1" w:name="DefinedTerms"/>
    <w:bookmarkEnd w:id="22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2" w:name="Coversheet"/>
    <w:bookmarkEnd w:id="2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72E8C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DB299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E30EF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14BB4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6CBE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22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5130517"/>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 w:name="WAFER_2020071009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00_GUID" w:val="0738918f-89b9-48b5-8367-27ea31ed38fa"/>
    <w:docVar w:name="WAFER_20200812111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213_GUID" w:val="a1862710-d75b-4255-bad6-0a5e7f2df570"/>
    <w:docVar w:name="WAFER_20200826090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0816_GUID" w:val="53b0f3b5-0c8f-42a2-b301-8cf29a572001"/>
    <w:docVar w:name="WAFER_2021121409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094916_GUID" w:val="b50e9e06-4dd9-468e-850a-7eb805273c20"/>
    <w:docVar w:name="WAFER_202112211404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0442_GUID" w:val="c1ef77d1-734a-42b5-b427-1603c38c892c"/>
    <w:docVar w:name="WAFER_202304120952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17_GUID" w:val="086b204b-882a-4e89-893b-009acd6e0e1a"/>
    <w:docVar w:name="WAFER_2023120612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2053_GUID" w:val="77abb9d4-d417-4748-8dad-a84bed8cd600"/>
    <w:docVar w:name="WAFER_202312151538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3852_GUID" w:val="810495fd-3c7e-48f9-9d08-744a3203122f"/>
    <w:docVar w:name="WAFER_20240822131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1329_GUID" w:val="525e754e-5f8e-44e2-9cef-5d0ed845d348"/>
    <w:docVar w:name="WAFER_20240919093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3722_GUID" w:val="21562af0-27b2-48b2-829d-8ea3e7ce81dc"/>
    <w:docVar w:name="WAFER_20241018091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1214_GUID" w:val="e4605e0f-5629-4bad-8102-f37159bc4ad6"/>
    <w:docVar w:name="WAFER_20250523092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092401_GUID" w:val="bd8f14dd-74fb-4ff2-a5f8-c4aa516fd730"/>
    <w:docVar w:name="WAFER_20250717152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52039_GUID" w:val="c174e6e3-580d-4a42-be34-ea678dbfcfac"/>
    <w:docVar w:name="WAFER_20251215130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5130517_GUID" w:val="2b690a87-90f2-4765-80b3-4f41ec11a7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2273"/>
    <o:shapelayout v:ext="edit">
      <o:idmap v:ext="edit" data="1"/>
    </o:shapelayout>
  </w:shapeDefaults>
  <w:decimalSymbol w:val="."/>
  <w:listSeparator w:val=","/>
  <w15:docId w15:val="{1BA297F3-C35F-49F3-B21D-0CCA654C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2C4AE-6220-440B-A0C3-373E12097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38986</Words>
  <Characters>191424</Characters>
  <Application>Microsoft Office Word</Application>
  <DocSecurity>0</DocSecurity>
  <Lines>5317</Lines>
  <Paragraphs>3031</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227379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2004 - 02-r0-01</dc:title>
  <dc:subject/>
  <dc:creator/>
  <cp:keywords/>
  <dc:description/>
  <cp:lastModifiedBy>Master Repository Process</cp:lastModifiedBy>
  <cp:revision>4</cp:revision>
  <cp:lastPrinted>2021-12-21T08:49:00Z</cp:lastPrinted>
  <dcterms:created xsi:type="dcterms:W3CDTF">2025-12-16T06:53:00Z</dcterms:created>
  <dcterms:modified xsi:type="dcterms:W3CDTF">2025-12-16T06:53:00Z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AsAtDate">
    <vt:lpwstr>25 Sep 2025</vt:lpwstr>
  </property>
  <property fmtid="{D5CDD505-2E9C-101B-9397-08002B2CF9AE}" pid="8" name="Suffix">
    <vt:lpwstr>02-r0-01</vt:lpwstr>
  </property>
  <property fmtid="{D5CDD505-2E9C-101B-9397-08002B2CF9AE}" pid="9" name="Official">
    <vt:lpwstr/>
  </property>
  <property fmtid="{D5CDD505-2E9C-101B-9397-08002B2CF9AE}" pid="10" name="CommencementDate">
    <vt:lpwstr>20250925</vt:lpwstr>
  </property>
  <property fmtid="{D5CDD505-2E9C-101B-9397-08002B2CF9AE}" pid="11" name="CommencementAsAt">
    <vt:filetime>2025-09-24T16:00:00Z</vt:filetime>
  </property>
  <property fmtid="{D5CDD505-2E9C-101B-9397-08002B2CF9AE}" pid="12" name="CommencementYear">
    <vt:lpwstr>2025</vt:lpwstr>
  </property>
</Properties>
</file>